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4789">
      <w:pPr>
        <w:pStyle w:val="3"/>
        <w:pageBreakBefore w:val="0"/>
        <w:shd w:val="clear"/>
        <w:kinsoku/>
        <w:wordWrap/>
        <w:overflowPunct/>
        <w:topLinePunct w:val="0"/>
        <w:bidi w:val="0"/>
        <w:spacing w:after="0" w:line="360" w:lineRule="auto"/>
        <w:ind w:left="0" w:leftChars="0" w:right="0" w:rightChars="0" w:firstLine="280"/>
        <w:rPr>
          <w:rFonts w:hint="eastAsia" w:ascii="宋体" w:hAnsi="宋体" w:eastAsia="宋体" w:cs="宋体"/>
          <w:color w:val="000000" w:themeColor="text1"/>
          <w:highlight w:val="none"/>
          <w14:textFill>
            <w14:solidFill>
              <w14:schemeClr w14:val="tx1"/>
            </w14:solidFill>
          </w14:textFill>
        </w:rPr>
      </w:pPr>
    </w:p>
    <w:p w14:paraId="684E74CE">
      <w:pPr>
        <w:pStyle w:val="3"/>
        <w:pageBreakBefore w:val="0"/>
        <w:shd w:val="clear"/>
        <w:kinsoku/>
        <w:wordWrap/>
        <w:overflowPunct/>
        <w:topLinePunct w:val="0"/>
        <w:bidi w:val="0"/>
        <w:spacing w:after="0" w:line="360" w:lineRule="auto"/>
        <w:ind w:left="0" w:leftChars="0" w:right="0" w:rightChars="0" w:firstLine="280"/>
        <w:rPr>
          <w:rFonts w:hint="eastAsia" w:ascii="宋体" w:hAnsi="宋体" w:eastAsia="宋体" w:cs="宋体"/>
          <w:color w:val="000000" w:themeColor="text1"/>
          <w:highlight w:val="none"/>
          <w14:textFill>
            <w14:solidFill>
              <w14:schemeClr w14:val="tx1"/>
            </w14:solidFill>
          </w14:textFill>
        </w:rPr>
      </w:pPr>
    </w:p>
    <w:p w14:paraId="54675BFB">
      <w:pPr>
        <w:pStyle w:val="3"/>
        <w:pageBreakBefore w:val="0"/>
        <w:shd w:val="clear"/>
        <w:kinsoku/>
        <w:wordWrap/>
        <w:overflowPunct/>
        <w:topLinePunct w:val="0"/>
        <w:bidi w:val="0"/>
        <w:spacing w:after="0" w:line="360" w:lineRule="auto"/>
        <w:ind w:left="0" w:leftChars="0" w:right="0" w:rightChars="0" w:firstLine="280"/>
        <w:rPr>
          <w:rFonts w:hint="eastAsia" w:ascii="宋体" w:hAnsi="宋体" w:eastAsia="宋体" w:cs="宋体"/>
          <w:color w:val="000000" w:themeColor="text1"/>
          <w:highlight w:val="none"/>
          <w14:textFill>
            <w14:solidFill>
              <w14:schemeClr w14:val="tx1"/>
            </w14:solidFill>
          </w14:textFill>
        </w:rPr>
      </w:pPr>
    </w:p>
    <w:p w14:paraId="23943B1D">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竞争性磋商文件</w:t>
      </w:r>
    </w:p>
    <w:p w14:paraId="0E4B228D">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（政府采购电子交易项目）</w:t>
      </w:r>
    </w:p>
    <w:p w14:paraId="061EBE52">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b/>
          <w:bCs/>
          <w:color w:val="000000" w:themeColor="text1"/>
          <w:sz w:val="44"/>
          <w:szCs w:val="44"/>
          <w:highlight w:val="none"/>
          <w14:textFill>
            <w14:solidFill>
              <w14:schemeClr w14:val="tx1"/>
            </w14:solidFill>
          </w14:textFill>
        </w:rPr>
      </w:pPr>
    </w:p>
    <w:p w14:paraId="521CA1B5">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b/>
          <w:bCs/>
          <w:color w:val="000000" w:themeColor="text1"/>
          <w:sz w:val="44"/>
          <w:szCs w:val="44"/>
          <w:highlight w:val="none"/>
          <w14:textFill>
            <w14:solidFill>
              <w14:schemeClr w14:val="tx1"/>
            </w14:solidFill>
          </w14:textFill>
        </w:rPr>
      </w:pPr>
    </w:p>
    <w:p w14:paraId="5467B2C6">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b/>
          <w:bCs/>
          <w:color w:val="000000" w:themeColor="text1"/>
          <w:sz w:val="44"/>
          <w:szCs w:val="44"/>
          <w:highlight w:val="none"/>
          <w14:textFill>
            <w14:solidFill>
              <w14:schemeClr w14:val="tx1"/>
            </w14:solidFill>
          </w14:textFill>
        </w:rPr>
      </w:pPr>
    </w:p>
    <w:p w14:paraId="1FE58EB9">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b/>
          <w:bCs/>
          <w:color w:val="000000" w:themeColor="text1"/>
          <w:sz w:val="44"/>
          <w:szCs w:val="44"/>
          <w:highlight w:val="none"/>
          <w14:textFill>
            <w14:solidFill>
              <w14:schemeClr w14:val="tx1"/>
            </w14:solidFill>
          </w14:textFill>
        </w:rPr>
      </w:pPr>
    </w:p>
    <w:p w14:paraId="67715D68">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b/>
          <w:bCs/>
          <w:color w:val="000000" w:themeColor="text1"/>
          <w:sz w:val="44"/>
          <w:szCs w:val="44"/>
          <w:highlight w:val="none"/>
          <w14:textFill>
            <w14:solidFill>
              <w14:schemeClr w14:val="tx1"/>
            </w14:solidFill>
          </w14:textFill>
        </w:rPr>
      </w:pPr>
    </w:p>
    <w:p w14:paraId="5D544746">
      <w:pPr>
        <w:pageBreakBefore w:val="0"/>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14:paraId="2A282648">
      <w:pPr>
        <w:pageBreakBefore w:val="0"/>
        <w:shd w:val="clear"/>
        <w:kinsoku/>
        <w:wordWrap/>
        <w:overflowPunct/>
        <w:topLinePunct w:val="0"/>
        <w:bidi w:val="0"/>
        <w:spacing w:line="360" w:lineRule="auto"/>
        <w:ind w:left="0" w:leftChars="0" w:right="0" w:rightChars="0"/>
        <w:jc w:val="both"/>
        <w:outlineLvl w:val="0"/>
        <w:rPr>
          <w:rFonts w:hint="eastAsia" w:ascii="宋体" w:hAnsi="宋体" w:eastAsia="宋体" w:cs="宋体"/>
          <w:color w:val="000000" w:themeColor="text1"/>
          <w:highlight w:val="none"/>
          <w14:textFill>
            <w14:solidFill>
              <w14:schemeClr w14:val="tx1"/>
            </w14:solidFill>
          </w14:textFill>
        </w:rPr>
      </w:pPr>
    </w:p>
    <w:p w14:paraId="7C9F43CA">
      <w:pPr>
        <w:pStyle w:val="3"/>
        <w:pageBreakBefore w:val="0"/>
        <w:kinsoku/>
        <w:wordWrap/>
        <w:overflowPunct/>
        <w:topLinePunct w:val="0"/>
        <w:bidi w:val="0"/>
        <w:spacing w:after="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14:paraId="596CF74D">
      <w:pPr>
        <w:pStyle w:val="3"/>
        <w:pageBreakBefore w:val="0"/>
        <w:kinsoku/>
        <w:wordWrap/>
        <w:overflowPunct/>
        <w:topLinePunct w:val="0"/>
        <w:bidi w:val="0"/>
        <w:spacing w:after="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14:paraId="60CAB1F4">
      <w:pPr>
        <w:keepNext w:val="0"/>
        <w:keepLines w:val="0"/>
        <w:pageBreakBefore w:val="0"/>
        <w:widowControl w:val="0"/>
        <w:shd w:val="clear"/>
        <w:tabs>
          <w:tab w:val="left" w:pos="2410"/>
        </w:tabs>
        <w:kinsoku/>
        <w:wordWrap/>
        <w:overflowPunct/>
        <w:topLinePunct w:val="0"/>
        <w:autoSpaceDE w:val="0"/>
        <w:autoSpaceDN w:val="0"/>
        <w:bidi w:val="0"/>
        <w:adjustRightInd w:val="0"/>
        <w:snapToGrid w:val="0"/>
        <w:spacing w:line="360" w:lineRule="auto"/>
        <w:ind w:left="0" w:leftChars="0" w:right="0" w:rightChars="0" w:firstLine="723" w:firstLineChars="200"/>
        <w:jc w:val="left"/>
        <w:textAlignment w:val="auto"/>
        <w:rPr>
          <w:rFonts w:hint="eastAsia" w:ascii="宋体" w:hAnsi="宋体" w:eastAsia="宋体" w:cs="宋体"/>
          <w:b/>
          <w:color w:val="000000" w:themeColor="text1"/>
          <w:spacing w:val="-10"/>
          <w:kern w:val="0"/>
          <w:sz w:val="32"/>
          <w:szCs w:val="32"/>
          <w:highlight w:val="none"/>
          <w:u w:val="singl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lang w:eastAsia="zh-CN"/>
          <w14:textFill>
            <w14:solidFill>
              <w14:schemeClr w14:val="tx1"/>
            </w14:solidFill>
          </w14:textFill>
        </w:rPr>
        <w:t>知识产权综合体运营服务项目</w:t>
      </w:r>
    </w:p>
    <w:p w14:paraId="4CC3ABA3">
      <w:pPr>
        <w:keepNext w:val="0"/>
        <w:keepLines w:val="0"/>
        <w:pageBreakBefore w:val="0"/>
        <w:widowControl w:val="0"/>
        <w:shd w:val="clear"/>
        <w:tabs>
          <w:tab w:val="left" w:pos="2410"/>
        </w:tabs>
        <w:kinsoku/>
        <w:wordWrap/>
        <w:overflowPunct/>
        <w:topLinePunct w:val="0"/>
        <w:autoSpaceDE w:val="0"/>
        <w:autoSpaceDN w:val="0"/>
        <w:bidi w:val="0"/>
        <w:adjustRightInd w:val="0"/>
        <w:snapToGrid w:val="0"/>
        <w:spacing w:line="360" w:lineRule="auto"/>
        <w:ind w:left="0" w:leftChars="0" w:right="0" w:rightChars="0" w:firstLine="723" w:firstLineChars="200"/>
        <w:jc w:val="left"/>
        <w:textAlignment w:val="auto"/>
        <w:rPr>
          <w:rFonts w:hint="eastAsia" w:ascii="宋体" w:hAnsi="宋体" w:eastAsia="宋体" w:cs="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cs="宋体"/>
          <w:b/>
          <w:color w:val="000000" w:themeColor="text1"/>
          <w:spacing w:val="20"/>
          <w:kern w:val="0"/>
          <w:sz w:val="32"/>
          <w:szCs w:val="32"/>
          <w:highlight w:val="none"/>
          <w:u w:val="single"/>
          <w:lang w:eastAsia="zh-CN"/>
          <w14:textFill>
            <w14:solidFill>
              <w14:schemeClr w14:val="tx1"/>
            </w14:solidFill>
          </w14:textFill>
        </w:rPr>
        <w:t>NBMC-20262059G磋</w:t>
      </w:r>
    </w:p>
    <w:p w14:paraId="27C73244">
      <w:pPr>
        <w:keepNext w:val="0"/>
        <w:keepLines w:val="0"/>
        <w:pageBreakBefore w:val="0"/>
        <w:widowControl w:val="0"/>
        <w:shd w:val="clear"/>
        <w:tabs>
          <w:tab w:val="left" w:pos="2410"/>
        </w:tabs>
        <w:kinsoku/>
        <w:wordWrap/>
        <w:overflowPunct/>
        <w:topLinePunct w:val="0"/>
        <w:autoSpaceDE w:val="0"/>
        <w:autoSpaceDN w:val="0"/>
        <w:bidi w:val="0"/>
        <w:adjustRightInd w:val="0"/>
        <w:snapToGrid w:val="0"/>
        <w:spacing w:line="360" w:lineRule="auto"/>
        <w:ind w:left="0" w:leftChars="0" w:right="0" w:rightChars="0" w:firstLine="723" w:firstLineChars="200"/>
        <w:jc w:val="left"/>
        <w:textAlignment w:val="auto"/>
        <w:rPr>
          <w:rFonts w:hint="eastAsia" w:ascii="宋体" w:hAnsi="宋体" w:eastAsia="宋体" w:cs="宋体"/>
          <w:b/>
          <w:color w:val="000000" w:themeColor="text1"/>
          <w:kern w:val="0"/>
          <w:sz w:val="32"/>
          <w:szCs w:val="32"/>
          <w:highlight w:val="none"/>
          <w:u w:val="singl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cs="宋体"/>
          <w:b/>
          <w:color w:val="000000" w:themeColor="text1"/>
          <w:kern w:val="0"/>
          <w:sz w:val="32"/>
          <w:szCs w:val="32"/>
          <w:highlight w:val="none"/>
          <w:u w:val="single"/>
          <w:lang w:eastAsia="zh-CN"/>
          <w14:textFill>
            <w14:solidFill>
              <w14:schemeClr w14:val="tx1"/>
            </w14:solidFill>
          </w14:textFill>
        </w:rPr>
        <w:t>宁波知识产权保护中心</w:t>
      </w:r>
    </w:p>
    <w:p w14:paraId="39438BB0">
      <w:pPr>
        <w:keepNext w:val="0"/>
        <w:keepLines w:val="0"/>
        <w:pageBreakBefore w:val="0"/>
        <w:widowControl w:val="0"/>
        <w:shd w:val="clear"/>
        <w:tabs>
          <w:tab w:val="left" w:pos="2410"/>
        </w:tabs>
        <w:kinsoku/>
        <w:wordWrap/>
        <w:overflowPunct/>
        <w:topLinePunct w:val="0"/>
        <w:autoSpaceDE w:val="0"/>
        <w:autoSpaceDN w:val="0"/>
        <w:bidi w:val="0"/>
        <w:adjustRightInd w:val="0"/>
        <w:snapToGrid w:val="0"/>
        <w:spacing w:line="360" w:lineRule="auto"/>
        <w:ind w:left="0" w:leftChars="0" w:right="0" w:rightChars="0" w:firstLine="723" w:firstLineChars="200"/>
        <w:jc w:val="left"/>
        <w:textAlignment w:val="auto"/>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pPr>
      <w:r>
        <w:rPr>
          <w:rFonts w:hint="eastAsia" w:ascii="宋体" w:hAnsi="宋体" w:eastAsia="宋体" w:cs="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t>宁波名诚招标代理有限公司</w:t>
      </w:r>
    </w:p>
    <w:p w14:paraId="4A4748AC">
      <w:pPr>
        <w:pageBreakBefore w:val="0"/>
        <w:kinsoku/>
        <w:wordWrap/>
        <w:overflowPunct/>
        <w:topLinePunct w:val="0"/>
        <w:bidi w:val="0"/>
        <w:spacing w:line="360" w:lineRule="auto"/>
        <w:ind w:left="0" w:leftChars="0" w:right="0" w:rightChars="0"/>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pPr>
      <w:r>
        <w:rPr>
          <w:rFonts w:hint="eastAsia" w:ascii="宋体" w:hAnsi="宋体" w:eastAsia="宋体" w:cs="宋体"/>
          <w:b/>
          <w:color w:val="000000" w:themeColor="text1"/>
          <w:spacing w:val="20"/>
          <w:kern w:val="0"/>
          <w:sz w:val="32"/>
          <w:szCs w:val="32"/>
          <w:highlight w:val="none"/>
          <w:u w:val="single"/>
          <w14:textFill>
            <w14:solidFill>
              <w14:schemeClr w14:val="tx1"/>
            </w14:solidFill>
          </w14:textFill>
        </w:rPr>
        <w:br w:type="page"/>
      </w:r>
    </w:p>
    <w:sdt>
      <w:sdt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id w:val="147457617"/>
        <w15:color w:val="DBDBDB"/>
        <w:docPartObj>
          <w:docPartGallery w:val="Table of Contents"/>
          <w:docPartUnique/>
        </w:docPartObj>
      </w:sdtPr>
      <w:sdtEnd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sdtEndPr>
      <w:sdtContent>
        <w:p w14:paraId="6E10E7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目录</w:t>
          </w:r>
        </w:p>
        <w:p w14:paraId="2F63D8EE">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_Toc27933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采购公告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_Toc27933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396886B">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_Toc9190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采购需求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_Toc9190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BE99EF7">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_Toc15537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供应商须知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_Toc15537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90E2E1C">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_Toc14540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评审方法和评审标准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_Toc14540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DCDEBE2">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_Toc14136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合同草案条款</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_Toc14136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1B96BF5">
          <w:pPr>
            <w:pStyle w:val="17"/>
            <w:pageBreakBefore w:val="0"/>
            <w:tabs>
              <w:tab w:val="right" w:leader="dot" w:pos="8738"/>
            </w:tabs>
            <w:kinsoku/>
            <w:wordWrap/>
            <w:overflowPunct/>
            <w:topLinePunct w:val="0"/>
            <w:bidi w:val="0"/>
            <w:spacing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_Toc20782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响应文件格式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_Toc20782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08E0FA4">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1EB8366A">
      <w:pPr>
        <w:pageBreakBefore w:val="0"/>
        <w:kinsoku/>
        <w:wordWrap/>
        <w:overflowPunct/>
        <w:topLinePunct w:val="0"/>
        <w:bidi w:val="0"/>
        <w:spacing w:line="360" w:lineRule="auto"/>
        <w:ind w:left="0" w:leftChars="0" w:right="0" w:right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26CED6B4">
      <w:pPr>
        <w:pStyle w:val="12"/>
        <w:pageBreakBefore w:val="0"/>
        <w:shd w:val="clear"/>
        <w:kinsoku/>
        <w:wordWrap/>
        <w:overflowPunct/>
        <w:topLinePunct w:val="0"/>
        <w:bidi w:val="0"/>
        <w:snapToGrid w:val="0"/>
        <w:spacing w:beforeLines="0" w:afterLines="0" w:line="360" w:lineRule="auto"/>
        <w:ind w:left="0" w:leftChars="0" w:right="0" w:rightChars="0" w:firstLine="379"/>
        <w:jc w:val="center"/>
        <w:outlineLvl w:val="0"/>
        <w:rPr>
          <w:rFonts w:hint="eastAsia" w:ascii="宋体" w:hAnsi="宋体" w:eastAsia="宋体" w:cs="宋体"/>
          <w:color w:val="000000" w:themeColor="text1"/>
          <w:sz w:val="28"/>
          <w:szCs w:val="28"/>
          <w:highlight w:val="none"/>
          <w14:textFill>
            <w14:solidFill>
              <w14:schemeClr w14:val="tx1"/>
            </w14:solidFill>
          </w14:textFill>
        </w:rPr>
        <w:sectPr>
          <w:headerReference r:id="rId3" w:type="default"/>
          <w:pgSz w:w="11906" w:h="16838"/>
          <w:pgMar w:top="1440" w:right="1558" w:bottom="1440" w:left="1610" w:header="851" w:footer="851" w:gutter="0"/>
          <w:pgNumType w:fmt="decimal" w:start="1"/>
          <w:cols w:space="720" w:num="1"/>
          <w:docGrid w:linePitch="312" w:charSpace="0"/>
        </w:sectPr>
      </w:pPr>
    </w:p>
    <w:p w14:paraId="5490066A">
      <w:pPr>
        <w:pStyle w:val="4"/>
        <w:pageBreakBefore w:val="0"/>
        <w:shd w:val="clear"/>
        <w:kinsoku/>
        <w:wordWrap/>
        <w:overflowPunct/>
        <w:topLinePunct w:val="0"/>
        <w:bidi w:val="0"/>
        <w:spacing w:before="0" w:after="0" w:line="360" w:lineRule="auto"/>
        <w:ind w:left="0" w:leftChars="0" w:right="0" w:rightChars="0" w:firstLine="330"/>
        <w:rPr>
          <w:rFonts w:hint="eastAsia" w:ascii="宋体" w:hAnsi="宋体" w:eastAsia="宋体" w:cs="宋体"/>
          <w:color w:val="000000" w:themeColor="text1"/>
          <w:szCs w:val="30"/>
          <w:highlight w:val="none"/>
          <w14:textFill>
            <w14:solidFill>
              <w14:schemeClr w14:val="tx1"/>
            </w14:solidFill>
          </w14:textFill>
        </w:rPr>
      </w:pPr>
      <w:bookmarkStart w:id="0" w:name="_Toc34844741"/>
      <w:bookmarkStart w:id="1" w:name="_Toc16450"/>
      <w:bookmarkStart w:id="2" w:name="_Toc27933"/>
      <w:r>
        <w:rPr>
          <w:rFonts w:hint="eastAsia" w:ascii="宋体" w:hAnsi="宋体" w:eastAsia="宋体" w:cs="宋体"/>
          <w:color w:val="000000" w:themeColor="text1"/>
          <w:highlight w:val="none"/>
          <w14:textFill>
            <w14:solidFill>
              <w14:schemeClr w14:val="tx1"/>
            </w14:solidFill>
          </w14:textFill>
        </w:rPr>
        <w:t>第一章</w:t>
      </w:r>
      <w:bookmarkEnd w:id="0"/>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30"/>
          <w:highlight w:val="none"/>
          <w14:textFill>
            <w14:solidFill>
              <w14:schemeClr w14:val="tx1"/>
            </w14:solidFill>
          </w14:textFill>
        </w:rPr>
        <w:t>采购公告</w:t>
      </w:r>
      <w:bookmarkEnd w:id="1"/>
      <w:bookmarkEnd w:id="2"/>
    </w:p>
    <w:p w14:paraId="47A8E493">
      <w:pPr>
        <w:pageBreakBefore w:val="0"/>
        <w:pBdr>
          <w:top w:val="single" w:color="auto" w:sz="4" w:space="1"/>
          <w:left w:val="single" w:color="auto" w:sz="4" w:space="4"/>
          <w:bottom w:val="single" w:color="auto" w:sz="4" w:space="0"/>
          <w:right w:val="single" w:color="auto" w:sz="4" w:space="4"/>
        </w:pBdr>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项目概况</w:t>
      </w:r>
    </w:p>
    <w:p w14:paraId="747ECA6C">
      <w:pPr>
        <w:pageBreakBefore w:val="0"/>
        <w:pBdr>
          <w:top w:val="single" w:color="auto" w:sz="4" w:space="1"/>
          <w:left w:val="single" w:color="auto" w:sz="4" w:space="4"/>
          <w:bottom w:val="single" w:color="auto" w:sz="4" w:space="0"/>
          <w:right w:val="single" w:color="auto" w:sz="4" w:space="4"/>
        </w:pBdr>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u w:val="single"/>
          <w:lang w:eastAsia="zh-CN"/>
          <w14:textFill>
            <w14:solidFill>
              <w14:schemeClr w14:val="tx1"/>
            </w14:solidFill>
          </w14:textFill>
        </w:rPr>
        <w:t>知识产权综合体运营服务项目</w:t>
      </w:r>
      <w:r>
        <w:rPr>
          <w:rFonts w:hint="eastAsia" w:ascii="宋体" w:hAnsi="宋体" w:eastAsia="宋体" w:cs="宋体"/>
          <w:color w:val="000000" w:themeColor="text1"/>
          <w:highlight w:val="none"/>
          <w14:textFill>
            <w14:solidFill>
              <w14:schemeClr w14:val="tx1"/>
            </w14:solidFill>
          </w14:textFill>
        </w:rPr>
        <w:t>采购项目的潜在供应商应在政采云平台（</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26"/>
          <w:rFonts w:hint="eastAsia" w:ascii="宋体" w:hAnsi="宋体" w:eastAsia="宋体" w:cs="宋体"/>
          <w:bCs/>
          <w:color w:val="000000" w:themeColor="text1"/>
          <w:highlight w:val="none"/>
          <w14:textFill>
            <w14:solidFill>
              <w14:schemeClr w14:val="tx1"/>
            </w14:solidFill>
          </w14:textFill>
        </w:rPr>
        <w:t>https://www.zcygov.cn）获取（下载）采购文件，并于202</w:t>
      </w:r>
      <w:r>
        <w:rPr>
          <w:rStyle w:val="26"/>
          <w:rFonts w:hint="eastAsia" w:ascii="宋体" w:hAnsi="宋体" w:eastAsia="宋体" w:cs="宋体"/>
          <w:bCs/>
          <w:color w:val="000000" w:themeColor="text1"/>
          <w:highlight w:val="none"/>
          <w:lang w:val="en-US" w:eastAsia="zh-CN"/>
          <w14:textFill>
            <w14:solidFill>
              <w14:schemeClr w14:val="tx1"/>
            </w14:solidFill>
          </w14:textFill>
        </w:rPr>
        <w:t>6</w:t>
      </w:r>
      <w:r>
        <w:rPr>
          <w:rStyle w:val="26"/>
          <w:rFonts w:hint="eastAsia" w:ascii="宋体" w:hAnsi="宋体" w:eastAsia="宋体" w:cs="宋体"/>
          <w:bCs/>
          <w:color w:val="000000" w:themeColor="text1"/>
          <w:highlight w:val="none"/>
          <w14:textFill>
            <w14:solidFill>
              <w14:schemeClr w14:val="tx1"/>
            </w14:solidFill>
          </w14:textFill>
        </w:rPr>
        <w:t>年</w:t>
      </w:r>
      <w:r>
        <w:rPr>
          <w:rStyle w:val="26"/>
          <w:rFonts w:hint="eastAsia" w:ascii="宋体" w:hAnsi="宋体" w:eastAsia="宋体" w:cs="宋体"/>
          <w:bCs/>
          <w:color w:val="000000" w:themeColor="text1"/>
          <w:highlight w:val="none"/>
          <w:lang w:val="en-US" w:eastAsia="zh-CN"/>
          <w14:textFill>
            <w14:solidFill>
              <w14:schemeClr w14:val="tx1"/>
            </w14:solidFill>
          </w14:textFill>
        </w:rPr>
        <w:t>4</w:t>
      </w:r>
      <w:r>
        <w:rPr>
          <w:rStyle w:val="26"/>
          <w:rFonts w:hint="eastAsia" w:ascii="宋体" w:hAnsi="宋体" w:eastAsia="宋体" w:cs="宋体"/>
          <w:bCs/>
          <w:color w:val="000000" w:themeColor="text1"/>
          <w:highlight w:val="none"/>
          <w14:textFill>
            <w14:solidFill>
              <w14:schemeClr w14:val="tx1"/>
            </w14:solidFill>
          </w14:textFill>
        </w:rPr>
        <w:t>月</w:t>
      </w:r>
      <w:r>
        <w:rPr>
          <w:rStyle w:val="26"/>
          <w:rFonts w:hint="eastAsia" w:ascii="宋体" w:hAnsi="宋体" w:eastAsia="宋体" w:cs="宋体"/>
          <w:bCs/>
          <w:color w:val="000000" w:themeColor="text1"/>
          <w:highlight w:val="none"/>
          <w14:textFill>
            <w14:solidFill>
              <w14:schemeClr w14:val="tx1"/>
            </w14:solidFill>
          </w14:textFill>
        </w:rPr>
        <w:fldChar w:fldCharType="end"/>
      </w:r>
      <w:r>
        <w:rPr>
          <w:rStyle w:val="26"/>
          <w:rFonts w:hint="eastAsia" w:ascii="宋体" w:hAnsi="宋体" w:eastAsia="宋体" w:cs="宋体"/>
          <w:bCs/>
          <w:color w:val="000000" w:themeColor="text1"/>
          <w:highlight w:val="none"/>
          <w:lang w:val="en-US" w:eastAsia="zh-CN"/>
          <w14:textFill>
            <w14:solidFill>
              <w14:schemeClr w14:val="tx1"/>
            </w14:solidFill>
          </w14:textFill>
        </w:rPr>
        <w:t>24</w:t>
      </w:r>
      <w:r>
        <w:rPr>
          <w:rFonts w:hint="eastAsia" w:ascii="宋体" w:hAnsi="宋体" w:eastAsia="宋体" w:cs="宋体"/>
          <w:bCs/>
          <w:color w:val="000000" w:themeColor="text1"/>
          <w:highlight w:val="none"/>
          <w:u w:val="single"/>
          <w14:textFill>
            <w14:solidFill>
              <w14:schemeClr w14:val="tx1"/>
            </w14:solidFill>
          </w14:textFill>
        </w:rPr>
        <w:t>日</w:t>
      </w:r>
      <w:r>
        <w:rPr>
          <w:rFonts w:hint="eastAsia" w:ascii="宋体" w:hAnsi="宋体" w:eastAsia="宋体" w:cs="宋体"/>
          <w:bCs/>
          <w:color w:val="000000" w:themeColor="text1"/>
          <w:highlight w:val="none"/>
          <w:u w:val="single"/>
          <w:lang w:val="en-US" w:eastAsia="zh-CN"/>
          <w14:textFill>
            <w14:solidFill>
              <w14:schemeClr w14:val="tx1"/>
            </w14:solidFill>
          </w14:textFill>
        </w:rPr>
        <w:t>9</w:t>
      </w:r>
      <w:r>
        <w:rPr>
          <w:rFonts w:hint="eastAsia" w:ascii="宋体" w:hAnsi="宋体" w:eastAsia="宋体" w:cs="宋体"/>
          <w:bCs/>
          <w:color w:val="000000" w:themeColor="text1"/>
          <w:highlight w:val="none"/>
          <w:u w:val="single"/>
          <w14:textFill>
            <w14:solidFill>
              <w14:schemeClr w14:val="tx1"/>
            </w14:solidFill>
          </w14:textFill>
        </w:rPr>
        <w:t>：</w:t>
      </w:r>
      <w:r>
        <w:rPr>
          <w:rFonts w:hint="eastAsia" w:ascii="宋体" w:hAnsi="宋体" w:eastAsia="宋体" w:cs="宋体"/>
          <w:bCs/>
          <w:color w:val="000000" w:themeColor="text1"/>
          <w:highlight w:val="none"/>
          <w:u w:val="single"/>
          <w:lang w:val="en-US" w:eastAsia="zh-CN"/>
          <w14:textFill>
            <w14:solidFill>
              <w14:schemeClr w14:val="tx1"/>
            </w14:solidFill>
          </w14:textFill>
        </w:rPr>
        <w:t>3</w:t>
      </w:r>
      <w:r>
        <w:rPr>
          <w:rFonts w:hint="eastAsia" w:ascii="宋体" w:hAnsi="宋体" w:eastAsia="宋体" w:cs="宋体"/>
          <w:bCs/>
          <w:color w:val="000000" w:themeColor="text1"/>
          <w:highlight w:val="none"/>
          <w:u w:val="single"/>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（北京时间）前提交（上传）响应文件</w:t>
      </w:r>
      <w:r>
        <w:rPr>
          <w:rFonts w:hint="eastAsia" w:ascii="宋体" w:hAnsi="宋体" w:eastAsia="宋体" w:cs="宋体"/>
          <w:color w:val="000000" w:themeColor="text1"/>
          <w:highlight w:val="none"/>
          <w14:textFill>
            <w14:solidFill>
              <w14:schemeClr w14:val="tx1"/>
            </w14:solidFill>
          </w14:textFill>
        </w:rPr>
        <w:t>。</w:t>
      </w:r>
    </w:p>
    <w:p w14:paraId="164C43EA">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bookmarkStart w:id="3" w:name="_Toc28359089"/>
      <w:bookmarkStart w:id="4" w:name="_Toc35393798"/>
      <w:bookmarkStart w:id="5" w:name="_Toc35393629"/>
      <w:bookmarkStart w:id="6" w:name="_Toc28359012"/>
      <w:r>
        <w:rPr>
          <w:rFonts w:hint="eastAsia" w:ascii="宋体" w:hAnsi="宋体" w:eastAsia="宋体" w:cs="宋体"/>
          <w:b/>
          <w:bCs/>
          <w:color w:val="000000" w:themeColor="text1"/>
          <w:szCs w:val="21"/>
          <w:highlight w:val="none"/>
          <w14:textFill>
            <w14:solidFill>
              <w14:schemeClr w14:val="tx1"/>
            </w14:solidFill>
          </w14:textFill>
        </w:rPr>
        <w:t>一、项目基本情况</w:t>
      </w:r>
      <w:bookmarkEnd w:id="3"/>
      <w:bookmarkEnd w:id="4"/>
      <w:bookmarkEnd w:id="5"/>
      <w:bookmarkEnd w:id="6"/>
    </w:p>
    <w:p w14:paraId="7D79BE8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lang w:eastAsia="zh-CN"/>
          <w14:textFill>
            <w14:solidFill>
              <w14:schemeClr w14:val="tx1"/>
            </w14:solidFill>
          </w14:textFill>
        </w:rPr>
        <w:t>NBMC-20262059G磋</w:t>
      </w:r>
    </w:p>
    <w:p w14:paraId="13AB552A">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知识产权综合体运营服务项目</w:t>
      </w:r>
    </w:p>
    <w:p w14:paraId="11769B6E">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采购方式：竞争性磋商</w:t>
      </w:r>
    </w:p>
    <w:p w14:paraId="24EF7430">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预算金额（元）：</w:t>
      </w:r>
      <w:r>
        <w:rPr>
          <w:rFonts w:hint="eastAsia" w:ascii="宋体" w:hAnsi="宋体" w:eastAsia="宋体" w:cs="宋体"/>
          <w:color w:val="000000" w:themeColor="text1"/>
          <w:szCs w:val="21"/>
          <w:highlight w:val="none"/>
          <w:lang w:val="en-US" w:eastAsia="zh-CN" w:bidi="ar"/>
          <w14:textFill>
            <w14:solidFill>
              <w14:schemeClr w14:val="tx1"/>
            </w14:solidFill>
          </w14:textFill>
        </w:rPr>
        <w:t>1030000.00</w:t>
      </w:r>
    </w:p>
    <w:p w14:paraId="494158B8">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最高限价（元）：</w:t>
      </w:r>
      <w:r>
        <w:rPr>
          <w:rFonts w:hint="eastAsia" w:ascii="宋体" w:hAnsi="宋体" w:eastAsia="宋体" w:cs="宋体"/>
          <w:color w:val="000000" w:themeColor="text1"/>
          <w:szCs w:val="21"/>
          <w:highlight w:val="none"/>
          <w:lang w:val="en-US" w:eastAsia="zh-CN" w:bidi="ar"/>
          <w14:textFill>
            <w14:solidFill>
              <w14:schemeClr w14:val="tx1"/>
            </w14:solidFill>
          </w14:textFill>
        </w:rPr>
        <w:t>1030000.00</w:t>
      </w:r>
    </w:p>
    <w:p w14:paraId="3942A49A">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w:t>
      </w:r>
    </w:p>
    <w:p w14:paraId="577CE41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标项名称：</w:t>
      </w:r>
      <w:r>
        <w:rPr>
          <w:rFonts w:hint="eastAsia" w:ascii="宋体" w:hAnsi="宋体" w:eastAsia="宋体" w:cs="宋体"/>
          <w:color w:val="000000" w:themeColor="text1"/>
          <w:szCs w:val="21"/>
          <w:highlight w:val="none"/>
          <w:lang w:eastAsia="zh-CN"/>
          <w14:textFill>
            <w14:solidFill>
              <w14:schemeClr w14:val="tx1"/>
            </w14:solidFill>
          </w14:textFill>
        </w:rPr>
        <w:t>知识产权综合体运营服务项目</w:t>
      </w:r>
    </w:p>
    <w:p w14:paraId="66E5C0B2">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数量：1</w:t>
      </w:r>
    </w:p>
    <w:p w14:paraId="5826AB77">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预算金额（元）：</w:t>
      </w:r>
      <w:r>
        <w:rPr>
          <w:rFonts w:hint="eastAsia" w:ascii="宋体" w:hAnsi="宋体" w:eastAsia="宋体" w:cs="宋体"/>
          <w:color w:val="000000" w:themeColor="text1"/>
          <w:szCs w:val="21"/>
          <w:highlight w:val="none"/>
          <w:lang w:val="en-US" w:eastAsia="zh-CN" w:bidi="ar"/>
          <w14:textFill>
            <w14:solidFill>
              <w14:schemeClr w14:val="tx1"/>
            </w14:solidFill>
          </w14:textFill>
        </w:rPr>
        <w:t>1030000.00</w:t>
      </w:r>
    </w:p>
    <w:p w14:paraId="65E2FD2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单位：项</w:t>
      </w:r>
    </w:p>
    <w:p w14:paraId="2AFBCA51">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简要规格描述：</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lang w:bidi="ar"/>
          <w14:textFill>
            <w14:solidFill>
              <w14:schemeClr w14:val="tx1"/>
            </w14:solidFill>
          </w14:textFill>
        </w:rPr>
        <w:t>知识产权综合体运营服务</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具体详见“第二章  采购需求”</w:t>
      </w:r>
      <w:r>
        <w:rPr>
          <w:rFonts w:hint="eastAsia" w:ascii="宋体" w:hAnsi="宋体" w:eastAsia="宋体" w:cs="宋体"/>
          <w:color w:val="000000" w:themeColor="text1"/>
          <w:highlight w:val="none"/>
          <w14:textFill>
            <w14:solidFill>
              <w14:schemeClr w14:val="tx1"/>
            </w14:solidFill>
          </w14:textFill>
        </w:rPr>
        <w:t>。</w:t>
      </w:r>
    </w:p>
    <w:p w14:paraId="31AC6A33">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1BE94D91">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合同履约期限：标项1，合同签订生效之日起三年，服务合同一年一签，采购人根据供应商上年度合同履约、项目资金审批等情况决定是否续签合同。</w:t>
      </w:r>
    </w:p>
    <w:p w14:paraId="4D005EF8">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7" w:name="_Toc35393630"/>
      <w:bookmarkStart w:id="8" w:name="_Toc28359090"/>
      <w:bookmarkStart w:id="9" w:name="_Toc35393799"/>
      <w:bookmarkStart w:id="10" w:name="_Toc28359013"/>
      <w:r>
        <w:rPr>
          <w:rFonts w:hint="eastAsia" w:ascii="宋体" w:hAnsi="宋体" w:eastAsia="宋体" w:cs="宋体"/>
          <w:color w:val="000000" w:themeColor="text1"/>
          <w:szCs w:val="21"/>
          <w:highlight w:val="none"/>
          <w14:textFill>
            <w14:solidFill>
              <w14:schemeClr w14:val="tx1"/>
            </w14:solidFill>
          </w14:textFill>
        </w:rPr>
        <w:t>本项目（否）接受联合体参加磋商。</w:t>
      </w:r>
    </w:p>
    <w:p w14:paraId="47DC4C14">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二、申请人的资格要求：</w:t>
      </w:r>
      <w:bookmarkEnd w:id="7"/>
      <w:bookmarkEnd w:id="8"/>
      <w:bookmarkEnd w:id="9"/>
      <w:bookmarkEnd w:id="10"/>
    </w:p>
    <w:p w14:paraId="6E4EE322">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第一款规定；未被“信用中国”（www.creditchina.gov.cn)、中国政府采购网（www.ccgp.gov.cn）列入失信被执行人、重大税收违法失信主体、政府采购严重违法失信行为记录名单。</w:t>
      </w:r>
    </w:p>
    <w:p w14:paraId="57CD2F07">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2.单位负责人为同一人或者存在直接控股、管理关系的不同供应商，不得同时参加本项目的政府采购活动。</w:t>
      </w:r>
    </w:p>
    <w:p w14:paraId="7304FC2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3.为本项目提供整体设计、规范编制或者项目管理、监理、检测等服务的供应商，不得再参加本项目的磋商。</w:t>
      </w:r>
    </w:p>
    <w:p w14:paraId="18AA22B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b/>
          <w:color w:val="000000" w:themeColor="text1"/>
          <w:szCs w:val="21"/>
          <w:highlight w:val="none"/>
          <w14:textFill>
            <w14:solidFill>
              <w14:schemeClr w14:val="tx1"/>
            </w14:solidFill>
          </w14:textFill>
        </w:rPr>
      </w:pPr>
      <w:bookmarkStart w:id="11" w:name="_Toc28359014"/>
      <w:bookmarkStart w:id="12" w:name="_Toc28359091"/>
      <w:r>
        <w:rPr>
          <w:rFonts w:hint="eastAsia" w:ascii="宋体" w:hAnsi="宋体" w:eastAsia="宋体" w:cs="宋体"/>
          <w:color w:val="000000" w:themeColor="text1"/>
          <w:szCs w:val="21"/>
          <w:highlight w:val="none"/>
          <w14:textFill>
            <w14:solidFill>
              <w14:schemeClr w14:val="tx1"/>
            </w14:solidFill>
          </w14:textFill>
        </w:rPr>
        <w:t>4.落实政府采购政策需满足的资格要求：</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09253142">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5.本项目的特定资格要求：</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1FEFE009">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bookmarkStart w:id="13" w:name="_Toc35393800"/>
      <w:bookmarkStart w:id="14" w:name="_Toc35393631"/>
      <w:r>
        <w:rPr>
          <w:rFonts w:hint="eastAsia" w:ascii="宋体" w:hAnsi="宋体" w:eastAsia="宋体" w:cs="宋体"/>
          <w:b/>
          <w:bCs/>
          <w:color w:val="000000" w:themeColor="text1"/>
          <w:szCs w:val="21"/>
          <w:highlight w:val="none"/>
          <w14:textFill>
            <w14:solidFill>
              <w14:schemeClr w14:val="tx1"/>
            </w14:solidFill>
          </w14:textFill>
        </w:rPr>
        <w:t>三、获取</w:t>
      </w:r>
      <w:bookmarkEnd w:id="11"/>
      <w:bookmarkEnd w:id="12"/>
      <w:bookmarkEnd w:id="13"/>
      <w:bookmarkEnd w:id="14"/>
      <w:r>
        <w:rPr>
          <w:rFonts w:hint="eastAsia" w:ascii="宋体" w:hAnsi="宋体" w:eastAsia="宋体" w:cs="宋体"/>
          <w:b/>
          <w:bCs/>
          <w:color w:val="000000" w:themeColor="text1"/>
          <w:szCs w:val="21"/>
          <w:highlight w:val="none"/>
          <w14:textFill>
            <w14:solidFill>
              <w14:schemeClr w14:val="tx1"/>
            </w14:solidFill>
          </w14:textFill>
        </w:rPr>
        <w:t>（下载）采购文件</w:t>
      </w:r>
    </w:p>
    <w:p w14:paraId="739C6441">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color w:val="000000" w:themeColor="text1"/>
          <w:szCs w:val="21"/>
          <w:highlight w:val="none"/>
          <w:u w:val="single"/>
          <w:lang w:bidi="ar"/>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6</w:t>
      </w:r>
      <w:r>
        <w:rPr>
          <w:rFonts w:hint="eastAsia" w:ascii="宋体" w:hAnsi="宋体" w:eastAsia="宋体" w:cs="宋体"/>
          <w:color w:val="000000" w:themeColor="text1"/>
          <w:szCs w:val="21"/>
          <w:highlight w:val="none"/>
          <w:u w:val="single"/>
          <w:lang w:bidi="ar"/>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4</w:t>
      </w:r>
      <w:r>
        <w:rPr>
          <w:rFonts w:hint="eastAsia" w:ascii="宋体" w:hAnsi="宋体" w:eastAsia="宋体" w:cs="宋体"/>
          <w:color w:val="000000" w:themeColor="text1"/>
          <w:szCs w:val="21"/>
          <w:highlight w:val="none"/>
          <w:u w:val="single"/>
          <w:lang w:bidi="ar"/>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14</w:t>
      </w:r>
      <w:r>
        <w:rPr>
          <w:rFonts w:hint="eastAsia" w:ascii="宋体" w:hAnsi="宋体" w:eastAsia="宋体" w:cs="宋体"/>
          <w:color w:val="000000" w:themeColor="text1"/>
          <w:szCs w:val="21"/>
          <w:highlight w:val="none"/>
          <w:u w:val="single"/>
          <w:lang w:bidi="ar"/>
          <w14:textFill>
            <w14:solidFill>
              <w14:schemeClr w14:val="tx1"/>
            </w14:solidFill>
          </w14:textFill>
        </w:rPr>
        <w:t>日至202</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6</w:t>
      </w:r>
      <w:r>
        <w:rPr>
          <w:rFonts w:hint="eastAsia" w:ascii="宋体" w:hAnsi="宋体" w:eastAsia="宋体" w:cs="宋体"/>
          <w:color w:val="000000" w:themeColor="text1"/>
          <w:szCs w:val="21"/>
          <w:highlight w:val="none"/>
          <w:u w:val="single"/>
          <w:lang w:bidi="ar"/>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4</w:t>
      </w:r>
      <w:r>
        <w:rPr>
          <w:rFonts w:hint="eastAsia" w:ascii="宋体" w:hAnsi="宋体" w:eastAsia="宋体" w:cs="宋体"/>
          <w:color w:val="000000" w:themeColor="text1"/>
          <w:szCs w:val="21"/>
          <w:highlight w:val="none"/>
          <w:u w:val="single"/>
          <w:lang w:bidi="ar"/>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21</w:t>
      </w:r>
      <w:r>
        <w:rPr>
          <w:rFonts w:hint="eastAsia" w:ascii="宋体" w:hAnsi="宋体" w:eastAsia="宋体" w:cs="宋体"/>
          <w:color w:val="000000" w:themeColor="text1"/>
          <w:szCs w:val="21"/>
          <w:highlight w:val="none"/>
          <w:u w:val="single"/>
          <w:lang w:bidi="ar"/>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，每天上午00:00至12:00，下午12:00至23:59（北京时间，线上获取法定节假日均可，线下获取文件法定节假日除外）</w:t>
      </w:r>
    </w:p>
    <w:p w14:paraId="368D62C1">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地点（网址）：政采云平台（https://www.zcygov.cn）</w:t>
      </w:r>
    </w:p>
    <w:p w14:paraId="67AEB70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14:paraId="05A862C0">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15" w:name="_Toc35393801"/>
      <w:bookmarkStart w:id="16" w:name="_Toc35393632"/>
      <w:bookmarkStart w:id="17" w:name="_Toc28359092"/>
      <w:bookmarkStart w:id="18" w:name="_Toc28359015"/>
      <w:r>
        <w:rPr>
          <w:rFonts w:hint="eastAsia" w:ascii="宋体" w:hAnsi="宋体" w:eastAsia="宋体" w:cs="宋体"/>
          <w:color w:val="000000" w:themeColor="text1"/>
          <w:szCs w:val="21"/>
          <w:highlight w:val="none"/>
          <w14:textFill>
            <w14:solidFill>
              <w14:schemeClr w14:val="tx1"/>
            </w14:solidFill>
          </w14:textFill>
        </w:rPr>
        <w:t>售价（元）：0</w:t>
      </w:r>
    </w:p>
    <w:p w14:paraId="1A2CDCA3">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四、响应文件提交</w:t>
      </w:r>
      <w:bookmarkEnd w:id="15"/>
      <w:bookmarkEnd w:id="16"/>
      <w:bookmarkEnd w:id="17"/>
      <w:bookmarkEnd w:id="18"/>
      <w:r>
        <w:rPr>
          <w:rFonts w:hint="eastAsia" w:ascii="宋体" w:hAnsi="宋体" w:eastAsia="宋体" w:cs="宋体"/>
          <w:b/>
          <w:bCs/>
          <w:color w:val="000000" w:themeColor="text1"/>
          <w:szCs w:val="21"/>
          <w:highlight w:val="none"/>
          <w14:textFill>
            <w14:solidFill>
              <w14:schemeClr w14:val="tx1"/>
            </w14:solidFill>
          </w14:textFill>
        </w:rPr>
        <w:t>（上传）</w:t>
      </w:r>
    </w:p>
    <w:p w14:paraId="3B6DDEF9">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0（北京时间）</w:t>
      </w:r>
    </w:p>
    <w:p w14:paraId="14D851B7">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w:t>
      </w:r>
      <w:r>
        <w:rPr>
          <w:rFonts w:hint="eastAsia" w:ascii="宋体" w:hAnsi="宋体" w:eastAsia="宋体" w:cs="宋体"/>
          <w:color w:val="000000" w:themeColor="text1"/>
          <w:szCs w:val="21"/>
          <w:highlight w:val="none"/>
          <w:u w:val="single"/>
          <w14:textFill>
            <w14:solidFill>
              <w14:schemeClr w14:val="tx1"/>
            </w14:solidFill>
          </w14:textFill>
        </w:rPr>
        <w:t>政采云平台（https://www.zcygov.cn）</w:t>
      </w:r>
    </w:p>
    <w:p w14:paraId="34E829E1">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bookmarkStart w:id="19" w:name="_Toc35393802"/>
      <w:bookmarkStart w:id="20" w:name="_Toc28359093"/>
      <w:bookmarkStart w:id="21" w:name="_Toc35393633"/>
      <w:bookmarkStart w:id="22" w:name="_Toc28359016"/>
      <w:r>
        <w:rPr>
          <w:rFonts w:hint="eastAsia" w:ascii="宋体" w:hAnsi="宋体" w:eastAsia="宋体" w:cs="宋体"/>
          <w:b/>
          <w:bCs/>
          <w:color w:val="000000" w:themeColor="text1"/>
          <w:szCs w:val="21"/>
          <w:highlight w:val="none"/>
          <w14:textFill>
            <w14:solidFill>
              <w14:schemeClr w14:val="tx1"/>
            </w14:solidFill>
          </w14:textFill>
        </w:rPr>
        <w:t>五、响应文件开启</w:t>
      </w:r>
      <w:bookmarkEnd w:id="19"/>
      <w:bookmarkEnd w:id="20"/>
      <w:bookmarkEnd w:id="21"/>
      <w:bookmarkEnd w:id="22"/>
    </w:p>
    <w:p w14:paraId="0FA531B7">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bookmarkStart w:id="23" w:name="_Toc28359094"/>
      <w:bookmarkStart w:id="24" w:name="_Toc28359017"/>
      <w:bookmarkStart w:id="25" w:name="_Toc35393803"/>
      <w:bookmarkStart w:id="26" w:name="_Toc35393634"/>
      <w:r>
        <w:rPr>
          <w:rFonts w:hint="eastAsia" w:ascii="宋体" w:hAnsi="宋体" w:eastAsia="宋体" w:cs="宋体"/>
          <w:color w:val="000000" w:themeColor="text1"/>
          <w:szCs w:val="21"/>
          <w:highlight w:val="none"/>
          <w14:textFill>
            <w14:solidFill>
              <w14:schemeClr w14:val="tx1"/>
            </w14:solidFill>
          </w14:textFill>
        </w:rPr>
        <w:t>开启时间：202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0（北京时间）</w:t>
      </w:r>
    </w:p>
    <w:p w14:paraId="7784EF06">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w:t>
      </w:r>
      <w:r>
        <w:rPr>
          <w:rFonts w:hint="eastAsia" w:ascii="宋体" w:hAnsi="宋体" w:eastAsia="宋体" w:cs="宋体"/>
          <w:color w:val="000000" w:themeColor="text1"/>
          <w:szCs w:val="21"/>
          <w:highlight w:val="none"/>
          <w:u w:val="single"/>
          <w14:textFill>
            <w14:solidFill>
              <w14:schemeClr w14:val="tx1"/>
            </w14:solidFill>
          </w14:textFill>
        </w:rPr>
        <w:t>政采云平台（https://www.zcygov.cn）</w:t>
      </w:r>
    </w:p>
    <w:p w14:paraId="0119A6A6">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六、公告期限</w:t>
      </w:r>
      <w:bookmarkEnd w:id="23"/>
      <w:bookmarkEnd w:id="24"/>
      <w:bookmarkEnd w:id="25"/>
      <w:bookmarkEnd w:id="26"/>
    </w:p>
    <w:p w14:paraId="09EAB8D3">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自本公告发布之日起3个工作日。</w:t>
      </w:r>
    </w:p>
    <w:p w14:paraId="6C5DC4F5">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bookmarkStart w:id="27" w:name="_Toc35393635"/>
      <w:bookmarkStart w:id="28" w:name="_Toc35393804"/>
      <w:r>
        <w:rPr>
          <w:rFonts w:hint="eastAsia" w:ascii="宋体" w:hAnsi="宋体" w:eastAsia="宋体" w:cs="宋体"/>
          <w:b/>
          <w:bCs/>
          <w:color w:val="000000" w:themeColor="text1"/>
          <w:szCs w:val="21"/>
          <w:highlight w:val="none"/>
          <w14:textFill>
            <w14:solidFill>
              <w14:schemeClr w14:val="tx1"/>
            </w14:solidFill>
          </w14:textFill>
        </w:rPr>
        <w:t>七、其他补充事宜</w:t>
      </w:r>
      <w:bookmarkEnd w:id="27"/>
      <w:bookmarkEnd w:id="28"/>
    </w:p>
    <w:p w14:paraId="7CA59338">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51681D84">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2.其他事项：</w:t>
      </w:r>
    </w:p>
    <w:p w14:paraId="67A302CF">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为依法获取本项目磋商文件及响应，潜在供应商应当按照《浙江省政府采购供应商注册及诚信管理暂行办法》的规定在“浙江政府采购网(http://zfcg.czt.zj.gov.cn/)”政采云平台注册登记,成交供应商必须在采购人支付合同款前成为注册供应商。</w:t>
      </w:r>
    </w:p>
    <w:p w14:paraId="311A1E05">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依据《浙江省政府采购项目电子交易管理暂行办法》采用电子交易方式实施采购，电子交易平台为政采云平台(https：//www.zcygov.cn）。潜在供应商在参与本项目磋商响应前应当完成政采云平台的账号注册、身份认证（CA数字证书申领）、“政采云电子交易客户端”下载安装。</w:t>
      </w:r>
    </w:p>
    <w:p w14:paraId="5003B5BB">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（3）本项目采购文件实行“政府采购云平台”在线获取，不提供采购文件纸质版。</w:t>
      </w:r>
    </w:p>
    <w:p w14:paraId="286C9A84">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采购公告附件内的采购文件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74EA35C8">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注：供应商应按要求获取采购文件，如未在“政采云”系统内完成相关流程而引起后果自负。</w:t>
      </w:r>
    </w:p>
    <w:p w14:paraId="1BB682E4">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（5）供应商如提供备份响应文件的，应于提交响应文件截止时间前，将以U盘存储的电子备份响应文件按照磋商文件的规定密封、标注并盖章后，递交至</w:t>
      </w:r>
      <w:r>
        <w:rPr>
          <w:rFonts w:hint="eastAsia" w:ascii="宋体" w:hAnsi="宋体" w:eastAsia="宋体" w:cs="宋体"/>
          <w:b/>
          <w:color w:val="000000" w:themeColor="text1"/>
          <w:szCs w:val="21"/>
          <w:highlight w:val="none"/>
          <w:lang w:bidi="ar"/>
          <w14:textFill>
            <w14:solidFill>
              <w14:schemeClr w14:val="tx1"/>
            </w14:solidFill>
          </w14:textFill>
        </w:rPr>
        <w:t>宁波市海曙区江汇城496号姚江时代14幢3楼</w:t>
      </w:r>
      <w:r>
        <w:rPr>
          <w:rFonts w:hint="eastAsia" w:ascii="宋体" w:hAnsi="宋体" w:eastAsia="宋体" w:cs="宋体"/>
          <w:color w:val="000000" w:themeColor="text1"/>
          <w:szCs w:val="21"/>
          <w:highlight w:val="none"/>
          <w14:textFill>
            <w14:solidFill>
              <w14:schemeClr w14:val="tx1"/>
            </w14:solidFill>
          </w14:textFill>
        </w:rPr>
        <w:t>，逾期送达或未按照规定密封包装的，采购代理机构有权拒绝接收。</w:t>
      </w:r>
    </w:p>
    <w:p w14:paraId="151F8AC5">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（6）本项目采购过程中的磋商文件更正等通知事项将以网上公告的方式通知，潜在供应商有义务在响应截止时间前每日不定时浏览本项目公告发布网站以便获取相关通知信息。</w:t>
      </w:r>
    </w:p>
    <w:p w14:paraId="64BB9266">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本次政府采购活动有关信息在宁波政府采购网、浙江政府采购网公布，视同送达所有潜在供应商。</w:t>
      </w:r>
    </w:p>
    <w:p w14:paraId="7828486F">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（7）落实政府采购政策：</w:t>
      </w:r>
      <w:r>
        <w:rPr>
          <w:rFonts w:hint="eastAsia" w:ascii="宋体" w:hAnsi="宋体" w:eastAsia="宋体" w:cs="宋体"/>
          <w:b w:val="0"/>
          <w:bCs w:val="0"/>
          <w:color w:val="000000" w:themeColor="text1"/>
          <w:szCs w:val="21"/>
          <w:highlight w:val="none"/>
          <w14:textFill>
            <w14:solidFill>
              <w14:schemeClr w14:val="tx1"/>
            </w14:solidFill>
          </w14:textFill>
        </w:rPr>
        <w:t>本项目不专门面向中小企业采购，</w:t>
      </w:r>
      <w:r>
        <w:rPr>
          <w:rFonts w:hint="eastAsia" w:ascii="宋体" w:hAnsi="宋体" w:eastAsia="宋体" w:cs="宋体"/>
          <w:b w:val="0"/>
          <w:bCs w:val="0"/>
          <w:color w:val="000000" w:themeColor="text1"/>
          <w:szCs w:val="21"/>
          <w:highlight w:val="none"/>
          <w:u w:val="single"/>
          <w:lang w:bidi="ar"/>
          <w14:textFill>
            <w14:solidFill>
              <w14:schemeClr w14:val="tx1"/>
            </w14:solidFill>
          </w14:textFill>
        </w:rPr>
        <w:t>对符合财政扶持政策的中小企业、监狱企业、残疾人福利性单位给予价格优惠</w:t>
      </w:r>
      <w:r>
        <w:rPr>
          <w:rFonts w:hint="eastAsia" w:ascii="宋体" w:hAnsi="宋体" w:eastAsia="宋体" w:cs="宋体"/>
          <w:b w:val="0"/>
          <w:bCs w:val="0"/>
          <w:color w:val="000000" w:themeColor="text1"/>
          <w:highlight w:val="none"/>
          <w14:textFill>
            <w14:solidFill>
              <w14:schemeClr w14:val="tx1"/>
            </w14:solidFill>
          </w14:textFill>
        </w:rPr>
        <w:t>。</w:t>
      </w:r>
    </w:p>
    <w:p w14:paraId="1F2EE78F">
      <w:pPr>
        <w:pageBreakBefore w:val="0"/>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szCs w:val="21"/>
          <w:highlight w:val="none"/>
          <w14:textFill>
            <w14:solidFill>
              <w14:schemeClr w14:val="tx1"/>
            </w14:solidFill>
          </w14:textFill>
        </w:rPr>
      </w:pPr>
      <w:bookmarkStart w:id="29" w:name="_Toc28359095"/>
      <w:bookmarkStart w:id="30" w:name="_Toc35393636"/>
      <w:bookmarkStart w:id="31" w:name="_Toc35393805"/>
      <w:bookmarkStart w:id="32" w:name="_Toc28359018"/>
      <w:r>
        <w:rPr>
          <w:rFonts w:hint="eastAsia" w:ascii="宋体" w:hAnsi="宋体" w:eastAsia="宋体" w:cs="宋体"/>
          <w:b/>
          <w:bCs/>
          <w:color w:val="000000" w:themeColor="text1"/>
          <w:szCs w:val="21"/>
          <w:highlight w:val="none"/>
          <w14:textFill>
            <w14:solidFill>
              <w14:schemeClr w14:val="tx1"/>
            </w14:solidFill>
          </w14:textFill>
        </w:rPr>
        <w:t>八、凡对本次采购提出询问、质疑、投诉，请按以下方式联系</w:t>
      </w:r>
      <w:bookmarkEnd w:id="29"/>
      <w:bookmarkEnd w:id="30"/>
      <w:bookmarkEnd w:id="31"/>
      <w:bookmarkEnd w:id="32"/>
    </w:p>
    <w:p w14:paraId="12B0D7B1">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bookmarkStart w:id="33" w:name="_Toc28359096"/>
      <w:bookmarkStart w:id="34" w:name="_Toc28359019"/>
      <w:bookmarkStart w:id="35" w:name="_Toc35393637"/>
      <w:bookmarkStart w:id="36" w:name="_Toc35393806"/>
      <w:r>
        <w:rPr>
          <w:rFonts w:hint="eastAsia" w:ascii="宋体" w:hAnsi="宋体" w:eastAsia="宋体" w:cs="宋体"/>
          <w:color w:val="000000" w:themeColor="text1"/>
          <w:szCs w:val="21"/>
          <w:highlight w:val="none"/>
          <w14:textFill>
            <w14:solidFill>
              <w14:schemeClr w14:val="tx1"/>
            </w14:solidFill>
          </w14:textFill>
        </w:rPr>
        <w:t>1.采购人信息</w:t>
      </w:r>
      <w:bookmarkEnd w:id="33"/>
      <w:bookmarkEnd w:id="34"/>
      <w:bookmarkEnd w:id="35"/>
      <w:bookmarkEnd w:id="36"/>
    </w:p>
    <w:p w14:paraId="038073DA">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宁波知识产权保护中心</w:t>
      </w:r>
    </w:p>
    <w:p w14:paraId="2C76951E">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bookmarkStart w:id="37" w:name="_Toc35393807"/>
      <w:bookmarkStart w:id="38" w:name="_Toc28359097"/>
      <w:bookmarkStart w:id="39" w:name="_Toc35393638"/>
      <w:bookmarkStart w:id="40" w:name="_Toc28359020"/>
      <w:r>
        <w:rPr>
          <w:rFonts w:hint="eastAsia" w:ascii="宋体" w:hAnsi="宋体" w:eastAsia="宋体" w:cs="宋体"/>
          <w:color w:val="000000" w:themeColor="text1"/>
          <w:szCs w:val="21"/>
          <w:highlight w:val="none"/>
          <w14:textFill>
            <w14:solidFill>
              <w14:schemeClr w14:val="tx1"/>
            </w14:solidFill>
          </w14:textFill>
        </w:rPr>
        <w:t>宁波市高新区甬江大道2660号新材料（国际）创新中心A区A5幢4楼</w:t>
      </w:r>
    </w:p>
    <w:p w14:paraId="44BB4C47">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项目联系人（询问）：施老师</w:t>
      </w:r>
    </w:p>
    <w:p w14:paraId="52F1DAB1">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项目联系方式（询问）：</w:t>
      </w:r>
      <w:r>
        <w:rPr>
          <w:rFonts w:hint="eastAsia" w:ascii="宋体" w:hAnsi="宋体" w:eastAsia="宋体" w:cs="宋体"/>
          <w:color w:val="000000" w:themeColor="text1"/>
          <w:szCs w:val="21"/>
          <w:highlight w:val="none"/>
          <w:lang w:val="en-US" w:eastAsia="zh-CN"/>
          <w14:textFill>
            <w14:solidFill>
              <w14:schemeClr w14:val="tx1"/>
            </w14:solidFill>
          </w14:textFill>
        </w:rPr>
        <w:t>0574-87978968</w:t>
      </w:r>
    </w:p>
    <w:p w14:paraId="4359B521">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质疑联系人：董老师</w:t>
      </w:r>
    </w:p>
    <w:p w14:paraId="0EC25F45">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质疑联系方式：</w:t>
      </w:r>
      <w:r>
        <w:rPr>
          <w:rFonts w:hint="eastAsia" w:ascii="宋体" w:hAnsi="宋体" w:eastAsia="宋体" w:cs="宋体"/>
          <w:color w:val="000000" w:themeColor="text1"/>
          <w:szCs w:val="21"/>
          <w:highlight w:val="none"/>
          <w:lang w:val="en-US" w:eastAsia="zh-CN"/>
          <w14:textFill>
            <w14:solidFill>
              <w14:schemeClr w14:val="tx1"/>
            </w14:solidFill>
          </w14:textFill>
        </w:rPr>
        <w:t>0574-87978958</w:t>
      </w:r>
    </w:p>
    <w:p w14:paraId="1E5ED930">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bookmarkEnd w:id="37"/>
      <w:bookmarkEnd w:id="38"/>
      <w:bookmarkEnd w:id="39"/>
      <w:bookmarkEnd w:id="40"/>
    </w:p>
    <w:p w14:paraId="78A05123">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bookmarkStart w:id="41" w:name="_Toc35393639"/>
      <w:bookmarkStart w:id="42" w:name="_Toc28359021"/>
      <w:bookmarkStart w:id="43" w:name="_Toc35393808"/>
      <w:bookmarkStart w:id="44" w:name="_Toc28359098"/>
      <w:r>
        <w:rPr>
          <w:rFonts w:hint="eastAsia" w:ascii="宋体" w:hAnsi="宋体" w:eastAsia="宋体" w:cs="宋体"/>
          <w:color w:val="000000" w:themeColor="text1"/>
          <w:szCs w:val="21"/>
          <w:highlight w:val="none"/>
          <w14:textFill>
            <w14:solidFill>
              <w14:schemeClr w14:val="tx1"/>
            </w14:solidFill>
          </w14:textFill>
        </w:rPr>
        <w:t>名称：宁波名诚招标代理有限公司</w:t>
      </w:r>
    </w:p>
    <w:p w14:paraId="72F1E20A">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地址：宁波市海曙区江汇城496号姚江时代14幢3楼</w:t>
      </w:r>
    </w:p>
    <w:p w14:paraId="148D62BF">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项目联系人（询问）：金生华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王立挺、何晟昊、江森杰、王裕挺</w:t>
      </w:r>
    </w:p>
    <w:p w14:paraId="46A680F8">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项目联系方式（询问）：0574-</w:t>
      </w:r>
      <w:r>
        <w:rPr>
          <w:rFonts w:hint="eastAsia" w:ascii="宋体" w:hAnsi="宋体" w:eastAsia="宋体" w:cs="宋体"/>
          <w:color w:val="000000" w:themeColor="text1"/>
          <w:szCs w:val="21"/>
          <w:highlight w:val="none"/>
          <w:lang w:val="en-US" w:eastAsia="zh-CN"/>
          <w14:textFill>
            <w14:solidFill>
              <w14:schemeClr w14:val="tx1"/>
            </w14:solidFill>
          </w14:textFill>
        </w:rPr>
        <w:t>87626182</w:t>
      </w:r>
    </w:p>
    <w:p w14:paraId="51F7023B">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质疑联系人：方芳</w:t>
      </w:r>
    </w:p>
    <w:p w14:paraId="5CDCE48B">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质疑联系方式：0574-87101271</w:t>
      </w:r>
    </w:p>
    <w:bookmarkEnd w:id="41"/>
    <w:bookmarkEnd w:id="42"/>
    <w:bookmarkEnd w:id="43"/>
    <w:bookmarkEnd w:id="44"/>
    <w:p w14:paraId="5EF1AD8D">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3.同级政府采购监督管理部门</w:t>
      </w:r>
    </w:p>
    <w:p w14:paraId="7C8090C5">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名称：宁波市财政局政府采购监管处</w:t>
      </w:r>
    </w:p>
    <w:p w14:paraId="06172CF3">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地址：宁波市海曙区中山西路19号</w:t>
      </w:r>
    </w:p>
    <w:p w14:paraId="4CC20460">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联系人：张老师</w:t>
      </w:r>
    </w:p>
    <w:p w14:paraId="77016C57">
      <w:pPr>
        <w:snapToGrid w:val="0"/>
        <w:spacing w:after="0" w:line="360" w:lineRule="auto"/>
        <w:ind w:firstLine="411" w:firstLineChars="1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监督投诉电话：0574-89388399</w:t>
      </w:r>
    </w:p>
    <w:p w14:paraId="422DB5E2">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p>
    <w:p w14:paraId="071E1286">
      <w:pPr>
        <w:pageBreakBefore w:val="0"/>
        <w:shd w:val="clear"/>
        <w:kinsoku/>
        <w:wordWrap/>
        <w:overflowPunct/>
        <w:topLinePunct w:val="0"/>
        <w:bidi w:val="0"/>
        <w:snapToGrid w:val="0"/>
        <w:spacing w:line="360" w:lineRule="auto"/>
        <w:ind w:left="0" w:leftChars="0" w:right="0" w:rightChars="0" w:firstLine="411" w:firstLineChars="196"/>
        <w:jc w:val="left"/>
        <w:rPr>
          <w:rFonts w:hint="eastAsia" w:ascii="宋体" w:hAnsi="宋体" w:eastAsia="宋体" w:cs="宋体"/>
          <w:color w:val="000000" w:themeColor="text1"/>
          <w:szCs w:val="21"/>
          <w:highlight w:val="none"/>
          <w14:textFill>
            <w14:solidFill>
              <w14:schemeClr w14:val="tx1"/>
            </w14:solidFill>
          </w14:textFill>
        </w:rPr>
      </w:pPr>
    </w:p>
    <w:p w14:paraId="013868D5">
      <w:pPr>
        <w:pageBreakBefore w:val="0"/>
        <w:shd w:val="clear"/>
        <w:kinsoku/>
        <w:wordWrap/>
        <w:overflowPunct/>
        <w:topLinePunct w:val="0"/>
        <w:bidi w:val="0"/>
        <w:snapToGrid w:val="0"/>
        <w:spacing w:line="360" w:lineRule="auto"/>
        <w:ind w:left="0" w:leftChars="0" w:right="0" w:rightChars="0" w:firstLine="413" w:firstLineChars="196"/>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59E57981">
      <w:pPr>
        <w:pageBreakBefore w:val="0"/>
        <w:shd w:val="clear"/>
        <w:kinsoku/>
        <w:wordWrap/>
        <w:overflowPunct/>
        <w:topLinePunct w:val="0"/>
        <w:bidi w:val="0"/>
        <w:snapToGrid w:val="0"/>
        <w:spacing w:line="360" w:lineRule="auto"/>
        <w:ind w:left="0" w:leftChars="0" w:right="0" w:rightChars="0" w:firstLine="413" w:firstLineChars="196"/>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CA问题联系电话（人工）：汇信CA 400-888-4636；天谷CA 400-087-8198。</w:t>
      </w:r>
    </w:p>
    <w:p w14:paraId="08387667">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05460BE7">
      <w:pPr>
        <w:pStyle w:val="4"/>
        <w:pageBreakBefore w:val="0"/>
        <w:shd w:val="clear"/>
        <w:kinsoku/>
        <w:wordWrap/>
        <w:overflowPunct/>
        <w:topLinePunct w:val="0"/>
        <w:bidi w:val="0"/>
        <w:spacing w:before="0" w:after="0" w:line="360" w:lineRule="auto"/>
        <w:ind w:left="0" w:leftChars="0" w:right="0" w:rightChars="0" w:firstLine="330"/>
        <w:rPr>
          <w:rFonts w:hint="eastAsia" w:ascii="宋体" w:hAnsi="宋体" w:eastAsia="宋体" w:cs="宋体"/>
          <w:color w:val="000000" w:themeColor="text1"/>
          <w:sz w:val="32"/>
          <w:highlight w:val="none"/>
          <w14:textFill>
            <w14:solidFill>
              <w14:schemeClr w14:val="tx1"/>
            </w14:solidFill>
          </w14:textFill>
        </w:rPr>
      </w:pPr>
      <w:bookmarkStart w:id="45" w:name="_Toc34844742"/>
      <w:bookmarkStart w:id="46" w:name="_Toc18522"/>
      <w:bookmarkStart w:id="47" w:name="_Toc9190"/>
      <w:r>
        <w:rPr>
          <w:rFonts w:hint="eastAsia" w:ascii="宋体" w:hAnsi="宋体" w:eastAsia="宋体" w:cs="宋体"/>
          <w:color w:val="000000" w:themeColor="text1"/>
          <w:highlight w:val="none"/>
          <w14:textFill>
            <w14:solidFill>
              <w14:schemeClr w14:val="tx1"/>
            </w14:solidFill>
          </w14:textFill>
        </w:rPr>
        <w:t>第二章  采购需求</w:t>
      </w:r>
      <w:bookmarkEnd w:id="45"/>
      <w:bookmarkEnd w:id="46"/>
      <w:bookmarkEnd w:id="47"/>
    </w:p>
    <w:p w14:paraId="18E251A8">
      <w:pPr>
        <w:spacing w:line="360" w:lineRule="auto"/>
        <w:ind w:firstLine="435"/>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前注</w:t>
      </w:r>
    </w:p>
    <w:p w14:paraId="3D635A78">
      <w:pPr>
        <w:snapToGrid w:val="0"/>
        <w:spacing w:line="360" w:lineRule="auto"/>
        <w:ind w:firstLine="411" w:firstLineChars="196"/>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本项目技术、服务等具体要求，供应商必须对其有明确的响应，并如实描述偏离情况。明确要求提供证明材料的，如在响应时仅复制粘贴或仅具有文字描述而未按照要求提供佐证材料的，其产生的影响直至被认定为未实质性响应的后果将由供应商自行承担。</w:t>
      </w:r>
    </w:p>
    <w:p w14:paraId="27928F87">
      <w:pPr>
        <w:snapToGrid w:val="0"/>
        <w:spacing w:line="360" w:lineRule="auto"/>
        <w:ind w:firstLine="413" w:firstLineChars="19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一、商务要求</w:t>
      </w:r>
    </w:p>
    <w:tbl>
      <w:tblPr>
        <w:tblStyle w:val="21"/>
        <w:tblW w:w="8251"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559"/>
        <w:gridCol w:w="5983"/>
      </w:tblGrid>
      <w:tr w14:paraId="3CAD652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3C98F10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59" w:type="dxa"/>
            <w:vAlign w:val="center"/>
          </w:tcPr>
          <w:p w14:paraId="5263823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5983" w:type="dxa"/>
            <w:vAlign w:val="center"/>
          </w:tcPr>
          <w:p w14:paraId="4E876EA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w:t>
            </w:r>
          </w:p>
        </w:tc>
      </w:tr>
      <w:tr w14:paraId="413F8B6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630F14A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49882C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服务期限</w:t>
            </w:r>
          </w:p>
        </w:tc>
        <w:tc>
          <w:tcPr>
            <w:tcW w:w="5983" w:type="dxa"/>
            <w:tcBorders>
              <w:top w:val="single" w:color="000000" w:sz="4" w:space="0"/>
              <w:left w:val="single" w:color="000000" w:sz="4" w:space="0"/>
              <w:bottom w:val="single" w:color="000000" w:sz="4" w:space="0"/>
              <w:right w:val="single" w:color="000000" w:sz="4" w:space="0"/>
            </w:tcBorders>
            <w:vAlign w:val="center"/>
          </w:tcPr>
          <w:p w14:paraId="79DD7E3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合同签订生效之日起三年，服务合同一年一签，采购人根据供应商上年度合同履约、项目资金审批等情况决定是否续签合同。</w:t>
            </w:r>
          </w:p>
        </w:tc>
      </w:tr>
      <w:tr w14:paraId="7326CB8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3DD3A14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59" w:type="dxa"/>
            <w:vAlign w:val="center"/>
          </w:tcPr>
          <w:p w14:paraId="7ADFA0E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服务地点</w:t>
            </w:r>
          </w:p>
        </w:tc>
        <w:tc>
          <w:tcPr>
            <w:tcW w:w="5983" w:type="dxa"/>
            <w:vAlign w:val="center"/>
          </w:tcPr>
          <w:p w14:paraId="702C6B8C">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r>
              <w:rPr>
                <w:rFonts w:hint="eastAsia" w:ascii="宋体" w:hAnsi="宋体" w:cs="宋体"/>
                <w:color w:val="000000" w:themeColor="text1"/>
                <w:highlight w:val="none"/>
                <w:lang w:eastAsia="zh-CN"/>
                <w14:textFill>
                  <w14:solidFill>
                    <w14:schemeClr w14:val="tx1"/>
                  </w14:solidFill>
                </w14:textFill>
              </w:rPr>
              <w:t>。</w:t>
            </w:r>
          </w:p>
        </w:tc>
      </w:tr>
      <w:tr w14:paraId="7A784A4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325AC2A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59" w:type="dxa"/>
            <w:vAlign w:val="center"/>
          </w:tcPr>
          <w:p w14:paraId="5EEA349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质量标准</w:t>
            </w:r>
          </w:p>
        </w:tc>
        <w:tc>
          <w:tcPr>
            <w:tcW w:w="5983" w:type="dxa"/>
            <w:vAlign w:val="center"/>
          </w:tcPr>
          <w:p w14:paraId="59F0805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质量必须执行国家相关标准、行业标准、地方标准或者其它标准、规范（从严）：具有国家标准及规范的，按最新的标准及规范执行；具有行业标准及规范的，按最新的标准及规范执行；具有其他标准及规范的，按照最新的标准及规范执行；满足采购需求的规定。</w:t>
            </w:r>
          </w:p>
        </w:tc>
      </w:tr>
      <w:tr w14:paraId="0D5564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73C6098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559" w:type="dxa"/>
            <w:vAlign w:val="center"/>
          </w:tcPr>
          <w:p w14:paraId="0F68D04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验收</w:t>
            </w:r>
          </w:p>
        </w:tc>
        <w:tc>
          <w:tcPr>
            <w:tcW w:w="5983" w:type="dxa"/>
            <w:vAlign w:val="center"/>
          </w:tcPr>
          <w:p w14:paraId="430AB88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按照磋商文件要求、成交供应商的响应文件（承诺）及签订的合同约定进行验收。</w:t>
            </w:r>
          </w:p>
        </w:tc>
      </w:tr>
      <w:tr w14:paraId="2CEDA65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1FFAF74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559" w:type="dxa"/>
            <w:vAlign w:val="center"/>
          </w:tcPr>
          <w:p w14:paraId="79ED296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签订合同时间</w:t>
            </w:r>
          </w:p>
        </w:tc>
        <w:tc>
          <w:tcPr>
            <w:tcW w:w="5983" w:type="dxa"/>
            <w:vAlign w:val="center"/>
          </w:tcPr>
          <w:p w14:paraId="1A5AEAC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成交通知书发出之日起30日内签订合同，具体签约时间以采购人通知为准。</w:t>
            </w:r>
          </w:p>
        </w:tc>
      </w:tr>
      <w:tr w14:paraId="66CDB43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34132D7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559" w:type="dxa"/>
            <w:vAlign w:val="center"/>
          </w:tcPr>
          <w:p w14:paraId="5EC45AF0">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合同款项支付条件及方式</w:t>
            </w:r>
          </w:p>
        </w:tc>
        <w:tc>
          <w:tcPr>
            <w:tcW w:w="5983" w:type="dxa"/>
            <w:vAlign w:val="center"/>
          </w:tcPr>
          <w:p w14:paraId="2DE19D2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1.合同签订生效且具备实施条件后</w:t>
            </w:r>
            <w:r>
              <w:rPr>
                <w:rFonts w:hint="eastAsia" w:ascii="宋体" w:hAnsi="宋体" w:eastAsia="宋体" w:cs="宋体"/>
                <w:color w:val="000000" w:themeColor="text1"/>
                <w:highlight w:val="none"/>
                <w:lang w:val="en-US" w:eastAsia="zh-CN"/>
                <w14:textFill>
                  <w14:solidFill>
                    <w14:schemeClr w14:val="tx1"/>
                  </w14:solidFill>
                </w14:textFill>
              </w:rPr>
              <w:t>收到发票</w:t>
            </w:r>
            <w:r>
              <w:rPr>
                <w:rFonts w:hint="eastAsia" w:ascii="宋体" w:hAnsi="宋体" w:eastAsia="宋体" w:cs="宋体"/>
                <w:color w:val="000000" w:themeColor="text1"/>
                <w:highlight w:val="none"/>
                <w14:textFill>
                  <w14:solidFill>
                    <w14:schemeClr w14:val="tx1"/>
                  </w14:solidFill>
                </w14:textFill>
              </w:rPr>
              <w:t>7个工作日之内支付合同总金额的70%；</w:t>
            </w:r>
          </w:p>
          <w:p w14:paraId="4357A81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2.202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年11月底</w:t>
            </w:r>
            <w:r>
              <w:rPr>
                <w:rFonts w:hint="eastAsia" w:ascii="宋体" w:hAnsi="宋体" w:eastAsia="宋体" w:cs="宋体"/>
                <w:color w:val="000000" w:themeColor="text1"/>
                <w:highlight w:val="none"/>
                <w:lang w:val="en-US" w:eastAsia="zh-CN"/>
                <w14:textFill>
                  <w14:solidFill>
                    <w14:schemeClr w14:val="tx1"/>
                  </w14:solidFill>
                </w14:textFill>
              </w:rPr>
              <w:t>收到发票</w:t>
            </w:r>
            <w:r>
              <w:rPr>
                <w:rFonts w:hint="eastAsia" w:ascii="宋体" w:hAnsi="宋体" w:eastAsia="宋体" w:cs="宋体"/>
                <w:color w:val="000000" w:themeColor="text1"/>
                <w:highlight w:val="none"/>
                <w14:textFill>
                  <w14:solidFill>
                    <w14:schemeClr w14:val="tx1"/>
                  </w14:solidFill>
                </w14:textFill>
              </w:rPr>
              <w:t>7个工作日一次性支付剩余合同款项；</w:t>
            </w:r>
          </w:p>
          <w:p w14:paraId="3BC0998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3.合同款项以银行转账等方式支付至合同约定的账户。</w:t>
            </w:r>
          </w:p>
        </w:tc>
      </w:tr>
      <w:tr w14:paraId="2C861B0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7C869CD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559" w:type="dxa"/>
            <w:vAlign w:val="center"/>
          </w:tcPr>
          <w:p w14:paraId="533B79D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5983" w:type="dxa"/>
            <w:vAlign w:val="center"/>
          </w:tcPr>
          <w:p w14:paraId="2BBDD44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本项目不收取履约保证金。</w:t>
            </w:r>
          </w:p>
        </w:tc>
      </w:tr>
      <w:tr w14:paraId="47F5047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9" w:type="dxa"/>
            <w:vAlign w:val="center"/>
          </w:tcPr>
          <w:p w14:paraId="2FC70CC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559" w:type="dxa"/>
            <w:vAlign w:val="center"/>
          </w:tcPr>
          <w:p w14:paraId="0242A54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发票要求</w:t>
            </w:r>
          </w:p>
        </w:tc>
        <w:tc>
          <w:tcPr>
            <w:tcW w:w="5983" w:type="dxa"/>
            <w:vAlign w:val="center"/>
          </w:tcPr>
          <w:p w14:paraId="51CAA2D4">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1.成交供应商应在采购人支付费用时，依据相应的金额，向采购人提供足额且符合税法规定的发票。</w:t>
            </w:r>
          </w:p>
          <w:p w14:paraId="65D56E4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项目合同签署的成交供应商名称与发票开具单位及收款单位一致，成交供应商不得以其他理由在合同执行过程中要求调整发票开具单位或收款单位（依法变更单位名称除外），否则视为成交供应商违约并自行承担相关责任，且须承担由此对采购人造成的一切损失。</w:t>
            </w:r>
          </w:p>
        </w:tc>
      </w:tr>
      <w:tr w14:paraId="3B27183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09" w:type="dxa"/>
            <w:vAlign w:val="center"/>
          </w:tcPr>
          <w:p w14:paraId="1DB9458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559" w:type="dxa"/>
            <w:vAlign w:val="center"/>
          </w:tcPr>
          <w:p w14:paraId="67AD7FB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售后服务要求</w:t>
            </w:r>
          </w:p>
        </w:tc>
        <w:tc>
          <w:tcPr>
            <w:tcW w:w="5983" w:type="dxa"/>
            <w:vAlign w:val="center"/>
          </w:tcPr>
          <w:p w14:paraId="0609A5B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成交供应商必须为本项目范围内的成果提供相应的售后服务。</w:t>
            </w:r>
          </w:p>
        </w:tc>
      </w:tr>
      <w:tr w14:paraId="371D548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709" w:type="dxa"/>
            <w:vAlign w:val="center"/>
          </w:tcPr>
          <w:p w14:paraId="65D92C2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559" w:type="dxa"/>
            <w:vAlign w:val="center"/>
          </w:tcPr>
          <w:p w14:paraId="577EDDA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w:t>
            </w:r>
          </w:p>
        </w:tc>
        <w:tc>
          <w:tcPr>
            <w:tcW w:w="5983" w:type="dxa"/>
            <w:vAlign w:val="center"/>
          </w:tcPr>
          <w:p w14:paraId="39095C0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合同执行过程中，成交供应商应承担由于其行为所造成的采购人或第三人的人身伤害、财产损失或损坏的责任，无论何种原因所造成，与采购人无涉，由此导致的损失由成交供应商承担，无论何种原因采购人先行支付的，采购人有权向成交供应商进行追偿。</w:t>
            </w:r>
          </w:p>
        </w:tc>
      </w:tr>
    </w:tbl>
    <w:p w14:paraId="7B3FEDBE">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E908F2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二、项目背景及意义</w:t>
      </w:r>
    </w:p>
    <w:p w14:paraId="2B6CA6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围绕宁波努力建设“知识产权强省建设先行市”的工作目标，重点提升宁波知识产权综合体线上线下一体化综合运营服务“总平台”。按照《宁波市数字政府建设总体方案先行市建设实施方案（2021-2025年）》要求，优化宁波知识产权综合体建设，力争建成我市知识产权领域最权威的一站式综合服务平台，对推进宁波提升数字政府能级、当好浙江建设“重要窗口”模范生具有十分重要的意义。</w:t>
      </w:r>
    </w:p>
    <w:p w14:paraId="6350F8A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highlight w:val="none"/>
          <w:lang w:val="en-US" w:eastAsia="zh-CN"/>
          <w14:textFill>
            <w14:solidFill>
              <w14:schemeClr w14:val="tx1"/>
            </w14:solidFill>
          </w14:textFill>
        </w:rPr>
        <w:t>服务内容及要求</w:t>
      </w:r>
    </w:p>
    <w:p w14:paraId="345F62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为保障综合体高效有序运转，开展具体工作及相关保障如下：</w:t>
      </w:r>
    </w:p>
    <w:p w14:paraId="3E672D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知识产权综合体的日常运维服务，包括对各类服务事项全流程管理、线上线下入驻综合体的各部门、服务事项的业务衔接以及知识产权“一件事”业务协同办理等；</w:t>
      </w:r>
    </w:p>
    <w:p w14:paraId="6DF21E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公开知识产权综合体制度规范梳理完善制度，包括各类信息的收集、上报、整理汇编等；</w:t>
      </w:r>
    </w:p>
    <w:p w14:paraId="7B6367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知识产权综合体联合市法院、公安、检察院、法院、贸促会等入驻部门公开知识产权侵权纠纷诉调对接制度；</w:t>
      </w:r>
    </w:p>
    <w:p w14:paraId="567ACD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知识产权综合体数据管理中心的运维保障，对知识产权数据的数据治理、建模分析。</w:t>
      </w:r>
    </w:p>
    <w:p w14:paraId="2696AAA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四、其他要求</w:t>
      </w:r>
    </w:p>
    <w:p w14:paraId="565E71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年度完成的业务台账管理数据差错率低于0.5%，并于当年12月31日前完成。</w:t>
      </w:r>
    </w:p>
    <w:p w14:paraId="29BB61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对常规数据分析需求的响应时间不超过3个工作日内。</w:t>
      </w:r>
    </w:p>
    <w:p w14:paraId="0DCF39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负责知识产权综合体数据管理中心的日常运维保障，包括对知识产权基础数据全流程治理、建模分析等专题开发呈现。</w:t>
      </w:r>
    </w:p>
    <w:p w14:paraId="039C53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所有数据资料必须在采购合同约定的安全范围内运行。服务期内，所有相关数据及成果需完成移交。</w:t>
      </w:r>
    </w:p>
    <w:p w14:paraId="65D848F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五、</w:t>
      </w:r>
      <w:r>
        <w:rPr>
          <w:rFonts w:hint="eastAsia" w:ascii="宋体" w:hAnsi="宋体" w:eastAsia="宋体" w:cs="宋体"/>
          <w:b/>
          <w:bCs/>
          <w:color w:val="000000" w:themeColor="text1"/>
          <w:highlight w:val="none"/>
          <w14:textFill>
            <w14:solidFill>
              <w14:schemeClr w14:val="tx1"/>
            </w14:solidFill>
          </w14:textFill>
        </w:rPr>
        <w:t>保密要求</w:t>
      </w:r>
    </w:p>
    <w:p w14:paraId="0060E5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项目实施过程及完成后，供应商须严格做好相关信息和资料的保密工作。未经采购人书面许可，不得向任何单位、个人泄露项目相关内容、进展及各类相关信息，严格落实保密责任，规范信息管理，若违反保密要求，需承担相应损失及法律责任</w:t>
      </w:r>
      <w:r>
        <w:rPr>
          <w:rFonts w:hint="eastAsia" w:ascii="宋体" w:hAnsi="宋体" w:eastAsia="宋体" w:cs="宋体"/>
          <w:color w:val="000000" w:themeColor="text1"/>
          <w:highlight w:val="none"/>
          <w:lang w:eastAsia="zh-CN"/>
          <w14:textFill>
            <w14:solidFill>
              <w14:schemeClr w14:val="tx1"/>
            </w14:solidFill>
          </w14:textFill>
        </w:rPr>
        <w:t>。</w:t>
      </w:r>
    </w:p>
    <w:p w14:paraId="210097E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六</w:t>
      </w:r>
      <w:r>
        <w:rPr>
          <w:rFonts w:hint="eastAsia" w:ascii="宋体" w:hAnsi="宋体" w:eastAsia="宋体" w:cs="宋体"/>
          <w:b/>
          <w:bCs/>
          <w:color w:val="000000" w:themeColor="text1"/>
          <w:highlight w:val="none"/>
          <w14:textFill>
            <w14:solidFill>
              <w14:schemeClr w14:val="tx1"/>
            </w14:solidFill>
          </w14:textFill>
        </w:rPr>
        <w:t>、验收要求</w:t>
      </w:r>
    </w:p>
    <w:p w14:paraId="6347A0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完成所有工作，项目成果通过招标人内部审核，视为通过验收。</w:t>
      </w:r>
    </w:p>
    <w:p w14:paraId="52709861">
      <w:pPr>
        <w:pageBreakBefore w:val="0"/>
        <w:shd w:val="clear"/>
        <w:kinsoku/>
        <w:wordWrap/>
        <w:overflowPunct/>
        <w:topLinePunct w:val="0"/>
        <w:bidi w:val="0"/>
        <w:adjustRightInd w:val="0"/>
        <w:snapToGrid w:val="0"/>
        <w:spacing w:line="360" w:lineRule="auto"/>
        <w:ind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br w:type="page"/>
      </w:r>
    </w:p>
    <w:p w14:paraId="334DAB9F">
      <w:pPr>
        <w:pStyle w:val="4"/>
        <w:pageBreakBefore w:val="0"/>
        <w:shd w:val="clear"/>
        <w:kinsoku/>
        <w:wordWrap/>
        <w:overflowPunct/>
        <w:topLinePunct w:val="0"/>
        <w:bidi w:val="0"/>
        <w:spacing w:before="0" w:after="0" w:line="360" w:lineRule="auto"/>
        <w:ind w:left="0" w:leftChars="0" w:right="0" w:rightChars="0"/>
        <w:rPr>
          <w:rFonts w:hint="eastAsia" w:ascii="宋体" w:hAnsi="宋体" w:eastAsia="宋体" w:cs="宋体"/>
          <w:color w:val="000000" w:themeColor="text1"/>
          <w:sz w:val="32"/>
          <w:highlight w:val="none"/>
          <w14:textFill>
            <w14:solidFill>
              <w14:schemeClr w14:val="tx1"/>
            </w14:solidFill>
          </w14:textFill>
        </w:rPr>
      </w:pPr>
      <w:bookmarkStart w:id="48" w:name="_Toc30858"/>
      <w:bookmarkStart w:id="49" w:name="_Toc34844743"/>
      <w:bookmarkStart w:id="50" w:name="_Toc15537"/>
      <w:r>
        <w:rPr>
          <w:rFonts w:hint="eastAsia" w:ascii="宋体" w:hAnsi="宋体" w:eastAsia="宋体" w:cs="宋体"/>
          <w:color w:val="000000" w:themeColor="text1"/>
          <w:highlight w:val="none"/>
          <w14:textFill>
            <w14:solidFill>
              <w14:schemeClr w14:val="tx1"/>
            </w14:solidFill>
          </w14:textFill>
        </w:rPr>
        <w:t>第三章  供应商须知</w:t>
      </w:r>
      <w:bookmarkEnd w:id="48"/>
      <w:bookmarkEnd w:id="49"/>
      <w:bookmarkEnd w:id="50"/>
    </w:p>
    <w:p w14:paraId="26446856">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供应商须知前附表</w:t>
      </w:r>
    </w:p>
    <w:p w14:paraId="57C468F5">
      <w:pPr>
        <w:pageBreakBefore w:val="0"/>
        <w:shd w:val="clear"/>
        <w:kinsoku/>
        <w:wordWrap/>
        <w:overflowPunct/>
        <w:topLinePunct w:val="0"/>
        <w:bidi w:val="0"/>
        <w:spacing w:line="360" w:lineRule="auto"/>
        <w:ind w:left="0" w:leftChars="0" w:right="0" w:rightChars="0" w:firstLine="308"/>
        <w:jc w:val="left"/>
        <w:rPr>
          <w:rStyle w:val="31"/>
          <w:rFonts w:hint="eastAsia" w:ascii="宋体" w:hAnsi="宋体" w:eastAsia="宋体" w:cs="宋体"/>
          <w:color w:val="000000" w:themeColor="text1"/>
          <w:szCs w:val="21"/>
          <w:highlight w:val="none"/>
          <w14:textFill>
            <w14:solidFill>
              <w14:schemeClr w14:val="tx1"/>
            </w14:solidFill>
          </w14:textFill>
        </w:rPr>
      </w:pPr>
      <w:r>
        <w:rPr>
          <w:rStyle w:val="31"/>
          <w:rFonts w:hint="eastAsia" w:ascii="宋体" w:hAnsi="宋体" w:eastAsia="宋体" w:cs="宋体"/>
          <w:color w:val="000000" w:themeColor="text1"/>
          <w:szCs w:val="21"/>
          <w:highlight w:val="none"/>
          <w14:textFill>
            <w14:solidFill>
              <w14:schemeClr w14:val="tx1"/>
            </w14:solidFill>
          </w14:textFill>
        </w:rPr>
        <w:t>注：本表内容是对供应商须知的具体补充，如有不一致，以本表为准。</w:t>
      </w:r>
    </w:p>
    <w:tbl>
      <w:tblPr>
        <w:tblStyle w:val="21"/>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892"/>
        <w:gridCol w:w="1775"/>
        <w:gridCol w:w="5103"/>
      </w:tblGrid>
      <w:tr w14:paraId="4EC06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6230B2D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4CB8DB15">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1775" w:type="dxa"/>
            <w:tcBorders>
              <w:top w:val="single" w:color="auto" w:sz="4" w:space="0"/>
              <w:left w:val="single" w:color="auto" w:sz="4" w:space="0"/>
              <w:bottom w:val="single" w:color="auto" w:sz="4" w:space="0"/>
              <w:right w:val="single" w:color="auto" w:sz="4" w:space="0"/>
            </w:tcBorders>
            <w:vAlign w:val="center"/>
          </w:tcPr>
          <w:p w14:paraId="3F65D28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条款名称</w:t>
            </w:r>
          </w:p>
        </w:tc>
        <w:tc>
          <w:tcPr>
            <w:tcW w:w="5103" w:type="dxa"/>
            <w:tcBorders>
              <w:top w:val="single" w:color="auto" w:sz="4" w:space="0"/>
              <w:left w:val="single" w:color="auto" w:sz="4" w:space="0"/>
              <w:bottom w:val="single" w:color="auto" w:sz="4" w:space="0"/>
              <w:right w:val="single" w:color="auto" w:sz="4" w:space="0"/>
            </w:tcBorders>
            <w:vAlign w:val="center"/>
          </w:tcPr>
          <w:p w14:paraId="532A4380">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内容、要求</w:t>
            </w:r>
          </w:p>
        </w:tc>
      </w:tr>
      <w:tr w14:paraId="7EB7E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2C17973F">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892" w:type="dxa"/>
            <w:tcBorders>
              <w:top w:val="single" w:color="auto" w:sz="4" w:space="0"/>
              <w:left w:val="single" w:color="auto" w:sz="4" w:space="0"/>
              <w:bottom w:val="single" w:color="auto" w:sz="4" w:space="0"/>
              <w:right w:val="single" w:color="auto" w:sz="4" w:space="0"/>
            </w:tcBorders>
            <w:vAlign w:val="center"/>
          </w:tcPr>
          <w:p w14:paraId="1ACE8F73">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75" w:type="dxa"/>
            <w:tcBorders>
              <w:top w:val="single" w:color="auto" w:sz="4" w:space="0"/>
              <w:left w:val="single" w:color="auto" w:sz="4" w:space="0"/>
              <w:bottom w:val="single" w:color="auto" w:sz="4" w:space="0"/>
              <w:right w:val="single" w:color="auto" w:sz="4" w:space="0"/>
            </w:tcBorders>
            <w:vAlign w:val="center"/>
          </w:tcPr>
          <w:p w14:paraId="6E862A9E">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w:t>
            </w:r>
          </w:p>
        </w:tc>
        <w:tc>
          <w:tcPr>
            <w:tcW w:w="5103" w:type="dxa"/>
            <w:tcBorders>
              <w:top w:val="single" w:color="auto" w:sz="4" w:space="0"/>
              <w:left w:val="single" w:color="auto" w:sz="4" w:space="0"/>
              <w:bottom w:val="single" w:color="auto" w:sz="4" w:space="0"/>
              <w:right w:val="single" w:color="auto" w:sz="4" w:space="0"/>
            </w:tcBorders>
            <w:vAlign w:val="center"/>
          </w:tcPr>
          <w:p w14:paraId="41DB498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宁波知识产权保护中心</w:t>
            </w:r>
          </w:p>
        </w:tc>
      </w:tr>
      <w:tr w14:paraId="25635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60CCB9BD">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892" w:type="dxa"/>
            <w:tcBorders>
              <w:top w:val="single" w:color="auto" w:sz="4" w:space="0"/>
              <w:left w:val="single" w:color="auto" w:sz="4" w:space="0"/>
              <w:bottom w:val="single" w:color="auto" w:sz="4" w:space="0"/>
              <w:right w:val="single" w:color="auto" w:sz="4" w:space="0"/>
            </w:tcBorders>
            <w:vAlign w:val="center"/>
          </w:tcPr>
          <w:p w14:paraId="596F0E2F">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1775" w:type="dxa"/>
            <w:tcBorders>
              <w:top w:val="single" w:color="auto" w:sz="4" w:space="0"/>
              <w:left w:val="single" w:color="auto" w:sz="4" w:space="0"/>
              <w:bottom w:val="single" w:color="auto" w:sz="4" w:space="0"/>
              <w:right w:val="single" w:color="auto" w:sz="4" w:space="0"/>
            </w:tcBorders>
            <w:vAlign w:val="center"/>
          </w:tcPr>
          <w:p w14:paraId="65F53AC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w:t>
            </w:r>
          </w:p>
        </w:tc>
        <w:tc>
          <w:tcPr>
            <w:tcW w:w="5103" w:type="dxa"/>
            <w:tcBorders>
              <w:top w:val="single" w:color="auto" w:sz="4" w:space="0"/>
              <w:left w:val="single" w:color="auto" w:sz="4" w:space="0"/>
              <w:bottom w:val="single" w:color="auto" w:sz="4" w:space="0"/>
              <w:right w:val="single" w:color="auto" w:sz="4" w:space="0"/>
            </w:tcBorders>
            <w:vAlign w:val="center"/>
          </w:tcPr>
          <w:p w14:paraId="7DB7F39D">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宁波名诚招标代理有限公司</w:t>
            </w:r>
          </w:p>
        </w:tc>
      </w:tr>
      <w:tr w14:paraId="28E3D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4188499">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892" w:type="dxa"/>
            <w:tcBorders>
              <w:top w:val="single" w:color="auto" w:sz="4" w:space="0"/>
              <w:left w:val="single" w:color="auto" w:sz="4" w:space="0"/>
              <w:bottom w:val="single" w:color="auto" w:sz="4" w:space="0"/>
              <w:right w:val="single" w:color="auto" w:sz="4" w:space="0"/>
            </w:tcBorders>
            <w:vAlign w:val="center"/>
          </w:tcPr>
          <w:p w14:paraId="7AB52545">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p>
        </w:tc>
        <w:tc>
          <w:tcPr>
            <w:tcW w:w="1775" w:type="dxa"/>
            <w:tcBorders>
              <w:top w:val="single" w:color="auto" w:sz="4" w:space="0"/>
              <w:left w:val="single" w:color="auto" w:sz="4" w:space="0"/>
              <w:bottom w:val="single" w:color="auto" w:sz="4" w:space="0"/>
              <w:right w:val="single" w:color="auto" w:sz="4" w:space="0"/>
            </w:tcBorders>
            <w:vAlign w:val="center"/>
          </w:tcPr>
          <w:p w14:paraId="2A896A9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政府采购监督管理部门</w:t>
            </w:r>
          </w:p>
        </w:tc>
        <w:tc>
          <w:tcPr>
            <w:tcW w:w="5103" w:type="dxa"/>
            <w:tcBorders>
              <w:top w:val="single" w:color="auto" w:sz="4" w:space="0"/>
              <w:left w:val="single" w:color="auto" w:sz="4" w:space="0"/>
              <w:bottom w:val="single" w:color="auto" w:sz="4" w:space="0"/>
              <w:right w:val="single" w:color="auto" w:sz="4" w:space="0"/>
            </w:tcBorders>
            <w:vAlign w:val="center"/>
          </w:tcPr>
          <w:p w14:paraId="27DA3909">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宁波市财政局政府采购监管处</w:t>
            </w:r>
          </w:p>
        </w:tc>
      </w:tr>
      <w:tr w14:paraId="1D475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05DD721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892" w:type="dxa"/>
            <w:tcBorders>
              <w:top w:val="single" w:color="auto" w:sz="4" w:space="0"/>
              <w:left w:val="single" w:color="auto" w:sz="4" w:space="0"/>
              <w:bottom w:val="single" w:color="auto" w:sz="4" w:space="0"/>
              <w:right w:val="single" w:color="auto" w:sz="4" w:space="0"/>
            </w:tcBorders>
            <w:vAlign w:val="center"/>
          </w:tcPr>
          <w:p w14:paraId="21231FD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w:t>
            </w:r>
          </w:p>
        </w:tc>
        <w:tc>
          <w:tcPr>
            <w:tcW w:w="1775" w:type="dxa"/>
            <w:tcBorders>
              <w:top w:val="single" w:color="auto" w:sz="4" w:space="0"/>
              <w:left w:val="single" w:color="auto" w:sz="4" w:space="0"/>
              <w:bottom w:val="single" w:color="auto" w:sz="4" w:space="0"/>
              <w:right w:val="single" w:color="auto" w:sz="4" w:space="0"/>
            </w:tcBorders>
            <w:vAlign w:val="center"/>
          </w:tcPr>
          <w:p w14:paraId="01EB2954">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质疑函递交方式、接收部门、联系电话和通讯地址</w:t>
            </w:r>
          </w:p>
        </w:tc>
        <w:tc>
          <w:tcPr>
            <w:tcW w:w="5103" w:type="dxa"/>
            <w:tcBorders>
              <w:top w:val="single" w:color="auto" w:sz="4" w:space="0"/>
              <w:left w:val="single" w:color="auto" w:sz="4" w:space="0"/>
              <w:bottom w:val="single" w:color="auto" w:sz="4" w:space="0"/>
              <w:right w:val="single" w:color="auto" w:sz="4" w:space="0"/>
            </w:tcBorders>
            <w:vAlign w:val="center"/>
          </w:tcPr>
          <w:p w14:paraId="1C0298D8">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递交方式：</w:t>
            </w:r>
            <w:r>
              <w:rPr>
                <w:rFonts w:hint="eastAsia" w:ascii="宋体" w:hAnsi="宋体" w:eastAsia="宋体" w:cs="宋体"/>
                <w:color w:val="000000" w:themeColor="text1"/>
                <w:szCs w:val="21"/>
                <w:highlight w:val="none"/>
                <w:u w:val="single"/>
                <w14:textFill>
                  <w14:solidFill>
                    <w14:schemeClr w14:val="tx1"/>
                  </w14:solidFill>
                </w14:textFill>
              </w:rPr>
              <w:t>书面形式</w:t>
            </w:r>
          </w:p>
          <w:p w14:paraId="21F2E47D">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接收部门：</w:t>
            </w:r>
            <w:r>
              <w:rPr>
                <w:rFonts w:hint="eastAsia" w:ascii="宋体" w:hAnsi="宋体" w:eastAsia="宋体" w:cs="宋体"/>
                <w:color w:val="000000" w:themeColor="text1"/>
                <w:szCs w:val="21"/>
                <w:highlight w:val="none"/>
                <w:u w:val="single"/>
                <w14:textFill>
                  <w14:solidFill>
                    <w14:schemeClr w14:val="tx1"/>
                  </w14:solidFill>
                </w14:textFill>
              </w:rPr>
              <w:t>综合办</w:t>
            </w:r>
          </w:p>
          <w:p w14:paraId="00FF71F0">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bCs/>
                <w:color w:val="000000" w:themeColor="text1"/>
                <w:szCs w:val="21"/>
                <w:highlight w:val="none"/>
                <w:u w:val="single"/>
                <w14:textFill>
                  <w14:solidFill>
                    <w14:schemeClr w14:val="tx1"/>
                  </w14:solidFill>
                </w14:textFill>
              </w:rPr>
              <w:t>0574-87101271</w:t>
            </w:r>
          </w:p>
          <w:p w14:paraId="394B373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eastAsia="宋体" w:cs="宋体"/>
                <w:bCs/>
                <w:color w:val="000000" w:themeColor="text1"/>
                <w:spacing w:val="-10"/>
                <w:szCs w:val="21"/>
                <w:highlight w:val="none"/>
                <w:u w:val="single"/>
                <w14:textFill>
                  <w14:solidFill>
                    <w14:schemeClr w14:val="tx1"/>
                  </w14:solidFill>
                </w14:textFill>
              </w:rPr>
              <w:t>宁波市海曙区江汇城496号姚江时代14幢3楼</w:t>
            </w:r>
          </w:p>
        </w:tc>
      </w:tr>
      <w:tr w14:paraId="5FAA9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7C12CB8D">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892" w:type="dxa"/>
            <w:tcBorders>
              <w:top w:val="single" w:color="auto" w:sz="4" w:space="0"/>
              <w:left w:val="single" w:color="auto" w:sz="4" w:space="0"/>
              <w:bottom w:val="single" w:color="auto" w:sz="4" w:space="0"/>
              <w:right w:val="single" w:color="auto" w:sz="4" w:space="0"/>
            </w:tcBorders>
            <w:vAlign w:val="center"/>
          </w:tcPr>
          <w:p w14:paraId="39B4132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w:t>
            </w:r>
          </w:p>
        </w:tc>
        <w:tc>
          <w:tcPr>
            <w:tcW w:w="1775" w:type="dxa"/>
            <w:tcBorders>
              <w:top w:val="single" w:color="auto" w:sz="4" w:space="0"/>
              <w:left w:val="single" w:color="auto" w:sz="4" w:space="0"/>
              <w:bottom w:val="single" w:color="auto" w:sz="4" w:space="0"/>
              <w:right w:val="single" w:color="auto" w:sz="4" w:space="0"/>
            </w:tcBorders>
            <w:vAlign w:val="center"/>
          </w:tcPr>
          <w:p w14:paraId="22171CE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采购代理服务费用的收取标准</w:t>
            </w:r>
          </w:p>
        </w:tc>
        <w:tc>
          <w:tcPr>
            <w:tcW w:w="5103" w:type="dxa"/>
            <w:tcBorders>
              <w:top w:val="single" w:color="auto" w:sz="4" w:space="0"/>
              <w:left w:val="single" w:color="auto" w:sz="4" w:space="0"/>
              <w:bottom w:val="single" w:color="auto" w:sz="4" w:space="0"/>
              <w:right w:val="single" w:color="auto" w:sz="4" w:space="0"/>
            </w:tcBorders>
            <w:vAlign w:val="center"/>
          </w:tcPr>
          <w:p w14:paraId="28F58B58">
            <w:pPr>
              <w:keepNext w:val="0"/>
              <w:keepLines w:val="0"/>
              <w:pageBreakBefore w:val="0"/>
              <w:widowControl w:val="0"/>
              <w:kinsoku/>
              <w:wordWrap/>
              <w:overflowPunct/>
              <w:topLinePunct w:val="0"/>
              <w:autoSpaceDE/>
              <w:autoSpaceDN/>
              <w:bidi w:val="0"/>
              <w:adjustRightInd/>
              <w:spacing w:line="240" w:lineRule="auto"/>
              <w:ind w:firstLine="29" w:firstLineChars="14"/>
              <w:jc w:val="lef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1.根据国家发改委发改办价格[2003]857号通知和原国家计委计价格[2002]1980号文件规定的收费费率为取费标准。</w:t>
            </w:r>
          </w:p>
          <w:p w14:paraId="1547449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2.以成交通知书确定的成交总金额为计算基数，结合上述费率标准计算本项目的代理服务费用。</w:t>
            </w:r>
          </w:p>
        </w:tc>
      </w:tr>
      <w:tr w14:paraId="5C03F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7035B874">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892" w:type="dxa"/>
            <w:tcBorders>
              <w:top w:val="single" w:color="auto" w:sz="4" w:space="0"/>
              <w:left w:val="single" w:color="auto" w:sz="4" w:space="0"/>
              <w:bottom w:val="single" w:color="auto" w:sz="4" w:space="0"/>
              <w:right w:val="single" w:color="auto" w:sz="4" w:space="0"/>
            </w:tcBorders>
            <w:vAlign w:val="center"/>
          </w:tcPr>
          <w:p w14:paraId="3A25FB2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w:t>
            </w:r>
          </w:p>
        </w:tc>
        <w:tc>
          <w:tcPr>
            <w:tcW w:w="1775" w:type="dxa"/>
            <w:tcBorders>
              <w:top w:val="single" w:color="auto" w:sz="4" w:space="0"/>
              <w:left w:val="single" w:color="auto" w:sz="4" w:space="0"/>
              <w:bottom w:val="single" w:color="auto" w:sz="4" w:space="0"/>
              <w:right w:val="single" w:color="auto" w:sz="4" w:space="0"/>
            </w:tcBorders>
            <w:vAlign w:val="center"/>
          </w:tcPr>
          <w:p w14:paraId="07733D64">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采购代理服务费的支付</w:t>
            </w:r>
          </w:p>
        </w:tc>
        <w:tc>
          <w:tcPr>
            <w:tcW w:w="5103" w:type="dxa"/>
            <w:tcBorders>
              <w:top w:val="single" w:color="auto" w:sz="4" w:space="0"/>
              <w:left w:val="single" w:color="auto" w:sz="4" w:space="0"/>
              <w:bottom w:val="single" w:color="auto" w:sz="4" w:space="0"/>
              <w:right w:val="single" w:color="auto" w:sz="4" w:space="0"/>
            </w:tcBorders>
            <w:vAlign w:val="center"/>
          </w:tcPr>
          <w:p w14:paraId="675A756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firstLine="29" w:firstLineChars="14"/>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本项目代理服务费由成交供应商支付。成交供应商应在领取成交通知书后7个工作日内一次性全额支付，代理服务费金额为固定金额，不随合同金额的增减而浮动。</w:t>
            </w:r>
          </w:p>
        </w:tc>
      </w:tr>
      <w:tr w14:paraId="40B9F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3094BFC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892" w:type="dxa"/>
            <w:tcBorders>
              <w:top w:val="single" w:color="auto" w:sz="4" w:space="0"/>
              <w:left w:val="single" w:color="auto" w:sz="4" w:space="0"/>
              <w:bottom w:val="single" w:color="auto" w:sz="4" w:space="0"/>
              <w:right w:val="single" w:color="auto" w:sz="4" w:space="0"/>
            </w:tcBorders>
            <w:vAlign w:val="center"/>
          </w:tcPr>
          <w:p w14:paraId="0B726388">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p>
        </w:tc>
        <w:tc>
          <w:tcPr>
            <w:tcW w:w="1775" w:type="dxa"/>
            <w:tcBorders>
              <w:top w:val="single" w:color="auto" w:sz="4" w:space="0"/>
              <w:left w:val="single" w:color="auto" w:sz="4" w:space="0"/>
              <w:bottom w:val="single" w:color="auto" w:sz="4" w:space="0"/>
              <w:right w:val="single" w:color="auto" w:sz="4" w:space="0"/>
            </w:tcBorders>
            <w:vAlign w:val="center"/>
          </w:tcPr>
          <w:p w14:paraId="01CCA80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现场考察</w:t>
            </w:r>
          </w:p>
        </w:tc>
        <w:tc>
          <w:tcPr>
            <w:tcW w:w="5103" w:type="dxa"/>
            <w:tcBorders>
              <w:top w:val="single" w:color="auto" w:sz="4" w:space="0"/>
              <w:left w:val="single" w:color="auto" w:sz="4" w:space="0"/>
              <w:bottom w:val="single" w:color="auto" w:sz="4" w:space="0"/>
              <w:right w:val="single" w:color="auto" w:sz="4" w:space="0"/>
            </w:tcBorders>
            <w:vAlign w:val="center"/>
          </w:tcPr>
          <w:p w14:paraId="33F4976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w:char="F0FE"/>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bCs/>
                <w:color w:val="000000" w:themeColor="text1"/>
                <w:szCs w:val="21"/>
                <w:highlight w:val="none"/>
                <w14:textFill>
                  <w14:solidFill>
                    <w14:schemeClr w14:val="tx1"/>
                  </w14:solidFill>
                </w14:textFill>
              </w:rPr>
              <w:t>统一</w:t>
            </w:r>
            <w:r>
              <w:rPr>
                <w:rFonts w:hint="eastAsia" w:ascii="宋体" w:hAnsi="宋体" w:eastAsia="宋体" w:cs="宋体"/>
                <w:color w:val="000000" w:themeColor="text1"/>
                <w:szCs w:val="21"/>
                <w:highlight w:val="none"/>
                <w14:textFill>
                  <w14:solidFill>
                    <w14:schemeClr w14:val="tx1"/>
                  </w14:solidFill>
                </w14:textFill>
              </w:rPr>
              <w:t>组织，供应商为编制响应文件应当</w:t>
            </w:r>
            <w:r>
              <w:rPr>
                <w:rFonts w:hint="eastAsia" w:ascii="宋体" w:hAnsi="宋体" w:eastAsia="宋体" w:cs="宋体"/>
                <w:bCs/>
                <w:color w:val="000000" w:themeColor="text1"/>
                <w:szCs w:val="21"/>
                <w:highlight w:val="none"/>
                <w14:textFill>
                  <w14:solidFill>
                    <w14:schemeClr w14:val="tx1"/>
                  </w14:solidFill>
                </w14:textFill>
              </w:rPr>
              <w:t>自行进行现场考察。</w:t>
            </w:r>
          </w:p>
          <w:p w14:paraId="55FA68D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统一组织</w:t>
            </w:r>
          </w:p>
          <w:p w14:paraId="48C500E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时间：   年  月  日  时  分</w:t>
            </w:r>
          </w:p>
          <w:p w14:paraId="0149F8F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地点：</w:t>
            </w:r>
          </w:p>
          <w:p w14:paraId="383D5F40">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jc w:val="left"/>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现场考察联系人及联系电话：</w:t>
            </w:r>
          </w:p>
          <w:p w14:paraId="075AB62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注：如供应商未参加采购人统一组织的现场考察，视同放弃现场考察，由此引起的一切责任由供应商自行承担。</w:t>
            </w:r>
          </w:p>
        </w:tc>
      </w:tr>
      <w:tr w14:paraId="4214C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right w:val="single" w:color="auto" w:sz="4" w:space="0"/>
            </w:tcBorders>
            <w:vAlign w:val="center"/>
          </w:tcPr>
          <w:p w14:paraId="3BBC55F3">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892" w:type="dxa"/>
            <w:vMerge w:val="restart"/>
            <w:tcBorders>
              <w:top w:val="single" w:color="auto" w:sz="4" w:space="0"/>
              <w:left w:val="single" w:color="auto" w:sz="4" w:space="0"/>
              <w:right w:val="single" w:color="auto" w:sz="4" w:space="0"/>
            </w:tcBorders>
            <w:vAlign w:val="center"/>
          </w:tcPr>
          <w:p w14:paraId="4CC19F7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p>
        </w:tc>
        <w:tc>
          <w:tcPr>
            <w:tcW w:w="1775" w:type="dxa"/>
            <w:tcBorders>
              <w:top w:val="single" w:color="auto" w:sz="4" w:space="0"/>
              <w:left w:val="single" w:color="auto" w:sz="4" w:space="0"/>
              <w:right w:val="single" w:color="auto" w:sz="4" w:space="0"/>
            </w:tcBorders>
            <w:vAlign w:val="center"/>
          </w:tcPr>
          <w:p w14:paraId="1A5BDE3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资格要求响应文件的组成</w:t>
            </w:r>
          </w:p>
        </w:tc>
        <w:tc>
          <w:tcPr>
            <w:tcW w:w="5103" w:type="dxa"/>
            <w:tcBorders>
              <w:top w:val="single" w:color="auto" w:sz="4" w:space="0"/>
              <w:left w:val="single" w:color="auto" w:sz="4" w:space="0"/>
              <w:right w:val="single" w:color="auto" w:sz="4" w:space="0"/>
            </w:tcBorders>
            <w:vAlign w:val="center"/>
          </w:tcPr>
          <w:p w14:paraId="131017C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1.供应商资格声明函；</w:t>
            </w:r>
          </w:p>
          <w:p w14:paraId="06153D3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2.法人或者其他组织的营业执照等单位登记证明文件复印件。</w:t>
            </w:r>
          </w:p>
        </w:tc>
      </w:tr>
      <w:tr w14:paraId="5740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dxa"/>
            <w:tcBorders>
              <w:top w:val="single" w:color="auto" w:sz="4" w:space="0"/>
              <w:left w:val="single" w:color="auto" w:sz="4" w:space="0"/>
              <w:right w:val="single" w:color="auto" w:sz="4" w:space="0"/>
            </w:tcBorders>
            <w:vAlign w:val="center"/>
          </w:tcPr>
          <w:p w14:paraId="00A3C83F">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892" w:type="dxa"/>
            <w:vMerge w:val="continue"/>
            <w:tcBorders>
              <w:left w:val="single" w:color="auto" w:sz="4" w:space="0"/>
              <w:right w:val="single" w:color="auto" w:sz="4" w:space="0"/>
            </w:tcBorders>
            <w:vAlign w:val="center"/>
          </w:tcPr>
          <w:p w14:paraId="52B8A50D">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775" w:type="dxa"/>
            <w:tcBorders>
              <w:top w:val="single" w:color="auto" w:sz="4" w:space="0"/>
              <w:left w:val="single" w:color="auto" w:sz="4" w:space="0"/>
              <w:right w:val="single" w:color="auto" w:sz="4" w:space="0"/>
            </w:tcBorders>
            <w:vAlign w:val="center"/>
          </w:tcPr>
          <w:p w14:paraId="2D8DBA42">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商务技术文件的组成</w:t>
            </w:r>
          </w:p>
        </w:tc>
        <w:tc>
          <w:tcPr>
            <w:tcW w:w="5103" w:type="dxa"/>
            <w:tcBorders>
              <w:top w:val="single" w:color="auto" w:sz="4" w:space="0"/>
              <w:left w:val="single" w:color="auto" w:sz="4" w:space="0"/>
              <w:right w:val="single" w:color="auto" w:sz="4" w:space="0"/>
            </w:tcBorders>
            <w:vAlign w:val="center"/>
          </w:tcPr>
          <w:p w14:paraId="3B0AAA8E">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1.响应函；</w:t>
            </w:r>
          </w:p>
          <w:p w14:paraId="36D63E9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2.供应商的法定代表人身份证复印件（双面）或授权委托书及其附件；</w:t>
            </w:r>
          </w:p>
          <w:p w14:paraId="1CDBCF84">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3.采购需求偏离和建议调整表；</w:t>
            </w:r>
          </w:p>
          <w:p w14:paraId="56C55DA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4.合同条款偏离和建议调整表；</w:t>
            </w:r>
          </w:p>
          <w:p w14:paraId="4E397A3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5.项目实施人员情况表；</w:t>
            </w:r>
          </w:p>
          <w:p w14:paraId="3ED534D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6.服务方案等与项目评审及履行合同有关的其他资料。</w:t>
            </w:r>
          </w:p>
        </w:tc>
      </w:tr>
      <w:tr w14:paraId="087C8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2" w:type="dxa"/>
            <w:tcBorders>
              <w:top w:val="single" w:color="auto" w:sz="4" w:space="0"/>
              <w:left w:val="single" w:color="auto" w:sz="4" w:space="0"/>
              <w:right w:val="single" w:color="auto" w:sz="4" w:space="0"/>
            </w:tcBorders>
            <w:vAlign w:val="center"/>
          </w:tcPr>
          <w:p w14:paraId="5B5F580C">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892" w:type="dxa"/>
            <w:vMerge w:val="continue"/>
            <w:tcBorders>
              <w:left w:val="single" w:color="auto" w:sz="4" w:space="0"/>
              <w:right w:val="single" w:color="auto" w:sz="4" w:space="0"/>
            </w:tcBorders>
            <w:vAlign w:val="center"/>
          </w:tcPr>
          <w:p w14:paraId="47802399">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775" w:type="dxa"/>
            <w:tcBorders>
              <w:top w:val="single" w:color="auto" w:sz="4" w:space="0"/>
              <w:left w:val="single" w:color="auto" w:sz="4" w:space="0"/>
              <w:right w:val="single" w:color="auto" w:sz="4" w:space="0"/>
            </w:tcBorders>
            <w:vAlign w:val="center"/>
          </w:tcPr>
          <w:p w14:paraId="64F10B72">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报价要求响应文件的组成</w:t>
            </w:r>
          </w:p>
        </w:tc>
        <w:tc>
          <w:tcPr>
            <w:tcW w:w="5103" w:type="dxa"/>
            <w:tcBorders>
              <w:top w:val="single" w:color="auto" w:sz="4" w:space="0"/>
              <w:left w:val="single" w:color="auto" w:sz="4" w:space="0"/>
              <w:right w:val="single" w:color="auto" w:sz="4" w:space="0"/>
            </w:tcBorders>
            <w:vAlign w:val="center"/>
          </w:tcPr>
          <w:p w14:paraId="6F61592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1.初次报价表；</w:t>
            </w:r>
          </w:p>
          <w:p w14:paraId="5BF66FCE">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2.初次报价组成明细表；</w:t>
            </w:r>
          </w:p>
          <w:p w14:paraId="76F7D930">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3.中小企业声明函或残疾人福利性单位声明函或监狱企业证明文件（如符合）。</w:t>
            </w:r>
          </w:p>
        </w:tc>
      </w:tr>
      <w:tr w14:paraId="0DBC1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0771663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892" w:type="dxa"/>
            <w:tcBorders>
              <w:top w:val="single" w:color="auto" w:sz="4" w:space="0"/>
              <w:left w:val="single" w:color="auto" w:sz="4" w:space="0"/>
              <w:bottom w:val="single" w:color="auto" w:sz="4" w:space="0"/>
              <w:right w:val="single" w:color="auto" w:sz="4" w:space="0"/>
            </w:tcBorders>
            <w:vAlign w:val="center"/>
          </w:tcPr>
          <w:p w14:paraId="75965F23">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w:t>
            </w:r>
          </w:p>
        </w:tc>
        <w:tc>
          <w:tcPr>
            <w:tcW w:w="1775" w:type="dxa"/>
            <w:tcBorders>
              <w:top w:val="single" w:color="auto" w:sz="4" w:space="0"/>
              <w:left w:val="single" w:color="auto" w:sz="4" w:space="0"/>
              <w:bottom w:val="single" w:color="auto" w:sz="4" w:space="0"/>
              <w:right w:val="single" w:color="auto" w:sz="4" w:space="0"/>
            </w:tcBorders>
            <w:vAlign w:val="center"/>
          </w:tcPr>
          <w:p w14:paraId="598B0D93">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响应文件的有效期</w:t>
            </w:r>
          </w:p>
        </w:tc>
        <w:tc>
          <w:tcPr>
            <w:tcW w:w="5103" w:type="dxa"/>
            <w:tcBorders>
              <w:top w:val="single" w:color="auto" w:sz="4" w:space="0"/>
              <w:left w:val="single" w:color="auto" w:sz="4" w:space="0"/>
              <w:bottom w:val="single" w:color="auto" w:sz="4" w:space="0"/>
              <w:right w:val="single" w:color="auto" w:sz="4" w:space="0"/>
            </w:tcBorders>
            <w:vAlign w:val="center"/>
          </w:tcPr>
          <w:p w14:paraId="5F46B2E3">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90日历天</w:t>
            </w:r>
          </w:p>
        </w:tc>
      </w:tr>
      <w:tr w14:paraId="5CD23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69ED7871">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892" w:type="dxa"/>
            <w:tcBorders>
              <w:top w:val="single" w:color="auto" w:sz="4" w:space="0"/>
              <w:left w:val="single" w:color="auto" w:sz="4" w:space="0"/>
              <w:bottom w:val="single" w:color="auto" w:sz="4" w:space="0"/>
              <w:right w:val="single" w:color="auto" w:sz="4" w:space="0"/>
            </w:tcBorders>
            <w:vAlign w:val="center"/>
          </w:tcPr>
          <w:p w14:paraId="7247EEE2">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75" w:type="dxa"/>
            <w:tcBorders>
              <w:top w:val="single" w:color="auto" w:sz="4" w:space="0"/>
              <w:left w:val="single" w:color="auto" w:sz="4" w:space="0"/>
              <w:bottom w:val="single" w:color="auto" w:sz="4" w:space="0"/>
              <w:right w:val="single" w:color="auto" w:sz="4" w:space="0"/>
            </w:tcBorders>
            <w:vAlign w:val="center"/>
          </w:tcPr>
          <w:p w14:paraId="40124FD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响应文件提交的截止时间、开启时间及地点</w:t>
            </w:r>
          </w:p>
        </w:tc>
        <w:tc>
          <w:tcPr>
            <w:tcW w:w="5103" w:type="dxa"/>
            <w:tcBorders>
              <w:top w:val="single" w:color="auto" w:sz="4" w:space="0"/>
              <w:left w:val="single" w:color="auto" w:sz="4" w:space="0"/>
              <w:bottom w:val="single" w:color="auto" w:sz="4" w:space="0"/>
              <w:right w:val="single" w:color="auto" w:sz="4" w:space="0"/>
            </w:tcBorders>
            <w:vAlign w:val="center"/>
          </w:tcPr>
          <w:p w14:paraId="79C87F5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见</w:t>
            </w:r>
            <w:r>
              <w:rPr>
                <w:rFonts w:hint="eastAsia" w:ascii="宋体" w:hAnsi="宋体" w:eastAsia="宋体" w:cs="宋体"/>
                <w:bCs/>
                <w:color w:val="000000" w:themeColor="text1"/>
                <w:szCs w:val="21"/>
                <w:highlight w:val="none"/>
                <w:u w:val="single"/>
                <w14:textFill>
                  <w14:solidFill>
                    <w14:schemeClr w14:val="tx1"/>
                  </w14:solidFill>
                </w14:textFill>
              </w:rPr>
              <w:t>采购公告</w:t>
            </w:r>
          </w:p>
        </w:tc>
      </w:tr>
      <w:tr w14:paraId="4729F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6E9EB50">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892" w:type="dxa"/>
            <w:tcBorders>
              <w:top w:val="single" w:color="auto" w:sz="4" w:space="0"/>
              <w:left w:val="single" w:color="auto" w:sz="4" w:space="0"/>
              <w:bottom w:val="single" w:color="auto" w:sz="4" w:space="0"/>
              <w:right w:val="single" w:color="auto" w:sz="4" w:space="0"/>
            </w:tcBorders>
            <w:vAlign w:val="center"/>
          </w:tcPr>
          <w:p w14:paraId="67E862CB">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1775" w:type="dxa"/>
            <w:tcBorders>
              <w:top w:val="single" w:color="auto" w:sz="4" w:space="0"/>
              <w:left w:val="single" w:color="auto" w:sz="4" w:space="0"/>
              <w:bottom w:val="single" w:color="auto" w:sz="4" w:space="0"/>
              <w:right w:val="single" w:color="auto" w:sz="4" w:space="0"/>
            </w:tcBorders>
            <w:vAlign w:val="center"/>
          </w:tcPr>
          <w:p w14:paraId="20A16B86">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响应文件解密时间</w:t>
            </w:r>
          </w:p>
        </w:tc>
        <w:tc>
          <w:tcPr>
            <w:tcW w:w="5103" w:type="dxa"/>
            <w:tcBorders>
              <w:top w:val="single" w:color="auto" w:sz="4" w:space="0"/>
              <w:left w:val="single" w:color="auto" w:sz="4" w:space="0"/>
              <w:bottom w:val="single" w:color="auto" w:sz="4" w:space="0"/>
              <w:right w:val="single" w:color="auto" w:sz="4" w:space="0"/>
            </w:tcBorders>
            <w:vAlign w:val="center"/>
          </w:tcPr>
          <w:p w14:paraId="6BDE8179">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开启响应文件时间到达后30分钟内（以电子交易系统解密倒计时为准）</w:t>
            </w:r>
          </w:p>
        </w:tc>
      </w:tr>
      <w:tr w14:paraId="1D426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2" w:type="dxa"/>
            <w:tcBorders>
              <w:top w:val="single" w:color="auto" w:sz="4" w:space="0"/>
              <w:left w:val="single" w:color="auto" w:sz="4" w:space="0"/>
              <w:bottom w:val="single" w:color="auto" w:sz="4" w:space="0"/>
              <w:right w:val="single" w:color="auto" w:sz="4" w:space="0"/>
            </w:tcBorders>
            <w:vAlign w:val="center"/>
          </w:tcPr>
          <w:p w14:paraId="1BC1EED7">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892" w:type="dxa"/>
            <w:tcBorders>
              <w:top w:val="single" w:color="auto" w:sz="4" w:space="0"/>
              <w:left w:val="single" w:color="auto" w:sz="4" w:space="0"/>
              <w:bottom w:val="single" w:color="auto" w:sz="4" w:space="0"/>
              <w:right w:val="single" w:color="auto" w:sz="4" w:space="0"/>
            </w:tcBorders>
            <w:vAlign w:val="center"/>
          </w:tcPr>
          <w:p w14:paraId="25B62A41">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w:t>
            </w:r>
          </w:p>
        </w:tc>
        <w:tc>
          <w:tcPr>
            <w:tcW w:w="1775" w:type="dxa"/>
            <w:tcBorders>
              <w:top w:val="single" w:color="auto" w:sz="4" w:space="0"/>
              <w:left w:val="single" w:color="auto" w:sz="4" w:space="0"/>
              <w:bottom w:val="single" w:color="auto" w:sz="4" w:space="0"/>
              <w:right w:val="single" w:color="auto" w:sz="4" w:space="0"/>
            </w:tcBorders>
            <w:vAlign w:val="center"/>
          </w:tcPr>
          <w:p w14:paraId="3CA9529E">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评审方法</w:t>
            </w:r>
          </w:p>
        </w:tc>
        <w:tc>
          <w:tcPr>
            <w:tcW w:w="5103" w:type="dxa"/>
            <w:tcBorders>
              <w:top w:val="single" w:color="auto" w:sz="4" w:space="0"/>
              <w:left w:val="single" w:color="auto" w:sz="4" w:space="0"/>
              <w:bottom w:val="single" w:color="auto" w:sz="4" w:space="0"/>
              <w:right w:val="single" w:color="auto" w:sz="4" w:space="0"/>
            </w:tcBorders>
            <w:vAlign w:val="center"/>
          </w:tcPr>
          <w:p w14:paraId="6F7D890A">
            <w:pPr>
              <w:keepNext w:val="0"/>
              <w:keepLines w:val="0"/>
              <w:pageBreakBefore w:val="0"/>
              <w:widowControl w:val="0"/>
              <w:shd w:val="clear"/>
              <w:kinsoku/>
              <w:wordWrap/>
              <w:overflowPunct/>
              <w:topLinePunct w:val="0"/>
              <w:autoSpaceDE/>
              <w:autoSpaceDN/>
              <w:bidi w:val="0"/>
              <w:adjustRightInd/>
              <w:spacing w:line="240" w:lineRule="auto"/>
              <w:ind w:left="0" w:leftChars="0" w:right="0" w:rightChars="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综合评分法</w:t>
            </w:r>
          </w:p>
        </w:tc>
      </w:tr>
    </w:tbl>
    <w:p w14:paraId="78420411">
      <w:pPr>
        <w:pageBreakBefore w:val="0"/>
        <w:shd w:val="clear"/>
        <w:kinsoku/>
        <w:wordWrap/>
        <w:overflowPunct/>
        <w:topLinePunct w:val="0"/>
        <w:bidi w:val="0"/>
        <w:spacing w:line="360" w:lineRule="auto"/>
        <w:ind w:left="0" w:leftChars="0" w:right="0" w:rightChars="0" w:firstLine="425"/>
        <w:rPr>
          <w:rFonts w:hint="eastAsia" w:ascii="宋体" w:hAnsi="宋体" w:eastAsia="宋体" w:cs="宋体"/>
          <w:b/>
          <w:color w:val="000000" w:themeColor="text1"/>
          <w:szCs w:val="21"/>
          <w:highlight w:val="none"/>
          <w14:textFill>
            <w14:solidFill>
              <w14:schemeClr w14:val="tx1"/>
            </w14:solidFill>
          </w14:textFill>
        </w:rPr>
      </w:pPr>
    </w:p>
    <w:p w14:paraId="676F99B4">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一、总则</w:t>
      </w:r>
    </w:p>
    <w:p w14:paraId="4D196172">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1.适用范围</w:t>
      </w:r>
    </w:p>
    <w:p w14:paraId="6BC47CBC">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本磋商文件适用于本次磋商采购所述服务的采购。</w:t>
      </w:r>
    </w:p>
    <w:p w14:paraId="6373068D">
      <w:pPr>
        <w:pageBreakBefore w:val="0"/>
        <w:shd w:val="clear"/>
        <w:tabs>
          <w:tab w:val="left" w:pos="3600"/>
        </w:tabs>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2.定义</w:t>
      </w:r>
    </w:p>
    <w:p w14:paraId="664AEFD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2.1书面形式：包括信件、电报、电传、传真、网上公告等可以有形地表现所载内容的形式。以电子数据交换、电子邮件等方式能够有形地表现所载内容，并可以随时调取查用的数据电文，视为书面形式。</w:t>
      </w:r>
    </w:p>
    <w:p w14:paraId="76CA03B0">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2.2标注“▲”的属于磋商文件的实质性要求条款，“</w:t>
      </w:r>
      <w:r>
        <w:rPr>
          <w:rFonts w:hint="eastAsia" w:ascii="宋体" w:hAnsi="宋体" w:eastAsia="宋体" w:cs="宋体"/>
          <w:color w:val="000000" w:themeColor="text1"/>
          <w:szCs w:val="21"/>
          <w:highlight w:val="none"/>
          <w14:textFill>
            <w14:solidFill>
              <w14:schemeClr w14:val="tx1"/>
            </w14:solidFill>
          </w14:textFill>
        </w:rPr>
        <w:sym w:font="Wingdings" w:char="F0FE"/>
      </w:r>
      <w:r>
        <w:rPr>
          <w:rFonts w:hint="eastAsia" w:ascii="宋体" w:hAnsi="宋体" w:eastAsia="宋体" w:cs="宋体"/>
          <w:color w:val="000000" w:themeColor="text1"/>
          <w:szCs w:val="21"/>
          <w:highlight w:val="none"/>
          <w14:textFill>
            <w14:solidFill>
              <w14:schemeClr w14:val="tx1"/>
            </w14:solidFill>
          </w14:textFill>
        </w:rPr>
        <w:t>”系指适用本项目的要求，“</w:t>
      </w: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”系指不适用本项目的要求。</w:t>
      </w:r>
    </w:p>
    <w:p w14:paraId="2F5332D6">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2.3公章：供应商在响应文件及通知等事项的书面文件中的单位盖章、公章等处，均仅指与磋商响应供应商名称全称相一致的标准公章（行政章），不得使用其它形式，如带有“专用章”“业务章”等字样的印章。</w:t>
      </w:r>
    </w:p>
    <w:p w14:paraId="5FCF253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2.4电子交易平台：指本次政府采购活动所依托的政府采购云平台（https://www.zcygov.cn/）。</w:t>
      </w:r>
    </w:p>
    <w:p w14:paraId="638B34D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2.5依法获取磋商文件：供应商按照</w:t>
      </w:r>
      <w:r>
        <w:rPr>
          <w:rFonts w:hint="eastAsia" w:ascii="宋体" w:hAnsi="宋体" w:eastAsia="宋体" w:cs="宋体"/>
          <w:color w:val="000000" w:themeColor="text1"/>
          <w:szCs w:val="21"/>
          <w:highlight w:val="none"/>
          <w:u w:val="single"/>
          <w14:textFill>
            <w14:solidFill>
              <w14:schemeClr w14:val="tx1"/>
            </w14:solidFill>
          </w14:textFill>
        </w:rPr>
        <w:t>《第一章  采购公告》</w:t>
      </w:r>
      <w:r>
        <w:rPr>
          <w:rFonts w:hint="eastAsia" w:ascii="宋体" w:hAnsi="宋体" w:eastAsia="宋体" w:cs="宋体"/>
          <w:bCs/>
          <w:color w:val="000000" w:themeColor="text1"/>
          <w:szCs w:val="21"/>
          <w:highlight w:val="none"/>
          <w14:textFill>
            <w14:solidFill>
              <w14:schemeClr w14:val="tx1"/>
            </w14:solidFill>
          </w14:textFill>
        </w:rPr>
        <w:t>第三条的约定实施</w:t>
      </w:r>
      <w:r>
        <w:rPr>
          <w:rFonts w:hint="eastAsia" w:ascii="宋体" w:hAnsi="宋体" w:eastAsia="宋体" w:cs="宋体"/>
          <w:color w:val="000000" w:themeColor="text1"/>
          <w:highlight w:val="none"/>
          <w14:textFill>
            <w14:solidFill>
              <w14:schemeClr w14:val="tx1"/>
            </w14:solidFill>
          </w14:textFill>
        </w:rPr>
        <w:t>。</w:t>
      </w:r>
    </w:p>
    <w:p w14:paraId="3D851849">
      <w:pPr>
        <w:pageBreakBefore w:val="0"/>
        <w:shd w:val="clear"/>
        <w:tabs>
          <w:tab w:val="left" w:pos="3600"/>
        </w:tabs>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3.采购人、采购代理机构及供应商</w:t>
      </w:r>
    </w:p>
    <w:p w14:paraId="4EFF9CFF">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3.1采购人：是指依法开展政府采购活动的国家机关、事业单位、团体组织。本项目的采购人见</w:t>
      </w:r>
      <w:r>
        <w:rPr>
          <w:rFonts w:hint="eastAsia" w:ascii="宋体" w:hAnsi="宋体" w:eastAsia="宋体" w:cs="宋体"/>
          <w:color w:val="000000" w:themeColor="text1"/>
          <w:szCs w:val="21"/>
          <w:highlight w:val="none"/>
          <w:u w:val="single"/>
          <w14:textFill>
            <w14:solidFill>
              <w14:schemeClr w14:val="tx1"/>
            </w14:solidFill>
          </w14:textFill>
        </w:rPr>
        <w:t>供应商须知前附表</w:t>
      </w:r>
      <w:r>
        <w:rPr>
          <w:rFonts w:hint="eastAsia" w:ascii="宋体" w:hAnsi="宋体" w:eastAsia="宋体" w:cs="宋体"/>
          <w:color w:val="000000" w:themeColor="text1"/>
          <w:szCs w:val="21"/>
          <w:highlight w:val="none"/>
          <w14:textFill>
            <w14:solidFill>
              <w14:schemeClr w14:val="tx1"/>
            </w14:solidFill>
          </w14:textFill>
        </w:rPr>
        <w:t>。</w:t>
      </w:r>
    </w:p>
    <w:p w14:paraId="5F984A95">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3.2采购代理机构：是指从事采购代理业务的社会中介机构。本项目的采购代理机构见</w:t>
      </w:r>
      <w:r>
        <w:rPr>
          <w:rFonts w:hint="eastAsia" w:ascii="宋体" w:hAnsi="宋体" w:eastAsia="宋体" w:cs="宋体"/>
          <w:color w:val="000000" w:themeColor="text1"/>
          <w:szCs w:val="21"/>
          <w:highlight w:val="none"/>
          <w:u w:val="single"/>
          <w14:textFill>
            <w14:solidFill>
              <w14:schemeClr w14:val="tx1"/>
            </w14:solidFill>
          </w14:textFill>
        </w:rPr>
        <w:t>供应商须知前附表</w:t>
      </w:r>
      <w:r>
        <w:rPr>
          <w:rFonts w:hint="eastAsia" w:ascii="宋体" w:hAnsi="宋体" w:eastAsia="宋体" w:cs="宋体"/>
          <w:color w:val="000000" w:themeColor="text1"/>
          <w:szCs w:val="21"/>
          <w:highlight w:val="none"/>
          <w14:textFill>
            <w14:solidFill>
              <w14:schemeClr w14:val="tx1"/>
            </w14:solidFill>
          </w14:textFill>
        </w:rPr>
        <w:t>。</w:t>
      </w:r>
    </w:p>
    <w:p w14:paraId="0CDD64EB">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3.3政府采购监督管理部门：各级人民政府指定的有关部门依法履行与政府采购活动有关的监督管理职责。本项目的政府采购监督管理部门见</w:t>
      </w:r>
      <w:r>
        <w:rPr>
          <w:rFonts w:hint="eastAsia" w:ascii="宋体" w:hAnsi="宋体" w:eastAsia="宋体" w:cs="宋体"/>
          <w:color w:val="000000" w:themeColor="text1"/>
          <w:szCs w:val="21"/>
          <w:highlight w:val="none"/>
          <w:u w:val="single"/>
          <w14:textFill>
            <w14:solidFill>
              <w14:schemeClr w14:val="tx1"/>
            </w14:solidFill>
          </w14:textFill>
        </w:rPr>
        <w:t>供应商须知前附表</w:t>
      </w:r>
      <w:r>
        <w:rPr>
          <w:rFonts w:hint="eastAsia" w:ascii="宋体" w:hAnsi="宋体" w:eastAsia="宋体" w:cs="宋体"/>
          <w:color w:val="000000" w:themeColor="text1"/>
          <w:szCs w:val="21"/>
          <w:highlight w:val="none"/>
          <w14:textFill>
            <w14:solidFill>
              <w14:schemeClr w14:val="tx1"/>
            </w14:solidFill>
          </w14:textFill>
        </w:rPr>
        <w:t>。</w:t>
      </w:r>
    </w:p>
    <w:p w14:paraId="3FA80C8F">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3.4供应商：是指向采购人提供货物、工程或者服务的法人、其他组织或者自然人。</w:t>
      </w:r>
      <w:r>
        <w:rPr>
          <w:rFonts w:hint="eastAsia" w:ascii="宋体" w:hAnsi="宋体" w:eastAsia="宋体" w:cs="宋体"/>
          <w:b/>
          <w:color w:val="000000" w:themeColor="text1"/>
          <w:szCs w:val="21"/>
          <w:highlight w:val="none"/>
          <w14:textFill>
            <w14:solidFill>
              <w14:schemeClr w14:val="tx1"/>
            </w14:solidFill>
          </w14:textFill>
        </w:rPr>
        <w:t>本项目不接受分支机构参加磋商。</w:t>
      </w:r>
      <w:r>
        <w:rPr>
          <w:rFonts w:hint="eastAsia" w:ascii="宋体" w:hAnsi="宋体" w:eastAsia="宋体" w:cs="宋体"/>
          <w:color w:val="000000" w:themeColor="text1"/>
          <w:szCs w:val="21"/>
          <w:highlight w:val="none"/>
          <w14:textFill>
            <w14:solidFill>
              <w14:schemeClr w14:val="tx1"/>
            </w14:solidFill>
          </w14:textFill>
        </w:rPr>
        <w:t>本项目的供应商须满足</w:t>
      </w:r>
      <w:r>
        <w:rPr>
          <w:rFonts w:hint="eastAsia" w:ascii="宋体" w:hAnsi="宋体" w:eastAsia="宋体" w:cs="宋体"/>
          <w:color w:val="000000" w:themeColor="text1"/>
          <w:szCs w:val="21"/>
          <w:highlight w:val="none"/>
          <w:u w:val="single"/>
          <w14:textFill>
            <w14:solidFill>
              <w14:schemeClr w14:val="tx1"/>
            </w14:solidFill>
          </w14:textFill>
        </w:rPr>
        <w:t>《第一章  采购公告》</w:t>
      </w:r>
      <w:r>
        <w:rPr>
          <w:rFonts w:hint="eastAsia" w:ascii="宋体" w:hAnsi="宋体" w:eastAsia="宋体" w:cs="宋体"/>
          <w:color w:val="000000" w:themeColor="text1"/>
          <w:szCs w:val="21"/>
          <w:highlight w:val="none"/>
          <w14:textFill>
            <w14:solidFill>
              <w14:schemeClr w14:val="tx1"/>
            </w14:solidFill>
          </w14:textFill>
        </w:rPr>
        <w:t>中关于申请人的资格要求的规定。</w:t>
      </w:r>
    </w:p>
    <w:p w14:paraId="67C9F180">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bookmarkStart w:id="51" w:name="_Hlk60580861"/>
      <w:r>
        <w:rPr>
          <w:rFonts w:hint="eastAsia" w:ascii="宋体" w:hAnsi="宋体" w:eastAsia="宋体" w:cs="宋体"/>
          <w:bCs/>
          <w:color w:val="000000" w:themeColor="text1"/>
          <w:kern w:val="0"/>
          <w:szCs w:val="21"/>
          <w:highlight w:val="none"/>
          <w14:textFill>
            <w14:solidFill>
              <w14:schemeClr w14:val="tx1"/>
            </w14:solidFill>
          </w14:textFill>
        </w:rPr>
        <w:t>3.5本项目不接受联合体参加磋商</w:t>
      </w:r>
      <w:r>
        <w:rPr>
          <w:rFonts w:hint="eastAsia" w:ascii="宋体" w:hAnsi="宋体" w:eastAsia="宋体" w:cs="宋体"/>
          <w:color w:val="000000" w:themeColor="text1"/>
          <w:szCs w:val="21"/>
          <w:highlight w:val="none"/>
          <w14:textFill>
            <w14:solidFill>
              <w14:schemeClr w14:val="tx1"/>
            </w14:solidFill>
          </w14:textFill>
        </w:rPr>
        <w:t>。</w:t>
      </w:r>
    </w:p>
    <w:bookmarkEnd w:id="51"/>
    <w:p w14:paraId="1971EEB2">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3.6单位负责人为同一人或者存在直接控股、管理关系的不同供应商，不得参加同一合同项下的政府采购活动。否则相关单位均将被认定为</w:t>
      </w:r>
      <w:r>
        <w:rPr>
          <w:rFonts w:hint="eastAsia" w:ascii="宋体" w:hAnsi="宋体" w:eastAsia="宋体" w:cs="宋体"/>
          <w:b/>
          <w:bCs/>
          <w:color w:val="000000" w:themeColor="text1"/>
          <w:szCs w:val="21"/>
          <w:highlight w:val="none"/>
          <w14:textFill>
            <w14:solidFill>
              <w14:schemeClr w14:val="tx1"/>
            </w14:solidFill>
          </w14:textFill>
        </w:rPr>
        <w:t>响应无效</w:t>
      </w:r>
      <w:r>
        <w:rPr>
          <w:rFonts w:hint="eastAsia" w:ascii="宋体" w:hAnsi="宋体" w:eastAsia="宋体" w:cs="宋体"/>
          <w:color w:val="000000" w:themeColor="text1"/>
          <w:szCs w:val="21"/>
          <w:highlight w:val="none"/>
          <w14:textFill>
            <w14:solidFill>
              <w14:schemeClr w14:val="tx1"/>
            </w14:solidFill>
          </w14:textFill>
        </w:rPr>
        <w:t>。</w:t>
      </w:r>
    </w:p>
    <w:p w14:paraId="7D36B3EE">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3.7为本项目提供过整体设计、规范编制或者项目管理、监理、检测等服务的供应商，不得再参加本项目的采购活动。</w:t>
      </w:r>
      <w:bookmarkStart w:id="52" w:name="_Hlk13431092"/>
      <w:r>
        <w:rPr>
          <w:rFonts w:hint="eastAsia" w:ascii="宋体" w:hAnsi="宋体" w:eastAsia="宋体" w:cs="宋体"/>
          <w:color w:val="000000" w:themeColor="text1"/>
          <w:szCs w:val="21"/>
          <w:highlight w:val="none"/>
          <w14:textFill>
            <w14:solidFill>
              <w14:schemeClr w14:val="tx1"/>
            </w14:solidFill>
          </w14:textFill>
        </w:rPr>
        <w:t>否则将被认定为</w:t>
      </w:r>
      <w:r>
        <w:rPr>
          <w:rFonts w:hint="eastAsia" w:ascii="宋体" w:hAnsi="宋体" w:eastAsia="宋体" w:cs="宋体"/>
          <w:b/>
          <w:color w:val="000000" w:themeColor="text1"/>
          <w:szCs w:val="21"/>
          <w:highlight w:val="none"/>
          <w14:textFill>
            <w14:solidFill>
              <w14:schemeClr w14:val="tx1"/>
            </w14:solidFill>
          </w14:textFill>
        </w:rPr>
        <w:t>响应无效</w:t>
      </w:r>
      <w:r>
        <w:rPr>
          <w:rFonts w:hint="eastAsia" w:ascii="宋体" w:hAnsi="宋体" w:eastAsia="宋体" w:cs="宋体"/>
          <w:color w:val="000000" w:themeColor="text1"/>
          <w:szCs w:val="21"/>
          <w:highlight w:val="none"/>
          <w14:textFill>
            <w14:solidFill>
              <w14:schemeClr w14:val="tx1"/>
            </w14:solidFill>
          </w14:textFill>
        </w:rPr>
        <w:t>。</w:t>
      </w:r>
      <w:bookmarkEnd w:id="52"/>
    </w:p>
    <w:p w14:paraId="30E526E5">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4.资金来源</w:t>
      </w:r>
    </w:p>
    <w:p w14:paraId="3C70567C">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4.1本项目的采购人已获得足以支付本次采购后所签订的合同项下的资金。</w:t>
      </w:r>
    </w:p>
    <w:p w14:paraId="0EEC6FE4">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bookmarkStart w:id="53" w:name="_Hlk11702998"/>
      <w:r>
        <w:rPr>
          <w:rFonts w:hint="eastAsia" w:ascii="宋体" w:hAnsi="宋体" w:eastAsia="宋体" w:cs="宋体"/>
          <w:color w:val="000000" w:themeColor="text1"/>
          <w:szCs w:val="21"/>
          <w:highlight w:val="none"/>
          <w14:textFill>
            <w14:solidFill>
              <w14:schemeClr w14:val="tx1"/>
            </w14:solidFill>
          </w14:textFill>
        </w:rPr>
        <w:t>4.2项目预算金额和最高限价见</w:t>
      </w:r>
      <w:r>
        <w:rPr>
          <w:rFonts w:hint="eastAsia" w:ascii="宋体" w:hAnsi="宋体" w:eastAsia="宋体" w:cs="宋体"/>
          <w:color w:val="000000" w:themeColor="text1"/>
          <w:szCs w:val="21"/>
          <w:highlight w:val="none"/>
          <w:u w:val="single"/>
          <w14:textFill>
            <w14:solidFill>
              <w14:schemeClr w14:val="tx1"/>
            </w14:solidFill>
          </w14:textFill>
        </w:rPr>
        <w:t>《第一章  采购公告》</w:t>
      </w:r>
      <w:r>
        <w:rPr>
          <w:rFonts w:hint="eastAsia" w:ascii="宋体" w:hAnsi="宋体" w:eastAsia="宋体" w:cs="宋体"/>
          <w:color w:val="000000" w:themeColor="text1"/>
          <w:szCs w:val="21"/>
          <w:highlight w:val="none"/>
          <w14:textFill>
            <w14:solidFill>
              <w14:schemeClr w14:val="tx1"/>
            </w14:solidFill>
          </w14:textFill>
        </w:rPr>
        <w:t>。</w:t>
      </w:r>
    </w:p>
    <w:bookmarkEnd w:id="53"/>
    <w:p w14:paraId="34327DEB">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5.磋商委托</w:t>
      </w:r>
    </w:p>
    <w:p w14:paraId="31E91C82">
      <w:pPr>
        <w:pStyle w:val="32"/>
        <w:pageBreakBefore w:val="0"/>
        <w:widowControl w:val="0"/>
        <w:shd w:val="clear"/>
        <w:kinsoku/>
        <w:wordWrap/>
        <w:overflowPunct/>
        <w:topLinePunct w:val="0"/>
        <w:bidi w:val="0"/>
        <w:spacing w:afterLines="0" w:line="360" w:lineRule="auto"/>
        <w:ind w:left="0" w:leftChars="0" w:right="0" w:rightChars="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的签署人应当为供应商的法定代表人，并提供法定代表人身份证正反面复印件。如供应商委托他人签署响应文件办理磋商响应事务的，提供供应商出具的授权委托书及法定代表人和授权代表的身份证正反面复印件。</w:t>
      </w:r>
    </w:p>
    <w:p w14:paraId="5A9AD698">
      <w:pPr>
        <w:pStyle w:val="32"/>
        <w:pageBreakBefore w:val="0"/>
        <w:widowControl w:val="0"/>
        <w:shd w:val="clear"/>
        <w:kinsoku/>
        <w:wordWrap/>
        <w:overflowPunct/>
        <w:topLinePunct w:val="0"/>
        <w:bidi w:val="0"/>
        <w:spacing w:afterLines="0" w:line="360" w:lineRule="auto"/>
        <w:ind w:left="0" w:leftChars="0" w:right="0" w:rightChars="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法定代表人或其授权代表未在响应文件中签署姓名的情况下，不要求在响应文件中提供法定代表人的身份证或授权代表委托书及其附件。</w:t>
      </w:r>
    </w:p>
    <w:p w14:paraId="235FDC10">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6.磋商费用</w:t>
      </w:r>
    </w:p>
    <w:p w14:paraId="6A28F400">
      <w:pPr>
        <w:pStyle w:val="32"/>
        <w:pageBreakBefore w:val="0"/>
        <w:widowControl w:val="0"/>
        <w:shd w:val="clear"/>
        <w:kinsoku/>
        <w:wordWrap/>
        <w:overflowPunct/>
        <w:topLinePunct w:val="0"/>
        <w:bidi w:val="0"/>
        <w:spacing w:afterLines="0" w:line="360" w:lineRule="auto"/>
        <w:ind w:left="0" w:leftChars="0" w:right="0" w:rightChars="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不论磋商的结果如何，供应商自行承担所有与准备和参加磋商有关的费用。</w:t>
      </w:r>
    </w:p>
    <w:p w14:paraId="3EA9F0E6">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7.适用法律</w:t>
      </w:r>
    </w:p>
    <w:p w14:paraId="454D8AFE">
      <w:pPr>
        <w:pStyle w:val="32"/>
        <w:pageBreakBefore w:val="0"/>
        <w:widowControl w:val="0"/>
        <w:shd w:val="clear"/>
        <w:kinsoku/>
        <w:wordWrap/>
        <w:overflowPunct/>
        <w:topLinePunct w:val="0"/>
        <w:bidi w:val="0"/>
        <w:spacing w:afterLines="0" w:line="360" w:lineRule="auto"/>
        <w:ind w:left="0" w:leftChars="0" w:right="0" w:rightChars="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购人、采购代理机构、供应商、竞争性磋商小组（以下简称磋商小组）的相关行为均受《中华人民共和国政府采购法》《中华人民共和国政府采购法实施条例》《政府采购竞争性磋商采购方式管理暂行办法》等政府采购法律法规的约束，其权利亦受到上述法律法规的保护。</w:t>
      </w:r>
    </w:p>
    <w:p w14:paraId="0CD701CD">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8.知识产权</w:t>
      </w:r>
    </w:p>
    <w:p w14:paraId="47F5F75B">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应保证在本项目使用的任何产品（包括部分使用），不会产生因第三方提出侵犯其著作权、专利权、商标权等知识产权而引起法律或经济纠纷。如果任何第三方提出侵权指控，由供应商与该第三方交涉并承担由此发生的一切责任、费用和赔偿。</w:t>
      </w:r>
    </w:p>
    <w:p w14:paraId="11944021">
      <w:pPr>
        <w:pageBreakBefore w:val="0"/>
        <w:shd w:val="clear"/>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供应商采用自身所不拥有的知识产权，无论是否在磋商报价中单独列明，采购人均视为报价已包含供应商合法获取该知识产权的相关费用。</w:t>
      </w:r>
    </w:p>
    <w:p w14:paraId="6CB67865">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9.转包与分包</w:t>
      </w:r>
    </w:p>
    <w:p w14:paraId="5234E211">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9.1本项目不允许转包。</w:t>
      </w:r>
    </w:p>
    <w:p w14:paraId="519523F7">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9.2本项目未经采购人同意不允许分包。</w:t>
      </w:r>
    </w:p>
    <w:p w14:paraId="3C7D0023">
      <w:pPr>
        <w:pageBreakBefore w:val="0"/>
        <w:shd w:val="clear"/>
        <w:tabs>
          <w:tab w:val="left" w:pos="426"/>
        </w:tabs>
        <w:kinsoku/>
        <w:wordWrap/>
        <w:overflowPunct/>
        <w:topLinePunct w:val="0"/>
        <w:bidi w:val="0"/>
        <w:snapToGrid w:val="0"/>
        <w:spacing w:line="360" w:lineRule="auto"/>
        <w:ind w:left="0" w:leftChars="0" w:right="0" w:rightChars="0" w:firstLine="422" w:firstLineChars="20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10.质疑和投诉</w:t>
      </w:r>
    </w:p>
    <w:p w14:paraId="04EFECCD">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供应商认为磋商文件、采购过程和成交结果使自己的权益受到损害的，可以根据《中华人民共和国政府采购法》《中华人民共和国政府采购法实施条例》和《政府采购质疑和投诉办法》的有关规定，依法向采购人或采购代理机构提出质疑。</w:t>
      </w:r>
    </w:p>
    <w:p w14:paraId="6C957355">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10.2供应商应按《政府采购质疑和投诉办法》的要求，在法定质疑期内以书面形式提出质疑，超出法定质疑期提交的质疑将被拒绝。针对同一采购程序环节的质疑应一次性提出。</w:t>
      </w:r>
    </w:p>
    <w:p w14:paraId="2634B46E">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10.3采购代理机构质疑函接收部门、联系电话和通讯地址，见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w:t>
      </w:r>
    </w:p>
    <w:p w14:paraId="40A37DE8">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10.4质疑供应商对采购人、采购代理机构的答复不满意，或者采购人、采购代理机构未在规定时间内作出答复的，可以在答复期满后15个工作日内向财政部门提起投诉，财政部门信息详见</w:t>
      </w:r>
      <w:r>
        <w:rPr>
          <w:rFonts w:hint="eastAsia" w:ascii="宋体" w:hAnsi="宋体" w:eastAsia="宋体" w:cs="宋体"/>
          <w:color w:val="000000" w:themeColor="text1"/>
          <w:szCs w:val="21"/>
          <w:highlight w:val="none"/>
          <w:u w:val="single"/>
          <w14:textFill>
            <w14:solidFill>
              <w14:schemeClr w14:val="tx1"/>
            </w14:solidFill>
          </w14:textFill>
        </w:rPr>
        <w:t>《第一章  采购公告》</w:t>
      </w:r>
      <w:r>
        <w:rPr>
          <w:rFonts w:hint="eastAsia" w:ascii="宋体" w:hAnsi="宋体" w:eastAsia="宋体" w:cs="宋体"/>
          <w:color w:val="000000" w:themeColor="text1"/>
          <w:szCs w:val="21"/>
          <w:highlight w:val="none"/>
          <w14:textFill>
            <w14:solidFill>
              <w14:schemeClr w14:val="tx1"/>
            </w14:solidFill>
          </w14:textFill>
        </w:rPr>
        <w:t>。</w:t>
      </w:r>
    </w:p>
    <w:p w14:paraId="733E235E">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11.供应商信用记录查询及使用</w:t>
      </w:r>
    </w:p>
    <w:p w14:paraId="1F5BF765">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11.1信用信息查询渠道：“信用中国”网站（www.creditchina.gov.cn）、中国政府采购网（www.ccgp.gov.cn）。</w:t>
      </w:r>
    </w:p>
    <w:p w14:paraId="61C40964">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11.2信用信息查询截止时点：响应截止时间后至评审结束前。</w:t>
      </w:r>
    </w:p>
    <w:p w14:paraId="6C481D69">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11.3信用信息查询记录和证据留存的具体方式：由采购代理机构工作人员将查询网页打印并与其他采购文件一并存档备查。</w:t>
      </w:r>
    </w:p>
    <w:p w14:paraId="071FFDB0">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供应商不良信用记录以采购代理机构查询结果为准。</w:t>
      </w:r>
      <w:bookmarkStart w:id="54" w:name="_Hlk24663338"/>
      <w:r>
        <w:rPr>
          <w:rFonts w:hint="eastAsia" w:ascii="宋体" w:hAnsi="宋体" w:eastAsia="宋体" w:cs="宋体"/>
          <w:color w:val="000000" w:themeColor="text1"/>
          <w:sz w:val="21"/>
          <w:szCs w:val="21"/>
          <w:highlight w:val="none"/>
          <w14:textFill>
            <w14:solidFill>
              <w14:schemeClr w14:val="tx1"/>
            </w14:solidFill>
          </w14:textFill>
        </w:rPr>
        <w:t>在磋商文件规定的查询时间之外，网站信息发生的任何变更均不作为资格审查依据。</w:t>
      </w:r>
      <w:bookmarkEnd w:id="54"/>
      <w:r>
        <w:rPr>
          <w:rFonts w:hint="eastAsia" w:ascii="宋体" w:hAnsi="宋体" w:eastAsia="宋体" w:cs="宋体"/>
          <w:color w:val="000000" w:themeColor="text1"/>
          <w:sz w:val="21"/>
          <w:szCs w:val="21"/>
          <w:highlight w:val="none"/>
          <w14:textFill>
            <w14:solidFill>
              <w14:schemeClr w14:val="tx1"/>
            </w14:solidFill>
          </w14:textFill>
        </w:rPr>
        <w:t>供应商自行提供的网站查询结果材料亦不作为资格审查依据。</w:t>
      </w:r>
    </w:p>
    <w:p w14:paraId="24F5EF36">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11.4信用信息的使用规则：供应商存在采购文件明确不得存在的不良信用记录的，其磋商响应将被认定为</w:t>
      </w:r>
      <w:r>
        <w:rPr>
          <w:rFonts w:hint="eastAsia" w:ascii="宋体" w:hAnsi="宋体" w:eastAsia="宋体" w:cs="宋体"/>
          <w:b/>
          <w:color w:val="000000" w:themeColor="text1"/>
          <w:sz w:val="21"/>
          <w:szCs w:val="21"/>
          <w:highlight w:val="none"/>
          <w14:textFill>
            <w14:solidFill>
              <w14:schemeClr w14:val="tx1"/>
            </w14:solidFill>
          </w14:textFill>
        </w:rPr>
        <w:t>响应无效</w:t>
      </w:r>
      <w:r>
        <w:rPr>
          <w:rFonts w:hint="eastAsia" w:ascii="宋体" w:hAnsi="宋体" w:eastAsia="宋体" w:cs="宋体"/>
          <w:color w:val="000000" w:themeColor="text1"/>
          <w:sz w:val="21"/>
          <w:szCs w:val="21"/>
          <w:highlight w:val="none"/>
          <w14:textFill>
            <w14:solidFill>
              <w14:schemeClr w14:val="tx1"/>
            </w14:solidFill>
          </w14:textFill>
        </w:rPr>
        <w:t>。</w:t>
      </w:r>
    </w:p>
    <w:p w14:paraId="0332D733">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12.政府采购信息发布媒体</w:t>
      </w:r>
    </w:p>
    <w:p w14:paraId="1CB4D404">
      <w:pPr>
        <w:pStyle w:val="11"/>
        <w:pageBreakBefore w:val="0"/>
        <w:shd w:val="clear"/>
        <w:kinsoku/>
        <w:wordWrap/>
        <w:overflowPunct/>
        <w:topLinePunct w:val="0"/>
        <w:bidi w:val="0"/>
        <w:snapToGrid w:val="0"/>
        <w:spacing w:after="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本项目政府采购信息发布媒体详见</w:t>
      </w:r>
      <w:r>
        <w:rPr>
          <w:rFonts w:hint="eastAsia" w:ascii="宋体" w:hAnsi="宋体" w:eastAsia="宋体" w:cs="宋体"/>
          <w:color w:val="000000" w:themeColor="text1"/>
          <w:sz w:val="21"/>
          <w:szCs w:val="21"/>
          <w:highlight w:val="none"/>
          <w:u w:val="single"/>
          <w14:textFill>
            <w14:solidFill>
              <w14:schemeClr w14:val="tx1"/>
            </w14:solidFill>
          </w14:textFill>
        </w:rPr>
        <w:t>《第一章  采购公告》</w:t>
      </w:r>
      <w:r>
        <w:rPr>
          <w:rFonts w:hint="eastAsia" w:ascii="宋体" w:hAnsi="宋体" w:eastAsia="宋体" w:cs="宋体"/>
          <w:color w:val="000000" w:themeColor="text1"/>
          <w:sz w:val="21"/>
          <w:szCs w:val="21"/>
          <w:highlight w:val="none"/>
          <w14:textFill>
            <w14:solidFill>
              <w14:schemeClr w14:val="tx1"/>
            </w14:solidFill>
          </w14:textFill>
        </w:rPr>
        <w:t>。</w:t>
      </w:r>
    </w:p>
    <w:p w14:paraId="38E842C5">
      <w:pPr>
        <w:pageBreakBefore w:val="0"/>
        <w:shd w:val="clear"/>
        <w:kinsoku/>
        <w:wordWrap/>
        <w:overflowPunct/>
        <w:topLinePunct w:val="0"/>
        <w:bidi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13.采购代理服务费用的收取标准和方式</w:t>
      </w:r>
    </w:p>
    <w:p w14:paraId="0419F62A">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13.1采购代理服务费用的收取标准：见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w:t>
      </w:r>
    </w:p>
    <w:p w14:paraId="58DB022A">
      <w:pPr>
        <w:pStyle w:val="11"/>
        <w:pageBreakBefore w:val="0"/>
        <w:shd w:val="clear"/>
        <w:kinsoku/>
        <w:wordWrap/>
        <w:overflowPunct/>
        <w:topLinePunct w:val="0"/>
        <w:bidi w:val="0"/>
        <w:snapToGrid w:val="0"/>
        <w:spacing w:after="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13.2采购代理服务费的支付：见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w:t>
      </w:r>
    </w:p>
    <w:p w14:paraId="3D99A878">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13.3成交供应商应当将采购代理服务费按照规定交至代理机构银行账户，并将开票信息及要求、发票收件信息发送至3302172248@qq.com，采购代理机构收款账户信息：</w:t>
      </w:r>
    </w:p>
    <w:p w14:paraId="19D88682">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开户银行：中国工商银行宁波市鼓楼支行</w:t>
      </w:r>
    </w:p>
    <w:p w14:paraId="03FE9C12">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户    名：宁波名诚招标代理有限公司</w:t>
      </w:r>
    </w:p>
    <w:p w14:paraId="3B8C59E7">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账    号：3901110019200459750</w:t>
      </w:r>
    </w:p>
    <w:p w14:paraId="603E3280">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14.其他</w:t>
      </w:r>
    </w:p>
    <w:p w14:paraId="7BE962FC">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14.1磋商文件的标题和序号只是为了查阅方便，不影响对磋商文件的理解。</w:t>
      </w:r>
    </w:p>
    <w:p w14:paraId="76A67F70">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14.2供应商应当及时维护政府采购云平台（https://www.zcygov.cn/）注册信息，包含但不仅限于单位银行账户信息等。</w:t>
      </w:r>
    </w:p>
    <w:p w14:paraId="03A7D9B7">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二、磋商文件</w:t>
      </w:r>
    </w:p>
    <w:p w14:paraId="633FCA36">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15.磋商文件的构成</w:t>
      </w:r>
    </w:p>
    <w:p w14:paraId="5D9D3FB2">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磋商文件共六章，由下列文件以及在采购过程中发出的澄清或修改文件组成，内容如下：</w:t>
      </w:r>
    </w:p>
    <w:p w14:paraId="18FCA43F">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第一章  采购公告</w:t>
      </w:r>
    </w:p>
    <w:p w14:paraId="2C552252">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第二章  采购需求</w:t>
      </w:r>
    </w:p>
    <w:p w14:paraId="7202C923">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第三章  供应商须知</w:t>
      </w:r>
    </w:p>
    <w:p w14:paraId="3530C97B">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第四章  评审方法和评审标准</w:t>
      </w:r>
    </w:p>
    <w:p w14:paraId="45BAB487">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第五章  合同草案条款</w:t>
      </w:r>
    </w:p>
    <w:p w14:paraId="48DD75EE">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第六章  响应文件格式</w:t>
      </w:r>
    </w:p>
    <w:p w14:paraId="31F339A3">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16.磋商文件的询问、澄清和修改</w:t>
      </w:r>
    </w:p>
    <w:p w14:paraId="24756847">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16.1询问</w:t>
      </w:r>
    </w:p>
    <w:p w14:paraId="5A463C66">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供应商对磋商文件有疑问，可以向</w:t>
      </w:r>
      <w:r>
        <w:rPr>
          <w:rFonts w:hint="eastAsia" w:ascii="宋体" w:hAnsi="宋体" w:eastAsia="宋体" w:cs="宋体"/>
          <w:color w:val="000000" w:themeColor="text1"/>
          <w:sz w:val="21"/>
          <w:szCs w:val="21"/>
          <w:highlight w:val="none"/>
          <w14:textFill>
            <w14:solidFill>
              <w14:schemeClr w14:val="tx1"/>
            </w14:solidFill>
          </w14:textFill>
        </w:rPr>
        <w:t>采购人或采购代理机构</w:t>
      </w:r>
      <w:r>
        <w:rPr>
          <w:rFonts w:hint="eastAsia" w:ascii="宋体" w:hAnsi="宋体" w:eastAsia="宋体" w:cs="宋体"/>
          <w:bCs/>
          <w:color w:val="000000" w:themeColor="text1"/>
          <w:sz w:val="21"/>
          <w:szCs w:val="21"/>
          <w:highlight w:val="none"/>
          <w14:textFill>
            <w14:solidFill>
              <w14:schemeClr w14:val="tx1"/>
            </w14:solidFill>
          </w14:textFill>
        </w:rPr>
        <w:t>询问，</w:t>
      </w:r>
      <w:r>
        <w:rPr>
          <w:rFonts w:hint="eastAsia" w:ascii="宋体" w:hAnsi="宋体" w:eastAsia="宋体" w:cs="宋体"/>
          <w:color w:val="000000" w:themeColor="text1"/>
          <w:sz w:val="21"/>
          <w:szCs w:val="21"/>
          <w:highlight w:val="none"/>
          <w14:textFill>
            <w14:solidFill>
              <w14:schemeClr w14:val="tx1"/>
            </w14:solidFill>
          </w14:textFill>
        </w:rPr>
        <w:t>采购人或采购代理机构将依法</w:t>
      </w:r>
      <w:r>
        <w:rPr>
          <w:rFonts w:hint="eastAsia" w:ascii="宋体" w:hAnsi="宋体" w:eastAsia="宋体" w:cs="宋体"/>
          <w:bCs/>
          <w:color w:val="000000" w:themeColor="text1"/>
          <w:sz w:val="21"/>
          <w:szCs w:val="21"/>
          <w:highlight w:val="none"/>
          <w14:textFill>
            <w14:solidFill>
              <w14:schemeClr w14:val="tx1"/>
            </w14:solidFill>
          </w14:textFill>
        </w:rPr>
        <w:t>对潜在供应商</w:t>
      </w:r>
      <w:r>
        <w:rPr>
          <w:rFonts w:hint="eastAsia" w:ascii="宋体" w:hAnsi="宋体" w:eastAsia="宋体" w:cs="宋体"/>
          <w:color w:val="000000" w:themeColor="text1"/>
          <w:sz w:val="21"/>
          <w:szCs w:val="21"/>
          <w:highlight w:val="none"/>
          <w14:textFill>
            <w14:solidFill>
              <w14:schemeClr w14:val="tx1"/>
            </w14:solidFill>
          </w14:textFill>
        </w:rPr>
        <w:t>的询问作出答复。</w:t>
      </w:r>
    </w:p>
    <w:p w14:paraId="49470E53">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16.2澄清和修改</w:t>
      </w:r>
    </w:p>
    <w:p w14:paraId="5411A73C">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将在提交首次响应文件截止时间至少5日前，以书面形式通知所有获取磋商文件的供应商；不足5日的，采购人、采购代理机构将顺延提交首次响应文件截止时间。</w:t>
      </w:r>
    </w:p>
    <w:p w14:paraId="42D39BDC">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澄清或者修改的更正信息将以书面形式在宁波政府采购网（http://www.nbzfcg.cn/）、浙江政府采购网（https://zfcg.czt.zj.gov.cn/）公开发布。政采云平台将发送短信通知所有获取磋商文件的供应商，供应商应当自行登陆上述网站并浏览更正内容，并按照更正后的采购文件编制响应文件。</w:t>
      </w:r>
    </w:p>
    <w:p w14:paraId="76D41266">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（3）供应商在收到书面形式通知后，认为澄清或者修改的内容影响响应文件编制的，应当在收到书面通知后及时将有关意见以书面形式向</w:t>
      </w:r>
      <w:r>
        <w:rPr>
          <w:rFonts w:hint="eastAsia" w:ascii="宋体" w:hAnsi="宋体" w:eastAsia="宋体" w:cs="宋体"/>
          <w:color w:val="000000" w:themeColor="text1"/>
          <w:sz w:val="21"/>
          <w:szCs w:val="21"/>
          <w:highlight w:val="none"/>
          <w14:textFill>
            <w14:solidFill>
              <w14:schemeClr w14:val="tx1"/>
            </w14:solidFill>
          </w14:textFill>
        </w:rPr>
        <w:t>采购人、采购代理机构</w:t>
      </w:r>
      <w:r>
        <w:rPr>
          <w:rFonts w:hint="eastAsia" w:ascii="宋体" w:hAnsi="宋体" w:eastAsia="宋体" w:cs="宋体"/>
          <w:bCs/>
          <w:color w:val="000000" w:themeColor="text1"/>
          <w:sz w:val="21"/>
          <w:szCs w:val="21"/>
          <w:highlight w:val="none"/>
          <w14:textFill>
            <w14:solidFill>
              <w14:schemeClr w14:val="tx1"/>
            </w14:solidFill>
          </w14:textFill>
        </w:rPr>
        <w:t>提出，否则，</w:t>
      </w:r>
      <w:r>
        <w:rPr>
          <w:rFonts w:hint="eastAsia" w:ascii="宋体" w:hAnsi="宋体" w:eastAsia="宋体" w:cs="宋体"/>
          <w:color w:val="000000" w:themeColor="text1"/>
          <w:sz w:val="21"/>
          <w:szCs w:val="21"/>
          <w:highlight w:val="none"/>
          <w14:textFill>
            <w14:solidFill>
              <w14:schemeClr w14:val="tx1"/>
            </w14:solidFill>
          </w14:textFill>
        </w:rPr>
        <w:t>采购人、采购代理机构</w:t>
      </w:r>
      <w:r>
        <w:rPr>
          <w:rFonts w:hint="eastAsia" w:ascii="宋体" w:hAnsi="宋体" w:eastAsia="宋体" w:cs="宋体"/>
          <w:bCs/>
          <w:color w:val="000000" w:themeColor="text1"/>
          <w:sz w:val="21"/>
          <w:szCs w:val="21"/>
          <w:highlight w:val="none"/>
          <w14:textFill>
            <w14:solidFill>
              <w14:schemeClr w14:val="tx1"/>
            </w14:solidFill>
          </w14:textFill>
        </w:rPr>
        <w:t>视为供应商接受澄清或者修改的内容且不影响响应文件编制。</w:t>
      </w:r>
    </w:p>
    <w:p w14:paraId="74D27EE4">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供应商要求澄清和回复的书面材料应当加盖单位公章并注明日期。</w:t>
      </w:r>
    </w:p>
    <w:p w14:paraId="45B2516D">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（4）供应商应当在获取采购文件时登记准确的项目联系人信息并确保联系方式的畅通，否则，因此导致未收到政采云平台发送的通知短信而未及时浏览网上公告通知事项造成的后果由供应商自行承担。</w:t>
      </w:r>
    </w:p>
    <w:p w14:paraId="1B35EB23">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17.现场考察及召开磋商前答疑会</w:t>
      </w:r>
    </w:p>
    <w:p w14:paraId="7EF70DA2">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17.1现场考察事项见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w:t>
      </w:r>
    </w:p>
    <w:p w14:paraId="63B9B6E2">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如同一进行现场考察，供应商应当在通知的时间准时参加现场考察，否则自行承担未及时参加造成的后果。除采购人的原因外，供应商自行负责现场考察造成的自身或第三人的人身伤害、财产损失或损坏的责任。</w:t>
      </w:r>
    </w:p>
    <w:p w14:paraId="710C9668">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17.3本项目不组织召开磋商前答疑会。</w:t>
      </w:r>
    </w:p>
    <w:p w14:paraId="5110905B">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三、响应文件的编制</w:t>
      </w:r>
    </w:p>
    <w:p w14:paraId="3B480A49">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18.磋商响应范围</w:t>
      </w:r>
    </w:p>
    <w:p w14:paraId="0FD06D2F">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供应商应当对所响应标项的“采购需求”所列的全部内容（标的）进行响应，如仅对该标项的部分内容进行响应，其对该标项的响应将被认定为</w:t>
      </w:r>
      <w:r>
        <w:rPr>
          <w:rFonts w:hint="eastAsia" w:ascii="宋体" w:hAnsi="宋体" w:eastAsia="宋体" w:cs="宋体"/>
          <w:b/>
          <w:color w:val="000000" w:themeColor="text1"/>
          <w:szCs w:val="21"/>
          <w:highlight w:val="none"/>
          <w14:textFill>
            <w14:solidFill>
              <w14:schemeClr w14:val="tx1"/>
            </w14:solidFill>
          </w14:textFill>
        </w:rPr>
        <w:t>响应无效</w:t>
      </w:r>
      <w:r>
        <w:rPr>
          <w:rFonts w:hint="eastAsia" w:ascii="宋体" w:hAnsi="宋体" w:eastAsia="宋体" w:cs="宋体"/>
          <w:color w:val="000000" w:themeColor="text1"/>
          <w:szCs w:val="21"/>
          <w:highlight w:val="none"/>
          <w14:textFill>
            <w14:solidFill>
              <w14:schemeClr w14:val="tx1"/>
            </w14:solidFill>
          </w14:textFill>
        </w:rPr>
        <w:t>。</w:t>
      </w:r>
    </w:p>
    <w:p w14:paraId="1A174408">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19.响应文件中标准和计量单位的使用</w:t>
      </w:r>
    </w:p>
    <w:p w14:paraId="2D48C37C">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bookmarkStart w:id="55" w:name="_Hlk16458980"/>
      <w:r>
        <w:rPr>
          <w:rFonts w:hint="eastAsia" w:ascii="宋体" w:hAnsi="宋体" w:eastAsia="宋体" w:cs="宋体"/>
          <w:color w:val="000000" w:themeColor="text1"/>
          <w:szCs w:val="21"/>
          <w:highlight w:val="none"/>
          <w14:textFill>
            <w14:solidFill>
              <w14:schemeClr w14:val="tx1"/>
            </w14:solidFill>
          </w14:textFill>
        </w:rPr>
        <w:t>19.1无论磋商文件是否要求，供应商所提供的服务以及伴随的货物均应符合国家强制性标准。</w:t>
      </w:r>
    </w:p>
    <w:bookmarkEnd w:id="55"/>
    <w:p w14:paraId="39E51690">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19.2供应商与采购人或采购代理机构之间与磋商有关的所有往来通知、函件和响应文件均用中文表述。供应商随响应文件提供的证明文件和资料可以为其它语言（文字），但必须附中文译文，未提供中文译文的视为未提供。翻译的中文资料与外文资料出现差异时，以中文为准。</w:t>
      </w:r>
    </w:p>
    <w:p w14:paraId="51514418">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19.3除磋商文件有特殊要求外，响应文件中所使用的计量单位，应采用中华人民共和国法定计量单位。</w:t>
      </w:r>
    </w:p>
    <w:p w14:paraId="626AE828">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20.响应文件的形式</w:t>
      </w:r>
    </w:p>
    <w:p w14:paraId="00BDE600">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本项目采用电子响应文件形式，为电子加密响应文件。</w:t>
      </w:r>
    </w:p>
    <w:p w14:paraId="61FE4B1E">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20.1电子加密响应文件是指通过“政采云电子投标客户端”完成响应文件编制后生成并加密的数据电文形式的加密标书，后缀名为【.jmbs】。</w:t>
      </w:r>
    </w:p>
    <w:p w14:paraId="65A7E30A">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20.2备份响应文件是指与电子加密响应文件同时生成的数据电文形式的备份标书，后缀名为【.bfbs】。</w:t>
      </w:r>
    </w:p>
    <w:p w14:paraId="67092AE1">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21.响应文件内容的构成</w:t>
      </w:r>
    </w:p>
    <w:p w14:paraId="7D394757">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21.1供应商编写的响应文件应包含资格要求响应文件、商务技术文件和报价要求响应文件。上述各项文件的组成内容见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，未列入其中的内容，供应商认为需要的可以自行提供相关材料。</w:t>
      </w:r>
    </w:p>
    <w:p w14:paraId="14CAC94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21.2磋商文件明确要求在响应文件中附（提交）证明材料而供应商未在响应文件中提供的，不被认定为对具体要求作出响应。</w:t>
      </w:r>
      <w:r>
        <w:rPr>
          <w:rFonts w:hint="eastAsia" w:ascii="宋体" w:hAnsi="宋体" w:eastAsia="宋体" w:cs="宋体"/>
          <w:b/>
          <w:color w:val="000000" w:themeColor="text1"/>
          <w:szCs w:val="21"/>
          <w:highlight w:val="none"/>
          <w14:textFill>
            <w14:solidFill>
              <w14:schemeClr w14:val="tx1"/>
            </w14:solidFill>
          </w14:textFill>
        </w:rPr>
        <w:t>提供的合同等证明材料应当是完整无删减、无遮挡（盖）、页码连续的原始文件的复印件，否则因证明材料缺少评审所需的关键或必要的信息或因中间页码缺失导致无法有效认定造成不予认可的风险和责任由供应商自行承担。</w:t>
      </w:r>
    </w:p>
    <w:p w14:paraId="6A1D99DE">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22.响应文件的制作</w:t>
      </w:r>
    </w:p>
    <w:p w14:paraId="755D07FB">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供应商应当安装“政采云电子投标客户端”，按照磋商文件和政采云平台的要求编制并加密响应文件。响应文件的制作应满足以下规定：</w:t>
      </w:r>
    </w:p>
    <w:p w14:paraId="1C24FE39">
      <w:pPr>
        <w:pageBreakBefore w:val="0"/>
        <w:shd w:val="clear"/>
        <w:kinsoku/>
        <w:wordWrap/>
        <w:overflowPunct/>
        <w:topLinePunct w:val="0"/>
        <w:bidi w:val="0"/>
        <w:snapToGrid w:val="0"/>
        <w:spacing w:line="360" w:lineRule="auto"/>
        <w:ind w:left="0" w:leftChars="0" w:right="0" w:rightChars="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（1）供应商使用</w:t>
      </w:r>
      <w:r>
        <w:rPr>
          <w:rFonts w:hint="eastAsia" w:ascii="宋体" w:hAnsi="宋体" w:eastAsia="宋体" w:cs="宋体"/>
          <w:color w:val="000000" w:themeColor="text1"/>
          <w:szCs w:val="21"/>
          <w:highlight w:val="none"/>
          <w14:textFill>
            <w14:solidFill>
              <w14:schemeClr w14:val="tx1"/>
            </w14:solidFill>
          </w14:textFill>
        </w:rPr>
        <w:t>电子交易平台（</w:t>
      </w:r>
      <w:r>
        <w:rPr>
          <w:rFonts w:hint="eastAsia" w:ascii="宋体" w:hAnsi="宋体" w:eastAsia="宋体" w:cs="宋体"/>
          <w:color w:val="000000" w:themeColor="text1"/>
          <w:kern w:val="0"/>
          <w:szCs w:val="21"/>
          <w:highlight w:val="none"/>
          <w14:textFill>
            <w14:solidFill>
              <w14:schemeClr w14:val="tx1"/>
            </w14:solidFill>
          </w14:textFill>
        </w:rPr>
        <w:t>电子交易系统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提供的响应文件制作工具制作生成；</w:t>
      </w:r>
    </w:p>
    <w:p w14:paraId="0E46A15B">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（2）供应商应完整地填写供应商资格声明函、响应函、初次报价表等磋商文件提供的格式文件，以及为响应磋商文件的要求及项目评审应当提供的其他材料。</w:t>
      </w:r>
    </w:p>
    <w:p w14:paraId="33327D50">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注：供应商应准确设置评审关联定位，避免未设置或设置错误导致响应文件被误读、漏读或者查找不到相关内容。</w:t>
      </w:r>
    </w:p>
    <w:p w14:paraId="7CE88456">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23.响应文件的签署及盖章</w:t>
      </w:r>
    </w:p>
    <w:p w14:paraId="49D0387C">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电子签章操作指南详见《政府采购项目电子交易管理操作指南-供应商》,</w:t>
      </w:r>
      <w:r>
        <w:rPr>
          <w:rFonts w:hint="eastAsia" w:ascii="宋体" w:hAnsi="宋体" w:eastAsia="宋体" w:cs="宋体"/>
          <w:b/>
          <w:color w:val="000000" w:themeColor="text1"/>
          <w:szCs w:val="21"/>
          <w:highlight w:val="none"/>
          <w14:textFill>
            <w14:solidFill>
              <w14:schemeClr w14:val="tx1"/>
            </w14:solidFill>
          </w14:textFill>
        </w:rPr>
        <w:t>系统要求进行电子签章的文件，按系统要求签章。</w:t>
      </w:r>
    </w:p>
    <w:p w14:paraId="4605FEB7">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（1）磋商文件要求签字的应当由供应商的法定代表人或其授权代表签字或盖章，</w:t>
      </w:r>
      <w:r>
        <w:rPr>
          <w:rFonts w:hint="eastAsia" w:ascii="宋体" w:hAnsi="宋体" w:eastAsia="宋体" w:cs="宋体"/>
          <w:b/>
          <w:color w:val="000000" w:themeColor="text1"/>
          <w:szCs w:val="21"/>
          <w:highlight w:val="none"/>
          <w14:textFill>
            <w14:solidFill>
              <w14:schemeClr w14:val="tx1"/>
            </w14:solidFill>
          </w14:textFill>
        </w:rPr>
        <w:t>因未获取电子姓名签章无法直接在系统中进行法定代表人或其授权代表电子签名操作的，可以线下签字或盖章后扫描上传。</w:t>
      </w:r>
    </w:p>
    <w:p w14:paraId="4E9BE75E">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（2）《第六章  响应文件格式》提供的相关文件要求加盖公章处，供应商均应加盖公章，</w:t>
      </w:r>
      <w:r>
        <w:rPr>
          <w:rFonts w:hint="eastAsia" w:ascii="宋体" w:hAnsi="宋体" w:eastAsia="宋体" w:cs="宋体"/>
          <w:color w:val="000000" w:themeColor="text1"/>
          <w:szCs w:val="21"/>
          <w:highlight w:val="none"/>
          <w14:textFill>
            <w14:solidFill>
              <w14:schemeClr w14:val="tx1"/>
            </w14:solidFill>
          </w14:textFill>
        </w:rPr>
        <w:t>可使用电子公章在线签章或线下加盖公章后扫描上传。</w:t>
      </w:r>
    </w:p>
    <w:p w14:paraId="16CB5DE1">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（3）响应文件若有错、漏处等必须修改的，修改处加盖供应商公章或者由供应商的法定代表人或其授权代表签字或盖章，否则因此造成该修改内容不被磋商小组认定的后果由供应商承担。</w:t>
      </w:r>
    </w:p>
    <w:p w14:paraId="554E5F90">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24.价格构成</w:t>
      </w:r>
    </w:p>
    <w:p w14:paraId="63D3BB61">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24.1供应商的磋商报价应当包括满足本次采购全部标的所要求提供的服务并交付合格成果的全部费用，</w:t>
      </w:r>
      <w:r>
        <w:rPr>
          <w:rFonts w:hint="eastAsia" w:ascii="宋体" w:hAnsi="宋体" w:eastAsia="宋体" w:cs="宋体"/>
          <w:color w:val="000000" w:themeColor="text1"/>
          <w:kern w:val="0"/>
          <w:szCs w:val="21"/>
          <w:highlight w:val="none"/>
          <w14:textFill>
            <w14:solidFill>
              <w14:schemeClr w14:val="tx1"/>
            </w14:solidFill>
          </w14:textFill>
        </w:rPr>
        <w:t>包含但不限于为完成采购内容所发生的诸如</w:t>
      </w:r>
      <w:r>
        <w:rPr>
          <w:rFonts w:hint="eastAsia" w:ascii="宋体" w:hAnsi="宋体" w:cs="宋体"/>
          <w:color w:val="000000" w:themeColor="text1"/>
          <w:kern w:val="0"/>
          <w:szCs w:val="21"/>
          <w:highlight w:val="none"/>
          <w:lang w:val="en-US" w:eastAsia="zh-CN"/>
          <w14:textFill>
            <w14:solidFill>
              <w14:schemeClr w14:val="tx1"/>
            </w14:solidFill>
          </w14:textFill>
        </w:rPr>
        <w:t>运营</w:t>
      </w:r>
      <w:r>
        <w:rPr>
          <w:rFonts w:hint="eastAsia" w:ascii="宋体" w:hAnsi="宋体" w:eastAsia="宋体" w:cs="宋体"/>
          <w:color w:val="000000" w:themeColor="text1"/>
          <w:kern w:val="0"/>
          <w:szCs w:val="21"/>
          <w:highlight w:val="none"/>
          <w14:textFill>
            <w14:solidFill>
              <w14:schemeClr w14:val="tx1"/>
            </w14:solidFill>
          </w14:textFill>
        </w:rPr>
        <w:t>服务费</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人工</w:t>
      </w:r>
      <w:r>
        <w:rPr>
          <w:rFonts w:hint="eastAsia" w:ascii="宋体" w:hAnsi="宋体" w:eastAsia="宋体" w:cs="宋体"/>
          <w:color w:val="000000" w:themeColor="text1"/>
          <w:kern w:val="0"/>
          <w:szCs w:val="21"/>
          <w:highlight w:val="none"/>
          <w14:textFill>
            <w14:solidFill>
              <w14:schemeClr w14:val="tx1"/>
            </w14:solidFill>
          </w14:textFill>
        </w:rPr>
        <w:t>费用与工作内容相关费用以及管理费、利润、税金等服务过程中可能涉及的一切费用。</w:t>
      </w:r>
    </w:p>
    <w:p w14:paraId="334C32D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24.2供应商应在分项报价文件中标明分项服务的价格和总价，未标明的视同包含在磋商报价中。</w:t>
      </w:r>
    </w:p>
    <w:p w14:paraId="048E6B22">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24.3磋商报价及结算货币均为人民币，除非磋商文件另有规定，针对本项目的磋商报价只允许有一个，不接受有选择的或有附加条件的报价（包含分项报价）。</w:t>
      </w:r>
    </w:p>
    <w:p w14:paraId="53BD6C5B">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24.4磋商报价不允许为0元（即赠送），采购人不予接受，其响应文件按照响应无效处理。</w:t>
      </w:r>
    </w:p>
    <w:p w14:paraId="5A92009E">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25.磋商保证金</w:t>
      </w:r>
    </w:p>
    <w:p w14:paraId="5D01B7A8">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本项目无须供应商缴纳磋商保证金。</w:t>
      </w:r>
    </w:p>
    <w:p w14:paraId="437B3CC9">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26.响应有效期</w:t>
      </w:r>
    </w:p>
    <w:p w14:paraId="317C9CA1">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26.1响应文件的有效期为从提交响应文件截止之日算起的日历天数，响应文件的有效期见</w:t>
      </w:r>
      <w:r>
        <w:rPr>
          <w:rFonts w:hint="eastAsia" w:ascii="宋体" w:hAnsi="宋体" w:eastAsia="宋体" w:cs="宋体"/>
          <w:color w:val="000000" w:themeColor="text1"/>
          <w:sz w:val="21"/>
          <w:szCs w:val="21"/>
          <w:highlight w:val="none"/>
          <w:u w:val="single"/>
          <w14:textFill>
            <w14:solidFill>
              <w14:schemeClr w14:val="tx1"/>
            </w14:solidFill>
          </w14:textFill>
        </w:rPr>
        <w:t>供应商须知前附表</w:t>
      </w:r>
      <w:r>
        <w:rPr>
          <w:rFonts w:hint="eastAsia" w:ascii="宋体" w:hAnsi="宋体" w:eastAsia="宋体" w:cs="宋体"/>
          <w:color w:val="000000" w:themeColor="text1"/>
          <w:sz w:val="21"/>
          <w:szCs w:val="21"/>
          <w:highlight w:val="none"/>
          <w14:textFill>
            <w14:solidFill>
              <w14:schemeClr w14:val="tx1"/>
            </w14:solidFill>
          </w14:textFill>
        </w:rPr>
        <w:t>。</w:t>
      </w:r>
    </w:p>
    <w:p w14:paraId="17869448">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26.2在响应有效期内，供应商的磋商响应保持有效，供应商不得要求撤销或修改其响应文件。</w:t>
      </w:r>
      <w:r>
        <w:rPr>
          <w:rFonts w:hint="eastAsia" w:ascii="宋体" w:hAnsi="宋体" w:eastAsia="宋体" w:cs="宋体"/>
          <w:color w:val="000000" w:themeColor="text1"/>
          <w:szCs w:val="21"/>
          <w:highlight w:val="none"/>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有效期不满足要求的，将被认定为</w:t>
      </w:r>
      <w:r>
        <w:rPr>
          <w:rFonts w:hint="eastAsia" w:ascii="宋体" w:hAnsi="宋体" w:eastAsia="宋体" w:cs="宋体"/>
          <w:b/>
          <w:color w:val="000000" w:themeColor="text1"/>
          <w:kern w:val="0"/>
          <w:szCs w:val="21"/>
          <w:highlight w:val="none"/>
          <w14:textFill>
            <w14:solidFill>
              <w14:schemeClr w14:val="tx1"/>
            </w14:solidFill>
          </w14:textFill>
        </w:rPr>
        <w:t>响应无效</w:t>
      </w:r>
      <w:r>
        <w:rPr>
          <w:rFonts w:hint="eastAsia" w:ascii="宋体" w:hAnsi="宋体" w:eastAsia="宋体" w:cs="宋体"/>
          <w:color w:val="000000" w:themeColor="text1"/>
          <w:kern w:val="0"/>
          <w:szCs w:val="21"/>
          <w:highlight w:val="none"/>
          <w14:textFill>
            <w14:solidFill>
              <w14:schemeClr w14:val="tx1"/>
            </w14:solidFill>
          </w14:textFill>
        </w:rPr>
        <w:t>。</w:t>
      </w:r>
    </w:p>
    <w:p w14:paraId="3793D20F">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因特殊原因，采购人或采购代理机构可在原响应有效期截止之前，要求供应商延长响应文件的有效期。接受该要求的供应商将不会被要求和允许修正其响应文件。供应商也可以拒绝延长响应有效期的要求，且不承担任何责任。上述要求和答复都以书面形式提交。</w:t>
      </w:r>
    </w:p>
    <w:p w14:paraId="26FF2527">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四、响应文件的提交</w:t>
      </w:r>
    </w:p>
    <w:p w14:paraId="68742B68">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27.电子加密响应文件的提交</w:t>
      </w:r>
    </w:p>
    <w:p w14:paraId="6FE603A2">
      <w:pPr>
        <w:pStyle w:val="12"/>
        <w:pageBreakBefore w:val="0"/>
        <w:shd w:val="clear"/>
        <w:kinsoku/>
        <w:wordWrap/>
        <w:overflowPunct/>
        <w:topLinePunct w:val="0"/>
        <w:bidi w:val="0"/>
        <w:snapToGrid w:val="0"/>
        <w:spacing w:beforeLines="0" w:afterLines="0" w:line="360" w:lineRule="auto"/>
        <w:ind w:left="0" w:leftChars="0" w:right="0" w:righ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供应商应当在磋商文件规定的提交响应文件截止时间前将电子加密响应文件上传至政采云平台（https://www.zcygov.cn/），成功上传后，供应商可自行打印响应文件接收回执。</w:t>
      </w:r>
    </w:p>
    <w:p w14:paraId="113EC400">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28.备份响应文件的提交</w:t>
      </w:r>
    </w:p>
    <w:p w14:paraId="60F7F74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可以在响应截止时间前提交备份响应文件。备份响应文件的载体必须密封包装，密封包装应当清楚的标明项目名称、项目编号、供应商名称并加盖公章。采购人或采购代理机构有权拒绝接收未按照规定密封、标注、盖章的备份响应文件。</w:t>
      </w:r>
    </w:p>
    <w:p w14:paraId="08F7545B">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29.响应文件提交的截止时间、开启时间及地点</w:t>
      </w:r>
    </w:p>
    <w:p w14:paraId="704E331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29.1响应文件提交的截止时间、开启时间及地点见</w:t>
      </w:r>
      <w:r>
        <w:rPr>
          <w:rFonts w:hint="eastAsia" w:ascii="宋体" w:hAnsi="宋体" w:eastAsia="宋体" w:cs="宋体"/>
          <w:color w:val="000000" w:themeColor="text1"/>
          <w:szCs w:val="21"/>
          <w:highlight w:val="none"/>
          <w:u w:val="single"/>
          <w14:textFill>
            <w14:solidFill>
              <w14:schemeClr w14:val="tx1"/>
            </w14:solidFill>
          </w14:textFill>
        </w:rPr>
        <w:t>采购公告</w:t>
      </w:r>
      <w:r>
        <w:rPr>
          <w:rFonts w:hint="eastAsia" w:ascii="宋体" w:hAnsi="宋体" w:eastAsia="宋体" w:cs="宋体"/>
          <w:color w:val="000000" w:themeColor="text1"/>
          <w:szCs w:val="21"/>
          <w:highlight w:val="none"/>
          <w14:textFill>
            <w14:solidFill>
              <w14:schemeClr w14:val="tx1"/>
            </w14:solidFill>
          </w14:textFill>
        </w:rPr>
        <w:t>。</w:t>
      </w:r>
    </w:p>
    <w:p w14:paraId="2ADA0D9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29.2采购人或采购代理机构可以根据项目情况，推迟响应文件提交的截止时间。在此情况下，采购人、采购代理机构和供应商受响应文件提交的截止时间约束的所有权利和义务均应延长至新的截止时间。</w:t>
      </w:r>
    </w:p>
    <w:p w14:paraId="2CC175D2">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30.响应文件的修改和撤回</w:t>
      </w:r>
    </w:p>
    <w:p w14:paraId="684F2AD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30.1供应商在提交响应文件截止时间前，可以对已经提交的响应文件进行补充、修改或者撤回。</w:t>
      </w:r>
    </w:p>
    <w:p w14:paraId="36F76347">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对已经完成传输递交的电子加密响应文件进行</w:t>
      </w:r>
      <w:r>
        <w:rPr>
          <w:rFonts w:hint="eastAsia" w:ascii="宋体" w:hAnsi="宋体" w:eastAsia="宋体" w:cs="宋体"/>
          <w:color w:val="000000" w:themeColor="text1"/>
          <w:kern w:val="0"/>
          <w:szCs w:val="21"/>
          <w:highlight w:val="none"/>
          <w14:textFill>
            <w14:solidFill>
              <w14:schemeClr w14:val="tx1"/>
            </w14:solidFill>
          </w14:textFill>
        </w:rPr>
        <w:t>补充或者修改的，应当先行撤回原文件，补充、修改后重新传输递交。供应商在</w:t>
      </w:r>
      <w:r>
        <w:rPr>
          <w:rFonts w:hint="eastAsia" w:ascii="宋体" w:hAnsi="宋体" w:eastAsia="宋体" w:cs="宋体"/>
          <w:color w:val="000000" w:themeColor="text1"/>
          <w:szCs w:val="21"/>
          <w:highlight w:val="none"/>
          <w14:textFill>
            <w14:solidFill>
              <w14:schemeClr w14:val="tx1"/>
            </w14:solidFill>
          </w14:textFill>
        </w:rPr>
        <w:t>提交响应文件截止时间前</w:t>
      </w:r>
      <w:r>
        <w:rPr>
          <w:rFonts w:hint="eastAsia" w:ascii="宋体" w:hAnsi="宋体" w:eastAsia="宋体" w:cs="宋体"/>
          <w:color w:val="000000" w:themeColor="text1"/>
          <w:kern w:val="0"/>
          <w:szCs w:val="21"/>
          <w:highlight w:val="none"/>
          <w14:textFill>
            <w14:solidFill>
              <w14:schemeClr w14:val="tx1"/>
            </w14:solidFill>
          </w14:textFill>
        </w:rPr>
        <w:t>未重新完成传输递交的，</w:t>
      </w:r>
      <w:r>
        <w:rPr>
          <w:rFonts w:hint="eastAsia" w:ascii="宋体" w:hAnsi="宋体" w:eastAsia="宋体" w:cs="宋体"/>
          <w:b/>
          <w:color w:val="000000" w:themeColor="text1"/>
          <w:kern w:val="0"/>
          <w:szCs w:val="21"/>
          <w:highlight w:val="none"/>
          <w14:textFill>
            <w14:solidFill>
              <w14:schemeClr w14:val="tx1"/>
            </w14:solidFill>
          </w14:textFill>
        </w:rPr>
        <w:t>视为撤回响应文件</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提交响应文件截止时间</w:t>
      </w:r>
      <w:r>
        <w:rPr>
          <w:rFonts w:hint="eastAsia" w:ascii="宋体" w:hAnsi="宋体" w:eastAsia="宋体" w:cs="宋体"/>
          <w:color w:val="000000" w:themeColor="text1"/>
          <w:kern w:val="0"/>
          <w:szCs w:val="21"/>
          <w:highlight w:val="none"/>
          <w14:textFill>
            <w14:solidFill>
              <w14:schemeClr w14:val="tx1"/>
            </w14:solidFill>
          </w14:textFill>
        </w:rPr>
        <w:t>后递交的电子加密响应文件，电子交易平台将拒收。</w:t>
      </w:r>
    </w:p>
    <w:p w14:paraId="443F82B4">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30.2提交响应文件截止时间后，供应商不得对其响应文件进行补充、修改。</w:t>
      </w:r>
    </w:p>
    <w:p w14:paraId="7B871763">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五、响应文件的开启和评审程序</w:t>
      </w:r>
    </w:p>
    <w:p w14:paraId="6EDE1B30">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31.响应文件的开启</w:t>
      </w:r>
    </w:p>
    <w:p w14:paraId="541F7BEF">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31.1采购代理机构按磋商文件规定的时间通过电子交易平台组织磋商会议，所有供应商均应当准时在线参加。</w:t>
      </w:r>
    </w:p>
    <w:p w14:paraId="0D905A6E">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31.2开启响应文件时间到达后，采购代理机构依托电子交易平台发起开始解密指令，供应商应在30分钟内（以电子交易系统解密倒计时为准）对本单位的响应文件进行解密。</w:t>
      </w:r>
    </w:p>
    <w:p w14:paraId="2FD0A17C">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31.3供应商如未在线参加响应文件开启的，</w:t>
      </w:r>
      <w:r>
        <w:rPr>
          <w:rFonts w:hint="eastAsia" w:ascii="宋体" w:hAnsi="宋体" w:eastAsia="宋体" w:cs="宋体"/>
          <w:color w:val="000000" w:themeColor="text1"/>
          <w:highlight w:val="none"/>
          <w14:textFill>
            <w14:solidFill>
              <w14:schemeClr w14:val="tx1"/>
            </w14:solidFill>
          </w14:textFill>
        </w:rPr>
        <w:t>视同认可响应文件开启结果</w:t>
      </w:r>
      <w:r>
        <w:rPr>
          <w:rFonts w:hint="eastAsia" w:ascii="宋体" w:hAnsi="宋体" w:eastAsia="宋体" w:cs="宋体"/>
          <w:color w:val="000000" w:themeColor="text1"/>
          <w:szCs w:val="21"/>
          <w:highlight w:val="none"/>
          <w14:textFill>
            <w14:solidFill>
              <w14:schemeClr w14:val="tx1"/>
            </w14:solidFill>
          </w14:textFill>
        </w:rPr>
        <w:t>，事后不得对</w:t>
      </w:r>
      <w:r>
        <w:rPr>
          <w:rFonts w:hint="eastAsia" w:ascii="宋体" w:hAnsi="宋体" w:eastAsia="宋体" w:cs="宋体"/>
          <w:color w:val="000000" w:themeColor="text1"/>
          <w:highlight w:val="none"/>
          <w14:textFill>
            <w14:solidFill>
              <w14:schemeClr w14:val="tx1"/>
            </w14:solidFill>
          </w14:textFill>
        </w:rPr>
        <w:t>开启结果</w:t>
      </w:r>
      <w:r>
        <w:rPr>
          <w:rFonts w:hint="eastAsia" w:ascii="宋体" w:hAnsi="宋体" w:eastAsia="宋体" w:cs="宋体"/>
          <w:color w:val="000000" w:themeColor="text1"/>
          <w:szCs w:val="21"/>
          <w:highlight w:val="none"/>
          <w14:textFill>
            <w14:solidFill>
              <w14:schemeClr w14:val="tx1"/>
            </w14:solidFill>
          </w14:textFill>
        </w:rPr>
        <w:t>提出异议。同时，供应商因未在线参加磋商而导致电子加密响应文件无法按时解密等一切后果由供应商自行承担。</w:t>
      </w:r>
    </w:p>
    <w:p w14:paraId="5B969BD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31.4发生电子加密响应文件解密失败的情形，</w:t>
      </w:r>
      <w:r>
        <w:rPr>
          <w:rFonts w:hint="eastAsia" w:ascii="宋体" w:hAnsi="宋体" w:eastAsia="宋体" w:cs="宋体"/>
          <w:b/>
          <w:color w:val="000000" w:themeColor="text1"/>
          <w:szCs w:val="21"/>
          <w:highlight w:val="none"/>
          <w14:textFill>
            <w14:solidFill>
              <w14:schemeClr w14:val="tx1"/>
            </w14:solidFill>
          </w14:textFill>
        </w:rPr>
        <w:t>视为撤回响应文件</w:t>
      </w:r>
      <w:r>
        <w:rPr>
          <w:rFonts w:hint="eastAsia" w:ascii="宋体" w:hAnsi="宋体" w:eastAsia="宋体" w:cs="宋体"/>
          <w:color w:val="000000" w:themeColor="text1"/>
          <w:szCs w:val="21"/>
          <w:highlight w:val="none"/>
          <w14:textFill>
            <w14:solidFill>
              <w14:schemeClr w14:val="tx1"/>
            </w14:solidFill>
          </w14:textFill>
        </w:rPr>
        <w:t>。</w:t>
      </w:r>
    </w:p>
    <w:p w14:paraId="76F119C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电子加密响应文件已按时解密的，备份响应文件自动失效。</w:t>
      </w:r>
    </w:p>
    <w:p w14:paraId="27096A42">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31.5响应文件开启后不公布供应商的初次报价。</w:t>
      </w:r>
    </w:p>
    <w:p w14:paraId="06D32DF0">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31.6响应文件开启过程由采购代理机构负责记录，由参加磋商的供应商代表和相关工作人员签字确认后随采购文件一并存档。</w:t>
      </w:r>
    </w:p>
    <w:p w14:paraId="0F13A4FD">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供应商代表对响应文件开启过程有疑义，应当场提出询问。</w:t>
      </w:r>
    </w:p>
    <w:p w14:paraId="1D42A0CD">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32.资格审查及组建磋商小组</w:t>
      </w:r>
    </w:p>
    <w:p w14:paraId="09006545">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32.1响应文件开启结束后，采购人或采购代理机构依据法律法规和磋商文件规定的内容对供应商的资格进行审查，未通过资格审查的供应商不进入磋商环节，通过资格审查的供应商不足3家的不进行后续的磋商</w:t>
      </w:r>
      <w:r>
        <w:rPr>
          <w:rFonts w:hint="eastAsia" w:ascii="宋体" w:hAnsi="宋体" w:eastAsia="宋体" w:cs="宋体"/>
          <w:color w:val="000000" w:themeColor="text1"/>
          <w:highlight w:val="none"/>
          <w14:textFill>
            <w14:solidFill>
              <w14:schemeClr w14:val="tx1"/>
            </w14:solidFill>
          </w14:textFill>
        </w:rPr>
        <w:t>。</w:t>
      </w:r>
    </w:p>
    <w:p w14:paraId="573EFC3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32.2磋商小组依法组建，由3人以上单数组成。</w:t>
      </w:r>
    </w:p>
    <w:p w14:paraId="75A05467">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33.响应文件符合性审查与澄清</w:t>
      </w:r>
    </w:p>
    <w:p w14:paraId="42D8AE4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33.1磋商小组负责对符合资格要求的供应商的响应文件进行符合性审查，以确定其是否满足磋商文件的实质性要求。</w:t>
      </w:r>
    </w:p>
    <w:p w14:paraId="6C7D49B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33.2磋商小组在对响应文件的有效性、完整性和响应程度进行审查时，对于响应文件中含义不明确、同类问题表述不一致或者有明显文字和计算错误的内容，以及磋商小组认为供应商的报价明显低于其他通过符合性审查供应商的报价，有可能</w:t>
      </w:r>
      <w:r>
        <w:rPr>
          <w:rFonts w:hint="eastAsia" w:ascii="宋体" w:hAnsi="宋体" w:eastAsia="宋体" w:cs="宋体"/>
          <w:color w:val="000000" w:themeColor="text1"/>
          <w:szCs w:val="21"/>
          <w:highlight w:val="none"/>
          <w:shd w:val="clear" w:color="auto" w:fill="FFFFFF"/>
          <w14:textFill>
            <w14:solidFill>
              <w14:schemeClr w14:val="tx1"/>
            </w14:solidFill>
          </w14:textFill>
        </w:rPr>
        <w:t>影响服务质量或者不能诚信履约的</w:t>
      </w:r>
      <w:r>
        <w:rPr>
          <w:rFonts w:hint="eastAsia" w:ascii="宋体" w:hAnsi="宋体" w:eastAsia="宋体" w:cs="宋体"/>
          <w:color w:val="000000" w:themeColor="text1"/>
          <w:szCs w:val="21"/>
          <w:highlight w:val="none"/>
          <w14:textFill>
            <w14:solidFill>
              <w14:schemeClr w14:val="tx1"/>
            </w14:solidFill>
          </w14:textFill>
        </w:rPr>
        <w:t>，磋商小组将以书面形式要求供应商作出必要的澄清、说明或者更正。</w:t>
      </w:r>
    </w:p>
    <w:p w14:paraId="2B194ECD">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澄清、说明或者更正通过电子交易平台交换数据电文方式做出，供应商提交使用电子签名的相关数据电文或通过平台上传供应商的法定代表人或其授权代表签字或加盖公章的文件的扫描件。给予供应商提交澄清、说明或更正的时间不少于30分钟，供应商已经明确表示澄清说明或更正完毕的除外。</w:t>
      </w:r>
    </w:p>
    <w:p w14:paraId="13E63AE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允许供应商在提交最后报价前补充相关资料以满足对磋商文件各项要求的响应。</w:t>
      </w:r>
    </w:p>
    <w:p w14:paraId="4BB40E4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33.3供应商的澄清、说明或更正（补正）将作为响应文件的一部分。</w:t>
      </w:r>
    </w:p>
    <w:p w14:paraId="3A88D60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33.4报价修正</w:t>
      </w:r>
    </w:p>
    <w:p w14:paraId="3297734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响应文件报价出现不一致的，按照下列规定修正：</w:t>
      </w:r>
    </w:p>
    <w:p w14:paraId="3C5F0EF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电子交易平台客户端里开标一览表录入的报价与报价要求响应文件中的初次报价表中的报价不一致的，以报价要求响应文件中的报价为准。响应文件内报价出现前后不一致的，按照下列规定修正：</w:t>
      </w:r>
    </w:p>
    <w:p w14:paraId="14AC6B2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7477F502">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（2）大写金额和小写金额不一致的，以大写金额为准；</w:t>
      </w:r>
    </w:p>
    <w:p w14:paraId="2038256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（3）单价金额小数点或者百分比有明显错位的，以报价一览表的总价为准，并修改单价；</w:t>
      </w:r>
    </w:p>
    <w:p w14:paraId="72195C5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（4）总价金额与按单价汇总金额不一致的，以单价金额计算结果为准。</w:t>
      </w:r>
    </w:p>
    <w:p w14:paraId="2E8AC65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right="0" w:righ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同时出现两种以上不一致的，按照前款规定的顺序修正。修正后的报价由供应商确认，经供应商确认后产生约束力，供应商不确认的，</w:t>
      </w:r>
      <w:r>
        <w:rPr>
          <w:rFonts w:hint="eastAsia" w:ascii="宋体" w:hAnsi="宋体" w:eastAsia="宋体" w:cs="宋体"/>
          <w:b/>
          <w:color w:val="000000" w:themeColor="text1"/>
          <w:szCs w:val="21"/>
          <w:highlight w:val="none"/>
          <w14:textFill>
            <w14:solidFill>
              <w14:schemeClr w14:val="tx1"/>
            </w14:solidFill>
          </w14:textFill>
        </w:rPr>
        <w:t>其响应无效</w:t>
      </w:r>
      <w:r>
        <w:rPr>
          <w:rFonts w:hint="eastAsia" w:ascii="宋体" w:hAnsi="宋体" w:eastAsia="宋体" w:cs="宋体"/>
          <w:color w:val="000000" w:themeColor="text1"/>
          <w:szCs w:val="21"/>
          <w:highlight w:val="none"/>
          <w14:textFill>
            <w14:solidFill>
              <w14:schemeClr w14:val="tx1"/>
            </w14:solidFill>
          </w14:textFill>
        </w:rPr>
        <w:t>。</w:t>
      </w:r>
    </w:p>
    <w:p w14:paraId="753142FF">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.5评审委员会认为</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的报价明显低于其他通过符合性审查</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的报价，有可能影响产品质量或者不能诚信履约的，将要求其在</w:t>
      </w:r>
      <w:r>
        <w:rPr>
          <w:rFonts w:hint="eastAsia" w:ascii="宋体" w:hAnsi="宋体" w:eastAsia="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现场合理的时间内提供书面说明，必要时提交相关证明材料；</w:t>
      </w:r>
      <w:r>
        <w:rPr>
          <w:rFonts w:hint="eastAsia" w:ascii="宋体" w:hAnsi="宋体" w:eastAsia="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不能证明其报价合理性的，评审委员会应当将其作为无效</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处理。</w:t>
      </w:r>
    </w:p>
    <w:p w14:paraId="7A6D61DE">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（1）评审中出现下列情形之一的，评审委员会应当启动异常低价投标（响应）审查程序：</w:t>
      </w:r>
    </w:p>
    <w:p w14:paraId="363050A8">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1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50B46606">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2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323338EC">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3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投标（响应）报价低于采购项目最高限价45%的，即投标（响应）报价&lt;采购项目最高限价×45%；</w:t>
      </w:r>
    </w:p>
    <w:p w14:paraId="6B4AE1D1">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评审委员会基于专业判断，认为供应商报价过低，有可能影响产品（服务）质量或者不能诚信履约的其他情形。</w:t>
      </w:r>
    </w:p>
    <w:p w14:paraId="68277134">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（2）评审委员会启动异常低价投标（响应）审查后，属于前述第</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1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项至第</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 4 \* GB3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超过45分钟。</w:t>
      </w:r>
    </w:p>
    <w:p w14:paraId="06C695CE">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2" w:firstLineChars="200"/>
        <w:jc w:val="lef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属于上述第</w:t>
      </w:r>
      <w:r>
        <w:rPr>
          <w:rFonts w:hint="eastAsia" w:ascii="宋体" w:hAnsi="宋体" w:eastAsia="宋体" w:cs="宋体"/>
          <w:b/>
          <w:bCs/>
          <w:color w:val="000000" w:themeColor="text1"/>
          <w:highlight w:val="none"/>
          <w14:textFill>
            <w14:solidFill>
              <w14:schemeClr w14:val="tx1"/>
            </w14:solidFill>
          </w14:textFill>
        </w:rPr>
        <w:fldChar w:fldCharType="begin"/>
      </w:r>
      <w:r>
        <w:rPr>
          <w:rFonts w:hint="eastAsia" w:ascii="宋体" w:hAnsi="宋体" w:eastAsia="宋体" w:cs="宋体"/>
          <w:b/>
          <w:bCs/>
          <w:color w:val="000000" w:themeColor="text1"/>
          <w:highlight w:val="none"/>
          <w14:textFill>
            <w14:solidFill>
              <w14:schemeClr w14:val="tx1"/>
            </w14:solidFill>
          </w14:textFill>
        </w:rPr>
        <w:instrText xml:space="preserve"> = 3 \* GB3 </w:instrText>
      </w:r>
      <w:r>
        <w:rPr>
          <w:rFonts w:hint="eastAsia" w:ascii="宋体" w:hAnsi="宋体" w:eastAsia="宋体" w:cs="宋体"/>
          <w:b/>
          <w:bCs/>
          <w:color w:val="000000" w:themeColor="text1"/>
          <w:highlight w:val="none"/>
          <w14:textFill>
            <w14:solidFill>
              <w14:schemeClr w14:val="tx1"/>
            </w14:solidFill>
          </w14:textFill>
        </w:rPr>
        <w:fldChar w:fldCharType="separate"/>
      </w:r>
      <w:r>
        <w:rPr>
          <w:rFonts w:hint="eastAsia" w:ascii="宋体" w:hAnsi="宋体" w:eastAsia="宋体" w:cs="宋体"/>
          <w:b/>
          <w:bCs/>
          <w:color w:val="000000" w:themeColor="text1"/>
          <w:highlight w:val="none"/>
          <w14:textFill>
            <w14:solidFill>
              <w14:schemeClr w14:val="tx1"/>
            </w14:solidFill>
          </w14:textFill>
        </w:rPr>
        <w:t>③</w:t>
      </w:r>
      <w:r>
        <w:rPr>
          <w:rFonts w:hint="eastAsia" w:ascii="宋体" w:hAnsi="宋体" w:eastAsia="宋体" w:cs="宋体"/>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highlight w:val="none"/>
          <w14:textFill>
            <w14:solidFill>
              <w14:schemeClr w14:val="tx1"/>
            </w14:solidFill>
          </w14:textFill>
        </w:rPr>
        <w:t>项情形，投标人未随投标文件一并提交相关书面说明及必要的证明材料，其投标按照投标无效处理。</w:t>
      </w:r>
    </w:p>
    <w:p w14:paraId="79C668F5">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A29A568">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4E780E">
      <w:pPr>
        <w:keepNext w:val="0"/>
        <w:keepLines w:val="0"/>
        <w:pageBreakBefore w:val="0"/>
        <w:widowControl w:val="0"/>
        <w:shd w:val="clear"/>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异常低价投标（响应）审查的启动原因、审查意见和审查结果在评审报告中记录，并随供应商提供的相关书面说明及证明材料，以及评审委员会有关互联网浏览、查询历史一并归档。</w:t>
      </w:r>
    </w:p>
    <w:p w14:paraId="5094D5D6">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34.响应无效</w:t>
      </w:r>
    </w:p>
    <w:p w14:paraId="7BA6C7A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34.1根据磋商文件的规定，磋商小组审查供应商的响应文件是否响应了磋商文件的实质性要求。供应商不得通过修正或撤销不符合要求的偏离，从而使其磋商响应满足磋商文件要求。</w:t>
      </w:r>
    </w:p>
    <w:p w14:paraId="6D8EE51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34.2供应商存在下列情况之一的，响应无效：</w:t>
      </w:r>
    </w:p>
    <w:p w14:paraId="06A76946">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（1）响应文件未按磋商文件要求签署、盖章而影响响应文件法律效力的；</w:t>
      </w:r>
    </w:p>
    <w:p w14:paraId="767397E6">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（2）不具备磋商文件中规定的申请人的资格要求的（包括未提交有效的资格证明文件）；</w:t>
      </w:r>
    </w:p>
    <w:p w14:paraId="07306F7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（3）未对磋商文件的实质性条款作出响应（包括未按要求提交证明文件）的；</w:t>
      </w:r>
    </w:p>
    <w:p w14:paraId="710FA3A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（4）报价超过磋商文件中规定的预算金额或最高限价（如有）或单项限价（如有）的；</w:t>
      </w:r>
    </w:p>
    <w:p w14:paraId="1423B63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（5）报价明显低于其他通过符合性审查供应商的报价，供应商不能在评审现场合理时间内证明其报价合理性，经磋商小组认定可能影响服务质量或者不能诚信履约的；</w:t>
      </w:r>
    </w:p>
    <w:p w14:paraId="59F20492">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（6）响应文件含有采购人不能接受的附加条件的；</w:t>
      </w:r>
    </w:p>
    <w:p w14:paraId="7B15511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（7）响应文件中含有虚假材料的；</w:t>
      </w:r>
    </w:p>
    <w:p w14:paraId="0D2F338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（8）供应商违背诚实信用原则的；</w:t>
      </w:r>
    </w:p>
    <w:p w14:paraId="1F0C5141">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（9）供应商仅提交备份响应文件的；</w:t>
      </w:r>
    </w:p>
    <w:p w14:paraId="544BC4A2">
      <w:pPr>
        <w:pageBreakBefore w:val="0"/>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（10）同一标项的供应商存在下列情形之一且无法合理解释的，其响应文件无效：</w:t>
      </w:r>
    </w:p>
    <w:p w14:paraId="562C7E28">
      <w:pPr>
        <w:pageBreakBefore w:val="0"/>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t>不同供应商的电子投标（响应）文件上传计算机的网卡MAC地址或硬盘序列号等硬件信息相同的；</w:t>
      </w:r>
    </w:p>
    <w:p w14:paraId="257222AB">
      <w:pPr>
        <w:pageBreakBefore w:val="0"/>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上传的电子投标（响应）文件若出现使用本项目其他投标（响应）供应商的数字证书加密的，或者加盖本项目其他投标（响应）供应商的电子印章的；或者存在电子响应文件属性显示作者为同一人的</w:t>
      </w:r>
      <w:r>
        <w:rPr>
          <w:rFonts w:hint="eastAsia" w:ascii="宋体" w:hAnsi="宋体" w:eastAsia="宋体" w:cs="宋体"/>
          <w:color w:val="000000" w:themeColor="text1"/>
          <w:highlight w:val="none"/>
          <w:lang w:eastAsia="zh-CN"/>
          <w14:textFill>
            <w14:solidFill>
              <w14:schemeClr w14:val="tx1"/>
            </w14:solidFill>
          </w14:textFill>
        </w:rPr>
        <w:t>；</w:t>
      </w:r>
    </w:p>
    <w:p w14:paraId="18774F12">
      <w:pPr>
        <w:pageBreakBefore w:val="0"/>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t>不同供应商的投标（响应）文件的内容存在3处（含）以上错误一致的；</w:t>
      </w:r>
    </w:p>
    <w:p w14:paraId="0FC694CF">
      <w:pPr>
        <w:pageBreakBefore w:val="0"/>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t>不同供应商联系人为同一人或不同联系人的联系电话一致的。</w:t>
      </w:r>
    </w:p>
    <w:p w14:paraId="4E0700B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（11）法律、法规和磋商文件规定的其他响应无效情形。</w:t>
      </w:r>
    </w:p>
    <w:p w14:paraId="6CBED0D2">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35.磋商</w:t>
      </w:r>
    </w:p>
    <w:p w14:paraId="5D9C95DF">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35.1磋商小组所有成员集中与单一供应商分别进行磋商，并给予所有参加磋商的供应商平等的磋商机会。</w:t>
      </w:r>
    </w:p>
    <w:p w14:paraId="15B75D25">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35.2在磋商过程中，磋商小组可以根据磋商文件和磋商情况实质性变动采购需求中的技术、服务要求以及合同草案条款。</w:t>
      </w:r>
    </w:p>
    <w:p w14:paraId="62E4FC2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35.3对磋商文件作出的实质性变动是磋商文件的有效组成部分，磋商小组以书面形式同时通知所有参加磋商的供应商。</w:t>
      </w:r>
    </w:p>
    <w:p w14:paraId="04D75F47">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35.4供应商按照磋商文件的变动情况和磋商小组的要求重新提交响应文件，并由其法定代表人或授权代表签字或者加盖公章。</w:t>
      </w:r>
    </w:p>
    <w:p w14:paraId="5DE2A65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35.5磋商文件能够详细列明采购标的的技术、服务要求的，磋商结束后，磋商小组将要求所有实质性响应的供应商在规定时间内提交最后报价。</w:t>
      </w:r>
    </w:p>
    <w:p w14:paraId="6DCC0225">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提交最后报价。</w:t>
      </w:r>
    </w:p>
    <w:p w14:paraId="512D5B97">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最后报价是供应商响应文件的有效组成部分。</w:t>
      </w:r>
    </w:p>
    <w:p w14:paraId="79D97EE4">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35.6已提交响应文件的供应商，在提交最后报价之前，可以根据磋商情况退出磋商。</w:t>
      </w:r>
    </w:p>
    <w:p w14:paraId="622D1571">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36.比较与评价</w:t>
      </w:r>
    </w:p>
    <w:p w14:paraId="3929506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36.1经磋商确定最终采购需求和提交最后报价的供应商后，由磋商小组采用综合评分法对提交最后报价的供应商的响应文件和最后报价进行综合评分。</w:t>
      </w:r>
    </w:p>
    <w:p w14:paraId="194A836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竞争性磋商采购采用综合评分法，是指响应文件满足磋商文件全部实质性要求且按评审因素的量化指标评审得分最高的供应商为成交候选供应商的评审方法。</w:t>
      </w:r>
    </w:p>
    <w:p w14:paraId="4366762D">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36.2评审严格按照磋商文件的要求和条件进行，详细评审标准见磋商文件第四章。</w:t>
      </w:r>
    </w:p>
    <w:p w14:paraId="6BD97548">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37.采购终止的情形</w:t>
      </w:r>
    </w:p>
    <w:p w14:paraId="3F6FAB9F">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在本项目磋商采购中，出现下列情形之一的，应当终止竞争性磋商采购活动，发布项目终止公告并说明原因，重新开展采购活动：</w:t>
      </w:r>
    </w:p>
    <w:p w14:paraId="6D653686">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（1）因情况变化，不再符合规定的竞争性磋商采购方式适用情形的；</w:t>
      </w:r>
    </w:p>
    <w:p w14:paraId="7AB7E72F">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485751CF">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（3）除法律法规规定的情形外，在采购过程中符合要求的供应商或者报价未超过采购预算的供应商不足3家的；</w:t>
      </w:r>
    </w:p>
    <w:p w14:paraId="383E60FD">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（4）电子交易平台无法正常运行，无法保证电子交易的公平、公正和安全的情况。</w:t>
      </w:r>
    </w:p>
    <w:p w14:paraId="1F6D5335">
      <w:pPr>
        <w:pStyle w:val="12"/>
        <w:pageBreakBefore w:val="0"/>
        <w:shd w:val="clear"/>
        <w:kinsoku/>
        <w:wordWrap/>
        <w:overflowPunct/>
        <w:topLinePunct w:val="0"/>
        <w:bidi w:val="0"/>
        <w:snapToGrid w:val="0"/>
        <w:spacing w:beforeLines="0" w:afterLines="0" w:line="360" w:lineRule="auto"/>
        <w:ind w:left="0" w:leftChars="0" w:right="0" w:rightChars="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38.中止电子交易活动的情形</w:t>
      </w:r>
    </w:p>
    <w:p w14:paraId="666AB8C8">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采购过程中出现以下情形，导致电子交易平台无法正常运行，或者无法保证电子交易的公平、公正和安全时，采购组织机构可中止电子交易活动：</w:t>
      </w:r>
    </w:p>
    <w:p w14:paraId="72B3B1D2">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（1）电子交易平台发生故障而无法登录访问的；</w:t>
      </w:r>
    </w:p>
    <w:p w14:paraId="0E43ADC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（2）电子交易平台应用或数据库出现错误，不能进行正常操作的；</w:t>
      </w:r>
    </w:p>
    <w:p w14:paraId="4F92F4FD">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（3）电子交易平台发现严重安全漏洞，有潜在泄密危险的；</w:t>
      </w:r>
    </w:p>
    <w:p w14:paraId="686BA5A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（4）病毒发作导致不能进行正常操作的；</w:t>
      </w:r>
    </w:p>
    <w:p w14:paraId="2CA1B88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（5）其他无法保证电子交易的公平、公正和安全的情况。</w:t>
      </w:r>
    </w:p>
    <w:p w14:paraId="15866413">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出现前款规定情形，不影响采购公平、公正性的，可以待上述情形消除后继续组织电子交易活动；影响或可能影响采购公平、公正性的，将重新采购。</w:t>
      </w:r>
    </w:p>
    <w:p w14:paraId="2F4B6E59">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39.成交候选供应商的确定原则及标准</w:t>
      </w:r>
    </w:p>
    <w:p w14:paraId="192BBD4E">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根据综合评分情况，按照评审得分由高到低顺序推荐3名以上成交候选供应商，并编写评审报告。评审得分相同的，按照最后报价由低到高的顺序推荐。评审得分且最后报价相同的，按照技术指标优劣顺序推荐。</w:t>
      </w:r>
    </w:p>
    <w:p w14:paraId="6B521B28">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40.编写评审报告</w:t>
      </w:r>
    </w:p>
    <w:p w14:paraId="4ABACB56">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全体磋商小组成员签字的原始评审记录和评审结果编写评审报告，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70EB8D">
      <w:pPr>
        <w:pStyle w:val="7"/>
        <w:pageBreakBefore w:val="0"/>
        <w:numPr>
          <w:ilvl w:val="0"/>
          <w:numId w:val="0"/>
        </w:numPr>
        <w:shd w:val="clear"/>
        <w:tabs>
          <w:tab w:val="left" w:pos="720"/>
        </w:tabs>
        <w:kinsoku/>
        <w:wordWrap/>
        <w:overflowPunct/>
        <w:topLinePunct w:val="0"/>
        <w:bidi w:val="0"/>
        <w:snapToGrid w:val="0"/>
        <w:spacing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六、授予合同</w:t>
      </w:r>
    </w:p>
    <w:p w14:paraId="7A27722B">
      <w:pPr>
        <w:pageBreakBefore w:val="0"/>
        <w:shd w:val="clear"/>
        <w:kinsoku/>
        <w:wordWrap/>
        <w:overflowPunct/>
        <w:topLinePunct w:val="0"/>
        <w:bidi w:val="0"/>
        <w:spacing w:line="360" w:lineRule="auto"/>
        <w:ind w:left="0" w:leftChars="0" w:right="0" w:rightChars="0"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41.成交供应商的确定</w:t>
      </w:r>
    </w:p>
    <w:p w14:paraId="2DAEEF1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成交供应商确定主体为采购人，</w:t>
      </w:r>
      <w:r>
        <w:rPr>
          <w:rFonts w:hint="eastAsia" w:ascii="宋体" w:hAnsi="宋体" w:eastAsia="宋体" w:cs="宋体"/>
          <w:color w:val="000000" w:themeColor="text1"/>
          <w:szCs w:val="21"/>
          <w:highlight w:val="none"/>
          <w:u w:val="single"/>
          <w14:textFill>
            <w14:solidFill>
              <w14:schemeClr w14:val="tx1"/>
            </w14:solidFill>
          </w14:textFill>
        </w:rPr>
        <w:t>确定评审报告提出的排序第一的供应商为成交供应商</w:t>
      </w:r>
    </w:p>
    <w:p w14:paraId="02808ADE">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42.成交结果公告</w:t>
      </w:r>
    </w:p>
    <w:p w14:paraId="026ED12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自成交供应商确定之日起2个工作日内，采购代理机构在磋商文件确定的采购信息发布媒体上公告成交结果。</w:t>
      </w:r>
    </w:p>
    <w:p w14:paraId="6363E4D4">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43.成交通知书和采购结果通知书</w:t>
      </w:r>
    </w:p>
    <w:p w14:paraId="54F45519">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43.1在公告成交结果的同时，采购代理机构向成交供应商发出成交通知书，向未成交供应商发出采购结果通知书。</w:t>
      </w:r>
    </w:p>
    <w:p w14:paraId="51DCDCF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43.2因重大变故采购任务取消时，采购人有权拒绝任何供应商获得成交，且对受影响的供应商不承担任何责任。</w:t>
      </w:r>
    </w:p>
    <w:p w14:paraId="21EA8B94">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44.签订合同</w:t>
      </w:r>
    </w:p>
    <w:p w14:paraId="5F73E2DA">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采购人按照法律法规及磋商文件的规定与成交供应商签订书面合同。</w:t>
      </w:r>
    </w:p>
    <w:p w14:paraId="5D744489">
      <w:pPr>
        <w:pageBreakBefore w:val="0"/>
        <w:kinsoku/>
        <w:wordWrap/>
        <w:overflowPunct/>
        <w:topLinePunct w:val="0"/>
        <w:bidi w:val="0"/>
        <w:spacing w:line="36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505E5A9F">
      <w:pPr>
        <w:pStyle w:val="4"/>
        <w:pageBreakBefore w:val="0"/>
        <w:shd w:val="clear"/>
        <w:kinsoku/>
        <w:wordWrap/>
        <w:overflowPunct/>
        <w:topLinePunct w:val="0"/>
        <w:bidi w:val="0"/>
        <w:spacing w:before="0" w:after="0" w:line="360" w:lineRule="auto"/>
        <w:ind w:left="0" w:leftChars="0" w:right="0" w:rightChars="0" w:firstLine="295"/>
        <w:rPr>
          <w:rFonts w:hint="eastAsia" w:ascii="宋体" w:hAnsi="宋体" w:eastAsia="宋体" w:cs="宋体"/>
          <w:color w:val="000000" w:themeColor="text1"/>
          <w:sz w:val="32"/>
          <w:highlight w:val="none"/>
          <w14:textFill>
            <w14:solidFill>
              <w14:schemeClr w14:val="tx1"/>
            </w14:solidFill>
          </w14:textFill>
        </w:rPr>
      </w:pPr>
      <w:bookmarkStart w:id="56" w:name="_Toc254"/>
      <w:bookmarkStart w:id="57" w:name="_Toc34844744"/>
      <w:bookmarkStart w:id="58" w:name="_Toc14540"/>
      <w:r>
        <w:rPr>
          <w:rFonts w:hint="eastAsia" w:ascii="宋体" w:hAnsi="宋体" w:eastAsia="宋体" w:cs="宋体"/>
          <w:color w:val="000000" w:themeColor="text1"/>
          <w:highlight w:val="none"/>
          <w14:textFill>
            <w14:solidFill>
              <w14:schemeClr w14:val="tx1"/>
            </w14:solidFill>
          </w14:textFill>
        </w:rPr>
        <w:t>第四章  评审方法和评审标准</w:t>
      </w:r>
      <w:bookmarkEnd w:id="56"/>
      <w:bookmarkEnd w:id="57"/>
      <w:bookmarkEnd w:id="58"/>
    </w:p>
    <w:p w14:paraId="1EBFE1D9">
      <w:pPr>
        <w:pageBreakBefore w:val="0"/>
        <w:shd w:val="clear"/>
        <w:kinsoku/>
        <w:wordWrap/>
        <w:overflowPunct/>
        <w:topLinePunct w:val="0"/>
        <w:bidi w:val="0"/>
        <w:spacing w:line="360" w:lineRule="auto"/>
        <w:ind w:left="0" w:leftChars="0" w:right="0" w:rightChars="0" w:firstLine="424" w:firstLineChars="201"/>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一、总则</w:t>
      </w:r>
    </w:p>
    <w:p w14:paraId="22FA5885">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07BEB6C">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评审专家应当遵守评审工作纪律，不得泄露评审情况和评审中获悉的商业秘密。</w:t>
      </w:r>
    </w:p>
    <w:p w14:paraId="1C49F2A9">
      <w:pPr>
        <w:pageBreakBefore w:val="0"/>
        <w:shd w:val="clear"/>
        <w:kinsoku/>
        <w:wordWrap/>
        <w:overflowPunct/>
        <w:topLinePunct w:val="0"/>
        <w:bidi w:val="0"/>
        <w:spacing w:line="360" w:lineRule="auto"/>
        <w:ind w:left="0" w:leftChars="0" w:right="0" w:rightChars="0" w:firstLine="424" w:firstLineChars="201"/>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二、评审方法</w:t>
      </w:r>
    </w:p>
    <w:p w14:paraId="70028E2B">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采用综合评分法进行评审。评审时，磋商小组各成员独立对每个有效的响应文件进行评价、打分，然后汇总每个供应商每项评分因素的得分。每个供应商的最终评审得分为所有评委评分的算术平均数，小数点后四舍五入保留二位小数。</w:t>
      </w:r>
    </w:p>
    <w:p w14:paraId="4321905B">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2.价格扣除（价格优惠）</w:t>
      </w:r>
    </w:p>
    <w:p w14:paraId="243829C1">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满足价格扣除条件且在响应文件中提交了《中小企业声明函》《残疾人福利性单位声明函》或省级以上监狱管理局、戒毒管理局（含新疆生产建设兵团）出具的属于监狱企业的证明文件的供应商，对其磋商报价给予</w:t>
      </w:r>
      <w:r>
        <w:rPr>
          <w:rFonts w:hint="eastAsia" w:ascii="宋体" w:hAnsi="宋体" w:eastAsia="宋体" w:cs="宋体"/>
          <w:color w:val="000000" w:themeColor="text1"/>
          <w:highlight w:val="none"/>
          <w:u w:val="single"/>
          <w14:textFill>
            <w14:solidFill>
              <w14:schemeClr w14:val="tx1"/>
            </w14:solidFill>
          </w14:textFill>
        </w:rPr>
        <w:t xml:space="preserve"> 10 </w:t>
      </w:r>
      <w:r>
        <w:rPr>
          <w:rFonts w:hint="eastAsia" w:ascii="宋体" w:hAnsi="宋体" w:eastAsia="宋体" w:cs="宋体"/>
          <w:color w:val="000000" w:themeColor="text1"/>
          <w:highlight w:val="none"/>
          <w14:textFill>
            <w14:solidFill>
              <w14:schemeClr w14:val="tx1"/>
            </w14:solidFill>
          </w14:textFill>
        </w:rPr>
        <w:t>%的扣除。</w:t>
      </w:r>
    </w:p>
    <w:p w14:paraId="422C60AB">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（2）符合采购标的对应的中小企业划分标准所属行业：</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知识产权综合体运营服务项目</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 xml:space="preserve"> 租赁和商务服务业 </w:t>
      </w:r>
      <w:r>
        <w:rPr>
          <w:rFonts w:hint="eastAsia" w:ascii="宋体" w:hAnsi="宋体" w:eastAsia="宋体" w:cs="宋体"/>
          <w:color w:val="000000" w:themeColor="text1"/>
          <w:highlight w:val="none"/>
          <w14:textFill>
            <w14:solidFill>
              <w14:schemeClr w14:val="tx1"/>
            </w14:solidFill>
          </w14:textFill>
        </w:rPr>
        <w:t>。</w:t>
      </w:r>
    </w:p>
    <w:p w14:paraId="01B22BC6">
      <w:pPr>
        <w:pageBreakBefore w:val="0"/>
        <w:shd w:val="clear"/>
        <w:kinsoku/>
        <w:wordWrap/>
        <w:overflowPunct/>
        <w:topLinePunct w:val="0"/>
        <w:bidi w:val="0"/>
        <w:spacing w:line="360" w:lineRule="auto"/>
        <w:ind w:left="0" w:leftChars="0" w:right="0" w:righ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51E91C0">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三、评审程序</w:t>
      </w:r>
    </w:p>
    <w:p w14:paraId="5400861F">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1.资格审查</w:t>
      </w:r>
    </w:p>
    <w:p w14:paraId="7F9404DC">
      <w:pPr>
        <w:pageBreakBefore w:val="0"/>
        <w:shd w:val="clear"/>
        <w:kinsoku/>
        <w:wordWrap/>
        <w:overflowPunct/>
        <w:topLinePunct w:val="0"/>
        <w:bidi w:val="0"/>
        <w:snapToGrid w:val="0"/>
        <w:spacing w:line="360" w:lineRule="auto"/>
        <w:ind w:left="0" w:leftChars="0" w:right="0" w:rightChars="0"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由采购人或采购代理机构对供应商进行资格审查。资格审查内容如下：</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2552"/>
        <w:gridCol w:w="3969"/>
      </w:tblGrid>
      <w:tr w14:paraId="2F99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0D7E314D">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134" w:type="dxa"/>
            <w:tcBorders>
              <w:bottom w:val="single" w:color="auto" w:sz="4" w:space="0"/>
            </w:tcBorders>
            <w:vAlign w:val="center"/>
          </w:tcPr>
          <w:p w14:paraId="19145EBD">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评审内容</w:t>
            </w:r>
          </w:p>
        </w:tc>
        <w:tc>
          <w:tcPr>
            <w:tcW w:w="2552" w:type="dxa"/>
            <w:tcBorders>
              <w:bottom w:val="single" w:color="auto" w:sz="4" w:space="0"/>
            </w:tcBorders>
            <w:vAlign w:val="center"/>
          </w:tcPr>
          <w:p w14:paraId="1D08E757">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审查要求</w:t>
            </w:r>
          </w:p>
        </w:tc>
        <w:tc>
          <w:tcPr>
            <w:tcW w:w="3969" w:type="dxa"/>
            <w:tcBorders>
              <w:bottom w:val="single" w:color="auto" w:sz="4" w:space="0"/>
            </w:tcBorders>
            <w:vAlign w:val="center"/>
          </w:tcPr>
          <w:p w14:paraId="73843353">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要求说明</w:t>
            </w:r>
          </w:p>
        </w:tc>
      </w:tr>
      <w:tr w14:paraId="2A6E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09" w:type="dxa"/>
            <w:vAlign w:val="center"/>
          </w:tcPr>
          <w:p w14:paraId="77813BDC">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134" w:type="dxa"/>
            <w:vAlign w:val="center"/>
          </w:tcPr>
          <w:p w14:paraId="294D8410">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基本资质</w:t>
            </w:r>
          </w:p>
        </w:tc>
        <w:tc>
          <w:tcPr>
            <w:tcW w:w="2552" w:type="dxa"/>
            <w:vAlign w:val="center"/>
          </w:tcPr>
          <w:p w14:paraId="4B4242A8">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满足《中华人民共和国政府采购法》第二十二条第一款规定</w:t>
            </w:r>
          </w:p>
        </w:tc>
        <w:tc>
          <w:tcPr>
            <w:tcW w:w="3969" w:type="dxa"/>
            <w:vAlign w:val="center"/>
          </w:tcPr>
          <w:p w14:paraId="64C2C013">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资格要求响应文件内提供《供应商资格声明函》。</w:t>
            </w:r>
          </w:p>
        </w:tc>
      </w:tr>
      <w:tr w14:paraId="6408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tcBorders>
              <w:bottom w:val="single" w:color="auto" w:sz="4" w:space="0"/>
            </w:tcBorders>
            <w:vAlign w:val="center"/>
          </w:tcPr>
          <w:p w14:paraId="16545E53">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134" w:type="dxa"/>
            <w:tcBorders>
              <w:bottom w:val="single" w:color="auto" w:sz="4" w:space="0"/>
            </w:tcBorders>
            <w:vAlign w:val="center"/>
          </w:tcPr>
          <w:p w14:paraId="38C906CC">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w:t>
            </w:r>
          </w:p>
        </w:tc>
        <w:tc>
          <w:tcPr>
            <w:tcW w:w="2552" w:type="dxa"/>
            <w:tcBorders>
              <w:bottom w:val="single" w:color="auto" w:sz="4" w:space="0"/>
            </w:tcBorders>
            <w:vAlign w:val="center"/>
          </w:tcPr>
          <w:p w14:paraId="26419629">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1"/>
                <w:highlight w:val="none"/>
                <w14:textFill>
                  <w14:solidFill>
                    <w14:schemeClr w14:val="tx1"/>
                  </w14:solidFill>
                </w14:textFill>
              </w:rPr>
              <w:t>营业执照等机构登记证明复印件</w:t>
            </w:r>
          </w:p>
        </w:tc>
        <w:tc>
          <w:tcPr>
            <w:tcW w:w="3969" w:type="dxa"/>
            <w:tcBorders>
              <w:bottom w:val="single" w:color="auto" w:sz="4" w:space="0"/>
            </w:tcBorders>
            <w:vAlign w:val="center"/>
          </w:tcPr>
          <w:p w14:paraId="7C04DDB1">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资格要求响应文件内提供有效</w:t>
            </w:r>
            <w:r>
              <w:rPr>
                <w:rFonts w:hint="eastAsia" w:ascii="宋体" w:hAnsi="宋体" w:eastAsia="宋体" w:cs="宋体"/>
                <w:color w:val="000000" w:themeColor="text1"/>
                <w:kern w:val="1"/>
                <w:highlight w:val="none"/>
                <w14:textFill>
                  <w14:solidFill>
                    <w14:schemeClr w14:val="tx1"/>
                  </w14:solidFill>
                </w14:textFill>
              </w:rPr>
              <w:t>的营业执照等机构登记证明复印件，复印件</w:t>
            </w:r>
            <w:r>
              <w:rPr>
                <w:rFonts w:hint="eastAsia" w:ascii="宋体" w:hAnsi="宋体" w:eastAsia="宋体" w:cs="宋体"/>
                <w:color w:val="000000" w:themeColor="text1"/>
                <w:szCs w:val="21"/>
                <w:highlight w:val="none"/>
                <w14:textFill>
                  <w14:solidFill>
                    <w14:schemeClr w14:val="tx1"/>
                  </w14:solidFill>
                </w14:textFill>
              </w:rPr>
              <w:t>应完整清晰的体现出证明材料的全部内容。</w:t>
            </w:r>
          </w:p>
        </w:tc>
      </w:tr>
      <w:tr w14:paraId="71E5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09" w:type="dxa"/>
            <w:tcBorders>
              <w:bottom w:val="single" w:color="auto" w:sz="4" w:space="0"/>
            </w:tcBorders>
            <w:vAlign w:val="center"/>
          </w:tcPr>
          <w:p w14:paraId="3344003F">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134" w:type="dxa"/>
            <w:tcBorders>
              <w:bottom w:val="single" w:color="auto" w:sz="4" w:space="0"/>
            </w:tcBorders>
            <w:vAlign w:val="center"/>
          </w:tcPr>
          <w:p w14:paraId="71664399">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信用情况</w:t>
            </w:r>
          </w:p>
        </w:tc>
        <w:tc>
          <w:tcPr>
            <w:tcW w:w="2552" w:type="dxa"/>
            <w:tcBorders>
              <w:bottom w:val="single" w:color="auto" w:sz="4" w:space="0"/>
            </w:tcBorders>
            <w:vAlign w:val="center"/>
          </w:tcPr>
          <w:p w14:paraId="0890EB19">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未被“信用中国”（www.creditchina.gov.cn)、中国政府采购网（www.ccgp.gov.cn）列入失信被执行人、重大税收违法失信主体、政府采购严重违法失信行为记录名单</w:t>
            </w:r>
          </w:p>
        </w:tc>
        <w:tc>
          <w:tcPr>
            <w:tcW w:w="3969" w:type="dxa"/>
            <w:tcBorders>
              <w:bottom w:val="single" w:color="auto" w:sz="4" w:space="0"/>
            </w:tcBorders>
            <w:vAlign w:val="center"/>
          </w:tcPr>
          <w:p w14:paraId="41031F61">
            <w:pPr>
              <w:pageBreakBefore w:val="0"/>
              <w:shd w:val="clear"/>
              <w:kinsoku/>
              <w:wordWrap/>
              <w:overflowPunct/>
              <w:topLinePunct w:val="0"/>
              <w:bidi w:val="0"/>
              <w:adjustRightInd w:val="0"/>
              <w:snapToGrid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无需提供材料。</w:t>
            </w:r>
          </w:p>
        </w:tc>
      </w:tr>
    </w:tbl>
    <w:p w14:paraId="2A345E4F">
      <w:pPr>
        <w:pageBreakBefore w:val="0"/>
        <w:shd w:val="clear"/>
        <w:kinsoku/>
        <w:wordWrap/>
        <w:overflowPunct/>
        <w:topLinePunct w:val="0"/>
        <w:bidi w:val="0"/>
        <w:spacing w:line="24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资格审查指标通过标准：</w:t>
      </w:r>
      <w:r>
        <w:rPr>
          <w:rFonts w:hint="eastAsia" w:ascii="宋体" w:hAnsi="宋体" w:eastAsia="宋体" w:cs="宋体"/>
          <w:color w:val="000000" w:themeColor="text1"/>
          <w:szCs w:val="21"/>
          <w:highlight w:val="none"/>
          <w14:textFill>
            <w14:solidFill>
              <w14:schemeClr w14:val="tx1"/>
            </w14:solidFill>
          </w14:textFill>
        </w:rPr>
        <w:t>供应商必须通过资格审查表中的全部评审指标。</w:t>
      </w:r>
    </w:p>
    <w:p w14:paraId="7F9FB9C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14:paraId="1F6F2205">
      <w:pPr>
        <w:pageBreakBefore w:val="0"/>
        <w:shd w:val="clear"/>
        <w:kinsoku/>
        <w:wordWrap/>
        <w:overflowPunct/>
        <w:topLinePunct w:val="0"/>
        <w:bidi w:val="0"/>
        <w:spacing w:line="240" w:lineRule="auto"/>
        <w:ind w:left="0" w:leftChars="0" w:right="0" w:rightChars="0" w:firstLine="426"/>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2.符合性审查</w:t>
      </w:r>
    </w:p>
    <w:p w14:paraId="38942A6A">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磋商小组对通过资格审查的供应商的响应文件进行符合性审查，以确定其是否满足磋商文件的实质性要求。符合性审查内容如下：</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90"/>
        <w:gridCol w:w="3260"/>
        <w:gridCol w:w="2694"/>
      </w:tblGrid>
      <w:tr w14:paraId="6962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0" w:type="dxa"/>
            <w:tcBorders>
              <w:bottom w:val="single" w:color="auto" w:sz="4" w:space="0"/>
            </w:tcBorders>
            <w:vAlign w:val="center"/>
          </w:tcPr>
          <w:p w14:paraId="2BC4AC6B">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690" w:type="dxa"/>
            <w:tcBorders>
              <w:bottom w:val="single" w:color="auto" w:sz="4" w:space="0"/>
            </w:tcBorders>
            <w:vAlign w:val="center"/>
          </w:tcPr>
          <w:p w14:paraId="4B92E5F5">
            <w:pPr>
              <w:pStyle w:val="33"/>
              <w:pageBreakBefore w:val="0"/>
              <w:pBdr>
                <w:bottom w:val="none" w:color="auto" w:sz="0" w:space="0"/>
              </w:pBdr>
              <w:shd w:val="clear"/>
              <w:tabs>
                <w:tab w:val="clear" w:pos="4153"/>
                <w:tab w:val="clear" w:pos="8306"/>
              </w:tabs>
              <w:kinsoku/>
              <w:wordWrap/>
              <w:overflowPunct/>
              <w:topLinePunct w:val="0"/>
              <w:bidi w:val="0"/>
              <w:snapToGrid w:val="0"/>
              <w:spacing w:line="240" w:lineRule="auto"/>
              <w:ind w:left="0" w:leftChars="0" w:right="0" w:rightChars="0" w:firstLine="296"/>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3260" w:type="dxa"/>
            <w:tcBorders>
              <w:bottom w:val="single" w:color="auto" w:sz="4" w:space="0"/>
            </w:tcBorders>
            <w:vAlign w:val="center"/>
          </w:tcPr>
          <w:p w14:paraId="2E86CEFE">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w:t>
            </w:r>
          </w:p>
        </w:tc>
        <w:tc>
          <w:tcPr>
            <w:tcW w:w="2694" w:type="dxa"/>
            <w:tcBorders>
              <w:bottom w:val="single" w:color="auto" w:sz="4" w:space="0"/>
            </w:tcBorders>
            <w:vAlign w:val="center"/>
          </w:tcPr>
          <w:p w14:paraId="5A8EB059">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要求说明</w:t>
            </w:r>
          </w:p>
        </w:tc>
      </w:tr>
      <w:tr w14:paraId="1B05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vAlign w:val="center"/>
          </w:tcPr>
          <w:p w14:paraId="2B8BA8D9">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690" w:type="dxa"/>
            <w:vAlign w:val="center"/>
          </w:tcPr>
          <w:p w14:paraId="55574D08">
            <w:pPr>
              <w:pageBreakBefore w:val="0"/>
              <w:shd w:val="clear"/>
              <w:kinsoku/>
              <w:wordWrap/>
              <w:overflowPunct/>
              <w:topLinePunct w:val="0"/>
              <w:bidi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磋商报价</w:t>
            </w:r>
          </w:p>
        </w:tc>
        <w:tc>
          <w:tcPr>
            <w:tcW w:w="3260" w:type="dxa"/>
            <w:vAlign w:val="center"/>
          </w:tcPr>
          <w:p w14:paraId="08B42A0E">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《报价表》格式、金额符合磋商文件要求并加盖公章</w:t>
            </w:r>
          </w:p>
        </w:tc>
        <w:tc>
          <w:tcPr>
            <w:tcW w:w="2694" w:type="dxa"/>
            <w:vAlign w:val="center"/>
          </w:tcPr>
          <w:p w14:paraId="6AD6EDD2">
            <w:pPr>
              <w:pageBreakBefore w:val="0"/>
              <w:shd w:val="clear"/>
              <w:kinsoku/>
              <w:wordWrap/>
              <w:overflowPunct/>
              <w:topLinePunct w:val="0"/>
              <w:bidi w:val="0"/>
              <w:adjustRightInd w:val="0"/>
              <w:snapToGrid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响应文件内提供《报价表》，磋商过程中按照磋商小组要求提供报价资料。</w:t>
            </w:r>
          </w:p>
        </w:tc>
      </w:tr>
      <w:tr w14:paraId="6FEF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0" w:type="dxa"/>
            <w:vAlign w:val="center"/>
          </w:tcPr>
          <w:p w14:paraId="4266E4FB">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690" w:type="dxa"/>
            <w:vAlign w:val="center"/>
          </w:tcPr>
          <w:p w14:paraId="5BD9DD4D">
            <w:pPr>
              <w:pageBreakBefore w:val="0"/>
              <w:shd w:val="clear"/>
              <w:kinsoku/>
              <w:wordWrap/>
              <w:overflowPunct/>
              <w:topLinePunct w:val="0"/>
              <w:bidi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响应函</w:t>
            </w:r>
          </w:p>
        </w:tc>
        <w:tc>
          <w:tcPr>
            <w:tcW w:w="3260" w:type="dxa"/>
            <w:vAlign w:val="center"/>
          </w:tcPr>
          <w:p w14:paraId="3C87F23F">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《响应函》格式、填写符合磋商文件要求并加盖公章</w:t>
            </w:r>
          </w:p>
        </w:tc>
        <w:tc>
          <w:tcPr>
            <w:tcW w:w="2694" w:type="dxa"/>
            <w:vAlign w:val="center"/>
          </w:tcPr>
          <w:p w14:paraId="5055B114">
            <w:pPr>
              <w:pageBreakBefore w:val="0"/>
              <w:shd w:val="clear"/>
              <w:kinsoku/>
              <w:wordWrap/>
              <w:overflowPunct/>
              <w:topLinePunct w:val="0"/>
              <w:bidi w:val="0"/>
              <w:adjustRightInd w:val="0"/>
              <w:snapToGrid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响应文件内提供《响应函》</w:t>
            </w:r>
          </w:p>
        </w:tc>
      </w:tr>
      <w:tr w14:paraId="5564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20" w:type="dxa"/>
            <w:vAlign w:val="center"/>
          </w:tcPr>
          <w:p w14:paraId="162AF702">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690" w:type="dxa"/>
            <w:vAlign w:val="center"/>
          </w:tcPr>
          <w:p w14:paraId="640D0979">
            <w:pPr>
              <w:pageBreakBefore w:val="0"/>
              <w:shd w:val="clear"/>
              <w:kinsoku/>
              <w:wordWrap/>
              <w:overflowPunct/>
              <w:topLinePunct w:val="0"/>
              <w:bidi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响应文件盖章</w:t>
            </w:r>
          </w:p>
        </w:tc>
        <w:tc>
          <w:tcPr>
            <w:tcW w:w="3260" w:type="dxa"/>
            <w:vAlign w:val="center"/>
          </w:tcPr>
          <w:p w14:paraId="1DC53F31">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响应文件按照磋商文件要求进行盖章</w:t>
            </w:r>
          </w:p>
        </w:tc>
        <w:tc>
          <w:tcPr>
            <w:tcW w:w="2694" w:type="dxa"/>
            <w:vAlign w:val="center"/>
          </w:tcPr>
          <w:p w14:paraId="18C38AC6">
            <w:pPr>
              <w:pageBreakBefore w:val="0"/>
              <w:shd w:val="clear"/>
              <w:kinsoku/>
              <w:wordWrap/>
              <w:overflowPunct/>
              <w:topLinePunct w:val="0"/>
              <w:bidi w:val="0"/>
              <w:adjustRightInd w:val="0"/>
              <w:snapToGrid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响应文件相关资料盖章满足磋商文件要求</w:t>
            </w:r>
          </w:p>
        </w:tc>
      </w:tr>
      <w:tr w14:paraId="67C8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646A243">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690" w:type="dxa"/>
            <w:vAlign w:val="center"/>
          </w:tcPr>
          <w:p w14:paraId="66F2B5E3">
            <w:pPr>
              <w:pageBreakBefore w:val="0"/>
              <w:shd w:val="clear"/>
              <w:kinsoku/>
              <w:wordWrap/>
              <w:overflowPunct/>
              <w:topLinePunct w:val="0"/>
              <w:bidi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采购需求响应</w:t>
            </w:r>
          </w:p>
        </w:tc>
        <w:tc>
          <w:tcPr>
            <w:tcW w:w="3260" w:type="dxa"/>
            <w:vAlign w:val="center"/>
          </w:tcPr>
          <w:p w14:paraId="3C7EB7A2">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符合磋商文件采购需求中明确的实质性要求。</w:t>
            </w:r>
          </w:p>
        </w:tc>
        <w:tc>
          <w:tcPr>
            <w:tcW w:w="2694" w:type="dxa"/>
            <w:vAlign w:val="center"/>
          </w:tcPr>
          <w:p w14:paraId="3EEB540F">
            <w:pPr>
              <w:pageBreakBefore w:val="0"/>
              <w:shd w:val="clear"/>
              <w:kinsoku/>
              <w:wordWrap/>
              <w:overflowPunct/>
              <w:topLinePunct w:val="0"/>
              <w:bidi w:val="0"/>
              <w:spacing w:line="24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响应文件提供采购需求偏离和建议调整表和合同条款偏离和建议调整表</w:t>
            </w:r>
          </w:p>
        </w:tc>
      </w:tr>
      <w:tr w14:paraId="3BBA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2EA6C39">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690" w:type="dxa"/>
            <w:vAlign w:val="center"/>
          </w:tcPr>
          <w:p w14:paraId="171B43F1">
            <w:pPr>
              <w:pageBreakBefore w:val="0"/>
              <w:shd w:val="clear"/>
              <w:kinsoku/>
              <w:wordWrap/>
              <w:overflowPunct/>
              <w:topLinePunct w:val="0"/>
              <w:bidi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其他要求</w:t>
            </w:r>
          </w:p>
        </w:tc>
        <w:tc>
          <w:tcPr>
            <w:tcW w:w="3260" w:type="dxa"/>
            <w:vAlign w:val="center"/>
          </w:tcPr>
          <w:p w14:paraId="6A51915F">
            <w:pPr>
              <w:pageBreakBefore w:val="0"/>
              <w:shd w:val="clear"/>
              <w:kinsoku/>
              <w:wordWrap/>
              <w:overflowPunct/>
              <w:topLinePunct w:val="0"/>
              <w:bidi w:val="0"/>
              <w:spacing w:line="240" w:lineRule="auto"/>
              <w:ind w:left="0" w:leftChars="0" w:right="0" w:righ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符合法律、行政法规规定的其他要求或不存在磋商文件列明的拒绝参加磋商、不允许存在的其他情形或响应无效的情形</w:t>
            </w:r>
          </w:p>
        </w:tc>
        <w:tc>
          <w:tcPr>
            <w:tcW w:w="2694" w:type="dxa"/>
            <w:vAlign w:val="center"/>
          </w:tcPr>
          <w:p w14:paraId="37A9536B">
            <w:pPr>
              <w:pageBreakBefore w:val="0"/>
              <w:shd w:val="clear"/>
              <w:kinsoku/>
              <w:wordWrap/>
              <w:overflowPunct/>
              <w:topLinePunct w:val="0"/>
              <w:bidi w:val="0"/>
              <w:adjustRightInd w:val="0"/>
              <w:snapToGrid w:val="0"/>
              <w:spacing w:line="24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无需额外提供磋商文件未要求的材料</w:t>
            </w:r>
          </w:p>
        </w:tc>
      </w:tr>
    </w:tbl>
    <w:p w14:paraId="46D2F129">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符合性审查指标通过标准：</w:t>
      </w:r>
      <w:r>
        <w:rPr>
          <w:rFonts w:hint="eastAsia" w:ascii="宋体" w:hAnsi="宋体" w:eastAsia="宋体" w:cs="宋体"/>
          <w:color w:val="000000" w:themeColor="text1"/>
          <w:szCs w:val="21"/>
          <w:highlight w:val="none"/>
          <w14:textFill>
            <w14:solidFill>
              <w14:schemeClr w14:val="tx1"/>
            </w14:solidFill>
          </w14:textFill>
        </w:rPr>
        <w:t>供应商必须通过符合性审查表中的全部评审指标。</w:t>
      </w:r>
    </w:p>
    <w:p w14:paraId="7D96BD0E">
      <w:pPr>
        <w:pageBreakBefore w:val="0"/>
        <w:shd w:val="clear"/>
        <w:kinsoku/>
        <w:wordWrap/>
        <w:overflowPunct/>
        <w:topLinePunct w:val="0"/>
        <w:bidi w:val="0"/>
        <w:snapToGrid w:val="0"/>
        <w:spacing w:line="360" w:lineRule="auto"/>
        <w:ind w:left="0" w:leftChars="0" w:right="0" w:rightChars="0"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3.详细审查和评分（评审标准兼评委打分表）</w:t>
      </w:r>
    </w:p>
    <w:tbl>
      <w:tblPr>
        <w:tblStyle w:val="21"/>
        <w:tblW w:w="837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40"/>
        <w:gridCol w:w="5622"/>
        <w:gridCol w:w="851"/>
      </w:tblGrid>
      <w:tr w14:paraId="2612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tcBorders>
              <w:top w:val="single" w:color="auto" w:sz="4" w:space="0"/>
              <w:left w:val="single" w:color="auto" w:sz="4" w:space="0"/>
              <w:bottom w:val="single" w:color="auto" w:sz="4" w:space="0"/>
              <w:right w:val="single" w:color="auto" w:sz="4" w:space="0"/>
            </w:tcBorders>
            <w:vAlign w:val="center"/>
          </w:tcPr>
          <w:p w14:paraId="1BF9ABBD">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19B8892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评标要点及说明</w:t>
            </w:r>
          </w:p>
        </w:tc>
        <w:tc>
          <w:tcPr>
            <w:tcW w:w="851" w:type="dxa"/>
            <w:tcBorders>
              <w:top w:val="single" w:color="auto" w:sz="4" w:space="0"/>
              <w:left w:val="single" w:color="auto" w:sz="4" w:space="0"/>
              <w:bottom w:val="single" w:color="auto" w:sz="4" w:space="0"/>
              <w:right w:val="single" w:color="auto" w:sz="4" w:space="0"/>
            </w:tcBorders>
            <w:vAlign w:val="center"/>
          </w:tcPr>
          <w:p w14:paraId="7669A39F">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r>
      <w:tr w14:paraId="357C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vMerge w:val="restart"/>
            <w:tcBorders>
              <w:top w:val="single" w:color="auto" w:sz="4" w:space="0"/>
              <w:left w:val="single" w:color="auto" w:sz="4" w:space="0"/>
              <w:right w:val="single" w:color="auto" w:sz="4" w:space="0"/>
            </w:tcBorders>
            <w:vAlign w:val="center"/>
          </w:tcPr>
          <w:p w14:paraId="42A9B8BA">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商务技术分</w:t>
            </w:r>
          </w:p>
        </w:tc>
        <w:tc>
          <w:tcPr>
            <w:tcW w:w="1040" w:type="dxa"/>
            <w:tcBorders>
              <w:top w:val="single" w:color="auto" w:sz="4" w:space="0"/>
              <w:left w:val="single" w:color="auto" w:sz="4" w:space="0"/>
              <w:bottom w:val="single" w:color="auto" w:sz="4" w:space="0"/>
              <w:right w:val="single" w:color="auto" w:sz="4" w:space="0"/>
            </w:tcBorders>
            <w:vAlign w:val="center"/>
          </w:tcPr>
          <w:p w14:paraId="0FCAFE7E">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项目的整体认识</w:t>
            </w:r>
          </w:p>
        </w:tc>
        <w:tc>
          <w:tcPr>
            <w:tcW w:w="5622" w:type="dxa"/>
            <w:tcBorders>
              <w:top w:val="single" w:color="auto" w:sz="4" w:space="0"/>
              <w:left w:val="single" w:color="auto" w:sz="4" w:space="0"/>
              <w:bottom w:val="single" w:color="auto" w:sz="4" w:space="0"/>
              <w:right w:val="single" w:color="auto" w:sz="4" w:space="0"/>
            </w:tcBorders>
            <w:vAlign w:val="center"/>
          </w:tcPr>
          <w:p w14:paraId="0246F23D">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根据供应商对本项目的整体了解和认识是否完善、透彻、清晰进行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w:t>
            </w:r>
          </w:p>
          <w:p w14:paraId="10D10639">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了解全面且深入，内容清晰完善，涵盖项目需求的关键要素。对项目需求的整体背景、目标有清晰的认识，能够准确阐述项目的重要性和意义的得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11267B5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了解较为清晰，内容基本完善，涵盖项目需求的大部分关键要素。对项目需求的整体背景、目标有基本的认识，仅在个别细节方面不够深入或存在少量遗漏的得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6359871B">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了解片面，仅涉及项目需求的部分要素。对项目需求的整体背景、目标的认识较为模糊，缺乏深度和细节，无法准确阐述项目的重要性和意义的得2分；</w:t>
            </w:r>
          </w:p>
          <w:p w14:paraId="5F5B2C6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④未提供不得分。</w:t>
            </w:r>
          </w:p>
        </w:tc>
        <w:tc>
          <w:tcPr>
            <w:tcW w:w="851" w:type="dxa"/>
            <w:tcBorders>
              <w:top w:val="single" w:color="auto" w:sz="4" w:space="0"/>
              <w:left w:val="single" w:color="auto" w:sz="4" w:space="0"/>
              <w:bottom w:val="single" w:color="auto" w:sz="4" w:space="0"/>
              <w:right w:val="single" w:color="auto" w:sz="4" w:space="0"/>
            </w:tcBorders>
            <w:vAlign w:val="center"/>
          </w:tcPr>
          <w:p w14:paraId="7D46121A">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1D27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Merge w:val="continue"/>
            <w:tcBorders>
              <w:left w:val="single" w:color="auto" w:sz="4" w:space="0"/>
              <w:right w:val="single" w:color="auto" w:sz="4" w:space="0"/>
            </w:tcBorders>
            <w:vAlign w:val="center"/>
          </w:tcPr>
          <w:p w14:paraId="750F9046">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vMerge w:val="restart"/>
            <w:tcBorders>
              <w:top w:val="single" w:color="auto" w:sz="4" w:space="0"/>
              <w:left w:val="single" w:color="auto" w:sz="4" w:space="0"/>
              <w:right w:val="single" w:color="auto" w:sz="4" w:space="0"/>
            </w:tcBorders>
            <w:vAlign w:val="center"/>
          </w:tcPr>
          <w:p w14:paraId="3531DB18">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重点难点分析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及解决方案</w:t>
            </w:r>
          </w:p>
        </w:tc>
        <w:tc>
          <w:tcPr>
            <w:tcW w:w="5622" w:type="dxa"/>
            <w:tcBorders>
              <w:top w:val="single" w:color="auto" w:sz="4" w:space="0"/>
              <w:left w:val="single" w:color="auto" w:sz="4" w:space="0"/>
              <w:bottom w:val="single" w:color="auto" w:sz="4" w:space="0"/>
              <w:right w:val="single" w:color="auto" w:sz="4" w:space="0"/>
            </w:tcBorders>
            <w:vAlign w:val="center"/>
          </w:tcPr>
          <w:p w14:paraId="46831251">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供应商针对运营服务过程中重点难点内容提供分析，针对供应商提出观点等内容的合理性、准确性进行综合评审。</w:t>
            </w:r>
          </w:p>
          <w:p w14:paraId="1D2C2607">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重点难点方案内容详细，能精准识别综合体运营服务的核心重点环节、特有的</w:t>
            </w:r>
            <w:r>
              <w:rPr>
                <w:rFonts w:hint="eastAsia" w:ascii="宋体" w:hAnsi="宋体" w:cs="宋体"/>
                <w:color w:val="000000" w:themeColor="text1"/>
                <w:sz w:val="21"/>
                <w:szCs w:val="21"/>
                <w:highlight w:val="none"/>
                <w:lang w:val="en-US" w:eastAsia="zh-CN"/>
                <w14:textFill>
                  <w14:solidFill>
                    <w14:schemeClr w14:val="tx1"/>
                  </w14:solidFill>
                </w14:textFill>
              </w:rPr>
              <w:t>运营</w:t>
            </w:r>
            <w:r>
              <w:rPr>
                <w:rFonts w:hint="eastAsia" w:ascii="宋体" w:hAnsi="宋体" w:eastAsia="宋体" w:cs="宋体"/>
                <w:color w:val="000000" w:themeColor="text1"/>
                <w:sz w:val="21"/>
                <w:szCs w:val="21"/>
                <w:highlight w:val="none"/>
                <w:lang w:val="en-US" w:eastAsia="zh-CN"/>
                <w14:textFill>
                  <w14:solidFill>
                    <w14:schemeClr w14:val="tx1"/>
                  </w14:solidFill>
                </w14:textFill>
              </w:rPr>
              <w:t>难点，分析全面、透彻，贴合项目实际的得8分；</w:t>
            </w:r>
          </w:p>
          <w:p w14:paraId="7D592667">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重点难点方案内容较详细，能识别项目主要重点、难点，分析较为清晰，基本贴合项目实际的，得6分；</w:t>
            </w:r>
          </w:p>
          <w:p w14:paraId="30A5D2AE">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重点难点方案内容详细程度一般，基本能识别项目主要重点、难点，分析清晰程度一般，基本贴合项目实际的得4分；</w:t>
            </w:r>
          </w:p>
          <w:p w14:paraId="45B9B85F">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重点难点方案内容简单粗略，分析片面，思路模糊，与项目实际贴合度低的，得2分；</w:t>
            </w:r>
          </w:p>
          <w:p w14:paraId="730AAC97">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color w:val="000000" w:themeColor="text1"/>
                <w:sz w:val="21"/>
                <w:szCs w:val="21"/>
                <w:highlight w:val="none"/>
                <w:lang w:val="zh-CN" w:eastAsia="zh-CN"/>
                <w14:textFill>
                  <w14:solidFill>
                    <w14:schemeClr w14:val="tx1"/>
                  </w14:solidFill>
                </w14:textFill>
              </w:rPr>
              <w:t>未提供不得分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14:paraId="5B7E2CE7">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r>
      <w:tr w14:paraId="322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65" w:type="dxa"/>
            <w:vMerge w:val="continue"/>
            <w:tcBorders>
              <w:left w:val="single" w:color="auto" w:sz="4" w:space="0"/>
              <w:right w:val="single" w:color="auto" w:sz="4" w:space="0"/>
            </w:tcBorders>
            <w:vAlign w:val="center"/>
          </w:tcPr>
          <w:p w14:paraId="0E427C10">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vMerge w:val="continue"/>
            <w:tcBorders>
              <w:left w:val="single" w:color="auto" w:sz="4" w:space="0"/>
              <w:bottom w:val="single" w:color="auto" w:sz="4" w:space="0"/>
              <w:right w:val="single" w:color="auto" w:sz="4" w:space="0"/>
            </w:tcBorders>
            <w:vAlign w:val="center"/>
          </w:tcPr>
          <w:p w14:paraId="0D3A100C">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5622" w:type="dxa"/>
            <w:tcBorders>
              <w:top w:val="single" w:color="auto" w:sz="4" w:space="0"/>
              <w:left w:val="single" w:color="auto" w:sz="4" w:space="0"/>
              <w:bottom w:val="single" w:color="auto" w:sz="4" w:space="0"/>
              <w:right w:val="single" w:color="auto" w:sz="4" w:space="0"/>
            </w:tcBorders>
            <w:vAlign w:val="center"/>
          </w:tcPr>
          <w:p w14:paraId="26967139">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供应商针对运营服务的重难点，提出解决对策或解决方案，针对解决方案的合理性、可行性进行综合评审。</w:t>
            </w:r>
          </w:p>
          <w:p w14:paraId="09859069">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应对思路贴合运营服务项目实际，解决方案具体、可落地，针对性强，能有效解决识别的重点、难点问题的，得8分；</w:t>
            </w:r>
          </w:p>
          <w:p w14:paraId="2C58919B">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应对思路基本合理，解决方案具备可行性，仅需少量补充细化即可落地的，得6分；</w:t>
            </w:r>
          </w:p>
          <w:p w14:paraId="2AEB6971">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应对思路合理性一般，解决方案可行性一般，需要部分补充细化方可落地的，得4分；</w:t>
            </w:r>
          </w:p>
          <w:p w14:paraId="0527AD4E">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应对思路笼统，解决方案缺乏针对性，无法有效支撑重点、难点问题解决的，得2分；</w:t>
            </w:r>
          </w:p>
          <w:p w14:paraId="3C640F58">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color w:val="000000" w:themeColor="text1"/>
                <w:sz w:val="21"/>
                <w:szCs w:val="21"/>
                <w:highlight w:val="none"/>
                <w:lang w:val="zh-CN" w:eastAsia="zh-CN"/>
                <w14:textFill>
                  <w14:solidFill>
                    <w14:schemeClr w14:val="tx1"/>
                  </w14:solidFill>
                </w14:textFill>
              </w:rPr>
              <w:t>未提供不得分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14:paraId="33B0A4F8">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r>
      <w:tr w14:paraId="2357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vMerge w:val="continue"/>
            <w:tcBorders>
              <w:left w:val="single" w:color="auto" w:sz="4" w:space="0"/>
              <w:right w:val="single" w:color="auto" w:sz="4" w:space="0"/>
            </w:tcBorders>
            <w:vAlign w:val="center"/>
          </w:tcPr>
          <w:p w14:paraId="7916319B">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3A6DE52F">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项目组织协调方案</w:t>
            </w:r>
          </w:p>
        </w:tc>
        <w:tc>
          <w:tcPr>
            <w:tcW w:w="5622" w:type="dxa"/>
            <w:tcBorders>
              <w:top w:val="single" w:color="auto" w:sz="4" w:space="0"/>
              <w:left w:val="single" w:color="auto" w:sz="4" w:space="0"/>
              <w:bottom w:val="single" w:color="auto" w:sz="4" w:space="0"/>
              <w:right w:val="single" w:color="auto" w:sz="4" w:space="0"/>
            </w:tcBorders>
            <w:vAlign w:val="center"/>
          </w:tcPr>
          <w:p w14:paraId="552567B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根据供应商提供的项目实施过程中的组织协调方案进行评议，包括方案内容是否全面，组织机构是否健全，职责是否明确，工作步骤是否合理、可行。</w:t>
            </w:r>
          </w:p>
          <w:p w14:paraId="78DAEAA4">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项目组织协调方案内容全面，涵盖项目各阶段的组织架构、人员分工、职责明确，对可能出现的协调问题有详细的应对措施。方案逻辑严谨，步骤清晰，能够有效指导项目实施过程中的组织协调工作，确保项目顺利推进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289E84A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②项目组织协调方案内容完善，涵盖项目主要阶段的组织架构和人员分工，职责基本明确，能够为项目实施过程中的组织协调工作提供指导，能够满足项目实施过程中大部分的沟通协调需求的得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p w14:paraId="5653C9FB">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项目组织协调方案内容简略，存在较多缺失，仅涵盖部分项目阶段的组织架构和人员分工，职责不够明确，方案缺乏具体的实施步骤和应对措施，对项目实施过程中的组织协调工作指导性不足。沟通机制不够完善，存在沟通不畅或协调困难的风险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p w14:paraId="031A4D9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④未提供的不得分。</w:t>
            </w:r>
          </w:p>
        </w:tc>
        <w:tc>
          <w:tcPr>
            <w:tcW w:w="851" w:type="dxa"/>
            <w:tcBorders>
              <w:top w:val="single" w:color="auto" w:sz="4" w:space="0"/>
              <w:left w:val="single" w:color="auto" w:sz="4" w:space="0"/>
              <w:bottom w:val="single" w:color="auto" w:sz="4" w:space="0"/>
              <w:right w:val="single" w:color="auto" w:sz="4" w:space="0"/>
            </w:tcBorders>
            <w:vAlign w:val="center"/>
          </w:tcPr>
          <w:p w14:paraId="44AA76D8">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r>
      <w:tr w14:paraId="4076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vMerge w:val="continue"/>
            <w:tcBorders>
              <w:left w:val="single" w:color="auto" w:sz="4" w:space="0"/>
              <w:right w:val="single" w:color="auto" w:sz="4" w:space="0"/>
            </w:tcBorders>
            <w:vAlign w:val="center"/>
          </w:tcPr>
          <w:p w14:paraId="07867E83">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vAlign w:val="center"/>
          </w:tcPr>
          <w:p w14:paraId="4110D623">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日常运维服务方案</w:t>
            </w:r>
          </w:p>
        </w:tc>
        <w:tc>
          <w:tcPr>
            <w:tcW w:w="5622" w:type="dxa"/>
            <w:tcBorders>
              <w:top w:val="single" w:color="auto" w:sz="4" w:space="0"/>
              <w:left w:val="single" w:color="auto" w:sz="4" w:space="0"/>
              <w:right w:val="single" w:color="auto" w:sz="4" w:space="0"/>
            </w:tcBorders>
            <w:vAlign w:val="center"/>
          </w:tcPr>
          <w:p w14:paraId="743EBD74">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根据供应商提供的日常运维服务方案进行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397D6F">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针对综合体日常运维、服务事项全流程管理、跨部门业务衔接、知识产权“一件事”协同办理方案完整、流程清晰、措施具体、可落地性强，具备完善的流程管控、问题处置、协同联动机制，全面满足日常高效运转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3FBD2A">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②针对日常运维、业务衔接、协同办理方案较完整，流程基本合理，具备基础管控措施，能够满足项目主要运维需求，个别环节不够细化，得4</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4DB27A0">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日常运维方案内容简略、流程不清晰，仅覆盖部分服务内容，缺乏可操作的管控与衔接措施，服务保障能力一般，得2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98FA1F3">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7A649BE9">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r>
      <w:tr w14:paraId="3B76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65" w:type="dxa"/>
            <w:vMerge w:val="continue"/>
            <w:tcBorders>
              <w:left w:val="single" w:color="auto" w:sz="4" w:space="0"/>
              <w:right w:val="single" w:color="auto" w:sz="4" w:space="0"/>
            </w:tcBorders>
            <w:vAlign w:val="center"/>
          </w:tcPr>
          <w:p w14:paraId="52B315BC">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shd w:val="clear" w:color="auto" w:fill="auto"/>
            <w:vAlign w:val="center"/>
          </w:tcPr>
          <w:p w14:paraId="0727779E">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制度规范梳理与完善方案</w:t>
            </w:r>
          </w:p>
        </w:tc>
        <w:tc>
          <w:tcPr>
            <w:tcW w:w="5622" w:type="dxa"/>
            <w:tcBorders>
              <w:top w:val="single" w:color="auto" w:sz="4" w:space="0"/>
              <w:left w:val="single" w:color="auto" w:sz="4" w:space="0"/>
              <w:right w:val="single" w:color="auto" w:sz="4" w:space="0"/>
            </w:tcBorders>
            <w:shd w:val="clear" w:color="auto" w:fill="auto"/>
            <w:vAlign w:val="center"/>
          </w:tcPr>
          <w:p w14:paraId="014232C0">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根据供应商提供的制度规范梳理与完善方案进行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579495">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①针对综合体制度规范收集、上报、整理汇编、侵权纠纷诉调对接制度建设内容全面、逻辑严谨、流程规范，与法院、公安、检察院、贸促会等部门协同机制明确，制度成果规范可用，得6分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48BE55">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制度梳理、汇编及诉调对接制度建设方案较完善，具备基本工作流程与内容框架，基本满足制度建设需求，细节略有欠缺，得4分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BEE7086">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③制度建设方案内容简单、框架不全，针对性与规范性不足，仅能完成基础梳理工作，无法支撑制度完善需求，得2分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DD06CF">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04D84099">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0D35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65" w:type="dxa"/>
            <w:vMerge w:val="continue"/>
            <w:tcBorders>
              <w:left w:val="single" w:color="auto" w:sz="4" w:space="0"/>
              <w:right w:val="single" w:color="auto" w:sz="4" w:space="0"/>
            </w:tcBorders>
            <w:vAlign w:val="center"/>
          </w:tcPr>
          <w:p w14:paraId="260F3131">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vAlign w:val="center"/>
          </w:tcPr>
          <w:p w14:paraId="7AA87A75">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数据管理中心运维与分析方案</w:t>
            </w:r>
          </w:p>
        </w:tc>
        <w:tc>
          <w:tcPr>
            <w:tcW w:w="5622" w:type="dxa"/>
            <w:tcBorders>
              <w:top w:val="single" w:color="auto" w:sz="4" w:space="0"/>
              <w:left w:val="single" w:color="auto" w:sz="4" w:space="0"/>
              <w:right w:val="single" w:color="auto" w:sz="4" w:space="0"/>
            </w:tcBorders>
            <w:vAlign w:val="center"/>
          </w:tcPr>
          <w:p w14:paraId="0FEFACA8">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根据供应商提供的数据管理中心运维与分析方案进行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BAFC7D2">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①针对数据管理中心日常运维、知识产权数据治理、数据建模分析、专题开发呈现方案全面深入、技术路径清晰、安全保障严密，具备全流程数据治理、分析应用、可视化展示能力，得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DCF3C19">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②数据运维与分析方案内容较完善，具备基础数据治理、分析保障措施，技术路径可行，满足项目数据服务基本需求，得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8A18513">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③数据方案内容简略，技术措施不足，分析能力薄弱，仅能完成基础数据维护，无法支撑专题开发与深度分析，得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90765D">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57EE80E8">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0C5C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865" w:type="dxa"/>
            <w:vMerge w:val="continue"/>
            <w:tcBorders>
              <w:left w:val="single" w:color="auto" w:sz="4" w:space="0"/>
              <w:right w:val="single" w:color="auto" w:sz="4" w:space="0"/>
            </w:tcBorders>
            <w:vAlign w:val="center"/>
          </w:tcPr>
          <w:p w14:paraId="72C90A47">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vAlign w:val="center"/>
          </w:tcPr>
          <w:p w14:paraId="0D8F18C7">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项目质量保障与台账管理方案</w:t>
            </w:r>
          </w:p>
        </w:tc>
        <w:tc>
          <w:tcPr>
            <w:tcW w:w="5622" w:type="dxa"/>
            <w:tcBorders>
              <w:top w:val="single" w:color="auto" w:sz="4" w:space="0"/>
              <w:left w:val="single" w:color="auto" w:sz="4" w:space="0"/>
              <w:right w:val="single" w:color="auto" w:sz="4" w:space="0"/>
            </w:tcBorders>
            <w:vAlign w:val="top"/>
          </w:tcPr>
          <w:p w14:paraId="57680DFC">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根据供应商提供的项目质量保障与台账管理方案进行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B5B8E13">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①质量标准明确、台账管理机制完善，严格确保业务台账数据差错率低于0.5%，按时限完成年度台账管理，数据校验、复核、归档措施全面，得6分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D1C5F9">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②具备明确的质量管控与台账管理措施，能够按要求完成台账建设，基本保障差错率达标，个别环节不够细化，得4分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D7774F">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③质量与台账管理措施简单笼统，缺乏有效校验机制，数据准确性保障不足，难以稳定达到低差错率要求，得2分</w:t>
            </w:r>
          </w:p>
          <w:p w14:paraId="77D9F988">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046D2637">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229C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65" w:type="dxa"/>
            <w:vMerge w:val="continue"/>
            <w:tcBorders>
              <w:left w:val="single" w:color="auto" w:sz="4" w:space="0"/>
              <w:right w:val="single" w:color="auto" w:sz="4" w:space="0"/>
            </w:tcBorders>
            <w:vAlign w:val="center"/>
          </w:tcPr>
          <w:p w14:paraId="66DB46E0">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vAlign w:val="center"/>
          </w:tcPr>
          <w:p w14:paraId="1923960F">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响应时效与服务保障方案</w:t>
            </w:r>
          </w:p>
        </w:tc>
        <w:tc>
          <w:tcPr>
            <w:tcW w:w="5622" w:type="dxa"/>
            <w:tcBorders>
              <w:top w:val="single" w:color="auto" w:sz="4" w:space="0"/>
              <w:left w:val="single" w:color="auto" w:sz="4" w:space="0"/>
              <w:right w:val="single" w:color="auto" w:sz="4" w:space="0"/>
            </w:tcBorders>
            <w:vAlign w:val="top"/>
          </w:tcPr>
          <w:p w14:paraId="5A66CA4D">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根据供应商提供的响应时效与服务保障方案进行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55D5B48">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①常规数据分析需求严格承诺3个工作日内响应，售后服务体系完善、问题处置流程清晰、跟踪闭环机制健全，全方位满足项目服务保障要求，得6分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6392E8">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②具备明确的响应时效与售后服务机制，基本满足3日内响应要求，服务流程可行，能够保障项目基础服务需求，得4分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A4D5B8">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③响应时效与服务保障措施简略，时效承诺不明确，售后服务机制不健全，难以稳定满足快速响应需求，得2分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④未提供相关方案不得分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2DD42D30">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3592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vMerge w:val="continue"/>
            <w:tcBorders>
              <w:left w:val="single" w:color="auto" w:sz="4" w:space="0"/>
              <w:right w:val="single" w:color="auto" w:sz="4" w:space="0"/>
            </w:tcBorders>
            <w:vAlign w:val="center"/>
          </w:tcPr>
          <w:p w14:paraId="7FA2796A">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left w:val="single" w:color="auto" w:sz="4" w:space="0"/>
              <w:right w:val="single" w:color="auto" w:sz="4" w:space="0"/>
            </w:tcBorders>
            <w:vAlign w:val="center"/>
          </w:tcPr>
          <w:p w14:paraId="2C4547F5">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风险防控与应急预案</w:t>
            </w:r>
          </w:p>
        </w:tc>
        <w:tc>
          <w:tcPr>
            <w:tcW w:w="5622" w:type="dxa"/>
            <w:tcBorders>
              <w:top w:val="single" w:color="auto" w:sz="4" w:space="0"/>
              <w:left w:val="single" w:color="auto" w:sz="4" w:space="0"/>
              <w:right w:val="single" w:color="auto" w:sz="4" w:space="0"/>
            </w:tcBorders>
            <w:vAlign w:val="center"/>
          </w:tcPr>
          <w:p w14:paraId="7CAB7BA1">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根据供应商提供的风险防控与应急预案进行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D7CCC89">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①全面识别运维中断、数据安全、协同不畅、保密泄露、履约偏差等风险，风险清单完整、应对措施具体、责任分工明确、处置流程清晰，可有效防范与化解项目各类风险，得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F1F49B3">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②具备项目风险防控意识，风险类型与应对措施较完整，能够覆盖主要风险点，基本满足项目风险保障需求，得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D54ACDA">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③仅简单提及风险防范意识，无具体风险清单、应对措施与处置流程，风险防控能力薄弱，得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6ABBA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未提供相关方案不得分</w:t>
            </w:r>
          </w:p>
        </w:tc>
        <w:tc>
          <w:tcPr>
            <w:tcW w:w="851" w:type="dxa"/>
            <w:tcBorders>
              <w:top w:val="single" w:color="auto" w:sz="4" w:space="0"/>
              <w:left w:val="single" w:color="auto" w:sz="4" w:space="0"/>
              <w:right w:val="single" w:color="auto" w:sz="4" w:space="0"/>
            </w:tcBorders>
            <w:vAlign w:val="center"/>
          </w:tcPr>
          <w:p w14:paraId="6A995517">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294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vMerge w:val="continue"/>
            <w:tcBorders>
              <w:left w:val="single" w:color="auto" w:sz="4" w:space="0"/>
              <w:right w:val="single" w:color="auto" w:sz="4" w:space="0"/>
            </w:tcBorders>
            <w:vAlign w:val="center"/>
          </w:tcPr>
          <w:p w14:paraId="3E91CE68">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0C1D4074">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保密控制方案</w:t>
            </w:r>
          </w:p>
        </w:tc>
        <w:tc>
          <w:tcPr>
            <w:tcW w:w="5622" w:type="dxa"/>
            <w:tcBorders>
              <w:top w:val="single" w:color="auto" w:sz="4" w:space="0"/>
              <w:left w:val="single" w:color="auto" w:sz="4" w:space="0"/>
              <w:right w:val="single" w:color="auto" w:sz="4" w:space="0"/>
            </w:tcBorders>
            <w:vAlign w:val="center"/>
          </w:tcPr>
          <w:p w14:paraId="522A0769">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根据供应商提供的保密控制方案进行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w:t>
            </w:r>
          </w:p>
          <w:p w14:paraId="2914DE9D">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①保密制度规范完整、全周期保密措施严密、人员保密管理严格、信息安全检查全面，严格符合政府采购保密规定，责任落实到人，得6分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70270AD">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②保密方案内容较完整，包含保密制度、安全策略、信息管控要求，能够满足项目保密基本需求，个别内容需细化完善，得4分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94614F">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③保密方案内容简略、制度不规范、保障措施欠缺，仅具备基础保密意识，无法全面落实保密责任，得2分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2D9F25">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687F3A6C">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67F1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65" w:type="dxa"/>
            <w:vMerge w:val="continue"/>
            <w:tcBorders>
              <w:left w:val="single" w:color="auto" w:sz="4" w:space="0"/>
              <w:right w:val="single" w:color="auto" w:sz="4" w:space="0"/>
            </w:tcBorders>
            <w:vAlign w:val="center"/>
          </w:tcPr>
          <w:p w14:paraId="3247AB3F">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vMerge w:val="restart"/>
            <w:tcBorders>
              <w:top w:val="single" w:color="auto" w:sz="4" w:space="0"/>
              <w:left w:val="single" w:color="auto" w:sz="4" w:space="0"/>
              <w:right w:val="single" w:color="auto" w:sz="4" w:space="0"/>
            </w:tcBorders>
            <w:vAlign w:val="center"/>
          </w:tcPr>
          <w:p w14:paraId="5B938E1A">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项目团队成员</w:t>
            </w:r>
          </w:p>
        </w:tc>
        <w:tc>
          <w:tcPr>
            <w:tcW w:w="5622" w:type="dxa"/>
            <w:tcBorders>
              <w:top w:val="single" w:color="auto" w:sz="4" w:space="0"/>
              <w:left w:val="single" w:color="auto" w:sz="4" w:space="0"/>
              <w:right w:val="single" w:color="auto" w:sz="4" w:space="0"/>
            </w:tcBorders>
            <w:vAlign w:val="center"/>
          </w:tcPr>
          <w:p w14:paraId="0FCE1C0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p>
          <w:p w14:paraId="0575CCA9">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知识产权</w:t>
            </w:r>
            <w:r>
              <w:rPr>
                <w:rFonts w:hint="eastAsia" w:ascii="宋体" w:hAnsi="宋体" w:eastAsia="宋体" w:cs="宋体"/>
                <w:color w:val="000000" w:themeColor="text1"/>
                <w:sz w:val="21"/>
                <w:szCs w:val="21"/>
                <w:highlight w:val="none"/>
                <w14:textFill>
                  <w14:solidFill>
                    <w14:schemeClr w14:val="tx1"/>
                  </w14:solidFill>
                </w14:textFill>
              </w:rPr>
              <w:t>等与本项目相关的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高</w:t>
            </w:r>
            <w:r>
              <w:rPr>
                <w:rFonts w:hint="eastAsia" w:ascii="宋体" w:hAnsi="宋体" w:eastAsia="宋体" w:cs="宋体"/>
                <w:color w:val="000000" w:themeColor="text1"/>
                <w:sz w:val="21"/>
                <w:szCs w:val="21"/>
                <w:highlight w:val="none"/>
                <w14:textFill>
                  <w14:solidFill>
                    <w14:schemeClr w14:val="tx1"/>
                  </w14:solidFill>
                </w14:textFill>
              </w:rPr>
              <w:t>级及以上技术资格（职称）证书（协会、学会、培训部门等机构颁发的证书不予认可）的得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4D9F652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年及以上类似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知识产权</w:t>
            </w:r>
            <w:r>
              <w:rPr>
                <w:rFonts w:hint="eastAsia" w:ascii="宋体" w:hAnsi="宋体" w:eastAsia="宋体" w:cs="宋体"/>
                <w:color w:val="000000" w:themeColor="text1"/>
                <w:sz w:val="21"/>
                <w:szCs w:val="21"/>
                <w:highlight w:val="none"/>
                <w14:textFill>
                  <w14:solidFill>
                    <w14:schemeClr w14:val="tx1"/>
                  </w14:solidFill>
                </w14:textFill>
              </w:rPr>
              <w:t>管理经验的得2分。</w:t>
            </w:r>
          </w:p>
          <w:p w14:paraId="6234F7E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注：响应</w:t>
            </w:r>
            <w:r>
              <w:rPr>
                <w:rFonts w:hint="eastAsia" w:ascii="宋体" w:hAnsi="宋体" w:eastAsia="宋体" w:cs="宋体"/>
                <w:color w:val="000000" w:themeColor="text1"/>
                <w:sz w:val="21"/>
                <w:szCs w:val="21"/>
                <w:highlight w:val="none"/>
                <w14:textFill>
                  <w14:solidFill>
                    <w14:schemeClr w14:val="tx1"/>
                  </w14:solidFill>
                </w14:textFill>
              </w:rPr>
              <w:t>文件提供人员证书、工作履历证明材料，未提供不得分。</w:t>
            </w:r>
          </w:p>
        </w:tc>
        <w:tc>
          <w:tcPr>
            <w:tcW w:w="851" w:type="dxa"/>
            <w:tcBorders>
              <w:top w:val="single" w:color="auto" w:sz="4" w:space="0"/>
              <w:left w:val="single" w:color="auto" w:sz="4" w:space="0"/>
              <w:right w:val="single" w:color="auto" w:sz="4" w:space="0"/>
            </w:tcBorders>
            <w:vAlign w:val="center"/>
          </w:tcPr>
          <w:p w14:paraId="2A831EB2">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r>
      <w:tr w14:paraId="35F7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65" w:type="dxa"/>
            <w:vMerge w:val="continue"/>
            <w:tcBorders>
              <w:left w:val="single" w:color="auto" w:sz="4" w:space="0"/>
              <w:right w:val="single" w:color="auto" w:sz="4" w:space="0"/>
            </w:tcBorders>
            <w:vAlign w:val="center"/>
          </w:tcPr>
          <w:p w14:paraId="6CF0C0E1">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vMerge w:val="continue"/>
            <w:tcBorders>
              <w:left w:val="single" w:color="auto" w:sz="4" w:space="0"/>
              <w:right w:val="single" w:color="auto" w:sz="4" w:space="0"/>
            </w:tcBorders>
            <w:vAlign w:val="center"/>
          </w:tcPr>
          <w:p w14:paraId="48E57F10">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22" w:type="dxa"/>
            <w:tcBorders>
              <w:top w:val="single" w:color="auto" w:sz="4" w:space="0"/>
              <w:left w:val="single" w:color="auto" w:sz="4" w:space="0"/>
              <w:right w:val="single" w:color="auto" w:sz="4" w:space="0"/>
            </w:tcBorders>
            <w:vAlign w:val="center"/>
          </w:tcPr>
          <w:p w14:paraId="7901A05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项目团队成员（除项目负责人外）：</w:t>
            </w:r>
          </w:p>
          <w:p w14:paraId="39F99495">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（1）每有一人具有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知识产权</w:t>
            </w:r>
            <w:r>
              <w:rPr>
                <w:rFonts w:hint="eastAsia" w:ascii="宋体" w:hAnsi="宋体" w:eastAsia="宋体" w:cs="宋体"/>
                <w:color w:val="000000" w:themeColor="text1"/>
                <w:sz w:val="21"/>
                <w:szCs w:val="21"/>
                <w:highlight w:val="none"/>
                <w14:textFill>
                  <w14:solidFill>
                    <w14:schemeClr w14:val="tx1"/>
                  </w14:solidFill>
                </w14:textFill>
              </w:rPr>
              <w:t>等与本项目相关的中级及以上技术资格（职称）证书（协会、学会、培训部门等机构颁发的证书不予认可）的得1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分，本项最多得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34686A9D">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注：若1人同时具有多类证书，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就高只计取一次得分</w:t>
            </w:r>
            <w:r>
              <w:rPr>
                <w:rFonts w:hint="eastAsia" w:ascii="宋体" w:hAnsi="宋体" w:eastAsia="宋体" w:cs="宋体"/>
                <w:color w:val="000000" w:themeColor="text1"/>
                <w:sz w:val="21"/>
                <w:szCs w:val="21"/>
                <w:highlight w:val="none"/>
                <w14:textFill>
                  <w14:solidFill>
                    <w14:schemeClr w14:val="tx1"/>
                  </w14:solidFill>
                </w14:textFill>
              </w:rPr>
              <w:t>。</w:t>
            </w:r>
          </w:p>
          <w:p w14:paraId="38E9193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（2）每有一人具有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年及以上类似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知识产权工</w:t>
            </w:r>
            <w:r>
              <w:rPr>
                <w:rFonts w:hint="eastAsia" w:ascii="宋体" w:hAnsi="宋体" w:eastAsia="宋体" w:cs="宋体"/>
                <w:color w:val="000000" w:themeColor="text1"/>
                <w:sz w:val="21"/>
                <w:szCs w:val="21"/>
                <w:highlight w:val="none"/>
                <w14:textFill>
                  <w14:solidFill>
                    <w14:schemeClr w14:val="tx1"/>
                  </w14:solidFill>
                </w14:textFill>
              </w:rPr>
              <w:t>作经验的得1分，本项最多得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4D11F615">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注：响应</w:t>
            </w:r>
            <w:r>
              <w:rPr>
                <w:rFonts w:hint="eastAsia" w:ascii="宋体" w:hAnsi="宋体" w:eastAsia="宋体" w:cs="宋体"/>
                <w:color w:val="000000" w:themeColor="text1"/>
                <w:sz w:val="21"/>
                <w:szCs w:val="21"/>
                <w:highlight w:val="none"/>
                <w14:textFill>
                  <w14:solidFill>
                    <w14:schemeClr w14:val="tx1"/>
                  </w14:solidFill>
                </w14:textFill>
              </w:rPr>
              <w:t>文件提供人员证书、工作履历证明材料，未提供不得分。</w:t>
            </w:r>
          </w:p>
        </w:tc>
        <w:tc>
          <w:tcPr>
            <w:tcW w:w="851" w:type="dxa"/>
            <w:tcBorders>
              <w:top w:val="single" w:color="auto" w:sz="4" w:space="0"/>
              <w:left w:val="single" w:color="auto" w:sz="4" w:space="0"/>
              <w:right w:val="single" w:color="auto" w:sz="4" w:space="0"/>
            </w:tcBorders>
            <w:vAlign w:val="center"/>
          </w:tcPr>
          <w:p w14:paraId="00C42109">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r>
      <w:tr w14:paraId="4F33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65" w:type="dxa"/>
            <w:vMerge w:val="continue"/>
            <w:tcBorders>
              <w:left w:val="single" w:color="auto" w:sz="4" w:space="0"/>
              <w:right w:val="single" w:color="auto" w:sz="4" w:space="0"/>
            </w:tcBorders>
            <w:vAlign w:val="center"/>
          </w:tcPr>
          <w:p w14:paraId="6067188D">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vMerge w:val="continue"/>
            <w:tcBorders>
              <w:left w:val="single" w:color="auto" w:sz="4" w:space="0"/>
              <w:right w:val="single" w:color="auto" w:sz="4" w:space="0"/>
            </w:tcBorders>
            <w:vAlign w:val="center"/>
          </w:tcPr>
          <w:p w14:paraId="1E7E3D90">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22" w:type="dxa"/>
            <w:tcBorders>
              <w:top w:val="single" w:color="auto" w:sz="4" w:space="0"/>
              <w:left w:val="single" w:color="auto" w:sz="4" w:space="0"/>
              <w:right w:val="single" w:color="auto" w:sz="4" w:space="0"/>
            </w:tcBorders>
            <w:vAlign w:val="center"/>
          </w:tcPr>
          <w:p w14:paraId="76909D50">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人员管理方案</w:t>
            </w:r>
            <w:r>
              <w:rPr>
                <w:rFonts w:hint="eastAsia" w:ascii="宋体" w:hAnsi="宋体" w:eastAsia="宋体" w:cs="宋体"/>
                <w:color w:val="000000" w:themeColor="text1"/>
                <w:sz w:val="21"/>
                <w:szCs w:val="21"/>
                <w:highlight w:val="none"/>
                <w14:textFill>
                  <w14:solidFill>
                    <w14:schemeClr w14:val="tx1"/>
                  </w14:solidFill>
                </w14:textFill>
              </w:rPr>
              <w:t>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p>
          <w:p w14:paraId="4C4F40A8">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服务团队人员管理方案贴切采购需求，技术提升方案详细；人员激励机制及奖惩措施完整，人员稳定性方案合理的，得6分；</w:t>
            </w:r>
          </w:p>
          <w:p w14:paraId="00099C79">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服务团队人员管理方案基本满足采购需求，技术提升方案比较详细；人员激励机制及奖惩措施基本完整，人员稳定性方案比较合理的，得4分；</w:t>
            </w:r>
          </w:p>
          <w:p w14:paraId="7E595F5E">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服务团队人员管理方案或技术提升描述简单粗略；人员激励机制及奖惩措施完整性一般，人员稳定性方案合理性一般的，得2分；</w:t>
            </w:r>
          </w:p>
          <w:p w14:paraId="297C130A">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④未提供相关方案不得分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51" w:type="dxa"/>
            <w:tcBorders>
              <w:top w:val="single" w:color="auto" w:sz="4" w:space="0"/>
              <w:left w:val="single" w:color="auto" w:sz="4" w:space="0"/>
              <w:right w:val="single" w:color="auto" w:sz="4" w:space="0"/>
            </w:tcBorders>
            <w:vAlign w:val="center"/>
          </w:tcPr>
          <w:p w14:paraId="788BFE7F">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r>
      <w:tr w14:paraId="04F0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65" w:type="dxa"/>
            <w:vMerge w:val="continue"/>
            <w:tcBorders>
              <w:left w:val="single" w:color="auto" w:sz="4" w:space="0"/>
              <w:right w:val="single" w:color="auto" w:sz="4" w:space="0"/>
            </w:tcBorders>
            <w:vAlign w:val="center"/>
          </w:tcPr>
          <w:p w14:paraId="7DACBC8D">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0" w:type="dxa"/>
            <w:tcBorders>
              <w:top w:val="single" w:color="auto" w:sz="4" w:space="0"/>
              <w:left w:val="single" w:color="auto" w:sz="4" w:space="0"/>
              <w:right w:val="single" w:color="auto" w:sz="4" w:space="0"/>
            </w:tcBorders>
            <w:vAlign w:val="center"/>
          </w:tcPr>
          <w:p w14:paraId="7743AA81">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12.类似业绩</w:t>
            </w:r>
          </w:p>
        </w:tc>
        <w:tc>
          <w:tcPr>
            <w:tcW w:w="5622" w:type="dxa"/>
            <w:tcBorders>
              <w:top w:val="single" w:color="auto" w:sz="4" w:space="0"/>
              <w:left w:val="single" w:color="auto" w:sz="4" w:space="0"/>
              <w:right w:val="single" w:color="auto" w:sz="4" w:space="0"/>
            </w:tcBorders>
            <w:vAlign w:val="center"/>
          </w:tcPr>
          <w:p w14:paraId="52DAFAA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年1月1日（以合同签订日期为准）起至</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截止时间止，</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具有类似项目业绩的得0.5分，本项最高得1分。</w:t>
            </w:r>
          </w:p>
          <w:p w14:paraId="5AECF742">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注：每个项目业绩需在</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文件中提供合同复印件，不符合要求的不予计分。</w:t>
            </w:r>
          </w:p>
        </w:tc>
        <w:tc>
          <w:tcPr>
            <w:tcW w:w="851" w:type="dxa"/>
            <w:tcBorders>
              <w:top w:val="single" w:color="auto" w:sz="4" w:space="0"/>
              <w:left w:val="single" w:color="auto" w:sz="4" w:space="0"/>
              <w:right w:val="single" w:color="auto" w:sz="4" w:space="0"/>
            </w:tcBorders>
            <w:vAlign w:val="center"/>
          </w:tcPr>
          <w:p w14:paraId="20E57E94">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r>
      <w:tr w14:paraId="106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 w:type="dxa"/>
            <w:tcBorders>
              <w:top w:val="single" w:color="auto" w:sz="4" w:space="0"/>
              <w:left w:val="single" w:color="auto" w:sz="4" w:space="0"/>
              <w:bottom w:val="single" w:color="auto" w:sz="4" w:space="0"/>
              <w:right w:val="single" w:color="auto" w:sz="4" w:space="0"/>
            </w:tcBorders>
            <w:vAlign w:val="center"/>
          </w:tcPr>
          <w:p w14:paraId="34DF94C4">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5F948FD6">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14:paraId="6CC1D044">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磋商报价得分＝（磋商基准价/最后磋商报价）×1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p w14:paraId="0C779EF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注：得分四舍五入保留二位小数。</w:t>
            </w:r>
          </w:p>
        </w:tc>
        <w:tc>
          <w:tcPr>
            <w:tcW w:w="851" w:type="dxa"/>
            <w:tcBorders>
              <w:top w:val="single" w:color="auto" w:sz="4" w:space="0"/>
              <w:left w:val="single" w:color="auto" w:sz="4" w:space="0"/>
              <w:bottom w:val="single" w:color="auto" w:sz="4" w:space="0"/>
              <w:right w:val="single" w:color="auto" w:sz="4" w:space="0"/>
            </w:tcBorders>
            <w:vAlign w:val="center"/>
          </w:tcPr>
          <w:p w14:paraId="371C0E92">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r>
    </w:tbl>
    <w:p w14:paraId="1621FAB5">
      <w:pPr>
        <w:pageBreakBefore w:val="0"/>
        <w:shd w:val="clear"/>
        <w:kinsoku/>
        <w:wordWrap/>
        <w:overflowPunct/>
        <w:topLinePunct w:val="0"/>
        <w:bidi w:val="0"/>
        <w:spacing w:line="360" w:lineRule="auto"/>
        <w:ind w:left="0" w:leftChars="0" w:right="0" w:rightChars="0" w:firstLine="412"/>
        <w:rPr>
          <w:rFonts w:hint="eastAsia" w:ascii="宋体" w:hAnsi="宋体" w:eastAsia="宋体" w:cs="宋体"/>
          <w:color w:val="000000" w:themeColor="text1"/>
          <w:spacing w:val="14"/>
          <w:szCs w:val="21"/>
          <w:highlight w:val="none"/>
          <w14:textFill>
            <w14:solidFill>
              <w14:schemeClr w14:val="tx1"/>
            </w14:solidFill>
          </w14:textFill>
        </w:rPr>
      </w:pPr>
      <w:r>
        <w:rPr>
          <w:rFonts w:hint="eastAsia" w:ascii="宋体" w:hAnsi="宋体" w:eastAsia="宋体" w:cs="宋体"/>
          <w:color w:val="000000" w:themeColor="text1"/>
          <w:spacing w:val="14"/>
          <w:szCs w:val="21"/>
          <w:highlight w:val="none"/>
          <w14:textFill>
            <w14:solidFill>
              <w14:schemeClr w14:val="tx1"/>
            </w14:solidFill>
          </w14:textFill>
        </w:rPr>
        <w:t>评委签名：                                 日  期：</w:t>
      </w:r>
    </w:p>
    <w:p w14:paraId="10C5C1DD">
      <w:pPr>
        <w:pageBreakBefore w:val="0"/>
        <w:widowControl/>
        <w:shd w:val="clear"/>
        <w:kinsoku/>
        <w:wordWrap/>
        <w:overflowPunct/>
        <w:topLinePunct w:val="0"/>
        <w:bidi w:val="0"/>
        <w:spacing w:line="360" w:lineRule="auto"/>
        <w:ind w:left="0" w:leftChars="0" w:right="0" w:rightChars="0" w:firstLine="412"/>
        <w:jc w:val="left"/>
        <w:rPr>
          <w:rFonts w:hint="eastAsia" w:ascii="宋体" w:hAnsi="宋体" w:eastAsia="宋体" w:cs="宋体"/>
          <w:color w:val="000000" w:themeColor="text1"/>
          <w:spacing w:val="14"/>
          <w:szCs w:val="21"/>
          <w:highlight w:val="none"/>
          <w14:textFill>
            <w14:solidFill>
              <w14:schemeClr w14:val="tx1"/>
            </w14:solidFill>
          </w14:textFill>
        </w:rPr>
      </w:pPr>
      <w:r>
        <w:rPr>
          <w:rFonts w:hint="eastAsia" w:ascii="宋体" w:hAnsi="宋体" w:eastAsia="宋体" w:cs="宋体"/>
          <w:color w:val="000000" w:themeColor="text1"/>
          <w:spacing w:val="14"/>
          <w:szCs w:val="21"/>
          <w:highlight w:val="none"/>
          <w14:textFill>
            <w14:solidFill>
              <w14:schemeClr w14:val="tx1"/>
            </w14:solidFill>
          </w14:textFill>
        </w:rPr>
        <w:br w:type="page"/>
      </w:r>
    </w:p>
    <w:p w14:paraId="15275CFE">
      <w:pPr>
        <w:pStyle w:val="4"/>
        <w:pageBreakBefore w:val="0"/>
        <w:shd w:val="clear"/>
        <w:kinsoku/>
        <w:wordWrap/>
        <w:overflowPunct/>
        <w:topLinePunct w:val="0"/>
        <w:bidi w:val="0"/>
        <w:spacing w:before="0" w:after="0" w:line="360" w:lineRule="auto"/>
        <w:ind w:left="0" w:leftChars="0" w:right="0" w:rightChars="0" w:firstLine="330"/>
        <w:rPr>
          <w:rFonts w:hint="eastAsia" w:ascii="宋体" w:hAnsi="宋体" w:eastAsia="宋体" w:cs="宋体"/>
          <w:color w:val="000000" w:themeColor="text1"/>
          <w:highlight w:val="none"/>
          <w14:textFill>
            <w14:solidFill>
              <w14:schemeClr w14:val="tx1"/>
            </w14:solidFill>
          </w14:textFill>
        </w:rPr>
      </w:pPr>
      <w:bookmarkStart w:id="59" w:name="_Toc34844745"/>
      <w:bookmarkStart w:id="60" w:name="_Toc1356"/>
      <w:bookmarkStart w:id="61" w:name="_Toc14136"/>
      <w:r>
        <w:rPr>
          <w:rFonts w:hint="eastAsia" w:ascii="宋体" w:hAnsi="宋体" w:eastAsia="宋体" w:cs="宋体"/>
          <w:color w:val="000000" w:themeColor="text1"/>
          <w:highlight w:val="none"/>
          <w14:textFill>
            <w14:solidFill>
              <w14:schemeClr w14:val="tx1"/>
            </w14:solidFill>
          </w14:textFill>
        </w:rPr>
        <w:t>第五章  合同草案条款</w:t>
      </w:r>
      <w:bookmarkEnd w:id="59"/>
      <w:bookmarkEnd w:id="60"/>
      <w:bookmarkEnd w:id="61"/>
    </w:p>
    <w:p w14:paraId="7B7F95D8">
      <w:pPr>
        <w:pageBreakBefore w:val="0"/>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bookmarkStart w:id="62" w:name="_Toc9559"/>
      <w:r>
        <w:rPr>
          <w:rFonts w:hint="eastAsia" w:ascii="宋体" w:hAnsi="宋体" w:eastAsia="宋体" w:cs="宋体"/>
          <w:color w:val="000000" w:themeColor="text1"/>
          <w:highlight w:val="none"/>
          <w14:textFill>
            <w14:solidFill>
              <w14:schemeClr w14:val="tx1"/>
            </w14:solidFill>
          </w14:textFill>
        </w:rPr>
        <w:t>注：本合同文本为成交后签订合同的草案，并根据磋商结果签订，请供应商仔细阅读并理解。</w:t>
      </w:r>
      <w:bookmarkEnd w:id="62"/>
    </w:p>
    <w:p w14:paraId="6FE2E215">
      <w:pPr>
        <w:shd w:val="clear"/>
        <w:adjustRightInd w:val="0"/>
        <w:snapToGrid w:val="0"/>
        <w:jc w:val="center"/>
        <w:rPr>
          <w:rFonts w:hint="eastAsia" w:ascii="宋体" w:hAnsi="宋体" w:eastAsia="宋体" w:cs="宋体"/>
          <w:b/>
          <w:color w:val="000000" w:themeColor="text1"/>
          <w:kern w:val="0"/>
          <w:sz w:val="72"/>
          <w:szCs w:val="72"/>
          <w:highlight w:val="none"/>
          <w14:textFill>
            <w14:solidFill>
              <w14:schemeClr w14:val="tx1"/>
            </w14:solidFill>
          </w14:textFill>
        </w:rPr>
      </w:pPr>
      <w:r>
        <w:rPr>
          <w:rFonts w:hint="eastAsia" w:ascii="宋体" w:hAnsi="宋体" w:eastAsia="宋体" w:cs="宋体"/>
          <w:b/>
          <w:color w:val="000000" w:themeColor="text1"/>
          <w:kern w:val="0"/>
          <w:sz w:val="72"/>
          <w:szCs w:val="72"/>
          <w:highlight w:val="none"/>
          <w14:textFill>
            <w14:solidFill>
              <w14:schemeClr w14:val="tx1"/>
            </w14:solidFill>
          </w14:textFill>
        </w:rPr>
        <w:t>政府采购合同</w:t>
      </w:r>
    </w:p>
    <w:p w14:paraId="6E0833D7">
      <w:pPr>
        <w:shd w:val="clear"/>
        <w:adjustRightInd w:val="0"/>
        <w:snapToGrid w:val="0"/>
        <w:spacing w:line="56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(服务类）</w:t>
      </w:r>
    </w:p>
    <w:p w14:paraId="4BB9B4D1">
      <w:pPr>
        <w:shd w:val="clear"/>
        <w:rPr>
          <w:rFonts w:hint="eastAsia" w:ascii="宋体" w:hAnsi="宋体" w:eastAsia="宋体" w:cs="宋体"/>
          <w:color w:val="000000" w:themeColor="text1"/>
          <w:highlight w:val="none"/>
          <w14:textFill>
            <w14:solidFill>
              <w14:schemeClr w14:val="tx1"/>
            </w14:solidFill>
          </w14:textFill>
        </w:rPr>
      </w:pPr>
    </w:p>
    <w:p w14:paraId="2E5A9D8E">
      <w:pPr>
        <w:shd w:val="clear"/>
        <w:rPr>
          <w:rFonts w:hint="eastAsia" w:ascii="宋体" w:hAnsi="宋体" w:eastAsia="宋体" w:cs="宋体"/>
          <w:color w:val="000000" w:themeColor="text1"/>
          <w:highlight w:val="none"/>
          <w14:textFill>
            <w14:solidFill>
              <w14:schemeClr w14:val="tx1"/>
            </w14:solidFill>
          </w14:textFill>
        </w:rPr>
      </w:pPr>
    </w:p>
    <w:p w14:paraId="655B0C14">
      <w:pPr>
        <w:shd w:val="clear"/>
        <w:rPr>
          <w:rFonts w:hint="eastAsia" w:ascii="宋体" w:hAnsi="宋体" w:eastAsia="宋体" w:cs="宋体"/>
          <w:color w:val="000000" w:themeColor="text1"/>
          <w:highlight w:val="none"/>
          <w14:textFill>
            <w14:solidFill>
              <w14:schemeClr w14:val="tx1"/>
            </w14:solidFill>
          </w14:textFill>
        </w:rPr>
      </w:pPr>
    </w:p>
    <w:p w14:paraId="70EB3DA5">
      <w:pPr>
        <w:shd w:val="clear"/>
        <w:rPr>
          <w:rFonts w:hint="eastAsia" w:ascii="宋体" w:hAnsi="宋体" w:eastAsia="宋体" w:cs="宋体"/>
          <w:color w:val="000000" w:themeColor="text1"/>
          <w:highlight w:val="none"/>
          <w14:textFill>
            <w14:solidFill>
              <w14:schemeClr w14:val="tx1"/>
            </w14:solidFill>
          </w14:textFill>
        </w:rPr>
      </w:pPr>
    </w:p>
    <w:p w14:paraId="0BA8CFBE">
      <w:pPr>
        <w:shd w:val="clear"/>
        <w:rPr>
          <w:rFonts w:hint="eastAsia" w:ascii="宋体" w:hAnsi="宋体" w:eastAsia="宋体" w:cs="宋体"/>
          <w:color w:val="000000" w:themeColor="text1"/>
          <w:highlight w:val="none"/>
          <w14:textFill>
            <w14:solidFill>
              <w14:schemeClr w14:val="tx1"/>
            </w14:solidFill>
          </w14:textFill>
        </w:rPr>
      </w:pPr>
    </w:p>
    <w:p w14:paraId="4C0FD848">
      <w:pPr>
        <w:shd w:val="clear"/>
        <w:rPr>
          <w:rFonts w:hint="eastAsia" w:ascii="宋体" w:hAnsi="宋体" w:eastAsia="宋体" w:cs="宋体"/>
          <w:color w:val="000000" w:themeColor="text1"/>
          <w:highlight w:val="none"/>
          <w14:textFill>
            <w14:solidFill>
              <w14:schemeClr w14:val="tx1"/>
            </w14:solidFill>
          </w14:textFill>
        </w:rPr>
      </w:pPr>
    </w:p>
    <w:p w14:paraId="16E91268">
      <w:pPr>
        <w:shd w:val="clear"/>
        <w:rPr>
          <w:rFonts w:hint="eastAsia" w:ascii="宋体" w:hAnsi="宋体" w:eastAsia="宋体" w:cs="宋体"/>
          <w:color w:val="000000" w:themeColor="text1"/>
          <w:highlight w:val="none"/>
          <w14:textFill>
            <w14:solidFill>
              <w14:schemeClr w14:val="tx1"/>
            </w14:solidFill>
          </w14:textFill>
        </w:rPr>
      </w:pPr>
    </w:p>
    <w:p w14:paraId="0673E7DE">
      <w:pPr>
        <w:shd w:val="clear"/>
        <w:spacing w:line="360" w:lineRule="auto"/>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2792D916">
      <w:pPr>
        <w:shd w:val="clear"/>
        <w:spacing w:line="360" w:lineRule="auto"/>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采购人（全称）: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479EE5A0">
      <w:pPr>
        <w:shd w:val="clear"/>
        <w:spacing w:line="360" w:lineRule="auto"/>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供应商（全称）: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35DC13A7">
      <w:pPr>
        <w:shd w:val="clear"/>
        <w:spacing w:line="360" w:lineRule="auto"/>
        <w:ind w:firstLine="1280" w:firstLineChars="4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签订日期:</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14:paraId="6AB09588">
      <w:pPr>
        <w:shd w:val="clear"/>
        <w:spacing w:line="360" w:lineRule="auto"/>
        <w:ind w:firstLine="1280" w:firstLineChars="4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签订地点: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p>
    <w:p w14:paraId="0470E062">
      <w:pPr>
        <w:shd w:val="clear"/>
        <w:ind w:firstLine="840" w:firstLineChars="4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95CB42A">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采购人（全称，以下简称甲方）：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478A1AC">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2DF2B69">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6913296">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供应商（全称，以下简称乙方）：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B4E7D5C">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D2BF63C">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A921E09">
      <w:pPr>
        <w:keepNext w:val="0"/>
        <w:keepLines w:val="0"/>
        <w:pageBreakBefore w:val="0"/>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为了保护甲、乙双方合法权益，根据《中华人民共和国民法典》、《中华人民共和国政府采购法》及其他有关法律法规规定，为保证政府采购服务质量，明确双方的权利义务，经甲乙双方协商，本着平等互利和诚实信用的原则，双方一致同意，签订本合同。</w:t>
      </w:r>
    </w:p>
    <w:p w14:paraId="229708A0">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1.服务项目内容</w:t>
      </w:r>
    </w:p>
    <w:p w14:paraId="1732B54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1.1甲方通过</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方式确定由乙方提供以下服务：</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0F61EFE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 服务内容及数量（可另附明细附件）：</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B3DAC8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810FD61">
      <w:pPr>
        <w:keepNext w:val="0"/>
        <w:keepLines w:val="0"/>
        <w:pageBreakBefore w:val="0"/>
        <w:shd w:val="clear"/>
        <w:kinsoku/>
        <w:overflowPunct/>
        <w:topLinePunct w:val="0"/>
        <w:autoSpaceDE/>
        <w:autoSpaceDN/>
        <w:bidi w:val="0"/>
        <w:adjustRightInd w:val="0"/>
        <w:snapToGrid w:val="0"/>
        <w:spacing w:after="0" w:line="360" w:lineRule="auto"/>
        <w:ind w:left="0" w:leftChars="0" w:firstLine="210" w:firstLine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1.3 服务地点：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ED54482">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 服务期限：自</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日至</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66B219FF">
      <w:pPr>
        <w:keepNext w:val="0"/>
        <w:keepLines w:val="0"/>
        <w:pageBreakBefore w:val="0"/>
        <w:shd w:val="clear"/>
        <w:kinsoku/>
        <w:overflowPunct/>
        <w:topLinePunct w:val="0"/>
        <w:autoSpaceDE/>
        <w:autoSpaceDN/>
        <w:bidi w:val="0"/>
        <w:spacing w:after="0" w:line="360" w:lineRule="auto"/>
        <w:ind w:left="0" w:leftChars="0" w:firstLine="422"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 服务项目质量标准和要求</w:t>
      </w:r>
      <w:r>
        <w:rPr>
          <w:rFonts w:hint="eastAsia" w:ascii="宋体" w:hAnsi="宋体" w:eastAsia="宋体" w:cs="宋体"/>
          <w:color w:val="000000" w:themeColor="text1"/>
          <w:kern w:val="0"/>
          <w:szCs w:val="21"/>
          <w:highlight w:val="none"/>
          <w14:textFill>
            <w14:solidFill>
              <w14:schemeClr w14:val="tx1"/>
            </w14:solidFill>
          </w14:textFill>
        </w:rPr>
        <w:t>（可另附明细附件)</w:t>
      </w:r>
    </w:p>
    <w:p w14:paraId="599C459E">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5B27B383">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1D1E7EC3">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3. 合同金额及报价明细</w:t>
      </w:r>
    </w:p>
    <w:p w14:paraId="35F1ADF8">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3.1本合同服务费用总金额为（大写）：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元人民币(¥</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13ABE69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3.2报价明细：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4BA5DD0">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CADD36C">
      <w:pPr>
        <w:keepNext w:val="0"/>
        <w:keepLines w:val="0"/>
        <w:pageBreakBefore w:val="0"/>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3.3合同服务费用应包括履约验收产生的检验（监测）费、劳务报酬等费用；</w:t>
      </w:r>
    </w:p>
    <w:p w14:paraId="7394AE6C">
      <w:pPr>
        <w:keepNext w:val="0"/>
        <w:keepLines w:val="0"/>
        <w:pageBreakBefore w:val="0"/>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3.4乙方开户名称：</w:t>
      </w:r>
    </w:p>
    <w:p w14:paraId="29F45D6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开户银行：</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1EB0B93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银行帐号：</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7CBD9F82">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4. 付款方式，</w:t>
      </w:r>
      <w:r>
        <w:rPr>
          <w:rFonts w:hint="eastAsia" w:ascii="宋体" w:hAnsi="宋体" w:eastAsia="宋体" w:cs="宋体"/>
          <w:color w:val="000000" w:themeColor="text1"/>
          <w:kern w:val="0"/>
          <w:szCs w:val="21"/>
          <w:highlight w:val="none"/>
          <w14:textFill>
            <w14:solidFill>
              <w14:schemeClr w14:val="tx1"/>
            </w14:solidFill>
          </w14:textFill>
        </w:rPr>
        <w:t>甲方以下述第</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项方式支付合同款项。</w:t>
      </w:r>
    </w:p>
    <w:p w14:paraId="119D3118">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4.1一次性付款：</w:t>
      </w:r>
    </w:p>
    <w:p w14:paraId="56712AB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乙方履约完毕后且甲方按照本合同第5条规定验收合格后，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日内一次性支付全部服务费。</w:t>
      </w:r>
    </w:p>
    <w:p w14:paraId="4E81069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4.2分期支付：</w:t>
      </w:r>
    </w:p>
    <w:p w14:paraId="46E6098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（1）按年/按季度/按月支付等额的服务费；</w:t>
      </w:r>
    </w:p>
    <w:p w14:paraId="02091907">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（2）本合同签订后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日内，甲方向乙方支付</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元（或服务费总额的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%)；在交付服务成果并经验收合格后，支付服务费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元（或服务费总额的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3211DADD">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4.3按本合同项下的项目进度支付服务费（应根据项目特点具体约定,以下阶段支付仅为参考）：</w:t>
      </w:r>
    </w:p>
    <w:p w14:paraId="72062867">
      <w:pPr>
        <w:keepNext w:val="0"/>
        <w:keepLines w:val="0"/>
        <w:pageBreakBefore w:val="0"/>
        <w:shd w:val="clear"/>
        <w:kinsoku/>
        <w:overflowPunct/>
        <w:topLinePunct w:val="0"/>
        <w:autoSpaceDE/>
        <w:autoSpaceDN/>
        <w:bidi w:val="0"/>
        <w:adjustRightInd w:val="0"/>
        <w:snapToGrid w:val="0"/>
        <w:spacing w:after="0" w:line="360" w:lineRule="auto"/>
        <w:ind w:left="0" w:leftChars="0" w:firstLine="315" w:firstLineChars="1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（1）乙方服务人员到达服务地点并提交服务实施方案后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日内，甲方将总服务费的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%支付给乙方；</w:t>
      </w:r>
    </w:p>
    <w:p w14:paraId="7148D946">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（2）第二次付款为总服务费的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%,甲方在乙方提交服务阶段报告及其它文件,且该报告及相关文件符合本合同要求并经甲方验收后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日内付给乙方；</w:t>
      </w:r>
    </w:p>
    <w:p w14:paraId="12C434F7">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（3）最后一次付款为总服务费的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%，甲方应在乙方完全履行合同，递交服务总报告及相关文件资料并经甲方验收完毕日内付给乙方。</w:t>
      </w:r>
    </w:p>
    <w:p w14:paraId="0C3095D1">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4.4其他付款：</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3EF01B3D">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5.验收程序、方法及标准</w:t>
      </w:r>
    </w:p>
    <w:p w14:paraId="1C51C25D">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5.1本项目验收按照《宁波市政府采购履约验收管理办法》（甬财采〔2021〕1051号）文件执行。</w:t>
      </w:r>
    </w:p>
    <w:p w14:paraId="079A1D0A">
      <w:pPr>
        <w:pStyle w:val="42"/>
        <w:keepNext w:val="0"/>
        <w:keepLines w:val="0"/>
        <w:pageBreakBefore w:val="0"/>
        <w:shd w:val="clear"/>
        <w:kinsoku/>
        <w:overflowPunct/>
        <w:topLinePunct w:val="0"/>
        <w:autoSpaceDE/>
        <w:autoSpaceDN/>
        <w:bidi w:val="0"/>
        <w:spacing w:before="0" w:beforeAutospacing="0" w:after="0" w:afterAutospacing="0" w:line="360" w:lineRule="auto"/>
        <w:ind w:left="0" w:leftChars="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5.2验收程序，可按照简易程序验收（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）或一般程序验收（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）进行验收。</w:t>
      </w:r>
    </w:p>
    <w:p w14:paraId="3E58C566">
      <w:pPr>
        <w:pStyle w:val="42"/>
        <w:keepNext w:val="0"/>
        <w:keepLines w:val="0"/>
        <w:pageBreakBefore w:val="0"/>
        <w:shd w:val="clear"/>
        <w:kinsoku/>
        <w:overflowPunct/>
        <w:topLinePunct w:val="0"/>
        <w:autoSpaceDE/>
        <w:autoSpaceDN/>
        <w:bidi w:val="0"/>
        <w:spacing w:before="0" w:beforeAutospacing="0" w:after="0" w:afterAutospacing="0" w:line="360" w:lineRule="auto"/>
        <w:ind w:left="0" w:leftChars="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5.3验收方法，可按照一次性验收（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）、分段验收（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）或分期验收（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）进行验收。</w:t>
      </w:r>
    </w:p>
    <w:p w14:paraId="6E99BFCE">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5.4验收标准（可另附明细附件)：</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1B60354E">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54E9A15D">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6.履约保证金</w:t>
      </w:r>
    </w:p>
    <w:p w14:paraId="26A825F3">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6.1履约保证金金额：合同金额的1%，即大写人民币</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25F3314C">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6.2履约保证金缴纳形式：</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1784EFDF">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6.3履约保证金缴纳时间：合同签订后7个工作日内；</w:t>
      </w:r>
    </w:p>
    <w:p w14:paraId="51C6D71D">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6.4履约保证金退回时间：完成合同全部服务通过甲方验收合格后7个工作日内扣除合同违约款项后退回。</w:t>
      </w:r>
    </w:p>
    <w:p w14:paraId="61B243DE">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7.甲方的权利和义务</w:t>
      </w:r>
    </w:p>
    <w:p w14:paraId="0EE29975">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7.1甲方的权利</w:t>
      </w:r>
    </w:p>
    <w:p w14:paraId="2625D002">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（1）甲方有权随时向乙方了解项目进度，并要求乙方提供项目相关资料。</w:t>
      </w:r>
    </w:p>
    <w:p w14:paraId="13A9A08A">
      <w:pPr>
        <w:keepNext w:val="0"/>
        <w:keepLines w:val="0"/>
        <w:pageBreakBefore w:val="0"/>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（2）甲方有权对项目资金使用情况进行监督、检查，并要求乙方提供相关资料。</w:t>
      </w:r>
    </w:p>
    <w:p w14:paraId="6D80905E">
      <w:pPr>
        <w:keepNext w:val="0"/>
        <w:keepLines w:val="0"/>
        <w:pageBreakBefore w:val="0"/>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782F55DD">
      <w:pPr>
        <w:keepNext w:val="0"/>
        <w:keepLines w:val="0"/>
        <w:pageBreakBefore w:val="0"/>
        <w:widowControl/>
        <w:shd w:val="clear"/>
        <w:kinsoku/>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（4）甲方有权在乙方履行合同过程中出现损害或可能损害公共利益、公共安全情形时终止本合同。</w:t>
      </w:r>
    </w:p>
    <w:p w14:paraId="4AFDF8E5">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（5）甲方有权根据国家政策或法律法规的变动对服务项目的需求标准和质量要求作出相应变动或者取消项目。</w:t>
      </w:r>
    </w:p>
    <w:p w14:paraId="0C423B8B">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（6）甲方有权将乙方履行合同情况及不符合相关法律法规的规定情况，向相关部门报告并纳入不良信用记录、年检（报）、评估、执法等监管体系中。</w:t>
      </w:r>
    </w:p>
    <w:p w14:paraId="63F2E882">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（7）其他</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78CEB916">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7.2甲方的义务</w:t>
      </w:r>
    </w:p>
    <w:p w14:paraId="2D9F767B">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（1）甲方应及时向乙方提供与履行本合同相关的所有必须的文件、资料。</w:t>
      </w:r>
    </w:p>
    <w:p w14:paraId="59911F54">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（2）甲方应为乙方履行本合同过程中与相关政府部门及其他第三方的沟通、协调提供必要的协助。</w:t>
      </w:r>
    </w:p>
    <w:p w14:paraId="2F6BC0C5">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（3）甲方应按照合同约定支付服务费用。</w:t>
      </w:r>
    </w:p>
    <w:p w14:paraId="53CF0495">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（4）其他</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7EF98C0">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8.乙方的权利和义务</w:t>
      </w:r>
    </w:p>
    <w:p w14:paraId="4DC3E8A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8.1乙方的权利</w:t>
      </w:r>
    </w:p>
    <w:p w14:paraId="6FC1F00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（1）乙方有权按照本合同约定向甲方收取服务费用。</w:t>
      </w:r>
    </w:p>
    <w:p w14:paraId="7E229C80">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（2）乙方有权自甲方处获得与提供本合同项下服务相关的所有必须的文件、资料。</w:t>
      </w:r>
    </w:p>
    <w:p w14:paraId="10DAD7D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（3）其他</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697C20D">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8.2乙方的义务</w:t>
      </w:r>
    </w:p>
    <w:p w14:paraId="76FC5039">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（1）乙方应配备具有相应资质、特定经验的工作人员负责项目实施，按照本合同约定的标准、要求和时间完成项目。</w:t>
      </w:r>
    </w:p>
    <w:p w14:paraId="489EA34D">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（2）乙方不得以任何理由将本合同项下的服务项目转包给第三方承担。</w:t>
      </w:r>
    </w:p>
    <w:p w14:paraId="08EB9FE9">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（3）乙方应全面履行本项目实施过程中的相关安全管理职责，因乙方未尽到管理职责发生安全事故的，由乙方承担相应的法律责任。</w:t>
      </w:r>
    </w:p>
    <w:p w14:paraId="52626670">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2400CAC1">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（5）乙方应接受并配合甲方或甲方组织的对本合同履行情况的监督与检查，对于甲方指出的问题，应及时作出合理解释或予以纠正。</w:t>
      </w:r>
    </w:p>
    <w:p w14:paraId="4D6F0F7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（6）乙方应对项目资金进行规范的财务管理和会计核算，加强自身监督，确保资金规范管理和使用。</w:t>
      </w:r>
    </w:p>
    <w:p w14:paraId="38B0979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（7）乙方应建立健全财务管理与报告制度，按要求向甲方提供资金的使用情况、项目执行情况、成果总结等材料，并配合甲方及甲方组织的监督检查或绩效评价。</w:t>
      </w:r>
    </w:p>
    <w:p w14:paraId="69B4CD34">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14:paraId="5831310F">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（9）项目交付后，乙方应无条件返还甲方向其提供的文件、资料并向甲方移交项目资料，同时乙方应当自留一份完整的项目档案并予以妥善保存。</w:t>
      </w:r>
    </w:p>
    <w:p w14:paraId="7233FF3D">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（10）其他</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FD3AB7D">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 违约责任</w:t>
      </w:r>
    </w:p>
    <w:p w14:paraId="0666BCA5">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9.1甲方无正当理由拒绝接收服务，到期拒付服务费的，甲方向乙方偿付本合同总服务费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%的违约金。甲方逾期付款的，则每日按逾期金额的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%向乙方偿付违约金。</w:t>
      </w:r>
    </w:p>
    <w:p w14:paraId="2E5FBE70">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9.2乙方提供的服务不符合本项目相关文件和本合同规定的，甲方有权拒收，并且乙方须向甲方支付本合同总服务费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%的违约金。</w:t>
      </w:r>
    </w:p>
    <w:p w14:paraId="2A19A6E1">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9.3乙方未能按照本合同约定时间提供服务或完成约定的项目服务内容的，从逾期之日起每日按本合同总服务费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%的数额向甲方支付违约金；逾期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日以上的，甲方有权终止合同，由此造成的甲方经济损失由乙方承担。</w:t>
      </w:r>
    </w:p>
    <w:p w14:paraId="3523D790">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9.4其他违约责任按《中华人民共和国民法典》处理。</w:t>
      </w:r>
    </w:p>
    <w:p w14:paraId="3B117047">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10. 知识产权归属</w:t>
      </w:r>
    </w:p>
    <w:p w14:paraId="270D19C7">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CA2B3C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8D85E0B">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2F9CAA08">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11.保密条款</w:t>
      </w:r>
    </w:p>
    <w:p w14:paraId="2833CD2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14:paraId="6652E9C6">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5DF3423">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12. 争议的解决</w:t>
      </w:r>
    </w:p>
    <w:p w14:paraId="2EDFE91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本合同在履行过程中发生的任何争议，如双方不能通过友好协商解决，通过项目所在地有管辖权的人民法院诉讼处理。</w:t>
      </w:r>
    </w:p>
    <w:p w14:paraId="5EFD46E2">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13. 不可抗力</w:t>
      </w:r>
    </w:p>
    <w:p w14:paraId="359522CB">
      <w:pPr>
        <w:keepNext w:val="0"/>
        <w:keepLines w:val="0"/>
        <w:pageBreakBefore w:val="0"/>
        <w:shd w:val="clear"/>
        <w:kinsoku/>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不可抗力是指合同双方不可预见、不可避免、不可克服的自然灾害和社会事件。</w:t>
      </w:r>
    </w:p>
    <w:p w14:paraId="3564A5A8">
      <w:pPr>
        <w:keepNext w:val="0"/>
        <w:keepLines w:val="0"/>
        <w:pageBreakBefore w:val="0"/>
        <w:shd w:val="clear"/>
        <w:kinsoku/>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任何一方对由于不可抗力造成的部分或全部不能履行合同不承担违约责任。但迟延履行后发生不可抗力的，不能免除责任。</w:t>
      </w:r>
    </w:p>
    <w:p w14:paraId="7133E4B0">
      <w:pPr>
        <w:keepNext w:val="0"/>
        <w:keepLines w:val="0"/>
        <w:pageBreakBefore w:val="0"/>
        <w:shd w:val="clear"/>
        <w:kinsoku/>
        <w:overflowPunct/>
        <w:topLinePunct w:val="0"/>
        <w:autoSpaceDE/>
        <w:autoSpaceDN/>
        <w:bidi w:val="0"/>
        <w:spacing w:after="0" w:line="360" w:lineRule="auto"/>
        <w:ind w:left="0" w:leftChars="0"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13.3 遇有不可抗力的一方，应在三日内将事件的情况以书面形式通知另一方，并在事件发生后十日内，向另一方提交合同不能履行或部分不能履行或需要延期履行理由的报告。</w:t>
      </w:r>
    </w:p>
    <w:p w14:paraId="6ED918CA">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14. 合同的终止</w:t>
      </w:r>
    </w:p>
    <w:p w14:paraId="1998EA1B">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14.1本合同期满，双方未续签合同的；</w:t>
      </w:r>
    </w:p>
    <w:p w14:paraId="1A59D6DE">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14.2乙方服务能力丧失，致使本合同服务无法正常提供的；</w:t>
      </w:r>
    </w:p>
    <w:p w14:paraId="0394B9F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14.3在履行合同过程中，发现乙方已不符合承接主体应具备的条件，造成合同无法履行的；</w:t>
      </w:r>
    </w:p>
    <w:p w14:paraId="7BAE54B3">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14.4受国家政策或法律法规变动影响，经双方协商终止本合同的。</w:t>
      </w:r>
    </w:p>
    <w:p w14:paraId="69F4446C">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15. 税费发生与履行</w:t>
      </w:r>
    </w:p>
    <w:p w14:paraId="5AF1C491">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本合同有关的一切税费均由乙方负担。</w:t>
      </w:r>
    </w:p>
    <w:p w14:paraId="080EC6A5">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16. 其他</w:t>
      </w:r>
    </w:p>
    <w:p w14:paraId="39E764D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16.1本合同所有附件及相关购买文件均为本合同的有效组成部分，与本合同具有同等法律效力。若合同附件与本合同存在不一致的，则以本合同为准。</w:t>
      </w:r>
    </w:p>
    <w:p w14:paraId="7D15193F">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16.2在履行本合同过程中，所有经双方签署确认的文件（包括</w:t>
      </w:r>
      <w:r>
        <w:rPr>
          <w:rFonts w:hint="eastAsia" w:ascii="宋体" w:hAnsi="宋体" w:eastAsia="宋体" w:cs="宋体"/>
          <w:color w:val="000000" w:themeColor="text1"/>
          <w:spacing w:val="-6"/>
          <w:kern w:val="0"/>
          <w:szCs w:val="21"/>
          <w:highlight w:val="none"/>
          <w14:textFill>
            <w14:solidFill>
              <w14:schemeClr w14:val="tx1"/>
            </w14:solidFill>
          </w14:textFill>
        </w:rPr>
        <w:t>会议纪要、补充协议、往来信函）即成为本合同的有效组成部分。</w:t>
      </w:r>
    </w:p>
    <w:p w14:paraId="2D76711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16.3如一方地址、电话、传真号码及乙方银行账户信息有变更，应在变更当日书面通知对方，否则，应承担相应责任。</w:t>
      </w:r>
    </w:p>
    <w:p w14:paraId="33DE1651">
      <w:pPr>
        <w:keepNext w:val="0"/>
        <w:keepLines w:val="0"/>
        <w:pageBreakBefore w:val="0"/>
        <w:numPr>
          <w:ilvl w:val="0"/>
          <w:numId w:val="2"/>
        </w:numPr>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补充条款</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p>
    <w:p w14:paraId="6A0ADE6A">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p>
    <w:p w14:paraId="3E03832A">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18. 合同生效</w:t>
      </w:r>
    </w:p>
    <w:p w14:paraId="27CBC95C">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18.1本合同订立时间：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4FF8A5DD">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18.2本合同订立地点：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10FFE827">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18.3本合同在甲、乙双方法人代表或其授权代表签章之日起生效。</w:t>
      </w:r>
    </w:p>
    <w:p w14:paraId="4479E3FA">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18.4本合同一式二份，具有同等法律效力，甲乙双方各执一份。</w:t>
      </w:r>
    </w:p>
    <w:p w14:paraId="132BD66C">
      <w:pPr>
        <w:keepNext w:val="0"/>
        <w:keepLines w:val="0"/>
        <w:pageBreakBefore w:val="0"/>
        <w:shd w:val="clear"/>
        <w:kinsoku/>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19. 合同附件</w:t>
      </w:r>
      <w:r>
        <w:rPr>
          <w:rFonts w:hint="eastAsia" w:ascii="宋体" w:hAnsi="宋体" w:eastAsia="宋体" w:cs="宋体"/>
          <w:color w:val="000000" w:themeColor="text1"/>
          <w:kern w:val="0"/>
          <w:szCs w:val="21"/>
          <w:highlight w:val="none"/>
          <w14:textFill>
            <w14:solidFill>
              <w14:schemeClr w14:val="tx1"/>
            </w14:solidFill>
          </w14:textFill>
        </w:rPr>
        <w:t>（若有附件应注明附件名称）</w:t>
      </w:r>
    </w:p>
    <w:p w14:paraId="13CDB698">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55E29206">
      <w:pPr>
        <w:keepNext w:val="0"/>
        <w:keepLines w:val="0"/>
        <w:pageBreakBefore w:val="0"/>
        <w:shd w:val="clear"/>
        <w:kinsoku/>
        <w:overflowPunct/>
        <w:topLinePunct w:val="0"/>
        <w:autoSpaceDE/>
        <w:autoSpaceDN/>
        <w:bidi w:val="0"/>
        <w:adjustRightInd w:val="0"/>
        <w:snapToGrid w:val="0"/>
        <w:spacing w:after="0" w:line="360" w:lineRule="auto"/>
        <w:ind w:left="0" w:leftChars="0"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p>
    <w:p w14:paraId="7008E1D8">
      <w:pPr>
        <w:keepNext w:val="0"/>
        <w:keepLines w:val="0"/>
        <w:pageBreakBefore w:val="0"/>
        <w:widowControl/>
        <w:shd w:val="clear"/>
        <w:kinsoku/>
        <w:wordWrap w:val="0"/>
        <w:overflowPunct/>
        <w:topLinePunct w:val="0"/>
        <w:autoSpaceDE/>
        <w:autoSpaceDN/>
        <w:bidi w:val="0"/>
        <w:spacing w:after="0" w:line="360" w:lineRule="auto"/>
        <w:ind w:left="0" w:left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采购人（盖章）：</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供应商（盖章）：</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FCD0A5D">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法定代表人（盖章或签字）:              法定代表人（盖章或签字）: </w:t>
      </w:r>
    </w:p>
    <w:p w14:paraId="18136509">
      <w:pPr>
        <w:keepNext w:val="0"/>
        <w:keepLines w:val="0"/>
        <w:pageBreakBefore w:val="0"/>
        <w:shd w:val="clear"/>
        <w:kinsoku/>
        <w:overflowPunct/>
        <w:topLinePunct w:val="0"/>
        <w:autoSpaceDE/>
        <w:autoSpaceDN/>
        <w:bidi w:val="0"/>
        <w:spacing w:after="0" w:line="360" w:lineRule="auto"/>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委托代理人（签字）：                    委托代理人（签字）：     </w:t>
      </w:r>
    </w:p>
    <w:p w14:paraId="3B17B62E">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17B4C720">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电话：</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0D47C3E3">
      <w:pPr>
        <w:keepNext w:val="0"/>
        <w:keepLines w:val="0"/>
        <w:pageBreakBefore w:val="0"/>
        <w:shd w:val="clear"/>
        <w:kinsoku/>
        <w:overflowPunct/>
        <w:topLinePunct w:val="0"/>
        <w:autoSpaceDE/>
        <w:autoSpaceDN/>
        <w:bidi w:val="0"/>
        <w:adjustRightInd w:val="0"/>
        <w:snapToGrid w:val="0"/>
        <w:spacing w:after="0" w:line="360" w:lineRule="auto"/>
        <w:ind w:left="0" w:left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传真：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3689D51">
      <w:pPr>
        <w:pageBreakBefore w:val="0"/>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日         </w:t>
      </w:r>
      <w:r>
        <w:rPr>
          <w:rFonts w:hint="eastAsia" w:ascii="宋体" w:hAnsi="宋体" w:eastAsia="宋体" w:cs="宋体"/>
          <w:color w:val="000000" w:themeColor="text1"/>
          <w:kern w:val="0"/>
          <w:szCs w:val="21"/>
          <w:highlight w:val="none"/>
          <w:lang w:val="e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76FDF3A7">
      <w:pPr>
        <w:rPr>
          <w:rFonts w:hint="eastAsia" w:ascii="宋体" w:hAnsi="宋体" w:eastAsia="宋体" w:cs="宋体"/>
          <w:color w:val="000000" w:themeColor="text1"/>
          <w:highlight w:val="none"/>
          <w14:textFill>
            <w14:solidFill>
              <w14:schemeClr w14:val="tx1"/>
            </w14:solidFill>
          </w14:textFill>
        </w:rPr>
      </w:pPr>
      <w:bookmarkStart w:id="63" w:name="_Toc387415178"/>
      <w:bookmarkEnd w:id="63"/>
      <w:bookmarkStart w:id="64" w:name="_Toc387415176"/>
      <w:bookmarkEnd w:id="64"/>
      <w:bookmarkStart w:id="65" w:name="_Toc387415174"/>
      <w:bookmarkEnd w:id="65"/>
      <w:bookmarkStart w:id="66" w:name="_Toc387415173"/>
      <w:bookmarkEnd w:id="66"/>
      <w:bookmarkStart w:id="67" w:name="_Toc387415171"/>
      <w:bookmarkEnd w:id="67"/>
      <w:bookmarkStart w:id="68" w:name="_Toc387415175"/>
      <w:bookmarkEnd w:id="68"/>
      <w:bookmarkStart w:id="69" w:name="_Toc387415172"/>
      <w:bookmarkEnd w:id="69"/>
      <w:bookmarkStart w:id="70" w:name="_Toc387415177"/>
      <w:bookmarkEnd w:id="70"/>
      <w:bookmarkStart w:id="71" w:name="_Toc20782"/>
      <w:bookmarkStart w:id="72" w:name="_Toc34844746"/>
      <w:bookmarkStart w:id="73" w:name="_Toc27781"/>
      <w:r>
        <w:rPr>
          <w:rFonts w:hint="eastAsia" w:ascii="宋体" w:hAnsi="宋体" w:eastAsia="宋体" w:cs="宋体"/>
          <w:color w:val="000000" w:themeColor="text1"/>
          <w:highlight w:val="none"/>
          <w14:textFill>
            <w14:solidFill>
              <w14:schemeClr w14:val="tx1"/>
            </w14:solidFill>
          </w14:textFill>
        </w:rPr>
        <w:br w:type="page"/>
      </w:r>
    </w:p>
    <w:p w14:paraId="38F57BA9">
      <w:pPr>
        <w:pStyle w:val="4"/>
        <w:pageBreakBefore w:val="0"/>
        <w:shd w:val="clear"/>
        <w:kinsoku/>
        <w:wordWrap/>
        <w:overflowPunct/>
        <w:topLinePunct w:val="0"/>
        <w:bidi w:val="0"/>
        <w:spacing w:before="0" w:after="0" w:line="360" w:lineRule="auto"/>
        <w:ind w:left="0" w:leftChars="0" w:right="0" w:rightChars="0" w:firstLine="42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响应文件格式</w:t>
      </w:r>
      <w:bookmarkEnd w:id="71"/>
      <w:bookmarkEnd w:id="72"/>
      <w:bookmarkEnd w:id="73"/>
    </w:p>
    <w:p w14:paraId="4AEF823C">
      <w:pPr>
        <w:pageBreakBefore w:val="0"/>
        <w:shd w:val="clear"/>
        <w:kinsoku/>
        <w:wordWrap/>
        <w:overflowPunct/>
        <w:topLinePunct w:val="0"/>
        <w:bidi w:val="0"/>
        <w:snapToGrid w:val="0"/>
        <w:spacing w:line="360" w:lineRule="auto"/>
        <w:ind w:left="0" w:leftChars="0" w:right="0" w:rightChars="0"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1.资格要求响应文件的有关格式</w:t>
      </w:r>
    </w:p>
    <w:p w14:paraId="2E32C137">
      <w:pPr>
        <w:pStyle w:val="11"/>
        <w:pageBreakBefore w:val="0"/>
        <w:shd w:val="clear"/>
        <w:kinsoku/>
        <w:wordWrap/>
        <w:overflowPunct/>
        <w:topLinePunct w:val="0"/>
        <w:bidi w:val="0"/>
        <w:spacing w:after="0" w:line="360" w:lineRule="auto"/>
        <w:ind w:left="0" w:leftChars="0" w:right="0" w:rightChars="0" w:firstLine="296"/>
        <w:jc w:val="center"/>
        <w:rPr>
          <w:rFonts w:hint="eastAsia" w:ascii="宋体" w:hAnsi="宋体" w:eastAsia="宋体" w:cs="宋体"/>
          <w:b/>
          <w:color w:val="000000" w:themeColor="text1"/>
          <w:kern w:val="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供应商资格声明函</w:t>
      </w:r>
    </w:p>
    <w:p w14:paraId="2981968D">
      <w:pPr>
        <w:pageBreakBefore w:val="0"/>
        <w:shd w:val="clear"/>
        <w:kinsoku/>
        <w:wordWrap/>
        <w:overflowPunct/>
        <w:topLinePunct w:val="0"/>
        <w:bidi w:val="0"/>
        <w:spacing w:line="360" w:lineRule="auto"/>
        <w:ind w:left="0" w:leftChars="0" w:right="0" w:rightChars="0"/>
        <w:rPr>
          <w:rFonts w:hint="eastAsia" w:ascii="宋体" w:hAnsi="宋体" w:eastAsia="宋体" w:cs="宋体"/>
          <w:b/>
          <w:color w:val="000000" w:themeColor="text1"/>
          <w:kern w:val="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lang w:eastAsia="zh-CN"/>
          <w14:textFill>
            <w14:solidFill>
              <w14:schemeClr w14:val="tx1"/>
            </w14:solidFill>
          </w14:textFill>
        </w:rPr>
        <w:t>宁波知识产权保护中心</w:t>
      </w:r>
      <w:r>
        <w:rPr>
          <w:rFonts w:hint="eastAsia" w:ascii="宋体" w:hAnsi="宋体" w:eastAsia="宋体" w:cs="宋体"/>
          <w:color w:val="000000" w:themeColor="text1"/>
          <w:szCs w:val="21"/>
          <w:highlight w:val="none"/>
          <w:u w:val="single"/>
          <w14:textFill>
            <w14:solidFill>
              <w14:schemeClr w14:val="tx1"/>
            </w14:solidFill>
          </w14:textFill>
        </w:rPr>
        <w:t>、宁波名诚招标代理有限公司</w:t>
      </w:r>
    </w:p>
    <w:p w14:paraId="1EB57DB1">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我方自愿参与本项目政府采购活动，郑重承诺：</w:t>
      </w:r>
    </w:p>
    <w:p w14:paraId="007CDEC7">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一、具备《中华人民共和国政府采购法》第二十二条第一款规定的条件：</w:t>
      </w:r>
    </w:p>
    <w:p w14:paraId="0385F515">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1.具有独立承担民事责任的能力；</w:t>
      </w:r>
    </w:p>
    <w:p w14:paraId="6F14E540">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2.具有良好的商业信誉和健全的财务会计制度；</w:t>
      </w:r>
    </w:p>
    <w:p w14:paraId="54AE838D">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3.具有履行本项目合同所必需的设备和专业技术能力；</w:t>
      </w:r>
    </w:p>
    <w:p w14:paraId="1EE67ECF">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4.有依法缴纳税收和社会保障资金的良好记录；</w:t>
      </w:r>
    </w:p>
    <w:p w14:paraId="001B2E6B">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5.在参加本次政府采购活动前三年内，在经营活动中没有重大违法记录（没有因违法经营受到刑事处罚或者责令停产停业、吊销许可证或者执照、较大数额罚款等行政处罚）；</w:t>
      </w:r>
    </w:p>
    <w:p w14:paraId="1DBD44B6">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6.具有法律、行政法规规定的其他条件。</w:t>
      </w:r>
    </w:p>
    <w:p w14:paraId="7E90E574">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二、未被“信用中国”（www.creditchina.gov.cn)、中国政府采购网（www.ccgp.gov.cn）列入失信被执行人、重大税收违法失信主体、政府采购严重违法失信行为记录名单。</w:t>
      </w:r>
    </w:p>
    <w:p w14:paraId="4CF2B6A6">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三、不存在以下情况：</w:t>
      </w:r>
    </w:p>
    <w:p w14:paraId="3C187801">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1.单位负责人为同一人或者存在直接控股、管理关系的不同供应商参加同一合同项下的政府采购活动的；</w:t>
      </w:r>
    </w:p>
    <w:p w14:paraId="557E6FE3">
      <w:pPr>
        <w:pageBreakBefore w:val="0"/>
        <w:shd w:val="clear"/>
        <w:kinsoku/>
        <w:wordWrap/>
        <w:overflowPunct/>
        <w:topLinePunct w:val="0"/>
        <w:bidi w:val="0"/>
        <w:spacing w:line="360" w:lineRule="auto"/>
        <w:ind w:left="0" w:leftChars="0" w:right="0" w:rightChars="0" w:firstLine="4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2.为采购项目提供整体设计、规范编制或者项目管理、监理、检测等服务后再参加该采购项目的其他采购活动的。</w:t>
      </w:r>
    </w:p>
    <w:p w14:paraId="5DDBF413">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p>
    <w:p w14:paraId="2666E8D0">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p>
    <w:p w14:paraId="72B188FD">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 xml:space="preserve">   （填写全称并加盖公章)      </w:t>
      </w:r>
    </w:p>
    <w:p w14:paraId="561147F6">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p>
    <w:p w14:paraId="5506E902">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p>
    <w:p w14:paraId="647B825F">
      <w:pPr>
        <w:pageBreakBefore w:val="0"/>
        <w:shd w:val="clear"/>
        <w:kinsoku/>
        <w:wordWrap/>
        <w:overflowPunct/>
        <w:topLinePunct w:val="0"/>
        <w:bidi w:val="0"/>
        <w:spacing w:line="360" w:lineRule="auto"/>
        <w:ind w:left="0" w:leftChars="0" w:right="0" w:rightChars="0" w:firstLine="5250" w:firstLineChars="25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1710DFD">
      <w:pPr>
        <w:pageBreakBefore w:val="0"/>
        <w:shd w:val="clear"/>
        <w:kinsoku/>
        <w:wordWrap/>
        <w:overflowPunct/>
        <w:topLinePunct w:val="0"/>
        <w:bidi w:val="0"/>
        <w:snapToGrid w:val="0"/>
        <w:spacing w:line="360" w:lineRule="auto"/>
        <w:ind w:left="0" w:leftChars="0" w:right="0" w:rightChars="0" w:firstLine="21" w:firstLineChars="1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2.商务技术文件的有关格式</w:t>
      </w:r>
    </w:p>
    <w:p w14:paraId="78226002">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（1）响应函</w:t>
      </w:r>
    </w:p>
    <w:p w14:paraId="337E34D1">
      <w:pPr>
        <w:pageBreakBefore w:val="0"/>
        <w:shd w:val="clear"/>
        <w:kinsoku/>
        <w:wordWrap/>
        <w:overflowPunct/>
        <w:topLinePunct w:val="0"/>
        <w:bidi w:val="0"/>
        <w:snapToGrid w:val="0"/>
        <w:spacing w:line="36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lang w:eastAsia="zh-CN"/>
          <w14:textFill>
            <w14:solidFill>
              <w14:schemeClr w14:val="tx1"/>
            </w14:solidFill>
          </w14:textFill>
        </w:rPr>
        <w:t>宁波知识产权保护中心</w:t>
      </w:r>
      <w:r>
        <w:rPr>
          <w:rFonts w:hint="eastAsia" w:ascii="宋体" w:hAnsi="宋体" w:eastAsia="宋体" w:cs="宋体"/>
          <w:color w:val="000000" w:themeColor="text1"/>
          <w:szCs w:val="21"/>
          <w:highlight w:val="none"/>
          <w:u w:val="single"/>
          <w14:textFill>
            <w14:solidFill>
              <w14:schemeClr w14:val="tx1"/>
            </w14:solidFill>
          </w14:textFill>
        </w:rPr>
        <w:t>、宁波名诚招标代理有限公司</w:t>
      </w:r>
    </w:p>
    <w:p w14:paraId="6DF25A4F">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根据贵方的采购公告，我方兹宣布同意如下：</w:t>
      </w:r>
    </w:p>
    <w:p w14:paraId="50409279">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按磋商文件规定提供的服务及伴随的货物的初次报价见</w:t>
      </w:r>
      <w:r>
        <w:rPr>
          <w:rFonts w:hint="eastAsia" w:ascii="宋体" w:hAnsi="宋体" w:eastAsia="宋体" w:cs="宋体"/>
          <w:color w:val="000000" w:themeColor="text1"/>
          <w:highlight w:val="none"/>
          <w14:textFill>
            <w14:solidFill>
              <w14:schemeClr w14:val="tx1"/>
            </w14:solidFill>
          </w14:textFill>
        </w:rPr>
        <w:t>《初次报价表》。</w:t>
      </w:r>
    </w:p>
    <w:p w14:paraId="0597B4F9">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我方将根据磋商文件的规定</w:t>
      </w:r>
      <w:r>
        <w:rPr>
          <w:rFonts w:hint="eastAsia" w:ascii="宋体" w:hAnsi="宋体" w:eastAsia="宋体" w:cs="宋体"/>
          <w:color w:val="000000" w:themeColor="text1"/>
          <w:highlight w:val="none"/>
          <w14:textFill>
            <w14:solidFill>
              <w14:schemeClr w14:val="tx1"/>
            </w14:solidFill>
          </w14:textFill>
        </w:rPr>
        <w:t>，严格履行合同的责任和义务。</w:t>
      </w:r>
    </w:p>
    <w:p w14:paraId="10D8007A">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我方已详细审核全部磋商文件</w:t>
      </w:r>
      <w:r>
        <w:rPr>
          <w:rFonts w:hint="eastAsia" w:ascii="宋体" w:hAnsi="宋体" w:eastAsia="宋体" w:cs="宋体"/>
          <w:color w:val="000000" w:themeColor="text1"/>
          <w:highlight w:val="none"/>
          <w14:textFill>
            <w14:solidFill>
              <w14:schemeClr w14:val="tx1"/>
            </w14:solidFill>
          </w14:textFill>
        </w:rPr>
        <w:t>，包括磋商文件的澄清或修改（如有），参考资料及有关附件，</w:t>
      </w:r>
      <w:r>
        <w:rPr>
          <w:rFonts w:hint="eastAsia" w:ascii="宋体" w:hAnsi="宋体" w:eastAsia="宋体" w:cs="宋体"/>
          <w:color w:val="000000" w:themeColor="text1"/>
          <w:szCs w:val="21"/>
          <w:highlight w:val="none"/>
          <w14:textFill>
            <w14:solidFill>
              <w14:schemeClr w14:val="tx1"/>
            </w14:solidFill>
          </w14:textFill>
        </w:rPr>
        <w:t>我方正式认可并遵守本项目磋商文件</w:t>
      </w:r>
      <w:r>
        <w:rPr>
          <w:rFonts w:hint="eastAsia" w:ascii="宋体" w:hAnsi="宋体" w:eastAsia="宋体" w:cs="宋体"/>
          <w:color w:val="000000" w:themeColor="text1"/>
          <w:highlight w:val="none"/>
          <w14:textFill>
            <w14:solidFill>
              <w14:schemeClr w14:val="tx1"/>
            </w14:solidFill>
          </w14:textFill>
        </w:rPr>
        <w:t>，并对磋商文件各项条款、规定及要求均无异议。</w:t>
      </w:r>
      <w:r>
        <w:rPr>
          <w:rFonts w:hint="eastAsia" w:ascii="宋体" w:hAnsi="宋体" w:eastAsia="宋体" w:cs="宋体"/>
          <w:color w:val="000000" w:themeColor="text1"/>
          <w:szCs w:val="21"/>
          <w:highlight w:val="none"/>
          <w14:textFill>
            <w14:solidFill>
              <w14:schemeClr w14:val="tx1"/>
            </w14:solidFill>
          </w14:textFill>
        </w:rPr>
        <w:t>我方知道必须放弃提出含糊不清或误解问题的权利</w:t>
      </w:r>
      <w:r>
        <w:rPr>
          <w:rFonts w:hint="eastAsia" w:ascii="宋体" w:hAnsi="宋体" w:eastAsia="宋体" w:cs="宋体"/>
          <w:color w:val="000000" w:themeColor="text1"/>
          <w:highlight w:val="none"/>
          <w14:textFill>
            <w14:solidFill>
              <w14:schemeClr w14:val="tx1"/>
            </w14:solidFill>
          </w14:textFill>
        </w:rPr>
        <w:t>。</w:t>
      </w:r>
    </w:p>
    <w:p w14:paraId="7AEBFBFF">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我方的响应文件在磋商文件规定的响应有效期之前均对我方具有约束力</w:t>
      </w:r>
      <w:r>
        <w:rPr>
          <w:rFonts w:hint="eastAsia" w:ascii="宋体" w:hAnsi="宋体" w:eastAsia="宋体" w:cs="宋体"/>
          <w:color w:val="000000" w:themeColor="text1"/>
          <w:highlight w:val="none"/>
          <w14:textFill>
            <w14:solidFill>
              <w14:schemeClr w14:val="tx1"/>
            </w14:solidFill>
          </w14:textFill>
        </w:rPr>
        <w:t>。</w:t>
      </w:r>
    </w:p>
    <w:p w14:paraId="325EC775">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我方声明响应文件所提供的一切资料均真实无误</w:t>
      </w:r>
      <w:r>
        <w:rPr>
          <w:rFonts w:hint="eastAsia" w:ascii="宋体" w:hAnsi="宋体" w:eastAsia="宋体" w:cs="宋体"/>
          <w:color w:val="000000" w:themeColor="text1"/>
          <w:highlight w:val="none"/>
          <w14:textFill>
            <w14:solidFill>
              <w14:schemeClr w14:val="tx1"/>
            </w14:solidFill>
          </w14:textFill>
        </w:rPr>
        <w:t>、及时、有效，企业（单位）运营正常。</w:t>
      </w:r>
      <w:r>
        <w:rPr>
          <w:rFonts w:hint="eastAsia" w:ascii="宋体" w:hAnsi="宋体" w:eastAsia="宋体" w:cs="宋体"/>
          <w:color w:val="000000" w:themeColor="text1"/>
          <w:szCs w:val="21"/>
          <w:highlight w:val="none"/>
          <w14:textFill>
            <w14:solidFill>
              <w14:schemeClr w14:val="tx1"/>
            </w14:solidFill>
          </w14:textFill>
        </w:rPr>
        <w:t>由于我方提供资料不实而造成的责任和后果由我方独自承担</w:t>
      </w:r>
      <w:r>
        <w:rPr>
          <w:rFonts w:hint="eastAsia" w:ascii="宋体" w:hAnsi="宋体" w:eastAsia="宋体" w:cs="宋体"/>
          <w:color w:val="000000" w:themeColor="text1"/>
          <w:highlight w:val="none"/>
          <w14:textFill>
            <w14:solidFill>
              <w14:schemeClr w14:val="tx1"/>
            </w14:solidFill>
          </w14:textFill>
        </w:rPr>
        <w:t>。我方同意按照贵方提出的要求，提供与本项目磋商有关的任何证据、数据或资料。</w:t>
      </w:r>
    </w:p>
    <w:p w14:paraId="2ADFE393">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我方完全理解最低报价并不是获得成交的唯一标准</w:t>
      </w:r>
      <w:r>
        <w:rPr>
          <w:rFonts w:hint="eastAsia" w:ascii="宋体" w:hAnsi="宋体" w:eastAsia="宋体" w:cs="宋体"/>
          <w:color w:val="000000" w:themeColor="text1"/>
          <w:highlight w:val="none"/>
          <w14:textFill>
            <w14:solidFill>
              <w14:schemeClr w14:val="tx1"/>
            </w14:solidFill>
          </w14:textFill>
        </w:rPr>
        <w:t>。</w:t>
      </w:r>
    </w:p>
    <w:p w14:paraId="69A220C8">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7.如我方获得成交</w:t>
      </w:r>
      <w:r>
        <w:rPr>
          <w:rFonts w:hint="eastAsia" w:ascii="宋体" w:hAnsi="宋体" w:eastAsia="宋体" w:cs="宋体"/>
          <w:color w:val="000000" w:themeColor="text1"/>
          <w:szCs w:val="21"/>
          <w:highlight w:val="none"/>
          <w14:textFill>
            <w14:solidFill>
              <w14:schemeClr w14:val="tx1"/>
            </w14:solidFill>
          </w14:textFill>
        </w:rPr>
        <w:t>，承诺按照磋商文件规定的金额、时间和方式支付采购代理服务费。因我方违约致使采购代理机构采取诉讼或仲裁等方式实现债权，为此支付的律师费、诉讼费、执行费、公证费、认证费、鉴定费、保全费、担保费、差旅费等为实现债权的一切费用由我方承担。</w:t>
      </w:r>
    </w:p>
    <w:p w14:paraId="49C26430">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p>
    <w:p w14:paraId="02EAC909">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 xml:space="preserve">        （填写全称并加盖公章)       </w:t>
      </w:r>
    </w:p>
    <w:p w14:paraId="0F14B967">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p>
    <w:p w14:paraId="7625C892">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A2AB5EC">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（2）授权委托书</w:t>
      </w:r>
    </w:p>
    <w:p w14:paraId="5FDD88F9">
      <w:pPr>
        <w:pageBreakBefore w:val="0"/>
        <w:shd w:val="clear"/>
        <w:kinsoku/>
        <w:wordWrap/>
        <w:overflowPunct/>
        <w:topLinePunct w:val="0"/>
        <w:bidi w:val="0"/>
        <w:snapToGrid w:val="0"/>
        <w:spacing w:line="36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lang w:eastAsia="zh-CN"/>
          <w14:textFill>
            <w14:solidFill>
              <w14:schemeClr w14:val="tx1"/>
            </w14:solidFill>
          </w14:textFill>
        </w:rPr>
        <w:t>宁波知识产权保护中心</w:t>
      </w:r>
      <w:r>
        <w:rPr>
          <w:rFonts w:hint="eastAsia" w:ascii="宋体" w:hAnsi="宋体" w:eastAsia="宋体" w:cs="宋体"/>
          <w:color w:val="000000" w:themeColor="text1"/>
          <w:szCs w:val="21"/>
          <w:highlight w:val="none"/>
          <w:u w:val="single"/>
          <w14:textFill>
            <w14:solidFill>
              <w14:schemeClr w14:val="tx1"/>
            </w14:solidFill>
          </w14:textFill>
        </w:rPr>
        <w:t>、宁波名诚招标代理有限公司</w:t>
      </w:r>
    </w:p>
    <w:p w14:paraId="4A224820">
      <w:pPr>
        <w:pageBreakBefore w:val="0"/>
        <w:shd w:val="clear"/>
        <w:kinsoku/>
        <w:wordWrap/>
        <w:overflowPunct/>
        <w:topLinePunct w:val="0"/>
        <w:bidi w:val="0"/>
        <w:snapToGrid w:val="0"/>
        <w:spacing w:line="360" w:lineRule="auto"/>
        <w:ind w:left="0" w:leftChars="0" w:right="0" w:rightChars="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 xml:space="preserve">   （姓名）   </w:t>
      </w: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（供应商名称）   </w:t>
      </w:r>
      <w:r>
        <w:rPr>
          <w:rFonts w:hint="eastAsia" w:ascii="宋体" w:hAnsi="宋体" w:eastAsia="宋体" w:cs="宋体"/>
          <w:color w:val="000000" w:themeColor="text1"/>
          <w:szCs w:val="21"/>
          <w:highlight w:val="none"/>
          <w14:textFill>
            <w14:solidFill>
              <w14:schemeClr w14:val="tx1"/>
            </w14:solidFill>
          </w14:textFill>
        </w:rPr>
        <w:t>的法定代表人，现授权委托</w:t>
      </w:r>
      <w:r>
        <w:rPr>
          <w:rFonts w:hint="eastAsia" w:ascii="宋体" w:hAnsi="宋体" w:eastAsia="宋体" w:cs="宋体"/>
          <w:color w:val="000000" w:themeColor="text1"/>
          <w:szCs w:val="21"/>
          <w:highlight w:val="none"/>
          <w:u w:val="single"/>
          <w14:textFill>
            <w14:solidFill>
              <w14:schemeClr w14:val="tx1"/>
            </w14:solidFill>
          </w14:textFill>
        </w:rPr>
        <w:t xml:space="preserve">  （姓名）  </w:t>
      </w:r>
      <w:r>
        <w:rPr>
          <w:rFonts w:hint="eastAsia" w:ascii="宋体" w:hAnsi="宋体" w:eastAsia="宋体" w:cs="宋体"/>
          <w:color w:val="000000" w:themeColor="text1"/>
          <w:szCs w:val="21"/>
          <w:highlight w:val="none"/>
          <w14:textFill>
            <w14:solidFill>
              <w14:schemeClr w14:val="tx1"/>
            </w14:solidFill>
          </w14:textFill>
        </w:rPr>
        <w:t>、身份证号：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以我方的名义参加</w:t>
      </w:r>
      <w:r>
        <w:rPr>
          <w:rFonts w:hint="eastAsia" w:ascii="宋体" w:hAnsi="宋体" w:eastAsia="宋体" w:cs="宋体"/>
          <w:color w:val="000000" w:themeColor="text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highlight w:val="none"/>
          <w:lang w:val="zh-CN"/>
          <w14:textFill>
            <w14:solidFill>
              <w14:schemeClr w14:val="tx1"/>
            </w14:solidFill>
          </w14:textFill>
        </w:rPr>
        <w:t>政府采购磋商响应的一切事项，其法律后果由我方承担。</w:t>
      </w:r>
    </w:p>
    <w:p w14:paraId="20BFAE86">
      <w:pPr>
        <w:pageBreakBefore w:val="0"/>
        <w:shd w:val="clear"/>
        <w:kinsoku/>
        <w:wordWrap/>
        <w:overflowPunct/>
        <w:topLinePunct w:val="0"/>
        <w:bidi w:val="0"/>
        <w:snapToGrid w:val="0"/>
        <w:spacing w:line="360" w:lineRule="auto"/>
        <w:ind w:left="0" w:leftChars="0" w:right="0" w:rightChars="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本授权书自出具之日起生效，在撤销授权的书面通知以前，本授权委托书一直有效。授权代表在授权委托书有效期内签署的所有文件不因授权的撤销而失效。</w:t>
      </w:r>
    </w:p>
    <w:p w14:paraId="7ECCF91C">
      <w:pPr>
        <w:pageBreakBefore w:val="0"/>
        <w:shd w:val="clear"/>
        <w:kinsoku/>
        <w:wordWrap/>
        <w:overflowPunct/>
        <w:topLinePunct w:val="0"/>
        <w:bidi w:val="0"/>
        <w:snapToGrid w:val="0"/>
        <w:spacing w:line="360" w:lineRule="auto"/>
        <w:ind w:left="0" w:leftChars="0" w:right="0" w:rightChars="0"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授权代表无转委托权，特此授权。</w:t>
      </w:r>
    </w:p>
    <w:p w14:paraId="7BC86A7D">
      <w:pPr>
        <w:pageBreakBefore w:val="0"/>
        <w:shd w:val="clear"/>
        <w:kinsoku/>
        <w:wordWrap/>
        <w:overflowPunct/>
        <w:topLinePunct w:val="0"/>
        <w:bidi w:val="0"/>
        <w:snapToGrid w:val="0"/>
        <w:spacing w:line="360" w:lineRule="auto"/>
        <w:ind w:left="0" w:leftChars="0" w:right="0" w:rightChars="0"/>
        <w:rPr>
          <w:rFonts w:hint="eastAsia" w:ascii="宋体" w:hAnsi="宋体" w:eastAsia="宋体" w:cs="宋体"/>
          <w:color w:val="000000" w:themeColor="text1"/>
          <w:szCs w:val="21"/>
          <w:highlight w:val="none"/>
          <w14:textFill>
            <w14:solidFill>
              <w14:schemeClr w14:val="tx1"/>
            </w14:solidFill>
          </w14:textFill>
        </w:rPr>
      </w:pPr>
    </w:p>
    <w:p w14:paraId="56F69C1E">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 xml:space="preserve">          （填写全称并加盖公章）     </w:t>
      </w:r>
    </w:p>
    <w:p w14:paraId="70904B2E">
      <w:pPr>
        <w:pageBreakBefore w:val="0"/>
        <w:shd w:val="clear"/>
        <w:kinsoku/>
        <w:wordWrap/>
        <w:overflowPunct/>
        <w:topLinePunct w:val="0"/>
        <w:bidi w:val="0"/>
        <w:snapToGrid w:val="0"/>
        <w:spacing w:line="360" w:lineRule="auto"/>
        <w:ind w:left="0" w:leftChars="0" w:right="0" w:rightChars="0" w:firstLine="3685" w:firstLineChars="175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47187B91">
      <w:pPr>
        <w:pageBreakBefore w:val="0"/>
        <w:shd w:val="clear"/>
        <w:kinsoku/>
        <w:wordWrap/>
        <w:overflowPunct/>
        <w:topLinePunct w:val="0"/>
        <w:bidi w:val="0"/>
        <w:spacing w:line="360" w:lineRule="auto"/>
        <w:ind w:left="0" w:leftChars="0" w:right="0" w:rightChars="0" w:firstLine="425"/>
        <w:rPr>
          <w:rFonts w:hint="eastAsia" w:ascii="宋体" w:hAnsi="宋体" w:eastAsia="宋体" w:cs="宋体"/>
          <w:b/>
          <w:color w:val="000000" w:themeColor="text1"/>
          <w:szCs w:val="21"/>
          <w:highlight w:val="none"/>
          <w14:textFill>
            <w14:solidFill>
              <w14:schemeClr w14:val="tx1"/>
            </w14:solidFill>
          </w14:textFill>
        </w:rPr>
      </w:pPr>
    </w:p>
    <w:p w14:paraId="7516E2D1">
      <w:pPr>
        <w:pageBreakBefore w:val="0"/>
        <w:shd w:val="clear"/>
        <w:kinsoku/>
        <w:wordWrap/>
        <w:overflowPunct/>
        <w:topLinePunct w:val="0"/>
        <w:bidi w:val="0"/>
        <w:spacing w:line="360" w:lineRule="auto"/>
        <w:ind w:left="0" w:leftChars="0" w:right="0" w:rightChars="0"/>
        <w:rPr>
          <w:rFonts w:hint="eastAsia" w:ascii="宋体" w:hAnsi="宋体" w:eastAsia="宋体" w:cs="宋体"/>
          <w:b/>
          <w:color w:val="000000" w:themeColor="text1"/>
          <w:szCs w:val="21"/>
          <w:highlight w:val="none"/>
          <w14:textFill>
            <w14:solidFill>
              <w14:schemeClr w14:val="tx1"/>
            </w14:solidFill>
          </w14:textFill>
        </w:rPr>
      </w:pPr>
    </w:p>
    <w:p w14:paraId="248923B1">
      <w:pPr>
        <w:pageBreakBefore w:val="0"/>
        <w:shd w:val="clear"/>
        <w:kinsoku/>
        <w:wordWrap/>
        <w:overflowPunct/>
        <w:topLinePunct w:val="0"/>
        <w:bidi w:val="0"/>
        <w:spacing w:line="360" w:lineRule="auto"/>
        <w:ind w:left="0" w:leftChars="0" w:right="0" w:rightChars="0"/>
        <w:rPr>
          <w:rFonts w:hint="eastAsia" w:ascii="宋体" w:hAnsi="宋体" w:eastAsia="宋体" w:cs="宋体"/>
          <w:b/>
          <w:color w:val="000000" w:themeColor="text1"/>
          <w:szCs w:val="21"/>
          <w:highlight w:val="none"/>
          <w14:textFill>
            <w14:solidFill>
              <w14:schemeClr w14:val="tx1"/>
            </w14:solidFill>
          </w14:textFill>
        </w:rPr>
      </w:pPr>
    </w:p>
    <w:p w14:paraId="5502CEB4">
      <w:pPr>
        <w:pageBreakBefore w:val="0"/>
        <w:shd w:val="clear"/>
        <w:kinsoku/>
        <w:wordWrap/>
        <w:overflowPunct/>
        <w:topLinePunct w:val="0"/>
        <w:bidi w:val="0"/>
        <w:spacing w:line="360" w:lineRule="auto"/>
        <w:ind w:left="0" w:leftChars="0" w:right="0" w:rightChars="0"/>
        <w:rPr>
          <w:rFonts w:hint="eastAsia" w:ascii="宋体" w:hAnsi="宋体" w:eastAsia="宋体" w:cs="宋体"/>
          <w:b/>
          <w:color w:val="000000" w:themeColor="text1"/>
          <w:szCs w:val="21"/>
          <w:highlight w:val="none"/>
          <w14:textFill>
            <w14:solidFill>
              <w14:schemeClr w14:val="tx1"/>
            </w14:solidFill>
          </w14:textFill>
        </w:rPr>
      </w:pPr>
    </w:p>
    <w:p w14:paraId="6D0DC97C">
      <w:pPr>
        <w:pageBreakBefore w:val="0"/>
        <w:shd w:val="clear"/>
        <w:kinsoku/>
        <w:wordWrap/>
        <w:overflowPunct/>
        <w:topLinePunct w:val="0"/>
        <w:bidi w:val="0"/>
        <w:spacing w:line="360" w:lineRule="auto"/>
        <w:ind w:left="0" w:leftChars="0" w:right="0" w:rightChars="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注：本项目只允许有唯一的供应商授权代表，后附供应商的法定代表人和授权代表身份证正反面复印件。</w:t>
      </w:r>
      <w:r>
        <w:rPr>
          <w:rFonts w:hint="eastAsia" w:ascii="宋体" w:hAnsi="宋体" w:eastAsia="宋体" w:cs="宋体"/>
          <w:b/>
          <w:color w:val="000000" w:themeColor="text1"/>
          <w:szCs w:val="21"/>
          <w:highlight w:val="none"/>
          <w:lang w:bidi="ar"/>
          <w14:textFill>
            <w14:solidFill>
              <w14:schemeClr w14:val="tx1"/>
            </w14:solidFill>
          </w14:textFill>
        </w:rPr>
        <w:t>本表及其附件只要求供应商的授权代表在响应文件中签署磋商响应资料的情况下提交。</w:t>
      </w:r>
    </w:p>
    <w:p w14:paraId="4B4A2843">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21"/>
          <w:szCs w:val="21"/>
          <w:highlight w:val="none"/>
          <w14:textFill>
            <w14:solidFill>
              <w14:schemeClr w14:val="tx1"/>
            </w14:solidFill>
          </w14:textFill>
        </w:rPr>
        <w:t>（3）评委打分索引表</w:t>
      </w:r>
    </w:p>
    <w:tbl>
      <w:tblPr>
        <w:tblStyle w:val="21"/>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33"/>
        <w:gridCol w:w="1701"/>
        <w:gridCol w:w="2835"/>
      </w:tblGrid>
      <w:tr w14:paraId="2612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1" w:type="dxa"/>
            <w:vAlign w:val="center"/>
          </w:tcPr>
          <w:p w14:paraId="3EAE29A6">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3033" w:type="dxa"/>
            <w:vAlign w:val="center"/>
          </w:tcPr>
          <w:p w14:paraId="77612C4E">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评审因素</w:t>
            </w:r>
          </w:p>
        </w:tc>
        <w:tc>
          <w:tcPr>
            <w:tcW w:w="1701" w:type="dxa"/>
            <w:vAlign w:val="center"/>
          </w:tcPr>
          <w:p w14:paraId="0C0FC04A">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文件或证明材料所在页码区间</w:t>
            </w:r>
          </w:p>
        </w:tc>
        <w:tc>
          <w:tcPr>
            <w:tcW w:w="2835" w:type="dxa"/>
            <w:vAlign w:val="center"/>
          </w:tcPr>
          <w:p w14:paraId="736A524E">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自评得分（由评委进行主观评审的无需填写自评得分）</w:t>
            </w:r>
          </w:p>
        </w:tc>
      </w:tr>
      <w:tr w14:paraId="5182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01B74875">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3033" w:type="dxa"/>
            <w:vAlign w:val="center"/>
          </w:tcPr>
          <w:p w14:paraId="626CAD3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77EC9B4C">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350C558B">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r w14:paraId="19A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07EA32D8">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3033" w:type="dxa"/>
            <w:vAlign w:val="center"/>
          </w:tcPr>
          <w:p w14:paraId="00C224EB">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656A49BF">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2232FB5A">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r w14:paraId="4A4A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26B6B60C">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3033" w:type="dxa"/>
            <w:vAlign w:val="center"/>
          </w:tcPr>
          <w:p w14:paraId="08E515FD">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0FE3E974">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259FF97A">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r w14:paraId="73C6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130EC05A">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3033" w:type="dxa"/>
            <w:vAlign w:val="center"/>
          </w:tcPr>
          <w:p w14:paraId="6048B61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4EB58941">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61EB35C4">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r w14:paraId="7C7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35EB7CE0">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3033" w:type="dxa"/>
            <w:vAlign w:val="center"/>
          </w:tcPr>
          <w:p w14:paraId="033EC3C7">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5DAC5ADA">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4EDDF814">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r w14:paraId="6BA8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3C426189">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033" w:type="dxa"/>
            <w:vAlign w:val="center"/>
          </w:tcPr>
          <w:p w14:paraId="06A2242C">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vAlign w:val="center"/>
          </w:tcPr>
          <w:p w14:paraId="3275F176">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c>
          <w:tcPr>
            <w:tcW w:w="2835" w:type="dxa"/>
            <w:vAlign w:val="center"/>
          </w:tcPr>
          <w:p w14:paraId="3732F9E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p>
        </w:tc>
      </w:tr>
    </w:tbl>
    <w:p w14:paraId="32679617">
      <w:pPr>
        <w:pStyle w:val="11"/>
        <w:pageBreakBefore w:val="0"/>
        <w:shd w:val="clear"/>
        <w:kinsoku/>
        <w:wordWrap/>
        <w:overflowPunct/>
        <w:topLinePunct w:val="0"/>
        <w:bidi w:val="0"/>
        <w:spacing w:after="0" w:line="360" w:lineRule="auto"/>
        <w:ind w:left="0" w:leftChars="0" w:right="0" w:rightChars="0" w:firstLine="2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注：按照评委打分表内容逐项填写，报价部分无需列入。</w:t>
      </w:r>
    </w:p>
    <w:p w14:paraId="406F7A4F">
      <w:pPr>
        <w:pStyle w:val="11"/>
        <w:pageBreakBefore w:val="0"/>
        <w:shd w:val="clear"/>
        <w:kinsoku/>
        <w:wordWrap/>
        <w:overflowPunct/>
        <w:topLinePunct w:val="0"/>
        <w:bidi w:val="0"/>
        <w:spacing w:after="0" w:line="360" w:lineRule="auto"/>
        <w:ind w:left="0" w:leftChars="0" w:right="0" w:rightChars="0" w:firstLine="295"/>
        <w:rPr>
          <w:rFonts w:hint="eastAsia" w:ascii="宋体" w:hAnsi="宋体" w:eastAsia="宋体" w:cs="宋体"/>
          <w:b/>
          <w:color w:val="000000" w:themeColor="text1"/>
          <w:sz w:val="21"/>
          <w:szCs w:val="21"/>
          <w:highlight w:val="none"/>
          <w14:textFill>
            <w14:solidFill>
              <w14:schemeClr w14:val="tx1"/>
            </w14:solidFill>
          </w14:textFill>
        </w:rPr>
      </w:pPr>
    </w:p>
    <w:p w14:paraId="3BA7C737">
      <w:pPr>
        <w:pageBreakBefore w:val="0"/>
        <w:shd w:val="clear"/>
        <w:kinsoku/>
        <w:wordWrap/>
        <w:overflowPunct/>
        <w:topLinePunct w:val="0"/>
        <w:bidi w:val="0"/>
        <w:snapToGrid w:val="0"/>
        <w:spacing w:line="360" w:lineRule="auto"/>
        <w:ind w:left="130" w:leftChars="0" w:right="0" w:rightChars="0" w:hanging="130" w:hangingChars="62"/>
        <w:rPr>
          <w:rFonts w:hint="eastAsia" w:ascii="宋体" w:hAnsi="宋体" w:eastAsia="宋体" w:cs="宋体"/>
          <w:color w:val="000000" w:themeColor="text1"/>
          <w:szCs w:val="21"/>
          <w:highlight w:val="none"/>
          <w14:textFill>
            <w14:solidFill>
              <w14:schemeClr w14:val="tx1"/>
            </w14:solidFill>
          </w14:textFill>
        </w:rPr>
      </w:pPr>
    </w:p>
    <w:p w14:paraId="58B299F3">
      <w:pPr>
        <w:pStyle w:val="11"/>
        <w:pageBreakBefore w:val="0"/>
        <w:shd w:val="clear"/>
        <w:kinsoku/>
        <w:wordWrap/>
        <w:overflowPunct/>
        <w:topLinePunct w:val="0"/>
        <w:bidi w:val="0"/>
        <w:spacing w:after="0" w:line="360" w:lineRule="auto"/>
        <w:ind w:left="0" w:leftChars="0" w:right="0" w:rightChars="0" w:firstLine="29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br w:type="page"/>
      </w:r>
    </w:p>
    <w:p w14:paraId="01F14FFC">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（4）采购需求偏离和建议调整表</w:t>
      </w:r>
    </w:p>
    <w:tbl>
      <w:tblPr>
        <w:tblStyle w:val="2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26"/>
        <w:gridCol w:w="3551"/>
        <w:gridCol w:w="1276"/>
      </w:tblGrid>
      <w:tr w14:paraId="55A8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472" w:type="dxa"/>
            <w:gridSpan w:val="4"/>
            <w:vAlign w:val="center"/>
          </w:tcPr>
          <w:p w14:paraId="408D413D">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bookmarkStart w:id="74" w:name="_GoBack"/>
            <w:r>
              <w:rPr>
                <w:rFonts w:hint="eastAsia" w:ascii="宋体" w:hAnsi="宋体" w:eastAsia="宋体" w:cs="宋体"/>
                <w:b/>
                <w:color w:val="000000" w:themeColor="text1"/>
                <w:highlight w:val="none"/>
                <w14:textFill>
                  <w14:solidFill>
                    <w14:schemeClr w14:val="tx1"/>
                  </w14:solidFill>
                </w14:textFill>
              </w:rPr>
              <w:t>对本项目采购需求的偏离情况和调整建议（请进行勾选）：</w:t>
            </w:r>
          </w:p>
          <w:p w14:paraId="2B37FA25">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□无偏离和调整建议</w:t>
            </w:r>
            <w:r>
              <w:rPr>
                <w:rFonts w:hint="eastAsia" w:ascii="宋体" w:hAnsi="宋体" w:eastAsia="宋体" w:cs="宋体"/>
                <w:color w:val="000000" w:themeColor="text1"/>
                <w:highlight w:val="none"/>
                <w14:textFill>
                  <w14:solidFill>
                    <w14:schemeClr w14:val="tx1"/>
                  </w14:solidFill>
                </w14:textFill>
              </w:rPr>
              <w:t>（如无偏离和调整建议，勾选本条即可）</w:t>
            </w:r>
          </w:p>
          <w:p w14:paraId="6AAFDBDD">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□有偏离和调整建议</w:t>
            </w:r>
            <w:r>
              <w:rPr>
                <w:rFonts w:hint="eastAsia" w:ascii="宋体" w:hAnsi="宋体" w:eastAsia="宋体" w:cs="宋体"/>
                <w:color w:val="000000" w:themeColor="text1"/>
                <w:highlight w:val="none"/>
                <w14:textFill>
                  <w14:solidFill>
                    <w14:schemeClr w14:val="tx1"/>
                  </w14:solidFill>
                </w14:textFill>
              </w:rPr>
              <w:t>（如有偏离或建议调整的条款，勾选本条并在本表中逐一列明）</w:t>
            </w:r>
          </w:p>
        </w:tc>
      </w:tr>
      <w:tr w14:paraId="054E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9" w:type="dxa"/>
            <w:vAlign w:val="center"/>
          </w:tcPr>
          <w:p w14:paraId="2FF829E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826" w:type="dxa"/>
            <w:vAlign w:val="center"/>
          </w:tcPr>
          <w:p w14:paraId="3014D3E5">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原采购需求条款内容</w:t>
            </w:r>
          </w:p>
        </w:tc>
        <w:tc>
          <w:tcPr>
            <w:tcW w:w="3551" w:type="dxa"/>
            <w:vAlign w:val="center"/>
          </w:tcPr>
          <w:p w14:paraId="7244B8F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偏离情况或调整建议（据实填写）</w:t>
            </w:r>
          </w:p>
        </w:tc>
        <w:tc>
          <w:tcPr>
            <w:tcW w:w="1276" w:type="dxa"/>
            <w:vAlign w:val="center"/>
          </w:tcPr>
          <w:p w14:paraId="3CA08586">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r>
      <w:tr w14:paraId="7CCA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9" w:type="dxa"/>
            <w:vAlign w:val="center"/>
          </w:tcPr>
          <w:p w14:paraId="636E36E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826" w:type="dxa"/>
            <w:vAlign w:val="center"/>
          </w:tcPr>
          <w:p w14:paraId="55188FB1">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551" w:type="dxa"/>
            <w:vAlign w:val="center"/>
          </w:tcPr>
          <w:p w14:paraId="7598CA53">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276" w:type="dxa"/>
            <w:vAlign w:val="center"/>
          </w:tcPr>
          <w:p w14:paraId="0E110534">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1F7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9" w:type="dxa"/>
            <w:vAlign w:val="center"/>
          </w:tcPr>
          <w:p w14:paraId="1EE8367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826" w:type="dxa"/>
            <w:vAlign w:val="center"/>
          </w:tcPr>
          <w:p w14:paraId="3510903F">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551" w:type="dxa"/>
            <w:vAlign w:val="center"/>
          </w:tcPr>
          <w:p w14:paraId="027D8665">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276" w:type="dxa"/>
            <w:vAlign w:val="center"/>
          </w:tcPr>
          <w:p w14:paraId="3A0C7CF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6E96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9" w:type="dxa"/>
            <w:vAlign w:val="center"/>
          </w:tcPr>
          <w:p w14:paraId="231DA20F">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826" w:type="dxa"/>
            <w:vAlign w:val="center"/>
          </w:tcPr>
          <w:p w14:paraId="050CB4D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551" w:type="dxa"/>
            <w:vAlign w:val="center"/>
          </w:tcPr>
          <w:p w14:paraId="546E82E4">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276" w:type="dxa"/>
            <w:vAlign w:val="center"/>
          </w:tcPr>
          <w:p w14:paraId="4090FFDF">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62F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9" w:type="dxa"/>
            <w:vAlign w:val="center"/>
          </w:tcPr>
          <w:p w14:paraId="49EF17E5">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826" w:type="dxa"/>
            <w:vAlign w:val="center"/>
          </w:tcPr>
          <w:p w14:paraId="0DA941B4">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551" w:type="dxa"/>
            <w:vAlign w:val="center"/>
          </w:tcPr>
          <w:p w14:paraId="233A6AF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276" w:type="dxa"/>
            <w:vAlign w:val="center"/>
          </w:tcPr>
          <w:p w14:paraId="3B90614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bookmarkEnd w:id="74"/>
    </w:tbl>
    <w:p w14:paraId="47B84BA9">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2BD1BEBB">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1.供应商保证：除本表列出的偏离外，响应磋商文件《第二章  采购需求》列明的所有要求（</w:t>
      </w:r>
      <w:r>
        <w:rPr>
          <w:rFonts w:hint="eastAsia" w:ascii="宋体" w:hAnsi="宋体" w:eastAsia="宋体" w:cs="宋体"/>
          <w:color w:val="000000" w:themeColor="text1"/>
          <w:highlight w:val="none"/>
          <w:lang w:bidi="ar"/>
          <w14:textFill>
            <w14:solidFill>
              <w14:schemeClr w14:val="tx1"/>
            </w14:solidFill>
          </w14:textFill>
        </w:rPr>
        <w:t>满足磋商文件要求的条款可以不在本表填写相关内容</w:t>
      </w:r>
      <w:r>
        <w:rPr>
          <w:rFonts w:hint="eastAsia" w:ascii="宋体" w:hAnsi="宋体" w:eastAsia="宋体" w:cs="宋体"/>
          <w:color w:val="000000" w:themeColor="text1"/>
          <w:highlight w:val="none"/>
          <w14:textFill>
            <w14:solidFill>
              <w14:schemeClr w14:val="tx1"/>
            </w14:solidFill>
          </w14:textFill>
        </w:rPr>
        <w:t>）。供应商应当与磋商文件《第二章  采购需求》的所有条款逐项比较，如有偏离（不满足或优于）的，须在本表中列明，并填写偏离情况。如供应商未在本表中列出偏离项并填写偏离情况，即使其在响应文件的其他部分说明与磋商文件要求有所不同或回避不答，亦视为响应磋商文件《第二章  采购需求》所提出的要求并签署合同。若成交供应商以上述事项为借口而不履行合同签订手续及履行合同，则按照政府采购法律法规的规定处理，响应情况由磋商小组认定。</w:t>
      </w:r>
    </w:p>
    <w:p w14:paraId="5514D906">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2.供应商针对《第二章  采购需求》的要求，建议采购人修改或增加的有利于本项目采购目标达成的内容，请列入本表。</w:t>
      </w:r>
      <w:r>
        <w:rPr>
          <w:rFonts w:hint="eastAsia" w:ascii="宋体" w:hAnsi="宋体" w:eastAsia="宋体" w:cs="宋体"/>
          <w:bCs/>
          <w:color w:val="000000" w:themeColor="text1"/>
          <w:highlight w:val="none"/>
          <w14:textFill>
            <w14:solidFill>
              <w14:schemeClr w14:val="tx1"/>
            </w14:solidFill>
          </w14:textFill>
        </w:rPr>
        <w:t>增加的条款可以不在“原采购需求条款内容”栏填写内容。</w:t>
      </w:r>
    </w:p>
    <w:p w14:paraId="1623B6FB">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3.供应商无论对《第二章  采购需求》有无偏离（不满足或优于）和调整建议都应当将本表盖章后作为响应文件的一部分提交，未提供本表的按照无效响应处理。</w:t>
      </w:r>
    </w:p>
    <w:p w14:paraId="371AB8BF">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p>
    <w:p w14:paraId="4877A73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14:paraId="511CAACE">
      <w:pPr>
        <w:pageBreakBefore w:val="0"/>
        <w:shd w:val="clear"/>
        <w:kinsoku/>
        <w:wordWrap/>
        <w:overflowPunct/>
        <w:topLinePunct w:val="0"/>
        <w:bidi w:val="0"/>
        <w:snapToGrid w:val="0"/>
        <w:spacing w:line="360" w:lineRule="auto"/>
        <w:ind w:left="0" w:leftChars="0" w:right="0" w:rightChars="0" w:firstLine="4536" w:firstLineChars="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u w:val="single"/>
          <w14:textFill>
            <w14:solidFill>
              <w14:schemeClr w14:val="tx1"/>
            </w14:solidFill>
          </w14:textFill>
        </w:rPr>
        <w:t xml:space="preserve">    填写全称并加盖公章    </w:t>
      </w:r>
    </w:p>
    <w:p w14:paraId="364AA6A1">
      <w:pPr>
        <w:pageBreakBefore w:val="0"/>
        <w:shd w:val="clear"/>
        <w:kinsoku/>
        <w:wordWrap/>
        <w:overflowPunct/>
        <w:topLinePunct w:val="0"/>
        <w:bidi w:val="0"/>
        <w:snapToGrid w:val="0"/>
        <w:spacing w:line="360" w:lineRule="auto"/>
        <w:ind w:left="0" w:leftChars="0" w:right="0" w:rightChars="0" w:firstLine="4536" w:firstLineChars="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4C1674E6">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894F078">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（5）合同条款偏离和建议调整表</w:t>
      </w:r>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26"/>
        <w:gridCol w:w="3693"/>
        <w:gridCol w:w="1134"/>
      </w:tblGrid>
      <w:tr w14:paraId="722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472" w:type="dxa"/>
            <w:gridSpan w:val="4"/>
            <w:vAlign w:val="center"/>
          </w:tcPr>
          <w:p w14:paraId="6682991E">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对本项目合同条款的偏离情况和调整建议（请进行勾选）：</w:t>
            </w:r>
          </w:p>
          <w:p w14:paraId="7704576F">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□无偏离和调整建议</w:t>
            </w:r>
            <w:r>
              <w:rPr>
                <w:rFonts w:hint="eastAsia" w:ascii="宋体" w:hAnsi="宋体" w:eastAsia="宋体" w:cs="宋体"/>
                <w:color w:val="000000" w:themeColor="text1"/>
                <w:highlight w:val="none"/>
                <w14:textFill>
                  <w14:solidFill>
                    <w14:schemeClr w14:val="tx1"/>
                  </w14:solidFill>
                </w14:textFill>
              </w:rPr>
              <w:t>（如无偏离和调整建议，勾选本条即可）</w:t>
            </w:r>
          </w:p>
          <w:p w14:paraId="00289741">
            <w:pPr>
              <w:pageBreakBefore w:val="0"/>
              <w:shd w:val="clear"/>
              <w:kinsoku/>
              <w:wordWrap/>
              <w:overflowPunct/>
              <w:topLinePunct w:val="0"/>
              <w:bidi w:val="0"/>
              <w:adjustRightInd w:val="0"/>
              <w:snapToGrid w:val="0"/>
              <w:spacing w:line="360" w:lineRule="auto"/>
              <w:ind w:left="0" w:leftChars="0" w:right="0" w:righ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□有偏离和调整建议</w:t>
            </w:r>
            <w:r>
              <w:rPr>
                <w:rFonts w:hint="eastAsia" w:ascii="宋体" w:hAnsi="宋体" w:eastAsia="宋体" w:cs="宋体"/>
                <w:color w:val="000000" w:themeColor="text1"/>
                <w:highlight w:val="none"/>
                <w14:textFill>
                  <w14:solidFill>
                    <w14:schemeClr w14:val="tx1"/>
                  </w14:solidFill>
                </w14:textFill>
              </w:rPr>
              <w:t>（如有偏离或建议调整的条款，勾选本条并在本表中逐一列明）</w:t>
            </w:r>
          </w:p>
        </w:tc>
      </w:tr>
      <w:tr w14:paraId="1A11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9" w:type="dxa"/>
            <w:vAlign w:val="center"/>
          </w:tcPr>
          <w:p w14:paraId="68A1D8BD">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826" w:type="dxa"/>
            <w:vAlign w:val="center"/>
          </w:tcPr>
          <w:p w14:paraId="6C9C9F0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原合同条款内容</w:t>
            </w:r>
          </w:p>
        </w:tc>
        <w:tc>
          <w:tcPr>
            <w:tcW w:w="3693" w:type="dxa"/>
            <w:vAlign w:val="center"/>
          </w:tcPr>
          <w:p w14:paraId="4150BE72">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偏离情况或调整建议（据实填写）</w:t>
            </w:r>
          </w:p>
        </w:tc>
        <w:tc>
          <w:tcPr>
            <w:tcW w:w="1134" w:type="dxa"/>
            <w:vAlign w:val="center"/>
          </w:tcPr>
          <w:p w14:paraId="02832C2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r>
      <w:tr w14:paraId="26CD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9" w:type="dxa"/>
            <w:vAlign w:val="center"/>
          </w:tcPr>
          <w:p w14:paraId="5B239D96">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826" w:type="dxa"/>
            <w:vAlign w:val="center"/>
          </w:tcPr>
          <w:p w14:paraId="70A3A624">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693" w:type="dxa"/>
            <w:vAlign w:val="center"/>
          </w:tcPr>
          <w:p w14:paraId="044B8F60">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0FC47AB6">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0F3F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9" w:type="dxa"/>
            <w:vAlign w:val="center"/>
          </w:tcPr>
          <w:p w14:paraId="260B200D">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826" w:type="dxa"/>
            <w:vAlign w:val="center"/>
          </w:tcPr>
          <w:p w14:paraId="7981985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693" w:type="dxa"/>
            <w:vAlign w:val="center"/>
          </w:tcPr>
          <w:p w14:paraId="4B19C9CC">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6FD6D9D9">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584D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9" w:type="dxa"/>
            <w:vAlign w:val="center"/>
          </w:tcPr>
          <w:p w14:paraId="093F5798">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826" w:type="dxa"/>
            <w:vAlign w:val="center"/>
          </w:tcPr>
          <w:p w14:paraId="0FF83C56">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693" w:type="dxa"/>
            <w:vAlign w:val="center"/>
          </w:tcPr>
          <w:p w14:paraId="3C49C9F5">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47B31012">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r w14:paraId="0BE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19" w:type="dxa"/>
            <w:vAlign w:val="center"/>
          </w:tcPr>
          <w:p w14:paraId="39C7CBE4">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826" w:type="dxa"/>
            <w:vAlign w:val="center"/>
          </w:tcPr>
          <w:p w14:paraId="5099DBB8">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3693" w:type="dxa"/>
            <w:vAlign w:val="center"/>
          </w:tcPr>
          <w:p w14:paraId="715BC4E8">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06AA40B1">
            <w:pPr>
              <w:pageBreakBefore w:val="0"/>
              <w:shd w:val="clear"/>
              <w:kinsoku/>
              <w:wordWrap/>
              <w:overflowPunct/>
              <w:topLinePunct w:val="0"/>
              <w:bidi w:val="0"/>
              <w:adjustRightInd w:val="0"/>
              <w:snapToGrid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r>
    </w:tbl>
    <w:p w14:paraId="32A088A5">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注：</w:t>
      </w:r>
    </w:p>
    <w:p w14:paraId="60DF477F">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1.供应商保证：除本表列出的偏离外，响应磋商文件《第五章  合同草案条款》列明的所有条款</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bidi="ar"/>
          <w14:textFill>
            <w14:solidFill>
              <w14:schemeClr w14:val="tx1"/>
            </w14:solidFill>
          </w14:textFill>
        </w:rPr>
        <w:t>满足磋商文件要求的条款可以不在本表填写相关内容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2"/>
          <w:highlight w:val="none"/>
          <w14:textFill>
            <w14:solidFill>
              <w14:schemeClr w14:val="tx1"/>
            </w14:solidFill>
          </w14:textFill>
        </w:rPr>
        <w:t>。供应商应当与采购文件《第五章  合同草案条款》的所有条款逐项比较，如有偏离</w:t>
      </w:r>
      <w:r>
        <w:rPr>
          <w:rFonts w:hint="eastAsia" w:ascii="宋体" w:hAnsi="宋体" w:eastAsia="宋体" w:cs="宋体"/>
          <w:color w:val="000000" w:themeColor="text1"/>
          <w:highlight w:val="none"/>
          <w14:textFill>
            <w14:solidFill>
              <w14:schemeClr w14:val="tx1"/>
            </w14:solidFill>
          </w14:textFill>
        </w:rPr>
        <w:t>（不满足或优于）</w:t>
      </w:r>
      <w:r>
        <w:rPr>
          <w:rFonts w:hint="eastAsia" w:ascii="宋体" w:hAnsi="宋体" w:eastAsia="宋体" w:cs="宋体"/>
          <w:color w:val="000000" w:themeColor="text1"/>
          <w:szCs w:val="22"/>
          <w:highlight w:val="none"/>
          <w14:textFill>
            <w14:solidFill>
              <w14:schemeClr w14:val="tx1"/>
            </w14:solidFill>
          </w14:textFill>
        </w:rPr>
        <w:t>的，须在本表中列明，并填写偏离情况。如供应商未在本表中列出偏离项并填写偏离情况，即使其在响应文件的其他部分说明与磋商文件要求有所不同或回避不答，亦视为响应磋商文件《第五章  合同草案条款》所提出的条款要求并签署合同。若成交供应商以上述事项为借口而不履行合同签订手续及履行合同，则按照政府采购法律法规的规定处理。响应情况由磋商小组认定。</w:t>
      </w:r>
    </w:p>
    <w:p w14:paraId="053612C0">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2.供应商针对《第五章  合同草案条款》，建议采购人修改或增加的有利于本项目采购目标达成的内容，请列入本表。</w:t>
      </w:r>
      <w:r>
        <w:rPr>
          <w:rFonts w:hint="eastAsia" w:ascii="宋体" w:hAnsi="宋体" w:eastAsia="宋体" w:cs="宋体"/>
          <w:bCs/>
          <w:color w:val="000000" w:themeColor="text1"/>
          <w:highlight w:val="none"/>
          <w14:textFill>
            <w14:solidFill>
              <w14:schemeClr w14:val="tx1"/>
            </w14:solidFill>
          </w14:textFill>
        </w:rPr>
        <w:t>增加的条款可以不在“</w:t>
      </w:r>
      <w:r>
        <w:rPr>
          <w:rFonts w:hint="eastAsia" w:ascii="宋体" w:hAnsi="宋体" w:eastAsia="宋体" w:cs="宋体"/>
          <w:color w:val="000000" w:themeColor="text1"/>
          <w:highlight w:val="none"/>
          <w14:textFill>
            <w14:solidFill>
              <w14:schemeClr w14:val="tx1"/>
            </w14:solidFill>
          </w14:textFill>
        </w:rPr>
        <w:t>原合同条款内容</w:t>
      </w:r>
      <w:r>
        <w:rPr>
          <w:rFonts w:hint="eastAsia" w:ascii="宋体" w:hAnsi="宋体" w:eastAsia="宋体" w:cs="宋体"/>
          <w:bCs/>
          <w:color w:val="000000" w:themeColor="text1"/>
          <w:highlight w:val="none"/>
          <w14:textFill>
            <w14:solidFill>
              <w14:schemeClr w14:val="tx1"/>
            </w14:solidFill>
          </w14:textFill>
        </w:rPr>
        <w:t>”栏填写内容。</w:t>
      </w:r>
    </w:p>
    <w:p w14:paraId="43FB614A">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3.供应商无论对《第五章  合同草案条款》有无偏离（</w:t>
      </w:r>
      <w:r>
        <w:rPr>
          <w:rFonts w:hint="eastAsia" w:ascii="宋体" w:hAnsi="宋体" w:eastAsia="宋体" w:cs="宋体"/>
          <w:color w:val="000000" w:themeColor="text1"/>
          <w:highlight w:val="none"/>
          <w14:textFill>
            <w14:solidFill>
              <w14:schemeClr w14:val="tx1"/>
            </w14:solidFill>
          </w14:textFill>
        </w:rPr>
        <w:t>不满足或优于</w:t>
      </w:r>
      <w:r>
        <w:rPr>
          <w:rFonts w:hint="eastAsia" w:ascii="宋体" w:hAnsi="宋体" w:eastAsia="宋体" w:cs="宋体"/>
          <w:color w:val="000000" w:themeColor="text1"/>
          <w:szCs w:val="22"/>
          <w:highlight w:val="none"/>
          <w14:textFill>
            <w14:solidFill>
              <w14:schemeClr w14:val="tx1"/>
            </w14:solidFill>
          </w14:textFill>
        </w:rPr>
        <w:t>）和调整建议都应当将本表盖章后作为响应文件的一部分提交，未提供本表的按照无效响应处理。</w:t>
      </w:r>
    </w:p>
    <w:p w14:paraId="62A28A7B">
      <w:pPr>
        <w:pageBreakBefore w:val="0"/>
        <w:shd w:val="clear"/>
        <w:tabs>
          <w:tab w:val="left" w:pos="1800"/>
          <w:tab w:val="left" w:pos="5580"/>
        </w:tabs>
        <w:kinsoku/>
        <w:wordWrap/>
        <w:overflowPunct/>
        <w:topLinePunct w:val="0"/>
        <w:bidi w:val="0"/>
        <w:spacing w:line="360" w:lineRule="auto"/>
        <w:ind w:left="0" w:leftChars="0" w:right="0" w:rightChars="0" w:firstLine="332"/>
        <w:jc w:val="left"/>
        <w:rPr>
          <w:rFonts w:hint="eastAsia" w:ascii="宋体" w:hAnsi="宋体" w:eastAsia="宋体" w:cs="宋体"/>
          <w:color w:val="000000" w:themeColor="text1"/>
          <w:sz w:val="24"/>
          <w:highlight w:val="none"/>
          <w14:textFill>
            <w14:solidFill>
              <w14:schemeClr w14:val="tx1"/>
            </w14:solidFill>
          </w14:textFill>
        </w:rPr>
      </w:pPr>
    </w:p>
    <w:p w14:paraId="3D4E8E33">
      <w:pPr>
        <w:pageBreakBefore w:val="0"/>
        <w:shd w:val="clear"/>
        <w:tabs>
          <w:tab w:val="left" w:pos="1800"/>
          <w:tab w:val="left" w:pos="5580"/>
        </w:tabs>
        <w:kinsoku/>
        <w:wordWrap/>
        <w:overflowPunct/>
        <w:topLinePunct w:val="0"/>
        <w:bidi w:val="0"/>
        <w:spacing w:line="360" w:lineRule="auto"/>
        <w:ind w:left="0" w:leftChars="0" w:right="0" w:rightChars="0"/>
        <w:jc w:val="left"/>
        <w:rPr>
          <w:rFonts w:hint="eastAsia" w:ascii="宋体" w:hAnsi="宋体" w:eastAsia="宋体" w:cs="宋体"/>
          <w:color w:val="000000" w:themeColor="text1"/>
          <w:highlight w:val="none"/>
          <w14:textFill>
            <w14:solidFill>
              <w14:schemeClr w14:val="tx1"/>
            </w14:solidFill>
          </w14:textFill>
        </w:rPr>
      </w:pPr>
    </w:p>
    <w:p w14:paraId="43EA6243">
      <w:pPr>
        <w:pageBreakBefore w:val="0"/>
        <w:shd w:val="clear"/>
        <w:kinsoku/>
        <w:wordWrap/>
        <w:overflowPunct/>
        <w:topLinePunct w:val="0"/>
        <w:bidi w:val="0"/>
        <w:snapToGrid w:val="0"/>
        <w:spacing w:line="360" w:lineRule="auto"/>
        <w:ind w:left="0" w:leftChars="0" w:right="0" w:rightChars="0" w:firstLine="4536" w:firstLineChars="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w:t>
      </w:r>
      <w:r>
        <w:rPr>
          <w:rFonts w:hint="eastAsia" w:ascii="宋体" w:hAnsi="宋体" w:eastAsia="宋体" w:cs="宋体"/>
          <w:color w:val="000000" w:themeColor="text1"/>
          <w:highlight w:val="none"/>
          <w:u w:val="single"/>
          <w14:textFill>
            <w14:solidFill>
              <w14:schemeClr w14:val="tx1"/>
            </w14:solidFill>
          </w14:textFill>
        </w:rPr>
        <w:t xml:space="preserve">    填写全称并加盖公章    </w:t>
      </w:r>
    </w:p>
    <w:p w14:paraId="5E6830B1">
      <w:pPr>
        <w:pageBreakBefore w:val="0"/>
        <w:shd w:val="clear"/>
        <w:kinsoku/>
        <w:wordWrap/>
        <w:overflowPunct/>
        <w:topLinePunct w:val="0"/>
        <w:bidi w:val="0"/>
        <w:snapToGrid w:val="0"/>
        <w:spacing w:line="360" w:lineRule="auto"/>
        <w:ind w:left="0" w:leftChars="0" w:right="0" w:rightChars="0" w:firstLine="4536" w:firstLineChars="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60D80A6C">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C0D5F38">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（6）项目实施人员情况表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701"/>
        <w:gridCol w:w="1417"/>
        <w:gridCol w:w="851"/>
        <w:gridCol w:w="992"/>
        <w:gridCol w:w="1843"/>
      </w:tblGrid>
      <w:tr w14:paraId="59DC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3338AF4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1744B71D">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姓名</w:t>
            </w:r>
          </w:p>
        </w:tc>
        <w:tc>
          <w:tcPr>
            <w:tcW w:w="1701" w:type="dxa"/>
            <w:tcBorders>
              <w:top w:val="single" w:color="auto" w:sz="4" w:space="0"/>
              <w:left w:val="single" w:color="auto" w:sz="4" w:space="0"/>
              <w:bottom w:val="single" w:color="auto" w:sz="4" w:space="0"/>
              <w:right w:val="single" w:color="auto" w:sz="4" w:space="0"/>
            </w:tcBorders>
            <w:vAlign w:val="center"/>
          </w:tcPr>
          <w:p w14:paraId="181EABAF">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本项目中的岗位</w:t>
            </w:r>
          </w:p>
        </w:tc>
        <w:tc>
          <w:tcPr>
            <w:tcW w:w="1417" w:type="dxa"/>
            <w:tcBorders>
              <w:top w:val="single" w:color="auto" w:sz="4" w:space="0"/>
              <w:left w:val="single" w:color="auto" w:sz="4" w:space="0"/>
              <w:bottom w:val="single" w:color="auto" w:sz="4" w:space="0"/>
              <w:right w:val="single" w:color="auto" w:sz="4" w:space="0"/>
            </w:tcBorders>
            <w:vAlign w:val="center"/>
          </w:tcPr>
          <w:p w14:paraId="2F2EFD90">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本项目主要工作内容</w:t>
            </w:r>
          </w:p>
        </w:tc>
        <w:tc>
          <w:tcPr>
            <w:tcW w:w="851" w:type="dxa"/>
            <w:tcBorders>
              <w:top w:val="single" w:color="auto" w:sz="4" w:space="0"/>
              <w:left w:val="single" w:color="auto" w:sz="4" w:space="0"/>
              <w:bottom w:val="single" w:color="auto" w:sz="4" w:space="0"/>
              <w:right w:val="single" w:color="auto" w:sz="4" w:space="0"/>
            </w:tcBorders>
            <w:vAlign w:val="center"/>
          </w:tcPr>
          <w:p w14:paraId="7E1A8397">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年龄</w:t>
            </w:r>
          </w:p>
        </w:tc>
        <w:tc>
          <w:tcPr>
            <w:tcW w:w="992" w:type="dxa"/>
            <w:tcBorders>
              <w:top w:val="single" w:color="auto" w:sz="4" w:space="0"/>
              <w:left w:val="single" w:color="auto" w:sz="4" w:space="0"/>
              <w:bottom w:val="single" w:color="auto" w:sz="4" w:space="0"/>
              <w:right w:val="single" w:color="auto" w:sz="4" w:space="0"/>
            </w:tcBorders>
            <w:vAlign w:val="center"/>
          </w:tcPr>
          <w:p w14:paraId="65A037D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性别</w:t>
            </w:r>
          </w:p>
        </w:tc>
        <w:tc>
          <w:tcPr>
            <w:tcW w:w="1843" w:type="dxa"/>
            <w:tcBorders>
              <w:top w:val="single" w:color="auto" w:sz="4" w:space="0"/>
              <w:left w:val="single" w:color="auto" w:sz="4" w:space="0"/>
              <w:bottom w:val="single" w:color="auto" w:sz="4" w:space="0"/>
              <w:right w:val="single" w:color="auto" w:sz="4" w:space="0"/>
            </w:tcBorders>
            <w:vAlign w:val="center"/>
          </w:tcPr>
          <w:p w14:paraId="1B2D8C28">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学历、职称及其他专业能力情况</w:t>
            </w:r>
          </w:p>
        </w:tc>
      </w:tr>
      <w:tr w14:paraId="379F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481B07EE">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993" w:type="dxa"/>
            <w:tcBorders>
              <w:top w:val="single" w:color="auto" w:sz="4" w:space="0"/>
              <w:left w:val="single" w:color="auto" w:sz="4" w:space="0"/>
              <w:bottom w:val="single" w:color="auto" w:sz="4" w:space="0"/>
              <w:right w:val="single" w:color="auto" w:sz="4" w:space="0"/>
            </w:tcBorders>
            <w:vAlign w:val="center"/>
          </w:tcPr>
          <w:p w14:paraId="241E4B3B">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ACAF056">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项目负责人</w:t>
            </w:r>
          </w:p>
        </w:tc>
        <w:tc>
          <w:tcPr>
            <w:tcW w:w="1417" w:type="dxa"/>
            <w:tcBorders>
              <w:top w:val="single" w:color="auto" w:sz="4" w:space="0"/>
              <w:left w:val="single" w:color="auto" w:sz="4" w:space="0"/>
              <w:bottom w:val="single" w:color="auto" w:sz="4" w:space="0"/>
              <w:right w:val="single" w:color="auto" w:sz="4" w:space="0"/>
            </w:tcBorders>
            <w:vAlign w:val="center"/>
          </w:tcPr>
          <w:p w14:paraId="697E182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6645271C">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0A84CFE">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BD0C34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665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1B14A717">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993" w:type="dxa"/>
            <w:tcBorders>
              <w:top w:val="single" w:color="auto" w:sz="4" w:space="0"/>
              <w:left w:val="single" w:color="auto" w:sz="4" w:space="0"/>
              <w:bottom w:val="single" w:color="auto" w:sz="4" w:space="0"/>
              <w:right w:val="single" w:color="auto" w:sz="4" w:space="0"/>
            </w:tcBorders>
            <w:vAlign w:val="center"/>
          </w:tcPr>
          <w:p w14:paraId="32077BA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E7250A3">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E28A0C3">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4C46C2B5">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CA26F5A">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686CDE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268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0EBFC3BF">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w:t>
            </w:r>
          </w:p>
        </w:tc>
        <w:tc>
          <w:tcPr>
            <w:tcW w:w="993" w:type="dxa"/>
            <w:tcBorders>
              <w:top w:val="single" w:color="auto" w:sz="4" w:space="0"/>
              <w:left w:val="single" w:color="auto" w:sz="4" w:space="0"/>
              <w:bottom w:val="single" w:color="auto" w:sz="4" w:space="0"/>
              <w:right w:val="single" w:color="auto" w:sz="4" w:space="0"/>
            </w:tcBorders>
            <w:vAlign w:val="center"/>
          </w:tcPr>
          <w:p w14:paraId="59641BBB">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6FE0578">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BBEEBE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55C90F0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826E41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529AAB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72E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5A72EF41">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w:t>
            </w:r>
          </w:p>
        </w:tc>
        <w:tc>
          <w:tcPr>
            <w:tcW w:w="993" w:type="dxa"/>
            <w:tcBorders>
              <w:top w:val="single" w:color="auto" w:sz="4" w:space="0"/>
              <w:left w:val="single" w:color="auto" w:sz="4" w:space="0"/>
              <w:bottom w:val="single" w:color="auto" w:sz="4" w:space="0"/>
              <w:right w:val="single" w:color="auto" w:sz="4" w:space="0"/>
            </w:tcBorders>
            <w:vAlign w:val="center"/>
          </w:tcPr>
          <w:p w14:paraId="63DA5646">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98B4835">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C300DA5">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170894B">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6376474">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CB106F1">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5CE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794E3551">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w:t>
            </w:r>
          </w:p>
        </w:tc>
        <w:tc>
          <w:tcPr>
            <w:tcW w:w="993" w:type="dxa"/>
            <w:tcBorders>
              <w:top w:val="single" w:color="auto" w:sz="4" w:space="0"/>
              <w:left w:val="single" w:color="auto" w:sz="4" w:space="0"/>
              <w:bottom w:val="single" w:color="auto" w:sz="4" w:space="0"/>
              <w:right w:val="single" w:color="auto" w:sz="4" w:space="0"/>
            </w:tcBorders>
            <w:vAlign w:val="center"/>
          </w:tcPr>
          <w:p w14:paraId="5D1DCBC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B622435">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41DB5EC5">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258329A">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5686D36">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0E9E6BE">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2D9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5EE07585">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993" w:type="dxa"/>
            <w:tcBorders>
              <w:top w:val="single" w:color="auto" w:sz="4" w:space="0"/>
              <w:left w:val="single" w:color="auto" w:sz="4" w:space="0"/>
              <w:bottom w:val="single" w:color="auto" w:sz="4" w:space="0"/>
              <w:right w:val="single" w:color="auto" w:sz="4" w:space="0"/>
            </w:tcBorders>
            <w:vAlign w:val="center"/>
          </w:tcPr>
          <w:p w14:paraId="4707BB50">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A676DBE">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8EFD481">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593279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0F035E2">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C2108D2">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12EF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1F90DBA5">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993" w:type="dxa"/>
            <w:tcBorders>
              <w:top w:val="single" w:color="auto" w:sz="4" w:space="0"/>
              <w:left w:val="single" w:color="auto" w:sz="4" w:space="0"/>
              <w:bottom w:val="single" w:color="auto" w:sz="4" w:space="0"/>
              <w:right w:val="single" w:color="auto" w:sz="4" w:space="0"/>
            </w:tcBorders>
            <w:vAlign w:val="center"/>
          </w:tcPr>
          <w:p w14:paraId="0647D1FE">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7B6F06B">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F62295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08DE28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99F5C0C">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4ED6A5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05CF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2E8D2289">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993" w:type="dxa"/>
            <w:tcBorders>
              <w:top w:val="single" w:color="auto" w:sz="4" w:space="0"/>
              <w:left w:val="single" w:color="auto" w:sz="4" w:space="0"/>
              <w:bottom w:val="single" w:color="auto" w:sz="4" w:space="0"/>
              <w:right w:val="single" w:color="auto" w:sz="4" w:space="0"/>
            </w:tcBorders>
            <w:vAlign w:val="center"/>
          </w:tcPr>
          <w:p w14:paraId="1789C7B9">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AAB2EF2">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F6F4BF1">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8B0E3FD">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1B519DC">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D7CFD3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1230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6AA1C2A2">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3DB5CE2">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1D95752">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CBE745C">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7B57E707">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6A0A59D">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EB5D4F9">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086B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042A0D3C">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35E8C5A5">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68986F0">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45ECE6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67D5318F">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AEB897D">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55B910C4">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14:paraId="6EA1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tcBorders>
              <w:top w:val="single" w:color="auto" w:sz="4" w:space="0"/>
              <w:left w:val="single" w:color="auto" w:sz="4" w:space="0"/>
              <w:bottom w:val="single" w:color="auto" w:sz="4" w:space="0"/>
              <w:right w:val="single" w:color="auto" w:sz="4" w:space="0"/>
            </w:tcBorders>
            <w:vAlign w:val="center"/>
          </w:tcPr>
          <w:p w14:paraId="07B85C91">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4BE268FE">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691D230">
            <w:pPr>
              <w:pageBreakBefore w:val="0"/>
              <w:shd w:val="clear"/>
              <w:kinsoku/>
              <w:wordWrap/>
              <w:overflowPunct/>
              <w:topLinePunct w:val="0"/>
              <w:bidi w:val="0"/>
              <w:spacing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9AD31A2">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696879E1">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883DE88">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8A8532C">
            <w:pPr>
              <w:pageBreakBefore w:val="0"/>
              <w:shd w:val="clear"/>
              <w:kinsoku/>
              <w:wordWrap/>
              <w:overflowPunct/>
              <w:topLinePunct w:val="0"/>
              <w:bidi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14:paraId="3039721A">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注：</w:t>
      </w:r>
    </w:p>
    <w:p w14:paraId="709CA253">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1.项目负责人等与评审因素相关的人员必须列入本表并明确，否则在评审中不予认可。</w:t>
      </w:r>
    </w:p>
    <w:p w14:paraId="252C601B">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2.列入本表的人员如要更换，需经采购人同意，擅自更换或不到位属于违约行为。</w:t>
      </w:r>
    </w:p>
    <w:p w14:paraId="3678696C">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3.学历、职称、执业（从业）资格等个人能力证明材料的复印件后附（如有）。</w:t>
      </w:r>
    </w:p>
    <w:p w14:paraId="03A88D3A">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4.响应文件内提供评分标准要求的证明材料，未提供佐证能力等证书证件复印件的将不被认定。</w:t>
      </w:r>
    </w:p>
    <w:p w14:paraId="22215B70">
      <w:pPr>
        <w:pStyle w:val="11"/>
        <w:pageBreakBefore w:val="0"/>
        <w:shd w:val="clear"/>
        <w:kinsoku/>
        <w:wordWrap/>
        <w:overflowPunct/>
        <w:topLinePunct w:val="0"/>
        <w:bidi w:val="0"/>
        <w:spacing w:after="0" w:line="360" w:lineRule="auto"/>
        <w:ind w:left="0" w:leftChars="0" w:right="0" w:rightChars="0" w:firstLine="28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24A66931">
      <w:pPr>
        <w:pageBreakBefore w:val="0"/>
        <w:shd w:val="clear"/>
        <w:kinsoku/>
        <w:wordWrap/>
        <w:overflowPunct/>
        <w:topLinePunct w:val="0"/>
        <w:bidi w:val="0"/>
        <w:snapToGrid w:val="0"/>
        <w:spacing w:line="360" w:lineRule="auto"/>
        <w:ind w:left="0" w:leftChars="0" w:right="0" w:rightChars="0" w:firstLine="21" w:firstLineChars="1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3.报价要求响应文件的有关格式</w:t>
      </w:r>
    </w:p>
    <w:p w14:paraId="6557548D">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（1）初次报价表</w:t>
      </w:r>
    </w:p>
    <w:tbl>
      <w:tblPr>
        <w:tblStyle w:val="2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237"/>
      </w:tblGrid>
      <w:tr w14:paraId="5C60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93" w:type="dxa"/>
            <w:tcBorders>
              <w:top w:val="single" w:color="auto" w:sz="4" w:space="0"/>
              <w:left w:val="single" w:color="auto" w:sz="4" w:space="0"/>
              <w:bottom w:val="single" w:color="auto" w:sz="4" w:space="0"/>
              <w:right w:val="single" w:color="auto" w:sz="4" w:space="0"/>
            </w:tcBorders>
            <w:vAlign w:val="center"/>
          </w:tcPr>
          <w:p w14:paraId="7CD66085">
            <w:pPr>
              <w:pStyle w:val="11"/>
              <w:pageBreakBefore w:val="0"/>
              <w:shd w:val="clear"/>
              <w:kinsoku/>
              <w:wordWrap/>
              <w:overflowPunct/>
              <w:topLinePunct w:val="0"/>
              <w:bidi w:val="0"/>
              <w:spacing w:after="0" w:line="360" w:lineRule="auto"/>
              <w:ind w:left="457" w:leftChars="0" w:right="0" w:rightChars="0" w:hanging="457" w:hangingChars="218"/>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14:paraId="23F8558D">
            <w:pPr>
              <w:pStyle w:val="11"/>
              <w:pageBreakBefore w:val="0"/>
              <w:shd w:val="clear"/>
              <w:kinsoku/>
              <w:wordWrap/>
              <w:overflowPunct/>
              <w:topLinePunct w:val="0"/>
              <w:bidi w:val="0"/>
              <w:spacing w:after="0" w:line="360" w:lineRule="auto"/>
              <w:ind w:left="457" w:leftChars="0" w:right="0" w:rightChars="0" w:hanging="457" w:hangingChars="218"/>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知识产权综合体运营服务项目</w:t>
            </w:r>
          </w:p>
        </w:tc>
      </w:tr>
      <w:tr w14:paraId="572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093" w:type="dxa"/>
            <w:tcBorders>
              <w:top w:val="single" w:color="auto" w:sz="4" w:space="0"/>
              <w:left w:val="single" w:color="auto" w:sz="4" w:space="0"/>
              <w:right w:val="single" w:color="auto" w:sz="4" w:space="0"/>
            </w:tcBorders>
            <w:vAlign w:val="center"/>
          </w:tcPr>
          <w:p w14:paraId="3283F619">
            <w:pPr>
              <w:pStyle w:val="11"/>
              <w:pageBreakBefore w:val="0"/>
              <w:shd w:val="clear"/>
              <w:kinsoku/>
              <w:wordWrap/>
              <w:overflowPunct/>
              <w:topLinePunct w:val="0"/>
              <w:bidi w:val="0"/>
              <w:spacing w:after="0" w:line="360" w:lineRule="auto"/>
              <w:ind w:left="457" w:leftChars="0" w:right="0" w:rightChars="0" w:hanging="457" w:hangingChars="218"/>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项目编号</w:t>
            </w:r>
          </w:p>
        </w:tc>
        <w:tc>
          <w:tcPr>
            <w:tcW w:w="6237" w:type="dxa"/>
            <w:tcBorders>
              <w:top w:val="single" w:color="auto" w:sz="4" w:space="0"/>
              <w:left w:val="single" w:color="auto" w:sz="4" w:space="0"/>
              <w:right w:val="single" w:color="auto" w:sz="4" w:space="0"/>
            </w:tcBorders>
            <w:vAlign w:val="center"/>
          </w:tcPr>
          <w:p w14:paraId="4081F357">
            <w:pPr>
              <w:pStyle w:val="11"/>
              <w:pageBreakBefore w:val="0"/>
              <w:shd w:val="clear"/>
              <w:kinsoku/>
              <w:wordWrap/>
              <w:overflowPunct/>
              <w:topLinePunct w:val="0"/>
              <w:bidi w:val="0"/>
              <w:spacing w:after="0" w:line="360" w:lineRule="auto"/>
              <w:ind w:left="457" w:leftChars="0" w:right="0" w:rightChars="0" w:hanging="457" w:hangingChars="218"/>
              <w:jc w:val="center"/>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NBMC-20262059G磋</w:t>
            </w:r>
          </w:p>
        </w:tc>
      </w:tr>
      <w:tr w14:paraId="00C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093" w:type="dxa"/>
            <w:tcBorders>
              <w:top w:val="single" w:color="auto" w:sz="4" w:space="0"/>
              <w:left w:val="single" w:color="auto" w:sz="4" w:space="0"/>
              <w:right w:val="single" w:color="auto" w:sz="4" w:space="0"/>
            </w:tcBorders>
            <w:vAlign w:val="center"/>
          </w:tcPr>
          <w:p w14:paraId="4BC833AE">
            <w:pPr>
              <w:pStyle w:val="11"/>
              <w:pageBreakBefore w:val="0"/>
              <w:shd w:val="clear"/>
              <w:kinsoku/>
              <w:wordWrap/>
              <w:overflowPunct/>
              <w:topLinePunct w:val="0"/>
              <w:bidi w:val="0"/>
              <w:spacing w:after="0" w:line="360" w:lineRule="auto"/>
              <w:ind w:left="457" w:leftChars="0" w:right="0" w:rightChars="0" w:hanging="457" w:hangingChars="218"/>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磋商报价</w:t>
            </w:r>
            <w:r>
              <w:rPr>
                <w:rFonts w:hint="eastAsia" w:ascii="宋体" w:hAnsi="宋体"/>
                <w:kern w:val="2"/>
                <w:sz w:val="21"/>
                <w:szCs w:val="21"/>
              </w:rPr>
              <w:t>（元/年</w:t>
            </w: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6237" w:type="dxa"/>
            <w:tcBorders>
              <w:top w:val="single" w:color="auto" w:sz="4" w:space="0"/>
              <w:left w:val="single" w:color="auto" w:sz="4" w:space="0"/>
              <w:right w:val="single" w:color="auto" w:sz="4" w:space="0"/>
            </w:tcBorders>
            <w:vAlign w:val="center"/>
          </w:tcPr>
          <w:p w14:paraId="5A8BA22C">
            <w:pPr>
              <w:pStyle w:val="11"/>
              <w:pageBreakBefore w:val="0"/>
              <w:shd w:val="clear"/>
              <w:kinsoku/>
              <w:wordWrap/>
              <w:overflowPunct/>
              <w:topLinePunct w:val="0"/>
              <w:bidi w:val="0"/>
              <w:spacing w:after="0" w:line="360" w:lineRule="auto"/>
              <w:ind w:left="457" w:leftChars="0" w:right="0" w:rightChars="0" w:hanging="457" w:hangingChars="218"/>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小写：</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14:paraId="55B631C2">
            <w:pPr>
              <w:pStyle w:val="11"/>
              <w:pageBreakBefore w:val="0"/>
              <w:shd w:val="clear"/>
              <w:kinsoku/>
              <w:wordWrap/>
              <w:overflowPunct/>
              <w:topLinePunct w:val="0"/>
              <w:bidi w:val="0"/>
              <w:spacing w:after="0" w:line="360" w:lineRule="auto"/>
              <w:ind w:left="457" w:leftChars="0" w:right="0" w:rightChars="0" w:hanging="457" w:hangingChars="21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大写：</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tc>
      </w:tr>
    </w:tbl>
    <w:p w14:paraId="79500543">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w:t>
      </w:r>
    </w:p>
    <w:p w14:paraId="75E61495">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1.报价一经涂改，应在涂改处加盖单位公章或由法定代表人或其授权代表签字，否则磋商小组将不接受该修改内容。</w:t>
      </w:r>
    </w:p>
    <w:p w14:paraId="4001983F">
      <w:pPr>
        <w:pageBreakBefore w:val="0"/>
        <w:shd w:val="clear"/>
        <w:kinsoku/>
        <w:wordWrap/>
        <w:overflowPunct/>
        <w:topLinePunct w:val="0"/>
        <w:bidi w:val="0"/>
        <w:snapToGrid w:val="0"/>
        <w:spacing w:line="360" w:lineRule="auto"/>
        <w:ind w:left="0" w:leftChars="0" w:right="0" w:rightChars="0" w:firstLine="21" w:firstLineChars="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2.磋商小组认为供应商的报价明显低于其他通过符合性审查供应商的报价，有可能影响项目质量或者不能诚信履约的，磋商小组有权要求其在评审现场合理的时间内提供书面说明，必要时提交</w:t>
      </w:r>
      <w:r>
        <w:rPr>
          <w:rFonts w:hint="eastAsia" w:ascii="宋体" w:hAnsi="宋体" w:eastAsia="宋体" w:cs="宋体"/>
          <w:bCs/>
          <w:color w:val="000000" w:themeColor="text1"/>
          <w:szCs w:val="21"/>
          <w:highlight w:val="none"/>
          <w14:textFill>
            <w14:solidFill>
              <w14:schemeClr w14:val="tx1"/>
            </w14:solidFill>
          </w14:textFill>
        </w:rPr>
        <w:t>相关</w:t>
      </w:r>
      <w:r>
        <w:rPr>
          <w:rFonts w:hint="eastAsia" w:ascii="宋体" w:hAnsi="宋体" w:eastAsia="宋体" w:cs="宋体"/>
          <w:color w:val="000000" w:themeColor="text1"/>
          <w:highlight w:val="none"/>
          <w14:textFill>
            <w14:solidFill>
              <w14:schemeClr w14:val="tx1"/>
            </w14:solidFill>
          </w14:textFill>
        </w:rPr>
        <w:t>证明材料。供应商不能证明报价合理性的，磋商小组有权将其作为无效响应处理。为此，</w:t>
      </w:r>
      <w:r>
        <w:rPr>
          <w:rFonts w:hint="eastAsia" w:ascii="宋体" w:hAnsi="宋体" w:eastAsia="宋体" w:cs="宋体"/>
          <w:bCs/>
          <w:color w:val="000000" w:themeColor="text1"/>
          <w:szCs w:val="21"/>
          <w:highlight w:val="none"/>
          <w14:textFill>
            <w14:solidFill>
              <w14:schemeClr w14:val="tx1"/>
            </w14:solidFill>
          </w14:textFill>
        </w:rPr>
        <w:t>请供应商在磋商前提前充分测算完成本项目所需的费用成本情况</w:t>
      </w:r>
      <w:r>
        <w:rPr>
          <w:rFonts w:hint="eastAsia" w:ascii="宋体" w:hAnsi="宋体" w:eastAsia="宋体" w:cs="宋体"/>
          <w:color w:val="000000" w:themeColor="text1"/>
          <w:highlight w:val="none"/>
          <w14:textFill>
            <w14:solidFill>
              <w14:schemeClr w14:val="tx1"/>
            </w14:solidFill>
          </w14:textFill>
        </w:rPr>
        <w:t>，评审现场给予提供说明及证明材料的时间不超过35分钟，如供应商在评审现场以时间不足等各种理由推脱或在规定的时间内提供的说明及材料不能充分证明其报价合理性或拒绝提交说明及材料而被认定为无效响应的后果均由供应商自行承担。</w:t>
      </w:r>
    </w:p>
    <w:p w14:paraId="1FF93C94">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F8CAA13">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（2）初次报价组成明细表</w:t>
      </w:r>
    </w:p>
    <w:tbl>
      <w:tblPr>
        <w:tblStyle w:val="22"/>
        <w:tblW w:w="825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636"/>
        <w:gridCol w:w="1354"/>
        <w:gridCol w:w="1418"/>
        <w:gridCol w:w="1134"/>
      </w:tblGrid>
      <w:tr w14:paraId="4784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6D88D5D8">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3636" w:type="dxa"/>
            <w:vAlign w:val="center"/>
          </w:tcPr>
          <w:p w14:paraId="3A8D965F">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工作内容</w:t>
            </w:r>
          </w:p>
        </w:tc>
        <w:tc>
          <w:tcPr>
            <w:tcW w:w="1354" w:type="dxa"/>
            <w:vAlign w:val="center"/>
          </w:tcPr>
          <w:p w14:paraId="6DB8E02C">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单价(元)</w:t>
            </w:r>
          </w:p>
        </w:tc>
        <w:tc>
          <w:tcPr>
            <w:tcW w:w="1418" w:type="dxa"/>
            <w:vAlign w:val="center"/>
          </w:tcPr>
          <w:p w14:paraId="68862275">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134" w:type="dxa"/>
            <w:vAlign w:val="center"/>
          </w:tcPr>
          <w:p w14:paraId="1C9FBBCB">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小计(元)</w:t>
            </w:r>
          </w:p>
        </w:tc>
      </w:tr>
      <w:tr w14:paraId="511F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5116DCA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36" w:type="dxa"/>
            <w:vAlign w:val="center"/>
          </w:tcPr>
          <w:p w14:paraId="61A64A02">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5C2FEA07">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5491A3CD">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112DBB03">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85B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589E7F7D">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36" w:type="dxa"/>
            <w:vAlign w:val="center"/>
          </w:tcPr>
          <w:p w14:paraId="5F18F4E9">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1D671171">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54E0A11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37757769">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533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0D89B4C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36" w:type="dxa"/>
            <w:vAlign w:val="center"/>
          </w:tcPr>
          <w:p w14:paraId="0A8EADB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2A50EC6C">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0D4F714C">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20ADD43F">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6B7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0DF1B90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36" w:type="dxa"/>
            <w:vAlign w:val="center"/>
          </w:tcPr>
          <w:p w14:paraId="331AA6E1">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4597864E">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70F0A674">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090A47EF">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55A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00FAB088">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36" w:type="dxa"/>
            <w:vAlign w:val="center"/>
          </w:tcPr>
          <w:p w14:paraId="099E9812">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0BFE5FA4">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7A5C616A">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074283ED">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E9C0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9" w:type="dxa"/>
            <w:vAlign w:val="center"/>
          </w:tcPr>
          <w:p w14:paraId="24D749CB">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636" w:type="dxa"/>
            <w:vAlign w:val="center"/>
          </w:tcPr>
          <w:p w14:paraId="1787D017">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354" w:type="dxa"/>
            <w:vAlign w:val="center"/>
          </w:tcPr>
          <w:p w14:paraId="7A11BAA7">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8" w:type="dxa"/>
            <w:vAlign w:val="center"/>
          </w:tcPr>
          <w:p w14:paraId="40BDF136">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34" w:type="dxa"/>
            <w:vAlign w:val="center"/>
          </w:tcPr>
          <w:p w14:paraId="3C7A3AA9">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FA4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51" w:type="dxa"/>
            <w:gridSpan w:val="5"/>
            <w:vAlign w:val="center"/>
          </w:tcPr>
          <w:p w14:paraId="74A5E58E">
            <w:pPr>
              <w:pageBreakBefore w:val="0"/>
              <w:shd w:val="clear"/>
              <w:kinsoku/>
              <w:wordWrap/>
              <w:overflowPunct/>
              <w:topLinePunct w:val="0"/>
              <w:bidi w:val="0"/>
              <w:spacing w:line="360" w:lineRule="auto"/>
              <w:ind w:left="0" w:leftChars="0" w:right="0" w:rightChars="0"/>
              <w:jc w:val="left"/>
              <w:textAlignment w:val="center"/>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合计金额（元/年，小写）：</w:t>
            </w:r>
          </w:p>
        </w:tc>
      </w:tr>
    </w:tbl>
    <w:p w14:paraId="660C107E">
      <w:pPr>
        <w:pageBreakBefore w:val="0"/>
        <w:shd w:val="clear"/>
        <w:kinsoku/>
        <w:wordWrap/>
        <w:overflowPunct/>
        <w:topLinePunct w:val="0"/>
        <w:bidi w:val="0"/>
        <w:adjustRightInd w:val="0"/>
        <w:snapToGrid w:val="0"/>
        <w:spacing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所列费用为对应本项目需求的全部内容，如有漏项或缺项，视为包含在磋商报价中。具体细化分项报价供应商可自行编写或另附说明。供应商可以在本表的基本格式下扩展表格。</w:t>
      </w:r>
      <w:r>
        <w:rPr>
          <w:rFonts w:hint="eastAsia" w:ascii="宋体" w:hAnsi="宋体" w:eastAsia="宋体" w:cs="宋体"/>
          <w:bCs/>
          <w:color w:val="000000" w:themeColor="text1"/>
          <w:highlight w:val="none"/>
          <w14:textFill>
            <w14:solidFill>
              <w14:schemeClr w14:val="tx1"/>
            </w14:solidFill>
          </w14:textFill>
        </w:rPr>
        <w:t>报价以元为单位最多保留小数点后2位。</w:t>
      </w:r>
    </w:p>
    <w:p w14:paraId="0C7A511A">
      <w:pPr>
        <w:pageBreakBefore w:val="0"/>
        <w:widowControl/>
        <w:shd w:val="clear"/>
        <w:kinsoku/>
        <w:wordWrap/>
        <w:overflowPunct/>
        <w:topLinePunct w:val="0"/>
        <w:bidi w:val="0"/>
        <w:spacing w:line="360" w:lineRule="auto"/>
        <w:ind w:left="0" w:leftChars="0" w:right="0" w:righ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4E80391">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（3）中小企业声明函</w:t>
      </w:r>
    </w:p>
    <w:p w14:paraId="45681CDB">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lang w:eastAsia="zh-CN"/>
          <w14:textFill>
            <w14:solidFill>
              <w14:schemeClr w14:val="tx1"/>
            </w14:solidFill>
          </w14:textFill>
        </w:rPr>
        <w:t>宁波知识产权保护中心</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eastAsia="zh-CN"/>
          <w14:textFill>
            <w14:solidFill>
              <w14:schemeClr w14:val="tx1"/>
            </w14:solidFill>
          </w14:textFill>
        </w:rPr>
        <w:t>知识产权综合体运营服务项目</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16F44DD5">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lang w:eastAsia="zh-CN"/>
          <w14:textFill>
            <w14:solidFill>
              <w14:schemeClr w14:val="tx1"/>
            </w14:solidFill>
          </w14:textFill>
        </w:rPr>
        <w:t>知识产权综合体运营服务项目</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bidi="ar"/>
          <w14:textFill>
            <w14:solidFill>
              <w14:schemeClr w14:val="tx1"/>
            </w14:solidFill>
          </w14:textFill>
        </w:rPr>
        <w:t>租赁和商务服务业</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；承接企业为</w:t>
      </w:r>
      <w:r>
        <w:rPr>
          <w:rFonts w:hint="eastAsia" w:ascii="宋体" w:hAnsi="宋体" w:eastAsia="宋体" w:cs="宋体"/>
          <w:color w:val="000000" w:themeColor="text1"/>
          <w:highlight w:val="none"/>
          <w:u w:val="single"/>
          <w14:textFill>
            <w14:solidFill>
              <w14:schemeClr w14:val="tx1"/>
            </w14:solidFill>
          </w14:textFill>
        </w:rPr>
        <w:t xml:space="preserve">  （企业名称）   </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万元，属于</w:t>
      </w:r>
      <w:r>
        <w:rPr>
          <w:rFonts w:hint="eastAsia" w:ascii="宋体" w:hAnsi="宋体" w:eastAsia="宋体" w:cs="宋体"/>
          <w:color w:val="000000" w:themeColor="text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highlight w:val="none"/>
          <w14:textFill>
            <w14:solidFill>
              <w14:schemeClr w14:val="tx1"/>
            </w14:solidFill>
          </w14:textFill>
        </w:rPr>
        <w:t>；</w:t>
      </w:r>
    </w:p>
    <w:p w14:paraId="399CA02F">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；承接企业为</w:t>
      </w:r>
      <w:r>
        <w:rPr>
          <w:rFonts w:hint="eastAsia" w:ascii="宋体" w:hAnsi="宋体" w:eastAsia="宋体" w:cs="宋体"/>
          <w:color w:val="000000" w:themeColor="text1"/>
          <w:highlight w:val="none"/>
          <w:u w:val="single"/>
          <w14:textFill>
            <w14:solidFill>
              <w14:schemeClr w14:val="tx1"/>
            </w14:solidFill>
          </w14:textFill>
        </w:rPr>
        <w:t xml:space="preserve">  （企业名称）   </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万元，属于</w:t>
      </w:r>
      <w:r>
        <w:rPr>
          <w:rFonts w:hint="eastAsia" w:ascii="宋体" w:hAnsi="宋体" w:eastAsia="宋体" w:cs="宋体"/>
          <w:color w:val="000000" w:themeColor="text1"/>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highlight w:val="none"/>
          <w14:textFill>
            <w14:solidFill>
              <w14:schemeClr w14:val="tx1"/>
            </w14:solidFill>
          </w14:textFill>
        </w:rPr>
        <w:t>；</w:t>
      </w:r>
    </w:p>
    <w:p w14:paraId="0360A499">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79191C58">
      <w:pPr>
        <w:pageBreakBefore w:val="0"/>
        <w:shd w:val="clear"/>
        <w:kinsoku/>
        <w:wordWrap/>
        <w:overflowPunct/>
        <w:topLinePunct w:val="0"/>
        <w:bidi w:val="0"/>
        <w:snapToGrid w:val="0"/>
        <w:spacing w:line="360" w:lineRule="auto"/>
        <w:ind w:left="0" w:leftChars="0" w:right="0" w:rightChars="0" w:firstLine="447" w:firstLineChars="213"/>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14:paraId="46808BA3">
      <w:pPr>
        <w:pageBreakBefore w:val="0"/>
        <w:shd w:val="clear"/>
        <w:kinsoku/>
        <w:wordWrap/>
        <w:overflowPunct/>
        <w:topLinePunct w:val="0"/>
        <w:bidi w:val="0"/>
        <w:spacing w:line="360" w:lineRule="auto"/>
        <w:ind w:left="0" w:leftChars="0" w:right="0" w:rightChars="0" w:firstLine="4676" w:firstLineChars="222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企业名称（盖章）：</w:t>
      </w:r>
    </w:p>
    <w:p w14:paraId="3B8D15A0">
      <w:pPr>
        <w:pageBreakBefore w:val="0"/>
        <w:shd w:val="clear"/>
        <w:kinsoku/>
        <w:wordWrap/>
        <w:overflowPunct/>
        <w:topLinePunct w:val="0"/>
        <w:bidi w:val="0"/>
        <w:spacing w:line="360" w:lineRule="auto"/>
        <w:ind w:left="0" w:leftChars="0" w:right="0" w:rightChars="0" w:firstLine="4676" w:firstLineChars="222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2BA63088">
      <w:pPr>
        <w:pageBreakBefore w:val="0"/>
        <w:shd w:val="clear"/>
        <w:kinsoku/>
        <w:wordWrap/>
        <w:overflowPunct/>
        <w:topLinePunct w:val="0"/>
        <w:bidi w:val="0"/>
        <w:snapToGrid w:val="0"/>
        <w:spacing w:line="360" w:lineRule="auto"/>
        <w:ind w:left="0" w:leftChars="0" w:right="0" w:rightChars="0" w:firstLine="24" w:firstLineChars="10"/>
        <w:jc w:val="left"/>
        <w:rPr>
          <w:rFonts w:hint="eastAsia" w:ascii="宋体" w:hAnsi="宋体" w:eastAsia="宋体" w:cs="宋体"/>
          <w:b/>
          <w:color w:val="000000" w:themeColor="text1"/>
          <w:sz w:val="24"/>
          <w:highlight w:val="none"/>
          <w14:textFill>
            <w14:solidFill>
              <w14:schemeClr w14:val="tx1"/>
            </w14:solidFill>
          </w14:textFill>
        </w:rPr>
      </w:pPr>
    </w:p>
    <w:p w14:paraId="0FEC7329">
      <w:pPr>
        <w:pageBreakBefore w:val="0"/>
        <w:shd w:val="clear"/>
        <w:kinsoku/>
        <w:wordWrap/>
        <w:overflowPunct/>
        <w:topLinePunct w:val="0"/>
        <w:bidi w:val="0"/>
        <w:snapToGrid w:val="0"/>
        <w:spacing w:line="360" w:lineRule="auto"/>
        <w:ind w:left="0" w:leftChars="0" w:right="0" w:rightChars="0" w:firstLine="24" w:firstLineChars="1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请供应商仔细阅读填写说明：</w:t>
      </w:r>
    </w:p>
    <w:p w14:paraId="498A94FE">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1.本项目为服务采购项目，服务由中小企业承接，即提供服务的人员为中小企业依照《中华人民共和国劳动合同法》订立劳动合同的从业人员。</w:t>
      </w:r>
    </w:p>
    <w:p w14:paraId="1FC61759">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2.从业人员、营业收入、资产总额填报上一年度数据，无上一年度数据的新成立企业可不填报。</w:t>
      </w:r>
    </w:p>
    <w:p w14:paraId="79702F16">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3.供应商应当对其出具的《中小企业声明函》真实性负责，出具的《中小企业声明函》内容不实的，属于提供虚假材料。</w:t>
      </w:r>
    </w:p>
    <w:p w14:paraId="27C571C5">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4.供应商参与本项目并提交本声明函前请仔细阅读相关政策文件。非中小企业可以不在本声明函内填写单位信息。</w:t>
      </w:r>
    </w:p>
    <w:p w14:paraId="40DD3421">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9712638">
      <w:pPr>
        <w:pageBreakBefore w:val="0"/>
        <w:shd w:val="clear"/>
        <w:kinsoku/>
        <w:wordWrap/>
        <w:overflowPunct/>
        <w:topLinePunct w:val="0"/>
        <w:bidi w:val="0"/>
        <w:snapToGrid w:val="0"/>
        <w:spacing w:line="360" w:lineRule="auto"/>
        <w:ind w:left="0" w:leftChars="0" w:right="0" w:rightChars="0"/>
        <w:jc w:val="left"/>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6.供应商应当谨慎填写并提供本表。</w:t>
      </w:r>
    </w:p>
    <w:p w14:paraId="568E7E5D">
      <w:pPr>
        <w:pStyle w:val="11"/>
        <w:pageBreakBefore w:val="0"/>
        <w:shd w:val="clear"/>
        <w:kinsoku/>
        <w:wordWrap/>
        <w:overflowPunct/>
        <w:topLinePunct w:val="0"/>
        <w:bidi w:val="0"/>
        <w:spacing w:after="0" w:line="360" w:lineRule="auto"/>
        <w:ind w:left="0" w:leftChars="0" w:right="0" w:rightChars="0"/>
        <w:jc w:val="center"/>
        <w:rPr>
          <w:rFonts w:hint="eastAsia" w:ascii="宋体" w:hAnsi="宋体" w:eastAsia="宋体" w:cs="宋体"/>
          <w:b/>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21"/>
          <w:szCs w:val="21"/>
          <w:highlight w:val="none"/>
          <w14:textFill>
            <w14:solidFill>
              <w14:schemeClr w14:val="tx1"/>
            </w14:solidFill>
          </w14:textFill>
        </w:rPr>
        <w:t>（4）残疾人福利性单位声明函</w:t>
      </w:r>
    </w:p>
    <w:p w14:paraId="3289FF58">
      <w:pPr>
        <w:pageBreakBefore w:val="0"/>
        <w:shd w:val="clear"/>
        <w:kinsoku/>
        <w:wordWrap/>
        <w:overflowPunct/>
        <w:topLinePunct w:val="0"/>
        <w:bidi w:val="0"/>
        <w:spacing w:line="360" w:lineRule="auto"/>
        <w:ind w:left="0" w:leftChars="0" w:right="0" w:rightChars="0" w:firstLine="444" w:firstLineChars="20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highlight w:val="none"/>
          <w14:textFill>
            <w14:solidFill>
              <w14:schemeClr w14:val="tx1"/>
            </w14:solidFill>
          </w14:textFill>
        </w:rPr>
        <w:t>〔2017〕 141</w:t>
      </w:r>
      <w:r>
        <w:rPr>
          <w:rFonts w:hint="eastAsia" w:ascii="宋体" w:hAnsi="宋体" w:eastAsia="宋体" w:cs="宋体"/>
          <w:color w:val="000000" w:themeColor="text1"/>
          <w:spacing w:val="6"/>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highlight w:val="none"/>
          <w:u w:val="single"/>
          <w14:textFill>
            <w14:solidFill>
              <w14:schemeClr w14:val="tx1"/>
            </w14:solidFill>
          </w14:textFill>
        </w:rPr>
        <w:t xml:space="preserve">     （填采购人名称）    </w:t>
      </w:r>
      <w:r>
        <w:rPr>
          <w:rFonts w:hint="eastAsia" w:ascii="宋体" w:hAnsi="宋体" w:eastAsia="宋体" w:cs="宋体"/>
          <w:color w:val="000000" w:themeColor="text1"/>
          <w:spacing w:val="6"/>
          <w:highlight w:val="none"/>
          <w14:textFill>
            <w14:solidFill>
              <w14:schemeClr w14:val="tx1"/>
            </w14:solidFill>
          </w14:textFill>
        </w:rPr>
        <w:t>单位的</w:t>
      </w:r>
      <w:r>
        <w:rPr>
          <w:rFonts w:hint="eastAsia" w:ascii="宋体" w:hAnsi="宋体" w:eastAsia="宋体" w:cs="宋体"/>
          <w:color w:val="000000" w:themeColor="text1"/>
          <w:spacing w:val="6"/>
          <w:highlight w:val="none"/>
          <w:u w:val="single"/>
          <w14:textFill>
            <w14:solidFill>
              <w14:schemeClr w14:val="tx1"/>
            </w14:solidFill>
          </w14:textFill>
        </w:rPr>
        <w:t xml:space="preserve">    （填项目名称）    </w:t>
      </w:r>
      <w:r>
        <w:rPr>
          <w:rFonts w:hint="eastAsia" w:ascii="宋体" w:hAnsi="宋体" w:eastAsia="宋体" w:cs="宋体"/>
          <w:color w:val="000000" w:themeColor="text1"/>
          <w:spacing w:val="6"/>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5EA0A65">
      <w:pPr>
        <w:pageBreakBefore w:val="0"/>
        <w:shd w:val="clear"/>
        <w:kinsoku/>
        <w:wordWrap/>
        <w:overflowPunct/>
        <w:topLinePunct w:val="0"/>
        <w:bidi w:val="0"/>
        <w:spacing w:line="360" w:lineRule="auto"/>
        <w:ind w:left="0" w:leftChars="0" w:right="0" w:rightChars="0" w:firstLine="444" w:firstLineChars="200"/>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本单位对上述声明的真实性负责。如有虚假，将依法承担相应责任。</w:t>
      </w:r>
    </w:p>
    <w:p w14:paraId="06DEBABC">
      <w:pPr>
        <w:pageBreakBefore w:val="0"/>
        <w:shd w:val="clear"/>
        <w:kinsoku/>
        <w:wordWrap/>
        <w:overflowPunct/>
        <w:topLinePunct w:val="0"/>
        <w:bidi w:val="0"/>
        <w:spacing w:line="360" w:lineRule="auto"/>
        <w:ind w:left="0" w:leftChars="0" w:right="0" w:rightChars="0" w:firstLine="444" w:firstLineChars="200"/>
        <w:rPr>
          <w:rFonts w:hint="eastAsia" w:ascii="宋体" w:hAnsi="宋体" w:eastAsia="宋体" w:cs="宋体"/>
          <w:color w:val="000000" w:themeColor="text1"/>
          <w:spacing w:val="6"/>
          <w:highlight w:val="none"/>
          <w14:textFill>
            <w14:solidFill>
              <w14:schemeClr w14:val="tx1"/>
            </w14:solidFill>
          </w14:textFill>
        </w:rPr>
      </w:pPr>
    </w:p>
    <w:p w14:paraId="2D9CA72B">
      <w:pPr>
        <w:pageBreakBefore w:val="0"/>
        <w:shd w:val="clear"/>
        <w:kinsoku/>
        <w:wordWrap/>
        <w:overflowPunct/>
        <w:topLinePunct w:val="0"/>
        <w:bidi w:val="0"/>
        <w:spacing w:line="360" w:lineRule="auto"/>
        <w:ind w:left="0" w:leftChars="0" w:right="0" w:rightChars="0" w:firstLine="444" w:firstLineChars="200"/>
        <w:rPr>
          <w:rFonts w:hint="eastAsia" w:ascii="宋体" w:hAnsi="宋体" w:eastAsia="宋体" w:cs="宋体"/>
          <w:color w:val="000000" w:themeColor="text1"/>
          <w:spacing w:val="6"/>
          <w:highlight w:val="none"/>
          <w14:textFill>
            <w14:solidFill>
              <w14:schemeClr w14:val="tx1"/>
            </w14:solidFill>
          </w14:textFill>
        </w:rPr>
      </w:pPr>
    </w:p>
    <w:p w14:paraId="0FD15446">
      <w:pPr>
        <w:pageBreakBefore w:val="0"/>
        <w:shd w:val="clear"/>
        <w:tabs>
          <w:tab w:val="left" w:pos="4860"/>
        </w:tabs>
        <w:kinsoku/>
        <w:wordWrap/>
        <w:overflowPunct/>
        <w:topLinePunct w:val="0"/>
        <w:bidi w:val="0"/>
        <w:spacing w:line="360" w:lineRule="auto"/>
        <w:ind w:left="0" w:leftChars="0" w:right="0" w:rightChars="0"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单位名称（盖章）：</w:t>
      </w:r>
    </w:p>
    <w:p w14:paraId="44C1E432">
      <w:pPr>
        <w:pageBreakBefore w:val="0"/>
        <w:shd w:val="clear"/>
        <w:tabs>
          <w:tab w:val="left" w:pos="4860"/>
        </w:tabs>
        <w:kinsoku/>
        <w:wordWrap/>
        <w:overflowPunct/>
        <w:topLinePunct w:val="0"/>
        <w:bidi w:val="0"/>
        <w:spacing w:line="360" w:lineRule="auto"/>
        <w:ind w:left="0" w:leftChars="0" w:right="0" w:rightChars="0"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日  期：</w:t>
      </w:r>
    </w:p>
    <w:sectPr>
      <w:headerReference r:id="rId4" w:type="default"/>
      <w:footerReference r:id="rId5" w:type="default"/>
      <w:footerReference r:id="rId6" w:type="even"/>
      <w:pgSz w:w="11906" w:h="16838"/>
      <w:pgMar w:top="1276" w:right="1983" w:bottom="1276" w:left="1610" w:header="851" w:footer="851"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C518">
    <w:pPr>
      <w:pStyle w:val="15"/>
      <w:ind w:firstLine="2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8B96A">
                          <w:pPr>
                            <w:pStyle w:val="15"/>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38B96A">
                    <w:pPr>
                      <w:pStyle w:val="15"/>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E69">
    <w:pPr>
      <w:pStyle w:val="15"/>
      <w:framePr w:wrap="around" w:vAnchor="text" w:hAnchor="margin" w:xAlign="outside" w:y="1"/>
      <w:ind w:firstLine="213"/>
      <w:rPr>
        <w:rStyle w:val="25"/>
      </w:rPr>
    </w:pPr>
    <w:r>
      <w:fldChar w:fldCharType="begin"/>
    </w:r>
    <w:r>
      <w:rPr>
        <w:rStyle w:val="25"/>
      </w:rPr>
      <w:instrText xml:space="preserve">PAGE  </w:instrText>
    </w:r>
    <w:r>
      <w:fldChar w:fldCharType="end"/>
    </w:r>
  </w:p>
  <w:p w14:paraId="639808F2">
    <w:pPr>
      <w:pStyle w:val="15"/>
      <w:ind w:right="360" w:firstLine="260"/>
    </w:pPr>
  </w:p>
  <w:p w14:paraId="561E5FA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B631">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6A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C50F"/>
    <w:multiLevelType w:val="singleLevel"/>
    <w:tmpl w:val="94FAC50F"/>
    <w:lvl w:ilvl="0" w:tentative="0">
      <w:start w:val="17"/>
      <w:numFmt w:val="decimal"/>
      <w:suff w:val="space"/>
      <w:lvlText w:val="%1."/>
      <w:lvlJc w:val="left"/>
    </w:lvl>
  </w:abstractNum>
  <w:abstractNum w:abstractNumId="1">
    <w:nsid w:val="C4872F85"/>
    <w:multiLevelType w:val="singleLevel"/>
    <w:tmpl w:val="C4872F85"/>
    <w:lvl w:ilvl="0" w:tentative="0">
      <w:start w:val="1"/>
      <w:numFmt w:val="decimal"/>
      <w:pStyle w:val="7"/>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YmQzMzE0NGM4NDg4MzZmNWMxMzI3OGJmMjdkODEifQ=="/>
  </w:docVars>
  <w:rsids>
    <w:rsidRoot w:val="00D45ACC"/>
    <w:rsid w:val="000031ED"/>
    <w:rsid w:val="00012EFC"/>
    <w:rsid w:val="00014493"/>
    <w:rsid w:val="00020D22"/>
    <w:rsid w:val="00025D06"/>
    <w:rsid w:val="00052865"/>
    <w:rsid w:val="000560C4"/>
    <w:rsid w:val="00056E50"/>
    <w:rsid w:val="0006024E"/>
    <w:rsid w:val="0006429F"/>
    <w:rsid w:val="0006434B"/>
    <w:rsid w:val="00070DD3"/>
    <w:rsid w:val="00075929"/>
    <w:rsid w:val="00075EFC"/>
    <w:rsid w:val="00077E07"/>
    <w:rsid w:val="00090308"/>
    <w:rsid w:val="000905CE"/>
    <w:rsid w:val="00092A04"/>
    <w:rsid w:val="000960A3"/>
    <w:rsid w:val="000A469A"/>
    <w:rsid w:val="000A5318"/>
    <w:rsid w:val="000A6586"/>
    <w:rsid w:val="000C6963"/>
    <w:rsid w:val="000D3593"/>
    <w:rsid w:val="000F2895"/>
    <w:rsid w:val="000F36D3"/>
    <w:rsid w:val="000F3CBA"/>
    <w:rsid w:val="000F3D1D"/>
    <w:rsid w:val="000F737F"/>
    <w:rsid w:val="00101677"/>
    <w:rsid w:val="001043A1"/>
    <w:rsid w:val="001050B6"/>
    <w:rsid w:val="001066ED"/>
    <w:rsid w:val="001076D9"/>
    <w:rsid w:val="00117922"/>
    <w:rsid w:val="00124042"/>
    <w:rsid w:val="00135979"/>
    <w:rsid w:val="00136D0F"/>
    <w:rsid w:val="00142E97"/>
    <w:rsid w:val="0016408B"/>
    <w:rsid w:val="00176E58"/>
    <w:rsid w:val="001A52C9"/>
    <w:rsid w:val="001B0D3B"/>
    <w:rsid w:val="001B4BD1"/>
    <w:rsid w:val="001C0ADC"/>
    <w:rsid w:val="001C17F7"/>
    <w:rsid w:val="001D1D55"/>
    <w:rsid w:val="001D51A7"/>
    <w:rsid w:val="001E059E"/>
    <w:rsid w:val="001E12C2"/>
    <w:rsid w:val="001E2B3C"/>
    <w:rsid w:val="001E3BB5"/>
    <w:rsid w:val="001F4C4C"/>
    <w:rsid w:val="00211B4D"/>
    <w:rsid w:val="00211D05"/>
    <w:rsid w:val="00214A70"/>
    <w:rsid w:val="00215168"/>
    <w:rsid w:val="00217A78"/>
    <w:rsid w:val="00221EBD"/>
    <w:rsid w:val="00221F08"/>
    <w:rsid w:val="0022558B"/>
    <w:rsid w:val="00236F94"/>
    <w:rsid w:val="00244524"/>
    <w:rsid w:val="002516B1"/>
    <w:rsid w:val="00254ACC"/>
    <w:rsid w:val="00262CA2"/>
    <w:rsid w:val="002638FB"/>
    <w:rsid w:val="002664E8"/>
    <w:rsid w:val="00267CF0"/>
    <w:rsid w:val="00273C78"/>
    <w:rsid w:val="0028058F"/>
    <w:rsid w:val="002876D6"/>
    <w:rsid w:val="0029316D"/>
    <w:rsid w:val="00293E58"/>
    <w:rsid w:val="00295CC5"/>
    <w:rsid w:val="00297CD5"/>
    <w:rsid w:val="002A00A4"/>
    <w:rsid w:val="002A3DCA"/>
    <w:rsid w:val="002B317D"/>
    <w:rsid w:val="002C096C"/>
    <w:rsid w:val="002C3534"/>
    <w:rsid w:val="002D1759"/>
    <w:rsid w:val="002D2ADE"/>
    <w:rsid w:val="002D635D"/>
    <w:rsid w:val="002F05C2"/>
    <w:rsid w:val="002F4879"/>
    <w:rsid w:val="00302955"/>
    <w:rsid w:val="00307299"/>
    <w:rsid w:val="00323F8F"/>
    <w:rsid w:val="003240EA"/>
    <w:rsid w:val="0032505E"/>
    <w:rsid w:val="00327510"/>
    <w:rsid w:val="003619D9"/>
    <w:rsid w:val="0037102A"/>
    <w:rsid w:val="003738EC"/>
    <w:rsid w:val="00374B0D"/>
    <w:rsid w:val="003772FB"/>
    <w:rsid w:val="00377E81"/>
    <w:rsid w:val="00381820"/>
    <w:rsid w:val="003873E3"/>
    <w:rsid w:val="003915D9"/>
    <w:rsid w:val="003921E9"/>
    <w:rsid w:val="0039336A"/>
    <w:rsid w:val="003A1239"/>
    <w:rsid w:val="003A5D14"/>
    <w:rsid w:val="003A79D6"/>
    <w:rsid w:val="003B05AE"/>
    <w:rsid w:val="003B17BF"/>
    <w:rsid w:val="003B72F6"/>
    <w:rsid w:val="003C25A2"/>
    <w:rsid w:val="003D573A"/>
    <w:rsid w:val="003E6774"/>
    <w:rsid w:val="00400B9F"/>
    <w:rsid w:val="0040466F"/>
    <w:rsid w:val="00410B0C"/>
    <w:rsid w:val="0041142D"/>
    <w:rsid w:val="004161D1"/>
    <w:rsid w:val="00417FD0"/>
    <w:rsid w:val="00420537"/>
    <w:rsid w:val="00420CEB"/>
    <w:rsid w:val="0042362E"/>
    <w:rsid w:val="00426ED1"/>
    <w:rsid w:val="00436E44"/>
    <w:rsid w:val="00447810"/>
    <w:rsid w:val="004511E0"/>
    <w:rsid w:val="004530B8"/>
    <w:rsid w:val="00454617"/>
    <w:rsid w:val="00454D05"/>
    <w:rsid w:val="00456DC2"/>
    <w:rsid w:val="00465E5F"/>
    <w:rsid w:val="00470C52"/>
    <w:rsid w:val="00475824"/>
    <w:rsid w:val="00480BE3"/>
    <w:rsid w:val="0048307D"/>
    <w:rsid w:val="00484918"/>
    <w:rsid w:val="00487B80"/>
    <w:rsid w:val="00496B22"/>
    <w:rsid w:val="004A3F35"/>
    <w:rsid w:val="004B32C4"/>
    <w:rsid w:val="004C7335"/>
    <w:rsid w:val="004C763C"/>
    <w:rsid w:val="004D6CD0"/>
    <w:rsid w:val="004E0EB7"/>
    <w:rsid w:val="004E19D6"/>
    <w:rsid w:val="004F3EAD"/>
    <w:rsid w:val="00501877"/>
    <w:rsid w:val="005067C0"/>
    <w:rsid w:val="00506E9F"/>
    <w:rsid w:val="00520396"/>
    <w:rsid w:val="0052770C"/>
    <w:rsid w:val="00532211"/>
    <w:rsid w:val="00552FAE"/>
    <w:rsid w:val="005550B4"/>
    <w:rsid w:val="0055701F"/>
    <w:rsid w:val="005668AD"/>
    <w:rsid w:val="00570F19"/>
    <w:rsid w:val="005712CC"/>
    <w:rsid w:val="00586FEC"/>
    <w:rsid w:val="00587F0B"/>
    <w:rsid w:val="00591560"/>
    <w:rsid w:val="00591690"/>
    <w:rsid w:val="00593451"/>
    <w:rsid w:val="00593962"/>
    <w:rsid w:val="005A3ACB"/>
    <w:rsid w:val="005A67AB"/>
    <w:rsid w:val="005B1DBC"/>
    <w:rsid w:val="005D38C4"/>
    <w:rsid w:val="005E62C7"/>
    <w:rsid w:val="005F1631"/>
    <w:rsid w:val="005F4475"/>
    <w:rsid w:val="005F76D9"/>
    <w:rsid w:val="00625D8B"/>
    <w:rsid w:val="006315A5"/>
    <w:rsid w:val="00631613"/>
    <w:rsid w:val="006324EC"/>
    <w:rsid w:val="00650D07"/>
    <w:rsid w:val="00651B7D"/>
    <w:rsid w:val="00657F82"/>
    <w:rsid w:val="00660A5F"/>
    <w:rsid w:val="00664642"/>
    <w:rsid w:val="00667334"/>
    <w:rsid w:val="0066771C"/>
    <w:rsid w:val="00671122"/>
    <w:rsid w:val="00674E3A"/>
    <w:rsid w:val="00676C6F"/>
    <w:rsid w:val="00682793"/>
    <w:rsid w:val="006878AB"/>
    <w:rsid w:val="00694A96"/>
    <w:rsid w:val="006A0A62"/>
    <w:rsid w:val="006A7122"/>
    <w:rsid w:val="006B7361"/>
    <w:rsid w:val="006D756E"/>
    <w:rsid w:val="006F18C8"/>
    <w:rsid w:val="006F6EBB"/>
    <w:rsid w:val="0070440D"/>
    <w:rsid w:val="007076FB"/>
    <w:rsid w:val="00710666"/>
    <w:rsid w:val="00716E74"/>
    <w:rsid w:val="00716F36"/>
    <w:rsid w:val="00725A7B"/>
    <w:rsid w:val="00733077"/>
    <w:rsid w:val="007350BF"/>
    <w:rsid w:val="00745907"/>
    <w:rsid w:val="00754809"/>
    <w:rsid w:val="007567C4"/>
    <w:rsid w:val="00760CFE"/>
    <w:rsid w:val="00761E9C"/>
    <w:rsid w:val="00767BDF"/>
    <w:rsid w:val="00780D02"/>
    <w:rsid w:val="00780F9C"/>
    <w:rsid w:val="00786B2F"/>
    <w:rsid w:val="00787447"/>
    <w:rsid w:val="007A0EF1"/>
    <w:rsid w:val="007A4AC3"/>
    <w:rsid w:val="007B0B5E"/>
    <w:rsid w:val="007C0CE0"/>
    <w:rsid w:val="007C3186"/>
    <w:rsid w:val="007D6275"/>
    <w:rsid w:val="007E6C4D"/>
    <w:rsid w:val="007F100F"/>
    <w:rsid w:val="007F1DBF"/>
    <w:rsid w:val="007F398B"/>
    <w:rsid w:val="007F6109"/>
    <w:rsid w:val="007F70DF"/>
    <w:rsid w:val="007F7176"/>
    <w:rsid w:val="007F7FE3"/>
    <w:rsid w:val="00807E7B"/>
    <w:rsid w:val="00810444"/>
    <w:rsid w:val="00826F25"/>
    <w:rsid w:val="00835C8A"/>
    <w:rsid w:val="00840A36"/>
    <w:rsid w:val="00840CDA"/>
    <w:rsid w:val="00841EBF"/>
    <w:rsid w:val="00844967"/>
    <w:rsid w:val="00854601"/>
    <w:rsid w:val="008657D4"/>
    <w:rsid w:val="00866F6A"/>
    <w:rsid w:val="008717E3"/>
    <w:rsid w:val="00881649"/>
    <w:rsid w:val="008973EA"/>
    <w:rsid w:val="008A6A53"/>
    <w:rsid w:val="008B1A9E"/>
    <w:rsid w:val="008B3330"/>
    <w:rsid w:val="008C1BFF"/>
    <w:rsid w:val="008C41B1"/>
    <w:rsid w:val="008D097F"/>
    <w:rsid w:val="008D3CC5"/>
    <w:rsid w:val="008D63B0"/>
    <w:rsid w:val="008E1FD1"/>
    <w:rsid w:val="008E35FC"/>
    <w:rsid w:val="008F427F"/>
    <w:rsid w:val="009011E9"/>
    <w:rsid w:val="00901D19"/>
    <w:rsid w:val="00907819"/>
    <w:rsid w:val="00907AAD"/>
    <w:rsid w:val="00907BC1"/>
    <w:rsid w:val="00907FCC"/>
    <w:rsid w:val="00915FF2"/>
    <w:rsid w:val="00923F4E"/>
    <w:rsid w:val="00925992"/>
    <w:rsid w:val="009314A3"/>
    <w:rsid w:val="009318A9"/>
    <w:rsid w:val="00932B58"/>
    <w:rsid w:val="00935B12"/>
    <w:rsid w:val="00940F65"/>
    <w:rsid w:val="00943D1C"/>
    <w:rsid w:val="009564E0"/>
    <w:rsid w:val="00956AF5"/>
    <w:rsid w:val="00960333"/>
    <w:rsid w:val="009703D1"/>
    <w:rsid w:val="00972138"/>
    <w:rsid w:val="0098287E"/>
    <w:rsid w:val="009841F3"/>
    <w:rsid w:val="009934BA"/>
    <w:rsid w:val="0099674F"/>
    <w:rsid w:val="00996A84"/>
    <w:rsid w:val="009976E6"/>
    <w:rsid w:val="009A5D33"/>
    <w:rsid w:val="009A676B"/>
    <w:rsid w:val="009A67E7"/>
    <w:rsid w:val="009A687D"/>
    <w:rsid w:val="009B518F"/>
    <w:rsid w:val="009B58E1"/>
    <w:rsid w:val="009D15EC"/>
    <w:rsid w:val="009D1FF0"/>
    <w:rsid w:val="009D42A4"/>
    <w:rsid w:val="009E391F"/>
    <w:rsid w:val="009F1EA5"/>
    <w:rsid w:val="00A00BA7"/>
    <w:rsid w:val="00A015A0"/>
    <w:rsid w:val="00A25889"/>
    <w:rsid w:val="00A315DD"/>
    <w:rsid w:val="00A353A8"/>
    <w:rsid w:val="00A37B13"/>
    <w:rsid w:val="00A5187C"/>
    <w:rsid w:val="00A5440E"/>
    <w:rsid w:val="00A55478"/>
    <w:rsid w:val="00A55815"/>
    <w:rsid w:val="00A55BAF"/>
    <w:rsid w:val="00A82F5A"/>
    <w:rsid w:val="00A937FA"/>
    <w:rsid w:val="00AA0B86"/>
    <w:rsid w:val="00AA0E23"/>
    <w:rsid w:val="00AA3E0B"/>
    <w:rsid w:val="00AA5718"/>
    <w:rsid w:val="00AB0088"/>
    <w:rsid w:val="00AB323E"/>
    <w:rsid w:val="00AB6F0D"/>
    <w:rsid w:val="00AC520B"/>
    <w:rsid w:val="00AC7976"/>
    <w:rsid w:val="00AD1BCB"/>
    <w:rsid w:val="00AE185E"/>
    <w:rsid w:val="00AE7022"/>
    <w:rsid w:val="00AF1798"/>
    <w:rsid w:val="00AF2B26"/>
    <w:rsid w:val="00AF696D"/>
    <w:rsid w:val="00B001E9"/>
    <w:rsid w:val="00B07A63"/>
    <w:rsid w:val="00B164C1"/>
    <w:rsid w:val="00B20FBD"/>
    <w:rsid w:val="00B24B65"/>
    <w:rsid w:val="00B35978"/>
    <w:rsid w:val="00B452A8"/>
    <w:rsid w:val="00B563D1"/>
    <w:rsid w:val="00B825F6"/>
    <w:rsid w:val="00B83B87"/>
    <w:rsid w:val="00B850DB"/>
    <w:rsid w:val="00B85B4B"/>
    <w:rsid w:val="00B9450C"/>
    <w:rsid w:val="00BB19E4"/>
    <w:rsid w:val="00BC0DE4"/>
    <w:rsid w:val="00BC558C"/>
    <w:rsid w:val="00BD792C"/>
    <w:rsid w:val="00BE166A"/>
    <w:rsid w:val="00BE6EBB"/>
    <w:rsid w:val="00BE7908"/>
    <w:rsid w:val="00BF13F8"/>
    <w:rsid w:val="00BF40E6"/>
    <w:rsid w:val="00C03BE7"/>
    <w:rsid w:val="00C232E0"/>
    <w:rsid w:val="00C2331E"/>
    <w:rsid w:val="00C26770"/>
    <w:rsid w:val="00C336C8"/>
    <w:rsid w:val="00C338EC"/>
    <w:rsid w:val="00C40C85"/>
    <w:rsid w:val="00C40ED7"/>
    <w:rsid w:val="00C42964"/>
    <w:rsid w:val="00C47F66"/>
    <w:rsid w:val="00C5252B"/>
    <w:rsid w:val="00C52AB2"/>
    <w:rsid w:val="00C575F0"/>
    <w:rsid w:val="00C6483B"/>
    <w:rsid w:val="00C66C31"/>
    <w:rsid w:val="00C7140D"/>
    <w:rsid w:val="00C72558"/>
    <w:rsid w:val="00C734F7"/>
    <w:rsid w:val="00C82F0D"/>
    <w:rsid w:val="00C84318"/>
    <w:rsid w:val="00C851E9"/>
    <w:rsid w:val="00C865F7"/>
    <w:rsid w:val="00CA2858"/>
    <w:rsid w:val="00CB3CD9"/>
    <w:rsid w:val="00CB4335"/>
    <w:rsid w:val="00CB5A10"/>
    <w:rsid w:val="00CC1516"/>
    <w:rsid w:val="00CD40F2"/>
    <w:rsid w:val="00CD56F7"/>
    <w:rsid w:val="00CE11CE"/>
    <w:rsid w:val="00CE2C29"/>
    <w:rsid w:val="00CE5806"/>
    <w:rsid w:val="00D04B62"/>
    <w:rsid w:val="00D07434"/>
    <w:rsid w:val="00D16DAC"/>
    <w:rsid w:val="00D20E09"/>
    <w:rsid w:val="00D21126"/>
    <w:rsid w:val="00D213A1"/>
    <w:rsid w:val="00D2623A"/>
    <w:rsid w:val="00D3031D"/>
    <w:rsid w:val="00D3517F"/>
    <w:rsid w:val="00D415A8"/>
    <w:rsid w:val="00D45ACC"/>
    <w:rsid w:val="00D52B3F"/>
    <w:rsid w:val="00D55FA6"/>
    <w:rsid w:val="00D64248"/>
    <w:rsid w:val="00D66DDF"/>
    <w:rsid w:val="00D73872"/>
    <w:rsid w:val="00D77460"/>
    <w:rsid w:val="00D8320C"/>
    <w:rsid w:val="00D87124"/>
    <w:rsid w:val="00D969D2"/>
    <w:rsid w:val="00DA2B81"/>
    <w:rsid w:val="00DB0F4D"/>
    <w:rsid w:val="00DB3C7A"/>
    <w:rsid w:val="00DB3CF1"/>
    <w:rsid w:val="00DC0352"/>
    <w:rsid w:val="00DC228B"/>
    <w:rsid w:val="00DD3499"/>
    <w:rsid w:val="00E01DCD"/>
    <w:rsid w:val="00E10486"/>
    <w:rsid w:val="00E14FBC"/>
    <w:rsid w:val="00E20A84"/>
    <w:rsid w:val="00E258C2"/>
    <w:rsid w:val="00E36A77"/>
    <w:rsid w:val="00E416F4"/>
    <w:rsid w:val="00E456D1"/>
    <w:rsid w:val="00E50207"/>
    <w:rsid w:val="00E70549"/>
    <w:rsid w:val="00E73774"/>
    <w:rsid w:val="00E77B64"/>
    <w:rsid w:val="00E833B6"/>
    <w:rsid w:val="00E84428"/>
    <w:rsid w:val="00E847C6"/>
    <w:rsid w:val="00E90BE1"/>
    <w:rsid w:val="00EA7336"/>
    <w:rsid w:val="00EC3E0B"/>
    <w:rsid w:val="00EC5948"/>
    <w:rsid w:val="00ED0DE4"/>
    <w:rsid w:val="00ED4BA4"/>
    <w:rsid w:val="00EE0034"/>
    <w:rsid w:val="00EE326F"/>
    <w:rsid w:val="00EE6B2B"/>
    <w:rsid w:val="00EF75E7"/>
    <w:rsid w:val="00F0137C"/>
    <w:rsid w:val="00F01BA0"/>
    <w:rsid w:val="00F0602E"/>
    <w:rsid w:val="00F20C68"/>
    <w:rsid w:val="00F24B39"/>
    <w:rsid w:val="00F34925"/>
    <w:rsid w:val="00F35039"/>
    <w:rsid w:val="00F45D63"/>
    <w:rsid w:val="00F5252E"/>
    <w:rsid w:val="00F54217"/>
    <w:rsid w:val="00F616F4"/>
    <w:rsid w:val="00F701B9"/>
    <w:rsid w:val="00F70C1B"/>
    <w:rsid w:val="00F747B6"/>
    <w:rsid w:val="00F77F62"/>
    <w:rsid w:val="00F81CED"/>
    <w:rsid w:val="00F91901"/>
    <w:rsid w:val="00F938AB"/>
    <w:rsid w:val="00F94C7A"/>
    <w:rsid w:val="00F96972"/>
    <w:rsid w:val="00FC0149"/>
    <w:rsid w:val="00FD1C89"/>
    <w:rsid w:val="00FD5928"/>
    <w:rsid w:val="00FD6303"/>
    <w:rsid w:val="00FD7ADE"/>
    <w:rsid w:val="00FE176D"/>
    <w:rsid w:val="00FE31B2"/>
    <w:rsid w:val="00FF2E1E"/>
    <w:rsid w:val="00FF4336"/>
    <w:rsid w:val="00FF67E8"/>
    <w:rsid w:val="02104022"/>
    <w:rsid w:val="032D33BC"/>
    <w:rsid w:val="03AC29E3"/>
    <w:rsid w:val="03EA43FF"/>
    <w:rsid w:val="05502988"/>
    <w:rsid w:val="0575419C"/>
    <w:rsid w:val="05AB5E10"/>
    <w:rsid w:val="06896EC1"/>
    <w:rsid w:val="06E42D6F"/>
    <w:rsid w:val="072D11D3"/>
    <w:rsid w:val="07975171"/>
    <w:rsid w:val="07E9507F"/>
    <w:rsid w:val="08033CE1"/>
    <w:rsid w:val="081B3731"/>
    <w:rsid w:val="08215AE4"/>
    <w:rsid w:val="08634780"/>
    <w:rsid w:val="09313C78"/>
    <w:rsid w:val="0A817B42"/>
    <w:rsid w:val="0AD054CA"/>
    <w:rsid w:val="0C5862C3"/>
    <w:rsid w:val="0C597059"/>
    <w:rsid w:val="0D374B59"/>
    <w:rsid w:val="0DC972EF"/>
    <w:rsid w:val="0F1075E9"/>
    <w:rsid w:val="10C06C14"/>
    <w:rsid w:val="110E3BB8"/>
    <w:rsid w:val="11124A42"/>
    <w:rsid w:val="12415B32"/>
    <w:rsid w:val="1252795D"/>
    <w:rsid w:val="13C95DDF"/>
    <w:rsid w:val="14417BF7"/>
    <w:rsid w:val="155344FA"/>
    <w:rsid w:val="15BF393E"/>
    <w:rsid w:val="165027E8"/>
    <w:rsid w:val="167578E8"/>
    <w:rsid w:val="167D1103"/>
    <w:rsid w:val="1A3B730B"/>
    <w:rsid w:val="1A501008"/>
    <w:rsid w:val="1A5F2FF9"/>
    <w:rsid w:val="1B1539F5"/>
    <w:rsid w:val="1C856F63"/>
    <w:rsid w:val="1CA70C88"/>
    <w:rsid w:val="1CD371D0"/>
    <w:rsid w:val="1D2F43D4"/>
    <w:rsid w:val="1FDD51F9"/>
    <w:rsid w:val="203F1D37"/>
    <w:rsid w:val="21076199"/>
    <w:rsid w:val="218E0668"/>
    <w:rsid w:val="21F73621"/>
    <w:rsid w:val="22662847"/>
    <w:rsid w:val="248F3D0B"/>
    <w:rsid w:val="25983863"/>
    <w:rsid w:val="264D36E6"/>
    <w:rsid w:val="26885F59"/>
    <w:rsid w:val="26EC22DC"/>
    <w:rsid w:val="278F5BA8"/>
    <w:rsid w:val="28833EE0"/>
    <w:rsid w:val="28D92742"/>
    <w:rsid w:val="2B52793D"/>
    <w:rsid w:val="2EF10702"/>
    <w:rsid w:val="2F61116A"/>
    <w:rsid w:val="32EB3B20"/>
    <w:rsid w:val="332A3F11"/>
    <w:rsid w:val="337A727C"/>
    <w:rsid w:val="33F46A50"/>
    <w:rsid w:val="36211653"/>
    <w:rsid w:val="36743E79"/>
    <w:rsid w:val="37FE1C4C"/>
    <w:rsid w:val="38462109"/>
    <w:rsid w:val="38680663"/>
    <w:rsid w:val="38AA5930"/>
    <w:rsid w:val="39334C0E"/>
    <w:rsid w:val="39AC1DA0"/>
    <w:rsid w:val="39B17E95"/>
    <w:rsid w:val="39B36A66"/>
    <w:rsid w:val="3A836438"/>
    <w:rsid w:val="3AAF722D"/>
    <w:rsid w:val="3E495293"/>
    <w:rsid w:val="3EEB3CCF"/>
    <w:rsid w:val="3FAD2631"/>
    <w:rsid w:val="40054F06"/>
    <w:rsid w:val="40D961A1"/>
    <w:rsid w:val="417373C0"/>
    <w:rsid w:val="41BE4CC7"/>
    <w:rsid w:val="423130DE"/>
    <w:rsid w:val="43324E9F"/>
    <w:rsid w:val="43330B9C"/>
    <w:rsid w:val="48FD70CE"/>
    <w:rsid w:val="491C0752"/>
    <w:rsid w:val="4B8E46F4"/>
    <w:rsid w:val="4CB42E06"/>
    <w:rsid w:val="4CF83DA3"/>
    <w:rsid w:val="4E450A79"/>
    <w:rsid w:val="4EB00F44"/>
    <w:rsid w:val="4EB64BD7"/>
    <w:rsid w:val="4FD40136"/>
    <w:rsid w:val="525F10E1"/>
    <w:rsid w:val="53236C00"/>
    <w:rsid w:val="5355389A"/>
    <w:rsid w:val="539B25ED"/>
    <w:rsid w:val="5487781A"/>
    <w:rsid w:val="558428AF"/>
    <w:rsid w:val="57191A00"/>
    <w:rsid w:val="57E734B7"/>
    <w:rsid w:val="58AD32F0"/>
    <w:rsid w:val="593A6404"/>
    <w:rsid w:val="5A2266FE"/>
    <w:rsid w:val="5E3B382F"/>
    <w:rsid w:val="5ECA3D86"/>
    <w:rsid w:val="5F146495"/>
    <w:rsid w:val="5FB02517"/>
    <w:rsid w:val="619C1A0A"/>
    <w:rsid w:val="63A57B87"/>
    <w:rsid w:val="63AE1EC8"/>
    <w:rsid w:val="63C56E25"/>
    <w:rsid w:val="63F02585"/>
    <w:rsid w:val="6623094C"/>
    <w:rsid w:val="665A00E6"/>
    <w:rsid w:val="66AA3F53"/>
    <w:rsid w:val="66BE1FE6"/>
    <w:rsid w:val="677156E7"/>
    <w:rsid w:val="6796514D"/>
    <w:rsid w:val="690D7EF6"/>
    <w:rsid w:val="692A5B9B"/>
    <w:rsid w:val="695B2D49"/>
    <w:rsid w:val="6B4355EC"/>
    <w:rsid w:val="6C465394"/>
    <w:rsid w:val="6C4D66E5"/>
    <w:rsid w:val="70054994"/>
    <w:rsid w:val="704F663F"/>
    <w:rsid w:val="70E43CB6"/>
    <w:rsid w:val="710E5E8B"/>
    <w:rsid w:val="72190E55"/>
    <w:rsid w:val="727147ED"/>
    <w:rsid w:val="72790C00"/>
    <w:rsid w:val="7289287A"/>
    <w:rsid w:val="743E6F5B"/>
    <w:rsid w:val="759233F8"/>
    <w:rsid w:val="769413F2"/>
    <w:rsid w:val="78591FAB"/>
    <w:rsid w:val="7A392094"/>
    <w:rsid w:val="7A741C88"/>
    <w:rsid w:val="7CEB1854"/>
    <w:rsid w:val="7D4A280A"/>
    <w:rsid w:val="7EE5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20" w:after="20" w:line="360" w:lineRule="auto"/>
      <w:jc w:val="center"/>
      <w:outlineLvl w:val="0"/>
    </w:pPr>
    <w:rPr>
      <w:b/>
      <w:bCs/>
      <w:color w:val="000000" w:themeColor="text1"/>
      <w:kern w:val="44"/>
      <w:sz w:val="24"/>
      <w:szCs w:val="44"/>
      <w14:textFill>
        <w14:solidFill>
          <w14:schemeClr w14:val="tx1"/>
        </w14:solidFill>
      </w14:textFill>
    </w:rPr>
  </w:style>
  <w:style w:type="paragraph" w:styleId="5">
    <w:name w:val="heading 2"/>
    <w:basedOn w:val="1"/>
    <w:next w:val="1"/>
    <w:qFormat/>
    <w:uiPriority w:val="0"/>
    <w:pPr>
      <w:keepNext/>
      <w:keepLines/>
      <w:spacing w:before="260" w:after="260" w:line="415" w:lineRule="auto"/>
      <w:outlineLvl w:val="1"/>
    </w:pPr>
    <w:rPr>
      <w:rFonts w:ascii="Arial" w:hAnsi="Arial" w:eastAsia="黑体" w:cstheme="majorBidi"/>
      <w:b/>
      <w:bCs/>
      <w:kern w:val="0"/>
      <w:sz w:val="32"/>
      <w:szCs w:val="32"/>
    </w:rPr>
  </w:style>
  <w:style w:type="paragraph" w:styleId="6">
    <w:name w:val="heading 4"/>
    <w:basedOn w:val="1"/>
    <w:next w:val="1"/>
    <w:link w:val="2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ind w:firstLine="420" w:firstLineChars="100"/>
    </w:pPr>
  </w:style>
  <w:style w:type="paragraph" w:styleId="3">
    <w:name w:val="Body Text"/>
    <w:basedOn w:val="1"/>
    <w:qFormat/>
    <w:uiPriority w:val="0"/>
    <w:pPr>
      <w:spacing w:after="120"/>
    </w:pPr>
    <w:rPr>
      <w:rFonts w:ascii="Calibri" w:hAnsi="Calibri"/>
      <w:kern w:val="0"/>
      <w:sz w:val="28"/>
    </w:rPr>
  </w:style>
  <w:style w:type="paragraph" w:styleId="7">
    <w:name w:val="List Number"/>
    <w:basedOn w:val="1"/>
    <w:qFormat/>
    <w:uiPriority w:val="0"/>
    <w:pPr>
      <w:numPr>
        <w:ilvl w:val="0"/>
        <w:numId w:val="1"/>
      </w:numPr>
    </w:pPr>
  </w:style>
  <w:style w:type="paragraph" w:styleId="8">
    <w:name w:val="Normal Indent"/>
    <w:basedOn w:val="1"/>
    <w:qFormat/>
    <w:uiPriority w:val="0"/>
    <w:pPr>
      <w:spacing w:line="400" w:lineRule="exact"/>
      <w:ind w:firstLine="480" w:firstLineChars="200"/>
    </w:pPr>
    <w:rPr>
      <w:color w:val="000000"/>
      <w:kern w:val="24"/>
      <w:sz w:val="24"/>
      <w:lang w:val="sv-SE"/>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semiHidden/>
    <w:unhideWhenUsed/>
    <w:qFormat/>
    <w:uiPriority w:val="0"/>
    <w:pPr>
      <w:jc w:val="left"/>
    </w:pPr>
  </w:style>
  <w:style w:type="paragraph" w:styleId="11">
    <w:name w:val="Body Text Indent"/>
    <w:basedOn w:val="1"/>
    <w:unhideWhenUsed/>
    <w:qFormat/>
    <w:uiPriority w:val="0"/>
    <w:pPr>
      <w:spacing w:after="120"/>
      <w:ind w:left="420" w:leftChars="200"/>
    </w:pPr>
    <w:rPr>
      <w:kern w:val="0"/>
      <w:sz w:val="20"/>
    </w:rPr>
  </w:style>
  <w:style w:type="paragraph" w:styleId="12">
    <w:name w:val="Plain Text"/>
    <w:basedOn w:val="1"/>
    <w:qFormat/>
    <w:uiPriority w:val="0"/>
    <w:pPr>
      <w:spacing w:beforeLines="50" w:afterLines="50" w:line="400" w:lineRule="exact"/>
    </w:pPr>
    <w:rPr>
      <w:rFonts w:ascii="宋体" w:hAnsi="Courier New" w:cs="Courier New"/>
      <w:kern w:val="0"/>
      <w:sz w:val="24"/>
    </w:rPr>
  </w:style>
  <w:style w:type="paragraph" w:styleId="13">
    <w:name w:val="Date"/>
    <w:basedOn w:val="1"/>
    <w:next w:val="1"/>
    <w:qFormat/>
    <w:uiPriority w:val="0"/>
    <w:pPr>
      <w:ind w:left="2500" w:leftChars="2500"/>
    </w:pPr>
    <w:rPr>
      <w:rFonts w:ascii="Calibri" w:hAnsi="Calibri" w:eastAsia="楷体_GB2312"/>
      <w:kern w:val="0"/>
      <w:sz w:val="32"/>
      <w:szCs w:val="20"/>
    </w:rPr>
  </w:style>
  <w:style w:type="paragraph" w:styleId="14">
    <w:name w:val="Balloon Text"/>
    <w:basedOn w:val="1"/>
    <w:link w:val="39"/>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39"/>
  </w:style>
  <w:style w:type="paragraph" w:styleId="18">
    <w:name w:val="Body Text Indent 3"/>
    <w:basedOn w:val="1"/>
    <w:link w:val="40"/>
    <w:qFormat/>
    <w:uiPriority w:val="0"/>
    <w:pPr>
      <w:spacing w:after="120" w:line="360" w:lineRule="auto"/>
      <w:ind w:left="420" w:leftChars="200"/>
    </w:pPr>
    <w:rPr>
      <w:rFonts w:ascii="Calibri" w:hAnsi="Calibri"/>
      <w:sz w:val="16"/>
      <w:szCs w:val="16"/>
    </w:rPr>
  </w:style>
  <w:style w:type="paragraph" w:styleId="19">
    <w:name w:val="index 1"/>
    <w:basedOn w:val="1"/>
    <w:next w:val="1"/>
    <w:qFormat/>
    <w:uiPriority w:val="0"/>
    <w:pPr>
      <w:jc w:val="center"/>
    </w:pPr>
    <w:rPr>
      <w:rFonts w:ascii="Arial" w:hAnsi="Arial" w:eastAsia="Arial" w:cs="Arial"/>
      <w:b/>
      <w:bCs/>
      <w:sz w:val="28"/>
      <w:szCs w:val="20"/>
    </w:rPr>
  </w:style>
  <w:style w:type="paragraph" w:styleId="20">
    <w:name w:val="Title"/>
    <w:basedOn w:val="1"/>
    <w:qFormat/>
    <w:uiPriority w:val="0"/>
    <w:pPr>
      <w:spacing w:before="240" w:after="60"/>
      <w:jc w:val="center"/>
      <w:outlineLvl w:val="0"/>
    </w:pPr>
    <w:rPr>
      <w:rFonts w:ascii="Arial" w:hAnsi="Arial" w:eastAsia="仿宋_GB2312"/>
      <w:b/>
      <w:bCs/>
      <w:kern w:val="0"/>
      <w:sz w:val="36"/>
      <w:szCs w:val="32"/>
    </w:rPr>
  </w:style>
  <w:style w:type="table" w:styleId="22">
    <w:name w:val="Table Grid"/>
    <w:basedOn w:val="21"/>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page number"/>
    <w:basedOn w:val="23"/>
    <w:qFormat/>
    <w:uiPriority w:val="99"/>
  </w:style>
  <w:style w:type="character" w:styleId="26">
    <w:name w:val="Hyperlink"/>
    <w:qFormat/>
    <w:uiPriority w:val="99"/>
    <w:rPr>
      <w:color w:val="0000FF"/>
      <w:u w:val="single"/>
    </w:rPr>
  </w:style>
  <w:style w:type="character" w:customStyle="1" w:styleId="2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28">
    <w:name w:val="TOC 标题1"/>
    <w:basedOn w:val="4"/>
    <w:next w:val="1"/>
    <w:qFormat/>
    <w:uiPriority w:val="0"/>
    <w:pPr>
      <w:outlineLvl w:val="9"/>
    </w:pPr>
  </w:style>
  <w:style w:type="paragraph" w:customStyle="1" w:styleId="29">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0">
    <w:name w:val="表格文本"/>
    <w:basedOn w:val="3"/>
    <w:qFormat/>
    <w:uiPriority w:val="0"/>
    <w:pPr>
      <w:spacing w:after="0"/>
    </w:pPr>
    <w:rPr>
      <w:kern w:val="2"/>
      <w:sz w:val="21"/>
      <w:szCs w:val="22"/>
    </w:rPr>
  </w:style>
  <w:style w:type="character" w:customStyle="1" w:styleId="31">
    <w:name w:val="fontstyle01"/>
    <w:qFormat/>
    <w:uiPriority w:val="0"/>
    <w:rPr>
      <w:rFonts w:hint="eastAsia" w:ascii="宋体" w:hAnsi="宋体" w:eastAsia="宋体"/>
      <w:color w:val="000000"/>
      <w:sz w:val="22"/>
      <w:szCs w:val="22"/>
    </w:rPr>
  </w:style>
  <w:style w:type="paragraph" w:customStyle="1" w:styleId="32">
    <w:name w:val="正文段"/>
    <w:basedOn w:val="1"/>
    <w:qFormat/>
    <w:uiPriority w:val="0"/>
    <w:pPr>
      <w:widowControl/>
      <w:snapToGrid w:val="0"/>
      <w:spacing w:afterLines="50"/>
      <w:ind w:firstLine="200" w:firstLineChars="200"/>
    </w:pPr>
    <w:rPr>
      <w:kern w:val="0"/>
      <w:sz w:val="24"/>
      <w:szCs w:val="20"/>
    </w:rPr>
  </w:style>
  <w:style w:type="paragraph" w:customStyle="1" w:styleId="33">
    <w:name w:val="D&amp;L"/>
    <w:basedOn w:val="16"/>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sz w:val="24"/>
      <w:szCs w:val="20"/>
    </w:rPr>
  </w:style>
  <w:style w:type="paragraph" w:customStyle="1" w:styleId="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5">
    <w:name w:val="Body Text First Indent 21"/>
    <w:basedOn w:val="1"/>
    <w:qFormat/>
    <w:uiPriority w:val="0"/>
    <w:pPr>
      <w:ind w:left="420" w:leftChars="200" w:firstLine="420"/>
    </w:pPr>
    <w:rPr>
      <w:szCs w:val="21"/>
    </w:rPr>
  </w:style>
  <w:style w:type="paragraph" w:styleId="36">
    <w:name w:val="List Paragraph"/>
    <w:basedOn w:val="1"/>
    <w:qFormat/>
    <w:uiPriority w:val="99"/>
    <w:pPr>
      <w:ind w:left="420" w:firstLine="420" w:firstLineChars="200"/>
    </w:pPr>
    <w:rPr>
      <w:rFonts w:ascii="Calibri" w:hAnsi="Calibri"/>
      <w:kern w:val="0"/>
      <w:sz w:val="20"/>
      <w:szCs w:val="20"/>
    </w:rPr>
  </w:style>
  <w:style w:type="paragraph" w:customStyle="1" w:styleId="37">
    <w:name w:val="首行缩进"/>
    <w:basedOn w:val="1"/>
    <w:qFormat/>
    <w:uiPriority w:val="0"/>
    <w:pPr>
      <w:spacing w:line="360" w:lineRule="auto"/>
      <w:ind w:firstLine="480" w:firstLineChars="200"/>
    </w:pPr>
    <w:rPr>
      <w:rFonts w:hAnsi="宋体" w:cs="宋体"/>
      <w:sz w:val="24"/>
    </w:rPr>
  </w:style>
  <w:style w:type="paragraph" w:customStyle="1" w:styleId="38">
    <w:name w:val="TOC 标题2"/>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character" w:customStyle="1" w:styleId="39">
    <w:name w:val="批注框文本 字符"/>
    <w:basedOn w:val="23"/>
    <w:link w:val="14"/>
    <w:qFormat/>
    <w:uiPriority w:val="0"/>
    <w:rPr>
      <w:rFonts w:ascii="Times New Roman" w:hAnsi="Times New Roman" w:eastAsia="宋体" w:cs="Times New Roman"/>
      <w:kern w:val="2"/>
      <w:sz w:val="18"/>
      <w:szCs w:val="18"/>
    </w:rPr>
  </w:style>
  <w:style w:type="character" w:customStyle="1" w:styleId="40">
    <w:name w:val="正文文本缩进 3 字符"/>
    <w:basedOn w:val="23"/>
    <w:link w:val="18"/>
    <w:qFormat/>
    <w:uiPriority w:val="0"/>
    <w:rPr>
      <w:rFonts w:ascii="Calibri" w:hAnsi="Calibri" w:eastAsia="宋体" w:cs="Times New Roman"/>
      <w:kern w:val="2"/>
      <w:sz w:val="16"/>
      <w:szCs w:val="16"/>
    </w:rPr>
  </w:style>
  <w:style w:type="character" w:customStyle="1" w:styleId="41">
    <w:name w:val="正文首行缩进 字符"/>
    <w:basedOn w:val="23"/>
    <w:link w:val="2"/>
    <w:qFormat/>
    <w:uiPriority w:val="99"/>
    <w:rPr>
      <w:rFonts w:ascii="Calibri" w:hAnsi="Calibri" w:eastAsia="宋体" w:cs="Times New Roman"/>
      <w:sz w:val="28"/>
      <w:szCs w:val="24"/>
    </w:rPr>
  </w:style>
  <w:style w:type="paragraph" w:customStyle="1" w:styleId="42">
    <w:name w:val="text-tag"/>
    <w:basedOn w:val="1"/>
    <w:qFormat/>
    <w:uiPriority w:val="0"/>
    <w:pPr>
      <w:widowControl/>
      <w:spacing w:before="100" w:beforeAutospacing="1" w:after="100" w:afterAutospacing="1"/>
      <w:jc w:val="left"/>
    </w:pPr>
    <w:rPr>
      <w:rFonts w:ascii="宋体" w:hAnsi="宋体" w:eastAsia="仿宋_GB2312" w:cs="宋体"/>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22229</Words>
  <Characters>23465</Characters>
  <Lines>239</Lines>
  <Paragraphs>67</Paragraphs>
  <TotalTime>9</TotalTime>
  <ScaleCrop>false</ScaleCrop>
  <LinksUpToDate>false</LinksUpToDate>
  <CharactersWithSpaces>25091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2024-11-15T04:10:00Z</dcterms:created>
  <dc:creator>Administrator</dc:creator>
  <cp:lastModifiedBy>WPS_totem</cp:lastModifiedBy>
  <cp:lastPrinted>2026-04-14T08:36:00Z</cp:lastPrinted>
  <dcterms:modified xsi:type="dcterms:W3CDTF">2026-04-14T08:46:37Z</dcterms:modified>
  <cp:revision>727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891E143690874E92A214C65E67911004_13</vt:lpwstr>
  </property>
  <property fmtid="{D5CDD505-2E9C-101B-9397-08002B2CF9AE}" pid="4" name="KSOTemplateDocerSaveRecord">
    <vt:lpwstr>eyJoZGlkIjoiZTg0NzliNWVmMWIwMTUwZjYyYWE5YmIxOGNiYzkxZmIiLCJ1c2VySWQiOiIxMzI1MzgwNDEwIn0=</vt:lpwstr>
  </property>
</Properties>
</file>