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30529">
      <w:pPr>
        <w:pStyle w:val="103"/>
        <w:spacing w:before="0" w:after="0"/>
        <w:ind w:firstLine="0"/>
        <w:rPr>
          <w:rFonts w:hint="eastAsia" w:ascii="宋体" w:hAnsi="宋体" w:eastAsia="宋体" w:cs="宋体"/>
          <w:color w:val="000000" w:themeColor="text1"/>
          <w:highlight w:val="none"/>
          <w14:textFill>
            <w14:solidFill>
              <w14:schemeClr w14:val="tx1"/>
            </w14:solidFill>
          </w14:textFill>
        </w:rPr>
      </w:pPr>
    </w:p>
    <w:p w14:paraId="13FFFE42">
      <w:pPr>
        <w:pStyle w:val="103"/>
        <w:ind w:firstLine="0"/>
        <w:jc w:val="center"/>
        <w:rPr>
          <w:rFonts w:hint="eastAsia" w:ascii="宋体" w:hAnsi="宋体" w:eastAsia="宋体" w:cs="宋体"/>
          <w:b/>
          <w:bCs/>
          <w:color w:val="000000" w:themeColor="text1"/>
          <w:sz w:val="84"/>
          <w:highlight w:val="none"/>
          <w14:textFill>
            <w14:solidFill>
              <w14:schemeClr w14:val="tx1"/>
            </w14:solidFill>
          </w14:textFill>
        </w:rPr>
      </w:pPr>
      <w:r>
        <w:rPr>
          <w:rFonts w:hint="eastAsia" w:ascii="宋体" w:hAnsi="宋体" w:eastAsia="宋体" w:cs="宋体"/>
          <w:b/>
          <w:bCs/>
          <w:color w:val="000000" w:themeColor="text1"/>
          <w:sz w:val="84"/>
          <w:highlight w:val="none"/>
          <w14:textFill>
            <w14:solidFill>
              <w14:schemeClr w14:val="tx1"/>
            </w14:solidFill>
          </w14:textFill>
        </w:rPr>
        <w:t>招　标　文　件</w:t>
      </w:r>
    </w:p>
    <w:p w14:paraId="4F66C1EB">
      <w:pPr>
        <w:pStyle w:val="103"/>
        <w:ind w:firstLine="0"/>
        <w:rPr>
          <w:rFonts w:hint="eastAsia" w:ascii="宋体" w:hAnsi="宋体" w:eastAsia="宋体" w:cs="宋体"/>
          <w:b/>
          <w:bCs/>
          <w:color w:val="000000" w:themeColor="text1"/>
          <w:sz w:val="32"/>
          <w:highlight w:val="none"/>
          <w14:textFill>
            <w14:solidFill>
              <w14:schemeClr w14:val="tx1"/>
            </w14:solidFill>
          </w14:textFill>
        </w:rPr>
      </w:pPr>
    </w:p>
    <w:p w14:paraId="64069458">
      <w:pPr>
        <w:pStyle w:val="103"/>
        <w:ind w:firstLine="0"/>
        <w:jc w:val="both"/>
        <w:rPr>
          <w:rFonts w:hint="default" w:ascii="宋体" w:hAnsi="宋体" w:eastAsia="宋体" w:cs="宋体"/>
          <w:b/>
          <w:bCs/>
          <w:color w:val="000000" w:themeColor="text1"/>
          <w:sz w:val="32"/>
          <w:highlight w:val="none"/>
          <w:lang w:val="en-US" w:eastAsia="zh-CN"/>
          <w14:textFill>
            <w14:solidFill>
              <w14:schemeClr w14:val="tx1"/>
            </w14:solidFill>
          </w14:textFill>
        </w:rPr>
      </w:pPr>
      <w:r>
        <w:rPr>
          <w:rFonts w:hint="eastAsia" w:ascii="宋体" w:hAnsi="宋体" w:eastAsia="宋体" w:cs="宋体"/>
          <w:b/>
          <w:bCs/>
          <w:color w:val="000000" w:themeColor="text1"/>
          <w:sz w:val="32"/>
          <w:highlight w:val="none"/>
          <w14:textFill>
            <w14:solidFill>
              <w14:schemeClr w14:val="tx1"/>
            </w14:solidFill>
          </w14:textFill>
        </w:rPr>
        <w:t>项目名称：新疆</w:t>
      </w:r>
      <w:r>
        <w:rPr>
          <w:rFonts w:hint="eastAsia" w:ascii="宋体" w:hAnsi="宋体" w:eastAsia="宋体" w:cs="宋体"/>
          <w:b/>
          <w:bCs/>
          <w:color w:val="000000" w:themeColor="text1"/>
          <w:sz w:val="32"/>
          <w:highlight w:val="none"/>
          <w:lang w:val="en-US" w:eastAsia="zh-CN"/>
          <w14:textFill>
            <w14:solidFill>
              <w14:schemeClr w14:val="tx1"/>
            </w14:solidFill>
          </w14:textFill>
        </w:rPr>
        <w:t>师范大学智慧教育及应用工程技术研究中心项目（1）</w:t>
      </w:r>
      <w:bookmarkStart w:id="247" w:name="_GoBack"/>
      <w:bookmarkEnd w:id="247"/>
    </w:p>
    <w:p w14:paraId="3C26FC54">
      <w:pPr>
        <w:pStyle w:val="103"/>
        <w:ind w:firstLine="0"/>
        <w:jc w:val="both"/>
        <w:rPr>
          <w:rFonts w:hint="default" w:ascii="宋体" w:hAnsi="宋体" w:eastAsia="宋体" w:cs="宋体"/>
          <w:b/>
          <w:bCs/>
          <w:color w:val="000000" w:themeColor="text1"/>
          <w:sz w:val="32"/>
          <w:highlight w:val="none"/>
          <w:lang w:val="en-US" w:eastAsia="zh-CN"/>
          <w14:textFill>
            <w14:solidFill>
              <w14:schemeClr w14:val="tx1"/>
            </w14:solidFill>
          </w14:textFill>
        </w:rPr>
      </w:pPr>
      <w:r>
        <w:rPr>
          <w:rFonts w:hint="eastAsia" w:ascii="宋体" w:hAnsi="宋体" w:eastAsia="宋体" w:cs="宋体"/>
          <w:b/>
          <w:bCs/>
          <w:color w:val="000000" w:themeColor="text1"/>
          <w:sz w:val="32"/>
          <w:highlight w:val="none"/>
          <w14:textFill>
            <w14:solidFill>
              <w14:schemeClr w14:val="tx1"/>
            </w14:solidFill>
          </w14:textFill>
        </w:rPr>
        <w:t>项目编号：GK202</w:t>
      </w:r>
      <w:r>
        <w:rPr>
          <w:rFonts w:hint="eastAsia" w:ascii="宋体" w:hAnsi="宋体" w:eastAsia="宋体" w:cs="宋体"/>
          <w:b/>
          <w:bCs/>
          <w:color w:val="000000" w:themeColor="text1"/>
          <w:sz w:val="32"/>
          <w:highlight w:val="none"/>
          <w:lang w:val="en-US" w:eastAsia="zh-CN"/>
          <w14:textFill>
            <w14:solidFill>
              <w14:schemeClr w14:val="tx1"/>
            </w14:solidFill>
          </w14:textFill>
        </w:rPr>
        <w:t>6</w:t>
      </w:r>
      <w:r>
        <w:rPr>
          <w:rFonts w:hint="eastAsia" w:ascii="宋体" w:hAnsi="宋体" w:eastAsia="宋体" w:cs="宋体"/>
          <w:b/>
          <w:bCs/>
          <w:color w:val="000000" w:themeColor="text1"/>
          <w:sz w:val="32"/>
          <w:highlight w:val="none"/>
          <w14:textFill>
            <w14:solidFill>
              <w14:schemeClr w14:val="tx1"/>
            </w14:solidFill>
          </w14:textFill>
        </w:rPr>
        <w:t>-</w:t>
      </w:r>
      <w:r>
        <w:rPr>
          <w:rFonts w:hint="eastAsia" w:ascii="宋体" w:hAnsi="宋体" w:cs="宋体"/>
          <w:b/>
          <w:bCs/>
          <w:color w:val="000000" w:themeColor="text1"/>
          <w:sz w:val="32"/>
          <w:highlight w:val="none"/>
          <w:lang w:val="en-US" w:eastAsia="zh-CN"/>
          <w14:textFill>
            <w14:solidFill>
              <w14:schemeClr w14:val="tx1"/>
            </w14:solidFill>
          </w14:textFill>
        </w:rPr>
        <w:t>072</w:t>
      </w:r>
    </w:p>
    <w:p w14:paraId="06FFE838">
      <w:pPr>
        <w:pStyle w:val="103"/>
        <w:spacing w:before="0" w:after="0"/>
        <w:ind w:firstLine="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tbl>
      <w:tblPr>
        <w:tblStyle w:val="37"/>
        <w:tblpPr w:leftFromText="180" w:rightFromText="180" w:vertAnchor="page" w:horzAnchor="margin" w:tblpY="78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8161"/>
      </w:tblGrid>
      <w:tr w14:paraId="3D51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667" w:type="dxa"/>
            <w:noWrap w:val="0"/>
            <w:vAlign w:val="center"/>
          </w:tcPr>
          <w:p w14:paraId="0D87BD22">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采购人</w:t>
            </w:r>
          </w:p>
          <w:p w14:paraId="1020E5D9">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审核意见</w:t>
            </w:r>
          </w:p>
        </w:tc>
        <w:tc>
          <w:tcPr>
            <w:tcW w:w="8161" w:type="dxa"/>
            <w:noWrap w:val="0"/>
            <w:vAlign w:val="top"/>
          </w:tcPr>
          <w:p w14:paraId="3B10ABFF">
            <w:pP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w:t>
            </w:r>
          </w:p>
          <w:p w14:paraId="70BD3175">
            <w:pPr>
              <w:rPr>
                <w:rFonts w:hint="eastAsia" w:ascii="宋体" w:hAnsi="宋体" w:eastAsia="宋体" w:cs="宋体"/>
                <w:color w:val="000000" w:themeColor="text1"/>
                <w:sz w:val="28"/>
                <w:szCs w:val="28"/>
                <w:highlight w:val="none"/>
                <w14:textFill>
                  <w14:solidFill>
                    <w14:schemeClr w14:val="tx1"/>
                  </w14:solidFill>
                </w14:textFill>
              </w:rPr>
            </w:pPr>
          </w:p>
          <w:p w14:paraId="22EC61A2">
            <w:pPr>
              <w:ind w:firstLine="4620" w:firstLineChars="165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采购人签章：</w:t>
            </w:r>
          </w:p>
          <w:p w14:paraId="70EEC535">
            <w:pP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年  月  日</w:t>
            </w:r>
          </w:p>
        </w:tc>
      </w:tr>
      <w:tr w14:paraId="7EE0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667" w:type="dxa"/>
            <w:noWrap w:val="0"/>
            <w:vAlign w:val="center"/>
          </w:tcPr>
          <w:p w14:paraId="536E85D6">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内控监督</w:t>
            </w:r>
            <w:r>
              <w:rPr>
                <w:rFonts w:hint="eastAsia" w:ascii="宋体" w:hAnsi="宋体" w:eastAsia="宋体" w:cs="宋体"/>
                <w:color w:val="000000" w:themeColor="text1"/>
                <w:sz w:val="28"/>
                <w:szCs w:val="28"/>
                <w:highlight w:val="none"/>
                <w14:textFill>
                  <w14:solidFill>
                    <w14:schemeClr w14:val="tx1"/>
                  </w14:solidFill>
                </w14:textFill>
              </w:rPr>
              <w:t>部</w:t>
            </w:r>
          </w:p>
          <w:p w14:paraId="2D0C3FFA">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审核意见</w:t>
            </w:r>
          </w:p>
        </w:tc>
        <w:tc>
          <w:tcPr>
            <w:tcW w:w="8161" w:type="dxa"/>
            <w:noWrap w:val="0"/>
            <w:vAlign w:val="top"/>
          </w:tcPr>
          <w:p w14:paraId="3312B68E">
            <w:pPr>
              <w:ind w:firstLine="4620" w:firstLineChars="1650"/>
              <w:rPr>
                <w:rFonts w:hint="eastAsia" w:ascii="宋体" w:hAnsi="宋体" w:eastAsia="宋体" w:cs="宋体"/>
                <w:color w:val="000000" w:themeColor="text1"/>
                <w:sz w:val="28"/>
                <w:szCs w:val="28"/>
                <w:highlight w:val="none"/>
                <w14:textFill>
                  <w14:solidFill>
                    <w14:schemeClr w14:val="tx1"/>
                  </w14:solidFill>
                </w14:textFill>
              </w:rPr>
            </w:pPr>
          </w:p>
          <w:p w14:paraId="52422716">
            <w:pPr>
              <w:ind w:firstLine="4620" w:firstLineChars="165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审核人签章：</w:t>
            </w:r>
          </w:p>
          <w:p w14:paraId="4EE092D4">
            <w:pP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年  月  日</w:t>
            </w:r>
          </w:p>
        </w:tc>
      </w:tr>
    </w:tbl>
    <w:p w14:paraId="264CAD1B">
      <w:pPr>
        <w:pStyle w:val="103"/>
        <w:ind w:firstLine="0"/>
        <w:jc w:val="center"/>
        <w:rPr>
          <w:rFonts w:hint="eastAsia" w:ascii="宋体" w:hAnsi="宋体" w:eastAsia="宋体" w:cs="宋体"/>
          <w:b/>
          <w:bCs/>
          <w:color w:val="000000" w:themeColor="text1"/>
          <w:sz w:val="32"/>
          <w:highlight w:val="none"/>
          <w14:textFill>
            <w14:solidFill>
              <w14:schemeClr w14:val="tx1"/>
            </w14:solidFill>
          </w14:textFill>
        </w:rPr>
      </w:pPr>
    </w:p>
    <w:p w14:paraId="4B6998CF">
      <w:pPr>
        <w:pStyle w:val="103"/>
        <w:ind w:firstLine="0"/>
        <w:jc w:val="center"/>
        <w:rPr>
          <w:rFonts w:hint="eastAsia" w:ascii="宋体" w:hAnsi="宋体" w:eastAsia="宋体" w:cs="宋体"/>
          <w:b/>
          <w:bCs/>
          <w:color w:val="000000" w:themeColor="text1"/>
          <w:sz w:val="32"/>
          <w:highlight w:val="none"/>
          <w14:textFill>
            <w14:solidFill>
              <w14:schemeClr w14:val="tx1"/>
            </w14:solidFill>
          </w14:textFill>
        </w:rPr>
      </w:pPr>
    </w:p>
    <w:p w14:paraId="4A7E3002">
      <w:pPr>
        <w:pStyle w:val="103"/>
        <w:ind w:firstLine="0"/>
        <w:jc w:val="center"/>
        <w:rPr>
          <w:rFonts w:hint="eastAsia" w:ascii="宋体" w:hAnsi="宋体" w:eastAsia="宋体" w:cs="宋体"/>
          <w:b/>
          <w:bCs/>
          <w:color w:val="000000" w:themeColor="text1"/>
          <w:sz w:val="32"/>
          <w:highlight w:val="none"/>
          <w14:textFill>
            <w14:solidFill>
              <w14:schemeClr w14:val="tx1"/>
            </w14:solidFill>
          </w14:textFill>
        </w:rPr>
      </w:pPr>
    </w:p>
    <w:p w14:paraId="53FD9D1A">
      <w:pPr>
        <w:pStyle w:val="103"/>
        <w:ind w:firstLine="0"/>
        <w:jc w:val="center"/>
        <w:rPr>
          <w:rFonts w:hint="eastAsia" w:ascii="宋体" w:hAnsi="宋体" w:eastAsia="宋体" w:cs="宋体"/>
          <w:b/>
          <w:bCs/>
          <w:color w:val="000000" w:themeColor="text1"/>
          <w:sz w:val="32"/>
          <w:highlight w:val="none"/>
          <w14:textFill>
            <w14:solidFill>
              <w14:schemeClr w14:val="tx1"/>
            </w14:solidFill>
          </w14:textFill>
        </w:rPr>
      </w:pPr>
    </w:p>
    <w:p w14:paraId="37E2D873">
      <w:pPr>
        <w:pStyle w:val="103"/>
        <w:ind w:firstLine="0"/>
        <w:jc w:val="center"/>
        <w:rPr>
          <w:rFonts w:hint="default" w:ascii="宋体" w:hAnsi="宋体" w:eastAsia="宋体" w:cs="宋体"/>
          <w:b/>
          <w:bCs/>
          <w:color w:val="000000" w:themeColor="text1"/>
          <w:sz w:val="32"/>
          <w:highlight w:val="none"/>
          <w14:textFill>
            <w14:solidFill>
              <w14:schemeClr w14:val="tx1"/>
            </w14:solidFill>
          </w14:textFill>
        </w:rPr>
      </w:pPr>
      <w:r>
        <w:rPr>
          <w:rFonts w:hint="eastAsia" w:ascii="宋体" w:hAnsi="宋体" w:eastAsia="宋体" w:cs="宋体"/>
          <w:b/>
          <w:bCs/>
          <w:color w:val="000000" w:themeColor="text1"/>
          <w:sz w:val="32"/>
          <w:highlight w:val="none"/>
          <w14:textFill>
            <w14:solidFill>
              <w14:schemeClr w14:val="tx1"/>
            </w14:solidFill>
          </w14:textFill>
        </w:rPr>
        <w:t>新疆维吾尔</w:t>
      </w:r>
      <w:r>
        <w:rPr>
          <w:rFonts w:hint="default" w:ascii="宋体" w:hAnsi="宋体" w:eastAsia="宋体" w:cs="宋体"/>
          <w:b/>
          <w:bCs/>
          <w:color w:val="000000" w:themeColor="text1"/>
          <w:sz w:val="32"/>
          <w:highlight w:val="none"/>
          <w14:textFill>
            <w14:solidFill>
              <w14:schemeClr w14:val="tx1"/>
            </w14:solidFill>
          </w14:textFill>
        </w:rPr>
        <w:t>自治区公共资源交易中心</w:t>
      </w:r>
    </w:p>
    <w:p w14:paraId="43B12777">
      <w:pPr>
        <w:pStyle w:val="103"/>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bCs/>
          <w:color w:val="000000" w:themeColor="text1"/>
          <w:sz w:val="32"/>
          <w:highlight w:val="none"/>
          <w:lang w:val="en-US" w:eastAsia="zh-CN"/>
          <w14:textFill>
            <w14:solidFill>
              <w14:schemeClr w14:val="tx1"/>
            </w14:solidFill>
          </w14:textFill>
        </w:rPr>
        <w:t>2026</w:t>
      </w:r>
      <w:r>
        <w:rPr>
          <w:rFonts w:hint="eastAsia" w:ascii="宋体" w:hAnsi="宋体" w:eastAsia="宋体" w:cs="宋体"/>
          <w:b/>
          <w:bCs/>
          <w:color w:val="000000" w:themeColor="text1"/>
          <w:sz w:val="32"/>
          <w:highlight w:val="none"/>
          <w14:textFill>
            <w14:solidFill>
              <w14:schemeClr w14:val="tx1"/>
            </w14:solidFill>
          </w14:textFill>
        </w:rPr>
        <w:t>年</w:t>
      </w:r>
      <w:r>
        <w:rPr>
          <w:rFonts w:hint="eastAsia" w:ascii="宋体" w:hAnsi="宋体" w:cs="宋体"/>
          <w:b/>
          <w:bCs/>
          <w:color w:val="000000" w:themeColor="text1"/>
          <w:sz w:val="32"/>
          <w:highlight w:val="none"/>
          <w:lang w:val="en-US" w:eastAsia="zh-CN"/>
          <w14:textFill>
            <w14:solidFill>
              <w14:schemeClr w14:val="tx1"/>
            </w14:solidFill>
          </w14:textFill>
        </w:rPr>
        <w:t>4</w:t>
      </w:r>
      <w:r>
        <w:rPr>
          <w:rFonts w:hint="eastAsia" w:ascii="宋体" w:hAnsi="宋体" w:eastAsia="宋体" w:cs="宋体"/>
          <w:b/>
          <w:bCs/>
          <w:color w:val="000000" w:themeColor="text1"/>
          <w:sz w:val="32"/>
          <w:highlight w:val="none"/>
          <w14:textFill>
            <w14:solidFill>
              <w14:schemeClr w14:val="tx1"/>
            </w14:solidFill>
          </w14:textFill>
        </w:rPr>
        <w:t>月</w:t>
      </w:r>
      <w:r>
        <w:rPr>
          <w:rFonts w:hint="eastAsia" w:ascii="宋体" w:hAnsi="宋体" w:cs="宋体"/>
          <w:b/>
          <w:bCs/>
          <w:color w:val="000000" w:themeColor="text1"/>
          <w:sz w:val="32"/>
          <w:highlight w:val="none"/>
          <w:lang w:val="en-US" w:eastAsia="zh-CN"/>
          <w14:textFill>
            <w14:solidFill>
              <w14:schemeClr w14:val="tx1"/>
            </w14:solidFill>
          </w14:textFill>
        </w:rPr>
        <w:t>16</w:t>
      </w:r>
      <w:r>
        <w:rPr>
          <w:rFonts w:hint="eastAsia" w:ascii="宋体" w:hAnsi="宋体" w:eastAsia="宋体" w:cs="宋体"/>
          <w:b/>
          <w:bCs/>
          <w:color w:val="000000" w:themeColor="text1"/>
          <w:sz w:val="32"/>
          <w:highlight w:val="none"/>
          <w14:textFill>
            <w14:solidFill>
              <w14:schemeClr w14:val="tx1"/>
            </w14:solidFill>
          </w14:textFill>
        </w:rPr>
        <w:t>日</w:t>
      </w:r>
    </w:p>
    <w:p w14:paraId="512385EB">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bookmarkStart w:id="0" w:name="_Toc120614210"/>
      <w:bookmarkStart w:id="1" w:name="_Toc494375077"/>
      <w:bookmarkStart w:id="2" w:name="_Toc479757206"/>
      <w:bookmarkStart w:id="3" w:name="_Toc20823272"/>
      <w:bookmarkStart w:id="4" w:name="_Toc16938516"/>
      <w:bookmarkStart w:id="5" w:name="_Toc513029200"/>
      <w:bookmarkStart w:id="6" w:name="_Toc523127445"/>
    </w:p>
    <w:p w14:paraId="4E5FB5D0">
      <w:pPr>
        <w:pStyle w:val="96"/>
        <w:jc w:val="center"/>
        <w:rPr>
          <w:rFonts w:hint="eastAsia" w:ascii="宋体" w:hAnsi="宋体" w:eastAsia="宋体" w:cs="宋体"/>
          <w:b w:val="0"/>
          <w:color w:val="000000" w:themeColor="text1"/>
          <w:sz w:val="44"/>
          <w:highlight w:val="none"/>
          <w14:textFill>
            <w14:solidFill>
              <w14:schemeClr w14:val="tx1"/>
            </w14:solidFill>
          </w14:textFill>
        </w:rPr>
      </w:pPr>
      <w:r>
        <w:rPr>
          <w:rFonts w:hint="eastAsia" w:ascii="宋体" w:hAnsi="宋体" w:eastAsia="宋体" w:cs="宋体"/>
          <w:b w:val="0"/>
          <w:color w:val="000000" w:themeColor="text1"/>
          <w:sz w:val="44"/>
          <w:highlight w:val="none"/>
          <w14:textFill>
            <w14:solidFill>
              <w14:schemeClr w14:val="tx1"/>
            </w14:solidFill>
          </w14:textFill>
        </w:rPr>
        <w:t>总  目  录</w:t>
      </w:r>
    </w:p>
    <w:p w14:paraId="5DC17E97">
      <w:pPr>
        <w:rPr>
          <w:rFonts w:hint="eastAsia" w:ascii="宋体" w:hAnsi="宋体" w:eastAsia="宋体" w:cs="宋体"/>
          <w:color w:val="000000" w:themeColor="text1"/>
          <w:sz w:val="28"/>
          <w:szCs w:val="28"/>
          <w:highlight w:val="none"/>
          <w14:textFill>
            <w14:solidFill>
              <w14:schemeClr w14:val="tx1"/>
            </w14:solidFill>
          </w14:textFill>
        </w:rPr>
      </w:pPr>
    </w:p>
    <w:p w14:paraId="52558DB3">
      <w:pPr>
        <w:pStyle w:val="32"/>
        <w:tabs>
          <w:tab w:val="right" w:leader="dot" w:pos="8943"/>
        </w:tabs>
        <w:rPr>
          <w:rFonts w:hint="eastAsia" w:ascii="宋体" w:hAnsi="宋体" w:eastAsia="宋体" w:cs="宋体"/>
          <w:smallCaps w:val="0"/>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fldChar w:fldCharType="begin"/>
      </w:r>
      <w:r>
        <w:rPr>
          <w:rFonts w:hint="eastAsia" w:ascii="宋体" w:hAnsi="宋体" w:eastAsia="宋体" w:cs="宋体"/>
          <w:color w:val="000000" w:themeColor="text1"/>
          <w:sz w:val="32"/>
          <w:szCs w:val="32"/>
          <w:highlight w:val="none"/>
          <w14:textFill>
            <w14:solidFill>
              <w14:schemeClr w14:val="tx1"/>
            </w14:solidFill>
          </w14:textFill>
        </w:rPr>
        <w:instrText xml:space="preserve"> TOC \o "1-3" \h \z \u </w:instrText>
      </w:r>
      <w:r>
        <w:rPr>
          <w:rFonts w:hint="eastAsia" w:ascii="宋体" w:hAnsi="宋体" w:eastAsia="宋体" w:cs="宋体"/>
          <w:color w:val="000000" w:themeColor="text1"/>
          <w:sz w:val="32"/>
          <w:szCs w:val="32"/>
          <w:highlight w:val="none"/>
          <w14:textFill>
            <w14:solidFill>
              <w14:schemeClr w14:val="tx1"/>
            </w14:solidFill>
          </w14:textFill>
        </w:rPr>
        <w:fldChar w:fldCharType="separate"/>
      </w:r>
      <w:r>
        <w:rPr>
          <w:rFonts w:hint="eastAsia" w:ascii="宋体" w:hAnsi="宋体" w:eastAsia="宋体" w:cs="宋体"/>
          <w:color w:val="000000" w:themeColor="text1"/>
          <w:sz w:val="36"/>
          <w:szCs w:val="36"/>
          <w:highlight w:val="none"/>
          <w14:textFill>
            <w14:solidFill>
              <w14:schemeClr w14:val="tx1"/>
            </w14:solidFill>
          </w14:textFill>
        </w:rPr>
        <w:fldChar w:fldCharType="begin"/>
      </w:r>
      <w:r>
        <w:rPr>
          <w:rStyle w:val="43"/>
          <w:rFonts w:hint="eastAsia" w:ascii="宋体" w:hAnsi="宋体" w:eastAsia="宋体" w:cs="宋体"/>
          <w:color w:val="000000" w:themeColor="text1"/>
          <w:sz w:val="36"/>
          <w:szCs w:val="36"/>
          <w:highlight w:val="none"/>
          <w14:textFill>
            <w14:solidFill>
              <w14:schemeClr w14:val="tx1"/>
            </w14:solidFill>
          </w14:textFill>
        </w:rPr>
        <w:instrText xml:space="preserve"> </w:instrText>
      </w:r>
      <w:r>
        <w:rPr>
          <w:rFonts w:hint="eastAsia" w:ascii="宋体" w:hAnsi="宋体" w:eastAsia="宋体" w:cs="宋体"/>
          <w:color w:val="000000" w:themeColor="text1"/>
          <w:sz w:val="36"/>
          <w:szCs w:val="36"/>
          <w:highlight w:val="none"/>
          <w14:textFill>
            <w14:solidFill>
              <w14:schemeClr w14:val="tx1"/>
            </w14:solidFill>
          </w14:textFill>
        </w:rPr>
        <w:instrText xml:space="preserve">HYPERLINK \l "_Toc534816625"</w:instrText>
      </w:r>
      <w:r>
        <w:rPr>
          <w:rStyle w:val="43"/>
          <w:rFonts w:hint="eastAsia" w:ascii="宋体" w:hAnsi="宋体" w:eastAsia="宋体" w:cs="宋体"/>
          <w:color w:val="000000" w:themeColor="text1"/>
          <w:sz w:val="36"/>
          <w:szCs w:val="36"/>
          <w:highlight w:val="none"/>
          <w14:textFill>
            <w14:solidFill>
              <w14:schemeClr w14:val="tx1"/>
            </w14:solidFill>
          </w14:textFill>
        </w:rPr>
        <w:instrText xml:space="preserve"> </w:instrText>
      </w:r>
      <w:r>
        <w:rPr>
          <w:rFonts w:hint="eastAsia" w:ascii="宋体" w:hAnsi="宋体" w:eastAsia="宋体" w:cs="宋体"/>
          <w:color w:val="000000" w:themeColor="text1"/>
          <w:sz w:val="36"/>
          <w:szCs w:val="36"/>
          <w:highlight w:val="none"/>
          <w14:textFill>
            <w14:solidFill>
              <w14:schemeClr w14:val="tx1"/>
            </w14:solidFill>
          </w14:textFill>
        </w:rPr>
        <w:fldChar w:fldCharType="separate"/>
      </w:r>
      <w:r>
        <w:rPr>
          <w:rStyle w:val="43"/>
          <w:rFonts w:hint="eastAsia" w:ascii="宋体" w:hAnsi="宋体" w:eastAsia="宋体" w:cs="宋体"/>
          <w:color w:val="000000" w:themeColor="text1"/>
          <w:sz w:val="36"/>
          <w:szCs w:val="36"/>
          <w:highlight w:val="none"/>
          <w14:textFill>
            <w14:solidFill>
              <w14:schemeClr w14:val="tx1"/>
            </w14:solidFill>
          </w14:textFill>
        </w:rPr>
        <w:t>第一章  投标邀请</w:t>
      </w:r>
      <w:r>
        <w:rPr>
          <w:rFonts w:hint="eastAsia" w:ascii="宋体" w:hAnsi="宋体" w:eastAsia="宋体" w:cs="宋体"/>
          <w:color w:val="000000" w:themeColor="text1"/>
          <w:sz w:val="36"/>
          <w:szCs w:val="36"/>
          <w:highlight w:val="none"/>
          <w14:textFill>
            <w14:solidFill>
              <w14:schemeClr w14:val="tx1"/>
            </w14:solidFill>
          </w14:textFill>
        </w:rPr>
        <w:t>……………………………………</w:t>
      </w:r>
      <w:r>
        <w:rPr>
          <w:rFonts w:hint="eastAsia" w:ascii="宋体" w:hAnsi="宋体" w:eastAsia="宋体" w:cs="宋体"/>
          <w:color w:val="000000" w:themeColor="text1"/>
          <w:sz w:val="36"/>
          <w:szCs w:val="36"/>
          <w:highlight w:val="none"/>
          <w14:textFill>
            <w14:solidFill>
              <w14:schemeClr w14:val="tx1"/>
            </w14:solidFill>
          </w14:textFill>
        </w:rPr>
        <w:fldChar w:fldCharType="begin"/>
      </w:r>
      <w:r>
        <w:rPr>
          <w:rFonts w:hint="eastAsia" w:ascii="宋体" w:hAnsi="宋体" w:eastAsia="宋体" w:cs="宋体"/>
          <w:color w:val="000000" w:themeColor="text1"/>
          <w:sz w:val="36"/>
          <w:szCs w:val="36"/>
          <w:highlight w:val="none"/>
          <w14:textFill>
            <w14:solidFill>
              <w14:schemeClr w14:val="tx1"/>
            </w14:solidFill>
          </w14:textFill>
        </w:rPr>
        <w:instrText xml:space="preserve"> PAGEREF _Toc534816625 \h </w:instrText>
      </w:r>
      <w:r>
        <w:rPr>
          <w:rFonts w:hint="eastAsia" w:ascii="宋体" w:hAnsi="宋体" w:eastAsia="宋体" w:cs="宋体"/>
          <w:color w:val="000000" w:themeColor="text1"/>
          <w:sz w:val="36"/>
          <w:szCs w:val="36"/>
          <w:highlight w:val="none"/>
          <w14:textFill>
            <w14:solidFill>
              <w14:schemeClr w14:val="tx1"/>
            </w14:solidFill>
          </w14:textFill>
        </w:rPr>
        <w:fldChar w:fldCharType="separate"/>
      </w:r>
      <w:r>
        <w:rPr>
          <w:rFonts w:hint="eastAsia" w:ascii="宋体" w:hAnsi="宋体" w:eastAsia="宋体" w:cs="宋体"/>
          <w:color w:val="000000" w:themeColor="text1"/>
          <w:sz w:val="36"/>
          <w:szCs w:val="36"/>
          <w:highlight w:val="none"/>
          <w14:textFill>
            <w14:solidFill>
              <w14:schemeClr w14:val="tx1"/>
            </w14:solidFill>
          </w14:textFill>
        </w:rPr>
        <w:t>5</w:t>
      </w:r>
      <w:r>
        <w:rPr>
          <w:rFonts w:hint="eastAsia" w:ascii="宋体" w:hAnsi="宋体" w:eastAsia="宋体" w:cs="宋体"/>
          <w:color w:val="000000" w:themeColor="text1"/>
          <w:sz w:val="36"/>
          <w:szCs w:val="36"/>
          <w:highlight w:val="none"/>
          <w14:textFill>
            <w14:solidFill>
              <w14:schemeClr w14:val="tx1"/>
            </w14:solidFill>
          </w14:textFill>
        </w:rPr>
        <w:fldChar w:fldCharType="end"/>
      </w:r>
      <w:r>
        <w:rPr>
          <w:rFonts w:hint="eastAsia" w:ascii="宋体" w:hAnsi="宋体" w:eastAsia="宋体" w:cs="宋体"/>
          <w:color w:val="000000" w:themeColor="text1"/>
          <w:sz w:val="36"/>
          <w:szCs w:val="36"/>
          <w:highlight w:val="none"/>
          <w14:textFill>
            <w14:solidFill>
              <w14:schemeClr w14:val="tx1"/>
            </w14:solidFill>
          </w14:textFill>
        </w:rPr>
        <w:fldChar w:fldCharType="end"/>
      </w:r>
    </w:p>
    <w:p w14:paraId="415DE307">
      <w:pPr>
        <w:pStyle w:val="32"/>
        <w:tabs>
          <w:tab w:val="right" w:leader="dot" w:pos="8943"/>
        </w:tabs>
        <w:rPr>
          <w:rFonts w:hint="eastAsia" w:ascii="宋体" w:hAnsi="宋体" w:eastAsia="宋体" w:cs="宋体"/>
          <w:smallCaps w:val="0"/>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fldChar w:fldCharType="begin"/>
      </w:r>
      <w:r>
        <w:rPr>
          <w:rStyle w:val="43"/>
          <w:rFonts w:hint="eastAsia" w:ascii="宋体" w:hAnsi="宋体" w:eastAsia="宋体" w:cs="宋体"/>
          <w:color w:val="000000" w:themeColor="text1"/>
          <w:sz w:val="36"/>
          <w:szCs w:val="36"/>
          <w:highlight w:val="none"/>
          <w14:textFill>
            <w14:solidFill>
              <w14:schemeClr w14:val="tx1"/>
            </w14:solidFill>
          </w14:textFill>
        </w:rPr>
        <w:instrText xml:space="preserve"> </w:instrText>
      </w:r>
      <w:r>
        <w:rPr>
          <w:rFonts w:hint="eastAsia" w:ascii="宋体" w:hAnsi="宋体" w:eastAsia="宋体" w:cs="宋体"/>
          <w:color w:val="000000" w:themeColor="text1"/>
          <w:sz w:val="36"/>
          <w:szCs w:val="36"/>
          <w:highlight w:val="none"/>
          <w14:textFill>
            <w14:solidFill>
              <w14:schemeClr w14:val="tx1"/>
            </w14:solidFill>
          </w14:textFill>
        </w:rPr>
        <w:instrText xml:space="preserve">HYPERLINK \l "_Toc534816626"</w:instrText>
      </w:r>
      <w:r>
        <w:rPr>
          <w:rStyle w:val="43"/>
          <w:rFonts w:hint="eastAsia" w:ascii="宋体" w:hAnsi="宋体" w:eastAsia="宋体" w:cs="宋体"/>
          <w:color w:val="000000" w:themeColor="text1"/>
          <w:sz w:val="36"/>
          <w:szCs w:val="36"/>
          <w:highlight w:val="none"/>
          <w14:textFill>
            <w14:solidFill>
              <w14:schemeClr w14:val="tx1"/>
            </w14:solidFill>
          </w14:textFill>
        </w:rPr>
        <w:instrText xml:space="preserve"> </w:instrText>
      </w:r>
      <w:r>
        <w:rPr>
          <w:rFonts w:hint="eastAsia" w:ascii="宋体" w:hAnsi="宋体" w:eastAsia="宋体" w:cs="宋体"/>
          <w:color w:val="000000" w:themeColor="text1"/>
          <w:sz w:val="36"/>
          <w:szCs w:val="36"/>
          <w:highlight w:val="none"/>
          <w14:textFill>
            <w14:solidFill>
              <w14:schemeClr w14:val="tx1"/>
            </w14:solidFill>
          </w14:textFill>
        </w:rPr>
        <w:fldChar w:fldCharType="separate"/>
      </w:r>
      <w:r>
        <w:rPr>
          <w:rStyle w:val="43"/>
          <w:rFonts w:hint="eastAsia" w:ascii="宋体" w:hAnsi="宋体" w:eastAsia="宋体" w:cs="宋体"/>
          <w:color w:val="000000" w:themeColor="text1"/>
          <w:sz w:val="36"/>
          <w:szCs w:val="36"/>
          <w:highlight w:val="none"/>
          <w14:textFill>
            <w14:solidFill>
              <w14:schemeClr w14:val="tx1"/>
            </w14:solidFill>
          </w14:textFill>
        </w:rPr>
        <w:t>第二章  投标人须知</w:t>
      </w:r>
      <w:r>
        <w:rPr>
          <w:rFonts w:hint="eastAsia" w:ascii="宋体" w:hAnsi="宋体" w:eastAsia="宋体" w:cs="宋体"/>
          <w:color w:val="000000" w:themeColor="text1"/>
          <w:sz w:val="36"/>
          <w:szCs w:val="36"/>
          <w:highlight w:val="none"/>
          <w14:textFill>
            <w14:solidFill>
              <w14:schemeClr w14:val="tx1"/>
            </w14:solidFill>
          </w14:textFill>
        </w:rPr>
        <w:t>…………………………………</w:t>
      </w:r>
      <w:r>
        <w:rPr>
          <w:rFonts w:hint="eastAsia" w:ascii="宋体" w:hAnsi="宋体" w:eastAsia="宋体" w:cs="宋体"/>
          <w:color w:val="000000" w:themeColor="text1"/>
          <w:sz w:val="36"/>
          <w:szCs w:val="36"/>
          <w:highlight w:val="none"/>
          <w14:textFill>
            <w14:solidFill>
              <w14:schemeClr w14:val="tx1"/>
            </w14:solidFill>
          </w14:textFill>
        </w:rPr>
        <w:fldChar w:fldCharType="begin"/>
      </w:r>
      <w:r>
        <w:rPr>
          <w:rFonts w:hint="eastAsia" w:ascii="宋体" w:hAnsi="宋体" w:eastAsia="宋体" w:cs="宋体"/>
          <w:color w:val="000000" w:themeColor="text1"/>
          <w:sz w:val="36"/>
          <w:szCs w:val="36"/>
          <w:highlight w:val="none"/>
          <w14:textFill>
            <w14:solidFill>
              <w14:schemeClr w14:val="tx1"/>
            </w14:solidFill>
          </w14:textFill>
        </w:rPr>
        <w:instrText xml:space="preserve"> PAGEREF _Toc534816626 \h </w:instrText>
      </w:r>
      <w:r>
        <w:rPr>
          <w:rFonts w:hint="eastAsia" w:ascii="宋体" w:hAnsi="宋体" w:eastAsia="宋体" w:cs="宋体"/>
          <w:color w:val="000000" w:themeColor="text1"/>
          <w:sz w:val="36"/>
          <w:szCs w:val="36"/>
          <w:highlight w:val="none"/>
          <w14:textFill>
            <w14:solidFill>
              <w14:schemeClr w14:val="tx1"/>
            </w14:solidFill>
          </w14:textFill>
        </w:rPr>
        <w:fldChar w:fldCharType="separate"/>
      </w:r>
      <w:r>
        <w:rPr>
          <w:rFonts w:hint="eastAsia" w:ascii="宋体" w:hAnsi="宋体" w:eastAsia="宋体" w:cs="宋体"/>
          <w:color w:val="000000" w:themeColor="text1"/>
          <w:sz w:val="36"/>
          <w:szCs w:val="36"/>
          <w:highlight w:val="none"/>
          <w14:textFill>
            <w14:solidFill>
              <w14:schemeClr w14:val="tx1"/>
            </w14:solidFill>
          </w14:textFill>
        </w:rPr>
        <w:t>8</w:t>
      </w:r>
      <w:r>
        <w:rPr>
          <w:rFonts w:hint="eastAsia" w:ascii="宋体" w:hAnsi="宋体" w:eastAsia="宋体" w:cs="宋体"/>
          <w:color w:val="000000" w:themeColor="text1"/>
          <w:sz w:val="36"/>
          <w:szCs w:val="36"/>
          <w:highlight w:val="none"/>
          <w14:textFill>
            <w14:solidFill>
              <w14:schemeClr w14:val="tx1"/>
            </w14:solidFill>
          </w14:textFill>
        </w:rPr>
        <w:fldChar w:fldCharType="end"/>
      </w:r>
      <w:r>
        <w:rPr>
          <w:rFonts w:hint="eastAsia" w:ascii="宋体" w:hAnsi="宋体" w:eastAsia="宋体" w:cs="宋体"/>
          <w:color w:val="000000" w:themeColor="text1"/>
          <w:sz w:val="36"/>
          <w:szCs w:val="36"/>
          <w:highlight w:val="none"/>
          <w14:textFill>
            <w14:solidFill>
              <w14:schemeClr w14:val="tx1"/>
            </w14:solidFill>
          </w14:textFill>
        </w:rPr>
        <w:fldChar w:fldCharType="end"/>
      </w:r>
    </w:p>
    <w:p w14:paraId="1C815A59">
      <w:pPr>
        <w:pStyle w:val="32"/>
        <w:tabs>
          <w:tab w:val="right" w:leader="dot" w:pos="8943"/>
        </w:tabs>
        <w:rPr>
          <w:rFonts w:hint="eastAsia" w:ascii="宋体" w:hAnsi="宋体" w:eastAsia="宋体" w:cs="宋体"/>
          <w:smallCaps w:val="0"/>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fldChar w:fldCharType="begin"/>
      </w:r>
      <w:r>
        <w:rPr>
          <w:rStyle w:val="43"/>
          <w:rFonts w:hint="eastAsia" w:ascii="宋体" w:hAnsi="宋体" w:eastAsia="宋体" w:cs="宋体"/>
          <w:color w:val="000000" w:themeColor="text1"/>
          <w:sz w:val="36"/>
          <w:szCs w:val="36"/>
          <w:highlight w:val="none"/>
          <w14:textFill>
            <w14:solidFill>
              <w14:schemeClr w14:val="tx1"/>
            </w14:solidFill>
          </w14:textFill>
        </w:rPr>
        <w:instrText xml:space="preserve"> </w:instrText>
      </w:r>
      <w:r>
        <w:rPr>
          <w:rFonts w:hint="eastAsia" w:ascii="宋体" w:hAnsi="宋体" w:eastAsia="宋体" w:cs="宋体"/>
          <w:color w:val="000000" w:themeColor="text1"/>
          <w:sz w:val="36"/>
          <w:szCs w:val="36"/>
          <w:highlight w:val="none"/>
          <w14:textFill>
            <w14:solidFill>
              <w14:schemeClr w14:val="tx1"/>
            </w14:solidFill>
          </w14:textFill>
        </w:rPr>
        <w:instrText xml:space="preserve">HYPERLINK \l "_Toc534816635"</w:instrText>
      </w:r>
      <w:r>
        <w:rPr>
          <w:rStyle w:val="43"/>
          <w:rFonts w:hint="eastAsia" w:ascii="宋体" w:hAnsi="宋体" w:eastAsia="宋体" w:cs="宋体"/>
          <w:color w:val="000000" w:themeColor="text1"/>
          <w:sz w:val="36"/>
          <w:szCs w:val="36"/>
          <w:highlight w:val="none"/>
          <w14:textFill>
            <w14:solidFill>
              <w14:schemeClr w14:val="tx1"/>
            </w14:solidFill>
          </w14:textFill>
        </w:rPr>
        <w:instrText xml:space="preserve"> </w:instrText>
      </w:r>
      <w:r>
        <w:rPr>
          <w:rFonts w:hint="eastAsia" w:ascii="宋体" w:hAnsi="宋体" w:eastAsia="宋体" w:cs="宋体"/>
          <w:color w:val="000000" w:themeColor="text1"/>
          <w:sz w:val="36"/>
          <w:szCs w:val="36"/>
          <w:highlight w:val="none"/>
          <w14:textFill>
            <w14:solidFill>
              <w14:schemeClr w14:val="tx1"/>
            </w14:solidFill>
          </w14:textFill>
        </w:rPr>
        <w:fldChar w:fldCharType="separate"/>
      </w:r>
      <w:r>
        <w:rPr>
          <w:rStyle w:val="43"/>
          <w:rFonts w:hint="eastAsia" w:ascii="宋体" w:hAnsi="宋体" w:eastAsia="宋体" w:cs="宋体"/>
          <w:color w:val="000000" w:themeColor="text1"/>
          <w:sz w:val="36"/>
          <w:szCs w:val="36"/>
          <w:highlight w:val="none"/>
          <w14:textFill>
            <w14:solidFill>
              <w14:schemeClr w14:val="tx1"/>
            </w14:solidFill>
          </w14:textFill>
        </w:rPr>
        <w:t xml:space="preserve">第三章  </w:t>
      </w:r>
      <w:r>
        <w:rPr>
          <w:rFonts w:hint="eastAsia" w:ascii="宋体" w:hAnsi="宋体" w:eastAsia="宋体" w:cs="宋体"/>
          <w:color w:val="000000" w:themeColor="text1"/>
          <w:sz w:val="36"/>
          <w:szCs w:val="36"/>
          <w:highlight w:val="none"/>
          <w14:textFill>
            <w14:solidFill>
              <w14:schemeClr w14:val="tx1"/>
            </w14:solidFill>
          </w14:textFill>
        </w:rPr>
        <w:t>合同条款及格式……………………………</w:t>
      </w:r>
      <w:r>
        <w:rPr>
          <w:rFonts w:hint="eastAsia" w:ascii="宋体" w:hAnsi="宋体" w:eastAsia="宋体" w:cs="宋体"/>
          <w:color w:val="000000" w:themeColor="text1"/>
          <w:sz w:val="36"/>
          <w:szCs w:val="36"/>
          <w:highlight w:val="none"/>
          <w14:textFill>
            <w14:solidFill>
              <w14:schemeClr w14:val="tx1"/>
            </w14:solidFill>
          </w14:textFill>
        </w:rPr>
        <w:fldChar w:fldCharType="begin"/>
      </w:r>
      <w:r>
        <w:rPr>
          <w:rFonts w:hint="eastAsia" w:ascii="宋体" w:hAnsi="宋体" w:eastAsia="宋体" w:cs="宋体"/>
          <w:color w:val="000000" w:themeColor="text1"/>
          <w:sz w:val="36"/>
          <w:szCs w:val="36"/>
          <w:highlight w:val="none"/>
          <w14:textFill>
            <w14:solidFill>
              <w14:schemeClr w14:val="tx1"/>
            </w14:solidFill>
          </w14:textFill>
        </w:rPr>
        <w:instrText xml:space="preserve"> PAGEREF _Toc534816635 \h </w:instrText>
      </w:r>
      <w:r>
        <w:rPr>
          <w:rFonts w:hint="eastAsia" w:ascii="宋体" w:hAnsi="宋体" w:eastAsia="宋体" w:cs="宋体"/>
          <w:color w:val="000000" w:themeColor="text1"/>
          <w:sz w:val="36"/>
          <w:szCs w:val="36"/>
          <w:highlight w:val="none"/>
          <w14:textFill>
            <w14:solidFill>
              <w14:schemeClr w14:val="tx1"/>
            </w14:solidFill>
          </w14:textFill>
        </w:rPr>
        <w:fldChar w:fldCharType="separate"/>
      </w:r>
      <w:r>
        <w:rPr>
          <w:rFonts w:hint="eastAsia" w:ascii="宋体" w:hAnsi="宋体" w:eastAsia="宋体" w:cs="宋体"/>
          <w:color w:val="000000" w:themeColor="text1"/>
          <w:sz w:val="36"/>
          <w:szCs w:val="36"/>
          <w:highlight w:val="none"/>
          <w14:textFill>
            <w14:solidFill>
              <w14:schemeClr w14:val="tx1"/>
            </w14:solidFill>
          </w14:textFill>
        </w:rPr>
        <w:t>21</w:t>
      </w:r>
      <w:r>
        <w:rPr>
          <w:rFonts w:hint="eastAsia" w:ascii="宋体" w:hAnsi="宋体" w:eastAsia="宋体" w:cs="宋体"/>
          <w:color w:val="000000" w:themeColor="text1"/>
          <w:sz w:val="36"/>
          <w:szCs w:val="36"/>
          <w:highlight w:val="none"/>
          <w14:textFill>
            <w14:solidFill>
              <w14:schemeClr w14:val="tx1"/>
            </w14:solidFill>
          </w14:textFill>
        </w:rPr>
        <w:fldChar w:fldCharType="end"/>
      </w:r>
      <w:r>
        <w:rPr>
          <w:rFonts w:hint="eastAsia" w:ascii="宋体" w:hAnsi="宋体" w:eastAsia="宋体" w:cs="宋体"/>
          <w:color w:val="000000" w:themeColor="text1"/>
          <w:sz w:val="36"/>
          <w:szCs w:val="36"/>
          <w:highlight w:val="none"/>
          <w14:textFill>
            <w14:solidFill>
              <w14:schemeClr w14:val="tx1"/>
            </w14:solidFill>
          </w14:textFill>
        </w:rPr>
        <w:fldChar w:fldCharType="end"/>
      </w:r>
    </w:p>
    <w:p w14:paraId="3CF94838">
      <w:pPr>
        <w:pStyle w:val="32"/>
        <w:tabs>
          <w:tab w:val="right" w:leader="dot" w:pos="8943"/>
        </w:tabs>
        <w:rPr>
          <w:rFonts w:hint="eastAsia" w:ascii="宋体" w:hAnsi="宋体" w:eastAsia="宋体" w:cs="宋体"/>
          <w:smallCaps w:val="0"/>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fldChar w:fldCharType="begin"/>
      </w:r>
      <w:r>
        <w:rPr>
          <w:rStyle w:val="43"/>
          <w:rFonts w:hint="eastAsia" w:ascii="宋体" w:hAnsi="宋体" w:eastAsia="宋体" w:cs="宋体"/>
          <w:color w:val="000000" w:themeColor="text1"/>
          <w:sz w:val="36"/>
          <w:szCs w:val="36"/>
          <w:highlight w:val="none"/>
          <w14:textFill>
            <w14:solidFill>
              <w14:schemeClr w14:val="tx1"/>
            </w14:solidFill>
          </w14:textFill>
        </w:rPr>
        <w:instrText xml:space="preserve"> </w:instrText>
      </w:r>
      <w:r>
        <w:rPr>
          <w:rFonts w:hint="eastAsia" w:ascii="宋体" w:hAnsi="宋体" w:eastAsia="宋体" w:cs="宋体"/>
          <w:color w:val="000000" w:themeColor="text1"/>
          <w:sz w:val="36"/>
          <w:szCs w:val="36"/>
          <w:highlight w:val="none"/>
          <w14:textFill>
            <w14:solidFill>
              <w14:schemeClr w14:val="tx1"/>
            </w14:solidFill>
          </w14:textFill>
        </w:rPr>
        <w:instrText xml:space="preserve">HYPERLINK \l "_Toc534816636"</w:instrText>
      </w:r>
      <w:r>
        <w:rPr>
          <w:rStyle w:val="43"/>
          <w:rFonts w:hint="eastAsia" w:ascii="宋体" w:hAnsi="宋体" w:eastAsia="宋体" w:cs="宋体"/>
          <w:color w:val="000000" w:themeColor="text1"/>
          <w:sz w:val="36"/>
          <w:szCs w:val="36"/>
          <w:highlight w:val="none"/>
          <w14:textFill>
            <w14:solidFill>
              <w14:schemeClr w14:val="tx1"/>
            </w14:solidFill>
          </w14:textFill>
        </w:rPr>
        <w:instrText xml:space="preserve"> </w:instrText>
      </w:r>
      <w:r>
        <w:rPr>
          <w:rFonts w:hint="eastAsia" w:ascii="宋体" w:hAnsi="宋体" w:eastAsia="宋体" w:cs="宋体"/>
          <w:color w:val="000000" w:themeColor="text1"/>
          <w:sz w:val="36"/>
          <w:szCs w:val="36"/>
          <w:highlight w:val="none"/>
          <w14:textFill>
            <w14:solidFill>
              <w14:schemeClr w14:val="tx1"/>
            </w14:solidFill>
          </w14:textFill>
        </w:rPr>
        <w:fldChar w:fldCharType="separate"/>
      </w:r>
      <w:r>
        <w:rPr>
          <w:rStyle w:val="43"/>
          <w:rFonts w:hint="eastAsia" w:ascii="宋体" w:hAnsi="宋体" w:eastAsia="宋体" w:cs="宋体"/>
          <w:color w:val="000000" w:themeColor="text1"/>
          <w:sz w:val="36"/>
          <w:szCs w:val="36"/>
          <w:highlight w:val="none"/>
          <w14:textFill>
            <w14:solidFill>
              <w14:schemeClr w14:val="tx1"/>
            </w14:solidFill>
          </w14:textFill>
        </w:rPr>
        <w:t>第四章  项目需求</w:t>
      </w:r>
      <w:r>
        <w:rPr>
          <w:rFonts w:hint="eastAsia" w:ascii="宋体" w:hAnsi="宋体" w:eastAsia="宋体" w:cs="宋体"/>
          <w:color w:val="000000" w:themeColor="text1"/>
          <w:sz w:val="36"/>
          <w:highlight w:val="none"/>
          <w14:textFill>
            <w14:solidFill>
              <w14:schemeClr w14:val="tx1"/>
            </w14:solidFill>
          </w14:textFill>
        </w:rPr>
        <w:t>……………………………………</w:t>
      </w:r>
      <w:r>
        <w:rPr>
          <w:rFonts w:hint="eastAsia" w:ascii="宋体" w:hAnsi="宋体" w:eastAsia="宋体" w:cs="宋体"/>
          <w:color w:val="000000" w:themeColor="text1"/>
          <w:sz w:val="36"/>
          <w:szCs w:val="36"/>
          <w:highlight w:val="none"/>
          <w14:textFill>
            <w14:solidFill>
              <w14:schemeClr w14:val="tx1"/>
            </w14:solidFill>
          </w14:textFill>
        </w:rPr>
        <w:fldChar w:fldCharType="begin"/>
      </w:r>
      <w:r>
        <w:rPr>
          <w:rFonts w:hint="eastAsia" w:ascii="宋体" w:hAnsi="宋体" w:eastAsia="宋体" w:cs="宋体"/>
          <w:color w:val="000000" w:themeColor="text1"/>
          <w:sz w:val="36"/>
          <w:szCs w:val="36"/>
          <w:highlight w:val="none"/>
          <w14:textFill>
            <w14:solidFill>
              <w14:schemeClr w14:val="tx1"/>
            </w14:solidFill>
          </w14:textFill>
        </w:rPr>
        <w:instrText xml:space="preserve"> PAGEREF _Toc534816636 \h </w:instrText>
      </w:r>
      <w:r>
        <w:rPr>
          <w:rFonts w:hint="eastAsia" w:ascii="宋体" w:hAnsi="宋体" w:eastAsia="宋体" w:cs="宋体"/>
          <w:color w:val="000000" w:themeColor="text1"/>
          <w:sz w:val="36"/>
          <w:szCs w:val="36"/>
          <w:highlight w:val="none"/>
          <w14:textFill>
            <w14:solidFill>
              <w14:schemeClr w14:val="tx1"/>
            </w14:solidFill>
          </w14:textFill>
        </w:rPr>
        <w:fldChar w:fldCharType="separate"/>
      </w:r>
      <w:r>
        <w:rPr>
          <w:rFonts w:hint="eastAsia" w:ascii="宋体" w:hAnsi="宋体" w:eastAsia="宋体" w:cs="宋体"/>
          <w:color w:val="000000" w:themeColor="text1"/>
          <w:sz w:val="36"/>
          <w:szCs w:val="36"/>
          <w:highlight w:val="none"/>
          <w14:textFill>
            <w14:solidFill>
              <w14:schemeClr w14:val="tx1"/>
            </w14:solidFill>
          </w14:textFill>
        </w:rPr>
        <w:t>25</w:t>
      </w:r>
      <w:r>
        <w:rPr>
          <w:rFonts w:hint="eastAsia" w:ascii="宋体" w:hAnsi="宋体" w:eastAsia="宋体" w:cs="宋体"/>
          <w:color w:val="000000" w:themeColor="text1"/>
          <w:sz w:val="36"/>
          <w:szCs w:val="36"/>
          <w:highlight w:val="none"/>
          <w14:textFill>
            <w14:solidFill>
              <w14:schemeClr w14:val="tx1"/>
            </w14:solidFill>
          </w14:textFill>
        </w:rPr>
        <w:fldChar w:fldCharType="end"/>
      </w:r>
      <w:r>
        <w:rPr>
          <w:rFonts w:hint="eastAsia" w:ascii="宋体" w:hAnsi="宋体" w:eastAsia="宋体" w:cs="宋体"/>
          <w:color w:val="000000" w:themeColor="text1"/>
          <w:sz w:val="36"/>
          <w:szCs w:val="36"/>
          <w:highlight w:val="none"/>
          <w14:textFill>
            <w14:solidFill>
              <w14:schemeClr w14:val="tx1"/>
            </w14:solidFill>
          </w14:textFill>
        </w:rPr>
        <w:fldChar w:fldCharType="end"/>
      </w:r>
    </w:p>
    <w:p w14:paraId="18A0037A">
      <w:pPr>
        <w:pStyle w:val="32"/>
        <w:tabs>
          <w:tab w:val="right" w:leader="dot" w:pos="8943"/>
        </w:tabs>
        <w:rPr>
          <w:rFonts w:hint="eastAsia" w:ascii="宋体" w:hAnsi="宋体" w:eastAsia="宋体" w:cs="宋体"/>
          <w:smallCaps w:val="0"/>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fldChar w:fldCharType="begin"/>
      </w:r>
      <w:r>
        <w:rPr>
          <w:rStyle w:val="43"/>
          <w:rFonts w:hint="eastAsia" w:ascii="宋体" w:hAnsi="宋体" w:eastAsia="宋体" w:cs="宋体"/>
          <w:color w:val="000000" w:themeColor="text1"/>
          <w:sz w:val="36"/>
          <w:szCs w:val="36"/>
          <w:highlight w:val="none"/>
          <w14:textFill>
            <w14:solidFill>
              <w14:schemeClr w14:val="tx1"/>
            </w14:solidFill>
          </w14:textFill>
        </w:rPr>
        <w:instrText xml:space="preserve"> </w:instrText>
      </w:r>
      <w:r>
        <w:rPr>
          <w:rFonts w:hint="eastAsia" w:ascii="宋体" w:hAnsi="宋体" w:eastAsia="宋体" w:cs="宋体"/>
          <w:color w:val="000000" w:themeColor="text1"/>
          <w:sz w:val="36"/>
          <w:szCs w:val="36"/>
          <w:highlight w:val="none"/>
          <w14:textFill>
            <w14:solidFill>
              <w14:schemeClr w14:val="tx1"/>
            </w14:solidFill>
          </w14:textFill>
        </w:rPr>
        <w:instrText xml:space="preserve">HYPERLINK \l "_Toc534816639"</w:instrText>
      </w:r>
      <w:r>
        <w:rPr>
          <w:rStyle w:val="43"/>
          <w:rFonts w:hint="eastAsia" w:ascii="宋体" w:hAnsi="宋体" w:eastAsia="宋体" w:cs="宋体"/>
          <w:color w:val="000000" w:themeColor="text1"/>
          <w:sz w:val="36"/>
          <w:szCs w:val="36"/>
          <w:highlight w:val="none"/>
          <w14:textFill>
            <w14:solidFill>
              <w14:schemeClr w14:val="tx1"/>
            </w14:solidFill>
          </w14:textFill>
        </w:rPr>
        <w:instrText xml:space="preserve"> </w:instrText>
      </w:r>
      <w:r>
        <w:rPr>
          <w:rFonts w:hint="eastAsia" w:ascii="宋体" w:hAnsi="宋体" w:eastAsia="宋体" w:cs="宋体"/>
          <w:color w:val="000000" w:themeColor="text1"/>
          <w:sz w:val="36"/>
          <w:szCs w:val="36"/>
          <w:highlight w:val="none"/>
          <w14:textFill>
            <w14:solidFill>
              <w14:schemeClr w14:val="tx1"/>
            </w14:solidFill>
          </w14:textFill>
        </w:rPr>
        <w:fldChar w:fldCharType="separate"/>
      </w:r>
      <w:r>
        <w:rPr>
          <w:rStyle w:val="43"/>
          <w:rFonts w:hint="eastAsia" w:ascii="宋体" w:hAnsi="宋体" w:eastAsia="宋体" w:cs="宋体"/>
          <w:color w:val="000000" w:themeColor="text1"/>
          <w:sz w:val="36"/>
          <w:szCs w:val="36"/>
          <w:highlight w:val="none"/>
          <w14:textFill>
            <w14:solidFill>
              <w14:schemeClr w14:val="tx1"/>
            </w14:solidFill>
          </w14:textFill>
        </w:rPr>
        <w:t>第五章  评标方法与评标标准</w:t>
      </w:r>
      <w:r>
        <w:rPr>
          <w:rFonts w:hint="eastAsia" w:ascii="宋体" w:hAnsi="宋体" w:eastAsia="宋体" w:cs="宋体"/>
          <w:color w:val="000000" w:themeColor="text1"/>
          <w:sz w:val="36"/>
          <w:highlight w:val="none"/>
          <w14:textFill>
            <w14:solidFill>
              <w14:schemeClr w14:val="tx1"/>
            </w14:solidFill>
          </w14:textFill>
        </w:rPr>
        <w:t>………………………</w:t>
      </w:r>
      <w:r>
        <w:rPr>
          <w:rFonts w:hint="eastAsia" w:ascii="宋体" w:hAnsi="宋体" w:eastAsia="宋体" w:cs="宋体"/>
          <w:color w:val="000000" w:themeColor="text1"/>
          <w:sz w:val="36"/>
          <w:szCs w:val="36"/>
          <w:highlight w:val="none"/>
          <w14:textFill>
            <w14:solidFill>
              <w14:schemeClr w14:val="tx1"/>
            </w14:solidFill>
          </w14:textFill>
        </w:rPr>
        <w:fldChar w:fldCharType="begin"/>
      </w:r>
      <w:r>
        <w:rPr>
          <w:rFonts w:hint="eastAsia" w:ascii="宋体" w:hAnsi="宋体" w:eastAsia="宋体" w:cs="宋体"/>
          <w:color w:val="000000" w:themeColor="text1"/>
          <w:sz w:val="36"/>
          <w:szCs w:val="36"/>
          <w:highlight w:val="none"/>
          <w14:textFill>
            <w14:solidFill>
              <w14:schemeClr w14:val="tx1"/>
            </w14:solidFill>
          </w14:textFill>
        </w:rPr>
        <w:instrText xml:space="preserve"> PAGEREF _Toc534816639 \h </w:instrText>
      </w:r>
      <w:r>
        <w:rPr>
          <w:rFonts w:hint="eastAsia" w:ascii="宋体" w:hAnsi="宋体" w:eastAsia="宋体" w:cs="宋体"/>
          <w:color w:val="000000" w:themeColor="text1"/>
          <w:sz w:val="36"/>
          <w:szCs w:val="36"/>
          <w:highlight w:val="none"/>
          <w14:textFill>
            <w14:solidFill>
              <w14:schemeClr w14:val="tx1"/>
            </w14:solidFill>
          </w14:textFill>
        </w:rPr>
        <w:fldChar w:fldCharType="separate"/>
      </w:r>
      <w:r>
        <w:rPr>
          <w:rFonts w:hint="eastAsia" w:ascii="宋体" w:hAnsi="宋体" w:eastAsia="宋体" w:cs="宋体"/>
          <w:color w:val="000000" w:themeColor="text1"/>
          <w:sz w:val="36"/>
          <w:szCs w:val="36"/>
          <w:highlight w:val="none"/>
          <w14:textFill>
            <w14:solidFill>
              <w14:schemeClr w14:val="tx1"/>
            </w14:solidFill>
          </w14:textFill>
        </w:rPr>
        <w:t>26</w:t>
      </w:r>
      <w:r>
        <w:rPr>
          <w:rFonts w:hint="eastAsia" w:ascii="宋体" w:hAnsi="宋体" w:eastAsia="宋体" w:cs="宋体"/>
          <w:color w:val="000000" w:themeColor="text1"/>
          <w:sz w:val="36"/>
          <w:szCs w:val="36"/>
          <w:highlight w:val="none"/>
          <w14:textFill>
            <w14:solidFill>
              <w14:schemeClr w14:val="tx1"/>
            </w14:solidFill>
          </w14:textFill>
        </w:rPr>
        <w:fldChar w:fldCharType="end"/>
      </w:r>
      <w:r>
        <w:rPr>
          <w:rFonts w:hint="eastAsia" w:ascii="宋体" w:hAnsi="宋体" w:eastAsia="宋体" w:cs="宋体"/>
          <w:color w:val="000000" w:themeColor="text1"/>
          <w:sz w:val="36"/>
          <w:szCs w:val="36"/>
          <w:highlight w:val="none"/>
          <w14:textFill>
            <w14:solidFill>
              <w14:schemeClr w14:val="tx1"/>
            </w14:solidFill>
          </w14:textFill>
        </w:rPr>
        <w:fldChar w:fldCharType="end"/>
      </w:r>
    </w:p>
    <w:p w14:paraId="64F7AA5D">
      <w:pPr>
        <w:pStyle w:val="32"/>
        <w:tabs>
          <w:tab w:val="right" w:leader="dot" w:pos="8943"/>
        </w:tabs>
        <w:rPr>
          <w:rFonts w:hint="eastAsia" w:ascii="宋体" w:hAnsi="宋体" w:eastAsia="宋体" w:cs="宋体"/>
          <w:smallCaps w:val="0"/>
          <w:color w:val="000000" w:themeColor="text1"/>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fldChar w:fldCharType="begin"/>
      </w:r>
      <w:r>
        <w:rPr>
          <w:rStyle w:val="43"/>
          <w:rFonts w:hint="eastAsia" w:ascii="宋体" w:hAnsi="宋体" w:eastAsia="宋体" w:cs="宋体"/>
          <w:color w:val="000000" w:themeColor="text1"/>
          <w:sz w:val="36"/>
          <w:szCs w:val="36"/>
          <w:highlight w:val="none"/>
          <w14:textFill>
            <w14:solidFill>
              <w14:schemeClr w14:val="tx1"/>
            </w14:solidFill>
          </w14:textFill>
        </w:rPr>
        <w:instrText xml:space="preserve"> </w:instrText>
      </w:r>
      <w:r>
        <w:rPr>
          <w:rFonts w:hint="eastAsia" w:ascii="宋体" w:hAnsi="宋体" w:eastAsia="宋体" w:cs="宋体"/>
          <w:color w:val="000000" w:themeColor="text1"/>
          <w:sz w:val="36"/>
          <w:szCs w:val="36"/>
          <w:highlight w:val="none"/>
          <w14:textFill>
            <w14:solidFill>
              <w14:schemeClr w14:val="tx1"/>
            </w14:solidFill>
          </w14:textFill>
        </w:rPr>
        <w:instrText xml:space="preserve">HYPERLINK \l "_Toc534816640"</w:instrText>
      </w:r>
      <w:r>
        <w:rPr>
          <w:rStyle w:val="43"/>
          <w:rFonts w:hint="eastAsia" w:ascii="宋体" w:hAnsi="宋体" w:eastAsia="宋体" w:cs="宋体"/>
          <w:color w:val="000000" w:themeColor="text1"/>
          <w:sz w:val="36"/>
          <w:szCs w:val="36"/>
          <w:highlight w:val="none"/>
          <w14:textFill>
            <w14:solidFill>
              <w14:schemeClr w14:val="tx1"/>
            </w14:solidFill>
          </w14:textFill>
        </w:rPr>
        <w:instrText xml:space="preserve"> </w:instrText>
      </w:r>
      <w:r>
        <w:rPr>
          <w:rFonts w:hint="eastAsia" w:ascii="宋体" w:hAnsi="宋体" w:eastAsia="宋体" w:cs="宋体"/>
          <w:color w:val="000000" w:themeColor="text1"/>
          <w:sz w:val="36"/>
          <w:szCs w:val="36"/>
          <w:highlight w:val="none"/>
          <w14:textFill>
            <w14:solidFill>
              <w14:schemeClr w14:val="tx1"/>
            </w14:solidFill>
          </w14:textFill>
        </w:rPr>
        <w:fldChar w:fldCharType="separate"/>
      </w:r>
      <w:r>
        <w:rPr>
          <w:rStyle w:val="43"/>
          <w:rFonts w:hint="eastAsia" w:ascii="宋体" w:hAnsi="宋体" w:eastAsia="宋体" w:cs="宋体"/>
          <w:color w:val="000000" w:themeColor="text1"/>
          <w:sz w:val="36"/>
          <w:szCs w:val="36"/>
          <w:highlight w:val="none"/>
          <w14:textFill>
            <w14:solidFill>
              <w14:schemeClr w14:val="tx1"/>
            </w14:solidFill>
          </w14:textFill>
        </w:rPr>
        <w:t>第六章  投标文件格式</w:t>
      </w:r>
      <w:r>
        <w:rPr>
          <w:rFonts w:hint="eastAsia" w:ascii="宋体" w:hAnsi="宋体" w:eastAsia="宋体" w:cs="宋体"/>
          <w:color w:val="000000" w:themeColor="text1"/>
          <w:sz w:val="36"/>
          <w:highlight w:val="none"/>
          <w14:textFill>
            <w14:solidFill>
              <w14:schemeClr w14:val="tx1"/>
            </w14:solidFill>
          </w14:textFill>
        </w:rPr>
        <w:t>………………………………</w:t>
      </w:r>
      <w:r>
        <w:rPr>
          <w:rFonts w:hint="eastAsia" w:ascii="宋体" w:hAnsi="宋体" w:eastAsia="宋体" w:cs="宋体"/>
          <w:color w:val="000000" w:themeColor="text1"/>
          <w:sz w:val="36"/>
          <w:szCs w:val="36"/>
          <w:highlight w:val="none"/>
          <w14:textFill>
            <w14:solidFill>
              <w14:schemeClr w14:val="tx1"/>
            </w14:solidFill>
          </w14:textFill>
        </w:rPr>
        <w:fldChar w:fldCharType="end"/>
      </w:r>
      <w:r>
        <w:rPr>
          <w:rFonts w:hint="eastAsia" w:ascii="宋体" w:hAnsi="宋体" w:eastAsia="宋体" w:cs="宋体"/>
          <w:color w:val="000000" w:themeColor="text1"/>
          <w:sz w:val="36"/>
          <w:szCs w:val="36"/>
          <w:highlight w:val="none"/>
          <w:lang w:val="en-US" w:eastAsia="zh-CN"/>
          <w14:textFill>
            <w14:solidFill>
              <w14:schemeClr w14:val="tx1"/>
            </w14:solidFill>
          </w14:textFill>
        </w:rPr>
        <w:t>28</w:t>
      </w:r>
    </w:p>
    <w:p w14:paraId="09D169D0">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val="zh-CN"/>
          <w14:textFill>
            <w14:solidFill>
              <w14:schemeClr w14:val="tx1"/>
            </w14:solidFill>
          </w14:textFill>
        </w:rPr>
        <w:fldChar w:fldCharType="end"/>
      </w:r>
    </w:p>
    <w:p w14:paraId="71DCE428">
      <w:pPr>
        <w:pStyle w:val="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bookmarkStart w:id="7" w:name="_Toc534816625"/>
      <w:bookmarkStart w:id="8" w:name="_Toc534725596"/>
      <w:r>
        <w:rPr>
          <w:rFonts w:hint="eastAsia" w:ascii="宋体" w:hAnsi="宋体" w:eastAsia="宋体" w:cs="宋体"/>
          <w:color w:val="000000" w:themeColor="text1"/>
          <w:highlight w:val="none"/>
          <w14:textFill>
            <w14:solidFill>
              <w14:schemeClr w14:val="tx1"/>
            </w14:solidFill>
          </w14:textFill>
        </w:rPr>
        <w:t xml:space="preserve">第一章  </w:t>
      </w:r>
      <w:bookmarkEnd w:id="0"/>
      <w:r>
        <w:rPr>
          <w:rFonts w:hint="eastAsia" w:ascii="宋体" w:hAnsi="宋体" w:eastAsia="宋体" w:cs="宋体"/>
          <w:color w:val="000000" w:themeColor="text1"/>
          <w:highlight w:val="none"/>
          <w14:textFill>
            <w14:solidFill>
              <w14:schemeClr w14:val="tx1"/>
            </w14:solidFill>
          </w14:textFill>
        </w:rPr>
        <w:t>投标邀请</w:t>
      </w:r>
      <w:bookmarkEnd w:id="1"/>
      <w:bookmarkEnd w:id="7"/>
      <w:bookmarkEnd w:id="8"/>
    </w:p>
    <w:p w14:paraId="23AD3060">
      <w:pPr>
        <w:pStyle w:val="10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新疆维吾尔</w:t>
      </w:r>
      <w:r>
        <w:rPr>
          <w:rFonts w:hint="default" w:ascii="宋体" w:hAnsi="宋体" w:eastAsia="宋体" w:cs="宋体"/>
          <w:color w:val="000000" w:themeColor="text1"/>
          <w:highlight w:val="none"/>
          <w14:textFill>
            <w14:solidFill>
              <w14:schemeClr w14:val="tx1"/>
            </w14:solidFill>
          </w14:textFill>
        </w:rPr>
        <w:t>自治区公共资源交易中心</w:t>
      </w:r>
      <w:r>
        <w:rPr>
          <w:rFonts w:hint="eastAsia" w:ascii="宋体" w:hAnsi="宋体" w:eastAsia="宋体" w:cs="宋体"/>
          <w:color w:val="000000" w:themeColor="text1"/>
          <w:highlight w:val="none"/>
          <w14:textFill>
            <w14:solidFill>
              <w14:schemeClr w14:val="tx1"/>
            </w14:solidFill>
          </w14:textFill>
        </w:rPr>
        <w:t>现就</w:t>
      </w:r>
      <w:r>
        <w:rPr>
          <w:rFonts w:hint="eastAsia" w:ascii="宋体" w:hAnsi="宋体" w:eastAsia="宋体" w:cs="宋体"/>
          <w:color w:val="000000" w:themeColor="text1"/>
          <w:highlight w:val="none"/>
          <w:u w:val="none"/>
          <w:lang w:val="en-US" w:eastAsia="zh-CN"/>
          <w14:textFill>
            <w14:solidFill>
              <w14:schemeClr w14:val="tx1"/>
            </w14:solidFill>
          </w14:textFill>
        </w:rPr>
        <w:t>（新疆师范大学智慧教育及应用工程技术研究中心项目（1））</w:t>
      </w:r>
      <w:r>
        <w:rPr>
          <w:rFonts w:hint="eastAsia" w:ascii="宋体" w:hAnsi="宋体" w:eastAsia="宋体" w:cs="宋体"/>
          <w:color w:val="000000" w:themeColor="text1"/>
          <w:highlight w:val="none"/>
          <w14:textFill>
            <w14:solidFill>
              <w14:schemeClr w14:val="tx1"/>
            </w14:solidFill>
          </w14:textFill>
        </w:rPr>
        <w:t>进行公开招标采购，欢迎符合条件的供应商投标。</w:t>
      </w:r>
    </w:p>
    <w:p w14:paraId="4726B32A">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项目概况</w:t>
      </w:r>
    </w:p>
    <w:p w14:paraId="422E1021">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（新疆师范大学智慧教育及应用工程技术研究中心项目</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招标项目的潜在投标人可在</w:t>
      </w:r>
      <w:r>
        <w:rPr>
          <w:rFonts w:hint="eastAsia" w:ascii="宋体" w:hAnsi="宋体" w:eastAsia="宋体" w:cs="宋体"/>
          <w:color w:val="000000" w:themeColor="text1"/>
          <w:sz w:val="24"/>
          <w:szCs w:val="24"/>
          <w:highlight w:val="none"/>
          <w:u w:val="single"/>
          <w14:textFill>
            <w14:solidFill>
              <w14:schemeClr w14:val="tx1"/>
            </w14:solidFill>
          </w14:textFill>
        </w:rPr>
        <w:t>“新疆公共资源交易网”或“新疆政府采购网”自行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查看</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项目公告</w:t>
      </w:r>
      <w:r>
        <w:rPr>
          <w:rFonts w:hint="eastAsia" w:ascii="宋体" w:hAnsi="宋体" w:eastAsia="宋体" w:cs="宋体"/>
          <w:color w:val="000000" w:themeColor="text1"/>
          <w:sz w:val="24"/>
          <w:szCs w:val="24"/>
          <w:highlight w:val="none"/>
          <w14:textFill>
            <w14:solidFill>
              <w14:schemeClr w14:val="tx1"/>
            </w14:solidFill>
          </w14:textFill>
        </w:rPr>
        <w:t>，并于</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202</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bCs/>
          <w:color w:val="000000" w:themeColor="text1"/>
          <w:sz w:val="24"/>
          <w:szCs w:val="24"/>
          <w:highlight w:val="none"/>
          <w:u w:val="single"/>
          <w14:textFill>
            <w14:solidFill>
              <w14:schemeClr w14:val="tx1"/>
            </w14:solidFill>
          </w14:textFill>
        </w:rPr>
        <w:t>年</w:t>
      </w:r>
      <w:r>
        <w:rPr>
          <w:rFonts w:hint="eastAsia" w:ascii="宋体" w:hAnsi="宋体" w:cs="宋体"/>
          <w:bCs/>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u w:val="single"/>
          <w14:textFill>
            <w14:solidFill>
              <w14:schemeClr w14:val="tx1"/>
            </w14:solidFill>
          </w14:textFill>
        </w:rPr>
        <w:t>月</w:t>
      </w:r>
      <w:r>
        <w:rPr>
          <w:rFonts w:hint="eastAsia" w:ascii="宋体" w:hAnsi="宋体" w:cs="宋体"/>
          <w:bCs/>
          <w:color w:val="000000" w:themeColor="text1"/>
          <w:sz w:val="24"/>
          <w:szCs w:val="24"/>
          <w:highlight w:val="none"/>
          <w:u w:val="single"/>
          <w:lang w:val="en-US" w:eastAsia="zh-CN"/>
          <w14:textFill>
            <w14:solidFill>
              <w14:schemeClr w14:val="tx1"/>
            </w14:solidFill>
          </w14:textFill>
        </w:rPr>
        <w:t>13</w:t>
      </w:r>
      <w:r>
        <w:rPr>
          <w:rFonts w:hint="eastAsia" w:ascii="宋体" w:hAnsi="宋体" w:eastAsia="宋体" w:cs="宋体"/>
          <w:bCs/>
          <w:color w:val="000000" w:themeColor="text1"/>
          <w:sz w:val="24"/>
          <w:szCs w:val="24"/>
          <w:highlight w:val="none"/>
          <w:u w:val="single"/>
          <w14:textFill>
            <w14:solidFill>
              <w14:schemeClr w14:val="tx1"/>
            </w14:solidFill>
          </w14:textFill>
        </w:rPr>
        <w:t>日</w:t>
      </w:r>
      <w:r>
        <w:rPr>
          <w:rFonts w:hint="eastAsia" w:ascii="宋体" w:hAnsi="宋体" w:cs="宋体"/>
          <w:bCs/>
          <w:color w:val="000000" w:themeColor="text1"/>
          <w:sz w:val="24"/>
          <w:szCs w:val="24"/>
          <w:highlight w:val="none"/>
          <w:u w:val="single"/>
          <w:lang w:val="en-US" w:eastAsia="zh-CN"/>
          <w14:textFill>
            <w14:solidFill>
              <w14:schemeClr w14:val="tx1"/>
            </w14:solidFill>
          </w14:textFill>
        </w:rPr>
        <w:t>11</w:t>
      </w:r>
      <w:r>
        <w:rPr>
          <w:rFonts w:hint="eastAsia" w:ascii="宋体" w:hAnsi="宋体" w:eastAsia="宋体" w:cs="宋体"/>
          <w:bCs/>
          <w:color w:val="000000" w:themeColor="text1"/>
          <w:sz w:val="24"/>
          <w:szCs w:val="24"/>
          <w:highlight w:val="none"/>
          <w:u w:val="single"/>
          <w14:textFill>
            <w14:solidFill>
              <w14:schemeClr w14:val="tx1"/>
            </w14:solidFill>
          </w14:textFill>
        </w:rPr>
        <w:t>点</w:t>
      </w:r>
      <w:r>
        <w:rPr>
          <w:rFonts w:hint="eastAsia" w:ascii="宋体" w:hAnsi="宋体" w:cs="宋体"/>
          <w:bCs/>
          <w:color w:val="000000" w:themeColor="text1"/>
          <w:sz w:val="24"/>
          <w:szCs w:val="24"/>
          <w:highlight w:val="none"/>
          <w:u w:val="single"/>
          <w:lang w:val="en-US" w:eastAsia="zh-CN"/>
          <w14:textFill>
            <w14:solidFill>
              <w14:schemeClr w14:val="tx1"/>
            </w14:solidFill>
          </w14:textFill>
        </w:rPr>
        <w:t>00</w:t>
      </w:r>
      <w:r>
        <w:rPr>
          <w:rFonts w:hint="eastAsia" w:ascii="宋体" w:hAnsi="宋体" w:eastAsia="宋体" w:cs="宋体"/>
          <w:bCs/>
          <w:color w:val="000000" w:themeColor="text1"/>
          <w:sz w:val="24"/>
          <w:szCs w:val="24"/>
          <w:highlight w:val="none"/>
          <w:u w:val="single"/>
          <w14:textFill>
            <w14:solidFill>
              <w14:schemeClr w14:val="tx1"/>
            </w14:solidFill>
          </w14:textFill>
        </w:rPr>
        <w:t>分（</w:t>
      </w:r>
      <w:r>
        <w:rPr>
          <w:rFonts w:hint="eastAsia" w:ascii="宋体" w:hAnsi="宋体" w:eastAsia="宋体" w:cs="宋体"/>
          <w:bCs/>
          <w:color w:val="000000" w:themeColor="text1"/>
          <w:sz w:val="24"/>
          <w:szCs w:val="24"/>
          <w:highlight w:val="none"/>
          <w14:textFill>
            <w14:solidFill>
              <w14:schemeClr w14:val="tx1"/>
            </w14:solidFill>
          </w14:textFill>
        </w:rPr>
        <w:t>北京时间）前提交投标文件</w:t>
      </w:r>
      <w:r>
        <w:rPr>
          <w:rFonts w:hint="eastAsia" w:ascii="宋体" w:hAnsi="宋体" w:eastAsia="宋体" w:cs="宋体"/>
          <w:color w:val="000000" w:themeColor="text1"/>
          <w:sz w:val="24"/>
          <w:szCs w:val="24"/>
          <w:highlight w:val="none"/>
          <w14:textFill>
            <w14:solidFill>
              <w14:schemeClr w14:val="tx1"/>
            </w14:solidFill>
          </w14:textFill>
        </w:rPr>
        <w:t>。</w:t>
      </w:r>
    </w:p>
    <w:p w14:paraId="7E862D21">
      <w:pPr>
        <w:pStyle w:val="103"/>
        <w:rPr>
          <w:rFonts w:hint="eastAsia" w:ascii="宋体" w:hAnsi="宋体" w:eastAsia="宋体" w:cs="宋体"/>
          <w:color w:val="000000" w:themeColor="text1"/>
          <w:highlight w:val="none"/>
          <w14:textFill>
            <w14:solidFill>
              <w14:schemeClr w14:val="tx1"/>
            </w14:solidFill>
          </w14:textFill>
        </w:rPr>
      </w:pPr>
    </w:p>
    <w:p w14:paraId="0DE83822">
      <w:pPr>
        <w:pStyle w:val="6"/>
        <w:ind w:firstLine="482"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一、项目基本情况</w:t>
      </w:r>
    </w:p>
    <w:p w14:paraId="3D22A4F8">
      <w:pPr>
        <w:tabs>
          <w:tab w:val="left" w:pos="900"/>
        </w:tabs>
        <w:spacing w:line="56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1.项目名称：新疆师范大学智慧教育及应用工程技术研究中心项目</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EE40DC0">
      <w:pPr>
        <w:tabs>
          <w:tab w:val="left" w:pos="900"/>
        </w:tabs>
        <w:spacing w:line="560" w:lineRule="exact"/>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标项1：</w:t>
      </w:r>
      <w:r>
        <w:rPr>
          <w:rFonts w:hint="eastAsia" w:ascii="宋体" w:hAnsi="宋体" w:eastAsia="宋体" w:cs="宋体"/>
          <w:color w:val="000000" w:themeColor="text1"/>
          <w:sz w:val="24"/>
          <w:szCs w:val="24"/>
          <w:highlight w:val="none"/>
          <w14:textFill>
            <w14:solidFill>
              <w14:schemeClr w14:val="tx1"/>
            </w14:solidFill>
          </w14:textFill>
        </w:rPr>
        <w:t>新疆师范大学智慧教育及应用工程技术研究中心项目</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-第1包</w:t>
      </w:r>
    </w:p>
    <w:p w14:paraId="0D7D1F6E">
      <w:pPr>
        <w:tabs>
          <w:tab w:val="left" w:pos="900"/>
        </w:tabs>
        <w:spacing w:line="560" w:lineRule="exact"/>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标项2：</w:t>
      </w:r>
      <w:r>
        <w:rPr>
          <w:rFonts w:hint="eastAsia" w:ascii="宋体" w:hAnsi="宋体" w:eastAsia="宋体" w:cs="宋体"/>
          <w:color w:val="000000" w:themeColor="text1"/>
          <w:sz w:val="24"/>
          <w:szCs w:val="24"/>
          <w:highlight w:val="none"/>
          <w14:textFill>
            <w14:solidFill>
              <w14:schemeClr w14:val="tx1"/>
            </w14:solidFill>
          </w14:textFill>
        </w:rPr>
        <w:t>新疆师范大学智慧教育及应用工程技术研究中心项目</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-第2包</w:t>
      </w:r>
    </w:p>
    <w:p w14:paraId="568CB5EF">
      <w:pPr>
        <w:tabs>
          <w:tab w:val="left" w:pos="900"/>
        </w:tabs>
        <w:spacing w:line="560" w:lineRule="exact"/>
        <w:ind w:firstLine="480" w:firstLineChars="2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2.项目</w:t>
      </w:r>
      <w:r>
        <w:rPr>
          <w:rFonts w:hint="eastAsia" w:ascii="宋体" w:hAnsi="宋体" w:eastAsia="宋体" w:cs="宋体"/>
          <w:color w:val="000000" w:themeColor="text1"/>
          <w:sz w:val="24"/>
          <w:highlight w:val="none"/>
          <w14:textFill>
            <w14:solidFill>
              <w14:schemeClr w14:val="tx1"/>
            </w14:solidFill>
          </w14:textFill>
        </w:rPr>
        <w:t>编号：GK</w:t>
      </w:r>
      <w:r>
        <w:rPr>
          <w:rFonts w:hint="eastAsia" w:ascii="宋体" w:hAnsi="宋体" w:eastAsia="宋体" w:cs="宋体"/>
          <w:color w:val="000000" w:themeColor="text1"/>
          <w:sz w:val="24"/>
          <w:highlight w:val="none"/>
          <w:lang w:eastAsia="zh-CN"/>
          <w14:textFill>
            <w14:solidFill>
              <w14:schemeClr w14:val="tx1"/>
            </w14:solidFill>
          </w14:textFill>
        </w:rPr>
        <w:t>202</w:t>
      </w: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072</w:t>
      </w:r>
    </w:p>
    <w:p w14:paraId="4B81F616">
      <w:pPr>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3.预算金额： </w:t>
      </w:r>
      <w:r>
        <w:rPr>
          <w:rFonts w:hint="eastAsia" w:ascii="宋体" w:hAnsi="宋体" w:cs="宋体"/>
          <w:color w:val="000000" w:themeColor="text1"/>
          <w:sz w:val="24"/>
          <w:szCs w:val="24"/>
          <w:highlight w:val="none"/>
          <w:lang w:val="en-US" w:eastAsia="zh-CN"/>
          <w14:textFill>
            <w14:solidFill>
              <w14:schemeClr w14:val="tx1"/>
            </w14:solidFill>
          </w14:textFill>
        </w:rPr>
        <w:t>4129306</w:t>
      </w:r>
      <w:r>
        <w:rPr>
          <w:rFonts w:hint="eastAsia" w:ascii="宋体" w:hAnsi="宋体" w:eastAsia="宋体" w:cs="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其中：</w:t>
      </w:r>
    </w:p>
    <w:p w14:paraId="5E967E8E">
      <w:pPr>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标项1：</w:t>
      </w:r>
      <w:r>
        <w:rPr>
          <w:rFonts w:hint="eastAsia" w:ascii="宋体" w:hAnsi="宋体" w:cs="宋体"/>
          <w:color w:val="000000" w:themeColor="text1"/>
          <w:sz w:val="24"/>
          <w:szCs w:val="24"/>
          <w:highlight w:val="none"/>
          <w:lang w:val="en-US" w:eastAsia="zh-CN"/>
          <w14:textFill>
            <w14:solidFill>
              <w14:schemeClr w14:val="tx1"/>
            </w14:solidFill>
          </w14:textFill>
        </w:rPr>
        <w:t>272930</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6元 </w:t>
      </w:r>
    </w:p>
    <w:p w14:paraId="4F330087">
      <w:pPr>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标项2: </w:t>
      </w:r>
      <w:r>
        <w:rPr>
          <w:rFonts w:hint="eastAsia" w:ascii="宋体" w:hAnsi="宋体" w:cs="宋体"/>
          <w:color w:val="000000" w:themeColor="text1"/>
          <w:sz w:val="24"/>
          <w:szCs w:val="24"/>
          <w:highlight w:val="none"/>
          <w:lang w:val="en-US" w:eastAsia="zh-CN"/>
          <w14:textFill>
            <w14:solidFill>
              <w14:schemeClr w14:val="tx1"/>
            </w14:solidFill>
          </w14:textFill>
        </w:rPr>
        <w:t>1400000</w:t>
      </w:r>
      <w:r>
        <w:rPr>
          <w:rFonts w:hint="eastAsia" w:ascii="宋体" w:hAnsi="宋体" w:eastAsia="宋体" w:cs="宋体"/>
          <w:color w:val="000000" w:themeColor="text1"/>
          <w:sz w:val="24"/>
          <w:szCs w:val="24"/>
          <w:highlight w:val="none"/>
          <w:lang w:val="en-US" w:eastAsia="zh-CN"/>
          <w14:textFill>
            <w14:solidFill>
              <w14:schemeClr w14:val="tx1"/>
            </w14:solidFill>
          </w14:textFill>
        </w:rPr>
        <w:t>元</w:t>
      </w:r>
    </w:p>
    <w:p w14:paraId="42BB6D07">
      <w:pPr>
        <w:tabs>
          <w:tab w:val="left" w:pos="900"/>
        </w:tabs>
        <w:spacing w:line="5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4.本项目</w:t>
      </w:r>
      <w:r>
        <w:rPr>
          <w:rFonts w:hint="eastAsia" w:ascii="宋体" w:hAnsi="宋体" w:eastAsia="宋体" w:cs="宋体"/>
          <w:color w:val="000000" w:themeColor="text1"/>
          <w:sz w:val="24"/>
          <w:szCs w:val="24"/>
          <w:highlight w:val="none"/>
          <w:u w:val="single"/>
          <w14:textFill>
            <w14:solidFill>
              <w14:schemeClr w14:val="tx1"/>
            </w14:solidFill>
          </w14:textFill>
        </w:rPr>
        <w:t>设定</w:t>
      </w:r>
      <w:r>
        <w:rPr>
          <w:rFonts w:hint="eastAsia" w:ascii="宋体" w:hAnsi="宋体" w:eastAsia="宋体" w:cs="宋体"/>
          <w:color w:val="000000" w:themeColor="text1"/>
          <w:sz w:val="24"/>
          <w:szCs w:val="24"/>
          <w:highlight w:val="none"/>
          <w14:textFill>
            <w14:solidFill>
              <w14:schemeClr w14:val="tx1"/>
            </w14:solidFill>
          </w14:textFill>
        </w:rPr>
        <w:t>最高限价，最高限价为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标项1：</w:t>
      </w:r>
      <w:r>
        <w:rPr>
          <w:rFonts w:hint="eastAsia" w:ascii="宋体" w:hAnsi="宋体" w:cs="宋体"/>
          <w:color w:val="000000" w:themeColor="text1"/>
          <w:sz w:val="24"/>
          <w:szCs w:val="24"/>
          <w:highlight w:val="none"/>
          <w:u w:val="single"/>
          <w:lang w:val="en-US" w:eastAsia="zh-CN"/>
          <w14:textFill>
            <w14:solidFill>
              <w14:schemeClr w14:val="tx1"/>
            </w14:solidFill>
          </w14:textFill>
        </w:rPr>
        <w:t>272930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6元</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标项2: </w:t>
      </w:r>
      <w:r>
        <w:rPr>
          <w:rFonts w:hint="eastAsia" w:ascii="宋体" w:hAnsi="宋体" w:cs="宋体"/>
          <w:color w:val="000000" w:themeColor="text1"/>
          <w:sz w:val="24"/>
          <w:szCs w:val="24"/>
          <w:highlight w:val="none"/>
          <w:u w:val="single"/>
          <w:lang w:val="en-US" w:eastAsia="zh-CN"/>
          <w14:textFill>
            <w14:solidFill>
              <w14:schemeClr w14:val="tx1"/>
            </w14:solidFill>
          </w14:textFill>
        </w:rPr>
        <w:t>1400000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元</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w:t>
      </w:r>
    </w:p>
    <w:p w14:paraId="0AF86EFE">
      <w:pPr>
        <w:tabs>
          <w:tab w:val="left" w:pos="900"/>
        </w:tabs>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 采购需求：</w:t>
      </w:r>
    </w:p>
    <w:p w14:paraId="6F27368C">
      <w:pPr>
        <w:tabs>
          <w:tab w:val="left" w:pos="900"/>
        </w:tabs>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拟</w:t>
      </w:r>
      <w:r>
        <w:rPr>
          <w:rFonts w:hint="eastAsia" w:ascii="宋体" w:hAnsi="宋体" w:eastAsia="宋体" w:cs="宋体"/>
          <w:color w:val="000000" w:themeColor="text1"/>
          <w:sz w:val="24"/>
          <w:szCs w:val="24"/>
          <w:highlight w:val="none"/>
          <w14:textFill>
            <w14:solidFill>
              <w14:schemeClr w14:val="tx1"/>
            </w14:solidFill>
          </w14:textFill>
        </w:rPr>
        <w:t>构建一个全方位、多层次的智慧教育体系，旨在通过深度整合人工智能、大数据等技术，增强教育与产业需求的对接能力，建成模块化数据中心机房、高性能算力平台、智能化调度管理软件和教学科研系统，夯实数字化教学基础，构建稳定高效的教育支撑环境。</w:t>
      </w:r>
    </w:p>
    <w:p w14:paraId="0DCF00C8">
      <w:pPr>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6.合同履行期限：</w:t>
      </w:r>
      <w:r>
        <w:rPr>
          <w:rFonts w:hint="eastAsia" w:ascii="宋体" w:hAnsi="宋体" w:eastAsia="宋体" w:cs="宋体"/>
          <w:color w:val="000000" w:themeColor="text1"/>
          <w:sz w:val="24"/>
          <w:szCs w:val="24"/>
          <w:highlight w:val="none"/>
          <w:lang w:val="en-US" w:eastAsia="zh-CN"/>
          <w14:textFill>
            <w14:solidFill>
              <w14:schemeClr w14:val="tx1"/>
            </w14:solidFill>
          </w14:textFill>
        </w:rPr>
        <w:t>自合同签订之日起至验收合格</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个日历日</w:t>
      </w:r>
    </w:p>
    <w:p w14:paraId="00823168">
      <w:pPr>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7.本项目</w:t>
      </w:r>
      <w:r>
        <w:rPr>
          <w:rFonts w:hint="eastAsia" w:ascii="宋体" w:hAnsi="宋体" w:eastAsia="宋体" w:cs="宋体"/>
          <w:color w:val="000000" w:themeColor="text1"/>
          <w:sz w:val="24"/>
          <w:szCs w:val="24"/>
          <w:highlight w:val="none"/>
          <w:u w:val="single"/>
          <w14:textFill>
            <w14:solidFill>
              <w14:schemeClr w14:val="tx1"/>
            </w14:solidFill>
          </w14:textFill>
        </w:rPr>
        <w:t>不接受</w:t>
      </w:r>
      <w:r>
        <w:rPr>
          <w:rFonts w:hint="eastAsia" w:ascii="宋体" w:hAnsi="宋体" w:eastAsia="宋体" w:cs="宋体"/>
          <w:color w:val="000000" w:themeColor="text1"/>
          <w:sz w:val="24"/>
          <w:szCs w:val="24"/>
          <w:highlight w:val="none"/>
          <w14:textFill>
            <w14:solidFill>
              <w14:schemeClr w14:val="tx1"/>
            </w14:solidFill>
          </w14:textFill>
        </w:rPr>
        <w:t>联合体投标。</w:t>
      </w:r>
    </w:p>
    <w:p w14:paraId="2FDD33F6">
      <w:pPr>
        <w:spacing w:line="360" w:lineRule="auto"/>
        <w:ind w:firstLine="480" w:firstLineChars="200"/>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8.本项目</w:t>
      </w:r>
      <w:r>
        <w:rPr>
          <w:rFonts w:hint="eastAsia" w:ascii="宋体" w:hAnsi="宋体" w:eastAsia="宋体" w:cs="宋体"/>
          <w:color w:val="000000" w:themeColor="text1"/>
          <w:sz w:val="24"/>
          <w:szCs w:val="24"/>
          <w:highlight w:val="none"/>
          <w:u w:val="single"/>
          <w14:textFill>
            <w14:solidFill>
              <w14:schemeClr w14:val="tx1"/>
            </w14:solidFill>
          </w14:textFill>
        </w:rPr>
        <w:t>不接受</w:t>
      </w:r>
      <w:r>
        <w:rPr>
          <w:rFonts w:hint="eastAsia" w:ascii="宋体" w:hAnsi="宋体" w:eastAsia="宋体" w:cs="宋体"/>
          <w:color w:val="000000" w:themeColor="text1"/>
          <w:sz w:val="24"/>
          <w:szCs w:val="24"/>
          <w:highlight w:val="none"/>
          <w14:textFill>
            <w14:solidFill>
              <w14:schemeClr w14:val="tx1"/>
            </w14:solidFill>
          </w14:textFill>
        </w:rPr>
        <w:t>进口产品投标。</w:t>
      </w:r>
    </w:p>
    <w:p w14:paraId="34F6C95B">
      <w:pPr>
        <w:tabs>
          <w:tab w:val="left" w:pos="900"/>
        </w:tabs>
        <w:spacing w:line="560" w:lineRule="exact"/>
        <w:ind w:firstLine="480" w:firstLineChars="200"/>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9.本项目属于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服务   类      </w:t>
      </w:r>
    </w:p>
    <w:p w14:paraId="76BD9FD4">
      <w:pPr>
        <w:tabs>
          <w:tab w:val="left" w:pos="900"/>
        </w:tabs>
        <w:spacing w:line="56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10.本项目采购标的对应的中小企业划分标准所属行业为“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软件与信息技术服务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业”。行业划分标准按《国民经济行业分类》执行。中小企业划分标准按《中小企业划型标准规定》（工信部联企业〔2011〕300号）文件规定执行。</w:t>
      </w:r>
    </w:p>
    <w:p w14:paraId="51252328">
      <w:pPr>
        <w:pStyle w:val="6"/>
        <w:spacing w:before="145" w:beforeLines="50" w:after="145" w:afterLines="50" w:line="360" w:lineRule="auto"/>
        <w:ind w:firstLine="498" w:firstLineChars="15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二、申请人的资格要求：</w:t>
      </w:r>
    </w:p>
    <w:p w14:paraId="7BC7777D">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1.满足《中华人民共和国政府采购法》第二十二条规定，并提供下列材料：</w:t>
      </w:r>
    </w:p>
    <w:p w14:paraId="690DD094">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1.1法人或者其他组织的营业执照等证明文件，自然人的身份证明；</w:t>
      </w:r>
    </w:p>
    <w:p w14:paraId="2FB0F1D0">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1.2最近一个年度的财务状况报告（成立不满一年不需提供）；</w:t>
      </w:r>
    </w:p>
    <w:p w14:paraId="053AC8E4">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1.3依法缴纳税收和社会保障资金的相关材料（提供提交投标文件截止时间前一年内至少一个月依法缴纳税收及缴纳社会保障资金的证明材料</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投标人依法享受缓缴、免缴税收、社会保障资金的</w:t>
      </w:r>
      <w:r>
        <w:rPr>
          <w:rFonts w:hint="eastAsia" w:ascii="宋体" w:hAnsi="宋体" w:eastAsia="宋体" w:cs="宋体"/>
          <w:color w:val="000000" w:themeColor="text1"/>
          <w:sz w:val="24"/>
          <w:szCs w:val="24"/>
          <w:highlight w:val="none"/>
          <w:lang w:eastAsia="zh-CN"/>
          <w14:textFill>
            <w14:solidFill>
              <w14:schemeClr w14:val="tx1"/>
            </w14:solidFill>
          </w14:textFill>
        </w:rPr>
        <w:t>，提供</w:t>
      </w:r>
      <w:r>
        <w:rPr>
          <w:rFonts w:hint="eastAsia" w:ascii="宋体" w:hAnsi="宋体" w:eastAsia="宋体" w:cs="宋体"/>
          <w:color w:val="000000" w:themeColor="text1"/>
          <w:sz w:val="24"/>
          <w:szCs w:val="24"/>
          <w:highlight w:val="none"/>
          <w14:textFill>
            <w14:solidFill>
              <w14:schemeClr w14:val="tx1"/>
            </w14:solidFill>
          </w14:textFill>
        </w:rPr>
        <w:t>证明材料）；</w:t>
      </w:r>
    </w:p>
    <w:p w14:paraId="22BDEEEB">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1.4具备履行合同所必需的设备和专业技术能力的证明材料；</w:t>
      </w:r>
    </w:p>
    <w:p w14:paraId="11CC7A8E">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1.5参加政府采购活动前3年内在经营活动中没有重大违法记录的书面声明；</w:t>
      </w:r>
    </w:p>
    <w:p w14:paraId="45BF3FA9">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1.6未被“信用中国”网站（www.creditchina.gov.cn）</w:t>
      </w:r>
      <w:r>
        <w:rPr>
          <w:rFonts w:hint="eastAsia" w:ascii="宋体" w:hAnsi="宋体" w:eastAsia="宋体" w:cs="宋体"/>
          <w:color w:val="000000" w:themeColor="text1"/>
          <w:sz w:val="24"/>
          <w:szCs w:val="24"/>
          <w:highlight w:val="none"/>
          <w:lang w:eastAsia="zh-CN"/>
          <w14:textFill>
            <w14:solidFill>
              <w14:schemeClr w14:val="tx1"/>
            </w14:solidFill>
          </w14:textFill>
        </w:rPr>
        <w:t>、“中国政府采购网”（www.ccgp.gov.cn）</w:t>
      </w:r>
      <w:r>
        <w:rPr>
          <w:rFonts w:hint="eastAsia" w:ascii="宋体" w:hAnsi="宋体" w:eastAsia="宋体" w:cs="宋体"/>
          <w:color w:val="000000" w:themeColor="text1"/>
          <w:sz w:val="24"/>
          <w:szCs w:val="24"/>
          <w:highlight w:val="none"/>
          <w14:textFill>
            <w14:solidFill>
              <w14:schemeClr w14:val="tx1"/>
            </w14:solidFill>
          </w14:textFill>
        </w:rPr>
        <w:t>列入失信被执行人、重大税收违法案件当事人名单、政府采购严重失信行为记录名单。</w:t>
      </w:r>
      <w:r>
        <w:rPr>
          <w:rFonts w:hint="eastAsia" w:ascii="宋体" w:hAnsi="宋体" w:eastAsia="宋体" w:cs="宋体"/>
          <w:color w:val="000000" w:themeColor="text1"/>
          <w:sz w:val="24"/>
          <w:szCs w:val="24"/>
          <w:highlight w:val="none"/>
          <w:lang w:val="en-US" w:eastAsia="zh-CN"/>
          <w14:textFill>
            <w14:solidFill>
              <w14:schemeClr w14:val="tx1"/>
            </w14:solidFill>
          </w14:textFill>
        </w:rPr>
        <w:t>（提供网页截图或承诺函）</w:t>
      </w:r>
    </w:p>
    <w:p w14:paraId="6048DC79">
      <w:pPr>
        <w:pStyle w:val="17"/>
        <w:pageBreakBefore w:val="0"/>
        <w:widowControl w:val="0"/>
        <w:kinsoku/>
        <w:overflowPunct/>
        <w:topLinePunct w:val="0"/>
        <w:autoSpaceDE/>
        <w:autoSpaceDN/>
        <w:bidi w:val="0"/>
        <w:ind w:left="0" w:leftChars="0" w:firstLine="480" w:firstLineChars="200"/>
        <w:textAlignment w:val="auto"/>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2.落实政府采购政策需满足的资格要求：本项目为</w:t>
      </w:r>
      <w:r>
        <w:rPr>
          <w:rFonts w:hint="eastAsia" w:ascii="宋体" w:hAnsi="宋体" w:cs="宋体"/>
          <w:color w:val="000000" w:themeColor="text1"/>
          <w:sz w:val="24"/>
          <w:szCs w:val="24"/>
          <w:highlight w:val="none"/>
          <w:lang w:val="en-US" w:eastAsia="zh-CN"/>
          <w14:textFill>
            <w14:solidFill>
              <w14:schemeClr w14:val="tx1"/>
            </w14:solidFill>
          </w14:textFill>
        </w:rPr>
        <w:t>不</w:t>
      </w:r>
      <w:r>
        <w:rPr>
          <w:rFonts w:hint="eastAsia" w:ascii="宋体" w:hAnsi="宋体" w:eastAsia="宋体" w:cs="宋体"/>
          <w:color w:val="000000" w:themeColor="text1"/>
          <w:sz w:val="24"/>
          <w:szCs w:val="24"/>
          <w:highlight w:val="none"/>
          <w:lang w:val="en-US" w:eastAsia="zh-CN"/>
          <w14:textFill>
            <w14:solidFill>
              <w14:schemeClr w14:val="tx1"/>
            </w14:solidFill>
          </w14:textFill>
        </w:rPr>
        <w:t>专门面向中小企业</w:t>
      </w:r>
      <w:r>
        <w:rPr>
          <w:rFonts w:hint="eastAsia" w:ascii="宋体" w:hAnsi="宋体" w:cs="宋体"/>
          <w:color w:val="000000" w:themeColor="text1"/>
          <w:sz w:val="24"/>
          <w:szCs w:val="24"/>
          <w:highlight w:val="none"/>
          <w:lang w:val="en-US" w:eastAsia="zh-CN"/>
          <w14:textFill>
            <w14:solidFill>
              <w14:schemeClr w14:val="tx1"/>
            </w14:solidFill>
          </w14:textFill>
        </w:rPr>
        <w:t>。</w:t>
      </w:r>
    </w:p>
    <w:p w14:paraId="77407A35">
      <w:pPr>
        <w:pStyle w:val="17"/>
        <w:numPr>
          <w:ilvl w:val="0"/>
          <w:numId w:val="0"/>
        </w:num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3.本项目的特定资格要求：</w:t>
      </w:r>
      <w:r>
        <w:rPr>
          <w:rFonts w:hint="eastAsia" w:ascii="宋体" w:hAnsi="宋体" w:eastAsia="宋体" w:cs="宋体"/>
          <w:color w:val="000000" w:themeColor="text1"/>
          <w:sz w:val="24"/>
          <w:szCs w:val="24"/>
          <w:highlight w:val="none"/>
          <w14:textFill>
            <w14:solidFill>
              <w14:schemeClr w14:val="tx1"/>
            </w14:solidFill>
          </w14:textFill>
        </w:rPr>
        <w:t>无。</w:t>
      </w:r>
    </w:p>
    <w:p w14:paraId="1120BA4C">
      <w:pPr>
        <w:pStyle w:val="6"/>
        <w:spacing w:before="145" w:beforeLines="50" w:after="145" w:afterLines="50" w:line="360" w:lineRule="auto"/>
        <w:ind w:firstLine="498" w:firstLineChars="15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三、获取招标文件</w:t>
      </w:r>
    </w:p>
    <w:p w14:paraId="52F3417D">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1.时间：自招标文件公告发布之日起5个工作日。</w:t>
      </w:r>
    </w:p>
    <w:p w14:paraId="70E4A4C0">
      <w:pPr>
        <w:spacing w:line="360" w:lineRule="auto"/>
        <w:ind w:firstLine="54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登录</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新疆政府采购云平台</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“项目采购”－“获取采购文件”中</w:t>
      </w:r>
      <w:r>
        <w:rPr>
          <w:rFonts w:hint="eastAsia" w:ascii="宋体" w:hAnsi="宋体" w:eastAsia="宋体" w:cs="宋体"/>
          <w:color w:val="000000" w:themeColor="text1"/>
          <w:sz w:val="24"/>
          <w:szCs w:val="24"/>
          <w:highlight w:val="none"/>
          <w14:textFill>
            <w14:solidFill>
              <w14:schemeClr w14:val="tx1"/>
            </w14:solidFill>
          </w14:textFill>
        </w:rPr>
        <w:t>自行免费下载招标文件。</w:t>
      </w:r>
    </w:p>
    <w:p w14:paraId="31B5CC9B">
      <w:pPr>
        <w:pStyle w:val="6"/>
        <w:ind w:firstLine="482"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四、提交投标文件截止时间、开标时间和地点</w:t>
      </w:r>
    </w:p>
    <w:p w14:paraId="498B1B57">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1.提交投标文件截止时间、开标时间：</w:t>
      </w:r>
      <w:r>
        <w:rPr>
          <w:rFonts w:hint="eastAsia" w:ascii="宋体" w:hAnsi="宋体" w:eastAsia="宋体" w:cs="宋体"/>
          <w:color w:val="000000" w:themeColor="text1"/>
          <w:sz w:val="24"/>
          <w:szCs w:val="24"/>
          <w:highlight w:val="none"/>
          <w:lang w:eastAsia="zh-CN"/>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13</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点00分（北京时间）</w:t>
      </w:r>
    </w:p>
    <w:p w14:paraId="28021150">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2.地点：</w:t>
      </w:r>
      <w:r>
        <w:rPr>
          <w:rFonts w:hint="eastAsia" w:ascii="宋体" w:hAnsi="宋体" w:eastAsia="宋体" w:cs="宋体"/>
          <w:color w:val="000000" w:themeColor="text1"/>
          <w:sz w:val="24"/>
          <w:szCs w:val="24"/>
          <w:highlight w:val="none"/>
          <w:lang w:val="en-US" w:eastAsia="zh-CN"/>
          <w14:textFill>
            <w14:solidFill>
              <w14:schemeClr w14:val="tx1"/>
            </w14:solidFill>
          </w14:textFill>
        </w:rPr>
        <w:t>新疆政府采购网</w:t>
      </w:r>
      <w:r>
        <w:rPr>
          <w:rFonts w:hint="eastAsia" w:ascii="宋体" w:hAnsi="宋体" w:eastAsia="宋体" w:cs="宋体"/>
          <w:color w:val="000000" w:themeColor="text1"/>
          <w:sz w:val="24"/>
          <w:szCs w:val="24"/>
          <w:highlight w:val="none"/>
          <w14:textFill>
            <w14:solidFill>
              <w14:schemeClr w14:val="tx1"/>
            </w14:solidFill>
          </w14:textFill>
        </w:rPr>
        <w:t>。</w:t>
      </w:r>
    </w:p>
    <w:p w14:paraId="0934CCD4">
      <w:pPr>
        <w:pStyle w:val="6"/>
        <w:spacing w:before="145" w:beforeLines="50" w:after="145" w:afterLines="50" w:line="360" w:lineRule="auto"/>
        <w:ind w:firstLine="498" w:firstLineChars="155"/>
        <w:rPr>
          <w:rFonts w:hint="eastAsia" w:ascii="宋体" w:hAnsi="宋体" w:eastAsia="宋体" w:cs="宋体"/>
          <w:color w:val="000000" w:themeColor="text1"/>
          <w:highlight w:val="none"/>
          <w14:textFill>
            <w14:solidFill>
              <w14:schemeClr w14:val="tx1"/>
            </w14:solidFill>
          </w14:textFill>
        </w:rPr>
      </w:pPr>
      <w:bookmarkStart w:id="9" w:name="_Toc28359007"/>
      <w:bookmarkStart w:id="10" w:name="_Toc38985267"/>
      <w:bookmarkStart w:id="11" w:name="_Toc35393794"/>
      <w:bookmarkStart w:id="12" w:name="_Toc35393625"/>
      <w:bookmarkStart w:id="13" w:name="_Toc28359084"/>
      <w:r>
        <w:rPr>
          <w:rFonts w:hint="eastAsia" w:ascii="宋体" w:hAnsi="宋体" w:eastAsia="宋体" w:cs="宋体"/>
          <w:color w:val="000000" w:themeColor="text1"/>
          <w:highlight w:val="none"/>
          <w14:textFill>
            <w14:solidFill>
              <w14:schemeClr w14:val="tx1"/>
            </w14:solidFill>
          </w14:textFill>
        </w:rPr>
        <w:t>五、公告期限</w:t>
      </w:r>
      <w:bookmarkEnd w:id="9"/>
      <w:bookmarkEnd w:id="10"/>
      <w:bookmarkEnd w:id="11"/>
      <w:bookmarkEnd w:id="12"/>
      <w:bookmarkEnd w:id="13"/>
    </w:p>
    <w:p w14:paraId="44BBC383">
      <w:pPr>
        <w:tabs>
          <w:tab w:val="left" w:pos="900"/>
        </w:tabs>
        <w:spacing w:line="56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招标公告及招标文件公告期限为自本公告发布之日起5个工作日。</w:t>
      </w:r>
    </w:p>
    <w:p w14:paraId="7807EC61">
      <w:pPr>
        <w:pStyle w:val="6"/>
        <w:spacing w:before="145" w:beforeLines="50" w:after="145" w:afterLines="50" w:line="360" w:lineRule="auto"/>
        <w:ind w:firstLine="498" w:firstLineChars="15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六、其他补充事宜</w:t>
      </w:r>
    </w:p>
    <w:p w14:paraId="7074C79C">
      <w:pPr>
        <w:adjustRightInd w:val="0"/>
        <w:snapToGrid w:val="0"/>
        <w:spacing w:before="145" w:beforeLines="50" w:after="145" w:afterLines="50" w:line="293"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评标委员会如要求投标人对投标文件内容进行澄清，将通过腾讯视频会议方式进行，请各投标人在开标前做好人员、网络、设备准备工作，视频会议房间信息将适时告知投标授权代表，投标代表务必于开标当日保持手机联系畅通。</w:t>
      </w:r>
    </w:p>
    <w:p w14:paraId="77A72D41">
      <w:pPr>
        <w:pStyle w:val="6"/>
        <w:spacing w:before="145" w:beforeLines="50" w:after="145" w:afterLines="50" w:line="360" w:lineRule="auto"/>
        <w:ind w:firstLine="498" w:firstLineChars="155"/>
        <w:rPr>
          <w:rFonts w:hint="eastAsia" w:ascii="宋体" w:hAnsi="宋体" w:eastAsia="宋体" w:cs="宋体"/>
          <w:color w:val="000000" w:themeColor="text1"/>
          <w:highlight w:val="none"/>
          <w14:textFill>
            <w14:solidFill>
              <w14:schemeClr w14:val="tx1"/>
            </w14:solidFill>
          </w14:textFill>
        </w:rPr>
      </w:pPr>
      <w:bookmarkStart w:id="14" w:name="_Toc35393627"/>
      <w:bookmarkStart w:id="15" w:name="_Toc38985269"/>
      <w:bookmarkStart w:id="16" w:name="_Toc35393796"/>
      <w:bookmarkStart w:id="17" w:name="_Toc28359085"/>
      <w:bookmarkStart w:id="18" w:name="_Toc28359008"/>
      <w:r>
        <w:rPr>
          <w:rFonts w:hint="eastAsia" w:ascii="宋体" w:hAnsi="宋体" w:eastAsia="宋体" w:cs="宋体"/>
          <w:color w:val="000000" w:themeColor="text1"/>
          <w:highlight w:val="none"/>
          <w14:textFill>
            <w14:solidFill>
              <w14:schemeClr w14:val="tx1"/>
            </w14:solidFill>
          </w14:textFill>
        </w:rPr>
        <w:t>七、联系</w:t>
      </w:r>
      <w:bookmarkEnd w:id="14"/>
      <w:bookmarkEnd w:id="15"/>
      <w:bookmarkEnd w:id="16"/>
      <w:bookmarkEnd w:id="17"/>
      <w:bookmarkEnd w:id="18"/>
      <w:r>
        <w:rPr>
          <w:rFonts w:hint="eastAsia" w:ascii="宋体" w:hAnsi="宋体" w:eastAsia="宋体" w:cs="宋体"/>
          <w:color w:val="000000" w:themeColor="text1"/>
          <w:highlight w:val="none"/>
          <w14:textFill>
            <w14:solidFill>
              <w14:schemeClr w14:val="tx1"/>
            </w14:solidFill>
          </w14:textFill>
        </w:rPr>
        <w:t>事项</w:t>
      </w:r>
    </w:p>
    <w:p w14:paraId="50698A6F">
      <w:pPr>
        <w:adjustRightInd w:val="0"/>
        <w:snapToGrid w:val="0"/>
        <w:spacing w:before="145" w:beforeLines="50" w:after="145" w:afterLines="50" w:line="293"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1.采购人信息</w:t>
      </w:r>
    </w:p>
    <w:p w14:paraId="2956E1D4">
      <w:pPr>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名称：</w:t>
      </w:r>
      <w:r>
        <w:rPr>
          <w:rFonts w:hint="eastAsia" w:ascii="宋体" w:hAnsi="宋体" w:cs="宋体"/>
          <w:color w:val="000000" w:themeColor="text1"/>
          <w:sz w:val="24"/>
          <w:szCs w:val="24"/>
          <w:highlight w:val="none"/>
          <w:lang w:eastAsia="zh-CN"/>
          <w14:textFill>
            <w14:solidFill>
              <w14:schemeClr w14:val="tx1"/>
            </w14:solidFill>
          </w14:textFill>
        </w:rPr>
        <w:t>新疆师范大学</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032A772B">
      <w:pPr>
        <w:spacing w:line="360" w:lineRule="auto"/>
        <w:ind w:firstLine="480" w:firstLineChars="200"/>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w:t>
      </w:r>
      <w:r>
        <w:rPr>
          <w:rFonts w:hint="eastAsia" w:ascii="宋体" w:hAnsi="宋体" w:cs="宋体"/>
          <w:color w:val="000000" w:themeColor="text1"/>
          <w:sz w:val="24"/>
          <w:szCs w:val="24"/>
          <w:highlight w:val="none"/>
          <w:lang w:eastAsia="zh-CN"/>
          <w14:textFill>
            <w14:solidFill>
              <w14:schemeClr w14:val="tx1"/>
            </w14:solidFill>
          </w14:textFill>
        </w:rPr>
        <w:t>观园路</w:t>
      </w:r>
      <w:r>
        <w:rPr>
          <w:rFonts w:hint="eastAsia" w:ascii="宋体" w:hAnsi="宋体" w:cs="宋体"/>
          <w:color w:val="000000" w:themeColor="text1"/>
          <w:sz w:val="24"/>
          <w:szCs w:val="24"/>
          <w:highlight w:val="none"/>
          <w:lang w:val="en-US" w:eastAsia="zh-CN"/>
          <w14:textFill>
            <w14:solidFill>
              <w14:schemeClr w14:val="tx1"/>
            </w14:solidFill>
          </w14:textFill>
        </w:rPr>
        <w:t>100号</w:t>
      </w:r>
    </w:p>
    <w:p w14:paraId="50DC9421">
      <w:pPr>
        <w:spacing w:line="360" w:lineRule="auto"/>
        <w:ind w:firstLine="480" w:firstLineChars="20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cs="宋体"/>
          <w:color w:val="000000" w:themeColor="text1"/>
          <w:sz w:val="24"/>
          <w:szCs w:val="24"/>
          <w:highlight w:val="none"/>
          <w:lang w:eastAsia="zh-CN"/>
          <w14:textFill>
            <w14:solidFill>
              <w14:schemeClr w14:val="tx1"/>
            </w14:solidFill>
          </w14:textFill>
        </w:rPr>
        <w:t>柳老师</w:t>
      </w:r>
    </w:p>
    <w:p w14:paraId="70C52AE6">
      <w:pPr>
        <w:spacing w:line="360" w:lineRule="auto"/>
        <w:ind w:firstLine="480" w:firstLineChars="200"/>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cs="宋体"/>
          <w:color w:val="000000" w:themeColor="text1"/>
          <w:sz w:val="24"/>
          <w:szCs w:val="24"/>
          <w:highlight w:val="none"/>
          <w:lang w:val="en-US" w:eastAsia="zh-CN"/>
          <w14:textFill>
            <w14:solidFill>
              <w14:schemeClr w14:val="tx1"/>
            </w14:solidFill>
          </w14:textFill>
        </w:rPr>
        <w:t>0991-7654181</w:t>
      </w:r>
    </w:p>
    <w:p w14:paraId="459D1425">
      <w:pPr>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新疆维吾尔</w:t>
      </w:r>
      <w:r>
        <w:rPr>
          <w:rFonts w:hint="default" w:ascii="宋体" w:hAnsi="宋体" w:eastAsia="宋体" w:cs="宋体"/>
          <w:color w:val="000000" w:themeColor="text1"/>
          <w:sz w:val="24"/>
          <w:highlight w:val="none"/>
          <w14:textFill>
            <w14:solidFill>
              <w14:schemeClr w14:val="tx1"/>
            </w14:solidFill>
          </w14:textFill>
        </w:rPr>
        <w:t>自治区公共资源交易中心</w:t>
      </w:r>
      <w:r>
        <w:rPr>
          <w:rFonts w:hint="eastAsia" w:ascii="宋体" w:hAnsi="宋体" w:eastAsia="宋体" w:cs="宋体"/>
          <w:color w:val="000000" w:themeColor="text1"/>
          <w:sz w:val="24"/>
          <w:szCs w:val="24"/>
          <w:highlight w:val="none"/>
          <w14:textFill>
            <w14:solidFill>
              <w14:schemeClr w14:val="tx1"/>
            </w14:solidFill>
          </w14:textFill>
        </w:rPr>
        <w:t>信息</w:t>
      </w:r>
    </w:p>
    <w:p w14:paraId="769DB8AD">
      <w:pPr>
        <w:adjustRightInd w:val="0"/>
        <w:snapToGrid w:val="0"/>
        <w:spacing w:before="145" w:beforeLines="50" w:after="145" w:afterLines="50" w:line="293"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r>
        <w:rPr>
          <w:rFonts w:hint="eastAsia" w:ascii="宋体" w:hAnsi="宋体" w:eastAsia="宋体" w:cs="宋体"/>
          <w:color w:val="000000" w:themeColor="text1"/>
          <w:sz w:val="24"/>
          <w:highlight w:val="none"/>
          <w14:textFill>
            <w14:solidFill>
              <w14:schemeClr w14:val="tx1"/>
            </w14:solidFill>
          </w14:textFill>
        </w:rPr>
        <w:t>新疆乌鲁木齐市水磨沟区准噶尔街299号益民大厦4楼A40</w:t>
      </w:r>
      <w:r>
        <w:rPr>
          <w:rFonts w:hint="eastAsia" w:ascii="宋体" w:hAnsi="宋体" w:eastAsia="宋体" w:cs="宋体"/>
          <w:color w:val="000000" w:themeColor="text1"/>
          <w:sz w:val="24"/>
          <w:highlight w:val="none"/>
          <w:lang w:val="en-US" w:eastAsia="zh-CN"/>
          <w14:textFill>
            <w14:solidFill>
              <w14:schemeClr w14:val="tx1"/>
            </w14:solidFill>
          </w14:textFill>
        </w:rPr>
        <w:t>8</w:t>
      </w:r>
      <w:r>
        <w:rPr>
          <w:rFonts w:hint="eastAsia" w:ascii="宋体" w:hAnsi="宋体" w:eastAsia="宋体" w:cs="宋体"/>
          <w:color w:val="000000" w:themeColor="text1"/>
          <w:sz w:val="24"/>
          <w:highlight w:val="none"/>
          <w14:textFill>
            <w14:solidFill>
              <w14:schemeClr w14:val="tx1"/>
            </w14:solidFill>
          </w14:textFill>
        </w:rPr>
        <w:t>室</w:t>
      </w:r>
    </w:p>
    <w:p w14:paraId="082C728F">
      <w:pPr>
        <w:spacing w:line="360" w:lineRule="auto"/>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cs="宋体"/>
          <w:color w:val="000000" w:themeColor="text1"/>
          <w:sz w:val="24"/>
          <w:szCs w:val="24"/>
          <w:highlight w:val="none"/>
          <w:lang w:val="en-US" w:eastAsia="zh-CN"/>
          <w14:textFill>
            <w14:solidFill>
              <w14:schemeClr w14:val="tx1"/>
            </w14:solidFill>
          </w14:textFill>
        </w:rPr>
        <w:t>张老师</w:t>
      </w:r>
    </w:p>
    <w:p w14:paraId="40395067">
      <w:pPr>
        <w:spacing w:line="360" w:lineRule="auto"/>
        <w:ind w:firstLine="480" w:firstLineChars="200"/>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lang w:val="en-US" w:eastAsia="zh-CN"/>
          <w14:textFill>
            <w14:solidFill>
              <w14:schemeClr w14:val="tx1"/>
            </w14:solidFill>
          </w14:textFill>
        </w:rPr>
        <w:t>0991-</w:t>
      </w:r>
      <w:r>
        <w:rPr>
          <w:rFonts w:hint="eastAsia" w:ascii="宋体" w:hAnsi="宋体" w:cs="宋体"/>
          <w:color w:val="000000" w:themeColor="text1"/>
          <w:sz w:val="24"/>
          <w:szCs w:val="24"/>
          <w:highlight w:val="none"/>
          <w:lang w:val="en-US" w:eastAsia="zh-CN"/>
          <w14:textFill>
            <w14:solidFill>
              <w14:schemeClr w14:val="tx1"/>
            </w14:solidFill>
          </w14:textFill>
        </w:rPr>
        <w:t>3552057</w:t>
      </w:r>
    </w:p>
    <w:p w14:paraId="03C9AD6C">
      <w:pPr>
        <w:pStyle w:val="6"/>
        <w:ind w:firstLine="482"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八、其他</w:t>
      </w:r>
    </w:p>
    <w:p w14:paraId="31B550BB">
      <w:pPr>
        <w:tabs>
          <w:tab w:val="left" w:pos="900"/>
        </w:tabs>
        <w:wordWrap w:val="0"/>
        <w:spacing w:line="560" w:lineRule="exact"/>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1.本项目实行电子招投标，供应商须登录新疆政府采购云平台申请获取招标文件，并通过新疆政府采购云平台电子投标客户端制作投标文件。</w:t>
      </w:r>
      <w:r>
        <w:rPr>
          <w:rFonts w:hint="eastAsia" w:ascii="宋体" w:hAnsi="宋体" w:eastAsia="宋体" w:cs="宋体"/>
          <w:bCs/>
          <w:color w:val="000000" w:themeColor="text1"/>
          <w:sz w:val="24"/>
          <w:szCs w:val="24"/>
          <w:highlight w:val="none"/>
          <w14:textFill>
            <w14:solidFill>
              <w14:schemeClr w14:val="tx1"/>
            </w14:solidFill>
          </w14:textFill>
        </w:rPr>
        <w:t>有关本次招标的事项若存在变动或修改，敬请及时关注新疆维吾尔</w:t>
      </w:r>
      <w:r>
        <w:rPr>
          <w:rFonts w:hint="default" w:ascii="宋体" w:hAnsi="宋体" w:eastAsia="宋体" w:cs="宋体"/>
          <w:bCs/>
          <w:color w:val="000000" w:themeColor="text1"/>
          <w:sz w:val="24"/>
          <w:szCs w:val="24"/>
          <w:highlight w:val="none"/>
          <w14:textFill>
            <w14:solidFill>
              <w14:schemeClr w14:val="tx1"/>
            </w14:solidFill>
          </w14:textFill>
        </w:rPr>
        <w:t>自治区公共资源交易中心</w:t>
      </w:r>
      <w:r>
        <w:rPr>
          <w:rFonts w:hint="eastAsia" w:ascii="宋体" w:hAnsi="宋体" w:eastAsia="宋体" w:cs="宋体"/>
          <w:bCs/>
          <w:color w:val="000000" w:themeColor="text1"/>
          <w:sz w:val="24"/>
          <w:szCs w:val="24"/>
          <w:highlight w:val="none"/>
          <w14:textFill>
            <w14:solidFill>
              <w14:schemeClr w14:val="tx1"/>
            </w14:solidFill>
          </w14:textFill>
        </w:rPr>
        <w:t>在“新疆公共资源交易网”和“新疆政府采购</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云平台</w:t>
      </w:r>
      <w:r>
        <w:rPr>
          <w:rFonts w:hint="eastAsia" w:ascii="宋体" w:hAnsi="宋体" w:eastAsia="宋体" w:cs="宋体"/>
          <w:bCs/>
          <w:color w:val="000000" w:themeColor="text1"/>
          <w:sz w:val="24"/>
          <w:szCs w:val="24"/>
          <w:highlight w:val="none"/>
          <w14:textFill>
            <w14:solidFill>
              <w14:schemeClr w14:val="tx1"/>
            </w14:solidFill>
          </w14:textFill>
        </w:rPr>
        <w:t>”发布的澄清变更公告，网址分别为“</w:t>
      </w:r>
      <w:r>
        <w:rPr>
          <w:rFonts w:hint="eastAsia" w:ascii="宋体" w:hAnsi="宋体" w:eastAsia="宋体" w:cs="宋体"/>
          <w:bCs/>
          <w:color w:val="000000" w:themeColor="text1"/>
          <w:sz w:val="24"/>
          <w:szCs w:val="24"/>
          <w:highlight w:val="none"/>
          <w14:textFill>
            <w14:solidFill>
              <w14:schemeClr w14:val="tx1"/>
            </w14:solidFill>
          </w14:textFill>
        </w:rPr>
        <w:fldChar w:fldCharType="begin"/>
      </w:r>
      <w:r>
        <w:rPr>
          <w:rFonts w:hint="eastAsia" w:ascii="宋体" w:hAnsi="宋体" w:eastAsia="宋体" w:cs="宋体"/>
          <w:bCs/>
          <w:color w:val="000000" w:themeColor="text1"/>
          <w:sz w:val="24"/>
          <w:szCs w:val="24"/>
          <w:highlight w:val="none"/>
          <w14:textFill>
            <w14:solidFill>
              <w14:schemeClr w14:val="tx1"/>
            </w14:solidFill>
          </w14:textFill>
        </w:rPr>
        <w:instrText xml:space="preserve"> HYPERLINK "http://zwfw.xinjiang.gov.cn/xinjiangggzy" </w:instrText>
      </w:r>
      <w:r>
        <w:rPr>
          <w:rFonts w:hint="eastAsia" w:ascii="宋体" w:hAnsi="宋体" w:eastAsia="宋体" w:cs="宋体"/>
          <w:bCs/>
          <w:color w:val="000000" w:themeColor="text1"/>
          <w:sz w:val="24"/>
          <w:szCs w:val="24"/>
          <w:highlight w:val="none"/>
          <w14:textFill>
            <w14:solidFill>
              <w14:schemeClr w14:val="tx1"/>
            </w14:solidFill>
          </w14:textFill>
        </w:rPr>
        <w:fldChar w:fldCharType="separate"/>
      </w:r>
      <w:r>
        <w:rPr>
          <w:rFonts w:hint="eastAsia" w:ascii="宋体" w:hAnsi="宋体" w:eastAsia="宋体" w:cs="宋体"/>
          <w:bCs/>
          <w:color w:val="000000" w:themeColor="text1"/>
          <w:sz w:val="24"/>
          <w:szCs w:val="24"/>
          <w:highlight w:val="none"/>
          <w14:textFill>
            <w14:solidFill>
              <w14:schemeClr w14:val="tx1"/>
            </w14:solidFill>
          </w14:textFill>
        </w:rPr>
        <w:t>http://zwfw.xinjiang.gov.cn/xinjiangggzy</w:t>
      </w:r>
      <w:r>
        <w:rPr>
          <w:rFonts w:hint="eastAsia" w:ascii="宋体" w:hAnsi="宋体" w:eastAsia="宋体" w:cs="宋体"/>
          <w:bCs/>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”和“http://www.ccgp-xinjiang.gov.cn”。</w:t>
      </w:r>
    </w:p>
    <w:p w14:paraId="54A2E9AC">
      <w:pPr>
        <w:tabs>
          <w:tab w:val="left" w:pos="900"/>
        </w:tabs>
        <w:wordWrap w:val="0"/>
        <w:spacing w:line="560" w:lineRule="exact"/>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2.各供应商应在开标前确保成为新疆政府采购网正式供应商，并完成CA数字证书（符合国密标准）申领。因未注册入库、未办理CA数字证书等原因造成无法投标或投标失败等后果由供应商自行承担。</w:t>
      </w:r>
    </w:p>
    <w:p w14:paraId="02AC421E">
      <w:pPr>
        <w:tabs>
          <w:tab w:val="left" w:pos="900"/>
        </w:tabs>
        <w:wordWrap w:val="0"/>
        <w:spacing w:line="560" w:lineRule="exact"/>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供应商可前往新疆政府采购云平台（http://www.ccgp-xinjiang.gov.cn/）下载专区，下载电子投标客户端，安装完成后，可通过账号密码或CA登录客户端进行响应文件制作。在使用政采云电子投标客户端时，建议使用WIN7及以上操作系统。如有问题可拨打客户服务热线95763进行咨询。</w:t>
      </w:r>
    </w:p>
    <w:p w14:paraId="78F4D31A">
      <w:pPr>
        <w:tabs>
          <w:tab w:val="left" w:pos="900"/>
        </w:tabs>
        <w:wordWrap w:val="0"/>
        <w:spacing w:line="560" w:lineRule="exact"/>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4.本项目采用不见面开标，供应商须在投标截止时间前通过CA上传加密的电子响应文件。</w:t>
      </w:r>
    </w:p>
    <w:p w14:paraId="076919B7">
      <w:pPr>
        <w:tabs>
          <w:tab w:val="left" w:pos="900"/>
        </w:tabs>
        <w:wordWrap w:val="0"/>
        <w:spacing w:line="560" w:lineRule="exact"/>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备注：供应商对不见面开评标系统的技术操作咨询，可通过https://edu.zcygov.cn/luban/xinjiang-e-biding自助查询，也可在政采云帮助中心常见问题解答和操作流程讲解视频中自助查询，网址为：https://helpcenter.zcygov.cn/document/#/document/dashboard?siteCode=beijing，“项目采购”—“操作流程-电子招投标”—“政府采购项目电子交易管理操作指南-供应商”版面获取操作指南，同时对自助查询无法解决的问题可通过钉钉群及在线客服获取服务支持。</w:t>
      </w:r>
    </w:p>
    <w:p w14:paraId="52DDA1D8">
      <w:pPr>
        <w:tabs>
          <w:tab w:val="left" w:pos="900"/>
        </w:tabs>
        <w:wordWrap w:val="0"/>
        <w:spacing w:line="560" w:lineRule="exact"/>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5.供应商应当在递交截止时间前，将生成的“电子加密响应文件”上传递交至“政府采购云平台”；递交截止时间以后上传递交的响应文件将被“政府采购云平台”拒收。</w:t>
      </w:r>
    </w:p>
    <w:p w14:paraId="46459E6D">
      <w:pPr>
        <w:tabs>
          <w:tab w:val="left" w:pos="900"/>
        </w:tabs>
        <w:wordWrap w:val="0"/>
        <w:spacing w:line="560" w:lineRule="exact"/>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供应商在开标前须提前配置好电脑浏览器（建议使用谷歌浏览器），开标时请使用制作加密电子响应文件的CA锁进行解密及报价确认。本项目响应文件解密时间定为30分钟，如因自身原因导致无法正常解密，后果由供应商自行承担。</w:t>
      </w:r>
    </w:p>
    <w:p w14:paraId="59021618">
      <w:pPr>
        <w:pStyle w:val="2"/>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Cs/>
          <w:color w:val="000000" w:themeColor="text1"/>
          <w:sz w:val="24"/>
          <w:szCs w:val="24"/>
          <w:highlight w:val="none"/>
          <w14:textFill>
            <w14:solidFill>
              <w14:schemeClr w14:val="tx1"/>
            </w14:solidFill>
          </w14:textFill>
        </w:rPr>
        <w:t>本项目</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不</w:t>
      </w:r>
      <w:r>
        <w:rPr>
          <w:rFonts w:hint="eastAsia" w:ascii="宋体" w:hAnsi="宋体" w:eastAsia="宋体" w:cs="宋体"/>
          <w:bCs/>
          <w:color w:val="000000" w:themeColor="text1"/>
          <w:sz w:val="24"/>
          <w:szCs w:val="24"/>
          <w:highlight w:val="none"/>
          <w14:textFill>
            <w14:solidFill>
              <w14:schemeClr w14:val="tx1"/>
            </w14:solidFill>
          </w14:textFill>
        </w:rPr>
        <w:t>收取投标保证金</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56A38350">
      <w:pPr>
        <w:tabs>
          <w:tab w:val="left" w:pos="900"/>
        </w:tabs>
        <w:wordWrap w:val="0"/>
        <w:spacing w:line="560" w:lineRule="exact"/>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8.本项目的中标供应商可以登陆新疆政府采购网，进入“项目采购” 自行打印中标通知书。通过新疆政府采购网下载打印的中标通知书与现场开具的中标通知书具有同等法律效力。</w:t>
      </w:r>
    </w:p>
    <w:p w14:paraId="339DEB0F">
      <w:pPr>
        <w:adjustRightInd w:val="0"/>
        <w:snapToGrid w:val="0"/>
        <w:spacing w:before="145" w:beforeLines="50" w:after="145" w:afterLines="50" w:line="293"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9.系统技术支持电话：95763。</w:t>
      </w:r>
    </w:p>
    <w:p w14:paraId="10D3ECF0">
      <w:pPr>
        <w:spacing w:line="560" w:lineRule="exact"/>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p>
    <w:bookmarkEnd w:id="2"/>
    <w:bookmarkEnd w:id="3"/>
    <w:bookmarkEnd w:id="4"/>
    <w:bookmarkEnd w:id="5"/>
    <w:bookmarkEnd w:id="6"/>
    <w:p w14:paraId="0C454EC1">
      <w:pPr>
        <w:rPr>
          <w:rFonts w:hint="eastAsia" w:ascii="宋体" w:hAnsi="宋体" w:eastAsia="宋体" w:cs="宋体"/>
          <w:color w:val="000000" w:themeColor="text1"/>
          <w:highlight w:val="none"/>
          <w14:textFill>
            <w14:solidFill>
              <w14:schemeClr w14:val="tx1"/>
            </w14:solidFill>
          </w14:textFill>
        </w:rPr>
      </w:pPr>
      <w:bookmarkStart w:id="19" w:name="_Toc120614211"/>
      <w:bookmarkStart w:id="20" w:name="_Toc534816626"/>
      <w:bookmarkStart w:id="21" w:name="_Toc534725597"/>
      <w:bookmarkStart w:id="22" w:name="_Toc479757207"/>
      <w:bookmarkStart w:id="23" w:name="_Toc16938558"/>
      <w:bookmarkStart w:id="24" w:name="_Toc120614221"/>
      <w:bookmarkStart w:id="25" w:name="_Toc20823314"/>
      <w:bookmarkStart w:id="26" w:name="_Toc513029242"/>
      <w:bookmarkStart w:id="27" w:name="_Toc494375079"/>
      <w:r>
        <w:rPr>
          <w:rFonts w:hint="eastAsia" w:ascii="宋体" w:hAnsi="宋体" w:eastAsia="宋体" w:cs="宋体"/>
          <w:color w:val="000000" w:themeColor="text1"/>
          <w:highlight w:val="none"/>
          <w14:textFill>
            <w14:solidFill>
              <w14:schemeClr w14:val="tx1"/>
            </w14:solidFill>
          </w14:textFill>
        </w:rPr>
        <w:br w:type="page"/>
      </w:r>
    </w:p>
    <w:p w14:paraId="535F58B0">
      <w:pPr>
        <w:pStyle w:val="5"/>
        <w:ind w:firstLine="2429" w:firstLineChars="550"/>
        <w:jc w:val="both"/>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第二章  </w:t>
      </w:r>
      <w:bookmarkEnd w:id="19"/>
      <w:bookmarkStart w:id="28" w:name="_Toc513029202"/>
      <w:bookmarkStart w:id="29" w:name="_Toc20823274"/>
      <w:bookmarkStart w:id="30" w:name="_Toc16938518"/>
      <w:bookmarkStart w:id="31" w:name="_Toc120614213"/>
      <w:r>
        <w:rPr>
          <w:rFonts w:hint="eastAsia" w:ascii="宋体" w:hAnsi="宋体" w:eastAsia="宋体" w:cs="宋体"/>
          <w:color w:val="000000" w:themeColor="text1"/>
          <w:highlight w:val="none"/>
          <w14:textFill>
            <w14:solidFill>
              <w14:schemeClr w14:val="tx1"/>
            </w14:solidFill>
          </w14:textFill>
        </w:rPr>
        <w:t>投标人须知</w:t>
      </w:r>
      <w:bookmarkEnd w:id="20"/>
      <w:bookmarkEnd w:id="21"/>
      <w:bookmarkEnd w:id="28"/>
      <w:bookmarkEnd w:id="29"/>
      <w:bookmarkEnd w:id="30"/>
      <w:bookmarkEnd w:id="31"/>
    </w:p>
    <w:p w14:paraId="56F77239">
      <w:pPr>
        <w:pStyle w:val="6"/>
        <w:spacing w:before="145" w:beforeLines="50" w:after="145" w:afterLines="50" w:line="360" w:lineRule="auto"/>
        <w:ind w:firstLine="498" w:firstLineChars="155"/>
        <w:rPr>
          <w:rFonts w:hint="eastAsia" w:ascii="宋体" w:hAnsi="宋体" w:eastAsia="宋体" w:cs="宋体"/>
          <w:color w:val="000000" w:themeColor="text1"/>
          <w:highlight w:val="none"/>
          <w14:textFill>
            <w14:solidFill>
              <w14:schemeClr w14:val="tx1"/>
            </w14:solidFill>
          </w14:textFill>
        </w:rPr>
      </w:pPr>
      <w:bookmarkStart w:id="32" w:name="_Toc534816627"/>
      <w:bookmarkStart w:id="33" w:name="_Toc534725598"/>
      <w:bookmarkStart w:id="34" w:name="_Toc513029203"/>
      <w:bookmarkStart w:id="35" w:name="_Toc16938519"/>
      <w:bookmarkStart w:id="36" w:name="_Toc20823275"/>
      <w:bookmarkStart w:id="37" w:name="_Toc120614214"/>
      <w:r>
        <w:rPr>
          <w:rFonts w:hint="eastAsia" w:ascii="宋体" w:hAnsi="宋体" w:eastAsia="宋体" w:cs="宋体"/>
          <w:color w:val="000000" w:themeColor="text1"/>
          <w:highlight w:val="none"/>
          <w14:textFill>
            <w14:solidFill>
              <w14:schemeClr w14:val="tx1"/>
            </w14:solidFill>
          </w14:textFill>
        </w:rPr>
        <w:t>一、总则</w:t>
      </w:r>
      <w:bookmarkEnd w:id="32"/>
      <w:bookmarkEnd w:id="33"/>
      <w:bookmarkEnd w:id="34"/>
      <w:bookmarkEnd w:id="35"/>
      <w:bookmarkEnd w:id="36"/>
      <w:bookmarkEnd w:id="37"/>
    </w:p>
    <w:p w14:paraId="69E93774">
      <w:pPr>
        <w:pStyle w:val="7"/>
        <w:rPr>
          <w:rFonts w:hint="eastAsia" w:ascii="宋体" w:hAnsi="宋体" w:eastAsia="宋体" w:cs="宋体"/>
          <w:b w:val="0"/>
          <w:color w:val="000000" w:themeColor="text1"/>
          <w:highlight w:val="none"/>
          <w14:textFill>
            <w14:solidFill>
              <w14:schemeClr w14:val="tx1"/>
            </w14:solidFill>
          </w14:textFill>
        </w:rPr>
      </w:pPr>
      <w:bookmarkStart w:id="38" w:name="_Hlt16619475"/>
      <w:bookmarkEnd w:id="38"/>
      <w:bookmarkStart w:id="39" w:name="_Toc458694821"/>
      <w:bookmarkStart w:id="40" w:name="_Toc16938520"/>
      <w:bookmarkStart w:id="41" w:name="_Toc20823276"/>
      <w:bookmarkStart w:id="42" w:name="_Toc513029204"/>
      <w:r>
        <w:rPr>
          <w:rFonts w:hint="eastAsia" w:ascii="宋体" w:hAnsi="宋体" w:eastAsia="宋体" w:cs="宋体"/>
          <w:b w:val="0"/>
          <w:bCs/>
          <w:color w:val="000000" w:themeColor="text1"/>
          <w:highlight w:val="none"/>
          <w:lang w:eastAsia="zh-CN"/>
          <w14:textFill>
            <w14:solidFill>
              <w14:schemeClr w14:val="tx1"/>
            </w14:solidFill>
          </w14:textFill>
        </w:rPr>
        <w:t>1.</w:t>
      </w:r>
      <w:bookmarkEnd w:id="39"/>
      <w:r>
        <w:rPr>
          <w:rFonts w:hint="eastAsia" w:ascii="宋体" w:hAnsi="宋体" w:eastAsia="宋体" w:cs="宋体"/>
          <w:b w:val="0"/>
          <w:bCs/>
          <w:color w:val="000000" w:themeColor="text1"/>
          <w:highlight w:val="none"/>
          <w14:textFill>
            <w14:solidFill>
              <w14:schemeClr w14:val="tx1"/>
            </w14:solidFill>
          </w14:textFill>
        </w:rPr>
        <w:t>招标方式</w:t>
      </w:r>
      <w:bookmarkEnd w:id="40"/>
      <w:bookmarkEnd w:id="41"/>
      <w:bookmarkEnd w:id="42"/>
    </w:p>
    <w:p w14:paraId="7B232452">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 本次招标采取公开招标方式，本招标文件仅适用于招标公告中所述项目。</w:t>
      </w:r>
    </w:p>
    <w:p w14:paraId="3BB37A9B">
      <w:pPr>
        <w:pStyle w:val="7"/>
        <w:rPr>
          <w:rFonts w:hint="eastAsia" w:ascii="宋体" w:hAnsi="宋体" w:eastAsia="宋体" w:cs="宋体"/>
          <w:b w:val="0"/>
          <w:color w:val="000000" w:themeColor="text1"/>
          <w:highlight w:val="none"/>
          <w14:textFill>
            <w14:solidFill>
              <w14:schemeClr w14:val="tx1"/>
            </w14:solidFill>
          </w14:textFill>
        </w:rPr>
      </w:pPr>
      <w:bookmarkStart w:id="43" w:name="_Toc16938521"/>
      <w:bookmarkStart w:id="44" w:name="_Toc20823277"/>
      <w:bookmarkStart w:id="45" w:name="_Toc513029205"/>
      <w:r>
        <w:rPr>
          <w:rFonts w:hint="eastAsia" w:ascii="宋体" w:hAnsi="宋体" w:eastAsia="宋体" w:cs="宋体"/>
          <w:b w:val="0"/>
          <w:bCs/>
          <w:color w:val="000000" w:themeColor="text1"/>
          <w:highlight w:val="none"/>
          <w:lang w:eastAsia="zh-CN"/>
          <w14:textFill>
            <w14:solidFill>
              <w14:schemeClr w14:val="tx1"/>
            </w14:solidFill>
          </w14:textFill>
        </w:rPr>
        <w:t>2.</w:t>
      </w:r>
      <w:r>
        <w:rPr>
          <w:rFonts w:hint="eastAsia" w:ascii="宋体" w:hAnsi="宋体" w:eastAsia="宋体" w:cs="宋体"/>
          <w:b w:val="0"/>
          <w:bCs/>
          <w:color w:val="000000" w:themeColor="text1"/>
          <w:highlight w:val="none"/>
          <w14:textFill>
            <w14:solidFill>
              <w14:schemeClr w14:val="tx1"/>
            </w14:solidFill>
          </w14:textFill>
        </w:rPr>
        <w:t>合格的投标人</w:t>
      </w:r>
      <w:bookmarkEnd w:id="43"/>
      <w:bookmarkEnd w:id="44"/>
      <w:bookmarkEnd w:id="45"/>
    </w:p>
    <w:p w14:paraId="2C06FB00">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2.1满足招标公告中供应商的资格要求的规定。</w:t>
      </w:r>
    </w:p>
    <w:p w14:paraId="453FB34F">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 满足本文件实质性条款的规定。</w:t>
      </w:r>
    </w:p>
    <w:p w14:paraId="466BF9DA">
      <w:pPr>
        <w:pStyle w:val="7"/>
        <w:rPr>
          <w:rFonts w:hint="eastAsia" w:ascii="宋体" w:hAnsi="宋体" w:eastAsia="宋体" w:cs="宋体"/>
          <w:b w:val="0"/>
          <w:color w:val="000000" w:themeColor="text1"/>
          <w:highlight w:val="none"/>
          <w14:textFill>
            <w14:solidFill>
              <w14:schemeClr w14:val="tx1"/>
            </w14:solidFill>
          </w14:textFill>
        </w:rPr>
      </w:pPr>
      <w:bookmarkStart w:id="46" w:name="_Toc20823278"/>
      <w:bookmarkStart w:id="47" w:name="_Toc16938522"/>
      <w:bookmarkStart w:id="48" w:name="_Toc513029206"/>
      <w:r>
        <w:rPr>
          <w:rFonts w:hint="eastAsia" w:ascii="宋体" w:hAnsi="宋体" w:eastAsia="宋体" w:cs="宋体"/>
          <w:b w:val="0"/>
          <w:bCs/>
          <w:color w:val="000000" w:themeColor="text1"/>
          <w:highlight w:val="none"/>
          <w:lang w:eastAsia="zh-CN"/>
          <w14:textFill>
            <w14:solidFill>
              <w14:schemeClr w14:val="tx1"/>
            </w14:solidFill>
          </w14:textFill>
        </w:rPr>
        <w:t>3.</w:t>
      </w:r>
      <w:r>
        <w:rPr>
          <w:rFonts w:hint="eastAsia" w:ascii="宋体" w:hAnsi="宋体" w:eastAsia="宋体" w:cs="宋体"/>
          <w:b w:val="0"/>
          <w:bCs/>
          <w:color w:val="000000" w:themeColor="text1"/>
          <w:highlight w:val="none"/>
          <w14:textFill>
            <w14:solidFill>
              <w14:schemeClr w14:val="tx1"/>
            </w14:solidFill>
          </w14:textFill>
        </w:rPr>
        <w:t>适用法律</w:t>
      </w:r>
      <w:bookmarkEnd w:id="46"/>
      <w:bookmarkEnd w:id="47"/>
      <w:bookmarkEnd w:id="48"/>
    </w:p>
    <w:p w14:paraId="6D4D17C9">
      <w:pPr>
        <w:spacing w:line="400" w:lineRule="exact"/>
        <w:ind w:firstLine="420" w:firstLineChars="17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 本次招标及由此产生的合同受中华人民共和国有关</w:t>
      </w:r>
      <w:r>
        <w:rPr>
          <w:rFonts w:hint="eastAsia" w:ascii="宋体" w:hAnsi="宋体" w:eastAsia="宋体" w:cs="宋体"/>
          <w:color w:val="000000" w:themeColor="text1"/>
          <w:sz w:val="24"/>
          <w:highlight w:val="none"/>
          <w:lang w:eastAsia="zh-CN"/>
          <w14:textFill>
            <w14:solidFill>
              <w14:schemeClr w14:val="tx1"/>
            </w14:solidFill>
          </w14:textFill>
        </w:rPr>
        <w:t>法律法规的</w:t>
      </w:r>
      <w:r>
        <w:rPr>
          <w:rFonts w:hint="eastAsia" w:ascii="宋体" w:hAnsi="宋体" w:eastAsia="宋体" w:cs="宋体"/>
          <w:color w:val="000000" w:themeColor="text1"/>
          <w:sz w:val="24"/>
          <w:highlight w:val="none"/>
          <w14:textFill>
            <w14:solidFill>
              <w14:schemeClr w14:val="tx1"/>
            </w14:solidFill>
          </w14:textFill>
        </w:rPr>
        <w:t>制约和保护。</w:t>
      </w:r>
    </w:p>
    <w:p w14:paraId="36BAC98D">
      <w:pPr>
        <w:pStyle w:val="7"/>
        <w:rPr>
          <w:rFonts w:hint="eastAsia" w:ascii="宋体" w:hAnsi="宋体" w:eastAsia="宋体" w:cs="宋体"/>
          <w:b w:val="0"/>
          <w:color w:val="000000" w:themeColor="text1"/>
          <w:highlight w:val="none"/>
          <w14:textFill>
            <w14:solidFill>
              <w14:schemeClr w14:val="tx1"/>
            </w14:solidFill>
          </w14:textFill>
        </w:rPr>
      </w:pPr>
      <w:bookmarkStart w:id="49" w:name="_Toc513029207"/>
      <w:bookmarkStart w:id="50" w:name="_Toc462564067"/>
      <w:bookmarkStart w:id="51" w:name="_Toc16938523"/>
      <w:bookmarkStart w:id="52" w:name="_Toc20823279"/>
      <w:r>
        <w:rPr>
          <w:rFonts w:hint="eastAsia" w:ascii="宋体" w:hAnsi="宋体" w:eastAsia="宋体" w:cs="宋体"/>
          <w:b w:val="0"/>
          <w:bCs/>
          <w:color w:val="000000" w:themeColor="text1"/>
          <w:highlight w:val="none"/>
          <w:lang w:eastAsia="zh-CN"/>
          <w14:textFill>
            <w14:solidFill>
              <w14:schemeClr w14:val="tx1"/>
            </w14:solidFill>
          </w14:textFill>
        </w:rPr>
        <w:t>4.</w:t>
      </w:r>
      <w:r>
        <w:rPr>
          <w:rFonts w:hint="eastAsia" w:ascii="宋体" w:hAnsi="宋体" w:eastAsia="宋体" w:cs="宋体"/>
          <w:b w:val="0"/>
          <w:bCs/>
          <w:color w:val="000000" w:themeColor="text1"/>
          <w:highlight w:val="none"/>
          <w14:textFill>
            <w14:solidFill>
              <w14:schemeClr w14:val="tx1"/>
            </w14:solidFill>
          </w14:textFill>
        </w:rPr>
        <w:t>投标费用</w:t>
      </w:r>
      <w:bookmarkEnd w:id="49"/>
      <w:bookmarkEnd w:id="50"/>
      <w:bookmarkEnd w:id="51"/>
      <w:bookmarkEnd w:id="52"/>
    </w:p>
    <w:p w14:paraId="6B9B6F1A">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4.1</w:t>
      </w:r>
      <w:r>
        <w:rPr>
          <w:rFonts w:hint="eastAsia" w:ascii="宋体" w:hAnsi="宋体" w:eastAsia="宋体" w:cs="宋体"/>
          <w:color w:val="000000" w:themeColor="text1"/>
          <w:sz w:val="24"/>
          <w:highlight w:val="none"/>
          <w14:textFill>
            <w14:solidFill>
              <w14:schemeClr w14:val="tx1"/>
            </w14:solidFill>
          </w14:textFill>
        </w:rPr>
        <w:t xml:space="preserve"> 投标人应自行承担所有与参加投标有关的费用</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无论投标过程中的做法和结果如何，新疆维吾尔</w:t>
      </w:r>
      <w:r>
        <w:rPr>
          <w:rFonts w:hint="default" w:ascii="宋体" w:hAnsi="宋体" w:eastAsia="宋体" w:cs="宋体"/>
          <w:color w:val="000000" w:themeColor="text1"/>
          <w:sz w:val="24"/>
          <w:highlight w:val="none"/>
          <w14:textFill>
            <w14:solidFill>
              <w14:schemeClr w14:val="tx1"/>
            </w14:solidFill>
          </w14:textFill>
        </w:rPr>
        <w:t>自治区公共资源交易中心</w:t>
      </w:r>
      <w:r>
        <w:rPr>
          <w:rFonts w:hint="eastAsia" w:ascii="宋体" w:hAnsi="宋体" w:eastAsia="宋体" w:cs="宋体"/>
          <w:color w:val="000000" w:themeColor="text1"/>
          <w:sz w:val="24"/>
          <w:highlight w:val="none"/>
          <w14:textFill>
            <w14:solidFill>
              <w14:schemeClr w14:val="tx1"/>
            </w14:solidFill>
          </w14:textFill>
        </w:rPr>
        <w:t>（以下简称“交易中心”）在任何情况下均无义务和责任承担这些费用。</w:t>
      </w:r>
    </w:p>
    <w:p w14:paraId="373536F5">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4.2本次招标</w:t>
      </w:r>
      <w:r>
        <w:rPr>
          <w:rFonts w:hint="eastAsia" w:ascii="宋体" w:hAnsi="宋体" w:eastAsia="宋体" w:cs="宋体"/>
          <w:color w:val="000000" w:themeColor="text1"/>
          <w:sz w:val="24"/>
          <w:highlight w:val="none"/>
          <w:lang w:eastAsia="zh-CN"/>
          <w14:textFill>
            <w14:solidFill>
              <w14:schemeClr w14:val="tx1"/>
            </w14:solidFill>
          </w14:textFill>
        </w:rPr>
        <w:t>，交易中心</w:t>
      </w:r>
      <w:r>
        <w:rPr>
          <w:rFonts w:hint="eastAsia" w:ascii="宋体" w:hAnsi="宋体" w:eastAsia="宋体" w:cs="宋体"/>
          <w:color w:val="000000" w:themeColor="text1"/>
          <w:sz w:val="24"/>
          <w:highlight w:val="none"/>
          <w14:textFill>
            <w14:solidFill>
              <w14:schemeClr w14:val="tx1"/>
            </w14:solidFill>
          </w14:textFill>
        </w:rPr>
        <w:t>和采购人不收取标书工本费与中标服务费。</w:t>
      </w:r>
    </w:p>
    <w:p w14:paraId="4EB1FE27">
      <w:pPr>
        <w:pStyle w:val="7"/>
        <w:spacing w:line="480" w:lineRule="exact"/>
        <w:ind w:firstLine="419" w:firstLineChars="139"/>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color w:val="000000" w:themeColor="text1"/>
          <w:sz w:val="30"/>
          <w:highlight w:val="none"/>
          <w:lang w:eastAsia="zh-CN"/>
          <w14:textFill>
            <w14:solidFill>
              <w14:schemeClr w14:val="tx1"/>
            </w14:solidFill>
          </w14:textFill>
        </w:rPr>
        <w:t>5.</w:t>
      </w:r>
      <w:r>
        <w:rPr>
          <w:rFonts w:hint="eastAsia" w:ascii="宋体" w:hAnsi="宋体" w:eastAsia="宋体" w:cs="宋体"/>
          <w:b w:val="0"/>
          <w:bCs/>
          <w:color w:val="000000" w:themeColor="text1"/>
          <w:highlight w:val="none"/>
          <w14:textFill>
            <w14:solidFill>
              <w14:schemeClr w14:val="tx1"/>
            </w14:solidFill>
          </w14:textFill>
        </w:rPr>
        <w:t>招标文件的约束力</w:t>
      </w:r>
    </w:p>
    <w:p w14:paraId="252ABEBA">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5.1</w:t>
      </w:r>
      <w:r>
        <w:rPr>
          <w:rFonts w:hint="eastAsia" w:ascii="宋体" w:hAnsi="宋体" w:eastAsia="宋体" w:cs="宋体"/>
          <w:color w:val="000000" w:themeColor="text1"/>
          <w:sz w:val="24"/>
          <w:szCs w:val="24"/>
          <w:highlight w:val="none"/>
          <w14:textFill>
            <w14:solidFill>
              <w14:schemeClr w14:val="tx1"/>
            </w14:solidFill>
          </w14:textFill>
        </w:rPr>
        <w:t xml:space="preserve"> 投标人一旦参加本项目采购活动，即被认为接受了本招标文件的规定和约束。</w:t>
      </w:r>
    </w:p>
    <w:p w14:paraId="12FD65D8">
      <w:pPr>
        <w:pStyle w:val="6"/>
        <w:spacing w:before="145" w:beforeLines="50" w:after="145" w:afterLines="50" w:line="360" w:lineRule="auto"/>
        <w:ind w:firstLine="321" w:firstLineChars="100"/>
        <w:rPr>
          <w:rFonts w:hint="eastAsia" w:ascii="宋体" w:hAnsi="宋体" w:eastAsia="宋体" w:cs="宋体"/>
          <w:color w:val="000000" w:themeColor="text1"/>
          <w:highlight w:val="none"/>
          <w14:textFill>
            <w14:solidFill>
              <w14:schemeClr w14:val="tx1"/>
            </w14:solidFill>
          </w14:textFill>
        </w:rPr>
      </w:pPr>
      <w:bookmarkStart w:id="53" w:name="_Toc120614215"/>
      <w:bookmarkStart w:id="54" w:name="_Toc20823281"/>
      <w:bookmarkStart w:id="55" w:name="_Toc534816628"/>
      <w:bookmarkStart w:id="56" w:name="_Toc513029209"/>
      <w:bookmarkStart w:id="57" w:name="_Toc16938525"/>
      <w:bookmarkStart w:id="58" w:name="_Toc534725599"/>
      <w:r>
        <w:rPr>
          <w:rFonts w:hint="eastAsia" w:ascii="宋体" w:hAnsi="宋体" w:eastAsia="宋体" w:cs="宋体"/>
          <w:color w:val="000000" w:themeColor="text1"/>
          <w:highlight w:val="none"/>
          <w14:textFill>
            <w14:solidFill>
              <w14:schemeClr w14:val="tx1"/>
            </w14:solidFill>
          </w14:textFill>
        </w:rPr>
        <w:t>二、招标文件</w:t>
      </w:r>
      <w:bookmarkEnd w:id="53"/>
      <w:bookmarkEnd w:id="54"/>
      <w:bookmarkEnd w:id="55"/>
      <w:bookmarkEnd w:id="56"/>
      <w:bookmarkEnd w:id="57"/>
      <w:bookmarkEnd w:id="58"/>
    </w:p>
    <w:p w14:paraId="64EEECD7">
      <w:pPr>
        <w:pStyle w:val="7"/>
        <w:rPr>
          <w:rFonts w:hint="eastAsia" w:ascii="宋体" w:hAnsi="宋体" w:eastAsia="宋体" w:cs="宋体"/>
          <w:b w:val="0"/>
          <w:color w:val="000000" w:themeColor="text1"/>
          <w:highlight w:val="none"/>
          <w14:textFill>
            <w14:solidFill>
              <w14:schemeClr w14:val="tx1"/>
            </w14:solidFill>
          </w14:textFill>
        </w:rPr>
      </w:pPr>
      <w:bookmarkStart w:id="59" w:name="_Toc16938526"/>
      <w:bookmarkStart w:id="60" w:name="_Toc20823282"/>
      <w:bookmarkStart w:id="61" w:name="_Toc513029210"/>
      <w:r>
        <w:rPr>
          <w:rFonts w:hint="eastAsia" w:ascii="宋体" w:hAnsi="宋体" w:eastAsia="宋体" w:cs="宋体"/>
          <w:b w:val="0"/>
          <w:bCs/>
          <w:color w:val="000000" w:themeColor="text1"/>
          <w:highlight w:val="none"/>
          <w:lang w:eastAsia="zh-CN"/>
          <w14:textFill>
            <w14:solidFill>
              <w14:schemeClr w14:val="tx1"/>
            </w14:solidFill>
          </w14:textFill>
        </w:rPr>
        <w:t>6.</w:t>
      </w:r>
      <w:r>
        <w:rPr>
          <w:rFonts w:hint="eastAsia" w:ascii="宋体" w:hAnsi="宋体" w:eastAsia="宋体" w:cs="宋体"/>
          <w:b w:val="0"/>
          <w:bCs/>
          <w:color w:val="000000" w:themeColor="text1"/>
          <w:highlight w:val="none"/>
          <w14:textFill>
            <w14:solidFill>
              <w14:schemeClr w14:val="tx1"/>
            </w14:solidFill>
          </w14:textFill>
        </w:rPr>
        <w:t>招标文件构成</w:t>
      </w:r>
      <w:bookmarkEnd w:id="59"/>
      <w:bookmarkEnd w:id="60"/>
      <w:bookmarkEnd w:id="61"/>
    </w:p>
    <w:p w14:paraId="0B8A3855">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6.1</w:t>
      </w:r>
      <w:r>
        <w:rPr>
          <w:rFonts w:hint="eastAsia" w:ascii="宋体" w:hAnsi="宋体" w:eastAsia="宋体" w:cs="宋体"/>
          <w:color w:val="000000" w:themeColor="text1"/>
          <w:sz w:val="24"/>
          <w:highlight w:val="none"/>
          <w14:textFill>
            <w14:solidFill>
              <w14:schemeClr w14:val="tx1"/>
            </w14:solidFill>
          </w14:textFill>
        </w:rPr>
        <w:t xml:space="preserve"> 招标文件由以下部分组成：</w:t>
      </w:r>
    </w:p>
    <w:p w14:paraId="0B88231F">
      <w:pPr>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（1）投标邀请</w:t>
      </w:r>
    </w:p>
    <w:p w14:paraId="13154F1F">
      <w:pPr>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（2）投标人须知</w:t>
      </w:r>
    </w:p>
    <w:p w14:paraId="6E5CF6A4">
      <w:pPr>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（3）合同条款及格式</w:t>
      </w:r>
    </w:p>
    <w:p w14:paraId="64A7070D">
      <w:pPr>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（4）项目需求</w:t>
      </w:r>
    </w:p>
    <w:p w14:paraId="412D9620">
      <w:pPr>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（5）评标方法与评标标准</w:t>
      </w:r>
    </w:p>
    <w:p w14:paraId="523B1A74">
      <w:pPr>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（6）投标文件格式</w:t>
      </w:r>
    </w:p>
    <w:p w14:paraId="6EDB8B18">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请仔细检查招标文件是否齐全，如有缺漏请立即与交易中心联系解决。</w:t>
      </w:r>
    </w:p>
    <w:p w14:paraId="3024C9B5">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6.2</w:t>
      </w:r>
      <w:r>
        <w:rPr>
          <w:rFonts w:hint="eastAsia" w:ascii="宋体" w:hAnsi="宋体" w:eastAsia="宋体" w:cs="宋体"/>
          <w:color w:val="000000" w:themeColor="text1"/>
          <w:sz w:val="24"/>
          <w:highlight w:val="none"/>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bookmarkStart w:id="62" w:name="_Toc20823283"/>
      <w:bookmarkStart w:id="63" w:name="_Toc16938527"/>
      <w:bookmarkStart w:id="64" w:name="_Toc513029211"/>
      <w:bookmarkStart w:id="65" w:name="_Toc462564070"/>
    </w:p>
    <w:p w14:paraId="6B262A7A">
      <w:pPr>
        <w:spacing w:line="500" w:lineRule="exact"/>
        <w:ind w:left="0" w:leftChars="0" w:firstLine="420" w:firstLineChars="150"/>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7.招标文件的澄清</w:t>
      </w:r>
      <w:bookmarkEnd w:id="62"/>
      <w:bookmarkEnd w:id="63"/>
      <w:bookmarkEnd w:id="64"/>
      <w:bookmarkEnd w:id="65"/>
    </w:p>
    <w:p w14:paraId="3E188CC6">
      <w:pPr>
        <w:spacing w:line="480" w:lineRule="exact"/>
        <w:ind w:left="0" w:leftChars="0"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7.1</w:t>
      </w:r>
      <w:r>
        <w:rPr>
          <w:rFonts w:hint="eastAsia" w:ascii="宋体" w:hAnsi="宋体" w:eastAsia="宋体" w:cs="宋体"/>
          <w:color w:val="000000" w:themeColor="text1"/>
          <w:sz w:val="24"/>
          <w:highlight w:val="none"/>
          <w14:textFill>
            <w14:solidFill>
              <w14:schemeClr w14:val="tx1"/>
            </w14:solidFill>
          </w14:textFill>
        </w:rPr>
        <w:t xml:space="preserve"> 任何要求对招标文件进行澄清的投标人，应在投标截止期</w:t>
      </w:r>
      <w:r>
        <w:rPr>
          <w:rFonts w:hint="eastAsia" w:ascii="宋体" w:hAnsi="宋体" w:eastAsia="宋体" w:cs="宋体"/>
          <w:b/>
          <w:color w:val="000000" w:themeColor="text1"/>
          <w:sz w:val="24"/>
          <w:szCs w:val="24"/>
          <w:highlight w:val="none"/>
          <w:lang w:val="en-US" w:eastAsia="zh-Hans"/>
          <w14:textFill>
            <w14:solidFill>
              <w14:schemeClr w14:val="tx1"/>
            </w14:solidFill>
          </w14:textFill>
        </w:rPr>
        <w:t>七</w:t>
      </w:r>
      <w:r>
        <w:rPr>
          <w:rFonts w:hint="eastAsia" w:ascii="宋体" w:hAnsi="宋体" w:eastAsia="宋体" w:cs="宋体"/>
          <w:b/>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前</w:t>
      </w:r>
      <w:r>
        <w:rPr>
          <w:rFonts w:hint="eastAsia" w:ascii="宋体" w:hAnsi="宋体" w:eastAsia="宋体" w:cs="宋体"/>
          <w:color w:val="000000" w:themeColor="text1"/>
          <w:sz w:val="24"/>
          <w:highlight w:val="none"/>
          <w14:textFill>
            <w14:solidFill>
              <w14:schemeClr w14:val="tx1"/>
            </w14:solidFill>
          </w14:textFill>
        </w:rPr>
        <w:t>按招标公告中的通讯地址，以书面形式通知交易中心。</w:t>
      </w:r>
    </w:p>
    <w:p w14:paraId="20849C3C">
      <w:pPr>
        <w:pStyle w:val="7"/>
        <w:ind w:left="0" w:leftChars="0" w:firstLine="420" w:firstLineChars="150"/>
        <w:rPr>
          <w:rFonts w:hint="eastAsia" w:ascii="宋体" w:hAnsi="宋体" w:eastAsia="宋体" w:cs="宋体"/>
          <w:b w:val="0"/>
          <w:color w:val="000000" w:themeColor="text1"/>
          <w:highlight w:val="none"/>
          <w14:textFill>
            <w14:solidFill>
              <w14:schemeClr w14:val="tx1"/>
            </w14:solidFill>
          </w14:textFill>
        </w:rPr>
      </w:pPr>
      <w:bookmarkStart w:id="66" w:name="_Toc513029212"/>
      <w:bookmarkStart w:id="67" w:name="_Toc16938528"/>
      <w:bookmarkStart w:id="68" w:name="_Toc20823284"/>
      <w:bookmarkStart w:id="69" w:name="_Toc462564071"/>
      <w:r>
        <w:rPr>
          <w:rFonts w:hint="eastAsia" w:ascii="宋体" w:hAnsi="宋体" w:eastAsia="宋体" w:cs="宋体"/>
          <w:b w:val="0"/>
          <w:bCs/>
          <w:color w:val="000000" w:themeColor="text1"/>
          <w:highlight w:val="none"/>
          <w:lang w:eastAsia="zh-CN"/>
          <w14:textFill>
            <w14:solidFill>
              <w14:schemeClr w14:val="tx1"/>
            </w14:solidFill>
          </w14:textFill>
        </w:rPr>
        <w:t>8.</w:t>
      </w:r>
      <w:r>
        <w:rPr>
          <w:rFonts w:hint="eastAsia" w:ascii="宋体" w:hAnsi="宋体" w:eastAsia="宋体" w:cs="宋体"/>
          <w:b w:val="0"/>
          <w:bCs/>
          <w:color w:val="000000" w:themeColor="text1"/>
          <w:highlight w:val="none"/>
          <w14:textFill>
            <w14:solidFill>
              <w14:schemeClr w14:val="tx1"/>
            </w14:solidFill>
          </w14:textFill>
        </w:rPr>
        <w:t>招标文件的修改</w:t>
      </w:r>
      <w:bookmarkEnd w:id="66"/>
      <w:bookmarkEnd w:id="67"/>
      <w:bookmarkEnd w:id="68"/>
      <w:bookmarkEnd w:id="69"/>
    </w:p>
    <w:p w14:paraId="7F100016">
      <w:pPr>
        <w:spacing w:line="500" w:lineRule="exact"/>
        <w:ind w:left="0" w:leftChars="0" w:firstLine="360" w:firstLineChars="1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8.1</w:t>
      </w:r>
      <w:r>
        <w:rPr>
          <w:rFonts w:hint="eastAsia" w:ascii="宋体" w:hAnsi="宋体" w:eastAsia="宋体" w:cs="宋体"/>
          <w:color w:val="000000" w:themeColor="text1"/>
          <w:sz w:val="24"/>
          <w:highlight w:val="none"/>
          <w14:textFill>
            <w14:solidFill>
              <w14:schemeClr w14:val="tx1"/>
            </w14:solidFill>
          </w14:textFill>
        </w:rPr>
        <w:t xml:space="preserve"> 在投标截止时间</w:t>
      </w:r>
      <w:r>
        <w:rPr>
          <w:rFonts w:hint="eastAsia" w:ascii="宋体" w:hAnsi="宋体" w:eastAsia="宋体" w:cs="宋体"/>
          <w:color w:val="000000" w:themeColor="text1"/>
          <w:sz w:val="24"/>
          <w:highlight w:val="none"/>
          <w:lang w:val="en-US" w:eastAsia="zh-Hans"/>
          <w14:textFill>
            <w14:solidFill>
              <w14:schemeClr w14:val="tx1"/>
            </w14:solidFill>
          </w14:textFill>
        </w:rPr>
        <w:t>至少十五日</w:t>
      </w:r>
      <w:r>
        <w:rPr>
          <w:rFonts w:hint="eastAsia" w:ascii="宋体" w:hAnsi="宋体" w:eastAsia="宋体" w:cs="宋体"/>
          <w:color w:val="000000" w:themeColor="text1"/>
          <w:sz w:val="24"/>
          <w:highlight w:val="none"/>
          <w14:textFill>
            <w14:solidFill>
              <w14:schemeClr w14:val="tx1"/>
            </w14:solidFill>
          </w14:textFill>
        </w:rPr>
        <w:t>前，交易中心可以对招标文件进行修改。</w:t>
      </w:r>
    </w:p>
    <w:p w14:paraId="5CCB0DBB">
      <w:pPr>
        <w:spacing w:line="500" w:lineRule="exact"/>
        <w:ind w:left="0" w:leftChars="0" w:firstLine="360" w:firstLineChars="15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 xml:space="preserve">8.2 </w:t>
      </w:r>
      <w:r>
        <w:rPr>
          <w:rFonts w:hint="eastAsia" w:ascii="宋体" w:hAnsi="宋体" w:eastAsia="宋体" w:cs="宋体"/>
          <w:color w:val="000000" w:themeColor="text1"/>
          <w:sz w:val="24"/>
          <w:highlight w:val="none"/>
          <w14:textFill>
            <w14:solidFill>
              <w14:schemeClr w14:val="tx1"/>
            </w14:solidFill>
          </w14:textFill>
        </w:rPr>
        <w:t>交易中心</w:t>
      </w:r>
      <w:r>
        <w:rPr>
          <w:rFonts w:hint="eastAsia" w:ascii="宋体" w:hAnsi="宋体" w:eastAsia="宋体" w:cs="宋体"/>
          <w:color w:val="000000" w:themeColor="text1"/>
          <w:sz w:val="24"/>
          <w:szCs w:val="24"/>
          <w:highlight w:val="none"/>
          <w14:textFill>
            <w14:solidFill>
              <w14:schemeClr w14:val="tx1"/>
            </w14:solidFill>
          </w14:textFill>
        </w:rPr>
        <w:t>有权按照法定的要求</w:t>
      </w:r>
      <w:r>
        <w:rPr>
          <w:rFonts w:hint="eastAsia" w:ascii="宋体" w:hAnsi="宋体" w:eastAsia="宋体" w:cs="宋体"/>
          <w:color w:val="000000" w:themeColor="text1"/>
          <w:sz w:val="24"/>
          <w:highlight w:val="none"/>
          <w14:textFill>
            <w14:solidFill>
              <w14:schemeClr w14:val="tx1"/>
            </w14:solidFill>
          </w14:textFill>
        </w:rPr>
        <w:t>推迟投标截止日期和开标日期。</w:t>
      </w:r>
    </w:p>
    <w:p w14:paraId="653CB621">
      <w:pPr>
        <w:spacing w:line="500" w:lineRule="exact"/>
        <w:ind w:left="0" w:leftChars="0" w:firstLine="360" w:firstLineChars="1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 xml:space="preserve">8.3 </w:t>
      </w:r>
      <w:r>
        <w:rPr>
          <w:rFonts w:hint="eastAsia" w:ascii="宋体" w:hAnsi="宋体" w:eastAsia="宋体" w:cs="宋体"/>
          <w:color w:val="000000" w:themeColor="text1"/>
          <w:sz w:val="24"/>
          <w:highlight w:val="none"/>
          <w14:textFill>
            <w14:solidFill>
              <w14:schemeClr w14:val="tx1"/>
            </w14:solidFill>
          </w14:textFill>
        </w:rPr>
        <w:t>招标文件的修改将在“新疆公共资源交易网”和“新疆政府采购网”公布，</w:t>
      </w:r>
      <w:r>
        <w:rPr>
          <w:rFonts w:hint="eastAsia" w:ascii="宋体" w:hAnsi="宋体" w:eastAsia="宋体" w:cs="宋体"/>
          <w:color w:val="000000" w:themeColor="text1"/>
          <w:sz w:val="24"/>
          <w:szCs w:val="24"/>
          <w:highlight w:val="none"/>
          <w14:textFill>
            <w14:solidFill>
              <w14:schemeClr w14:val="tx1"/>
            </w14:solidFill>
          </w14:textFill>
        </w:rPr>
        <w:t>补充文件将作为招标文件的组成部分，</w:t>
      </w:r>
      <w:r>
        <w:rPr>
          <w:rFonts w:hint="eastAsia" w:ascii="宋体" w:hAnsi="宋体" w:eastAsia="宋体" w:cs="宋体"/>
          <w:color w:val="000000" w:themeColor="text1"/>
          <w:sz w:val="24"/>
          <w:highlight w:val="none"/>
          <w14:textFill>
            <w14:solidFill>
              <w14:schemeClr w14:val="tx1"/>
            </w14:solidFill>
          </w14:textFill>
        </w:rPr>
        <w:t>并对投标人具有约束力。</w:t>
      </w:r>
    </w:p>
    <w:p w14:paraId="7BA07593">
      <w:pPr>
        <w:pStyle w:val="6"/>
        <w:spacing w:before="145" w:beforeLines="50" w:after="145" w:afterLines="50" w:line="360" w:lineRule="auto"/>
        <w:ind w:left="0" w:leftChars="0" w:firstLine="482" w:firstLineChars="150"/>
        <w:rPr>
          <w:rFonts w:hint="eastAsia" w:ascii="宋体" w:hAnsi="宋体" w:eastAsia="宋体" w:cs="宋体"/>
          <w:color w:val="000000" w:themeColor="text1"/>
          <w:highlight w:val="none"/>
          <w14:textFill>
            <w14:solidFill>
              <w14:schemeClr w14:val="tx1"/>
            </w14:solidFill>
          </w14:textFill>
        </w:rPr>
      </w:pPr>
      <w:bookmarkStart w:id="70" w:name="_Toc462564072"/>
      <w:bookmarkStart w:id="71" w:name="_Toc120614216"/>
      <w:bookmarkStart w:id="72" w:name="_Toc513029213"/>
      <w:bookmarkStart w:id="73" w:name="_Toc16938529"/>
      <w:bookmarkStart w:id="74" w:name="_Toc20823285"/>
      <w:bookmarkStart w:id="75" w:name="_Toc534725600"/>
      <w:bookmarkStart w:id="76" w:name="_Toc534816629"/>
      <w:r>
        <w:rPr>
          <w:rFonts w:hint="eastAsia" w:ascii="宋体" w:hAnsi="宋体" w:eastAsia="宋体" w:cs="宋体"/>
          <w:color w:val="000000" w:themeColor="text1"/>
          <w:highlight w:val="none"/>
          <w14:textFill>
            <w14:solidFill>
              <w14:schemeClr w14:val="tx1"/>
            </w14:solidFill>
          </w14:textFill>
        </w:rPr>
        <w:t>三、投标文件的编制</w:t>
      </w:r>
      <w:bookmarkEnd w:id="70"/>
      <w:bookmarkEnd w:id="71"/>
      <w:bookmarkEnd w:id="72"/>
      <w:bookmarkEnd w:id="73"/>
      <w:bookmarkEnd w:id="74"/>
      <w:bookmarkEnd w:id="75"/>
      <w:bookmarkEnd w:id="76"/>
    </w:p>
    <w:p w14:paraId="1F457076">
      <w:pPr>
        <w:pStyle w:val="7"/>
        <w:ind w:left="0" w:leftChars="0" w:firstLine="420" w:firstLineChars="150"/>
        <w:rPr>
          <w:rFonts w:hint="eastAsia" w:ascii="宋体" w:hAnsi="宋体" w:eastAsia="宋体" w:cs="宋体"/>
          <w:color w:val="000000" w:themeColor="text1"/>
          <w:highlight w:val="none"/>
          <w14:textFill>
            <w14:solidFill>
              <w14:schemeClr w14:val="tx1"/>
            </w14:solidFill>
          </w14:textFill>
        </w:rPr>
      </w:pPr>
      <w:bookmarkStart w:id="77" w:name="_Toc513029214"/>
      <w:bookmarkStart w:id="78" w:name="_Toc16938530"/>
      <w:bookmarkStart w:id="79" w:name="_Toc462564073"/>
      <w:bookmarkStart w:id="80" w:name="_Toc20823286"/>
      <w:r>
        <w:rPr>
          <w:rFonts w:hint="eastAsia" w:ascii="宋体" w:hAnsi="宋体" w:eastAsia="宋体" w:cs="宋体"/>
          <w:b w:val="0"/>
          <w:bCs/>
          <w:color w:val="000000" w:themeColor="text1"/>
          <w:highlight w:val="none"/>
          <w:lang w:eastAsia="zh-CN"/>
          <w14:textFill>
            <w14:solidFill>
              <w14:schemeClr w14:val="tx1"/>
            </w14:solidFill>
          </w14:textFill>
        </w:rPr>
        <w:t>9.</w:t>
      </w:r>
      <w:r>
        <w:rPr>
          <w:rFonts w:hint="eastAsia" w:ascii="宋体" w:hAnsi="宋体" w:eastAsia="宋体" w:cs="宋体"/>
          <w:b w:val="0"/>
          <w:bCs/>
          <w:color w:val="000000" w:themeColor="text1"/>
          <w:highlight w:val="none"/>
          <w14:textFill>
            <w14:solidFill>
              <w14:schemeClr w14:val="tx1"/>
            </w14:solidFill>
          </w14:textFill>
        </w:rPr>
        <w:t>投标文件的语言及度量衡单位</w:t>
      </w:r>
      <w:bookmarkEnd w:id="77"/>
      <w:bookmarkEnd w:id="78"/>
      <w:bookmarkEnd w:id="79"/>
      <w:bookmarkEnd w:id="80"/>
    </w:p>
    <w:p w14:paraId="4915CB5B">
      <w:pPr>
        <w:spacing w:line="500" w:lineRule="exact"/>
        <w:ind w:left="0" w:leftChars="0" w:firstLine="360" w:firstLineChars="1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9.1</w:t>
      </w:r>
      <w:r>
        <w:rPr>
          <w:rFonts w:hint="eastAsia" w:ascii="宋体" w:hAnsi="宋体" w:eastAsia="宋体" w:cs="宋体"/>
          <w:color w:val="000000" w:themeColor="text1"/>
          <w:sz w:val="24"/>
          <w:highlight w:val="none"/>
          <w14:textFill>
            <w14:solidFill>
              <w14:schemeClr w14:val="tx1"/>
            </w14:solidFill>
          </w14:textFill>
        </w:rPr>
        <w:t xml:space="preserve"> 投标人提交的投标文件以及投标人与交易中心就有关投标的所有来往通知、函件和文件均应使用</w:t>
      </w:r>
      <w:r>
        <w:rPr>
          <w:rFonts w:hint="eastAsia" w:ascii="宋体" w:hAnsi="宋体" w:eastAsia="宋体" w:cs="宋体"/>
          <w:b/>
          <w:bCs/>
          <w:color w:val="000000" w:themeColor="text1"/>
          <w:sz w:val="24"/>
          <w:highlight w:val="none"/>
          <w14:textFill>
            <w14:solidFill>
              <w14:schemeClr w14:val="tx1"/>
            </w14:solidFill>
          </w14:textFill>
        </w:rPr>
        <w:t>简体中文</w:t>
      </w:r>
      <w:r>
        <w:rPr>
          <w:rFonts w:hint="eastAsia" w:ascii="宋体" w:hAnsi="宋体" w:eastAsia="宋体" w:cs="宋体"/>
          <w:color w:val="000000" w:themeColor="text1"/>
          <w:sz w:val="24"/>
          <w:highlight w:val="none"/>
          <w14:textFill>
            <w14:solidFill>
              <w14:schemeClr w14:val="tx1"/>
            </w14:solidFill>
          </w14:textFill>
        </w:rPr>
        <w:t>。</w:t>
      </w:r>
    </w:p>
    <w:p w14:paraId="1E8FC1D2">
      <w:pPr>
        <w:spacing w:line="500" w:lineRule="exact"/>
        <w:ind w:left="0" w:leftChars="0" w:firstLine="360" w:firstLineChars="1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9.2</w:t>
      </w:r>
      <w:r>
        <w:rPr>
          <w:rFonts w:hint="eastAsia" w:ascii="宋体" w:hAnsi="宋体" w:eastAsia="宋体" w:cs="宋体"/>
          <w:color w:val="000000" w:themeColor="text1"/>
          <w:sz w:val="24"/>
          <w:highlight w:val="none"/>
          <w14:textFill>
            <w14:solidFill>
              <w14:schemeClr w14:val="tx1"/>
            </w14:solidFill>
          </w14:textFill>
        </w:rPr>
        <w:t xml:space="preserve"> 除技术性能另有规定外，投标文件所使用的度量衡单位，均须采用国家法定计量单位。</w:t>
      </w:r>
    </w:p>
    <w:p w14:paraId="75B4F42E">
      <w:pPr>
        <w:pStyle w:val="7"/>
        <w:ind w:left="0" w:leftChars="0" w:firstLine="420" w:firstLineChars="150"/>
        <w:rPr>
          <w:rFonts w:hint="eastAsia" w:ascii="宋体" w:hAnsi="宋体" w:eastAsia="宋体" w:cs="宋体"/>
          <w:b w:val="0"/>
          <w:color w:val="000000" w:themeColor="text1"/>
          <w:highlight w:val="none"/>
          <w14:textFill>
            <w14:solidFill>
              <w14:schemeClr w14:val="tx1"/>
            </w14:solidFill>
          </w14:textFill>
        </w:rPr>
      </w:pPr>
      <w:bookmarkStart w:id="81" w:name="_Toc16938531"/>
      <w:bookmarkStart w:id="82" w:name="_Toc20823287"/>
      <w:bookmarkStart w:id="83" w:name="_Toc513029215"/>
      <w:bookmarkStart w:id="84" w:name="_Toc462564074"/>
      <w:r>
        <w:rPr>
          <w:rFonts w:hint="eastAsia" w:ascii="宋体" w:hAnsi="宋体" w:eastAsia="宋体" w:cs="宋体"/>
          <w:b w:val="0"/>
          <w:bCs/>
          <w:color w:val="000000" w:themeColor="text1"/>
          <w:highlight w:val="none"/>
          <w:lang w:eastAsia="zh-CN"/>
          <w14:textFill>
            <w14:solidFill>
              <w14:schemeClr w14:val="tx1"/>
            </w14:solidFill>
          </w14:textFill>
        </w:rPr>
        <w:t>10.</w:t>
      </w:r>
      <w:r>
        <w:rPr>
          <w:rFonts w:hint="eastAsia" w:ascii="宋体" w:hAnsi="宋体" w:eastAsia="宋体" w:cs="宋体"/>
          <w:b w:val="0"/>
          <w:bCs/>
          <w:color w:val="000000" w:themeColor="text1"/>
          <w:highlight w:val="none"/>
          <w14:textFill>
            <w14:solidFill>
              <w14:schemeClr w14:val="tx1"/>
            </w14:solidFill>
          </w14:textFill>
        </w:rPr>
        <w:t>投标文件构成</w:t>
      </w:r>
      <w:bookmarkEnd w:id="81"/>
      <w:bookmarkEnd w:id="82"/>
      <w:bookmarkEnd w:id="83"/>
      <w:bookmarkEnd w:id="84"/>
    </w:p>
    <w:p w14:paraId="1B22D732">
      <w:pPr>
        <w:spacing w:line="440" w:lineRule="exact"/>
        <w:ind w:left="0" w:leftChars="0" w:firstLine="360" w:firstLineChars="1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10.1</w:t>
      </w:r>
      <w:r>
        <w:rPr>
          <w:rFonts w:hint="eastAsia" w:ascii="宋体" w:hAnsi="宋体" w:eastAsia="宋体" w:cs="宋体"/>
          <w:color w:val="000000" w:themeColor="text1"/>
          <w:sz w:val="24"/>
          <w:highlight w:val="none"/>
          <w14:textFill>
            <w14:solidFill>
              <w14:schemeClr w14:val="tx1"/>
            </w14:solidFill>
          </w14:textFill>
        </w:rPr>
        <w:t xml:space="preserve"> 投标人编写的投标文件应包括资信证明文件、投标配置与分项报价表、技术参数响应及偏离表、商务条款响应及偏离表、技术及售后服务承诺书、投标函、开标一览表等内容。</w:t>
      </w:r>
    </w:p>
    <w:p w14:paraId="166B7592">
      <w:pPr>
        <w:pStyle w:val="7"/>
        <w:ind w:left="0" w:leftChars="0" w:firstLine="420" w:firstLineChars="150"/>
        <w:rPr>
          <w:rFonts w:hint="eastAsia" w:ascii="宋体" w:hAnsi="宋体" w:eastAsia="宋体" w:cs="宋体"/>
          <w:b w:val="0"/>
          <w:color w:val="000000" w:themeColor="text1"/>
          <w:highlight w:val="none"/>
          <w14:textFill>
            <w14:solidFill>
              <w14:schemeClr w14:val="tx1"/>
            </w14:solidFill>
          </w14:textFill>
        </w:rPr>
      </w:pPr>
      <w:bookmarkStart w:id="85" w:name="_Hlt26954838"/>
      <w:bookmarkEnd w:id="85"/>
      <w:bookmarkStart w:id="86" w:name="_Hlt26670360"/>
      <w:bookmarkEnd w:id="86"/>
      <w:bookmarkStart w:id="87" w:name="_Hlt26668975"/>
      <w:bookmarkEnd w:id="87"/>
      <w:bookmarkStart w:id="88" w:name="_Toc513029219"/>
      <w:bookmarkStart w:id="89" w:name="_Toc49090509"/>
      <w:bookmarkStart w:id="90" w:name="_Toc14577357"/>
      <w:bookmarkStart w:id="91" w:name="_Toc513029216"/>
      <w:bookmarkStart w:id="92" w:name="_Toc49090507"/>
      <w:bookmarkStart w:id="93" w:name="_Toc14577354"/>
      <w:r>
        <w:rPr>
          <w:rFonts w:hint="eastAsia" w:ascii="宋体" w:hAnsi="宋体" w:eastAsia="宋体" w:cs="宋体"/>
          <w:b w:val="0"/>
          <w:bCs/>
          <w:color w:val="000000" w:themeColor="text1"/>
          <w:highlight w:val="none"/>
          <w:lang w:eastAsia="zh-CN"/>
          <w14:textFill>
            <w14:solidFill>
              <w14:schemeClr w14:val="tx1"/>
            </w14:solidFill>
          </w14:textFill>
        </w:rPr>
        <w:t>11.</w:t>
      </w:r>
      <w:r>
        <w:rPr>
          <w:rFonts w:hint="eastAsia" w:ascii="宋体" w:hAnsi="宋体" w:eastAsia="宋体" w:cs="宋体"/>
          <w:b w:val="0"/>
          <w:bCs/>
          <w:color w:val="000000" w:themeColor="text1"/>
          <w:highlight w:val="none"/>
          <w14:textFill>
            <w14:solidFill>
              <w14:schemeClr w14:val="tx1"/>
            </w14:solidFill>
          </w14:textFill>
        </w:rPr>
        <w:t>证明投标人资格及符合招标文件规定的文件</w:t>
      </w:r>
      <w:bookmarkEnd w:id="88"/>
      <w:bookmarkEnd w:id="89"/>
      <w:bookmarkEnd w:id="90"/>
    </w:p>
    <w:p w14:paraId="7D03B8F1">
      <w:pPr>
        <w:spacing w:line="500" w:lineRule="exact"/>
        <w:ind w:left="0" w:leftChars="0" w:firstLine="360" w:firstLineChars="1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11.1</w:t>
      </w:r>
      <w:bookmarkStart w:id="94" w:name="_Hlt26668999"/>
      <w:bookmarkEnd w:id="94"/>
      <w:r>
        <w:rPr>
          <w:rFonts w:hint="eastAsia" w:ascii="宋体" w:hAnsi="宋体" w:eastAsia="宋体" w:cs="宋体"/>
          <w:color w:val="000000" w:themeColor="text1"/>
          <w:sz w:val="24"/>
          <w:highlight w:val="none"/>
          <w14:textFill>
            <w14:solidFill>
              <w14:schemeClr w14:val="tx1"/>
            </w14:solidFill>
          </w14:textFill>
        </w:rPr>
        <w:t>投标人应按要求提交资格证明文件及符合招标文件规定的文件。</w:t>
      </w:r>
    </w:p>
    <w:p w14:paraId="5459E0C2">
      <w:pPr>
        <w:spacing w:line="500" w:lineRule="exact"/>
        <w:ind w:left="0" w:leftChars="0" w:firstLine="360" w:firstLineChars="1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11.2投标人应提交证明其有资格参加投标和中标后有能力独立履行合同的文件。</w:t>
      </w:r>
    </w:p>
    <w:p w14:paraId="57A4D087">
      <w:pPr>
        <w:spacing w:line="500" w:lineRule="exact"/>
        <w:ind w:left="0" w:leftChars="0" w:firstLine="360" w:firstLineChars="1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11.3投标人除必须具有履行合同所需提供的货物以及服务的能力外，还必须具备相应的财务、技术方面的能力。</w:t>
      </w:r>
    </w:p>
    <w:p w14:paraId="4348F968">
      <w:pPr>
        <w:spacing w:line="480" w:lineRule="exact"/>
        <w:ind w:left="0" w:leftChars="0"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11.4投标人应提交根据合同要求提供的证明产品质量合格以及符合招标文件规定的证明文件。</w:t>
      </w:r>
    </w:p>
    <w:p w14:paraId="61AC86AC">
      <w:pPr>
        <w:spacing w:line="480" w:lineRule="exact"/>
        <w:ind w:left="0" w:leftChars="0"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11.5证明投标人所提供产品与招标文件的要求相一致的文件可以是手册、图纸、文字资料和数据</w:t>
      </w:r>
      <w:r>
        <w:rPr>
          <w:rFonts w:hint="eastAsia" w:ascii="宋体" w:hAnsi="宋体" w:eastAsia="宋体" w:cs="宋体"/>
          <w:bCs/>
          <w:color w:val="000000" w:themeColor="text1"/>
          <w:sz w:val="24"/>
          <w:highlight w:val="none"/>
          <w14:textFill>
            <w14:solidFill>
              <w14:schemeClr w14:val="tx1"/>
            </w14:solidFill>
          </w14:textFill>
        </w:rPr>
        <w:t>。</w:t>
      </w:r>
    </w:p>
    <w:bookmarkEnd w:id="91"/>
    <w:bookmarkEnd w:id="92"/>
    <w:bookmarkEnd w:id="93"/>
    <w:p w14:paraId="1255B17D">
      <w:pPr>
        <w:pStyle w:val="7"/>
        <w:rPr>
          <w:rFonts w:hint="eastAsia" w:ascii="宋体" w:hAnsi="宋体" w:eastAsia="宋体" w:cs="宋体"/>
          <w:b w:val="0"/>
          <w:color w:val="000000" w:themeColor="text1"/>
          <w:highlight w:val="none"/>
          <w14:textFill>
            <w14:solidFill>
              <w14:schemeClr w14:val="tx1"/>
            </w14:solidFill>
          </w14:textFill>
        </w:rPr>
      </w:pPr>
      <w:bookmarkStart w:id="95" w:name="_Toc14577355"/>
      <w:bookmarkStart w:id="96" w:name="_Toc49090508"/>
      <w:r>
        <w:rPr>
          <w:rFonts w:hint="eastAsia" w:ascii="宋体" w:hAnsi="宋体" w:eastAsia="宋体" w:cs="宋体"/>
          <w:b w:val="0"/>
          <w:bCs/>
          <w:color w:val="000000" w:themeColor="text1"/>
          <w:highlight w:val="none"/>
          <w:lang w:eastAsia="zh-CN"/>
          <w14:textFill>
            <w14:solidFill>
              <w14:schemeClr w14:val="tx1"/>
            </w14:solidFill>
          </w14:textFill>
        </w:rPr>
        <w:t>12.</w:t>
      </w:r>
      <w:r>
        <w:rPr>
          <w:rFonts w:hint="eastAsia" w:ascii="宋体" w:hAnsi="宋体" w:eastAsia="宋体" w:cs="宋体"/>
          <w:b w:val="0"/>
          <w:bCs/>
          <w:color w:val="000000" w:themeColor="text1"/>
          <w:highlight w:val="none"/>
          <w14:textFill>
            <w14:solidFill>
              <w14:schemeClr w14:val="tx1"/>
            </w14:solidFill>
          </w14:textFill>
        </w:rPr>
        <w:t>投标配置与分项报价</w:t>
      </w:r>
      <w:bookmarkEnd w:id="95"/>
      <w:bookmarkStart w:id="97" w:name="_Hlt26670373"/>
      <w:bookmarkEnd w:id="97"/>
      <w:r>
        <w:rPr>
          <w:rFonts w:hint="eastAsia" w:ascii="宋体" w:hAnsi="宋体" w:eastAsia="宋体" w:cs="宋体"/>
          <w:b w:val="0"/>
          <w:bCs/>
          <w:color w:val="000000" w:themeColor="text1"/>
          <w:highlight w:val="none"/>
          <w14:textFill>
            <w14:solidFill>
              <w14:schemeClr w14:val="tx1"/>
            </w14:solidFill>
          </w14:textFill>
        </w:rPr>
        <w:t>表</w:t>
      </w:r>
      <w:bookmarkEnd w:id="96"/>
    </w:p>
    <w:p w14:paraId="0B371536">
      <w:pPr>
        <w:spacing w:line="50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12.1</w:t>
      </w:r>
      <w:r>
        <w:rPr>
          <w:rFonts w:hint="eastAsia" w:ascii="宋体" w:hAnsi="宋体" w:eastAsia="宋体" w:cs="宋体"/>
          <w:color w:val="000000" w:themeColor="text1"/>
          <w:sz w:val="24"/>
          <w:highlight w:val="none"/>
          <w14:textFill>
            <w14:solidFill>
              <w14:schemeClr w14:val="tx1"/>
            </w14:solidFill>
          </w14:textFill>
        </w:rPr>
        <w:t>投</w:t>
      </w:r>
      <w:bookmarkStart w:id="98" w:name="_Hlt26954840"/>
      <w:bookmarkEnd w:id="98"/>
      <w:r>
        <w:rPr>
          <w:rFonts w:hint="eastAsia" w:ascii="宋体" w:hAnsi="宋体" w:eastAsia="宋体" w:cs="宋体"/>
          <w:color w:val="000000" w:themeColor="text1"/>
          <w:sz w:val="24"/>
          <w:highlight w:val="none"/>
          <w14:textFill>
            <w14:solidFill>
              <w14:schemeClr w14:val="tx1"/>
            </w14:solidFill>
          </w14:textFill>
        </w:rPr>
        <w:t>标人应按照招标文件规定格式填报投标配置与分项报价表</w:t>
      </w:r>
      <w:bookmarkStart w:id="99" w:name="_Hlt26670399"/>
      <w:bookmarkEnd w:id="99"/>
      <w:r>
        <w:rPr>
          <w:rFonts w:hint="eastAsia" w:ascii="宋体" w:hAnsi="宋体" w:eastAsia="宋体" w:cs="宋体"/>
          <w:color w:val="000000" w:themeColor="text1"/>
          <w:sz w:val="24"/>
          <w:highlight w:val="none"/>
          <w14:textFill>
            <w14:solidFill>
              <w14:schemeClr w14:val="tx1"/>
            </w14:solidFill>
          </w14:textFill>
        </w:rPr>
        <w:t>，在表中标明所提供的设备品牌或服务名称、规格、型号、原产地、主要部件型号及其功能的中文说明和供货期。每项货物和服务等只允许有一个报价，任何有选择的报价将不予接受</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如有备选配件，备选配件的报价不属于选择的报价</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p>
    <w:p w14:paraId="70F97BE1">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12.2</w:t>
      </w:r>
      <w:r>
        <w:rPr>
          <w:rFonts w:hint="eastAsia" w:ascii="宋体" w:hAnsi="宋体" w:eastAsia="宋体" w:cs="宋体"/>
          <w:color w:val="000000" w:themeColor="text1"/>
          <w:sz w:val="24"/>
          <w:highlight w:val="none"/>
          <w14:textFill>
            <w14:solidFill>
              <w14:schemeClr w14:val="tx1"/>
            </w14:solidFill>
          </w14:textFill>
        </w:rPr>
        <w:t xml:space="preserve"> 标的物</w:t>
      </w:r>
    </w:p>
    <w:p w14:paraId="73CE3DBE">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采购人需求的货物供应、安装，调试及有关技术服务等</w:t>
      </w:r>
      <w:r>
        <w:rPr>
          <w:rFonts w:hint="eastAsia" w:ascii="宋体" w:hAnsi="宋体" w:eastAsia="宋体" w:cs="宋体"/>
          <w:color w:val="000000" w:themeColor="text1"/>
          <w:sz w:val="24"/>
          <w:highlight w:val="none"/>
          <w14:textFill>
            <w14:solidFill>
              <w14:schemeClr w14:val="tx1"/>
            </w14:solidFill>
          </w14:textFill>
        </w:rPr>
        <w:t>。</w:t>
      </w:r>
    </w:p>
    <w:p w14:paraId="057750EB">
      <w:pPr>
        <w:spacing w:line="50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12.3</w:t>
      </w:r>
      <w:r>
        <w:rPr>
          <w:rFonts w:hint="eastAsia" w:ascii="宋体" w:hAnsi="宋体" w:eastAsia="宋体" w:cs="宋体"/>
          <w:bCs/>
          <w:color w:val="000000" w:themeColor="text1"/>
          <w:sz w:val="24"/>
          <w:highlight w:val="none"/>
          <w14:textFill>
            <w14:solidFill>
              <w14:schemeClr w14:val="tx1"/>
            </w14:solidFill>
          </w14:textFill>
        </w:rPr>
        <w:t>有关费用处理</w:t>
      </w:r>
    </w:p>
    <w:p w14:paraId="153FE999">
      <w:pPr>
        <w:spacing w:line="50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14:paraId="7186DE89">
      <w:pPr>
        <w:spacing w:line="50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12.4</w:t>
      </w:r>
      <w:r>
        <w:rPr>
          <w:rFonts w:hint="eastAsia" w:ascii="宋体" w:hAnsi="宋体" w:eastAsia="宋体" w:cs="宋体"/>
          <w:bCs/>
          <w:color w:val="000000" w:themeColor="text1"/>
          <w:sz w:val="24"/>
          <w:highlight w:val="none"/>
          <w14:textFill>
            <w14:solidFill>
              <w14:schemeClr w14:val="tx1"/>
            </w14:solidFill>
          </w14:textFill>
        </w:rPr>
        <w:t>其它费用处理</w:t>
      </w:r>
    </w:p>
    <w:p w14:paraId="14B8EB5B">
      <w:pPr>
        <w:spacing w:line="50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招标文件未列明，而投标人认为必需的费用也需列入报价。</w:t>
      </w:r>
    </w:p>
    <w:p w14:paraId="19F387BB">
      <w:pPr>
        <w:spacing w:line="50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12.5</w:t>
      </w:r>
      <w:r>
        <w:rPr>
          <w:rFonts w:hint="eastAsia" w:ascii="宋体" w:hAnsi="宋体" w:eastAsia="宋体" w:cs="宋体"/>
          <w:bCs/>
          <w:color w:val="000000" w:themeColor="text1"/>
          <w:sz w:val="24"/>
          <w:highlight w:val="none"/>
          <w14:textFill>
            <w14:solidFill>
              <w14:schemeClr w14:val="tx1"/>
            </w14:solidFill>
          </w14:textFill>
        </w:rPr>
        <w:t>投标货币</w:t>
      </w:r>
    </w:p>
    <w:p w14:paraId="7FF71212">
      <w:pPr>
        <w:spacing w:line="50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投标文件中的货物单价和总价无特殊规定的采用人民币报价，以元为单位标注。</w:t>
      </w:r>
      <w:r>
        <w:rPr>
          <w:rFonts w:hint="eastAsia" w:ascii="宋体" w:hAnsi="宋体" w:eastAsia="宋体" w:cs="宋体"/>
          <w:color w:val="000000" w:themeColor="text1"/>
          <w:sz w:val="24"/>
          <w:highlight w:val="none"/>
          <w14:textFill>
            <w14:solidFill>
              <w14:schemeClr w14:val="tx1"/>
            </w14:solidFill>
          </w14:textFill>
        </w:rPr>
        <w:t>招标文件中另有规定的按规定执行。</w:t>
      </w:r>
    </w:p>
    <w:p w14:paraId="3C102F1B">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12.6</w:t>
      </w:r>
      <w:r>
        <w:rPr>
          <w:rFonts w:hint="eastAsia" w:ascii="宋体" w:hAnsi="宋体" w:eastAsia="宋体" w:cs="宋体"/>
          <w:bCs/>
          <w:color w:val="000000" w:themeColor="text1"/>
          <w:sz w:val="24"/>
          <w:highlight w:val="none"/>
          <w14:textFill>
            <w14:solidFill>
              <w14:schemeClr w14:val="tx1"/>
            </w14:solidFill>
          </w14:textFill>
        </w:rPr>
        <w:t xml:space="preserve"> 投标配置与分项报价表上的价格应按下列方式分开填写</w:t>
      </w:r>
      <w:r>
        <w:rPr>
          <w:rFonts w:hint="eastAsia" w:ascii="宋体" w:hAnsi="宋体" w:eastAsia="宋体" w:cs="宋体"/>
          <w:color w:val="000000" w:themeColor="text1"/>
          <w:sz w:val="24"/>
          <w:highlight w:val="none"/>
          <w14:textFill>
            <w14:solidFill>
              <w14:schemeClr w14:val="tx1"/>
            </w14:solidFill>
          </w14:textFill>
        </w:rPr>
        <w:t>：</w:t>
      </w:r>
    </w:p>
    <w:p w14:paraId="4D9B8022">
      <w:pPr>
        <w:spacing w:line="48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bookmarkStart w:id="100" w:name="_Hlt26954844"/>
      <w:bookmarkEnd w:id="100"/>
      <w:bookmarkStart w:id="101" w:name="_Hlt26670425"/>
      <w:bookmarkEnd w:id="101"/>
      <w:bookmarkStart w:id="102" w:name="_Hlt26670403"/>
      <w:bookmarkEnd w:id="102"/>
      <w:bookmarkStart w:id="103" w:name="_Hlt26954842"/>
      <w:bookmarkEnd w:id="103"/>
      <w:bookmarkStart w:id="104" w:name="_Hlt26668983"/>
      <w:bookmarkEnd w:id="104"/>
      <w:r>
        <w:rPr>
          <w:rFonts w:hint="eastAsia" w:ascii="宋体" w:hAnsi="宋体" w:eastAsia="宋体" w:cs="宋体"/>
          <w:bCs/>
          <w:color w:val="000000" w:themeColor="text1"/>
          <w:sz w:val="24"/>
          <w:highlight w:val="none"/>
          <w:lang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项目总价：包括</w:t>
      </w:r>
      <w:r>
        <w:rPr>
          <w:rFonts w:hint="eastAsia" w:ascii="宋体" w:hAnsi="宋体" w:eastAsia="宋体" w:cs="宋体"/>
          <w:bCs/>
          <w:color w:val="000000" w:themeColor="text1"/>
          <w:sz w:val="24"/>
          <w:highlight w:val="none"/>
          <w14:textFill>
            <w14:solidFill>
              <w14:schemeClr w14:val="tx1"/>
            </w14:solidFill>
          </w14:textFill>
        </w:rPr>
        <w:t>买方需求的产品价格</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Hans"/>
          <w14:textFill>
            <w14:solidFill>
              <w14:schemeClr w14:val="tx1"/>
            </w14:solidFill>
          </w14:textFill>
        </w:rPr>
        <w:t>培</w:t>
      </w:r>
      <w:r>
        <w:rPr>
          <w:rFonts w:hint="eastAsia" w:ascii="宋体" w:hAnsi="宋体" w:eastAsia="宋体" w:cs="宋体"/>
          <w:bCs/>
          <w:color w:val="000000" w:themeColor="text1"/>
          <w:sz w:val="24"/>
          <w:highlight w:val="none"/>
          <w14:textFill>
            <w14:solidFill>
              <w14:schemeClr w14:val="tx1"/>
            </w14:solidFill>
          </w14:textFill>
        </w:rPr>
        <w:t>训费用及售后服务费用，项目在指定地点、环境交付、安装、调试、验收所需费用和所有</w:t>
      </w:r>
      <w:r>
        <w:rPr>
          <w:rFonts w:hint="eastAsia" w:ascii="宋体" w:hAnsi="宋体" w:eastAsia="宋体" w:cs="宋体"/>
          <w:color w:val="000000" w:themeColor="text1"/>
          <w:sz w:val="24"/>
          <w:highlight w:val="none"/>
          <w14:textFill>
            <w14:solidFill>
              <w14:schemeClr w14:val="tx1"/>
            </w14:solidFill>
          </w14:textFill>
        </w:rPr>
        <w:t>相关税金费用</w:t>
      </w:r>
      <w:r>
        <w:rPr>
          <w:rFonts w:hint="eastAsia" w:ascii="宋体" w:hAnsi="宋体" w:eastAsia="宋体" w:cs="宋体"/>
          <w:bCs/>
          <w:color w:val="000000" w:themeColor="text1"/>
          <w:sz w:val="24"/>
          <w:highlight w:val="none"/>
          <w14:textFill>
            <w14:solidFill>
              <w14:schemeClr w14:val="tx1"/>
            </w14:solidFill>
          </w14:textFill>
        </w:rPr>
        <w:t>及为完成整个项目所产生的其它所有费用。</w:t>
      </w:r>
    </w:p>
    <w:p w14:paraId="59A9F1DA">
      <w:pPr>
        <w:spacing w:line="48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w:t>
      </w:r>
      <w:r>
        <w:rPr>
          <w:rFonts w:hint="eastAsia" w:ascii="宋体" w:hAnsi="宋体" w:eastAsia="宋体" w:cs="宋体"/>
          <w:bCs/>
          <w:color w:val="000000" w:themeColor="text1"/>
          <w:sz w:val="24"/>
          <w:highlight w:val="none"/>
          <w14:textFill>
            <w14:solidFill>
              <w14:schemeClr w14:val="tx1"/>
            </w14:solidFill>
          </w14:textFill>
        </w:rPr>
        <w:t>项目单价按投标配置及分项报价表中要求填报。</w:t>
      </w:r>
    </w:p>
    <w:p w14:paraId="29E5AB25">
      <w:pPr>
        <w:pStyle w:val="7"/>
        <w:rPr>
          <w:rFonts w:hint="eastAsia" w:ascii="宋体" w:hAnsi="宋体" w:eastAsia="宋体" w:cs="宋体"/>
          <w:b w:val="0"/>
          <w:bCs/>
          <w:color w:val="000000" w:themeColor="text1"/>
          <w:highlight w:val="none"/>
          <w14:textFill>
            <w14:solidFill>
              <w14:schemeClr w14:val="tx1"/>
            </w14:solidFill>
          </w14:textFill>
        </w:rPr>
      </w:pPr>
      <w:bookmarkStart w:id="105" w:name="_Hlt26954731"/>
      <w:bookmarkEnd w:id="105"/>
      <w:bookmarkStart w:id="106" w:name="_Hlt26954848"/>
      <w:bookmarkEnd w:id="106"/>
      <w:bookmarkStart w:id="107" w:name="_Hlt26670482"/>
      <w:bookmarkEnd w:id="107"/>
      <w:bookmarkStart w:id="108" w:name="_Hlt26954846"/>
      <w:bookmarkEnd w:id="108"/>
      <w:bookmarkStart w:id="109" w:name="_Hlt26670486"/>
      <w:bookmarkEnd w:id="109"/>
      <w:r>
        <w:rPr>
          <w:rFonts w:hint="eastAsia" w:ascii="宋体" w:hAnsi="宋体" w:eastAsia="宋体" w:cs="宋体"/>
          <w:b w:val="0"/>
          <w:bCs/>
          <w:color w:val="000000" w:themeColor="text1"/>
          <w:highlight w:val="none"/>
          <w:lang w:eastAsia="zh-CN"/>
          <w14:textFill>
            <w14:solidFill>
              <w14:schemeClr w14:val="tx1"/>
            </w14:solidFill>
          </w14:textFill>
        </w:rPr>
        <w:t>13.</w:t>
      </w:r>
      <w:r>
        <w:rPr>
          <w:rFonts w:hint="eastAsia" w:ascii="宋体" w:hAnsi="宋体" w:eastAsia="宋体" w:cs="宋体"/>
          <w:b w:val="0"/>
          <w:bCs/>
          <w:color w:val="000000" w:themeColor="text1"/>
          <w:highlight w:val="none"/>
          <w14:textFill>
            <w14:solidFill>
              <w14:schemeClr w14:val="tx1"/>
            </w14:solidFill>
          </w14:textFill>
        </w:rPr>
        <w:t>技术参数响应及偏离表、商务条款响应及偏离表及投标货物说明</w:t>
      </w:r>
    </w:p>
    <w:p w14:paraId="32261517">
      <w:pPr>
        <w:autoSpaceDE w:val="0"/>
        <w:autoSpaceDN w:val="0"/>
        <w:adjustRightInd w:val="0"/>
        <w:spacing w:line="500" w:lineRule="exact"/>
        <w:ind w:firstLine="480"/>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bCs/>
          <w:color w:val="000000" w:themeColor="text1"/>
          <w:sz w:val="24"/>
          <w:highlight w:val="none"/>
          <w:lang w:val="zh-CN"/>
          <w14:textFill>
            <w14:solidFill>
              <w14:schemeClr w14:val="tx1"/>
            </w14:solidFill>
          </w14:textFill>
        </w:rPr>
        <w:t>13.1</w:t>
      </w:r>
      <w:r>
        <w:rPr>
          <w:rFonts w:hint="eastAsia" w:ascii="宋体" w:hAnsi="宋体" w:eastAsia="宋体" w:cs="宋体"/>
          <w:color w:val="000000" w:themeColor="text1"/>
          <w:sz w:val="24"/>
          <w:highlight w:val="none"/>
          <w:lang w:val="zh-CN"/>
          <w14:textFill>
            <w14:solidFill>
              <w14:schemeClr w14:val="tx1"/>
            </w14:solidFill>
          </w14:textFill>
        </w:rPr>
        <w:t xml:space="preserve"> 对招标文件中的技术与商务条款要求逐项作出响应或偏离，并说明原因；</w:t>
      </w:r>
    </w:p>
    <w:p w14:paraId="1BFF79E4">
      <w:pPr>
        <w:tabs>
          <w:tab w:val="left" w:pos="1035"/>
        </w:tabs>
        <w:autoSpaceDE w:val="0"/>
        <w:autoSpaceDN w:val="0"/>
        <w:adjustRightInd w:val="0"/>
        <w:spacing w:line="500" w:lineRule="exact"/>
        <w:ind w:firstLine="480" w:firstLineChars="200"/>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14:textFill>
            <w14:solidFill>
              <w14:schemeClr w14:val="tx1"/>
            </w14:solidFill>
          </w14:textFill>
        </w:rPr>
        <w:t>13.2 提供参加本项目类似案例简介；</w:t>
      </w:r>
    </w:p>
    <w:p w14:paraId="10DFD778">
      <w:pPr>
        <w:tabs>
          <w:tab w:val="left" w:pos="1035"/>
        </w:tabs>
        <w:autoSpaceDE w:val="0"/>
        <w:autoSpaceDN w:val="0"/>
        <w:adjustRightInd w:val="0"/>
        <w:spacing w:line="500" w:lineRule="exact"/>
        <w:ind w:firstLine="480" w:firstLineChars="200"/>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14:textFill>
            <w14:solidFill>
              <w14:schemeClr w14:val="tx1"/>
            </w14:solidFill>
          </w14:textFill>
        </w:rPr>
        <w:t>13.3 培训计划；</w:t>
      </w:r>
    </w:p>
    <w:p w14:paraId="6BD63FD8">
      <w:pPr>
        <w:tabs>
          <w:tab w:val="left" w:pos="1035"/>
        </w:tabs>
        <w:autoSpaceDE w:val="0"/>
        <w:autoSpaceDN w:val="0"/>
        <w:adjustRightInd w:val="0"/>
        <w:spacing w:line="500" w:lineRule="exact"/>
        <w:ind w:firstLine="480" w:firstLineChars="200"/>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14:textFill>
            <w14:solidFill>
              <w14:schemeClr w14:val="tx1"/>
            </w14:solidFill>
          </w14:textFill>
        </w:rPr>
        <w:t>13.4 详细阐述所投货物的主要组成部分、功能设计、实现思路及关键技术；</w:t>
      </w:r>
    </w:p>
    <w:p w14:paraId="586D937E">
      <w:pPr>
        <w:tabs>
          <w:tab w:val="left" w:pos="1035"/>
        </w:tabs>
        <w:autoSpaceDE w:val="0"/>
        <w:autoSpaceDN w:val="0"/>
        <w:adjustRightInd w:val="0"/>
        <w:spacing w:line="500" w:lineRule="exact"/>
        <w:ind w:firstLine="480" w:firstLineChars="200"/>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14:textFill>
            <w14:solidFill>
              <w14:schemeClr w14:val="tx1"/>
            </w14:solidFill>
          </w14:textFill>
        </w:rPr>
        <w:t>13.5 投标人认为需要的其他技术文件或说明。</w:t>
      </w:r>
    </w:p>
    <w:p w14:paraId="1779A463">
      <w:pPr>
        <w:pStyle w:val="7"/>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bCs/>
          <w:color w:val="000000" w:themeColor="text1"/>
          <w:highlight w:val="none"/>
          <w:lang w:eastAsia="zh-CN"/>
          <w14:textFill>
            <w14:solidFill>
              <w14:schemeClr w14:val="tx1"/>
            </w14:solidFill>
          </w14:textFill>
        </w:rPr>
        <w:t>14.</w:t>
      </w:r>
      <w:r>
        <w:rPr>
          <w:rFonts w:hint="eastAsia" w:ascii="宋体" w:hAnsi="宋体" w:eastAsia="宋体" w:cs="宋体"/>
          <w:b w:val="0"/>
          <w:bCs/>
          <w:color w:val="000000" w:themeColor="text1"/>
          <w:highlight w:val="none"/>
          <w14:textFill>
            <w14:solidFill>
              <w14:schemeClr w14:val="tx1"/>
            </w14:solidFill>
          </w14:textFill>
        </w:rPr>
        <w:t>服务承诺及售后服务机构、人员的情况介绍</w:t>
      </w:r>
    </w:p>
    <w:p w14:paraId="6925C181">
      <w:pPr>
        <w:spacing w:line="4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14</w:t>
      </w:r>
      <w:r>
        <w:rPr>
          <w:rFonts w:hint="eastAsia" w:ascii="宋体" w:hAnsi="宋体" w:eastAsia="宋体" w:cs="宋体"/>
          <w:color w:val="000000" w:themeColor="text1"/>
          <w:sz w:val="24"/>
          <w:highlight w:val="none"/>
          <w:lang w:val="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投标人的服务承诺应按不低于招标文件中商务要求的标准。</w:t>
      </w:r>
    </w:p>
    <w:p w14:paraId="52EFC82E">
      <w:pPr>
        <w:spacing w:line="48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14</w:t>
      </w:r>
      <w:r>
        <w:rPr>
          <w:rFonts w:hint="eastAsia" w:ascii="宋体" w:hAnsi="宋体" w:eastAsia="宋体" w:cs="宋体"/>
          <w:color w:val="000000" w:themeColor="text1"/>
          <w:sz w:val="24"/>
          <w:highlight w:val="none"/>
          <w:lang w:val="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提供投标人有关售后服务的管理制度、售后服务机构的分布情况、售后服务人员的数量、素质、技术水平及售后服务的反应能力。</w:t>
      </w:r>
    </w:p>
    <w:p w14:paraId="1CC4DE43">
      <w:pPr>
        <w:pStyle w:val="7"/>
        <w:rPr>
          <w:rFonts w:hint="eastAsia" w:ascii="宋体" w:hAnsi="宋体" w:eastAsia="宋体" w:cs="宋体"/>
          <w:b w:val="0"/>
          <w:color w:val="000000" w:themeColor="text1"/>
          <w:highlight w:val="none"/>
          <w14:textFill>
            <w14:solidFill>
              <w14:schemeClr w14:val="tx1"/>
            </w14:solidFill>
          </w14:textFill>
        </w:rPr>
      </w:pPr>
      <w:bookmarkStart w:id="110" w:name="_Toc14577359"/>
      <w:bookmarkStart w:id="111" w:name="_Toc49090510"/>
      <w:r>
        <w:rPr>
          <w:rFonts w:hint="eastAsia" w:ascii="宋体" w:hAnsi="宋体" w:eastAsia="宋体" w:cs="宋体"/>
          <w:b w:val="0"/>
          <w:bCs/>
          <w:color w:val="000000" w:themeColor="text1"/>
          <w:highlight w:val="none"/>
          <w:lang w:eastAsia="zh-CN"/>
          <w14:textFill>
            <w14:solidFill>
              <w14:schemeClr w14:val="tx1"/>
            </w14:solidFill>
          </w14:textFill>
        </w:rPr>
        <w:t>15.</w:t>
      </w:r>
      <w:r>
        <w:rPr>
          <w:rFonts w:hint="eastAsia" w:ascii="宋体" w:hAnsi="宋体" w:eastAsia="宋体" w:cs="宋体"/>
          <w:b w:val="0"/>
          <w:bCs/>
          <w:color w:val="000000" w:themeColor="text1"/>
          <w:highlight w:val="none"/>
          <w14:textFill>
            <w14:solidFill>
              <w14:schemeClr w14:val="tx1"/>
            </w14:solidFill>
          </w14:textFill>
        </w:rPr>
        <w:t>投标函和开标一览表</w:t>
      </w:r>
    </w:p>
    <w:p w14:paraId="1D6449F8">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15.1</w:t>
      </w:r>
      <w:r>
        <w:rPr>
          <w:rFonts w:hint="eastAsia" w:ascii="宋体" w:hAnsi="宋体" w:eastAsia="宋体" w:cs="宋体"/>
          <w:color w:val="000000" w:themeColor="text1"/>
          <w:sz w:val="24"/>
          <w:highlight w:val="none"/>
          <w14:textFill>
            <w14:solidFill>
              <w14:schemeClr w14:val="tx1"/>
            </w14:solidFill>
          </w14:textFill>
        </w:rPr>
        <w:t xml:space="preserve"> 投标人应按照招标文件中提供的格式完整、正确填写投标函、开标一览表。</w:t>
      </w:r>
    </w:p>
    <w:p w14:paraId="686F01C7">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15.2</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开标一览表中的价格应与投标文件中投标配置与分项报价表中的价格一致，如不一致，</w:t>
      </w:r>
      <w:r>
        <w:rPr>
          <w:rFonts w:hint="eastAsia" w:ascii="宋体" w:hAnsi="宋体" w:eastAsia="宋体" w:cs="宋体"/>
          <w:color w:val="000000" w:themeColor="text1"/>
          <w:sz w:val="24"/>
          <w:szCs w:val="24"/>
          <w:highlight w:val="none"/>
          <w14:textFill>
            <w14:solidFill>
              <w14:schemeClr w14:val="tx1"/>
            </w14:solidFill>
          </w14:textFill>
        </w:rPr>
        <w:t>不作为无效投标处理</w:t>
      </w:r>
      <w:r>
        <w:rPr>
          <w:rFonts w:hint="eastAsia" w:ascii="宋体" w:hAnsi="宋体" w:eastAsia="宋体" w:cs="宋体"/>
          <w:bCs/>
          <w:color w:val="000000" w:themeColor="text1"/>
          <w:sz w:val="24"/>
          <w:highlight w:val="none"/>
          <w14:textFill>
            <w14:solidFill>
              <w14:schemeClr w14:val="tx1"/>
            </w14:solidFill>
          </w14:textFill>
        </w:rPr>
        <w:t>，但评标时按开标一览表中价格为准</w:t>
      </w:r>
      <w:r>
        <w:rPr>
          <w:rFonts w:hint="eastAsia" w:ascii="宋体" w:hAnsi="宋体" w:eastAsia="宋体" w:cs="宋体"/>
          <w:b/>
          <w:bCs/>
          <w:color w:val="000000" w:themeColor="text1"/>
          <w:sz w:val="24"/>
          <w:highlight w:val="none"/>
          <w14:textFill>
            <w14:solidFill>
              <w14:schemeClr w14:val="tx1"/>
            </w14:solidFill>
          </w14:textFill>
        </w:rPr>
        <w:t>。</w:t>
      </w:r>
    </w:p>
    <w:p w14:paraId="7ED60A87">
      <w:pPr>
        <w:pStyle w:val="7"/>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bCs/>
          <w:color w:val="000000" w:themeColor="text1"/>
          <w:highlight w:val="none"/>
          <w:lang w:eastAsia="zh-CN"/>
          <w14:textFill>
            <w14:solidFill>
              <w14:schemeClr w14:val="tx1"/>
            </w14:solidFill>
          </w14:textFill>
        </w:rPr>
        <w:t>16.</w:t>
      </w:r>
      <w:r>
        <w:rPr>
          <w:rFonts w:hint="eastAsia" w:ascii="宋体" w:hAnsi="宋体" w:eastAsia="宋体" w:cs="宋体"/>
          <w:b w:val="0"/>
          <w:bCs/>
          <w:color w:val="000000" w:themeColor="text1"/>
          <w:highlight w:val="none"/>
          <w14:textFill>
            <w14:solidFill>
              <w14:schemeClr w14:val="tx1"/>
            </w14:solidFill>
          </w14:textFill>
        </w:rPr>
        <w:t>投标保证金</w:t>
      </w:r>
      <w:bookmarkEnd w:id="110"/>
      <w:bookmarkEnd w:id="111"/>
      <w:r>
        <w:rPr>
          <w:rFonts w:hint="eastAsia" w:ascii="宋体" w:hAnsi="宋体" w:eastAsia="宋体" w:cs="宋体"/>
          <w:b w:val="0"/>
          <w:bCs/>
          <w:color w:val="000000" w:themeColor="text1"/>
          <w:highlight w:val="none"/>
          <w14:textFill>
            <w14:solidFill>
              <w14:schemeClr w14:val="tx1"/>
            </w14:solidFill>
          </w14:textFill>
        </w:rPr>
        <w:t>（如果收取）</w:t>
      </w:r>
    </w:p>
    <w:p w14:paraId="148F92F8">
      <w:pPr>
        <w:spacing w:line="50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16.1</w:t>
      </w:r>
      <w:r>
        <w:rPr>
          <w:rFonts w:hint="eastAsia" w:ascii="宋体" w:hAnsi="宋体" w:eastAsia="宋体" w:cs="宋体"/>
          <w:bCs/>
          <w:color w:val="000000" w:themeColor="text1"/>
          <w:sz w:val="24"/>
          <w:highlight w:val="none"/>
          <w14:textFill>
            <w14:solidFill>
              <w14:schemeClr w14:val="tx1"/>
            </w14:solidFill>
          </w14:textFill>
        </w:rPr>
        <w:t>在开标时，未按要求提交投标保证金的投标无效。</w:t>
      </w:r>
    </w:p>
    <w:p w14:paraId="6B7C4D81">
      <w:pPr>
        <w:spacing w:line="50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16.2</w:t>
      </w:r>
      <w:r>
        <w:rPr>
          <w:rFonts w:hint="eastAsia" w:ascii="宋体" w:hAnsi="宋体" w:eastAsia="宋体" w:cs="宋体"/>
          <w:bCs/>
          <w:color w:val="000000" w:themeColor="text1"/>
          <w:sz w:val="24"/>
          <w:highlight w:val="none"/>
          <w14:textFill>
            <w14:solidFill>
              <w14:schemeClr w14:val="tx1"/>
            </w14:solidFill>
          </w14:textFill>
        </w:rPr>
        <w:t>未中标的投标人的投标保证金，将在中标通知书发出之后5</w:t>
      </w:r>
      <w:r>
        <w:rPr>
          <w:rFonts w:hint="eastAsia" w:ascii="宋体" w:hAnsi="宋体" w:eastAsia="宋体" w:cs="宋体"/>
          <w:bCs/>
          <w:color w:val="000000" w:themeColor="text1"/>
          <w:sz w:val="24"/>
          <w:highlight w:val="none"/>
          <w:lang w:val="en-US" w:eastAsia="zh-Hans"/>
          <w14:textFill>
            <w14:solidFill>
              <w14:schemeClr w14:val="tx1"/>
            </w14:solidFill>
          </w14:textFill>
        </w:rPr>
        <w:t>日内</w:t>
      </w:r>
      <w:r>
        <w:rPr>
          <w:rFonts w:hint="eastAsia" w:ascii="宋体" w:hAnsi="宋体" w:eastAsia="宋体" w:cs="宋体"/>
          <w:bCs/>
          <w:color w:val="000000" w:themeColor="text1"/>
          <w:sz w:val="24"/>
          <w:highlight w:val="none"/>
          <w:lang w:val="en-US" w:eastAsia="zh-CN"/>
          <w14:textFill>
            <w14:solidFill>
              <w14:schemeClr w14:val="tx1"/>
            </w14:solidFill>
          </w14:textFill>
        </w:rPr>
        <w:t>自动</w:t>
      </w:r>
      <w:r>
        <w:rPr>
          <w:rFonts w:hint="eastAsia" w:ascii="宋体" w:hAnsi="宋体" w:eastAsia="宋体" w:cs="宋体"/>
          <w:bCs/>
          <w:color w:val="000000" w:themeColor="text1"/>
          <w:sz w:val="24"/>
          <w:highlight w:val="none"/>
          <w14:textFill>
            <w14:solidFill>
              <w14:schemeClr w14:val="tx1"/>
            </w14:solidFill>
          </w14:textFill>
        </w:rPr>
        <w:t>退还。</w:t>
      </w:r>
    </w:p>
    <w:p w14:paraId="40086366">
      <w:pPr>
        <w:spacing w:line="50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16.3中标人的投标保证金，</w:t>
      </w:r>
      <w:r>
        <w:rPr>
          <w:rFonts w:hint="eastAsia" w:ascii="宋体" w:hAnsi="宋体" w:eastAsia="宋体" w:cs="宋体"/>
          <w:bCs/>
          <w:color w:val="000000" w:themeColor="text1"/>
          <w:sz w:val="24"/>
          <w:highlight w:val="none"/>
          <w14:textFill>
            <w14:solidFill>
              <w14:schemeClr w14:val="tx1"/>
            </w14:solidFill>
          </w14:textFill>
        </w:rPr>
        <w:t>将在采购合同签订之后5</w:t>
      </w:r>
      <w:r>
        <w:rPr>
          <w:rFonts w:hint="eastAsia" w:ascii="宋体" w:hAnsi="宋体" w:eastAsia="宋体" w:cs="宋体"/>
          <w:bCs/>
          <w:color w:val="000000" w:themeColor="text1"/>
          <w:sz w:val="24"/>
          <w:highlight w:val="none"/>
          <w:lang w:val="en-US" w:eastAsia="zh-Hans"/>
          <w14:textFill>
            <w14:solidFill>
              <w14:schemeClr w14:val="tx1"/>
            </w14:solidFill>
          </w14:textFill>
        </w:rPr>
        <w:t>日内</w:t>
      </w:r>
      <w:r>
        <w:rPr>
          <w:rFonts w:hint="eastAsia" w:ascii="宋体" w:hAnsi="宋体" w:eastAsia="宋体" w:cs="宋体"/>
          <w:bCs/>
          <w:color w:val="000000" w:themeColor="text1"/>
          <w:sz w:val="24"/>
          <w:highlight w:val="none"/>
          <w:lang w:val="en-US" w:eastAsia="zh-CN"/>
          <w14:textFill>
            <w14:solidFill>
              <w14:schemeClr w14:val="tx1"/>
            </w14:solidFill>
          </w14:textFill>
        </w:rPr>
        <w:t>自动</w:t>
      </w:r>
      <w:r>
        <w:rPr>
          <w:rFonts w:hint="eastAsia" w:ascii="宋体" w:hAnsi="宋体" w:eastAsia="宋体" w:cs="宋体"/>
          <w:bCs/>
          <w:color w:val="000000" w:themeColor="text1"/>
          <w:sz w:val="24"/>
          <w:highlight w:val="none"/>
          <w14:textFill>
            <w14:solidFill>
              <w14:schemeClr w14:val="tx1"/>
            </w14:solidFill>
          </w14:textFill>
        </w:rPr>
        <w:t>退还。</w:t>
      </w:r>
    </w:p>
    <w:p w14:paraId="1232F7F5">
      <w:pPr>
        <w:spacing w:line="50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16.4</w:t>
      </w:r>
      <w:r>
        <w:rPr>
          <w:rFonts w:hint="eastAsia" w:ascii="宋体" w:hAnsi="宋体" w:eastAsia="宋体" w:cs="宋体"/>
          <w:bCs/>
          <w:color w:val="000000" w:themeColor="text1"/>
          <w:sz w:val="24"/>
          <w:highlight w:val="none"/>
          <w14:textFill>
            <w14:solidFill>
              <w14:schemeClr w14:val="tx1"/>
            </w14:solidFill>
          </w14:textFill>
        </w:rPr>
        <w:t xml:space="preserve"> 下列任何情况发生时，投标保证金将不予退还：</w:t>
      </w:r>
    </w:p>
    <w:p w14:paraId="18F77280">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112" w:name="_Hlt26954850"/>
      <w:bookmarkEnd w:id="112"/>
      <w:bookmarkStart w:id="113" w:name="_Hlt26670489"/>
      <w:bookmarkEnd w:id="113"/>
      <w:bookmarkStart w:id="114" w:name="_Hlt26954734"/>
      <w:bookmarkEnd w:id="114"/>
      <w:bookmarkStart w:id="115" w:name="_Toc49090511"/>
      <w:bookmarkStart w:id="116" w:name="_Toc14577360"/>
      <w:r>
        <w:rPr>
          <w:rFonts w:hint="eastAsia" w:ascii="宋体" w:hAnsi="宋体" w:eastAsia="宋体" w:cs="宋体"/>
          <w:color w:val="000000" w:themeColor="text1"/>
          <w:sz w:val="24"/>
          <w:highlight w:val="none"/>
          <w14:textFill>
            <w14:solidFill>
              <w14:schemeClr w14:val="tx1"/>
            </w14:solidFill>
          </w14:textFill>
        </w:rPr>
        <w:t>（1）投标人在投标有效期内撤回其投标；</w:t>
      </w:r>
    </w:p>
    <w:p w14:paraId="636CF108">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（2）提供虚假材料谋取中标、成交的；</w:t>
      </w:r>
    </w:p>
    <w:p w14:paraId="7D87C1EF">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（3）采取不正当手段诋毁、排挤其他供应商的；</w:t>
      </w:r>
    </w:p>
    <w:p w14:paraId="39E99B94">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（4）与采购人、其他供应商恶意串通的。</w:t>
      </w:r>
    </w:p>
    <w:p w14:paraId="1A431D5E">
      <w:pPr>
        <w:pStyle w:val="17"/>
        <w:ind w:left="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16.5 </w:t>
      </w:r>
      <w:r>
        <w:rPr>
          <w:rFonts w:hint="eastAsia" w:ascii="宋体" w:hAnsi="宋体" w:eastAsia="宋体" w:cs="宋体"/>
          <w:color w:val="000000" w:themeColor="text1"/>
          <w:sz w:val="24"/>
          <w:szCs w:val="24"/>
          <w:highlight w:val="none"/>
          <w14:textFill>
            <w14:solidFill>
              <w14:schemeClr w14:val="tx1"/>
            </w14:solidFill>
          </w14:textFill>
        </w:rPr>
        <w:t>供应商缴纳的</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保证金必须于投标文件（响应文件）接收截止时间前，以供应商的名称，按本采购文件规定的金额缴纳到指定账户（保证金缴纳方式及账户详见第一章投标邀请—其他）。</w:t>
      </w:r>
    </w:p>
    <w:p w14:paraId="58CF30D4">
      <w:pPr>
        <w:pStyle w:val="7"/>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bCs/>
          <w:color w:val="000000" w:themeColor="text1"/>
          <w:highlight w:val="none"/>
          <w:lang w:eastAsia="zh-CN"/>
          <w14:textFill>
            <w14:solidFill>
              <w14:schemeClr w14:val="tx1"/>
            </w14:solidFill>
          </w14:textFill>
        </w:rPr>
        <w:t>17.</w:t>
      </w:r>
      <w:r>
        <w:rPr>
          <w:rFonts w:hint="eastAsia" w:ascii="宋体" w:hAnsi="宋体" w:eastAsia="宋体" w:cs="宋体"/>
          <w:b w:val="0"/>
          <w:bCs/>
          <w:color w:val="000000" w:themeColor="text1"/>
          <w:highlight w:val="none"/>
          <w14:textFill>
            <w14:solidFill>
              <w14:schemeClr w14:val="tx1"/>
            </w14:solidFill>
          </w14:textFill>
        </w:rPr>
        <w:t>投标有效期</w:t>
      </w:r>
      <w:bookmarkEnd w:id="115"/>
      <w:bookmarkEnd w:id="116"/>
    </w:p>
    <w:p w14:paraId="07A44280">
      <w:pPr>
        <w:spacing w:line="50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17.1</w:t>
      </w:r>
      <w:r>
        <w:rPr>
          <w:rFonts w:hint="eastAsia" w:ascii="宋体" w:hAnsi="宋体" w:eastAsia="宋体" w:cs="宋体"/>
          <w:bCs/>
          <w:color w:val="000000" w:themeColor="text1"/>
          <w:sz w:val="24"/>
          <w:highlight w:val="none"/>
          <w14:textFill>
            <w14:solidFill>
              <w14:schemeClr w14:val="tx1"/>
            </w14:solidFill>
          </w14:textFill>
        </w:rPr>
        <w:t xml:space="preserve"> 投标有效期为交易中心规定的开标之日后</w:t>
      </w:r>
      <w:r>
        <w:rPr>
          <w:rFonts w:hint="eastAsia" w:ascii="宋体" w:hAnsi="宋体" w:eastAsia="宋体" w:cs="宋体"/>
          <w:b/>
          <w:i/>
          <w:iCs/>
          <w:color w:val="000000" w:themeColor="text1"/>
          <w:sz w:val="24"/>
          <w:highlight w:val="none"/>
          <w:u w:val="single"/>
          <w14:textFill>
            <w14:solidFill>
              <w14:schemeClr w14:val="tx1"/>
            </w14:solidFill>
          </w14:textFill>
        </w:rPr>
        <w:t>120天</w:t>
      </w:r>
      <w:r>
        <w:rPr>
          <w:rFonts w:hint="eastAsia" w:ascii="宋体" w:hAnsi="宋体" w:eastAsia="宋体" w:cs="宋体"/>
          <w:bCs/>
          <w:color w:val="000000" w:themeColor="text1"/>
          <w:sz w:val="24"/>
          <w:highlight w:val="none"/>
          <w14:textFill>
            <w14:solidFill>
              <w14:schemeClr w14:val="tx1"/>
            </w14:solidFill>
          </w14:textFill>
        </w:rPr>
        <w:t>。投标有效期比规定短的将被视为非响应性投标而予以拒绝。</w:t>
      </w:r>
    </w:p>
    <w:p w14:paraId="5B24C53F">
      <w:pPr>
        <w:pStyle w:val="7"/>
        <w:rPr>
          <w:rFonts w:hint="eastAsia" w:ascii="宋体" w:hAnsi="宋体" w:eastAsia="宋体" w:cs="宋体"/>
          <w:b w:val="0"/>
          <w:bCs/>
          <w:color w:val="000000" w:themeColor="text1"/>
          <w:highlight w:val="none"/>
          <w14:textFill>
            <w14:solidFill>
              <w14:schemeClr w14:val="tx1"/>
            </w14:solidFill>
          </w14:textFill>
        </w:rPr>
      </w:pPr>
      <w:bookmarkStart w:id="117" w:name="_Hlt26954739"/>
      <w:bookmarkEnd w:id="117"/>
      <w:bookmarkStart w:id="118" w:name="_Hlt26954852"/>
      <w:bookmarkEnd w:id="118"/>
      <w:bookmarkStart w:id="119" w:name="_Toc14577361"/>
      <w:bookmarkStart w:id="120" w:name="_Toc49090512"/>
      <w:r>
        <w:rPr>
          <w:rFonts w:hint="eastAsia" w:ascii="宋体" w:hAnsi="宋体" w:eastAsia="宋体" w:cs="宋体"/>
          <w:b w:val="0"/>
          <w:bCs/>
          <w:color w:val="000000" w:themeColor="text1"/>
          <w:highlight w:val="none"/>
          <w:lang w:eastAsia="zh-CN"/>
          <w14:textFill>
            <w14:solidFill>
              <w14:schemeClr w14:val="tx1"/>
            </w14:solidFill>
          </w14:textFill>
        </w:rPr>
        <w:t>18.</w:t>
      </w:r>
      <w:bookmarkEnd w:id="119"/>
      <w:bookmarkEnd w:id="120"/>
      <w:r>
        <w:rPr>
          <w:rFonts w:hint="eastAsia" w:ascii="宋体" w:hAnsi="宋体" w:eastAsia="宋体" w:cs="宋体"/>
          <w:b w:val="0"/>
          <w:bCs/>
          <w:color w:val="000000" w:themeColor="text1"/>
          <w:highlight w:val="none"/>
          <w14:textFill>
            <w14:solidFill>
              <w14:schemeClr w14:val="tx1"/>
            </w14:solidFill>
          </w14:textFill>
        </w:rPr>
        <w:t>投标有效期的延长</w:t>
      </w:r>
    </w:p>
    <w:p w14:paraId="505A92F4">
      <w:pPr>
        <w:spacing w:line="50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18.1</w:t>
      </w:r>
      <w:r>
        <w:rPr>
          <w:rFonts w:hint="eastAsia" w:ascii="宋体" w:hAnsi="宋体" w:eastAsia="宋体" w:cs="宋体"/>
          <w:bCs/>
          <w:color w:val="000000" w:themeColor="text1"/>
          <w:sz w:val="24"/>
          <w:highlight w:val="none"/>
          <w14:textFill>
            <w14:solidFill>
              <w14:schemeClr w14:val="tx1"/>
            </w14:solidFill>
          </w14:textFill>
        </w:rPr>
        <w:t xml:space="preserve"> 在特殊情况下，交易中心于原投标有效期满之前，可向投标人提出延长投标有效期的要求。这种要求与答复均应采用书面形式。投标人可以拒绝交易中心的这一要求而放弃投标，</w:t>
      </w:r>
      <w:r>
        <w:rPr>
          <w:rFonts w:hint="eastAsia" w:ascii="宋体" w:hAnsi="宋体" w:eastAsia="宋体" w:cs="宋体"/>
          <w:color w:val="000000" w:themeColor="text1"/>
          <w:sz w:val="24"/>
          <w:szCs w:val="24"/>
          <w:highlight w:val="none"/>
          <w14:textFill>
            <w14:solidFill>
              <w14:schemeClr w14:val="tx1"/>
            </w14:solidFill>
          </w14:textFill>
        </w:rPr>
        <w:t>交易中心在接到投标人书面答复后，将在原投标有效期满后</w:t>
      </w:r>
      <w:r>
        <w:rPr>
          <w:rFonts w:hint="eastAsia" w:ascii="宋体" w:hAnsi="宋体" w:eastAsia="宋体" w:cs="宋体"/>
          <w:bCs/>
          <w:color w:val="000000" w:themeColor="text1"/>
          <w:sz w:val="24"/>
          <w:szCs w:val="24"/>
          <w:highlight w:val="none"/>
          <w14:textFill>
            <w14:solidFill>
              <w14:schemeClr w14:val="tx1"/>
            </w14:solidFill>
          </w14:textFill>
        </w:rPr>
        <w:t>退还其投标保证金</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同意延长投标有效期的投标人既不能要求也不允许修改其投标文件。第16条有关投标保证金的规定在延长期内继续有效</w:t>
      </w:r>
      <w:r>
        <w:rPr>
          <w:rFonts w:hint="eastAsia" w:ascii="宋体" w:hAnsi="宋体" w:eastAsia="宋体" w:cs="宋体"/>
          <w:color w:val="000000" w:themeColor="text1"/>
          <w:sz w:val="24"/>
          <w:szCs w:val="24"/>
          <w:highlight w:val="none"/>
          <w14:textFill>
            <w14:solidFill>
              <w14:schemeClr w14:val="tx1"/>
            </w14:solidFill>
          </w14:textFill>
        </w:rPr>
        <w:t>，同时受投标有效期约束的所有权利与义务均延长至新的有效期</w:t>
      </w:r>
      <w:r>
        <w:rPr>
          <w:rFonts w:hint="eastAsia" w:ascii="宋体" w:hAnsi="宋体" w:eastAsia="宋体" w:cs="宋体"/>
          <w:bCs/>
          <w:color w:val="000000" w:themeColor="text1"/>
          <w:sz w:val="24"/>
          <w:highlight w:val="none"/>
          <w14:textFill>
            <w14:solidFill>
              <w14:schemeClr w14:val="tx1"/>
            </w14:solidFill>
          </w14:textFill>
        </w:rPr>
        <w:t>。</w:t>
      </w:r>
    </w:p>
    <w:p w14:paraId="08F708E5">
      <w:pPr>
        <w:pStyle w:val="6"/>
        <w:spacing w:before="145" w:beforeLines="50" w:after="145" w:afterLines="50" w:line="360" w:lineRule="auto"/>
        <w:ind w:firstLine="482" w:firstLineChars="150"/>
        <w:rPr>
          <w:rFonts w:hint="eastAsia" w:ascii="宋体" w:hAnsi="宋体" w:eastAsia="宋体" w:cs="宋体"/>
          <w:color w:val="000000" w:themeColor="text1"/>
          <w:highlight w:val="none"/>
          <w14:textFill>
            <w14:solidFill>
              <w14:schemeClr w14:val="tx1"/>
            </w14:solidFill>
          </w14:textFill>
        </w:rPr>
      </w:pPr>
      <w:bookmarkStart w:id="121" w:name="_Toc534816630"/>
      <w:bookmarkStart w:id="122" w:name="_Toc120614217"/>
      <w:bookmarkStart w:id="123" w:name="_Toc513029224"/>
      <w:bookmarkStart w:id="124" w:name="_Toc16938540"/>
      <w:bookmarkStart w:id="125" w:name="_Toc534725601"/>
      <w:bookmarkStart w:id="126" w:name="_Toc20823296"/>
      <w:r>
        <w:rPr>
          <w:rFonts w:hint="eastAsia" w:ascii="宋体" w:hAnsi="宋体" w:eastAsia="宋体" w:cs="宋体"/>
          <w:color w:val="000000" w:themeColor="text1"/>
          <w:highlight w:val="none"/>
          <w14:textFill>
            <w14:solidFill>
              <w14:schemeClr w14:val="tx1"/>
            </w14:solidFill>
          </w14:textFill>
        </w:rPr>
        <w:t>四、投标文件的递交</w:t>
      </w:r>
      <w:bookmarkEnd w:id="121"/>
      <w:bookmarkEnd w:id="122"/>
      <w:bookmarkEnd w:id="123"/>
      <w:bookmarkEnd w:id="124"/>
      <w:bookmarkEnd w:id="125"/>
      <w:bookmarkEnd w:id="126"/>
    </w:p>
    <w:p w14:paraId="5D9015A3">
      <w:pPr>
        <w:pStyle w:val="7"/>
        <w:ind w:left="0" w:leftChars="0" w:firstLine="420" w:firstLineChars="150"/>
        <w:rPr>
          <w:rFonts w:hint="eastAsia" w:ascii="宋体" w:hAnsi="宋体" w:eastAsia="宋体" w:cs="宋体"/>
          <w:b w:val="0"/>
          <w:color w:val="000000" w:themeColor="text1"/>
          <w:highlight w:val="none"/>
          <w14:textFill>
            <w14:solidFill>
              <w14:schemeClr w14:val="tx1"/>
            </w14:solidFill>
          </w14:textFill>
        </w:rPr>
      </w:pPr>
      <w:bookmarkStart w:id="127" w:name="_Toc462564084"/>
      <w:bookmarkStart w:id="128" w:name="_Toc16938541"/>
      <w:bookmarkStart w:id="129" w:name="_Toc20823297"/>
      <w:bookmarkStart w:id="130" w:name="_Toc513029225"/>
      <w:r>
        <w:rPr>
          <w:rFonts w:hint="eastAsia" w:ascii="宋体" w:hAnsi="宋体" w:eastAsia="宋体" w:cs="宋体"/>
          <w:b w:val="0"/>
          <w:bCs/>
          <w:color w:val="000000" w:themeColor="text1"/>
          <w:highlight w:val="none"/>
          <w:lang w:eastAsia="zh-CN"/>
          <w14:textFill>
            <w14:solidFill>
              <w14:schemeClr w14:val="tx1"/>
            </w14:solidFill>
          </w14:textFill>
        </w:rPr>
        <w:t>19.</w:t>
      </w:r>
      <w:bookmarkEnd w:id="127"/>
      <w:bookmarkEnd w:id="128"/>
      <w:bookmarkEnd w:id="129"/>
      <w:bookmarkEnd w:id="130"/>
      <w:r>
        <w:rPr>
          <w:rFonts w:hint="eastAsia" w:ascii="宋体" w:hAnsi="宋体" w:eastAsia="宋体" w:cs="宋体"/>
          <w:b w:val="0"/>
          <w:bCs/>
          <w:color w:val="000000" w:themeColor="text1"/>
          <w:highlight w:val="none"/>
          <w14:textFill>
            <w14:solidFill>
              <w14:schemeClr w14:val="tx1"/>
            </w14:solidFill>
          </w14:textFill>
        </w:rPr>
        <w:t>投标文件的递交</w:t>
      </w:r>
    </w:p>
    <w:p w14:paraId="019BEDAE">
      <w:pPr>
        <w:spacing w:line="50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19.1</w:t>
      </w:r>
      <w:r>
        <w:rPr>
          <w:rFonts w:hint="eastAsia" w:ascii="宋体" w:hAnsi="宋体" w:eastAsia="宋体" w:cs="宋体"/>
          <w:bCs/>
          <w:color w:val="000000" w:themeColor="text1"/>
          <w:sz w:val="24"/>
          <w:highlight w:val="none"/>
          <w14:textFill>
            <w14:solidFill>
              <w14:schemeClr w14:val="tx1"/>
            </w14:solidFill>
          </w14:textFill>
        </w:rPr>
        <w:t>电子投标文件的递交</w:t>
      </w:r>
    </w:p>
    <w:p w14:paraId="7CE6C226">
      <w:pPr>
        <w:spacing w:line="50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投标人应当按照</w:t>
      </w:r>
      <w:r>
        <w:rPr>
          <w:rFonts w:hint="eastAsia" w:ascii="宋体" w:hAnsi="宋体" w:eastAsia="宋体" w:cs="宋体"/>
          <w:bCs/>
          <w:color w:val="000000" w:themeColor="text1"/>
          <w:sz w:val="24"/>
          <w:highlight w:val="none"/>
          <w:lang w:val="en-US" w:eastAsia="zh-CN"/>
          <w14:textFill>
            <w14:solidFill>
              <w14:schemeClr w14:val="tx1"/>
            </w14:solidFill>
          </w14:textFill>
        </w:rPr>
        <w:t>采购文件</w:t>
      </w:r>
      <w:r>
        <w:rPr>
          <w:rFonts w:hint="eastAsia" w:ascii="宋体" w:hAnsi="宋体" w:eastAsia="宋体" w:cs="宋体"/>
          <w:bCs/>
          <w:color w:val="000000" w:themeColor="text1"/>
          <w:sz w:val="24"/>
          <w:highlight w:val="none"/>
          <w14:textFill>
            <w14:solidFill>
              <w14:schemeClr w14:val="tx1"/>
            </w14:solidFill>
          </w14:textFill>
        </w:rPr>
        <w:t>规定，在投标截止时间前制作并上传电子投标文件。</w:t>
      </w:r>
    </w:p>
    <w:p w14:paraId="6A2BE71F">
      <w:pPr>
        <w:pStyle w:val="7"/>
        <w:rPr>
          <w:rFonts w:hint="eastAsia" w:ascii="宋体" w:hAnsi="宋体" w:eastAsia="宋体" w:cs="宋体"/>
          <w:b w:val="0"/>
          <w:bCs/>
          <w:color w:val="000000" w:themeColor="text1"/>
          <w:highlight w:val="none"/>
          <w14:textFill>
            <w14:solidFill>
              <w14:schemeClr w14:val="tx1"/>
            </w14:solidFill>
          </w14:textFill>
        </w:rPr>
      </w:pPr>
      <w:bookmarkStart w:id="131" w:name="_Toc513029226"/>
      <w:bookmarkStart w:id="132" w:name="_Toc20823298"/>
      <w:bookmarkStart w:id="133" w:name="_Toc16938542"/>
      <w:r>
        <w:rPr>
          <w:rFonts w:hint="eastAsia" w:ascii="宋体" w:hAnsi="宋体" w:eastAsia="宋体" w:cs="宋体"/>
          <w:b w:val="0"/>
          <w:bCs/>
          <w:color w:val="000000" w:themeColor="text1"/>
          <w:highlight w:val="none"/>
          <w:lang w:eastAsia="zh-CN"/>
          <w14:textFill>
            <w14:solidFill>
              <w14:schemeClr w14:val="tx1"/>
            </w14:solidFill>
          </w14:textFill>
        </w:rPr>
        <w:t>20.</w:t>
      </w:r>
      <w:r>
        <w:rPr>
          <w:rFonts w:hint="eastAsia" w:ascii="宋体" w:hAnsi="宋体" w:eastAsia="宋体" w:cs="宋体"/>
          <w:b w:val="0"/>
          <w:bCs/>
          <w:color w:val="000000" w:themeColor="text1"/>
          <w:highlight w:val="none"/>
          <w14:textFill>
            <w14:solidFill>
              <w14:schemeClr w14:val="tx1"/>
            </w14:solidFill>
          </w14:textFill>
        </w:rPr>
        <w:t>投标截止</w:t>
      </w:r>
      <w:bookmarkEnd w:id="131"/>
      <w:bookmarkEnd w:id="132"/>
      <w:bookmarkEnd w:id="133"/>
      <w:r>
        <w:rPr>
          <w:rFonts w:hint="eastAsia" w:ascii="宋体" w:hAnsi="宋体" w:eastAsia="宋体" w:cs="宋体"/>
          <w:b w:val="0"/>
          <w:bCs/>
          <w:color w:val="000000" w:themeColor="text1"/>
          <w:highlight w:val="none"/>
          <w14:textFill>
            <w14:solidFill>
              <w14:schemeClr w14:val="tx1"/>
            </w14:solidFill>
          </w14:textFill>
        </w:rPr>
        <w:t>时间</w:t>
      </w:r>
    </w:p>
    <w:p w14:paraId="6F6E8B10">
      <w:pPr>
        <w:spacing w:line="500" w:lineRule="exact"/>
        <w:ind w:firstLine="480" w:firstLineChars="200"/>
        <w:rPr>
          <w:rFonts w:hint="eastAsia" w:ascii="宋体" w:hAnsi="宋体" w:eastAsia="宋体" w:cs="宋体"/>
          <w:bCs/>
          <w:i/>
          <w:color w:val="000000" w:themeColor="text1"/>
          <w:sz w:val="24"/>
          <w:highlight w:val="none"/>
          <w:u w:val="single"/>
          <w14:textFill>
            <w14:solidFill>
              <w14:schemeClr w14:val="tx1"/>
            </w14:solidFill>
          </w14:textFill>
        </w:rPr>
      </w:pPr>
      <w:r>
        <w:rPr>
          <w:rFonts w:hint="eastAsia" w:ascii="宋体" w:hAnsi="宋体" w:eastAsia="宋体" w:cs="宋体"/>
          <w:i/>
          <w:color w:val="000000" w:themeColor="text1"/>
          <w:sz w:val="24"/>
          <w:highlight w:val="none"/>
          <w:u w:val="single"/>
          <w14:textFill>
            <w14:solidFill>
              <w14:schemeClr w14:val="tx1"/>
            </w14:solidFill>
          </w14:textFill>
        </w:rPr>
        <w:t>20.1</w:t>
      </w:r>
      <w:r>
        <w:rPr>
          <w:rFonts w:hint="eastAsia" w:ascii="宋体" w:hAnsi="宋体" w:eastAsia="宋体" w:cs="宋体"/>
          <w:bCs/>
          <w:i/>
          <w:color w:val="000000" w:themeColor="text1"/>
          <w:sz w:val="24"/>
          <w:highlight w:val="none"/>
          <w:u w:val="single"/>
          <w14:textFill>
            <w14:solidFill>
              <w14:schemeClr w14:val="tx1"/>
            </w14:solidFill>
          </w14:textFill>
        </w:rPr>
        <w:t xml:space="preserve"> 投标人上传电子投标文件的时间不得迟于招标公告中规定的投标截止时间。</w:t>
      </w:r>
    </w:p>
    <w:p w14:paraId="49CC3DBC">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投标人应充分考虑到网络环境、网络带宽等风险因素，如因投标人自身原因造成的电子投标文件上传不成功由投标人自行承担全部责任。</w:t>
      </w:r>
    </w:p>
    <w:p w14:paraId="7893F65A">
      <w:pPr>
        <w:spacing w:line="50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20.2</w:t>
      </w:r>
      <w:r>
        <w:rPr>
          <w:rFonts w:hint="eastAsia" w:ascii="宋体" w:hAnsi="宋体" w:eastAsia="宋体" w:cs="宋体"/>
          <w:bCs/>
          <w:color w:val="000000" w:themeColor="text1"/>
          <w:sz w:val="24"/>
          <w:highlight w:val="none"/>
          <w14:textFill>
            <w14:solidFill>
              <w14:schemeClr w14:val="tx1"/>
            </w14:solidFill>
          </w14:textFill>
        </w:rPr>
        <w:t xml:space="preserve"> 交易中心可以按照规定，通过修改招标文件酌情延长投标截止时间，在此情况下，投标人的所有权利和义务以及投标人受制的截止时间均应以延长后新的截止时间为准。</w:t>
      </w:r>
    </w:p>
    <w:p w14:paraId="226A74D7">
      <w:pPr>
        <w:pStyle w:val="7"/>
        <w:rPr>
          <w:rFonts w:hint="eastAsia" w:ascii="宋体" w:hAnsi="宋体" w:eastAsia="宋体" w:cs="宋体"/>
          <w:b w:val="0"/>
          <w:bCs/>
          <w:color w:val="000000" w:themeColor="text1"/>
          <w:highlight w:val="none"/>
          <w14:textFill>
            <w14:solidFill>
              <w14:schemeClr w14:val="tx1"/>
            </w14:solidFill>
          </w14:textFill>
        </w:rPr>
      </w:pPr>
      <w:bookmarkStart w:id="134" w:name="_Toc20823299"/>
      <w:bookmarkStart w:id="135" w:name="_Toc513029227"/>
      <w:bookmarkStart w:id="136" w:name="_Toc16938543"/>
      <w:r>
        <w:rPr>
          <w:rFonts w:hint="eastAsia" w:ascii="宋体" w:hAnsi="宋体" w:eastAsia="宋体" w:cs="宋体"/>
          <w:b w:val="0"/>
          <w:bCs/>
          <w:color w:val="000000" w:themeColor="text1"/>
          <w:highlight w:val="none"/>
          <w:lang w:eastAsia="zh-CN"/>
          <w14:textFill>
            <w14:solidFill>
              <w14:schemeClr w14:val="tx1"/>
            </w14:solidFill>
          </w14:textFill>
        </w:rPr>
        <w:t>21.</w:t>
      </w:r>
      <w:bookmarkEnd w:id="134"/>
      <w:bookmarkEnd w:id="135"/>
      <w:bookmarkEnd w:id="136"/>
      <w:r>
        <w:rPr>
          <w:rFonts w:hint="eastAsia" w:ascii="宋体" w:hAnsi="宋体" w:eastAsia="宋体" w:cs="宋体"/>
          <w:b w:val="0"/>
          <w:bCs/>
          <w:color w:val="000000" w:themeColor="text1"/>
          <w:highlight w:val="none"/>
          <w14:textFill>
            <w14:solidFill>
              <w14:schemeClr w14:val="tx1"/>
            </w14:solidFill>
          </w14:textFill>
        </w:rPr>
        <w:t>投标文件的拒收</w:t>
      </w:r>
    </w:p>
    <w:p w14:paraId="1BB3E11A">
      <w:pPr>
        <w:spacing w:line="50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21.1</w:t>
      </w:r>
      <w:r>
        <w:rPr>
          <w:rFonts w:hint="eastAsia" w:ascii="宋体" w:hAnsi="宋体" w:eastAsia="宋体" w:cs="宋体"/>
          <w:bCs/>
          <w:color w:val="000000" w:themeColor="text1"/>
          <w:sz w:val="24"/>
          <w:highlight w:val="none"/>
          <w14:textFill>
            <w14:solidFill>
              <w14:schemeClr w14:val="tx1"/>
            </w14:solidFill>
          </w14:textFill>
        </w:rPr>
        <w:t>交易中心拒绝接收在其规定的投标截止时间后上传的任何投标文件。</w:t>
      </w:r>
    </w:p>
    <w:p w14:paraId="5A205251">
      <w:pPr>
        <w:pStyle w:val="7"/>
        <w:rPr>
          <w:rFonts w:hint="eastAsia" w:ascii="宋体" w:hAnsi="宋体" w:eastAsia="宋体" w:cs="宋体"/>
          <w:b w:val="0"/>
          <w:bCs/>
          <w:color w:val="000000" w:themeColor="text1"/>
          <w:highlight w:val="none"/>
          <w14:textFill>
            <w14:solidFill>
              <w14:schemeClr w14:val="tx1"/>
            </w14:solidFill>
          </w14:textFill>
        </w:rPr>
      </w:pPr>
      <w:bookmarkStart w:id="137" w:name="_Toc513029228"/>
      <w:bookmarkStart w:id="138" w:name="_Toc16938544"/>
      <w:bookmarkStart w:id="139" w:name="_Toc20823300"/>
      <w:r>
        <w:rPr>
          <w:rFonts w:hint="eastAsia" w:ascii="宋体" w:hAnsi="宋体" w:eastAsia="宋体" w:cs="宋体"/>
          <w:b w:val="0"/>
          <w:bCs/>
          <w:color w:val="000000" w:themeColor="text1"/>
          <w:highlight w:val="none"/>
          <w:lang w:eastAsia="zh-CN"/>
          <w14:textFill>
            <w14:solidFill>
              <w14:schemeClr w14:val="tx1"/>
            </w14:solidFill>
          </w14:textFill>
        </w:rPr>
        <w:t>22.</w:t>
      </w:r>
      <w:r>
        <w:rPr>
          <w:rFonts w:hint="eastAsia" w:ascii="宋体" w:hAnsi="宋体" w:eastAsia="宋体" w:cs="宋体"/>
          <w:b w:val="0"/>
          <w:bCs/>
          <w:color w:val="000000" w:themeColor="text1"/>
          <w:highlight w:val="none"/>
          <w14:textFill>
            <w14:solidFill>
              <w14:schemeClr w14:val="tx1"/>
            </w14:solidFill>
          </w14:textFill>
        </w:rPr>
        <w:t>投标文件的修改和撤回</w:t>
      </w:r>
      <w:bookmarkEnd w:id="137"/>
      <w:bookmarkEnd w:id="138"/>
      <w:bookmarkEnd w:id="139"/>
    </w:p>
    <w:p w14:paraId="7D0F903B">
      <w:pPr>
        <w:spacing w:line="48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22.1投标文件的撤回</w:t>
      </w:r>
    </w:p>
    <w:p w14:paraId="108797BE">
      <w:pPr>
        <w:spacing w:line="48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22.1.1 电子投标文件的撤回</w:t>
      </w:r>
    </w:p>
    <w:p w14:paraId="05B5EF78">
      <w:pPr>
        <w:spacing w:line="48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投标人可在投标截止时间前，撤回其电子投标文件。</w:t>
      </w:r>
    </w:p>
    <w:p w14:paraId="1CC685D8">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22.1.2 投标人撤回电子投标文件，则认为其不再参与本项目投标活动。</w:t>
      </w:r>
    </w:p>
    <w:p w14:paraId="7DE91546">
      <w:pPr>
        <w:spacing w:line="48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p>
    <w:p w14:paraId="22922667">
      <w:pPr>
        <w:spacing w:line="48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22.2</w:t>
      </w:r>
      <w:r>
        <w:rPr>
          <w:rFonts w:hint="eastAsia" w:ascii="宋体" w:hAnsi="宋体" w:eastAsia="宋体" w:cs="宋体"/>
          <w:color w:val="000000" w:themeColor="text1"/>
          <w:sz w:val="24"/>
          <w:szCs w:val="24"/>
          <w:highlight w:val="none"/>
          <w14:textFill>
            <w14:solidFill>
              <w14:schemeClr w14:val="tx1"/>
            </w14:solidFill>
          </w14:textFill>
        </w:rPr>
        <w:t>投标文件的修改</w:t>
      </w:r>
    </w:p>
    <w:p w14:paraId="25C6EE60">
      <w:pPr>
        <w:spacing w:line="48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投标人可在投标截止时间前，对其电子投标文件进行修改。</w:t>
      </w:r>
    </w:p>
    <w:p w14:paraId="4ABD1F44">
      <w:pPr>
        <w:spacing w:line="50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22.3</w:t>
      </w:r>
      <w:r>
        <w:rPr>
          <w:rFonts w:hint="eastAsia" w:ascii="宋体" w:hAnsi="宋体" w:eastAsia="宋体" w:cs="宋体"/>
          <w:bCs/>
          <w:color w:val="000000" w:themeColor="text1"/>
          <w:sz w:val="24"/>
          <w:highlight w:val="none"/>
          <w14:textFill>
            <w14:solidFill>
              <w14:schemeClr w14:val="tx1"/>
            </w14:solidFill>
          </w14:textFill>
        </w:rPr>
        <w:t>在投标截止时间之后，投标人不得对其电子投标文件作任何修改。</w:t>
      </w:r>
    </w:p>
    <w:p w14:paraId="6C3E07C4">
      <w:pPr>
        <w:spacing w:line="50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22.4</w:t>
      </w:r>
      <w:r>
        <w:rPr>
          <w:rFonts w:hint="eastAsia" w:ascii="宋体" w:hAnsi="宋体" w:eastAsia="宋体" w:cs="宋体"/>
          <w:bCs/>
          <w:color w:val="000000" w:themeColor="text1"/>
          <w:sz w:val="24"/>
          <w:highlight w:val="none"/>
          <w14:textFill>
            <w14:solidFill>
              <w14:schemeClr w14:val="tx1"/>
            </w14:solidFill>
          </w14:textFill>
        </w:rPr>
        <w:t>在投标截止时间至招标文件中规定的投标有效期满之间的这段时间内，投标人不得撤回其投标，否则其投标保证金将不予退还。</w:t>
      </w:r>
    </w:p>
    <w:p w14:paraId="0B2C4F0E">
      <w:pPr>
        <w:pStyle w:val="6"/>
        <w:spacing w:before="145" w:beforeLines="50" w:after="145" w:afterLines="50" w:line="360" w:lineRule="auto"/>
        <w:ind w:firstLine="482" w:firstLineChars="150"/>
        <w:rPr>
          <w:rFonts w:hint="eastAsia" w:ascii="宋体" w:hAnsi="宋体" w:eastAsia="宋体" w:cs="宋体"/>
          <w:color w:val="000000" w:themeColor="text1"/>
          <w:highlight w:val="none"/>
          <w14:textFill>
            <w14:solidFill>
              <w14:schemeClr w14:val="tx1"/>
            </w14:solidFill>
          </w14:textFill>
        </w:rPr>
      </w:pPr>
      <w:bookmarkStart w:id="140" w:name="_Toc16938545"/>
      <w:bookmarkStart w:id="141" w:name="_Toc120614218"/>
      <w:bookmarkStart w:id="142" w:name="_Toc20823301"/>
      <w:bookmarkStart w:id="143" w:name="_Toc534725602"/>
      <w:bookmarkStart w:id="144" w:name="_Toc513029229"/>
      <w:bookmarkStart w:id="145" w:name="_Toc534816631"/>
      <w:r>
        <w:rPr>
          <w:rFonts w:hint="eastAsia" w:ascii="宋体" w:hAnsi="宋体" w:eastAsia="宋体" w:cs="宋体"/>
          <w:color w:val="000000" w:themeColor="text1"/>
          <w:highlight w:val="none"/>
          <w14:textFill>
            <w14:solidFill>
              <w14:schemeClr w14:val="tx1"/>
            </w14:solidFill>
          </w14:textFill>
        </w:rPr>
        <w:t>五、开标与评标</w:t>
      </w:r>
      <w:bookmarkEnd w:id="140"/>
      <w:bookmarkEnd w:id="141"/>
      <w:bookmarkEnd w:id="142"/>
      <w:bookmarkEnd w:id="143"/>
      <w:bookmarkEnd w:id="144"/>
      <w:bookmarkEnd w:id="145"/>
    </w:p>
    <w:p w14:paraId="19250928">
      <w:pPr>
        <w:pStyle w:val="7"/>
        <w:rPr>
          <w:rFonts w:hint="eastAsia" w:ascii="宋体" w:hAnsi="宋体" w:eastAsia="宋体" w:cs="宋体"/>
          <w:b w:val="0"/>
          <w:color w:val="000000" w:themeColor="text1"/>
          <w:highlight w:val="none"/>
          <w14:textFill>
            <w14:solidFill>
              <w14:schemeClr w14:val="tx1"/>
            </w14:solidFill>
          </w14:textFill>
        </w:rPr>
      </w:pPr>
      <w:bookmarkStart w:id="146" w:name="_Toc16938546"/>
      <w:bookmarkStart w:id="147" w:name="_Toc20823302"/>
      <w:bookmarkStart w:id="148" w:name="_Toc513029230"/>
      <w:r>
        <w:rPr>
          <w:rFonts w:hint="eastAsia" w:ascii="宋体" w:hAnsi="宋体" w:eastAsia="宋体" w:cs="宋体"/>
          <w:b w:val="0"/>
          <w:bCs/>
          <w:color w:val="000000" w:themeColor="text1"/>
          <w:highlight w:val="none"/>
          <w:lang w:eastAsia="zh-CN"/>
          <w14:textFill>
            <w14:solidFill>
              <w14:schemeClr w14:val="tx1"/>
            </w14:solidFill>
          </w14:textFill>
        </w:rPr>
        <w:t>23.</w:t>
      </w:r>
      <w:r>
        <w:rPr>
          <w:rFonts w:hint="eastAsia" w:ascii="宋体" w:hAnsi="宋体" w:eastAsia="宋体" w:cs="宋体"/>
          <w:b w:val="0"/>
          <w:bCs/>
          <w:color w:val="000000" w:themeColor="text1"/>
          <w:highlight w:val="none"/>
          <w14:textFill>
            <w14:solidFill>
              <w14:schemeClr w14:val="tx1"/>
            </w14:solidFill>
          </w14:textFill>
        </w:rPr>
        <w:t>开标</w:t>
      </w:r>
      <w:bookmarkEnd w:id="146"/>
      <w:bookmarkEnd w:id="147"/>
      <w:bookmarkEnd w:id="148"/>
    </w:p>
    <w:p w14:paraId="528CB189">
      <w:pPr>
        <w:spacing w:line="480" w:lineRule="exact"/>
        <w:ind w:left="0" w:leftChars="0"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23.1</w:t>
      </w:r>
      <w:r>
        <w:rPr>
          <w:rFonts w:hint="eastAsia" w:ascii="宋体" w:hAnsi="宋体" w:eastAsia="宋体" w:cs="宋体"/>
          <w:bCs/>
          <w:color w:val="000000" w:themeColor="text1"/>
          <w:sz w:val="24"/>
          <w:highlight w:val="none"/>
          <w14:textFill>
            <w14:solidFill>
              <w14:schemeClr w14:val="tx1"/>
            </w14:solidFill>
          </w14:textFill>
        </w:rPr>
        <w:t>交易中心将在招标公告中规定的时间和地点组织</w:t>
      </w:r>
      <w:r>
        <w:rPr>
          <w:rFonts w:hint="eastAsia" w:ascii="宋体" w:hAnsi="宋体" w:eastAsia="宋体" w:cs="宋体"/>
          <w:bCs/>
          <w:color w:val="000000" w:themeColor="text1"/>
          <w:sz w:val="24"/>
          <w:highlight w:val="none"/>
          <w:lang w:val="en-US" w:eastAsia="zh-CN"/>
          <w14:textFill>
            <w14:solidFill>
              <w14:schemeClr w14:val="tx1"/>
            </w14:solidFill>
          </w14:textFill>
        </w:rPr>
        <w:t>线上</w:t>
      </w:r>
      <w:r>
        <w:rPr>
          <w:rFonts w:hint="eastAsia" w:ascii="宋体" w:hAnsi="宋体" w:eastAsia="宋体" w:cs="宋体"/>
          <w:bCs/>
          <w:color w:val="000000" w:themeColor="text1"/>
          <w:sz w:val="24"/>
          <w:highlight w:val="none"/>
          <w14:textFill>
            <w14:solidFill>
              <w14:schemeClr w14:val="tx1"/>
            </w14:solidFill>
          </w14:textFill>
        </w:rPr>
        <w:t>公开开标</w:t>
      </w:r>
      <w:r>
        <w:rPr>
          <w:rFonts w:hint="eastAsia" w:ascii="宋体" w:hAnsi="宋体" w:eastAsia="宋体" w:cs="宋体"/>
          <w:color w:val="000000" w:themeColor="text1"/>
          <w:sz w:val="24"/>
          <w:szCs w:val="24"/>
          <w:highlight w:val="none"/>
          <w14:textFill>
            <w14:solidFill>
              <w14:schemeClr w14:val="tx1"/>
            </w14:solidFill>
          </w14:textFill>
        </w:rPr>
        <w:t>。投标人应当参加开标活动。</w:t>
      </w:r>
    </w:p>
    <w:p w14:paraId="5B5094E9">
      <w:pPr>
        <w:spacing w:line="4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23.2</w:t>
      </w:r>
      <w:r>
        <w:rPr>
          <w:rFonts w:hint="eastAsia" w:ascii="宋体" w:hAnsi="宋体" w:eastAsia="宋体" w:cs="宋体"/>
          <w:color w:val="000000" w:themeColor="text1"/>
          <w:sz w:val="24"/>
          <w:szCs w:val="24"/>
          <w:highlight w:val="none"/>
          <w14:textFill>
            <w14:solidFill>
              <w14:schemeClr w14:val="tx1"/>
            </w14:solidFill>
          </w14:textFill>
        </w:rPr>
        <w:t>开标</w:t>
      </w:r>
      <w:r>
        <w:rPr>
          <w:rFonts w:hint="eastAsia" w:ascii="宋体" w:hAnsi="宋体" w:eastAsia="宋体" w:cs="宋体"/>
          <w:color w:val="000000" w:themeColor="text1"/>
          <w:sz w:val="24"/>
          <w:szCs w:val="24"/>
          <w:highlight w:val="none"/>
          <w:lang w:val="en-US" w:eastAsia="zh-CN"/>
          <w14:textFill>
            <w14:solidFill>
              <w14:schemeClr w14:val="tx1"/>
            </w14:solidFill>
          </w14:textFill>
        </w:rPr>
        <w:t>过程</w:t>
      </w:r>
      <w:r>
        <w:rPr>
          <w:rFonts w:hint="eastAsia" w:ascii="宋体" w:hAnsi="宋体" w:eastAsia="宋体" w:cs="宋体"/>
          <w:color w:val="000000" w:themeColor="text1"/>
          <w:sz w:val="24"/>
          <w:szCs w:val="24"/>
          <w:highlight w:val="none"/>
          <w14:textFill>
            <w14:solidFill>
              <w14:schemeClr w14:val="tx1"/>
            </w14:solidFill>
          </w14:textFill>
        </w:rPr>
        <w:t>由交易中心组织。“</w:t>
      </w:r>
      <w:r>
        <w:rPr>
          <w:rFonts w:hint="eastAsia" w:ascii="宋体" w:hAnsi="宋体" w:eastAsia="宋体" w:cs="宋体"/>
          <w:color w:val="000000" w:themeColor="text1"/>
          <w:sz w:val="24"/>
          <w:szCs w:val="24"/>
          <w:highlight w:val="none"/>
          <w:lang w:val="en-US" w:eastAsia="zh-CN"/>
          <w14:textFill>
            <w14:solidFill>
              <w14:schemeClr w14:val="tx1"/>
            </w14:solidFill>
          </w14:textFill>
        </w:rPr>
        <w:t>政采云</w:t>
      </w:r>
      <w:r>
        <w:rPr>
          <w:rFonts w:hint="eastAsia" w:ascii="宋体" w:hAnsi="宋体" w:eastAsia="宋体" w:cs="宋体"/>
          <w:color w:val="000000" w:themeColor="text1"/>
          <w:sz w:val="24"/>
          <w:szCs w:val="24"/>
          <w:highlight w:val="none"/>
          <w14:textFill>
            <w14:solidFill>
              <w14:schemeClr w14:val="tx1"/>
            </w14:solidFill>
          </w14:textFill>
        </w:rPr>
        <w:t>平台不见面开标大厅”系统将自动对项目进行开标，并公布各投标人的《开标一览表》。</w:t>
      </w:r>
    </w:p>
    <w:p w14:paraId="44BB6A6B">
      <w:pPr>
        <w:spacing w:line="500" w:lineRule="exact"/>
        <w:ind w:firstLine="480" w:firstLineChars="200"/>
        <w:rPr>
          <w:rFonts w:hint="eastAsia" w:ascii="宋体" w:hAnsi="宋体" w:eastAsia="宋体" w:cs="宋体"/>
          <w:b/>
          <w:i/>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23.3</w:t>
      </w:r>
      <w:r>
        <w:rPr>
          <w:rFonts w:hint="eastAsia" w:ascii="宋体" w:hAnsi="宋体" w:eastAsia="宋体" w:cs="宋体"/>
          <w:bCs/>
          <w:color w:val="000000" w:themeColor="text1"/>
          <w:sz w:val="24"/>
          <w:highlight w:val="none"/>
          <w14:textFill>
            <w14:solidFill>
              <w14:schemeClr w14:val="tx1"/>
            </w14:solidFill>
          </w14:textFill>
        </w:rPr>
        <w:t>投标人在开标过程中涉及到的投标文件解密、开标结果确认等工作，应按照</w:t>
      </w:r>
      <w:r>
        <w:rPr>
          <w:rFonts w:hint="eastAsia" w:ascii="宋体" w:hAnsi="宋体" w:eastAsia="宋体" w:cs="宋体"/>
          <w:bCs/>
          <w:color w:val="000000" w:themeColor="text1"/>
          <w:sz w:val="24"/>
          <w:highlight w:val="none"/>
          <w:lang w:val="en-US" w:eastAsia="zh-CN"/>
          <w14:textFill>
            <w14:solidFill>
              <w14:schemeClr w14:val="tx1"/>
            </w14:solidFill>
          </w14:textFill>
        </w:rPr>
        <w:t>采购文件</w:t>
      </w:r>
      <w:r>
        <w:rPr>
          <w:rFonts w:hint="eastAsia" w:ascii="宋体" w:hAnsi="宋体" w:eastAsia="宋体" w:cs="宋体"/>
          <w:bCs/>
          <w:color w:val="000000" w:themeColor="text1"/>
          <w:sz w:val="24"/>
          <w:highlight w:val="none"/>
          <w14:textFill>
            <w14:solidFill>
              <w14:schemeClr w14:val="tx1"/>
            </w14:solidFill>
          </w14:textFill>
        </w:rPr>
        <w:t>规定执行。</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5F2C9BD7">
      <w:pPr>
        <w:pStyle w:val="7"/>
        <w:rPr>
          <w:rFonts w:hint="eastAsia" w:ascii="宋体" w:hAnsi="宋体" w:eastAsia="宋体" w:cs="宋体"/>
          <w:b w:val="0"/>
          <w:color w:val="000000" w:themeColor="text1"/>
          <w:highlight w:val="none"/>
          <w14:textFill>
            <w14:solidFill>
              <w14:schemeClr w14:val="tx1"/>
            </w14:solidFill>
          </w14:textFill>
        </w:rPr>
      </w:pPr>
      <w:bookmarkStart w:id="149" w:name="_Toc16938547"/>
      <w:bookmarkStart w:id="150" w:name="_Toc20823303"/>
      <w:bookmarkStart w:id="151" w:name="_Toc513029231"/>
      <w:r>
        <w:rPr>
          <w:rFonts w:hint="eastAsia" w:ascii="宋体" w:hAnsi="宋体" w:eastAsia="宋体" w:cs="宋体"/>
          <w:b w:val="0"/>
          <w:bCs/>
          <w:color w:val="000000" w:themeColor="text1"/>
          <w:highlight w:val="none"/>
          <w:lang w:eastAsia="zh-CN"/>
          <w14:textFill>
            <w14:solidFill>
              <w14:schemeClr w14:val="tx1"/>
            </w14:solidFill>
          </w14:textFill>
        </w:rPr>
        <w:t>24.</w:t>
      </w:r>
      <w:r>
        <w:rPr>
          <w:rFonts w:hint="eastAsia" w:ascii="宋体" w:hAnsi="宋体" w:eastAsia="宋体" w:cs="宋体"/>
          <w:b w:val="0"/>
          <w:bCs/>
          <w:color w:val="000000" w:themeColor="text1"/>
          <w:highlight w:val="none"/>
          <w14:textFill>
            <w14:solidFill>
              <w14:schemeClr w14:val="tx1"/>
            </w14:solidFill>
          </w14:textFill>
        </w:rPr>
        <w:t>评标委员会</w:t>
      </w:r>
    </w:p>
    <w:p w14:paraId="78A26749">
      <w:pPr>
        <w:spacing w:line="48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24.1</w:t>
      </w:r>
      <w:r>
        <w:rPr>
          <w:rFonts w:hint="eastAsia" w:ascii="宋体" w:hAnsi="宋体" w:eastAsia="宋体" w:cs="宋体"/>
          <w:b/>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开标后，交易中心将立即组织评标委员会（以下简称评委会）进行评标。</w:t>
      </w:r>
    </w:p>
    <w:p w14:paraId="5DC799C0">
      <w:pPr>
        <w:spacing w:line="4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24.2 评委会由采购人代表和有关技术、经济等方面的专家组成，且人员构成符合政府采购有关规定。</w:t>
      </w:r>
    </w:p>
    <w:p w14:paraId="1ED22297">
      <w:pPr>
        <w:spacing w:line="4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24.3评委会独立工作，负责评审所有投标文件并确定中标</w:t>
      </w:r>
      <w:r>
        <w:rPr>
          <w:rFonts w:hint="eastAsia" w:ascii="宋体" w:hAnsi="宋体" w:eastAsia="宋体" w:cs="宋体"/>
          <w:color w:val="000000" w:themeColor="text1"/>
          <w:sz w:val="24"/>
          <w:szCs w:val="24"/>
          <w:highlight w:val="none"/>
          <w:lang w:eastAsia="zh-CN"/>
          <w14:textFill>
            <w14:solidFill>
              <w14:schemeClr w14:val="tx1"/>
            </w14:solidFill>
          </w14:textFill>
        </w:rPr>
        <w:t>候选人</w:t>
      </w:r>
      <w:r>
        <w:rPr>
          <w:rFonts w:hint="eastAsia" w:ascii="宋体" w:hAnsi="宋体" w:eastAsia="宋体" w:cs="宋体"/>
          <w:color w:val="000000" w:themeColor="text1"/>
          <w:sz w:val="24"/>
          <w:szCs w:val="24"/>
          <w:highlight w:val="none"/>
          <w14:textFill>
            <w14:solidFill>
              <w14:schemeClr w14:val="tx1"/>
            </w14:solidFill>
          </w14:textFill>
        </w:rPr>
        <w:t>。</w:t>
      </w:r>
    </w:p>
    <w:p w14:paraId="313D2547">
      <w:pPr>
        <w:pStyle w:val="7"/>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bCs/>
          <w:color w:val="000000" w:themeColor="text1"/>
          <w:highlight w:val="none"/>
          <w:lang w:eastAsia="zh-CN"/>
          <w14:textFill>
            <w14:solidFill>
              <w14:schemeClr w14:val="tx1"/>
            </w14:solidFill>
          </w14:textFill>
        </w:rPr>
        <w:t>25.</w:t>
      </w:r>
      <w:r>
        <w:rPr>
          <w:rFonts w:hint="eastAsia" w:ascii="宋体" w:hAnsi="宋体" w:eastAsia="宋体" w:cs="宋体"/>
          <w:b w:val="0"/>
          <w:bCs/>
          <w:color w:val="000000" w:themeColor="text1"/>
          <w:highlight w:val="none"/>
          <w14:textFill>
            <w14:solidFill>
              <w14:schemeClr w14:val="tx1"/>
            </w14:solidFill>
          </w14:textFill>
        </w:rPr>
        <w:t>评标过程的保密与公正</w:t>
      </w:r>
    </w:p>
    <w:bookmarkEnd w:id="149"/>
    <w:bookmarkEnd w:id="150"/>
    <w:bookmarkEnd w:id="151"/>
    <w:p w14:paraId="5C507D7C">
      <w:pPr>
        <w:spacing w:line="50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25.1</w:t>
      </w:r>
      <w:r>
        <w:rPr>
          <w:rFonts w:hint="eastAsia" w:ascii="宋体" w:hAnsi="宋体" w:eastAsia="宋体" w:cs="宋体"/>
          <w:bCs/>
          <w:color w:val="000000" w:themeColor="text1"/>
          <w:sz w:val="24"/>
          <w:highlight w:val="none"/>
          <w14:textFill>
            <w14:solidFill>
              <w14:schemeClr w14:val="tx1"/>
            </w14:solidFill>
          </w14:textFill>
        </w:rPr>
        <w:t>公开开标后，直至向中标的投标人授予合同时止，凡是与审查、澄清、评价和比较投标的有关资料以及授标建议等，采购人、评委、交易中心均不得向投标人或与评标无关的其他人员透露。</w:t>
      </w:r>
    </w:p>
    <w:p w14:paraId="32A0D5D7">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25.2</w:t>
      </w:r>
      <w:r>
        <w:rPr>
          <w:rFonts w:hint="eastAsia" w:ascii="宋体" w:hAnsi="宋体" w:eastAsia="宋体" w:cs="宋体"/>
          <w:color w:val="000000" w:themeColor="text1"/>
          <w:sz w:val="24"/>
          <w:szCs w:val="24"/>
          <w:highlight w:val="none"/>
          <w14:textFill>
            <w14:solidFill>
              <w14:schemeClr w14:val="tx1"/>
            </w14:solidFill>
          </w14:textFill>
        </w:rPr>
        <w:t>在评标过程中，投标人不得以任何行为影响评标过程，否则其投标文件将被作为无效投标文件。</w:t>
      </w:r>
    </w:p>
    <w:p w14:paraId="47DA6358">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25.3</w:t>
      </w:r>
      <w:r>
        <w:rPr>
          <w:rFonts w:hint="eastAsia" w:ascii="宋体" w:hAnsi="宋体" w:eastAsia="宋体" w:cs="宋体"/>
          <w:color w:val="000000" w:themeColor="text1"/>
          <w:sz w:val="24"/>
          <w:szCs w:val="24"/>
          <w:highlight w:val="none"/>
          <w14:textFill>
            <w14:solidFill>
              <w14:schemeClr w14:val="tx1"/>
            </w14:solidFill>
          </w14:textFill>
        </w:rPr>
        <w:t>在评标期间，交易中心将设专门人员与投标人联系。</w:t>
      </w:r>
    </w:p>
    <w:p w14:paraId="50D7F1A6">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25.4 交易中心和评标委员会不向未中标的投标人解释未中标原因，也不公布评标过程中的相关细节。</w:t>
      </w:r>
    </w:p>
    <w:p w14:paraId="4863E336">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25.5 采用综合评分法的项目，未中标的投标人如需了解自己的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评标</w:t>
      </w:r>
      <w:r>
        <w:rPr>
          <w:rFonts w:hint="eastAsia" w:ascii="宋体" w:hAnsi="宋体" w:eastAsia="宋体" w:cs="宋体"/>
          <w:color w:val="000000" w:themeColor="text1"/>
          <w:sz w:val="24"/>
          <w:szCs w:val="24"/>
          <w:highlight w:val="none"/>
          <w14:textFill>
            <w14:solidFill>
              <w14:schemeClr w14:val="tx1"/>
            </w14:solidFill>
          </w14:textFill>
        </w:rPr>
        <w:t>得分及排序情况，可于中标结果公告期限届满之日起7个工作日内，由其法定代表人或授权代表携带本人有效身份证件到交易中心登记查询，逾期将不予受理。</w:t>
      </w:r>
    </w:p>
    <w:p w14:paraId="7BC4CA8C">
      <w:pPr>
        <w:pStyle w:val="7"/>
        <w:rPr>
          <w:rFonts w:hint="eastAsia" w:ascii="宋体" w:hAnsi="宋体" w:eastAsia="宋体" w:cs="宋体"/>
          <w:b w:val="0"/>
          <w:color w:val="000000" w:themeColor="text1"/>
          <w:highlight w:val="none"/>
          <w14:textFill>
            <w14:solidFill>
              <w14:schemeClr w14:val="tx1"/>
            </w14:solidFill>
          </w14:textFill>
        </w:rPr>
      </w:pPr>
      <w:bookmarkStart w:id="152" w:name="_Toc513029232"/>
      <w:bookmarkStart w:id="153" w:name="_Toc20823304"/>
      <w:bookmarkStart w:id="154" w:name="_Toc16938548"/>
      <w:r>
        <w:rPr>
          <w:rFonts w:hint="eastAsia" w:ascii="宋体" w:hAnsi="宋体" w:eastAsia="宋体" w:cs="宋体"/>
          <w:b w:val="0"/>
          <w:bCs/>
          <w:color w:val="000000" w:themeColor="text1"/>
          <w:highlight w:val="none"/>
          <w:lang w:eastAsia="zh-CN"/>
          <w14:textFill>
            <w14:solidFill>
              <w14:schemeClr w14:val="tx1"/>
            </w14:solidFill>
          </w14:textFill>
        </w:rPr>
        <w:t>26.</w:t>
      </w:r>
      <w:r>
        <w:rPr>
          <w:rFonts w:hint="eastAsia" w:ascii="宋体" w:hAnsi="宋体" w:eastAsia="宋体" w:cs="宋体"/>
          <w:b w:val="0"/>
          <w:bCs/>
          <w:color w:val="000000" w:themeColor="text1"/>
          <w:highlight w:val="none"/>
          <w14:textFill>
            <w14:solidFill>
              <w14:schemeClr w14:val="tx1"/>
            </w14:solidFill>
          </w14:textFill>
        </w:rPr>
        <w:t>投标的澄清</w:t>
      </w:r>
      <w:bookmarkEnd w:id="152"/>
      <w:bookmarkEnd w:id="153"/>
      <w:bookmarkEnd w:id="154"/>
    </w:p>
    <w:p w14:paraId="6ABF8B04">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26.1评标期间，为有助于对投标文件的审查、评价和比较，评委会有权以发送电子函件、召开视频会议或其它适当的方式要求投标人对其投标文件进行澄清，但并非对每个投标人都作澄清要求。</w:t>
      </w:r>
    </w:p>
    <w:p w14:paraId="5DEE2539">
      <w:pPr>
        <w:spacing w:line="4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26.2接到评委会澄清要求的投标人应派人按评委会通知的时间和方式做出澄清，澄清的内容须由投标人法人或授权代表签署，并作为投标文件的补充部分，但投标的价格和实质性的内容不得做任何更改。</w:t>
      </w:r>
    </w:p>
    <w:p w14:paraId="2D35E0B3">
      <w:pPr>
        <w:spacing w:line="4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26.3 接到评委会澄清要求的投标人如未按规定</w:t>
      </w:r>
      <w:r>
        <w:rPr>
          <w:rFonts w:hint="eastAsia" w:ascii="宋体" w:hAnsi="宋体" w:eastAsia="宋体" w:cs="宋体"/>
          <w:color w:val="000000" w:themeColor="text1"/>
          <w:sz w:val="24"/>
          <w:szCs w:val="24"/>
          <w:highlight w:val="none"/>
          <w:lang w:eastAsia="zh-CN"/>
          <w14:textFill>
            <w14:solidFill>
              <w14:schemeClr w14:val="tx1"/>
            </w14:solidFill>
          </w14:textFill>
        </w:rPr>
        <w:t>作出</w:t>
      </w:r>
      <w:r>
        <w:rPr>
          <w:rFonts w:hint="eastAsia" w:ascii="宋体" w:hAnsi="宋体" w:eastAsia="宋体" w:cs="宋体"/>
          <w:color w:val="000000" w:themeColor="text1"/>
          <w:sz w:val="24"/>
          <w:szCs w:val="24"/>
          <w:highlight w:val="none"/>
          <w14:textFill>
            <w14:solidFill>
              <w14:schemeClr w14:val="tx1"/>
            </w14:solidFill>
          </w14:textFill>
        </w:rPr>
        <w:t>澄清，其风险由投标人自行承担。</w:t>
      </w:r>
    </w:p>
    <w:p w14:paraId="57F27DFD">
      <w:pPr>
        <w:pStyle w:val="7"/>
        <w:rPr>
          <w:rFonts w:hint="eastAsia" w:ascii="宋体" w:hAnsi="宋体" w:eastAsia="宋体" w:cs="宋体"/>
          <w:b w:val="0"/>
          <w:color w:val="000000" w:themeColor="text1"/>
          <w:highlight w:val="none"/>
          <w14:textFill>
            <w14:solidFill>
              <w14:schemeClr w14:val="tx1"/>
            </w14:solidFill>
          </w14:textFill>
        </w:rPr>
      </w:pPr>
      <w:bookmarkStart w:id="155" w:name="_Toc16938549"/>
      <w:bookmarkStart w:id="156" w:name="_Toc513029233"/>
      <w:bookmarkStart w:id="157" w:name="_Toc20823305"/>
      <w:r>
        <w:rPr>
          <w:rFonts w:hint="eastAsia" w:ascii="宋体" w:hAnsi="宋体" w:eastAsia="宋体" w:cs="宋体"/>
          <w:b w:val="0"/>
          <w:bCs/>
          <w:color w:val="000000" w:themeColor="text1"/>
          <w:highlight w:val="none"/>
          <w:lang w:eastAsia="zh-CN"/>
          <w14:textFill>
            <w14:solidFill>
              <w14:schemeClr w14:val="tx1"/>
            </w14:solidFill>
          </w14:textFill>
        </w:rPr>
        <w:t>27.</w:t>
      </w:r>
      <w:r>
        <w:rPr>
          <w:rFonts w:hint="eastAsia" w:ascii="宋体" w:hAnsi="宋体" w:eastAsia="宋体" w:cs="宋体"/>
          <w:b w:val="0"/>
          <w:bCs/>
          <w:color w:val="000000" w:themeColor="text1"/>
          <w:highlight w:val="none"/>
          <w14:textFill>
            <w14:solidFill>
              <w14:schemeClr w14:val="tx1"/>
            </w14:solidFill>
          </w14:textFill>
        </w:rPr>
        <w:t>对投标文件的初审</w:t>
      </w:r>
      <w:bookmarkEnd w:id="155"/>
      <w:bookmarkEnd w:id="156"/>
      <w:bookmarkEnd w:id="157"/>
    </w:p>
    <w:p w14:paraId="381FF9B4">
      <w:pPr>
        <w:spacing w:line="46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27.1</w:t>
      </w:r>
      <w:r>
        <w:rPr>
          <w:rFonts w:hint="eastAsia" w:ascii="宋体" w:hAnsi="宋体" w:eastAsia="宋体" w:cs="宋体"/>
          <w:bCs/>
          <w:color w:val="000000" w:themeColor="text1"/>
          <w:sz w:val="24"/>
          <w:highlight w:val="none"/>
          <w14:textFill>
            <w14:solidFill>
              <w14:schemeClr w14:val="tx1"/>
            </w14:solidFill>
          </w14:textFill>
        </w:rPr>
        <w:t>投标文件初审分为资格审查和符合性审查。</w:t>
      </w:r>
    </w:p>
    <w:p w14:paraId="6478E65F">
      <w:pPr>
        <w:spacing w:line="46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27.1.1 资格审查：依据法律法规和招标文件的规定，由采购人对投标文件中的资格证明文件进行审查。资格审查的结论，采购人以书面形式向评委会进行反馈。</w:t>
      </w:r>
    </w:p>
    <w:p w14:paraId="26611933">
      <w:pPr>
        <w:wordWrap w:val="0"/>
        <w:spacing w:line="46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采购人在进行资格性审查的同时，将在“信用中国”网站（www.creditchina.gov.cn）</w:t>
      </w:r>
      <w:r>
        <w:rPr>
          <w:rFonts w:hint="eastAsia" w:ascii="宋体" w:hAnsi="宋体" w:eastAsia="宋体" w:cs="宋体"/>
          <w:bCs/>
          <w:color w:val="000000" w:themeColor="text1"/>
          <w:sz w:val="24"/>
          <w:highlight w:val="none"/>
          <w:lang w:eastAsia="zh-CN"/>
          <w14:textFill>
            <w14:solidFill>
              <w14:schemeClr w14:val="tx1"/>
            </w14:solidFill>
          </w14:textFill>
        </w:rPr>
        <w:t>、“中国政府采购网”（www.ccgp.gov.cn）</w:t>
      </w:r>
      <w:r>
        <w:rPr>
          <w:rFonts w:hint="eastAsia" w:ascii="宋体" w:hAnsi="宋体" w:eastAsia="宋体" w:cs="宋体"/>
          <w:bCs/>
          <w:color w:val="000000" w:themeColor="text1"/>
          <w:sz w:val="24"/>
          <w:highlight w:val="none"/>
          <w14:textFill>
            <w14:solidFill>
              <w14:schemeClr w14:val="tx1"/>
            </w14:solidFill>
          </w14:textFill>
        </w:rPr>
        <w:t>对投标人是否被列入失信被执行人、重大税收违法案件当事人名单、政府采购严重失信行为记录名单情况进行查询，以确定投标人是否具备投标资格。查询结果将以网页打印的形式留存并归档。</w:t>
      </w:r>
    </w:p>
    <w:p w14:paraId="1DAB0B76">
      <w:pPr>
        <w:spacing w:line="46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接受联合体的项目，两个以上的自然人、法人或者其他组织组成一个联合体，以一个供应商的身份共同参加政府采购活动的</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联合体成员存在不良信用记录的，视同联合体存在不良应用记录。</w:t>
      </w:r>
    </w:p>
    <w:p w14:paraId="347FCBDE">
      <w:pPr>
        <w:spacing w:line="46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27.1.2 符合性审查：依据招标文件的规定，由评委会从投标文件的有效性、完整性和对招标文件的响应程度进行审查，以确定是否对招标文件的实质性要求作出响应。</w:t>
      </w:r>
    </w:p>
    <w:p w14:paraId="397F36AA">
      <w:pPr>
        <w:spacing w:line="46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27.1.3 未通过资格审查或符合性审查的投标人，交易中心</w:t>
      </w:r>
      <w:r>
        <w:rPr>
          <w:rFonts w:hint="eastAsia" w:ascii="宋体" w:hAnsi="宋体" w:eastAsia="宋体" w:cs="宋体"/>
          <w:bCs/>
          <w:color w:val="000000" w:themeColor="text1"/>
          <w:sz w:val="24"/>
          <w:highlight w:val="none"/>
          <w:lang w:val="en-US" w:eastAsia="zh-Hans"/>
          <w14:textFill>
            <w14:solidFill>
              <w14:schemeClr w14:val="tx1"/>
            </w14:solidFill>
          </w14:textFill>
        </w:rPr>
        <w:t>将</w:t>
      </w:r>
      <w:r>
        <w:rPr>
          <w:rFonts w:hint="eastAsia" w:ascii="宋体" w:hAnsi="宋体" w:eastAsia="宋体" w:cs="宋体"/>
          <w:bCs/>
          <w:color w:val="000000" w:themeColor="text1"/>
          <w:sz w:val="24"/>
          <w:highlight w:val="none"/>
          <w14:textFill>
            <w14:solidFill>
              <w14:schemeClr w14:val="tx1"/>
            </w14:solidFill>
          </w14:textFill>
        </w:rPr>
        <w:t>向其授权代表告知未通过资格审查或符合性审查的原因</w:t>
      </w:r>
      <w:r>
        <w:rPr>
          <w:rFonts w:hint="eastAsia" w:ascii="宋体" w:hAnsi="宋体" w:eastAsia="宋体" w:cs="宋体"/>
          <w:bCs/>
          <w:color w:val="000000" w:themeColor="text1"/>
          <w:sz w:val="24"/>
          <w:highlight w:val="none"/>
          <w:lang w:eastAsia="zh-Hans"/>
          <w14:textFill>
            <w14:solidFill>
              <w14:schemeClr w14:val="tx1"/>
            </w14:solidFill>
          </w14:textFill>
        </w:rPr>
        <w:t>，</w:t>
      </w:r>
      <w:r>
        <w:rPr>
          <w:rFonts w:hint="eastAsia" w:ascii="宋体" w:hAnsi="宋体" w:eastAsia="宋体" w:cs="宋体"/>
          <w:bCs/>
          <w:color w:val="000000" w:themeColor="text1"/>
          <w:sz w:val="24"/>
          <w:highlight w:val="none"/>
          <w:lang w:val="en-US" w:eastAsia="en-US"/>
          <w14:textFill>
            <w14:solidFill>
              <w14:schemeClr w14:val="tx1"/>
            </w14:solidFill>
          </w14:textFill>
        </w:rPr>
        <w:t>采用综合评分法</w:t>
      </w:r>
      <w:r>
        <w:rPr>
          <w:rFonts w:hint="eastAsia" w:ascii="宋体" w:hAnsi="宋体" w:eastAsia="宋体" w:cs="宋体"/>
          <w:bCs/>
          <w:color w:val="000000" w:themeColor="text1"/>
          <w:sz w:val="24"/>
          <w:highlight w:val="none"/>
          <w:lang w:val="en-US" w:eastAsia="zh-CN"/>
          <w14:textFill>
            <w14:solidFill>
              <w14:schemeClr w14:val="tx1"/>
            </w14:solidFill>
          </w14:textFill>
        </w:rPr>
        <w:t>评标</w:t>
      </w:r>
      <w:r>
        <w:rPr>
          <w:rFonts w:hint="eastAsia" w:ascii="宋体" w:hAnsi="宋体" w:eastAsia="宋体" w:cs="宋体"/>
          <w:bCs/>
          <w:color w:val="000000" w:themeColor="text1"/>
          <w:sz w:val="24"/>
          <w:highlight w:val="none"/>
          <w:lang w:val="en-US" w:eastAsia="en-US"/>
          <w14:textFill>
            <w14:solidFill>
              <w14:schemeClr w14:val="tx1"/>
            </w14:solidFill>
          </w14:textFill>
        </w:rPr>
        <w:t>的，还应当告知未中标人本人的</w:t>
      </w:r>
      <w:r>
        <w:rPr>
          <w:rFonts w:hint="eastAsia" w:ascii="宋体" w:hAnsi="宋体" w:eastAsia="宋体" w:cs="宋体"/>
          <w:bCs/>
          <w:color w:val="000000" w:themeColor="text1"/>
          <w:sz w:val="24"/>
          <w:highlight w:val="none"/>
          <w:lang w:val="en-US" w:eastAsia="zh-CN"/>
          <w14:textFill>
            <w14:solidFill>
              <w14:schemeClr w14:val="tx1"/>
            </w14:solidFill>
          </w14:textFill>
        </w:rPr>
        <w:t>评标</w:t>
      </w:r>
      <w:r>
        <w:rPr>
          <w:rFonts w:hint="eastAsia" w:ascii="宋体" w:hAnsi="宋体" w:eastAsia="宋体" w:cs="宋体"/>
          <w:bCs/>
          <w:color w:val="000000" w:themeColor="text1"/>
          <w:sz w:val="24"/>
          <w:highlight w:val="none"/>
          <w:lang w:val="en-US" w:eastAsia="en-US"/>
          <w14:textFill>
            <w14:solidFill>
              <w14:schemeClr w14:val="tx1"/>
            </w14:solidFill>
          </w14:textFill>
        </w:rPr>
        <w:t>得分与排序。</w:t>
      </w:r>
    </w:p>
    <w:p w14:paraId="6D8AB90B">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27.2</w:t>
      </w:r>
      <w:r>
        <w:rPr>
          <w:rFonts w:hint="eastAsia" w:ascii="宋体" w:hAnsi="宋体" w:eastAsia="宋体" w:cs="宋体"/>
          <w:color w:val="000000" w:themeColor="text1"/>
          <w:sz w:val="24"/>
          <w:szCs w:val="24"/>
          <w:highlight w:val="none"/>
          <w14:textFill>
            <w14:solidFill>
              <w14:schemeClr w14:val="tx1"/>
            </w14:solidFill>
          </w14:textFill>
        </w:rPr>
        <w:t>在详细评标之前，评委会将首先审查每份投标文件是否实质性响应了招标文件的要求。实质性响应的投标应该是与招标文件要求的全部条款、条件和规格相符，没有重大偏离或保留的投标。</w:t>
      </w:r>
    </w:p>
    <w:p w14:paraId="7AD1290B">
      <w:pPr>
        <w:spacing w:line="46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w:t>
      </w:r>
      <w:r>
        <w:rPr>
          <w:rFonts w:hint="eastAsia" w:ascii="宋体" w:hAnsi="宋体" w:eastAsia="宋体" w:cs="宋体"/>
          <w:bCs/>
          <w:color w:val="000000" w:themeColor="text1"/>
          <w:sz w:val="24"/>
          <w:highlight w:val="none"/>
          <w14:textFill>
            <w14:solidFill>
              <w14:schemeClr w14:val="tx1"/>
            </w14:solidFill>
          </w14:textFill>
        </w:rPr>
        <w:t>评委决定投标文件的响应性只根据投标文件本身的内容，而不寻求外部的证据。</w:t>
      </w:r>
    </w:p>
    <w:p w14:paraId="376FF563">
      <w:pPr>
        <w:spacing w:line="46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27.3</w:t>
      </w:r>
      <w:r>
        <w:rPr>
          <w:rFonts w:hint="eastAsia" w:ascii="宋体" w:hAnsi="宋体" w:eastAsia="宋体" w:cs="宋体"/>
          <w:bCs/>
          <w:color w:val="000000" w:themeColor="text1"/>
          <w:sz w:val="24"/>
          <w:highlight w:val="none"/>
          <w14:textFill>
            <w14:solidFill>
              <w14:schemeClr w14:val="tx1"/>
            </w14:solidFill>
          </w14:textFill>
        </w:rPr>
        <w:t>如果投标文件实质上没有响应招标文件的要求，评委会将予以拒绝，投标人不得通过修改或撤销不合要求的偏离或保留而使其投标成为实质性响应的投标。</w:t>
      </w:r>
    </w:p>
    <w:p w14:paraId="606EC9AE">
      <w:pPr>
        <w:spacing w:line="46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27.4</w:t>
      </w:r>
      <w:r>
        <w:rPr>
          <w:rFonts w:hint="eastAsia" w:ascii="宋体" w:hAnsi="宋体" w:eastAsia="宋体" w:cs="宋体"/>
          <w:bCs/>
          <w:color w:val="000000" w:themeColor="text1"/>
          <w:sz w:val="24"/>
          <w:highlight w:val="none"/>
          <w14:textFill>
            <w14:solidFill>
              <w14:schemeClr w14:val="tx1"/>
            </w14:solidFill>
          </w14:textFill>
        </w:rPr>
        <w:t>评委会将对确定为实质性响应的投标进行进一步审核，</w:t>
      </w:r>
      <w:r>
        <w:rPr>
          <w:rFonts w:hint="eastAsia" w:ascii="宋体" w:hAnsi="宋体" w:eastAsia="宋体" w:cs="宋体"/>
          <w:bCs/>
          <w:color w:val="000000" w:themeColor="text1"/>
          <w:sz w:val="24"/>
          <w:highlight w:val="none"/>
          <w:lang w:val="en-US" w:eastAsia="en-US"/>
          <w14:textFill>
            <w14:solidFill>
              <w14:schemeClr w14:val="tx1"/>
            </w14:solidFill>
          </w14:textFill>
        </w:rPr>
        <w:t>投标文件报价出现前后不一致的，除招标文件另有规定外</w:t>
      </w:r>
      <w:r>
        <w:rPr>
          <w:rFonts w:hint="eastAsia" w:ascii="宋体" w:hAnsi="宋体" w:eastAsia="宋体" w:cs="宋体"/>
          <w:bCs/>
          <w:color w:val="000000" w:themeColor="text1"/>
          <w:sz w:val="24"/>
          <w:highlight w:val="none"/>
          <w:lang w:val="en-US" w:eastAsia="zh-CN"/>
          <w14:textFill>
            <w14:solidFill>
              <w14:schemeClr w14:val="tx1"/>
            </w14:solidFill>
          </w14:textFill>
        </w:rPr>
        <w:t>，</w:t>
      </w:r>
      <w:r>
        <w:rPr>
          <w:rFonts w:hint="eastAsia" w:ascii="宋体" w:hAnsi="宋体" w:eastAsia="宋体" w:cs="宋体"/>
          <w:bCs/>
          <w:color w:val="000000" w:themeColor="text1"/>
          <w:sz w:val="24"/>
          <w:highlight w:val="none"/>
          <w:lang w:val="en-US" w:eastAsia="en-US"/>
          <w14:textFill>
            <w14:solidFill>
              <w14:schemeClr w14:val="tx1"/>
            </w14:solidFill>
          </w14:textFill>
        </w:rPr>
        <w:t>按照下列规定修正</w:t>
      </w:r>
      <w:r>
        <w:rPr>
          <w:rFonts w:hint="eastAsia" w:ascii="宋体" w:hAnsi="宋体" w:eastAsia="宋体" w:cs="宋体"/>
          <w:bCs/>
          <w:color w:val="000000" w:themeColor="text1"/>
          <w:sz w:val="24"/>
          <w:highlight w:val="none"/>
          <w14:textFill>
            <w14:solidFill>
              <w14:schemeClr w14:val="tx1"/>
            </w14:solidFill>
          </w14:textFill>
        </w:rPr>
        <w:t>：</w:t>
      </w:r>
    </w:p>
    <w:p w14:paraId="3A9AB4FE">
      <w:pPr>
        <w:spacing w:line="46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（1）投标文件中开标一览表内容与投标文件中相应内容不一致的，以开标一览表为准。</w:t>
      </w:r>
    </w:p>
    <w:p w14:paraId="732A18E8">
      <w:pPr>
        <w:spacing w:line="46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（2）大写金额和小写金额不一致的，以大写金额为准。</w:t>
      </w:r>
    </w:p>
    <w:p w14:paraId="26463C33">
      <w:pPr>
        <w:spacing w:line="46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（3）单价金额小数点或者百分比有明显错位的，以开标一览表的总价为准，并修改单价。</w:t>
      </w:r>
    </w:p>
    <w:p w14:paraId="37CB176B">
      <w:pPr>
        <w:spacing w:line="46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（4）总价金额与按单价汇总金额不一致的，以单价金额计算结果为准。</w:t>
      </w:r>
    </w:p>
    <w:p w14:paraId="52E7941C">
      <w:pPr>
        <w:spacing w:line="46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同时出现两种以上错误的，按照前款规定的顺序修正。</w:t>
      </w:r>
    </w:p>
    <w:p w14:paraId="0D4B3383">
      <w:pPr>
        <w:spacing w:line="46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27.5</w:t>
      </w:r>
      <w:r>
        <w:rPr>
          <w:rFonts w:hint="eastAsia" w:ascii="宋体" w:hAnsi="宋体" w:eastAsia="宋体" w:cs="宋体"/>
          <w:bCs/>
          <w:color w:val="000000" w:themeColor="text1"/>
          <w:sz w:val="24"/>
          <w:highlight w:val="none"/>
          <w14:textFill>
            <w14:solidFill>
              <w14:schemeClr w14:val="tx1"/>
            </w14:solidFill>
          </w14:textFill>
        </w:rPr>
        <w:t>评委会将按上述修正错误的方法调整投标文件中的投标报价，并通过</w:t>
      </w:r>
      <w:r>
        <w:rPr>
          <w:rFonts w:hint="eastAsia" w:ascii="宋体" w:hAnsi="宋体" w:eastAsia="宋体" w:cs="宋体"/>
          <w:bCs/>
          <w:color w:val="000000" w:themeColor="text1"/>
          <w:sz w:val="24"/>
          <w:highlight w:val="none"/>
          <w:lang w:val="en-US" w:eastAsia="en-US"/>
          <w14:textFill>
            <w14:solidFill>
              <w14:schemeClr w14:val="tx1"/>
            </w14:solidFill>
          </w14:textFill>
        </w:rPr>
        <w:t>书面形式</w:t>
      </w:r>
      <w:r>
        <w:rPr>
          <w:rFonts w:hint="eastAsia" w:ascii="宋体" w:hAnsi="宋体" w:eastAsia="宋体" w:cs="宋体"/>
          <w:bCs/>
          <w:color w:val="000000" w:themeColor="text1"/>
          <w:sz w:val="24"/>
          <w:highlight w:val="none"/>
          <w:lang w:val="en-US" w:eastAsia="zh-Hans"/>
          <w14:textFill>
            <w14:solidFill>
              <w14:schemeClr w14:val="tx1"/>
            </w14:solidFill>
          </w14:textFill>
        </w:rPr>
        <w:t>告知投标人</w:t>
      </w:r>
      <w:r>
        <w:rPr>
          <w:rFonts w:hint="eastAsia" w:ascii="宋体" w:hAnsi="宋体" w:eastAsia="宋体" w:cs="宋体"/>
          <w:bCs/>
          <w:color w:val="000000" w:themeColor="text1"/>
          <w:sz w:val="24"/>
          <w:highlight w:val="none"/>
          <w14:textFill>
            <w14:solidFill>
              <w14:schemeClr w14:val="tx1"/>
            </w14:solidFill>
          </w14:textFill>
        </w:rPr>
        <w:t>，调整后的价格应对投标人具有约束力。如果投标人不接受修正后的价格，则其投标将被拒绝，其投标保证金不予退还。</w:t>
      </w:r>
    </w:p>
    <w:p w14:paraId="37CF0B70">
      <w:pPr>
        <w:spacing w:line="46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27.6</w:t>
      </w:r>
      <w:r>
        <w:rPr>
          <w:rFonts w:hint="eastAsia" w:ascii="宋体" w:hAnsi="宋体" w:eastAsia="宋体" w:cs="宋体"/>
          <w:bCs/>
          <w:color w:val="000000" w:themeColor="text1"/>
          <w:sz w:val="24"/>
          <w:highlight w:val="none"/>
          <w14:textFill>
            <w14:solidFill>
              <w14:schemeClr w14:val="tx1"/>
            </w14:solidFill>
          </w14:textFill>
        </w:rPr>
        <w:t>评委会将允许修正投标文件中不构成重大偏离的、微小的、非正规的、不一致的或不规则的地方，但这些修改不能影响任何投标人相应的名次排列。</w:t>
      </w:r>
    </w:p>
    <w:p w14:paraId="096866AE">
      <w:pPr>
        <w:spacing w:line="4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158" w:name="_Toc513029234"/>
      <w:bookmarkStart w:id="159" w:name="_Toc16938550"/>
      <w:bookmarkStart w:id="160" w:name="_Toc20823306"/>
      <w:r>
        <w:rPr>
          <w:rFonts w:hint="eastAsia" w:ascii="宋体" w:hAnsi="宋体" w:eastAsia="宋体" w:cs="宋体"/>
          <w:color w:val="000000" w:themeColor="text1"/>
          <w:sz w:val="24"/>
          <w:highlight w:val="none"/>
          <w14:textFill>
            <w14:solidFill>
              <w14:schemeClr w14:val="tx1"/>
            </w14:solidFill>
          </w14:textFill>
        </w:rPr>
        <w:t>27.7采用最低评标价法的采购项目，提供相同品牌产品的不同投标人参加同一合同项下投标的，以其中通过资格审查、符合性审查且报价最低的参加评审；报价相同的，由评标委员会按照招标文件规定的方式（招标文件未规定的通过随机抽取的方式）确定一个参加评标的投标人，其他投标无效。</w:t>
      </w:r>
    </w:p>
    <w:p w14:paraId="609C736E">
      <w:pPr>
        <w:spacing w:line="4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14:paraId="6FAE78BF">
      <w:pPr>
        <w:spacing w:line="460" w:lineRule="exact"/>
        <w:ind w:firstLine="482"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非单一产品采购项目</w:t>
      </w:r>
      <w:r>
        <w:rPr>
          <w:rFonts w:hint="eastAsia" w:ascii="宋体" w:hAnsi="宋体" w:eastAsia="宋体" w:cs="宋体"/>
          <w:color w:val="000000" w:themeColor="text1"/>
          <w:sz w:val="24"/>
          <w:highlight w:val="none"/>
          <w14:textFill>
            <w14:solidFill>
              <w14:schemeClr w14:val="tx1"/>
            </w14:solidFill>
          </w14:textFill>
        </w:rPr>
        <w:t>，招标文件中将载明其中的</w:t>
      </w:r>
      <w:r>
        <w:rPr>
          <w:rFonts w:hint="eastAsia" w:ascii="宋体" w:hAnsi="宋体" w:eastAsia="宋体" w:cs="宋体"/>
          <w:b/>
          <w:color w:val="000000" w:themeColor="text1"/>
          <w:sz w:val="24"/>
          <w:highlight w:val="none"/>
          <w14:textFill>
            <w14:solidFill>
              <w14:schemeClr w14:val="tx1"/>
            </w14:solidFill>
          </w14:textFill>
        </w:rPr>
        <w:t>核心产品</w:t>
      </w:r>
      <w:r>
        <w:rPr>
          <w:rFonts w:hint="eastAsia" w:ascii="宋体" w:hAnsi="宋体" w:eastAsia="宋体" w:cs="宋体"/>
          <w:color w:val="000000" w:themeColor="text1"/>
          <w:sz w:val="24"/>
          <w:highlight w:val="none"/>
          <w14:textFill>
            <w14:solidFill>
              <w14:schemeClr w14:val="tx1"/>
            </w14:solidFill>
          </w14:textFill>
        </w:rPr>
        <w:t>。多家投标人提供的核心产品品牌相同的，按前两款规定处理。</w:t>
      </w:r>
    </w:p>
    <w:p w14:paraId="5BA71FF9">
      <w:pPr>
        <w:pStyle w:val="7"/>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bCs/>
          <w:color w:val="000000" w:themeColor="text1"/>
          <w:highlight w:val="none"/>
          <w:lang w:eastAsia="zh-CN"/>
          <w14:textFill>
            <w14:solidFill>
              <w14:schemeClr w14:val="tx1"/>
            </w14:solidFill>
          </w14:textFill>
        </w:rPr>
        <w:t>28.</w:t>
      </w:r>
      <w:bookmarkEnd w:id="158"/>
      <w:bookmarkEnd w:id="159"/>
      <w:bookmarkEnd w:id="160"/>
      <w:r>
        <w:rPr>
          <w:rFonts w:hint="eastAsia" w:ascii="宋体" w:hAnsi="宋体" w:eastAsia="宋体" w:cs="宋体"/>
          <w:b w:val="0"/>
          <w:bCs/>
          <w:color w:val="000000" w:themeColor="text1"/>
          <w:highlight w:val="none"/>
          <w14:textFill>
            <w14:solidFill>
              <w14:schemeClr w14:val="tx1"/>
            </w14:solidFill>
          </w14:textFill>
        </w:rPr>
        <w:t>无效投标条款和废标条款</w:t>
      </w:r>
    </w:p>
    <w:p w14:paraId="3F5B3F2C">
      <w:pPr>
        <w:spacing w:line="440" w:lineRule="exact"/>
        <w:ind w:left="479" w:leftChars="228"/>
        <w:rPr>
          <w:rFonts w:hint="eastAsia" w:ascii="宋体" w:hAnsi="宋体" w:eastAsia="宋体" w:cs="宋体"/>
          <w:bCs/>
          <w:color w:val="000000" w:themeColor="text1"/>
          <w:sz w:val="24"/>
          <w:highlight w:val="none"/>
          <w14:textFill>
            <w14:solidFill>
              <w14:schemeClr w14:val="tx1"/>
            </w14:solidFill>
          </w14:textFill>
        </w:rPr>
      </w:pPr>
      <w:bookmarkStart w:id="161" w:name="_Toc16938551"/>
      <w:bookmarkStart w:id="162" w:name="_Toc20823307"/>
      <w:bookmarkStart w:id="163" w:name="_Toc513029235"/>
      <w:r>
        <w:rPr>
          <w:rFonts w:hint="eastAsia" w:ascii="宋体" w:hAnsi="宋体" w:eastAsia="宋体" w:cs="宋体"/>
          <w:bCs/>
          <w:color w:val="000000" w:themeColor="text1"/>
          <w:sz w:val="24"/>
          <w:highlight w:val="none"/>
          <w14:textFill>
            <w14:solidFill>
              <w14:schemeClr w14:val="tx1"/>
            </w14:solidFill>
          </w14:textFill>
        </w:rPr>
        <w:t>28.1无效投标条款</w:t>
      </w:r>
    </w:p>
    <w:p w14:paraId="7B959BBD">
      <w:pPr>
        <w:spacing w:line="44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28.1.1未按要求交纳投标保证金的。</w:t>
      </w:r>
    </w:p>
    <w:p w14:paraId="17A8651D">
      <w:pPr>
        <w:spacing w:line="440" w:lineRule="exact"/>
        <w:ind w:firstLine="360" w:firstLineChars="15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 xml:space="preserve"> 28.1.2投标人未成功解密电子投标文件的。</w:t>
      </w:r>
    </w:p>
    <w:p w14:paraId="181CBC7C">
      <w:pPr>
        <w:spacing w:line="440" w:lineRule="exact"/>
        <w:ind w:left="479" w:leftChars="228"/>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28.1.3投标人未按照招标文件要求上传电子投标文件的。</w:t>
      </w:r>
    </w:p>
    <w:p w14:paraId="7BE2F09F">
      <w:pPr>
        <w:spacing w:line="440" w:lineRule="exact"/>
        <w:ind w:left="479" w:leftChars="228"/>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28.1.4投标人在报价时采用选择性报价的。</w:t>
      </w:r>
    </w:p>
    <w:p w14:paraId="633709CD">
      <w:pPr>
        <w:spacing w:line="44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28.1.5投标人不具备招标文件中规定资格要求的。</w:t>
      </w:r>
    </w:p>
    <w:p w14:paraId="2953A7DA">
      <w:pPr>
        <w:spacing w:line="440" w:lineRule="exact"/>
        <w:ind w:firstLine="480" w:firstLineChars="200"/>
        <w:rPr>
          <w:rFonts w:hint="eastAsia" w:ascii="宋体" w:hAnsi="宋体" w:eastAsia="宋体" w:cs="宋体"/>
          <w:bCs/>
          <w:i/>
          <w:color w:val="000000" w:themeColor="text1"/>
          <w:sz w:val="24"/>
          <w:highlight w:val="none"/>
          <w:u w:val="singl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28.1.6投标人的报价超过了采购预算或最高限价的。</w:t>
      </w:r>
    </w:p>
    <w:p w14:paraId="4278DE9F">
      <w:pPr>
        <w:spacing w:line="440" w:lineRule="exact"/>
        <w:ind w:firstLine="360" w:firstLineChars="150"/>
        <w:rPr>
          <w:rFonts w:hint="eastAsia" w:ascii="宋体" w:hAnsi="宋体" w:eastAsia="宋体" w:cs="宋体"/>
          <w:bCs/>
          <w:i/>
          <w:color w:val="000000" w:themeColor="text1"/>
          <w:sz w:val="24"/>
          <w:highlight w:val="none"/>
          <w:u w:val="singl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 xml:space="preserve"> 28.1.7未通过符合性检查的。</w:t>
      </w:r>
    </w:p>
    <w:p w14:paraId="75AF259A">
      <w:pPr>
        <w:spacing w:line="440" w:lineRule="exact"/>
        <w:ind w:firstLine="480" w:firstLineChars="200"/>
        <w:rPr>
          <w:rFonts w:hint="eastAsia" w:ascii="宋体" w:hAnsi="宋体" w:eastAsia="宋体" w:cs="宋体"/>
          <w:bCs/>
          <w:i/>
          <w:color w:val="000000" w:themeColor="text1"/>
          <w:sz w:val="24"/>
          <w:highlight w:val="none"/>
          <w:u w:val="singl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28.1.8不符合招标文件中规定的其他实质性要求和条件的（</w:t>
      </w:r>
      <w:r>
        <w:rPr>
          <w:rFonts w:hint="eastAsia" w:ascii="宋体" w:hAnsi="宋体" w:eastAsia="宋体" w:cs="宋体"/>
          <w:bCs/>
          <w:i/>
          <w:color w:val="000000" w:themeColor="text1"/>
          <w:sz w:val="24"/>
          <w:highlight w:val="none"/>
          <w:u w:val="single"/>
          <w14:textFill>
            <w14:solidFill>
              <w14:schemeClr w14:val="tx1"/>
            </w14:solidFill>
          </w14:textFill>
        </w:rPr>
        <w:t>本招标文件中斜体且有下划线部分为实质性要求和条件）。</w:t>
      </w:r>
    </w:p>
    <w:p w14:paraId="4B0857DE">
      <w:pPr>
        <w:spacing w:line="44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28.1.9投标人被 “信用中国”网站（www.creditchina.gov.cn）</w:t>
      </w:r>
      <w:r>
        <w:rPr>
          <w:rFonts w:hint="eastAsia" w:ascii="宋体" w:hAnsi="宋体" w:eastAsia="宋体" w:cs="宋体"/>
          <w:bCs/>
          <w:color w:val="000000" w:themeColor="text1"/>
          <w:sz w:val="24"/>
          <w:highlight w:val="none"/>
          <w:lang w:eastAsia="zh-CN"/>
          <w14:textFill>
            <w14:solidFill>
              <w14:schemeClr w14:val="tx1"/>
            </w14:solidFill>
          </w14:textFill>
        </w:rPr>
        <w:t>、“中国政府采购网”（www.ccgp.gov.cn）</w:t>
      </w:r>
      <w:r>
        <w:rPr>
          <w:rFonts w:hint="eastAsia" w:ascii="宋体" w:hAnsi="宋体" w:eastAsia="宋体" w:cs="宋体"/>
          <w:bCs/>
          <w:color w:val="000000" w:themeColor="text1"/>
          <w:sz w:val="24"/>
          <w:highlight w:val="none"/>
          <w14:textFill>
            <w14:solidFill>
              <w14:schemeClr w14:val="tx1"/>
            </w14:solidFill>
          </w14:textFill>
        </w:rPr>
        <w:t>列入失信被执行人或重大税收违法案件当事人名单或政府采购严重失信行为记录名单。</w:t>
      </w:r>
    </w:p>
    <w:p w14:paraId="7B221BE9">
      <w:pPr>
        <w:spacing w:line="44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28.1.10  投标文件含有采购人不能接受的附加条件的。</w:t>
      </w:r>
    </w:p>
    <w:p w14:paraId="25E85171">
      <w:pPr>
        <w:spacing w:line="440" w:lineRule="exact"/>
        <w:ind w:firstLine="480" w:firstLineChars="200"/>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28.1.11 政府采购评审中出现下列情形之一的，评审委员会应当启动异常低价投标（响应）审查程序：</w:t>
      </w:r>
    </w:p>
    <w:p w14:paraId="09B122C9">
      <w:pPr>
        <w:spacing w:line="440" w:lineRule="exact"/>
        <w:ind w:firstLine="480" w:firstLineChars="200"/>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550AD2E3">
      <w:pPr>
        <w:spacing w:line="440" w:lineRule="exact"/>
        <w:ind w:firstLine="480" w:firstLineChars="200"/>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350F0303">
      <w:pPr>
        <w:spacing w:line="440" w:lineRule="exact"/>
        <w:ind w:firstLine="480" w:firstLineChars="200"/>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（3）投标（响应）报价低于采购项目最高限价45%的，即投标（响应）报价&lt;采购项目最高限价×45%；</w:t>
      </w:r>
    </w:p>
    <w:p w14:paraId="7A383B5C">
      <w:pPr>
        <w:spacing w:line="440" w:lineRule="exact"/>
        <w:ind w:firstLine="480" w:firstLineChars="200"/>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（4）评审委员会基于专业判断，认为供应商报价过低，有可能影响产品质量或者不能诚信履约的其他情形。</w:t>
      </w:r>
    </w:p>
    <w:p w14:paraId="35296D9A">
      <w:pPr>
        <w:spacing w:line="440" w:lineRule="exact"/>
        <w:ind w:firstLine="480" w:firstLineChars="200"/>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采购人可以结合具体项目实际情况，提高上述第（1）项至第（3）项中启动异常低价投标（响应）审查的数值标准，但最高不得超过65%。</w:t>
      </w:r>
    </w:p>
    <w:p w14:paraId="294A252E">
      <w:pPr>
        <w:spacing w:line="440" w:lineRule="exact"/>
        <w:ind w:firstLine="480" w:firstLineChars="200"/>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相关法律法规对供应商报价有规定的，从其规定。</w:t>
      </w:r>
    </w:p>
    <w:p w14:paraId="5A7A0E8D">
      <w:pPr>
        <w:spacing w:line="440" w:lineRule="exact"/>
        <w:ind w:firstLine="480" w:firstLineChars="200"/>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评审委员会启动异常低价投标（响应）审查后，属于前述第（1）项至第（4）项情形的，应当要求相关供应商在评审现场合理的时间内对投标（响应）价格作出解释，并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7C22695">
      <w:pPr>
        <w:spacing w:line="440" w:lineRule="exact"/>
        <w:ind w:firstLine="480" w:firstLineChars="200"/>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1A748F6">
      <w:pPr>
        <w:spacing w:line="44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28.1.12 本项目采购</w:t>
      </w:r>
      <w:r>
        <w:rPr>
          <w:rFonts w:hint="eastAsia" w:ascii="宋体" w:hAnsi="宋体" w:eastAsia="宋体" w:cs="宋体"/>
          <w:bCs/>
          <w:color w:val="000000" w:themeColor="text1"/>
          <w:sz w:val="24"/>
          <w:highlight w:val="none"/>
          <w14:textFill>
            <w14:solidFill>
              <w14:schemeClr w14:val="tx1"/>
            </w14:solidFill>
          </w14:textFill>
        </w:rPr>
        <w:t>产品被财政部、国家发改委、生态环境部等列入“节能产品品目清单</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环境标志产品品目清单”强制采购范围，而投标人所投标产品不在强制采购范围内的。</w:t>
      </w:r>
    </w:p>
    <w:p w14:paraId="2585F259">
      <w:pPr>
        <w:spacing w:line="44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28.1.13 投标文件未按照招标文件要求加盖电子签章。</w:t>
      </w:r>
    </w:p>
    <w:p w14:paraId="428AFFEA">
      <w:pPr>
        <w:spacing w:line="44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28.1.14其他</w:t>
      </w:r>
      <w:r>
        <w:rPr>
          <w:rFonts w:hint="eastAsia" w:ascii="宋体" w:hAnsi="宋体" w:eastAsia="宋体" w:cs="宋体"/>
          <w:bCs/>
          <w:color w:val="000000" w:themeColor="text1"/>
          <w:sz w:val="24"/>
          <w:highlight w:val="none"/>
          <w:lang w:eastAsia="zh-CN"/>
          <w14:textFill>
            <w14:solidFill>
              <w14:schemeClr w14:val="tx1"/>
            </w14:solidFill>
          </w14:textFill>
        </w:rPr>
        <w:t>法律法规</w:t>
      </w:r>
      <w:r>
        <w:rPr>
          <w:rFonts w:hint="eastAsia" w:ascii="宋体" w:hAnsi="宋体" w:eastAsia="宋体" w:cs="宋体"/>
          <w:bCs/>
          <w:color w:val="000000" w:themeColor="text1"/>
          <w:sz w:val="24"/>
          <w:highlight w:val="none"/>
          <w14:textFill>
            <w14:solidFill>
              <w14:schemeClr w14:val="tx1"/>
            </w14:solidFill>
          </w14:textFill>
        </w:rPr>
        <w:t>及本招标文件规定的</w:t>
      </w:r>
      <w:r>
        <w:rPr>
          <w:rFonts w:hint="eastAsia" w:ascii="宋体" w:hAnsi="宋体" w:eastAsia="宋体" w:cs="宋体"/>
          <w:bCs/>
          <w:color w:val="000000" w:themeColor="text1"/>
          <w:sz w:val="24"/>
          <w:highlight w:val="none"/>
          <w:lang w:eastAsia="zh-CN"/>
          <w14:textFill>
            <w14:solidFill>
              <w14:schemeClr w14:val="tx1"/>
            </w14:solidFill>
          </w14:textFill>
        </w:rPr>
        <w:t>属于</w:t>
      </w:r>
      <w:r>
        <w:rPr>
          <w:rFonts w:hint="eastAsia" w:ascii="宋体" w:hAnsi="宋体" w:eastAsia="宋体" w:cs="宋体"/>
          <w:bCs/>
          <w:color w:val="000000" w:themeColor="text1"/>
          <w:sz w:val="24"/>
          <w:highlight w:val="none"/>
          <w14:textFill>
            <w14:solidFill>
              <w14:schemeClr w14:val="tx1"/>
            </w14:solidFill>
          </w14:textFill>
        </w:rPr>
        <w:t>无效投标的情形。</w:t>
      </w:r>
    </w:p>
    <w:p w14:paraId="4434261C">
      <w:pPr>
        <w:spacing w:line="44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p>
    <w:p w14:paraId="566C743F">
      <w:pPr>
        <w:spacing w:line="440" w:lineRule="exact"/>
        <w:ind w:left="479" w:leftChars="228"/>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28.2废标条款：</w:t>
      </w:r>
    </w:p>
    <w:p w14:paraId="4BF94944">
      <w:pPr>
        <w:spacing w:line="440" w:lineRule="exact"/>
        <w:ind w:left="479" w:leftChars="228"/>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28.2.1符合专业条件的供应商或者对招标文件作实质响应的供应商不足三家的。28.2.2出现影响采购公正的违法、违规行为的。</w:t>
      </w:r>
    </w:p>
    <w:p w14:paraId="6B6E22E0">
      <w:pPr>
        <w:spacing w:line="440" w:lineRule="exact"/>
        <w:ind w:left="479" w:leftChars="228"/>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28.2.3因重大变故，采购任务取消的。</w:t>
      </w:r>
    </w:p>
    <w:p w14:paraId="2CB6A3C9">
      <w:pPr>
        <w:spacing w:line="440" w:lineRule="exact"/>
        <w:ind w:left="479" w:leftChars="228"/>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28.2.4评标委员会认定招标文件存在歧义、重大缺陷导致评审工作无法进行。</w:t>
      </w:r>
    </w:p>
    <w:p w14:paraId="2E8A9ABF">
      <w:pPr>
        <w:spacing w:line="440" w:lineRule="exact"/>
        <w:ind w:left="479" w:leftChars="228"/>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28.2.5 因</w:t>
      </w:r>
      <w:r>
        <w:rPr>
          <w:rFonts w:hint="eastAsia" w:ascii="宋体" w:hAnsi="宋体" w:eastAsia="宋体" w:cs="宋体"/>
          <w:color w:val="000000" w:themeColor="text1"/>
          <w:sz w:val="24"/>
          <w:szCs w:val="24"/>
          <w:highlight w:val="none"/>
          <w14:textFill>
            <w14:solidFill>
              <w14:schemeClr w14:val="tx1"/>
            </w14:solidFill>
          </w14:textFill>
        </w:rPr>
        <w:t>“新疆公共资源交易平台不见面开标大厅”系统</w:t>
      </w:r>
      <w:r>
        <w:rPr>
          <w:rFonts w:hint="eastAsia" w:ascii="宋体" w:hAnsi="宋体" w:eastAsia="宋体" w:cs="宋体"/>
          <w:bCs/>
          <w:color w:val="000000" w:themeColor="text1"/>
          <w:sz w:val="24"/>
          <w:highlight w:val="none"/>
          <w14:textFill>
            <w14:solidFill>
              <w14:schemeClr w14:val="tx1"/>
            </w14:solidFill>
          </w14:textFill>
        </w:rPr>
        <w:t>故障原因造成开标不成功的。</w:t>
      </w:r>
    </w:p>
    <w:p w14:paraId="1F227A1A">
      <w:pPr>
        <w:spacing w:line="440" w:lineRule="exact"/>
        <w:ind w:left="479" w:leftChars="228"/>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28.3 投标截止时间后参加投标的供应商不足三家的处理：</w:t>
      </w:r>
    </w:p>
    <w:p w14:paraId="056133C3">
      <w:pPr>
        <w:spacing w:line="44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28.3.1如出现投标截止时间结束后参加投标的供应商或者在评标期间对招标文件做出实质响应的供应商不足三家情况，按政府采购相关规定执行。</w:t>
      </w:r>
    </w:p>
    <w:p w14:paraId="286A5466">
      <w:pPr>
        <w:pStyle w:val="6"/>
        <w:spacing w:before="145" w:beforeLines="50" w:after="145" w:afterLines="50" w:line="360" w:lineRule="auto"/>
        <w:ind w:firstLine="482" w:firstLineChars="150"/>
        <w:rPr>
          <w:rFonts w:hint="eastAsia" w:ascii="宋体" w:hAnsi="宋体" w:eastAsia="宋体" w:cs="宋体"/>
          <w:color w:val="000000" w:themeColor="text1"/>
          <w:highlight w:val="none"/>
          <w14:textFill>
            <w14:solidFill>
              <w14:schemeClr w14:val="tx1"/>
            </w14:solidFill>
          </w14:textFill>
        </w:rPr>
      </w:pPr>
      <w:bookmarkStart w:id="164" w:name="_Toc534816632"/>
      <w:bookmarkStart w:id="165" w:name="_Toc120614219"/>
      <w:bookmarkStart w:id="166" w:name="_Toc534725603"/>
      <w:r>
        <w:rPr>
          <w:rFonts w:hint="eastAsia" w:ascii="宋体" w:hAnsi="宋体" w:eastAsia="宋体" w:cs="宋体"/>
          <w:color w:val="000000" w:themeColor="text1"/>
          <w:highlight w:val="none"/>
          <w14:textFill>
            <w14:solidFill>
              <w14:schemeClr w14:val="tx1"/>
            </w14:solidFill>
          </w14:textFill>
        </w:rPr>
        <w:t>六、</w:t>
      </w:r>
      <w:bookmarkEnd w:id="161"/>
      <w:bookmarkEnd w:id="162"/>
      <w:bookmarkEnd w:id="163"/>
      <w:r>
        <w:rPr>
          <w:rFonts w:hint="eastAsia" w:ascii="宋体" w:hAnsi="宋体" w:eastAsia="宋体" w:cs="宋体"/>
          <w:color w:val="000000" w:themeColor="text1"/>
          <w:highlight w:val="none"/>
          <w14:textFill>
            <w14:solidFill>
              <w14:schemeClr w14:val="tx1"/>
            </w14:solidFill>
          </w14:textFill>
        </w:rPr>
        <w:t>定标</w:t>
      </w:r>
      <w:bookmarkEnd w:id="164"/>
      <w:bookmarkEnd w:id="165"/>
      <w:bookmarkEnd w:id="166"/>
    </w:p>
    <w:p w14:paraId="2B02EC59">
      <w:pPr>
        <w:pStyle w:val="7"/>
        <w:ind w:left="0" w:leftChars="0" w:firstLine="416" w:firstLineChars="139"/>
        <w:rPr>
          <w:rFonts w:hint="eastAsia" w:ascii="宋体" w:hAnsi="宋体" w:eastAsia="宋体" w:cs="宋体"/>
          <w:b w:val="0"/>
          <w:color w:val="000000" w:themeColor="text1"/>
          <w:sz w:val="30"/>
          <w:szCs w:val="30"/>
          <w:highlight w:val="none"/>
          <w14:textFill>
            <w14:solidFill>
              <w14:schemeClr w14:val="tx1"/>
            </w14:solidFill>
          </w14:textFill>
        </w:rPr>
      </w:pPr>
      <w:bookmarkStart w:id="167" w:name="_Toc513029238"/>
      <w:bookmarkStart w:id="168" w:name="_Toc20823310"/>
      <w:bookmarkStart w:id="169" w:name="_Toc16938554"/>
      <w:r>
        <w:rPr>
          <w:rFonts w:hint="eastAsia" w:ascii="宋体" w:hAnsi="宋体" w:eastAsia="宋体" w:cs="宋体"/>
          <w:b w:val="0"/>
          <w:color w:val="000000" w:themeColor="text1"/>
          <w:sz w:val="30"/>
          <w:szCs w:val="30"/>
          <w:highlight w:val="none"/>
          <w:lang w:eastAsia="zh-CN"/>
          <w14:textFill>
            <w14:solidFill>
              <w14:schemeClr w14:val="tx1"/>
            </w14:solidFill>
          </w14:textFill>
        </w:rPr>
        <w:t>29.</w:t>
      </w:r>
      <w:bookmarkEnd w:id="167"/>
      <w:r>
        <w:rPr>
          <w:rFonts w:hint="eastAsia" w:ascii="宋体" w:hAnsi="宋体" w:eastAsia="宋体" w:cs="宋体"/>
          <w:b w:val="0"/>
          <w:color w:val="000000" w:themeColor="text1"/>
          <w:sz w:val="30"/>
          <w:szCs w:val="30"/>
          <w:highlight w:val="none"/>
          <w14:textFill>
            <w14:solidFill>
              <w14:schemeClr w14:val="tx1"/>
            </w14:solidFill>
          </w14:textFill>
        </w:rPr>
        <w:t>确定</w:t>
      </w:r>
      <w:bookmarkEnd w:id="168"/>
      <w:bookmarkEnd w:id="169"/>
      <w:r>
        <w:rPr>
          <w:rFonts w:hint="eastAsia" w:ascii="宋体" w:hAnsi="宋体" w:eastAsia="宋体" w:cs="宋体"/>
          <w:b w:val="0"/>
          <w:color w:val="000000" w:themeColor="text1"/>
          <w:sz w:val="30"/>
          <w:szCs w:val="30"/>
          <w:highlight w:val="none"/>
          <w14:textFill>
            <w14:solidFill>
              <w14:schemeClr w14:val="tx1"/>
            </w14:solidFill>
          </w14:textFill>
        </w:rPr>
        <w:t>中标单位</w:t>
      </w:r>
    </w:p>
    <w:p w14:paraId="6F0FD4D6">
      <w:pPr>
        <w:spacing w:line="44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29.1中标候选人的选取原则和数量见招标文件第五章规定。</w:t>
      </w:r>
    </w:p>
    <w:p w14:paraId="73EAE89A">
      <w:pPr>
        <w:spacing w:line="48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29.2 采购人应根据评委会推荐的中标候选人确定中标人。</w:t>
      </w:r>
    </w:p>
    <w:p w14:paraId="02D6A024">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29.3 </w:t>
      </w:r>
      <w:r>
        <w:rPr>
          <w:rFonts w:hint="eastAsia" w:ascii="宋体" w:hAnsi="宋体" w:eastAsia="宋体" w:cs="宋体"/>
          <w:color w:val="000000" w:themeColor="text1"/>
          <w:sz w:val="24"/>
          <w:szCs w:val="24"/>
          <w:highlight w:val="none"/>
          <w14:textFill>
            <w14:solidFill>
              <w14:schemeClr w14:val="tx1"/>
            </w14:solidFill>
          </w14:textFill>
        </w:rPr>
        <w:t>交易中心将在“新疆公共资源交易网”和“新疆政府采购网”发布中标公告，公告期限为1个工作日。</w:t>
      </w:r>
    </w:p>
    <w:p w14:paraId="5AB64AE4">
      <w:pPr>
        <w:snapToGrid w:val="0"/>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29.4  若有充分证据证明，中标人出现下列情况之一的，一经查实，将被取消中标资格：</w:t>
      </w:r>
    </w:p>
    <w:p w14:paraId="0A562DFE">
      <w:pPr>
        <w:snapToGrid w:val="0"/>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29.4.1提供虚假材料谋取中标的。</w:t>
      </w:r>
    </w:p>
    <w:p w14:paraId="1C5D6098">
      <w:pPr>
        <w:snapToGrid w:val="0"/>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29.4.2向采购人、交易中心行贿或者提供其他不正当利益的。</w:t>
      </w:r>
    </w:p>
    <w:p w14:paraId="53C55D91">
      <w:pPr>
        <w:snapToGrid w:val="0"/>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29.4.3恶意竞争，投标总报价明显低于其自身合理成本且又无法提供证明的。</w:t>
      </w:r>
    </w:p>
    <w:p w14:paraId="270CF376">
      <w:pPr>
        <w:snapToGrid w:val="0"/>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29.4.4属于本文件规定的无效条件，但在评标过程中又未被评委会发现的。</w:t>
      </w:r>
    </w:p>
    <w:p w14:paraId="5A48A575">
      <w:pPr>
        <w:snapToGrid w:val="0"/>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29.4.5与采购人或者其他供应商恶意串通的。</w:t>
      </w:r>
    </w:p>
    <w:p w14:paraId="31E22562">
      <w:pPr>
        <w:snapToGrid w:val="0"/>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29.4.6采取不正当手段诋毁、排挤其他供应商的。</w:t>
      </w:r>
    </w:p>
    <w:p w14:paraId="6D37E2D6">
      <w:pPr>
        <w:snapToGrid w:val="0"/>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170" w:name="_Toc200451960"/>
      <w:r>
        <w:rPr>
          <w:rFonts w:hint="eastAsia" w:ascii="宋体" w:hAnsi="宋体" w:eastAsia="宋体" w:cs="宋体"/>
          <w:color w:val="000000" w:themeColor="text1"/>
          <w:sz w:val="24"/>
          <w:szCs w:val="24"/>
          <w:highlight w:val="none"/>
          <w14:textFill>
            <w14:solidFill>
              <w14:schemeClr w14:val="tx1"/>
            </w14:solidFill>
          </w14:textFill>
        </w:rPr>
        <w:t>29.5</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有下列情形之一的，视为投标人串通投标，投标无效：</w:t>
      </w:r>
    </w:p>
    <w:p w14:paraId="2E638EE3">
      <w:pPr>
        <w:snapToGrid w:val="0"/>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29.5.1不同投标人的投标文件由同一单位或者个人编制；</w:t>
      </w:r>
    </w:p>
    <w:p w14:paraId="05B7B739">
      <w:pPr>
        <w:snapToGrid w:val="0"/>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29.5.2不同投标人委托同一单位或者个人办理投标事宜；</w:t>
      </w:r>
    </w:p>
    <w:p w14:paraId="66A1C4AE">
      <w:pPr>
        <w:snapToGrid w:val="0"/>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29.5.3 不同投标人的投标文件载明的项目管理成员或者联系人员为同一人；</w:t>
      </w:r>
    </w:p>
    <w:p w14:paraId="0A7987F8">
      <w:pPr>
        <w:snapToGrid w:val="0"/>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29.5.4不同投标人的投标文件异常一致或者投标报价呈规律性差异；</w:t>
      </w:r>
    </w:p>
    <w:p w14:paraId="57936CC0">
      <w:pPr>
        <w:snapToGrid w:val="0"/>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29.5.5不同投标人的投标文件相互混装；</w:t>
      </w:r>
    </w:p>
    <w:p w14:paraId="27AA9837">
      <w:pPr>
        <w:snapToGrid w:val="0"/>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29.5.6不同投标人的投标保证金从同一单位或者个人的账户转出。</w:t>
      </w:r>
    </w:p>
    <w:bookmarkEnd w:id="170"/>
    <w:p w14:paraId="65FB7E82">
      <w:pPr>
        <w:spacing w:line="440" w:lineRule="exact"/>
        <w:ind w:firstLine="600" w:firstLineChars="200"/>
        <w:rPr>
          <w:rFonts w:hint="eastAsia" w:ascii="黑体" w:hAnsi="宋体" w:eastAsia="宋体" w:cs="Times New Roman"/>
          <w:b w:val="0"/>
          <w:bCs/>
          <w:color w:val="000000" w:themeColor="text1"/>
          <w:kern w:val="2"/>
          <w:sz w:val="30"/>
          <w:szCs w:val="30"/>
          <w:highlight w:val="none"/>
          <w:lang w:val="en-US" w:eastAsia="zh-CN" w:bidi="ar-SA"/>
          <w14:textFill>
            <w14:solidFill>
              <w14:schemeClr w14:val="tx1"/>
            </w14:solidFill>
          </w14:textFill>
        </w:rPr>
      </w:pPr>
      <w:bookmarkStart w:id="171" w:name="_Toc534816633"/>
      <w:bookmarkStart w:id="172" w:name="_Toc120614220"/>
      <w:bookmarkStart w:id="173" w:name="_Toc534725604"/>
      <w:bookmarkStart w:id="174" w:name="_Toc513029236"/>
      <w:bookmarkStart w:id="175" w:name="_Toc20823308"/>
      <w:bookmarkStart w:id="176" w:name="_Toc16938552"/>
      <w:r>
        <w:rPr>
          <w:rFonts w:hint="eastAsia" w:ascii="黑体" w:hAnsi="宋体" w:eastAsia="宋体" w:cs="Times New Roman"/>
          <w:b w:val="0"/>
          <w:bCs/>
          <w:color w:val="000000" w:themeColor="text1"/>
          <w:kern w:val="2"/>
          <w:sz w:val="30"/>
          <w:szCs w:val="30"/>
          <w:highlight w:val="none"/>
          <w:lang w:val="en-US" w:eastAsia="zh-CN" w:bidi="ar-SA"/>
          <w14:textFill>
            <w14:solidFill>
              <w14:schemeClr w14:val="tx1"/>
            </w14:solidFill>
          </w14:textFill>
        </w:rPr>
        <w:t xml:space="preserve">30 询问、质疑、投诉 </w:t>
      </w:r>
    </w:p>
    <w:p w14:paraId="4688E373">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30</w:t>
      </w:r>
      <w:r>
        <w:rPr>
          <w:rFonts w:hint="eastAsia"/>
          <w:color w:val="000000" w:themeColor="text1"/>
          <w:sz w:val="24"/>
          <w:szCs w:val="24"/>
          <w:highlight w:val="none"/>
          <w:lang w:val="en-US"/>
          <w14:textFill>
            <w14:solidFill>
              <w14:schemeClr w14:val="tx1"/>
            </w14:solidFill>
          </w14:textFill>
        </w:rPr>
        <w:t xml:space="preserve">.1 </w:t>
      </w:r>
      <w:r>
        <w:rPr>
          <w:rFonts w:hint="eastAsia"/>
          <w:color w:val="000000" w:themeColor="text1"/>
          <w:sz w:val="24"/>
          <w:szCs w:val="24"/>
          <w:highlight w:val="none"/>
          <w14:textFill>
            <w14:solidFill>
              <w14:schemeClr w14:val="tx1"/>
            </w14:solidFill>
          </w14:textFill>
        </w:rPr>
        <w:t xml:space="preserve">询问 </w:t>
      </w:r>
    </w:p>
    <w:p w14:paraId="2B02031B">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30</w:t>
      </w:r>
      <w:r>
        <w:rPr>
          <w:rFonts w:hint="eastAsia"/>
          <w:color w:val="000000" w:themeColor="text1"/>
          <w:sz w:val="24"/>
          <w:szCs w:val="24"/>
          <w:highlight w:val="none"/>
          <w:lang w:val="en-US"/>
          <w14:textFill>
            <w14:solidFill>
              <w14:schemeClr w14:val="tx1"/>
            </w14:solidFill>
          </w14:textFill>
        </w:rPr>
        <w:t xml:space="preserve">.1.1 </w:t>
      </w:r>
      <w:r>
        <w:rPr>
          <w:rFonts w:hint="eastAsia"/>
          <w:color w:val="000000" w:themeColor="text1"/>
          <w:sz w:val="24"/>
          <w:szCs w:val="24"/>
          <w:highlight w:val="none"/>
          <w14:textFill>
            <w14:solidFill>
              <w14:schemeClr w14:val="tx1"/>
            </w14:solidFill>
          </w14:textFill>
        </w:rPr>
        <w:t>供应商对政府采购活动事项（</w:t>
      </w:r>
      <w:r>
        <w:rPr>
          <w:rFonts w:hint="eastAsia"/>
          <w:color w:val="000000" w:themeColor="text1"/>
          <w:sz w:val="24"/>
          <w:szCs w:val="24"/>
          <w:highlight w:val="none"/>
          <w:lang w:val="en-US" w:eastAsia="zh-CN"/>
          <w14:textFill>
            <w14:solidFill>
              <w14:schemeClr w14:val="tx1"/>
            </w14:solidFill>
          </w14:textFill>
        </w:rPr>
        <w:t>招标文件</w:t>
      </w:r>
      <w:r>
        <w:rPr>
          <w:rFonts w:hint="eastAsia"/>
          <w:color w:val="000000" w:themeColor="text1"/>
          <w:sz w:val="24"/>
          <w:szCs w:val="24"/>
          <w:highlight w:val="none"/>
          <w14:textFill>
            <w14:solidFill>
              <w14:schemeClr w14:val="tx1"/>
            </w14:solidFill>
          </w14:textFill>
        </w:rPr>
        <w:t>、采购过程、成交或者成交结果）有疑问的，可以向采购人或者新疆维吾尔</w:t>
      </w:r>
      <w:r>
        <w:rPr>
          <w:rFonts w:hint="default"/>
          <w:color w:val="000000" w:themeColor="text1"/>
          <w:sz w:val="24"/>
          <w:szCs w:val="24"/>
          <w:highlight w:val="none"/>
          <w14:textFill>
            <w14:solidFill>
              <w14:schemeClr w14:val="tx1"/>
            </w14:solidFill>
          </w14:textFill>
        </w:rPr>
        <w:t>自治区公共资源交易中心</w:t>
      </w:r>
      <w:r>
        <w:rPr>
          <w:rFonts w:hint="eastAsia"/>
          <w:color w:val="000000" w:themeColor="text1"/>
          <w:sz w:val="24"/>
          <w:szCs w:val="24"/>
          <w:highlight w:val="none"/>
          <w14:textFill>
            <w14:solidFill>
              <w14:schemeClr w14:val="tx1"/>
            </w14:solidFill>
          </w14:textFill>
        </w:rPr>
        <w:t xml:space="preserve">提出询问，询问可以口头方式提出，也可以书面方式提出。 </w:t>
      </w:r>
    </w:p>
    <w:p w14:paraId="1A257825">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30</w:t>
      </w:r>
      <w:r>
        <w:rPr>
          <w:rFonts w:hint="eastAsia"/>
          <w:color w:val="000000" w:themeColor="text1"/>
          <w:sz w:val="24"/>
          <w:szCs w:val="24"/>
          <w:highlight w:val="none"/>
          <w:lang w:val="en-US"/>
          <w14:textFill>
            <w14:solidFill>
              <w14:schemeClr w14:val="tx1"/>
            </w14:solidFill>
          </w14:textFill>
        </w:rPr>
        <w:t xml:space="preserve">.1.2 </w:t>
      </w:r>
      <w:r>
        <w:rPr>
          <w:rFonts w:hint="eastAsia"/>
          <w:color w:val="000000" w:themeColor="text1"/>
          <w:sz w:val="24"/>
          <w:szCs w:val="24"/>
          <w:highlight w:val="none"/>
          <w14:textFill>
            <w14:solidFill>
              <w14:schemeClr w14:val="tx1"/>
            </w14:solidFill>
          </w14:textFill>
        </w:rPr>
        <w:t>采购人或者新疆维吾尔</w:t>
      </w:r>
      <w:r>
        <w:rPr>
          <w:rFonts w:hint="default"/>
          <w:color w:val="000000" w:themeColor="text1"/>
          <w:sz w:val="24"/>
          <w:szCs w:val="24"/>
          <w:highlight w:val="none"/>
          <w14:textFill>
            <w14:solidFill>
              <w14:schemeClr w14:val="tx1"/>
            </w14:solidFill>
          </w14:textFill>
        </w:rPr>
        <w:t>自治区公共资源交易中心</w:t>
      </w:r>
      <w:r>
        <w:rPr>
          <w:rFonts w:hint="eastAsia"/>
          <w:color w:val="000000" w:themeColor="text1"/>
          <w:sz w:val="24"/>
          <w:szCs w:val="24"/>
          <w:highlight w:val="none"/>
          <w14:textFill>
            <w14:solidFill>
              <w14:schemeClr w14:val="tx1"/>
            </w14:solidFill>
          </w14:textFill>
        </w:rPr>
        <w:t xml:space="preserve">在三个工作日内对供应商依法提出的询问作出答复。 </w:t>
      </w:r>
    </w:p>
    <w:p w14:paraId="21EC00D2">
      <w:pPr>
        <w:pStyle w:val="7"/>
        <w:ind w:firstLine="480" w:firstLineChars="200"/>
        <w:jc w:val="left"/>
        <w:rPr>
          <w:rFonts w:hint="eastAsia" w:ascii="宋体" w:hAnsi="宋体" w:eastAsia="宋体" w:cs="宋体"/>
          <w:b w:val="0"/>
          <w:bCs w:val="0"/>
          <w:color w:val="000000" w:themeColor="text1"/>
          <w:sz w:val="24"/>
          <w:szCs w:val="24"/>
          <w:highlight w:val="none"/>
          <w:lang w:val="en-US" w:eastAsia="zh-CN" w:bidi="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bidi="zh-CN"/>
          <w14:textFill>
            <w14:solidFill>
              <w14:schemeClr w14:val="tx1"/>
            </w14:solidFill>
          </w14:textFill>
        </w:rPr>
        <w:t>30</w:t>
      </w:r>
      <w:r>
        <w:rPr>
          <w:rFonts w:hint="eastAsia" w:ascii="宋体" w:hAnsi="宋体" w:eastAsia="宋体" w:cs="宋体"/>
          <w:b w:val="0"/>
          <w:bCs w:val="0"/>
          <w:color w:val="000000" w:themeColor="text1"/>
          <w:sz w:val="24"/>
          <w:szCs w:val="24"/>
          <w:highlight w:val="none"/>
          <w:lang w:val="en-US" w:eastAsia="zh-CN" w:bidi="zh-CN"/>
          <w14:textFill>
            <w14:solidFill>
              <w14:schemeClr w14:val="tx1"/>
            </w14:solidFill>
          </w14:textFill>
        </w:rPr>
        <w:t>.2 质疑处理</w:t>
      </w:r>
    </w:p>
    <w:p w14:paraId="36EA064B">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30.2</w:t>
      </w:r>
      <w:r>
        <w:rPr>
          <w:rFonts w:hint="eastAsia" w:ascii="宋体" w:hAnsi="宋体"/>
          <w:color w:val="000000" w:themeColor="text1"/>
          <w:sz w:val="24"/>
          <w:szCs w:val="24"/>
          <w:highlight w:val="none"/>
          <w14:textFill>
            <w14:solidFill>
              <w14:schemeClr w14:val="tx1"/>
            </w14:solidFill>
          </w14:textFill>
        </w:rPr>
        <w:t>.1 提出质疑的供应商应当是参与所质疑项目采购活动的供应商。潜在供应商依法获取其可质疑的采购文件的，可以对采购文件提出质疑。</w:t>
      </w:r>
    </w:p>
    <w:p w14:paraId="25B8B645">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30.2</w:t>
      </w:r>
      <w:r>
        <w:rPr>
          <w:rFonts w:hint="eastAsia" w:ascii="宋体" w:hAnsi="宋体"/>
          <w:color w:val="000000" w:themeColor="text1"/>
          <w:sz w:val="24"/>
          <w:szCs w:val="24"/>
          <w:highlight w:val="none"/>
          <w14:textFill>
            <w14:solidFill>
              <w14:schemeClr w14:val="tx1"/>
            </w14:solidFill>
          </w14:textFill>
        </w:rPr>
        <w:t>.2供应商认为采购文件、采购过程和采购结果使自己的权益受到损害的，可以在知道或应知其权益受到损害之日起七个工作日内，以书面形式向交易中心及采购人提出质疑。上述应知其权益受到损害之日，是指：</w:t>
      </w:r>
    </w:p>
    <w:p w14:paraId="011EDD38">
      <w:pPr>
        <w:snapToGrid w:val="0"/>
        <w:spacing w:line="480" w:lineRule="exact"/>
        <w:ind w:firstLine="480" w:firstLineChars="200"/>
        <w:rPr>
          <w:rFonts w:hint="eastAsia"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30.2</w:t>
      </w:r>
      <w:r>
        <w:rPr>
          <w:rFonts w:hint="eastAsia" w:ascii="宋体" w:hAnsi="宋体"/>
          <w:color w:val="000000" w:themeColor="text1"/>
          <w:sz w:val="24"/>
          <w:szCs w:val="24"/>
          <w:highlight w:val="none"/>
          <w14:textFill>
            <w14:solidFill>
              <w14:schemeClr w14:val="tx1"/>
            </w14:solidFill>
          </w14:textFill>
        </w:rPr>
        <w:t>.2.1</w:t>
      </w:r>
      <w:r>
        <w:rPr>
          <w:rFonts w:hint="eastAsia" w:hAnsi="宋体" w:cs="宋体"/>
          <w:color w:val="000000" w:themeColor="text1"/>
          <w:kern w:val="0"/>
          <w:sz w:val="24"/>
          <w:szCs w:val="24"/>
          <w:highlight w:val="none"/>
          <w14:textFill>
            <w14:solidFill>
              <w14:schemeClr w14:val="tx1"/>
            </w14:solidFill>
          </w14:textFill>
        </w:rPr>
        <w:t>对采购文件提出质疑的，为收到采购文件之日或者采购文件公告期限届满之日；</w:t>
      </w:r>
    </w:p>
    <w:p w14:paraId="26F194C2">
      <w:pPr>
        <w:snapToGrid w:val="0"/>
        <w:spacing w:line="480" w:lineRule="exact"/>
        <w:ind w:firstLine="480" w:firstLineChars="200"/>
        <w:rPr>
          <w:rFonts w:hint="eastAsia"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30.2</w:t>
      </w:r>
      <w:r>
        <w:rPr>
          <w:rFonts w:hint="eastAsia" w:ascii="宋体" w:hAnsi="宋体"/>
          <w:color w:val="000000" w:themeColor="text1"/>
          <w:sz w:val="24"/>
          <w:szCs w:val="24"/>
          <w:highlight w:val="none"/>
          <w14:textFill>
            <w14:solidFill>
              <w14:schemeClr w14:val="tx1"/>
            </w14:solidFill>
          </w14:textFill>
        </w:rPr>
        <w:t>.2.2</w:t>
      </w:r>
      <w:r>
        <w:rPr>
          <w:rFonts w:hint="eastAsia" w:hAnsi="宋体" w:cs="宋体"/>
          <w:color w:val="000000" w:themeColor="text1"/>
          <w:kern w:val="0"/>
          <w:sz w:val="24"/>
          <w:szCs w:val="24"/>
          <w:highlight w:val="none"/>
          <w14:textFill>
            <w14:solidFill>
              <w14:schemeClr w14:val="tx1"/>
            </w14:solidFill>
          </w14:textFill>
        </w:rPr>
        <w:t>对采购过程提出质疑的，为各采购程序环节结束之日；</w:t>
      </w:r>
    </w:p>
    <w:p w14:paraId="67E71D40">
      <w:pPr>
        <w:snapToGrid w:val="0"/>
        <w:spacing w:line="480" w:lineRule="exact"/>
        <w:ind w:firstLine="480" w:firstLineChars="200"/>
        <w:rPr>
          <w:rFonts w:hint="eastAsia" w:hAnsi="宋体" w:cs="宋体"/>
          <w:color w:val="000000" w:themeColor="text1"/>
          <w:kern w:val="0"/>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30.2</w:t>
      </w:r>
      <w:r>
        <w:rPr>
          <w:rFonts w:hint="eastAsia" w:ascii="宋体" w:hAnsi="宋体"/>
          <w:color w:val="000000" w:themeColor="text1"/>
          <w:sz w:val="24"/>
          <w:szCs w:val="24"/>
          <w:highlight w:val="none"/>
          <w14:textFill>
            <w14:solidFill>
              <w14:schemeClr w14:val="tx1"/>
            </w14:solidFill>
          </w14:textFill>
        </w:rPr>
        <w:t>.2.3</w:t>
      </w:r>
      <w:r>
        <w:rPr>
          <w:rFonts w:hint="eastAsia" w:hAnsi="宋体" w:cs="宋体"/>
          <w:color w:val="000000" w:themeColor="text1"/>
          <w:kern w:val="0"/>
          <w:sz w:val="24"/>
          <w:szCs w:val="24"/>
          <w:highlight w:val="none"/>
          <w14:textFill>
            <w14:solidFill>
              <w14:schemeClr w14:val="tx1"/>
            </w14:solidFill>
          </w14:textFill>
        </w:rPr>
        <w:t>对中标或者成交结果提出质疑的，为中标或者成交结果公告期限届满之日。</w:t>
      </w:r>
    </w:p>
    <w:p w14:paraId="1C6D4AB1">
      <w:pPr>
        <w:snapToGrid w:val="0"/>
        <w:spacing w:line="480" w:lineRule="exact"/>
        <w:ind w:firstLine="480" w:firstLineChars="200"/>
        <w:rPr>
          <w:rFonts w:hAnsi="宋体" w:cs="宋体"/>
          <w:color w:val="000000" w:themeColor="text1"/>
          <w:kern w:val="0"/>
          <w:sz w:val="24"/>
          <w:szCs w:val="24"/>
          <w:highlight w:val="none"/>
          <w14:textFill>
            <w14:solidFill>
              <w14:schemeClr w14:val="tx1"/>
            </w14:solidFill>
          </w14:textFill>
        </w:rPr>
      </w:pPr>
      <w:r>
        <w:rPr>
          <w:rFonts w:hint="eastAsia" w:hAnsi="宋体" w:cs="宋体"/>
          <w:color w:val="000000" w:themeColor="text1"/>
          <w:kern w:val="0"/>
          <w:sz w:val="24"/>
          <w:szCs w:val="24"/>
          <w:highlight w:val="none"/>
          <w14:textFill>
            <w14:solidFill>
              <w14:schemeClr w14:val="tx1"/>
            </w14:solidFill>
          </w14:textFill>
        </w:rPr>
        <w:t>供应商应当在法定质疑期内一次性提出针对同一采购程序环节的质疑。供应商如在法定期限内对同一采购程序环节提出多次质疑的，</w:t>
      </w:r>
      <w:r>
        <w:rPr>
          <w:rFonts w:hint="eastAsia" w:hAnsi="宋体" w:cs="宋体"/>
          <w:b/>
          <w:color w:val="000000" w:themeColor="text1"/>
          <w:kern w:val="0"/>
          <w:sz w:val="24"/>
          <w:szCs w:val="24"/>
          <w:highlight w:val="none"/>
          <w14:textFill>
            <w14:solidFill>
              <w14:schemeClr w14:val="tx1"/>
            </w14:solidFill>
          </w14:textFill>
        </w:rPr>
        <w:t>交易中心、采购人将只对供应商第一次质疑作出答复。</w:t>
      </w:r>
    </w:p>
    <w:p w14:paraId="5A17E138">
      <w:pPr>
        <w:snapToGrid w:val="0"/>
        <w:spacing w:line="48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30.2</w:t>
      </w:r>
      <w:r>
        <w:rPr>
          <w:rFonts w:hint="eastAsia" w:ascii="宋体" w:hAnsi="宋体"/>
          <w:color w:val="000000" w:themeColor="text1"/>
          <w:sz w:val="24"/>
          <w:szCs w:val="24"/>
          <w:highlight w:val="none"/>
          <w14:textFill>
            <w14:solidFill>
              <w14:schemeClr w14:val="tx1"/>
            </w14:solidFill>
          </w14:textFill>
        </w:rPr>
        <w:t>.3质疑函必须按照本</w:t>
      </w:r>
      <w:r>
        <w:rPr>
          <w:rFonts w:hint="eastAsia" w:ascii="宋体" w:hAnsi="宋体"/>
          <w:color w:val="000000" w:themeColor="text1"/>
          <w:sz w:val="24"/>
          <w:szCs w:val="24"/>
          <w:highlight w:val="none"/>
          <w:lang w:val="en-US" w:eastAsia="zh-CN"/>
          <w14:textFill>
            <w14:solidFill>
              <w14:schemeClr w14:val="tx1"/>
            </w14:solidFill>
          </w14:textFill>
        </w:rPr>
        <w:t>招标</w:t>
      </w:r>
      <w:r>
        <w:rPr>
          <w:rFonts w:hint="eastAsia" w:ascii="宋体" w:hAnsi="宋体"/>
          <w:color w:val="000000" w:themeColor="text1"/>
          <w:sz w:val="24"/>
          <w:szCs w:val="24"/>
          <w:highlight w:val="none"/>
          <w14:textFill>
            <w14:solidFill>
              <w14:schemeClr w14:val="tx1"/>
            </w14:solidFill>
          </w14:textFill>
        </w:rPr>
        <w:t>文件中《质疑函范本》要求的格式</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内容</w:t>
      </w:r>
      <w:r>
        <w:rPr>
          <w:rFonts w:hint="eastAsia" w:ascii="宋体" w:hAnsi="宋体"/>
          <w:color w:val="000000" w:themeColor="text1"/>
          <w:sz w:val="24"/>
          <w:szCs w:val="24"/>
          <w:highlight w:val="none"/>
          <w:lang w:val="en-US" w:eastAsia="zh-CN"/>
          <w14:textFill>
            <w14:solidFill>
              <w14:schemeClr w14:val="tx1"/>
            </w14:solidFill>
          </w14:textFill>
        </w:rPr>
        <w:t>和要求</w:t>
      </w:r>
      <w:r>
        <w:rPr>
          <w:rFonts w:hint="eastAsia" w:ascii="宋体" w:hAnsi="宋体"/>
          <w:color w:val="000000" w:themeColor="text1"/>
          <w:sz w:val="24"/>
          <w:szCs w:val="24"/>
          <w:highlight w:val="none"/>
          <w14:textFill>
            <w14:solidFill>
              <w14:schemeClr w14:val="tx1"/>
            </w14:solidFill>
          </w14:textFill>
        </w:rPr>
        <w:t>进行填写。供应商如组成联合体参加投标，则《质疑函范本》中要求签字、盖章、加盖公章之处，联合体各方均须按要求签字、盖章、加盖公章。</w:t>
      </w:r>
    </w:p>
    <w:p w14:paraId="7DD0ECBA">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30.2</w:t>
      </w:r>
      <w:r>
        <w:rPr>
          <w:rFonts w:hint="eastAsia" w:ascii="宋体" w:hAnsi="宋体"/>
          <w:color w:val="000000" w:themeColor="text1"/>
          <w:sz w:val="24"/>
          <w:szCs w:val="24"/>
          <w:highlight w:val="none"/>
          <w14:textFill>
            <w14:solidFill>
              <w14:schemeClr w14:val="tx1"/>
            </w14:solidFill>
          </w14:textFill>
        </w:rPr>
        <w:t>.4 交易中心及采购人只接收以纸质原件形式送达的质疑。</w:t>
      </w:r>
    </w:p>
    <w:p w14:paraId="6E8F4DFE">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质疑接收人：</w:t>
      </w:r>
      <w:r>
        <w:rPr>
          <w:rFonts w:hint="default" w:ascii="宋体" w:hAnsi="宋体" w:eastAsia="宋体" w:cs="Times New Roman"/>
          <w:color w:val="000000" w:themeColor="text1"/>
          <w:sz w:val="24"/>
          <w:szCs w:val="24"/>
          <w:highlight w:val="none"/>
          <w:lang w:val="en-US" w:eastAsia="zh-CN"/>
          <w14:textFill>
            <w14:solidFill>
              <w14:schemeClr w14:val="tx1"/>
            </w14:solidFill>
          </w14:textFill>
        </w:rPr>
        <w:t>自治区公共资源交易中心</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 xml:space="preserve"> 内控监督部</w:t>
      </w:r>
    </w:p>
    <w:p w14:paraId="63BDD800">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联系地址：乌鲁木齐市</w:t>
      </w:r>
      <w:r>
        <w:rPr>
          <w:rFonts w:hint="eastAsia" w:ascii="宋体" w:hAnsi="宋体"/>
          <w:color w:val="000000" w:themeColor="text1"/>
          <w:sz w:val="24"/>
          <w:szCs w:val="24"/>
          <w:highlight w:val="none"/>
          <w:lang w:val="en-US" w:eastAsia="zh-CN"/>
          <w14:textFill>
            <w14:solidFill>
              <w14:schemeClr w14:val="tx1"/>
            </w14:solidFill>
          </w14:textFill>
        </w:rPr>
        <w:t>水磨沟区</w:t>
      </w:r>
      <w:r>
        <w:rPr>
          <w:rFonts w:hint="eastAsia" w:ascii="宋体" w:hAnsi="宋体"/>
          <w:color w:val="000000" w:themeColor="text1"/>
          <w:sz w:val="24"/>
          <w:szCs w:val="24"/>
          <w:highlight w:val="none"/>
          <w14:textFill>
            <w14:solidFill>
              <w14:schemeClr w14:val="tx1"/>
            </w14:solidFill>
          </w14:textFill>
        </w:rPr>
        <w:t>准格尔街299号</w:t>
      </w:r>
      <w:r>
        <w:rPr>
          <w:rFonts w:hint="eastAsia" w:ascii="宋体" w:hAnsi="宋体"/>
          <w:color w:val="000000" w:themeColor="text1"/>
          <w:sz w:val="24"/>
          <w:szCs w:val="24"/>
          <w:highlight w:val="none"/>
          <w:lang w:val="en-US" w:eastAsia="zh-CN"/>
          <w14:textFill>
            <w14:solidFill>
              <w14:schemeClr w14:val="tx1"/>
            </w14:solidFill>
          </w14:textFill>
        </w:rPr>
        <w:t>益民大厦</w:t>
      </w:r>
      <w:r>
        <w:rPr>
          <w:rFonts w:hint="eastAsia" w:ascii="宋体" w:hAnsi="宋体"/>
          <w:color w:val="000000" w:themeColor="text1"/>
          <w:sz w:val="24"/>
          <w:szCs w:val="24"/>
          <w:highlight w:val="none"/>
          <w14:textFill>
            <w14:solidFill>
              <w14:schemeClr w14:val="tx1"/>
            </w14:solidFill>
          </w14:textFill>
        </w:rPr>
        <w:t>A417</w:t>
      </w:r>
    </w:p>
    <w:p w14:paraId="1AC7DE94">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联系电话：0991-3551778。 </w:t>
      </w:r>
    </w:p>
    <w:p w14:paraId="661816E1">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30.2</w:t>
      </w:r>
      <w:r>
        <w:rPr>
          <w:rFonts w:hint="eastAsia" w:ascii="宋体" w:hAnsi="宋体"/>
          <w:color w:val="000000" w:themeColor="text1"/>
          <w:sz w:val="24"/>
          <w:szCs w:val="24"/>
          <w:highlight w:val="none"/>
          <w14:textFill>
            <w14:solidFill>
              <w14:schemeClr w14:val="tx1"/>
            </w14:solidFill>
          </w14:textFill>
        </w:rPr>
        <w:t>.5 以下情形的质疑不予受理</w:t>
      </w:r>
    </w:p>
    <w:p w14:paraId="58584F09">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30.2</w:t>
      </w:r>
      <w:r>
        <w:rPr>
          <w:rFonts w:hint="eastAsia" w:ascii="宋体" w:hAnsi="宋体"/>
          <w:color w:val="000000" w:themeColor="text1"/>
          <w:sz w:val="24"/>
          <w:szCs w:val="24"/>
          <w:highlight w:val="none"/>
          <w14:textFill>
            <w14:solidFill>
              <w14:schemeClr w14:val="tx1"/>
            </w14:solidFill>
          </w14:textFill>
        </w:rPr>
        <w:t>.5.1 内容不符合《政府采购质疑和投诉办法》第十二条规定的质疑。</w:t>
      </w:r>
    </w:p>
    <w:p w14:paraId="4220DF08">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30.2</w:t>
      </w:r>
      <w:r>
        <w:rPr>
          <w:rFonts w:hint="eastAsia" w:ascii="宋体" w:hAnsi="宋体"/>
          <w:color w:val="000000" w:themeColor="text1"/>
          <w:sz w:val="24"/>
          <w:szCs w:val="24"/>
          <w:highlight w:val="none"/>
          <w14:textFill>
            <w14:solidFill>
              <w14:schemeClr w14:val="tx1"/>
            </w14:solidFill>
          </w14:textFill>
        </w:rPr>
        <w:t>.5.2 超出政府采购法定期限的质疑。</w:t>
      </w:r>
    </w:p>
    <w:p w14:paraId="55FB2038">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30.2</w:t>
      </w:r>
      <w:r>
        <w:rPr>
          <w:rFonts w:hint="eastAsia" w:ascii="宋体" w:hAnsi="宋体"/>
          <w:color w:val="000000" w:themeColor="text1"/>
          <w:sz w:val="24"/>
          <w:szCs w:val="24"/>
          <w:highlight w:val="none"/>
          <w14:textFill>
            <w14:solidFill>
              <w14:schemeClr w14:val="tx1"/>
            </w14:solidFill>
          </w14:textFill>
        </w:rPr>
        <w:t>.5.3 以传真、电子邮件等方式递交的非原件形式的质疑。</w:t>
      </w:r>
    </w:p>
    <w:p w14:paraId="205FB72A">
      <w:pPr>
        <w:snapToGrid w:val="0"/>
        <w:spacing w:line="480" w:lineRule="exact"/>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30.2</w:t>
      </w:r>
      <w:r>
        <w:rPr>
          <w:rFonts w:hint="eastAsia" w:ascii="宋体" w:hAnsi="宋体"/>
          <w:color w:val="000000" w:themeColor="text1"/>
          <w:sz w:val="24"/>
          <w:szCs w:val="24"/>
          <w:highlight w:val="none"/>
          <w14:textFill>
            <w14:solidFill>
              <w14:schemeClr w14:val="tx1"/>
            </w14:solidFill>
          </w14:textFill>
        </w:rPr>
        <w:t>.5.4 未参加投标活动的供应商或在投标活动中自身权益未受到损害的供</w:t>
      </w:r>
      <w:r>
        <w:rPr>
          <w:rFonts w:hint="eastAsia" w:ascii="宋体" w:hAnsi="宋体" w:eastAsia="宋体" w:cs="Times New Roman"/>
          <w:color w:val="000000" w:themeColor="text1"/>
          <w:sz w:val="24"/>
          <w:szCs w:val="24"/>
          <w:highlight w:val="none"/>
          <w14:textFill>
            <w14:solidFill>
              <w14:schemeClr w14:val="tx1"/>
            </w14:solidFill>
          </w14:textFill>
        </w:rPr>
        <w:t>应商所提出的质疑。</w:t>
      </w:r>
    </w:p>
    <w:p w14:paraId="237346DF">
      <w:pPr>
        <w:snapToGrid w:val="0"/>
        <w:spacing w:line="480" w:lineRule="exact"/>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cs="Times New Roman"/>
          <w:color w:val="000000" w:themeColor="text1"/>
          <w:sz w:val="24"/>
          <w:szCs w:val="24"/>
          <w:highlight w:val="none"/>
          <w:lang w:eastAsia="zh-CN"/>
          <w14:textFill>
            <w14:solidFill>
              <w14:schemeClr w14:val="tx1"/>
            </w14:solidFill>
          </w14:textFill>
        </w:rPr>
        <w:t>30.2</w:t>
      </w:r>
      <w:r>
        <w:rPr>
          <w:rFonts w:hint="eastAsia" w:ascii="宋体" w:hAnsi="宋体" w:eastAsia="宋体" w:cs="Times New Roman"/>
          <w:color w:val="000000" w:themeColor="text1"/>
          <w:sz w:val="24"/>
          <w:szCs w:val="24"/>
          <w:highlight w:val="none"/>
          <w14:textFill>
            <w14:solidFill>
              <w14:schemeClr w14:val="tx1"/>
            </w14:solidFill>
          </w14:textFill>
        </w:rPr>
        <w:t>.5.5供应商组成联合体参加投标，联合体中任何一方或多方未按要求签字、盖章、加盖公章的质疑。</w:t>
      </w:r>
    </w:p>
    <w:p w14:paraId="3D133E47">
      <w:pPr>
        <w:snapToGrid w:val="0"/>
        <w:spacing w:line="48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30.2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.5.6</w:t>
      </w:r>
      <w:r>
        <w:rPr>
          <w:rFonts w:hint="eastAsia" w:ascii="宋体" w:hAnsi="宋体" w:eastAsia="宋体" w:cs="Times New Roman"/>
          <w:color w:val="000000" w:themeColor="text1"/>
          <w:sz w:val="24"/>
          <w:szCs w:val="24"/>
          <w:highlight w:val="none"/>
          <w14:textFill>
            <w14:solidFill>
              <w14:schemeClr w14:val="tx1"/>
            </w14:solidFill>
          </w14:textFill>
        </w:rPr>
        <w:t>所</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质疑</w:t>
      </w:r>
      <w:r>
        <w:rPr>
          <w:rFonts w:hint="eastAsia" w:ascii="宋体" w:hAnsi="宋体" w:eastAsia="宋体" w:cs="Times New Roman"/>
          <w:color w:val="000000" w:themeColor="text1"/>
          <w:sz w:val="24"/>
          <w:szCs w:val="24"/>
          <w:highlight w:val="none"/>
          <w14:textFill>
            <w14:solidFill>
              <w14:schemeClr w14:val="tx1"/>
            </w14:solidFill>
          </w14:textFill>
        </w:rPr>
        <w:t>事项已进行处理，或正在行政复议、仲裁、诉讼、投诉等其他程序的</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p>
    <w:p w14:paraId="144E1D56">
      <w:pPr>
        <w:snapToGrid w:val="0"/>
        <w:spacing w:line="480" w:lineRule="exact"/>
        <w:ind w:firstLine="480" w:firstLineChars="200"/>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30.2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.5.7不属于本中心管辖范围的质疑。</w:t>
      </w:r>
    </w:p>
    <w:p w14:paraId="6A473B93">
      <w:pPr>
        <w:snapToGrid w:val="0"/>
        <w:spacing w:line="480" w:lineRule="exact"/>
        <w:ind w:firstLine="468" w:firstLineChars="195"/>
        <w:rPr>
          <w:rFonts w:hint="default"/>
          <w:color w:val="000000" w:themeColor="text1"/>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30.2</w:t>
      </w:r>
      <w:r>
        <w:rPr>
          <w:rFonts w:hint="eastAsia" w:ascii="宋体" w:hAnsi="宋体"/>
          <w:color w:val="000000" w:themeColor="text1"/>
          <w:sz w:val="24"/>
          <w:szCs w:val="24"/>
          <w:highlight w:val="none"/>
          <w14:textFill>
            <w14:solidFill>
              <w14:schemeClr w14:val="tx1"/>
            </w14:solidFill>
          </w14:textFill>
        </w:rPr>
        <w:t xml:space="preserve">.6  </w:t>
      </w:r>
      <w:r>
        <w:rPr>
          <w:rFonts w:hint="eastAsia" w:ascii="宋体" w:hAnsi="宋体"/>
          <w:b/>
          <w:color w:val="000000" w:themeColor="text1"/>
          <w:sz w:val="24"/>
          <w:szCs w:val="24"/>
          <w:highlight w:val="none"/>
          <w14:textFill>
            <w14:solidFill>
              <w14:schemeClr w14:val="tx1"/>
            </w14:solidFill>
          </w14:textFill>
        </w:rPr>
        <w:t>供应商提出书面质疑必须有理、有据，不得捏造事实、提供虚假材料进行恶意质疑。否则，一经查实，交易中心有权依据政府采购的有关规定，报请政府采购监管部门对该供应商进行相应的行政处罚和记录该供应商的失信信息。</w:t>
      </w:r>
    </w:p>
    <w:p w14:paraId="5A503F0F">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30</w:t>
      </w:r>
      <w:r>
        <w:rPr>
          <w:rFonts w:hint="eastAsia"/>
          <w:color w:val="000000" w:themeColor="text1"/>
          <w:sz w:val="24"/>
          <w:szCs w:val="24"/>
          <w:highlight w:val="none"/>
          <w:lang w:val="en-US"/>
          <w14:textFill>
            <w14:solidFill>
              <w14:schemeClr w14:val="tx1"/>
            </w14:solidFill>
          </w14:textFill>
        </w:rPr>
        <w:t xml:space="preserve">.3 </w:t>
      </w:r>
      <w:r>
        <w:rPr>
          <w:rFonts w:hint="eastAsia"/>
          <w:color w:val="000000" w:themeColor="text1"/>
          <w:sz w:val="24"/>
          <w:szCs w:val="24"/>
          <w:highlight w:val="none"/>
          <w14:textFill>
            <w14:solidFill>
              <w14:schemeClr w14:val="tx1"/>
            </w14:solidFill>
          </w14:textFill>
        </w:rPr>
        <w:t xml:space="preserve">投诉 </w:t>
      </w:r>
    </w:p>
    <w:p w14:paraId="03AA2100">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30</w:t>
      </w:r>
      <w:r>
        <w:rPr>
          <w:rFonts w:hint="eastAsia"/>
          <w:color w:val="000000" w:themeColor="text1"/>
          <w:sz w:val="24"/>
          <w:szCs w:val="24"/>
          <w:highlight w:val="none"/>
          <w:lang w:val="en-US"/>
          <w14:textFill>
            <w14:solidFill>
              <w14:schemeClr w14:val="tx1"/>
            </w14:solidFill>
          </w14:textFill>
        </w:rPr>
        <w:t xml:space="preserve">.3.1 </w:t>
      </w:r>
      <w:r>
        <w:rPr>
          <w:rFonts w:hint="eastAsia"/>
          <w:color w:val="000000" w:themeColor="text1"/>
          <w:sz w:val="24"/>
          <w:szCs w:val="24"/>
          <w:highlight w:val="none"/>
          <w14:textFill>
            <w14:solidFill>
              <w14:schemeClr w14:val="tx1"/>
            </w14:solidFill>
          </w14:textFill>
        </w:rPr>
        <w:t>质疑供应商对新疆维吾尔</w:t>
      </w:r>
      <w:r>
        <w:rPr>
          <w:rFonts w:hint="default"/>
          <w:color w:val="000000" w:themeColor="text1"/>
          <w:sz w:val="24"/>
          <w:szCs w:val="24"/>
          <w:highlight w:val="none"/>
          <w14:textFill>
            <w14:solidFill>
              <w14:schemeClr w14:val="tx1"/>
            </w14:solidFill>
          </w14:textFill>
        </w:rPr>
        <w:t>自治区公共资源交易中心</w:t>
      </w:r>
      <w:r>
        <w:rPr>
          <w:rFonts w:hint="eastAsia"/>
          <w:color w:val="000000" w:themeColor="text1"/>
          <w:sz w:val="24"/>
          <w:szCs w:val="24"/>
          <w:highlight w:val="none"/>
          <w14:textFill>
            <w14:solidFill>
              <w14:schemeClr w14:val="tx1"/>
            </w14:solidFill>
          </w14:textFill>
        </w:rPr>
        <w:t>的答复不满意，或者新疆维吾尔</w:t>
      </w:r>
      <w:r>
        <w:rPr>
          <w:rFonts w:hint="default"/>
          <w:color w:val="000000" w:themeColor="text1"/>
          <w:sz w:val="24"/>
          <w:szCs w:val="24"/>
          <w:highlight w:val="none"/>
          <w14:textFill>
            <w14:solidFill>
              <w14:schemeClr w14:val="tx1"/>
            </w14:solidFill>
          </w14:textFill>
        </w:rPr>
        <w:t>自治区公共资源交易中心</w:t>
      </w:r>
      <w:r>
        <w:rPr>
          <w:rFonts w:hint="eastAsia"/>
          <w:color w:val="000000" w:themeColor="text1"/>
          <w:sz w:val="24"/>
          <w:szCs w:val="24"/>
          <w:highlight w:val="none"/>
          <w14:textFill>
            <w14:solidFill>
              <w14:schemeClr w14:val="tx1"/>
            </w14:solidFill>
          </w14:textFill>
        </w:rPr>
        <w:t xml:space="preserve">未在规定时间内作出答复的，可以在答复期满后十五个工作日内向同级财政部门提起投诉。 </w:t>
      </w:r>
    </w:p>
    <w:p w14:paraId="7DCEDE0B">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30</w:t>
      </w:r>
      <w:r>
        <w:rPr>
          <w:rFonts w:hint="eastAsia"/>
          <w:color w:val="000000" w:themeColor="text1"/>
          <w:sz w:val="24"/>
          <w:szCs w:val="24"/>
          <w:highlight w:val="none"/>
          <w:lang w:val="en-US"/>
          <w14:textFill>
            <w14:solidFill>
              <w14:schemeClr w14:val="tx1"/>
            </w14:solidFill>
          </w14:textFill>
        </w:rPr>
        <w:t xml:space="preserve">.3.2 </w:t>
      </w:r>
      <w:r>
        <w:rPr>
          <w:rFonts w:hint="eastAsia"/>
          <w:color w:val="000000" w:themeColor="text1"/>
          <w:sz w:val="24"/>
          <w:szCs w:val="24"/>
          <w:highlight w:val="none"/>
          <w14:textFill>
            <w14:solidFill>
              <w14:schemeClr w14:val="tx1"/>
            </w14:solidFill>
          </w14:textFill>
        </w:rPr>
        <w:t xml:space="preserve">投诉人在全国范围12个月内三次以上投诉查无实据的，由财政部门列入不良行为记录名单。 </w:t>
      </w:r>
    </w:p>
    <w:p w14:paraId="3CAAA462">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30</w:t>
      </w:r>
      <w:r>
        <w:rPr>
          <w:rFonts w:hint="eastAsia"/>
          <w:color w:val="000000" w:themeColor="text1"/>
          <w:sz w:val="24"/>
          <w:szCs w:val="24"/>
          <w:highlight w:val="none"/>
          <w:lang w:val="en-US"/>
          <w14:textFill>
            <w14:solidFill>
              <w14:schemeClr w14:val="tx1"/>
            </w14:solidFill>
          </w14:textFill>
        </w:rPr>
        <w:t xml:space="preserve">.3.3 </w:t>
      </w:r>
      <w:r>
        <w:rPr>
          <w:rFonts w:hint="eastAsia"/>
          <w:color w:val="000000" w:themeColor="text1"/>
          <w:sz w:val="24"/>
          <w:szCs w:val="24"/>
          <w:highlight w:val="none"/>
          <w14:textFill>
            <w14:solidFill>
              <w14:schemeClr w14:val="tx1"/>
            </w14:solidFill>
          </w14:textFill>
        </w:rPr>
        <w:t xml:space="preserve">投诉人有下列行为之一的，属于虚假、恶意投诉，由财政部门列入不良行为记录名单，禁止其1至3年内参加政府采购活动： </w:t>
      </w:r>
    </w:p>
    <w:p w14:paraId="4DD6597C">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30</w:t>
      </w:r>
      <w:r>
        <w:rPr>
          <w:rFonts w:hint="eastAsia"/>
          <w:color w:val="000000" w:themeColor="text1"/>
          <w:sz w:val="24"/>
          <w:szCs w:val="24"/>
          <w:highlight w:val="none"/>
          <w:lang w:val="en-US"/>
          <w14:textFill>
            <w14:solidFill>
              <w14:schemeClr w14:val="tx1"/>
            </w14:solidFill>
          </w14:textFill>
        </w:rPr>
        <w:t xml:space="preserve">.3.3.1 </w:t>
      </w:r>
      <w:r>
        <w:rPr>
          <w:rFonts w:hint="eastAsia"/>
          <w:color w:val="000000" w:themeColor="text1"/>
          <w:sz w:val="24"/>
          <w:szCs w:val="24"/>
          <w:highlight w:val="none"/>
          <w14:textFill>
            <w14:solidFill>
              <w14:schemeClr w14:val="tx1"/>
            </w14:solidFill>
          </w14:textFill>
        </w:rPr>
        <w:t xml:space="preserve">捏造事实； </w:t>
      </w:r>
    </w:p>
    <w:p w14:paraId="7EA73EA1">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30</w:t>
      </w:r>
      <w:r>
        <w:rPr>
          <w:rFonts w:hint="eastAsia"/>
          <w:color w:val="000000" w:themeColor="text1"/>
          <w:sz w:val="24"/>
          <w:szCs w:val="24"/>
          <w:highlight w:val="none"/>
          <w:lang w:val="en-US"/>
          <w14:textFill>
            <w14:solidFill>
              <w14:schemeClr w14:val="tx1"/>
            </w14:solidFill>
          </w14:textFill>
        </w:rPr>
        <w:t xml:space="preserve">.3.3.2 </w:t>
      </w:r>
      <w:r>
        <w:rPr>
          <w:rFonts w:hint="eastAsia"/>
          <w:color w:val="000000" w:themeColor="text1"/>
          <w:sz w:val="24"/>
          <w:szCs w:val="24"/>
          <w:highlight w:val="none"/>
          <w14:textFill>
            <w14:solidFill>
              <w14:schemeClr w14:val="tx1"/>
            </w14:solidFill>
          </w14:textFill>
        </w:rPr>
        <w:t xml:space="preserve">提供虚假材料； </w:t>
      </w:r>
    </w:p>
    <w:p w14:paraId="565E84DA">
      <w:pPr>
        <w:pStyle w:val="7"/>
        <w:ind w:left="0" w:leftChars="0" w:firstLine="335" w:firstLineChars="139"/>
        <w:rPr>
          <w:rFonts w:hint="eastAsia" w:ascii="宋体" w:hAnsi="宋体" w:eastAsia="宋体" w:cs="宋体"/>
          <w:b w:val="0"/>
          <w:color w:val="000000" w:themeColor="text1"/>
          <w:sz w:val="30"/>
          <w:szCs w:val="30"/>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30</w:t>
      </w:r>
      <w:r>
        <w:rPr>
          <w:rFonts w:hint="eastAsia"/>
          <w:color w:val="000000" w:themeColor="text1"/>
          <w:sz w:val="24"/>
          <w:szCs w:val="24"/>
          <w:highlight w:val="none"/>
          <w:lang w:val="en-US"/>
          <w14:textFill>
            <w14:solidFill>
              <w14:schemeClr w14:val="tx1"/>
            </w14:solidFill>
          </w14:textFill>
        </w:rPr>
        <w:t xml:space="preserve">.3.3.3 </w:t>
      </w:r>
      <w:r>
        <w:rPr>
          <w:rFonts w:hint="eastAsia"/>
          <w:color w:val="000000" w:themeColor="text1"/>
          <w:sz w:val="24"/>
          <w:szCs w:val="24"/>
          <w:highlight w:val="none"/>
          <w14:textFill>
            <w14:solidFill>
              <w14:schemeClr w14:val="tx1"/>
            </w14:solidFill>
          </w14:textFill>
        </w:rPr>
        <w:t>以非法手段取得证明材料。证据来源的合法性存在明显疑问，投诉人无法证明其取得方式合法的，视为以非法手段取得证明材料。</w:t>
      </w:r>
    </w:p>
    <w:p w14:paraId="63FA7E9D">
      <w:pPr>
        <w:pStyle w:val="6"/>
        <w:spacing w:before="145" w:beforeLines="50" w:after="145" w:afterLines="50" w:line="360" w:lineRule="auto"/>
        <w:ind w:left="0" w:leftChars="0" w:firstLine="421" w:firstLineChars="13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七、授予合同</w:t>
      </w:r>
      <w:bookmarkEnd w:id="171"/>
      <w:bookmarkEnd w:id="172"/>
      <w:bookmarkEnd w:id="173"/>
    </w:p>
    <w:bookmarkEnd w:id="174"/>
    <w:bookmarkEnd w:id="175"/>
    <w:bookmarkEnd w:id="176"/>
    <w:p w14:paraId="6111CF71">
      <w:pPr>
        <w:pStyle w:val="7"/>
        <w:ind w:left="0" w:leftChars="0" w:firstLine="416" w:firstLineChars="139"/>
        <w:rPr>
          <w:rFonts w:hint="eastAsia" w:ascii="宋体" w:hAnsi="宋体" w:eastAsia="宋体" w:cs="宋体"/>
          <w:b w:val="0"/>
          <w:color w:val="000000" w:themeColor="text1"/>
          <w:sz w:val="30"/>
          <w:szCs w:val="30"/>
          <w:highlight w:val="none"/>
          <w14:textFill>
            <w14:solidFill>
              <w14:schemeClr w14:val="tx1"/>
            </w14:solidFill>
          </w14:textFill>
        </w:rPr>
      </w:pPr>
      <w:bookmarkStart w:id="177" w:name="_Toc513029237"/>
      <w:bookmarkStart w:id="178" w:name="_Toc16938553"/>
      <w:bookmarkStart w:id="179" w:name="_Toc20823309"/>
      <w:r>
        <w:rPr>
          <w:rFonts w:hint="eastAsia" w:ascii="宋体" w:hAnsi="宋体" w:eastAsia="宋体" w:cs="宋体"/>
          <w:b w:val="0"/>
          <w:color w:val="000000" w:themeColor="text1"/>
          <w:sz w:val="30"/>
          <w:szCs w:val="30"/>
          <w:highlight w:val="none"/>
          <w14:textFill>
            <w14:solidFill>
              <w14:schemeClr w14:val="tx1"/>
            </w14:solidFill>
          </w14:textFill>
        </w:rPr>
        <w:t>3</w:t>
      </w:r>
      <w:r>
        <w:rPr>
          <w:rFonts w:hint="eastAsia" w:ascii="宋体" w:hAnsi="宋体" w:eastAsia="宋体" w:cs="宋体"/>
          <w:b w:val="0"/>
          <w:color w:val="000000" w:themeColor="text1"/>
          <w:sz w:val="30"/>
          <w:szCs w:val="30"/>
          <w:highlight w:val="none"/>
          <w:lang w:val="en-US" w:eastAsia="zh-CN"/>
          <w14:textFill>
            <w14:solidFill>
              <w14:schemeClr w14:val="tx1"/>
            </w14:solidFill>
          </w14:textFill>
        </w:rPr>
        <w:t>1</w:t>
      </w:r>
      <w:r>
        <w:rPr>
          <w:rFonts w:hint="eastAsia" w:ascii="宋体" w:hAnsi="宋体" w:eastAsia="宋体" w:cs="宋体"/>
          <w:b w:val="0"/>
          <w:color w:val="000000" w:themeColor="text1"/>
          <w:sz w:val="30"/>
          <w:szCs w:val="30"/>
          <w:highlight w:val="none"/>
          <w14:textFill>
            <w14:solidFill>
              <w14:schemeClr w14:val="tx1"/>
            </w14:solidFill>
          </w14:textFill>
        </w:rPr>
        <w:t>. 签订合同</w:t>
      </w:r>
    </w:p>
    <w:p w14:paraId="44C1B27A">
      <w:pPr>
        <w:snapToGrid w:val="0"/>
        <w:spacing w:line="480" w:lineRule="exact"/>
        <w:ind w:left="0" w:leftChars="0" w:firstLine="333" w:firstLineChars="13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.l中标人应当在中标通知书发出之日起三十日内，按照招标文件确定的事项与采购人签订政府采购合同。</w:t>
      </w:r>
    </w:p>
    <w:p w14:paraId="381FD5FD">
      <w:pPr>
        <w:snapToGrid w:val="0"/>
        <w:spacing w:line="480" w:lineRule="exact"/>
        <w:ind w:left="0" w:leftChars="0" w:firstLine="333" w:firstLineChars="13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b/>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招标文件、中标人的投标文件及招标过程中有关澄清、承诺文件均应作为合同附件。</w:t>
      </w:r>
    </w:p>
    <w:p w14:paraId="15EB0FCF">
      <w:pPr>
        <w:snapToGrid w:val="0"/>
        <w:spacing w:line="480" w:lineRule="exact"/>
        <w:ind w:left="0" w:leftChars="0" w:firstLine="333" w:firstLineChars="13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.3 签订合同后，</w:t>
      </w:r>
      <w:r>
        <w:rPr>
          <w:rFonts w:hint="eastAsia" w:ascii="宋体" w:hAnsi="宋体" w:eastAsia="宋体" w:cs="宋体"/>
          <w:i/>
          <w:color w:val="000000" w:themeColor="text1"/>
          <w:sz w:val="24"/>
          <w:szCs w:val="24"/>
          <w:highlight w:val="none"/>
          <w:u w:val="single"/>
          <w14:textFill>
            <w14:solidFill>
              <w14:schemeClr w14:val="tx1"/>
            </w14:solidFill>
          </w14:textFill>
        </w:rPr>
        <w:t>中标人不得将货物及其他相关服务进行转包</w:t>
      </w:r>
      <w:r>
        <w:rPr>
          <w:rFonts w:hint="eastAsia" w:ascii="宋体" w:hAnsi="宋体" w:eastAsia="宋体" w:cs="宋体"/>
          <w:color w:val="000000" w:themeColor="text1"/>
          <w:sz w:val="24"/>
          <w:szCs w:val="24"/>
          <w:highlight w:val="none"/>
          <w14:textFill>
            <w14:solidFill>
              <w14:schemeClr w14:val="tx1"/>
            </w14:solidFill>
          </w14:textFill>
        </w:rPr>
        <w:t>。未经采购人同意，中标人也不得采用分包的形式履行合同，否则采购人有权终止合同。转包或分包造成采购人损失的，中标人应承担相应赔偿责任。</w:t>
      </w:r>
    </w:p>
    <w:p w14:paraId="7D3972A1">
      <w:pPr>
        <w:pStyle w:val="7"/>
        <w:ind w:left="0" w:leftChars="0" w:firstLine="416" w:firstLineChars="139"/>
        <w:rPr>
          <w:rFonts w:hint="eastAsia" w:ascii="宋体" w:hAnsi="宋体" w:eastAsia="宋体" w:cs="宋体"/>
          <w:b w:val="0"/>
          <w:color w:val="000000" w:themeColor="text1"/>
          <w:sz w:val="30"/>
          <w:szCs w:val="30"/>
          <w:highlight w:val="none"/>
          <w14:textFill>
            <w14:solidFill>
              <w14:schemeClr w14:val="tx1"/>
            </w14:solidFill>
          </w14:textFill>
        </w:rPr>
      </w:pPr>
      <w:r>
        <w:rPr>
          <w:rFonts w:hint="eastAsia" w:ascii="宋体" w:hAnsi="宋体" w:eastAsia="宋体" w:cs="宋体"/>
          <w:b w:val="0"/>
          <w:color w:val="000000" w:themeColor="text1"/>
          <w:sz w:val="30"/>
          <w:szCs w:val="30"/>
          <w:highlight w:val="none"/>
          <w:lang w:eastAsia="zh-CN"/>
          <w14:textFill>
            <w14:solidFill>
              <w14:schemeClr w14:val="tx1"/>
            </w14:solidFill>
          </w14:textFill>
        </w:rPr>
        <w:t>32.</w:t>
      </w:r>
      <w:r>
        <w:rPr>
          <w:rFonts w:hint="eastAsia" w:ascii="宋体" w:hAnsi="宋体" w:eastAsia="宋体" w:cs="宋体"/>
          <w:b w:val="0"/>
          <w:color w:val="000000" w:themeColor="text1"/>
          <w:sz w:val="30"/>
          <w:szCs w:val="30"/>
          <w:highlight w:val="none"/>
          <w14:textFill>
            <w14:solidFill>
              <w14:schemeClr w14:val="tx1"/>
            </w14:solidFill>
          </w14:textFill>
        </w:rPr>
        <w:t>货物和服务的追加、减少和添购。</w:t>
      </w:r>
    </w:p>
    <w:p w14:paraId="367BF543">
      <w:pPr>
        <w:spacing w:line="480" w:lineRule="exact"/>
        <w:ind w:left="0" w:leftChars="0" w:firstLine="333" w:firstLineChars="13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政府采购合同履行中，采购人需追加与合同标的相同的货物和服务的，经政府采购管理部门同意后，在不改变合同其他条款的前提下，可以与中标人协商签订补充合同，但所有补充合同的采购金额不超过原合同金额10%。</w:t>
      </w:r>
    </w:p>
    <w:p w14:paraId="1BB824AA">
      <w:pPr>
        <w:spacing w:line="480" w:lineRule="exact"/>
        <w:ind w:left="0" w:leftChars="0" w:firstLine="333" w:firstLineChars="13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.2采购结束后，采购人若由于各种客观原因，必须对采购项目所牵涉的货物和服务进行适当的减少时，在双方协商一致的前提下，可以按照招标采购时的价格水平做相应的调减，并据此签订补充合同。</w:t>
      </w:r>
    </w:p>
    <w:bookmarkEnd w:id="177"/>
    <w:bookmarkEnd w:id="178"/>
    <w:bookmarkEnd w:id="179"/>
    <w:p w14:paraId="6E7AB158">
      <w:pPr>
        <w:rPr>
          <w:rFonts w:hint="eastAsia" w:ascii="宋体" w:hAnsi="宋体" w:eastAsia="宋体" w:cs="宋体"/>
          <w:color w:val="000000" w:themeColor="text1"/>
          <w:highlight w:val="none"/>
          <w14:textFill>
            <w14:solidFill>
              <w14:schemeClr w14:val="tx1"/>
            </w14:solidFill>
          </w14:textFill>
        </w:rPr>
      </w:pPr>
    </w:p>
    <w:p w14:paraId="76039C29">
      <w:pPr>
        <w:spacing w:line="500" w:lineRule="exact"/>
        <w:ind w:firstLine="555"/>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bookmarkStart w:id="180" w:name="_Toc534816635"/>
      <w:bookmarkStart w:id="181" w:name="_Toc534725606"/>
      <w:r>
        <w:rPr>
          <w:rStyle w:val="46"/>
          <w:rFonts w:hint="eastAsia"/>
          <w:color w:val="000000" w:themeColor="text1"/>
          <w:highlight w:val="none"/>
          <w14:textFill>
            <w14:solidFill>
              <w14:schemeClr w14:val="tx1"/>
            </w14:solidFill>
          </w14:textFill>
        </w:rPr>
        <w:t>第三章  合同</w:t>
      </w:r>
      <w:bookmarkEnd w:id="22"/>
      <w:bookmarkEnd w:id="23"/>
      <w:bookmarkEnd w:id="24"/>
      <w:bookmarkEnd w:id="25"/>
      <w:bookmarkEnd w:id="26"/>
      <w:r>
        <w:rPr>
          <w:rStyle w:val="46"/>
          <w:rFonts w:hint="eastAsia"/>
          <w:color w:val="000000" w:themeColor="text1"/>
          <w:highlight w:val="none"/>
          <w14:textFill>
            <w14:solidFill>
              <w14:schemeClr w14:val="tx1"/>
            </w14:solidFill>
          </w14:textFill>
        </w:rPr>
        <w:t>文本</w:t>
      </w:r>
      <w:bookmarkEnd w:id="27"/>
      <w:bookmarkEnd w:id="180"/>
      <w:bookmarkEnd w:id="181"/>
    </w:p>
    <w:p w14:paraId="5387608D">
      <w:pPr>
        <w:spacing w:line="50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bookmarkStart w:id="182" w:name="_Toc513029243"/>
      <w:bookmarkStart w:id="183" w:name="_Toc20823315"/>
      <w:bookmarkStart w:id="184" w:name="_Toc16938559"/>
      <w:r>
        <w:rPr>
          <w:rFonts w:hint="eastAsia" w:ascii="宋体" w:hAnsi="宋体" w:cs="宋体"/>
          <w:bCs/>
          <w:color w:val="000000" w:themeColor="text1"/>
          <w:sz w:val="24"/>
          <w:highlight w:val="none"/>
          <w:lang w:eastAsia="zh-CN"/>
          <w14:textFill>
            <w14:solidFill>
              <w14:schemeClr w14:val="tx1"/>
            </w14:solidFill>
          </w14:textFill>
        </w:rPr>
        <w:t>（以实际签订合同为准）</w:t>
      </w:r>
      <w:r>
        <w:rPr>
          <w:rFonts w:hint="eastAsia" w:ascii="宋体" w:hAnsi="宋体" w:eastAsia="宋体" w:cs="宋体"/>
          <w:bCs/>
          <w:color w:val="000000" w:themeColor="text1"/>
          <w:sz w:val="24"/>
          <w:highlight w:val="none"/>
          <w14:textFill>
            <w14:solidFill>
              <w14:schemeClr w14:val="tx1"/>
            </w14:solidFill>
          </w14:textFill>
        </w:rPr>
        <w:t>以下为中标后</w:t>
      </w:r>
      <w:r>
        <w:rPr>
          <w:rFonts w:hint="eastAsia" w:ascii="宋体" w:hAnsi="宋体" w:eastAsia="宋体" w:cs="宋体"/>
          <w:bCs/>
          <w:color w:val="000000" w:themeColor="text1"/>
          <w:sz w:val="24"/>
          <w:highlight w:val="none"/>
          <w:lang w:eastAsia="zh-CN"/>
          <w14:textFill>
            <w14:solidFill>
              <w14:schemeClr w14:val="tx1"/>
            </w14:solidFill>
          </w14:textFill>
        </w:rPr>
        <w:t>签订</w:t>
      </w:r>
      <w:r>
        <w:rPr>
          <w:rFonts w:hint="eastAsia" w:ascii="宋体" w:hAnsi="宋体" w:eastAsia="宋体" w:cs="宋体"/>
          <w:bCs/>
          <w:color w:val="000000" w:themeColor="text1"/>
          <w:sz w:val="24"/>
          <w:highlight w:val="none"/>
          <w14:textFill>
            <w14:solidFill>
              <w14:schemeClr w14:val="tx1"/>
            </w14:solidFill>
          </w14:textFill>
        </w:rPr>
        <w:t>本项目合同的通用条款，中标人不得提出实质性的修改，关于专用条款将由采购人与中标人结合本项目具体情况协商后签订。</w:t>
      </w:r>
    </w:p>
    <w:p w14:paraId="61EC8D8F">
      <w:pPr>
        <w:jc w:val="center"/>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新疆维吾尔自治区政府采购合同（合同编号）</w:t>
      </w:r>
    </w:p>
    <w:p w14:paraId="1DF64BA5">
      <w:pPr>
        <w:pStyle w:val="22"/>
        <w:snapToGrid w:val="0"/>
        <w:spacing w:before="120" w:after="1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                                       项目编号：</w:t>
      </w:r>
    </w:p>
    <w:p w14:paraId="5ADAE38D">
      <w:pPr>
        <w:pStyle w:val="22"/>
        <w:snapToGrid w:val="0"/>
        <w:spacing w:before="120" w:after="1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甲方：（买方）_________</w:t>
      </w:r>
    </w:p>
    <w:p w14:paraId="7AA0663D">
      <w:pPr>
        <w:pStyle w:val="22"/>
        <w:snapToGrid w:val="0"/>
        <w:spacing w:before="120" w:after="1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乙方：（卖方）_________</w:t>
      </w:r>
    </w:p>
    <w:p w14:paraId="5B260CB0">
      <w:pPr>
        <w:pStyle w:val="22"/>
        <w:snapToGrid w:val="0"/>
        <w:spacing w:before="120" w:after="12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甲、乙双方根据新疆维吾尔</w:t>
      </w:r>
      <w:r>
        <w:rPr>
          <w:rFonts w:hint="default" w:hAnsi="宋体" w:eastAsia="宋体" w:cs="宋体"/>
          <w:color w:val="000000" w:themeColor="text1"/>
          <w:sz w:val="24"/>
          <w:szCs w:val="24"/>
          <w:highlight w:val="none"/>
          <w14:textFill>
            <w14:solidFill>
              <w14:schemeClr w14:val="tx1"/>
            </w14:solidFill>
          </w14:textFill>
        </w:rPr>
        <w:t>自治区公共资源交易中心</w:t>
      </w:r>
      <w:r>
        <w:rPr>
          <w:rFonts w:hint="eastAsia" w:ascii="宋体" w:hAnsi="宋体" w:eastAsia="宋体" w:cs="宋体"/>
          <w:color w:val="000000" w:themeColor="text1"/>
          <w:sz w:val="24"/>
          <w:szCs w:val="24"/>
          <w:highlight w:val="none"/>
          <w:u w:val="single"/>
          <w14:textFill>
            <w14:solidFill>
              <w14:schemeClr w14:val="tx1"/>
            </w14:solidFill>
          </w14:textFill>
        </w:rPr>
        <w:t xml:space="preserve">                          组织的                                   </w:t>
      </w:r>
      <w:r>
        <w:rPr>
          <w:rFonts w:hint="eastAsia" w:ascii="宋体" w:hAnsi="宋体" w:eastAsia="宋体" w:cs="宋体"/>
          <w:color w:val="000000" w:themeColor="text1"/>
          <w:sz w:val="24"/>
          <w:szCs w:val="24"/>
          <w:highlight w:val="none"/>
          <w14:textFill>
            <w14:solidFill>
              <w14:schemeClr w14:val="tx1"/>
            </w14:solidFill>
          </w14:textFill>
        </w:rPr>
        <w:t>项目公开招标的结果，签署本合同。</w:t>
      </w:r>
    </w:p>
    <w:p w14:paraId="1ABE600C">
      <w:pPr>
        <w:pStyle w:val="22"/>
        <w:snapToGrid w:val="0"/>
        <w:spacing w:before="120" w:after="120"/>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一、产品内容</w:t>
      </w:r>
    </w:p>
    <w:p w14:paraId="2CC2D387">
      <w:pPr>
        <w:pStyle w:val="22"/>
        <w:snapToGrid w:val="0"/>
        <w:spacing w:before="120" w:after="120"/>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 产品名称：</w:t>
      </w:r>
    </w:p>
    <w:p w14:paraId="22319DA9">
      <w:pPr>
        <w:pStyle w:val="22"/>
        <w:snapToGrid w:val="0"/>
        <w:spacing w:before="120" w:after="120"/>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 型号规格：</w:t>
      </w:r>
    </w:p>
    <w:p w14:paraId="61D147EC">
      <w:pPr>
        <w:pStyle w:val="22"/>
        <w:snapToGrid w:val="0"/>
        <w:spacing w:before="120" w:after="120"/>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 数量（单位）：</w:t>
      </w:r>
    </w:p>
    <w:p w14:paraId="0383B637">
      <w:pPr>
        <w:pStyle w:val="22"/>
        <w:snapToGrid w:val="0"/>
        <w:spacing w:before="120" w:after="120"/>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二、合同金额</w:t>
      </w:r>
    </w:p>
    <w:p w14:paraId="07A24055">
      <w:pPr>
        <w:pStyle w:val="22"/>
        <w:snapToGrid w:val="0"/>
        <w:spacing w:before="120" w:after="120"/>
        <w:ind w:left="479" w:leftChars="228" w:firstLine="69" w:firstLineChars="2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 本合同金额为（大写）：____________________________________圆（_______________元）人民币或其他币种。</w:t>
      </w:r>
    </w:p>
    <w:p w14:paraId="1BEF0F31">
      <w:pPr>
        <w:pStyle w:val="22"/>
        <w:snapToGrid w:val="0"/>
        <w:spacing w:before="120" w:after="120"/>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三、技术资料</w:t>
      </w:r>
    </w:p>
    <w:p w14:paraId="26709184">
      <w:pPr>
        <w:pStyle w:val="22"/>
        <w:snapToGrid w:val="0"/>
        <w:spacing w:before="120" w:after="120"/>
        <w:ind w:left="479" w:leftChars="228" w:firstLine="69" w:firstLineChars="2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3.1乙方应按招标文件规定的时间向甲方提供使用货物的有关技术资料。</w:t>
      </w:r>
    </w:p>
    <w:p w14:paraId="072D0782">
      <w:pPr>
        <w:pStyle w:val="22"/>
        <w:snapToGrid w:val="0"/>
        <w:spacing w:before="120" w:after="120"/>
        <w:ind w:left="479" w:leftChars="228" w:firstLine="69" w:firstLineChars="2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43B7FFC">
      <w:pPr>
        <w:pStyle w:val="22"/>
        <w:snapToGrid w:val="0"/>
        <w:spacing w:before="120" w:after="120"/>
        <w:ind w:left="479" w:leftChars="228" w:firstLine="70" w:firstLineChars="2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四、知识产权</w:t>
      </w:r>
    </w:p>
    <w:p w14:paraId="286BEB44">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4.1乙</w:t>
      </w:r>
      <w:r>
        <w:rPr>
          <w:rFonts w:hint="eastAsia" w:ascii="宋体" w:hAnsi="宋体" w:eastAsia="宋体" w:cs="宋体"/>
          <w:color w:val="000000" w:themeColor="text1"/>
          <w:sz w:val="24"/>
          <w:highlight w:val="none"/>
          <w14:textFill>
            <w14:solidFill>
              <w14:schemeClr w14:val="tx1"/>
            </w14:solidFill>
          </w14:textFill>
        </w:rPr>
        <w:t>方应保证甲方在使用、接受本合同货物和服务或其任何一部分时不受第三方提出侵犯其专利权、版权、商标权和工业设计权等知识产权的起诉。一旦出现侵权，由乙方负全部责任。</w:t>
      </w:r>
    </w:p>
    <w:p w14:paraId="0AA65344">
      <w:pPr>
        <w:pStyle w:val="22"/>
        <w:snapToGrid w:val="0"/>
        <w:spacing w:before="120" w:after="120"/>
        <w:ind w:firstLine="482"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五、产权担保</w:t>
      </w:r>
    </w:p>
    <w:p w14:paraId="3B1D0D1A">
      <w:pPr>
        <w:pStyle w:val="22"/>
        <w:snapToGrid w:val="0"/>
        <w:spacing w:before="120" w:after="120"/>
        <w:ind w:left="479" w:leftChars="228" w:firstLine="72" w:firstLineChars="3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 乙方保证所交付的产品的所有权完全属于乙方且无任何抵押、查封等产权瑕疵。</w:t>
      </w:r>
    </w:p>
    <w:p w14:paraId="40FE3930">
      <w:pPr>
        <w:snapToGrid w:val="0"/>
        <w:spacing w:before="145" w:beforeLines="50" w:after="145" w:afterLines="50"/>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b/>
          <w:color w:val="000000" w:themeColor="text1"/>
          <w:sz w:val="24"/>
          <w:szCs w:val="24"/>
          <w:highlight w:val="none"/>
          <w14:textFill>
            <w14:solidFill>
              <w14:schemeClr w14:val="tx1"/>
            </w14:solidFill>
          </w14:textFill>
        </w:rPr>
        <w:t>、转包或分包</w:t>
      </w:r>
    </w:p>
    <w:p w14:paraId="101779A9">
      <w:pPr>
        <w:snapToGrid w:val="0"/>
        <w:spacing w:before="145" w:beforeLines="50" w:after="145" w:afterLines="50"/>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.1本合同范</w:t>
      </w:r>
      <w:r>
        <w:rPr>
          <w:rFonts w:hint="eastAsia" w:ascii="宋体" w:hAnsi="宋体" w:eastAsia="宋体" w:cs="宋体"/>
          <w:color w:val="000000" w:themeColor="text1"/>
          <w:sz w:val="24"/>
          <w:szCs w:val="24"/>
          <w:highlight w:val="none"/>
          <w:lang w:eastAsia="zh-CN"/>
          <w14:textFill>
            <w14:solidFill>
              <w14:schemeClr w14:val="tx1"/>
            </w14:solidFill>
          </w14:textFill>
        </w:rPr>
        <w:t>围内</w:t>
      </w:r>
      <w:r>
        <w:rPr>
          <w:rFonts w:hint="eastAsia" w:ascii="宋体" w:hAnsi="宋体" w:eastAsia="宋体" w:cs="宋体"/>
          <w:color w:val="000000" w:themeColor="text1"/>
          <w:sz w:val="24"/>
          <w:szCs w:val="24"/>
          <w:highlight w:val="none"/>
          <w14:textFill>
            <w14:solidFill>
              <w14:schemeClr w14:val="tx1"/>
            </w14:solidFill>
          </w14:textFill>
        </w:rPr>
        <w:t>的产品，应由乙方直接供应，不得转让他人供应；</w:t>
      </w:r>
    </w:p>
    <w:p w14:paraId="38F3DCCD">
      <w:pPr>
        <w:snapToGrid w:val="0"/>
        <w:spacing w:before="145" w:beforeLines="50" w:after="145" w:afterLines="50"/>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 除非得到甲方的书面同意，乙方不得部分分包给他人供应。</w:t>
      </w:r>
    </w:p>
    <w:p w14:paraId="227663A2">
      <w:pPr>
        <w:snapToGrid w:val="0"/>
        <w:spacing w:before="145" w:beforeLines="50" w:after="145" w:afterLines="50"/>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.3如有转让和未经甲方同意的分包行为，甲方有权给予终止合同。</w:t>
      </w:r>
    </w:p>
    <w:p w14:paraId="7D587122">
      <w:pPr>
        <w:pStyle w:val="22"/>
        <w:snapToGrid w:val="0"/>
        <w:spacing w:before="120" w:after="120"/>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b/>
          <w:color w:val="000000" w:themeColor="text1"/>
          <w:sz w:val="24"/>
          <w:szCs w:val="24"/>
          <w:highlight w:val="none"/>
          <w14:textFill>
            <w14:solidFill>
              <w14:schemeClr w14:val="tx1"/>
            </w14:solidFill>
          </w14:textFill>
        </w:rPr>
        <w:t>、质保期</w:t>
      </w:r>
    </w:p>
    <w:p w14:paraId="2F11C852">
      <w:pPr>
        <w:pStyle w:val="22"/>
        <w:snapToGrid w:val="0"/>
        <w:spacing w:before="120" w:after="120"/>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8.1 质保期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年。（自交货验收合格之日起计）</w:t>
      </w:r>
    </w:p>
    <w:p w14:paraId="13729460">
      <w:pPr>
        <w:pStyle w:val="22"/>
        <w:snapToGrid w:val="0"/>
        <w:spacing w:before="120" w:after="120"/>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b/>
          <w:color w:val="000000" w:themeColor="text1"/>
          <w:sz w:val="24"/>
          <w:szCs w:val="24"/>
          <w:highlight w:val="none"/>
          <w14:textFill>
            <w14:solidFill>
              <w14:schemeClr w14:val="tx1"/>
            </w14:solidFill>
          </w14:textFill>
        </w:rPr>
        <w:t>、交货期、交货方式及交货地点</w:t>
      </w:r>
    </w:p>
    <w:p w14:paraId="7B4DB9C5">
      <w:pPr>
        <w:pStyle w:val="22"/>
        <w:snapToGrid w:val="0"/>
        <w:spacing w:before="120" w:after="120"/>
        <w:ind w:left="0" w:leftChars="0"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Cs/>
          <w:color w:val="000000" w:themeColor="text1"/>
          <w:sz w:val="24"/>
          <w:szCs w:val="24"/>
          <w:highlight w:val="none"/>
          <w14:textFill>
            <w14:solidFill>
              <w14:schemeClr w14:val="tx1"/>
            </w14:solidFill>
          </w14:textFill>
        </w:rPr>
        <w:t>.1 交货期：</w:t>
      </w:r>
      <w:r>
        <w:rPr>
          <w:rFonts w:hint="eastAsia" w:ascii="宋体" w:hAnsi="宋体" w:eastAsia="宋体" w:cs="宋体"/>
          <w:color w:val="000000" w:themeColor="text1"/>
          <w:sz w:val="24"/>
          <w:szCs w:val="24"/>
          <w:highlight w:val="none"/>
          <w14:textFill>
            <w14:solidFill>
              <w14:schemeClr w14:val="tx1"/>
            </w14:solidFill>
          </w14:textFill>
        </w:rPr>
        <w:t>__</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____</w:t>
      </w:r>
    </w:p>
    <w:p w14:paraId="2548FB3A">
      <w:pPr>
        <w:pStyle w:val="22"/>
        <w:snapToGrid w:val="0"/>
        <w:spacing w:before="120" w:after="120"/>
        <w:ind w:left="0" w:leftChars="0"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Cs/>
          <w:color w:val="000000" w:themeColor="text1"/>
          <w:sz w:val="24"/>
          <w:szCs w:val="24"/>
          <w:highlight w:val="none"/>
          <w14:textFill>
            <w14:solidFill>
              <w14:schemeClr w14:val="tx1"/>
            </w14:solidFill>
          </w14:textFill>
        </w:rPr>
        <w:t>.2 交货方式：</w:t>
      </w:r>
      <w:r>
        <w:rPr>
          <w:rFonts w:hint="eastAsia" w:ascii="宋体" w:hAnsi="宋体" w:eastAsia="宋体" w:cs="宋体"/>
          <w:color w:val="000000" w:themeColor="text1"/>
          <w:sz w:val="24"/>
          <w:szCs w:val="24"/>
          <w:highlight w:val="none"/>
          <w14:textFill>
            <w14:solidFill>
              <w14:schemeClr w14:val="tx1"/>
            </w14:solidFill>
          </w14:textFill>
        </w:rPr>
        <w:t>___________</w:t>
      </w:r>
    </w:p>
    <w:p w14:paraId="2A41E7A4">
      <w:pPr>
        <w:pStyle w:val="22"/>
        <w:snapToGrid w:val="0"/>
        <w:spacing w:before="120" w:after="120"/>
        <w:ind w:left="0" w:leftChars="0" w:firstLine="420" w:firstLineChars="175"/>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Cs/>
          <w:color w:val="000000" w:themeColor="text1"/>
          <w:sz w:val="24"/>
          <w:szCs w:val="24"/>
          <w:highlight w:val="none"/>
          <w14:textFill>
            <w14:solidFill>
              <w14:schemeClr w14:val="tx1"/>
            </w14:solidFill>
          </w14:textFill>
        </w:rPr>
        <w:t>.3 交货地点：</w:t>
      </w:r>
      <w:r>
        <w:rPr>
          <w:rFonts w:hint="eastAsia" w:ascii="宋体" w:hAnsi="宋体" w:eastAsia="宋体" w:cs="宋体"/>
          <w:color w:val="000000" w:themeColor="text1"/>
          <w:sz w:val="24"/>
          <w:szCs w:val="24"/>
          <w:highlight w:val="none"/>
          <w14:textFill>
            <w14:solidFill>
              <w14:schemeClr w14:val="tx1"/>
            </w14:solidFill>
          </w14:textFill>
        </w:rPr>
        <w:t>__</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___</w:t>
      </w:r>
    </w:p>
    <w:p w14:paraId="04DD9A09">
      <w:pPr>
        <w:pStyle w:val="22"/>
        <w:snapToGrid w:val="0"/>
        <w:spacing w:before="120" w:after="120"/>
        <w:ind w:left="0" w:leftChars="0" w:firstLine="422"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九</w:t>
      </w:r>
      <w:r>
        <w:rPr>
          <w:rFonts w:hint="eastAsia" w:ascii="宋体" w:hAnsi="宋体" w:eastAsia="宋体" w:cs="宋体"/>
          <w:b/>
          <w:color w:val="000000" w:themeColor="text1"/>
          <w:sz w:val="24"/>
          <w:szCs w:val="24"/>
          <w:highlight w:val="none"/>
          <w14:textFill>
            <w14:solidFill>
              <w14:schemeClr w14:val="tx1"/>
            </w14:solidFill>
          </w14:textFill>
        </w:rPr>
        <w:t>、货款支付</w:t>
      </w:r>
    </w:p>
    <w:p w14:paraId="1481F6CF">
      <w:pPr>
        <w:pStyle w:val="22"/>
        <w:snapToGrid w:val="0"/>
        <w:spacing w:before="120" w:after="120"/>
        <w:ind w:left="0" w:leftChars="0"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Cs/>
          <w:color w:val="000000" w:themeColor="text1"/>
          <w:sz w:val="24"/>
          <w:szCs w:val="24"/>
          <w:highlight w:val="none"/>
          <w14:textFill>
            <w14:solidFill>
              <w14:schemeClr w14:val="tx1"/>
            </w14:solidFill>
          </w14:textFill>
        </w:rPr>
        <w:t>.1 采购资金的支付方式、时间及条件：</w:t>
      </w:r>
      <w:r>
        <w:rPr>
          <w:rFonts w:hint="eastAsia" w:ascii="宋体" w:hAnsi="宋体" w:eastAsia="宋体" w:cs="宋体"/>
          <w:color w:val="000000" w:themeColor="text1"/>
          <w:sz w:val="24"/>
          <w:szCs w:val="24"/>
          <w:highlight w:val="none"/>
          <w14:textFill>
            <w14:solidFill>
              <w14:schemeClr w14:val="tx1"/>
            </w14:solidFill>
          </w14:textFill>
        </w:rPr>
        <w:t>_________</w:t>
      </w:r>
    </w:p>
    <w:p w14:paraId="4FDBE979">
      <w:pPr>
        <w:pStyle w:val="22"/>
        <w:snapToGrid w:val="0"/>
        <w:spacing w:before="120" w:after="120"/>
        <w:ind w:left="0" w:leftChars="0"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Cs/>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当采购数量与实际使用数量不一致时，乙方应根据实际使用量供货，合同的最终结算金额按实际使用量乘以成交单价进行计算。</w:t>
      </w:r>
    </w:p>
    <w:p w14:paraId="11A6443C">
      <w:pPr>
        <w:snapToGrid w:val="0"/>
        <w:spacing w:before="145" w:beforeLines="50" w:after="145" w:afterLines="50"/>
        <w:ind w:left="0" w:leftChars="0" w:firstLine="422" w:firstLineChars="175"/>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十、</w:t>
      </w:r>
      <w:r>
        <w:rPr>
          <w:rFonts w:hint="eastAsia" w:ascii="宋体" w:hAnsi="宋体" w:eastAsia="宋体" w:cs="宋体"/>
          <w:b/>
          <w:color w:val="000000" w:themeColor="text1"/>
          <w:sz w:val="24"/>
          <w:szCs w:val="24"/>
          <w:highlight w:val="none"/>
          <w14:textFill>
            <w14:solidFill>
              <w14:schemeClr w14:val="tx1"/>
            </w14:solidFill>
          </w14:textFill>
        </w:rPr>
        <w:t>税费</w:t>
      </w:r>
    </w:p>
    <w:p w14:paraId="3AE1E0B7">
      <w:pPr>
        <w:snapToGrid w:val="0"/>
        <w:spacing w:before="145" w:beforeLines="50" w:after="145" w:afterLines="50"/>
        <w:ind w:left="0" w:leftChars="0"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.1本合同执行中相关的一切税费均由乙方负担。</w:t>
      </w:r>
    </w:p>
    <w:p w14:paraId="509EDE71">
      <w:pPr>
        <w:pStyle w:val="22"/>
        <w:snapToGrid w:val="0"/>
        <w:spacing w:before="120" w:after="120"/>
        <w:ind w:left="0" w:leftChars="0" w:firstLine="422"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十</w:t>
      </w:r>
      <w:r>
        <w:rPr>
          <w:rFonts w:hint="eastAsia" w:ascii="宋体" w:hAnsi="宋体" w:eastAsia="宋体" w:cs="宋体"/>
          <w:b/>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b/>
          <w:color w:val="000000" w:themeColor="text1"/>
          <w:sz w:val="24"/>
          <w:szCs w:val="24"/>
          <w:highlight w:val="none"/>
          <w14:textFill>
            <w14:solidFill>
              <w14:schemeClr w14:val="tx1"/>
            </w14:solidFill>
          </w14:textFill>
        </w:rPr>
        <w:t>、质量保证及售后服务</w:t>
      </w:r>
    </w:p>
    <w:p w14:paraId="401645DB">
      <w:pPr>
        <w:pStyle w:val="22"/>
        <w:snapToGrid w:val="0"/>
        <w:spacing w:before="120" w:after="120"/>
        <w:ind w:left="0" w:leftChars="0"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 乙方应按招标文件规定的货物性能、技术要求、质量标准向甲方提供未经使用的全新产品。</w:t>
      </w:r>
    </w:p>
    <w:p w14:paraId="328FA49A">
      <w:pPr>
        <w:pStyle w:val="22"/>
        <w:snapToGrid w:val="0"/>
        <w:spacing w:before="120" w:after="120"/>
        <w:ind w:left="0" w:leftChars="0"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.2 乙方提供的货物在质保期内因产品本身的质量问题发生故障，乙方应负责免费更换。对达不到技术要求者，根据实际情况，经双方协商，可按以下办法处理：</w:t>
      </w:r>
    </w:p>
    <w:p w14:paraId="7CC120BF">
      <w:pPr>
        <w:pStyle w:val="22"/>
        <w:snapToGrid w:val="0"/>
        <w:spacing w:before="120" w:after="120"/>
        <w:ind w:left="0" w:leftChars="0"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⑴更换：由乙方承担所发生的全部费用。</w:t>
      </w:r>
    </w:p>
    <w:p w14:paraId="143298F5">
      <w:pPr>
        <w:pStyle w:val="22"/>
        <w:snapToGrid w:val="0"/>
        <w:spacing w:before="120" w:after="120"/>
        <w:ind w:left="0" w:leftChars="0"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⑵贬值处理：由甲乙双方合议定价。</w:t>
      </w:r>
    </w:p>
    <w:p w14:paraId="77BBAC95">
      <w:pPr>
        <w:pStyle w:val="22"/>
        <w:snapToGrid w:val="0"/>
        <w:spacing w:before="120" w:after="120"/>
        <w:ind w:left="0" w:leftChars="0"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⑶退货处理：乙方应退还甲方支付的合同款，同时应承担该产品的直接费用（运输、保险、检验、货款利息及银行手续费等）。</w:t>
      </w:r>
    </w:p>
    <w:p w14:paraId="02A9E869">
      <w:pPr>
        <w:pStyle w:val="22"/>
        <w:snapToGrid w:val="0"/>
        <w:spacing w:before="120" w:after="120"/>
        <w:ind w:left="0" w:leftChars="0"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.3 如在使用过程中发生质量问题，乙方在接到甲方通知后在_____小时内到达甲方现场。</w:t>
      </w:r>
    </w:p>
    <w:p w14:paraId="2F23C7E1">
      <w:pPr>
        <w:pStyle w:val="22"/>
        <w:snapToGrid w:val="0"/>
        <w:spacing w:before="120" w:after="120"/>
        <w:ind w:left="0" w:leftChars="0"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.4 在质保期内，乙方应对产品出现的质量及安全问题负责处理解决并承担一切费用。</w:t>
      </w:r>
    </w:p>
    <w:p w14:paraId="63513DA4">
      <w:pPr>
        <w:pStyle w:val="22"/>
        <w:snapToGrid w:val="0"/>
        <w:spacing w:before="120" w:after="120"/>
        <w:ind w:left="0" w:leftChars="0"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hAnsi="宋体" w:eastAsia="宋体" w:cs="宋体"/>
          <w:color w:val="000000" w:themeColor="text1"/>
          <w:sz w:val="24"/>
          <w:szCs w:val="24"/>
          <w:highlight w:val="none"/>
          <w:lang w:eastAsia="zh-CN"/>
          <w14:textFill>
            <w14:solidFill>
              <w14:schemeClr w14:val="tx1"/>
            </w14:solidFill>
          </w14:textFill>
        </w:rPr>
        <w:t>上述</w:t>
      </w:r>
      <w:r>
        <w:rPr>
          <w:rFonts w:hint="eastAsia" w:ascii="宋体" w:hAnsi="宋体" w:eastAsia="宋体" w:cs="宋体"/>
          <w:color w:val="000000" w:themeColor="text1"/>
          <w:sz w:val="24"/>
          <w:szCs w:val="24"/>
          <w:highlight w:val="none"/>
          <w14:textFill>
            <w14:solidFill>
              <w14:schemeClr w14:val="tx1"/>
            </w14:solidFill>
          </w14:textFill>
        </w:rPr>
        <w:t>产品的免费保修期为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年，因人为因素出现的故障不在免费保修范围内。超过保修期后，</w:t>
      </w:r>
      <w:r>
        <w:rPr>
          <w:rFonts w:hint="eastAsia" w:hAnsi="宋体" w:eastAsia="宋体" w:cs="宋体"/>
          <w:color w:val="000000" w:themeColor="text1"/>
          <w:sz w:val="24"/>
          <w:szCs w:val="24"/>
          <w:highlight w:val="none"/>
          <w:lang w:eastAsia="zh-CN"/>
          <w14:textFill>
            <w14:solidFill>
              <w14:schemeClr w14:val="tx1"/>
            </w14:solidFill>
          </w14:textFill>
        </w:rPr>
        <w:t>终身维修</w:t>
      </w:r>
      <w:r>
        <w:rPr>
          <w:rFonts w:hint="eastAsia" w:ascii="宋体" w:hAnsi="宋体" w:eastAsia="宋体" w:cs="宋体"/>
          <w:color w:val="000000" w:themeColor="text1"/>
          <w:sz w:val="24"/>
          <w:szCs w:val="24"/>
          <w:highlight w:val="none"/>
          <w14:textFill>
            <w14:solidFill>
              <w14:schemeClr w14:val="tx1"/>
            </w14:solidFill>
          </w14:textFill>
        </w:rPr>
        <w:t>，维修时只收部件成本费。</w:t>
      </w:r>
    </w:p>
    <w:p w14:paraId="5A765849">
      <w:pPr>
        <w:pStyle w:val="22"/>
        <w:snapToGrid w:val="0"/>
        <w:spacing w:before="120" w:after="120"/>
        <w:ind w:left="0" w:leftChars="0" w:firstLine="422" w:firstLineChars="175"/>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十</w:t>
      </w:r>
      <w:r>
        <w:rPr>
          <w:rFonts w:hint="eastAsia" w:ascii="宋体" w:hAnsi="宋体" w:eastAsia="宋体" w:cs="宋体"/>
          <w:b/>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
          <w:color w:val="000000" w:themeColor="text1"/>
          <w:sz w:val="24"/>
          <w:szCs w:val="24"/>
          <w:highlight w:val="none"/>
          <w14:textFill>
            <w14:solidFill>
              <w14:schemeClr w14:val="tx1"/>
            </w14:solidFill>
          </w14:textFill>
        </w:rPr>
        <w:t>、调试和验收</w:t>
      </w:r>
    </w:p>
    <w:p w14:paraId="34DA18C0">
      <w:pPr>
        <w:pStyle w:val="22"/>
        <w:snapToGrid w:val="0"/>
        <w:spacing w:before="120" w:after="120"/>
        <w:ind w:left="0" w:leftChars="0"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 甲方对乙方提交的货物依据招标文件上的技术规格要求和国家有关质量标准进行现场初步验收，外观、说明书符合招标文件技术要求的，给予签收，初步验收不合格的不予签收。货到后，甲方需在五个工作日内验收。</w:t>
      </w:r>
    </w:p>
    <w:p w14:paraId="57726BF8">
      <w:pPr>
        <w:pStyle w:val="22"/>
        <w:snapToGrid w:val="0"/>
        <w:spacing w:before="120" w:after="120"/>
        <w:ind w:left="0" w:leftChars="0"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.2 乙方交货前应对产品作出全面检查和对验收文件进行整理，并列出清单，作为甲方收货验收和使用的技术条件依据，检验的结果应随货物交甲方。</w:t>
      </w:r>
    </w:p>
    <w:p w14:paraId="38CFB24B">
      <w:pPr>
        <w:pStyle w:val="22"/>
        <w:snapToGrid w:val="0"/>
        <w:spacing w:before="120" w:after="120"/>
        <w:ind w:left="0" w:leftChars="0" w:firstLine="420" w:firstLineChars="175"/>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.3 甲方对乙方提供的货物在使用前进行调试时，乙方需负责安装并培训甲方的使用操作人员，并协助甲方一起调试，直到符合技术要求，甲方才做最终验收。</w:t>
      </w:r>
    </w:p>
    <w:p w14:paraId="0C92CF73">
      <w:pPr>
        <w:pStyle w:val="22"/>
        <w:snapToGrid w:val="0"/>
        <w:spacing w:before="120" w:after="120"/>
        <w:ind w:left="0" w:leftChars="0"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.4 对技术复杂的货物，甲方可请国家认可的专业检测机构参与初步验收及最终验收，并由其出具质量检测报告。</w:t>
      </w:r>
    </w:p>
    <w:p w14:paraId="5564C1CC">
      <w:pPr>
        <w:pStyle w:val="22"/>
        <w:snapToGrid w:val="0"/>
        <w:spacing w:before="120" w:after="120"/>
        <w:ind w:left="0" w:leftChars="0"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.5 验收时乙方必须在现场，验收完毕后作出验收结果报告；验收费用由甲乙双方协商解决。</w:t>
      </w:r>
    </w:p>
    <w:p w14:paraId="77466B81">
      <w:pPr>
        <w:pStyle w:val="22"/>
        <w:snapToGrid w:val="0"/>
        <w:spacing w:before="120" w:after="120"/>
        <w:ind w:left="0" w:leftChars="0" w:firstLine="422" w:firstLineChars="175"/>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十</w:t>
      </w:r>
      <w:r>
        <w:rPr>
          <w:rFonts w:hint="eastAsia" w:ascii="宋体" w:hAnsi="宋体" w:eastAsia="宋体" w:cs="宋体"/>
          <w:b/>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color w:val="000000" w:themeColor="text1"/>
          <w:sz w:val="24"/>
          <w:szCs w:val="24"/>
          <w:highlight w:val="none"/>
          <w14:textFill>
            <w14:solidFill>
              <w14:schemeClr w14:val="tx1"/>
            </w14:solidFill>
          </w14:textFill>
        </w:rPr>
        <w:t>、产品包装、发运及运输</w:t>
      </w:r>
    </w:p>
    <w:p w14:paraId="40A8631F">
      <w:pPr>
        <w:pStyle w:val="22"/>
        <w:snapToGrid w:val="0"/>
        <w:spacing w:before="120" w:after="120"/>
        <w:ind w:left="0" w:leftChars="0"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.1 乙方应在产品发运前对其进行满足运输距离、防潮、防震、防锈和防破损装卸等要求包装，以保证产品安全运达甲方指定地点。</w:t>
      </w:r>
    </w:p>
    <w:p w14:paraId="46F899EF">
      <w:pPr>
        <w:pStyle w:val="22"/>
        <w:snapToGrid w:val="0"/>
        <w:spacing w:before="120" w:after="120"/>
        <w:ind w:left="0" w:leftChars="0"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.2 使用说明书、质量检验证明书、随配附件和工具以及清单一并附于产品内。</w:t>
      </w:r>
    </w:p>
    <w:p w14:paraId="3CAD07D1">
      <w:pPr>
        <w:pStyle w:val="22"/>
        <w:snapToGrid w:val="0"/>
        <w:spacing w:before="120" w:after="120"/>
        <w:ind w:left="0" w:leftChars="0"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.3 乙方在产品发运手续办理完毕后24小时内或货到甲方48小时前通知甲方，以准备接货。</w:t>
      </w:r>
    </w:p>
    <w:p w14:paraId="1562EE6E">
      <w:pPr>
        <w:pStyle w:val="22"/>
        <w:snapToGrid w:val="0"/>
        <w:spacing w:before="120" w:after="120"/>
        <w:ind w:left="0" w:leftChars="0"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.4 产品在交付甲方前发生的风险均由乙方负责。</w:t>
      </w:r>
    </w:p>
    <w:p w14:paraId="4F18D1DF">
      <w:pPr>
        <w:pStyle w:val="22"/>
        <w:snapToGrid w:val="0"/>
        <w:spacing w:before="156" w:after="156"/>
        <w:ind w:left="0" w:leftChars="0" w:right="26"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.5 产品在规定的交付期限内由乙方送达甲方指定的地点视为交付，乙方同时需通知甲方产品已送达。</w:t>
      </w:r>
    </w:p>
    <w:p w14:paraId="2B534197">
      <w:pPr>
        <w:pStyle w:val="22"/>
        <w:snapToGrid w:val="0"/>
        <w:spacing w:before="120" w:after="120"/>
        <w:ind w:left="0" w:leftChars="0" w:firstLine="422" w:firstLineChars="175"/>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十</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color w:val="000000" w:themeColor="text1"/>
          <w:sz w:val="24"/>
          <w:szCs w:val="24"/>
          <w:highlight w:val="none"/>
          <w14:textFill>
            <w14:solidFill>
              <w14:schemeClr w14:val="tx1"/>
            </w14:solidFill>
          </w14:textFill>
        </w:rPr>
        <w:t>、违约责任</w:t>
      </w:r>
    </w:p>
    <w:p w14:paraId="35F03F7C">
      <w:pPr>
        <w:pStyle w:val="22"/>
        <w:snapToGrid w:val="0"/>
        <w:spacing w:before="120" w:after="120"/>
        <w:ind w:left="0" w:leftChars="0"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 甲方无正当理由拒收产品的，甲方向乙方偿付拒收货款总值的百分之五违约金。</w:t>
      </w:r>
    </w:p>
    <w:p w14:paraId="31FCD27E">
      <w:pPr>
        <w:pStyle w:val="22"/>
        <w:snapToGrid w:val="0"/>
        <w:spacing w:before="120" w:after="120"/>
        <w:ind w:left="0" w:leftChars="0"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.2 甲方无故逾期验收和办理货款支付手续的</w:t>
      </w:r>
      <w:r>
        <w:rPr>
          <w:rFonts w:hint="eastAsia"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甲方应按逾期付款总额每日万分之五向乙方支付违约金。</w:t>
      </w:r>
    </w:p>
    <w:p w14:paraId="441F017B">
      <w:pPr>
        <w:pStyle w:val="22"/>
        <w:snapToGrid w:val="0"/>
        <w:spacing w:before="120" w:after="120"/>
        <w:ind w:left="0" w:leftChars="0"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 xml:space="preserve">.3 乙方逾期交付产品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2A856909">
      <w:pPr>
        <w:pStyle w:val="22"/>
        <w:snapToGrid w:val="0"/>
        <w:spacing w:before="120" w:after="120"/>
        <w:ind w:left="0" w:leftChars="0"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.4 乙方所交的货物品种、型号、规格、技术参数、质量不符合合同规定及招标文件规定标准的，甲方有权拒收该货物，乙方愿意更换货物但逾期交货的，按乙方逾期交货处理。乙方拒绝更换产品的，甲方可单方面解除合同。</w:t>
      </w:r>
    </w:p>
    <w:p w14:paraId="11A1DB1F">
      <w:pPr>
        <w:pStyle w:val="22"/>
        <w:snapToGrid w:val="0"/>
        <w:spacing w:before="120" w:after="120"/>
        <w:ind w:left="0" w:leftChars="0" w:firstLine="422" w:firstLineChars="175"/>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十</w:t>
      </w:r>
      <w:r>
        <w:rPr>
          <w:rFonts w:hint="eastAsia" w:ascii="宋体" w:hAnsi="宋体" w:eastAsia="宋体" w:cs="宋体"/>
          <w:b/>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color w:val="000000" w:themeColor="text1"/>
          <w:sz w:val="24"/>
          <w:szCs w:val="24"/>
          <w:highlight w:val="none"/>
          <w14:textFill>
            <w14:solidFill>
              <w14:schemeClr w14:val="tx1"/>
            </w14:solidFill>
          </w14:textFill>
        </w:rPr>
        <w:t>、不可抗力事件处理</w:t>
      </w:r>
    </w:p>
    <w:p w14:paraId="07FCCE92">
      <w:pPr>
        <w:pStyle w:val="22"/>
        <w:snapToGrid w:val="0"/>
        <w:spacing w:before="120" w:after="120"/>
        <w:ind w:left="0" w:leftChars="0"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 在合同有效期内，任何一方因不可抗力事件导致不能履行合同，则合同履行期可延长，其延长期与不可抗力影响期相同。</w:t>
      </w:r>
    </w:p>
    <w:p w14:paraId="6B4E30FA">
      <w:pPr>
        <w:pStyle w:val="22"/>
        <w:snapToGrid w:val="0"/>
        <w:spacing w:before="120" w:after="120"/>
        <w:ind w:left="0" w:leftChars="0"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 不可抗力事件发生后，应立即通知对方，并寄送有关权威机构出具的证明。</w:t>
      </w:r>
    </w:p>
    <w:p w14:paraId="163987A2">
      <w:pPr>
        <w:pStyle w:val="22"/>
        <w:snapToGrid w:val="0"/>
        <w:spacing w:before="120" w:after="120"/>
        <w:ind w:left="0" w:leftChars="0"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 不可抗力事件延续120天以上，双方应通过友好协商，确定是否继续履行合同。</w:t>
      </w:r>
    </w:p>
    <w:p w14:paraId="7A12556F">
      <w:pPr>
        <w:pStyle w:val="22"/>
        <w:snapToGrid w:val="0"/>
        <w:spacing w:before="120" w:after="120"/>
        <w:ind w:left="0" w:leftChars="0" w:firstLine="422" w:firstLineChars="175"/>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十</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b/>
          <w:color w:val="000000" w:themeColor="text1"/>
          <w:sz w:val="24"/>
          <w:szCs w:val="24"/>
          <w:highlight w:val="none"/>
          <w14:textFill>
            <w14:solidFill>
              <w14:schemeClr w14:val="tx1"/>
            </w14:solidFill>
          </w14:textFill>
        </w:rPr>
        <w:t>、诉讼</w:t>
      </w:r>
    </w:p>
    <w:p w14:paraId="141B0348">
      <w:pPr>
        <w:pStyle w:val="22"/>
        <w:snapToGrid w:val="0"/>
        <w:spacing w:before="120" w:after="120"/>
        <w:ind w:left="0" w:leftChars="0"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 双方在执行合同中所发生的一切争议，应通过协商解决。如协商不成，可向合同签订地法院起诉，合同签订地在此约定为</w:t>
      </w:r>
      <w:r>
        <w:rPr>
          <w:rFonts w:hint="eastAsia" w:ascii="宋体" w:hAnsi="宋体" w:eastAsia="宋体" w:cs="宋体"/>
          <w:color w:val="000000" w:themeColor="text1"/>
          <w:sz w:val="24"/>
          <w:szCs w:val="24"/>
          <w:highlight w:val="none"/>
          <w:u w:val="single"/>
          <w14:textFill>
            <w14:solidFill>
              <w14:schemeClr w14:val="tx1"/>
            </w14:solidFill>
          </w14:textFill>
        </w:rPr>
        <w:t>乌鲁木齐市</w:t>
      </w:r>
      <w:r>
        <w:rPr>
          <w:rFonts w:hint="eastAsia" w:ascii="宋体" w:hAnsi="宋体" w:eastAsia="宋体" w:cs="宋体"/>
          <w:color w:val="000000" w:themeColor="text1"/>
          <w:sz w:val="24"/>
          <w:szCs w:val="24"/>
          <w:highlight w:val="none"/>
          <w14:textFill>
            <w14:solidFill>
              <w14:schemeClr w14:val="tx1"/>
            </w14:solidFill>
          </w14:textFill>
        </w:rPr>
        <w:t>。</w:t>
      </w:r>
    </w:p>
    <w:p w14:paraId="7793F26B">
      <w:pPr>
        <w:pStyle w:val="22"/>
        <w:snapToGrid w:val="0"/>
        <w:spacing w:before="120" w:after="120"/>
        <w:ind w:left="0" w:leftChars="0" w:firstLine="422" w:firstLineChars="175"/>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十</w:t>
      </w:r>
      <w:r>
        <w:rPr>
          <w:rFonts w:hint="eastAsia" w:ascii="宋体" w:hAnsi="宋体" w:eastAsia="宋体" w:cs="宋体"/>
          <w:b/>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b/>
          <w:color w:val="000000" w:themeColor="text1"/>
          <w:sz w:val="24"/>
          <w:szCs w:val="24"/>
          <w:highlight w:val="none"/>
          <w14:textFill>
            <w14:solidFill>
              <w14:schemeClr w14:val="tx1"/>
            </w14:solidFill>
          </w14:textFill>
        </w:rPr>
        <w:t>、合同生效及其它</w:t>
      </w:r>
    </w:p>
    <w:p w14:paraId="1DA1E475">
      <w:pPr>
        <w:pStyle w:val="22"/>
        <w:snapToGrid w:val="0"/>
        <w:spacing w:before="120" w:after="120"/>
        <w:ind w:left="0" w:leftChars="0"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.1合同经双方法定代表人或授权委托代表人签字并加盖单位公章后生效。</w:t>
      </w:r>
    </w:p>
    <w:p w14:paraId="0A036DDD">
      <w:pPr>
        <w:pStyle w:val="1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.2本合同未尽事宜</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，遵照《中华人民共和国民法典》有关条文执行。</w:t>
      </w:r>
    </w:p>
    <w:p w14:paraId="0E3522B1">
      <w:pPr>
        <w:pStyle w:val="22"/>
        <w:snapToGrid w:val="0"/>
        <w:spacing w:before="120" w:after="120"/>
        <w:ind w:left="0" w:leftChars="0"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.3本合同正本一式三份，具有同等法律效力，甲方、乙方及财政监管部门各执一份。</w:t>
      </w:r>
    </w:p>
    <w:p w14:paraId="4634E31F">
      <w:pPr>
        <w:pStyle w:val="22"/>
        <w:snapToGrid w:val="0"/>
        <w:spacing w:before="120" w:after="120"/>
        <w:ind w:left="480" w:hanging="480" w:hangingChars="200"/>
        <w:rPr>
          <w:rFonts w:hint="eastAsia" w:ascii="宋体" w:hAnsi="宋体" w:eastAsia="宋体" w:cs="宋体"/>
          <w:color w:val="000000" w:themeColor="text1"/>
          <w:sz w:val="24"/>
          <w:szCs w:val="24"/>
          <w:highlight w:val="none"/>
          <w14:textFill>
            <w14:solidFill>
              <w14:schemeClr w14:val="tx1"/>
            </w14:solidFill>
          </w14:textFill>
        </w:rPr>
      </w:pPr>
    </w:p>
    <w:p w14:paraId="1F3BD187">
      <w:pPr>
        <w:pStyle w:val="22"/>
        <w:snapToGrid w:val="0"/>
        <w:spacing w:before="120" w:after="120" w:line="0" w:lineRule="atLeast"/>
        <w:ind w:left="480" w:hanging="480" w:hanging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甲方：                        乙方： </w:t>
      </w:r>
    </w:p>
    <w:p w14:paraId="6B8C2F76">
      <w:pPr>
        <w:pStyle w:val="22"/>
        <w:snapToGrid w:val="0"/>
        <w:spacing w:before="120" w:after="120" w:line="0" w:lineRule="atLeas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地址：                        地址： </w:t>
      </w:r>
    </w:p>
    <w:p w14:paraId="501FCC1B">
      <w:pPr>
        <w:pStyle w:val="22"/>
        <w:snapToGrid w:val="0"/>
        <w:spacing w:before="120" w:after="120" w:line="0" w:lineRule="atLeas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法定代表人或授权代表：        法定代表人或授权代表：</w:t>
      </w:r>
    </w:p>
    <w:p w14:paraId="5C85DADB">
      <w:pPr>
        <w:pStyle w:val="22"/>
        <w:snapToGrid w:val="0"/>
        <w:spacing w:before="120" w:after="120" w:line="0" w:lineRule="atLeas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联系电话：                    联系电话：          </w:t>
      </w:r>
    </w:p>
    <w:p w14:paraId="7B50EA55">
      <w:pPr>
        <w:pStyle w:val="22"/>
        <w:snapToGrid w:val="0"/>
        <w:spacing w:before="120" w:after="120" w:line="0" w:lineRule="atLeast"/>
        <w:jc w:val="center"/>
        <w:rPr>
          <w:rFonts w:hint="eastAsia" w:ascii="宋体" w:hAnsi="宋体" w:eastAsia="宋体" w:cs="宋体"/>
          <w:color w:val="000000" w:themeColor="text1"/>
          <w:sz w:val="24"/>
          <w:szCs w:val="24"/>
          <w:highlight w:val="none"/>
          <w14:textFill>
            <w14:solidFill>
              <w14:schemeClr w14:val="tx1"/>
            </w14:solidFill>
          </w14:textFill>
        </w:rPr>
      </w:pPr>
    </w:p>
    <w:p w14:paraId="018C9E9F">
      <w:pPr>
        <w:pStyle w:val="22"/>
        <w:snapToGrid w:val="0"/>
        <w:spacing w:before="120" w:after="120" w:line="0" w:lineRule="atLeas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签订日期：      年  月  日</w:t>
      </w:r>
      <w:bookmarkEnd w:id="182"/>
      <w:bookmarkEnd w:id="183"/>
      <w:bookmarkEnd w:id="184"/>
      <w:bookmarkStart w:id="185" w:name="_Hlt16619369"/>
      <w:bookmarkEnd w:id="185"/>
      <w:bookmarkStart w:id="186" w:name="_Hlt16619350"/>
      <w:bookmarkStart w:id="187" w:name="_Toc16938590"/>
      <w:bookmarkStart w:id="188" w:name="_Toc120614244"/>
      <w:bookmarkStart w:id="189" w:name="_Toc20823346"/>
      <w:bookmarkStart w:id="190" w:name="_Toc462564139"/>
      <w:bookmarkStart w:id="191" w:name="_Toc479757211"/>
    </w:p>
    <w:p w14:paraId="254C6B23">
      <w:pPr>
        <w:pStyle w:val="22"/>
        <w:snapToGrid w:val="0"/>
        <w:spacing w:before="120" w:after="120" w:line="0" w:lineRule="atLeast"/>
        <w:jc w:val="center"/>
        <w:rPr>
          <w:rFonts w:hint="eastAsia" w:ascii="宋体" w:hAnsi="宋体" w:eastAsia="宋体" w:cs="宋体"/>
          <w:color w:val="000000" w:themeColor="text1"/>
          <w:highlight w:val="none"/>
          <w14:textFill>
            <w14:solidFill>
              <w14:schemeClr w14:val="tx1"/>
            </w14:solidFill>
          </w14:textFill>
        </w:rPr>
      </w:pPr>
    </w:p>
    <w:p w14:paraId="4E26C173">
      <w:pPr>
        <w:pStyle w:val="22"/>
        <w:snapToGrid w:val="0"/>
        <w:spacing w:before="120" w:after="120" w:line="0" w:lineRule="atLeast"/>
        <w:jc w:val="center"/>
        <w:rPr>
          <w:rFonts w:hint="eastAsia" w:ascii="宋体" w:hAnsi="宋体" w:eastAsia="宋体" w:cs="宋体"/>
          <w:bCs/>
          <w:color w:val="000000" w:themeColor="text1"/>
          <w:sz w:val="44"/>
          <w:highlight w:val="none"/>
          <w14:textFill>
            <w14:solidFill>
              <w14:schemeClr w14:val="tx1"/>
            </w14:solidFill>
          </w14:textFill>
        </w:rPr>
        <w:sectPr>
          <w:footerReference r:id="rId3" w:type="default"/>
          <w:pgSz w:w="11906" w:h="16838"/>
          <w:pgMar w:top="1418" w:right="1588" w:bottom="1418" w:left="1365" w:header="851" w:footer="907" w:gutter="0"/>
          <w:cols w:space="720" w:num="1"/>
          <w:titlePg/>
          <w:docGrid w:type="lines" w:linePitch="290" w:charSpace="0"/>
        </w:sectPr>
      </w:pPr>
    </w:p>
    <w:p w14:paraId="11B3CE03">
      <w:pPr>
        <w:pStyle w:val="5"/>
        <w:rPr>
          <w:rFonts w:hint="eastAsia" w:ascii="宋体" w:hAnsi="宋体" w:eastAsia="宋体" w:cs="宋体"/>
          <w:color w:val="000000" w:themeColor="text1"/>
          <w:highlight w:val="none"/>
          <w14:textFill>
            <w14:solidFill>
              <w14:schemeClr w14:val="tx1"/>
            </w14:solidFill>
          </w14:textFill>
        </w:rPr>
      </w:pPr>
      <w:bookmarkStart w:id="192" w:name="_Toc534816636"/>
      <w:bookmarkStart w:id="193" w:name="_Toc534725607"/>
      <w:bookmarkStart w:id="194" w:name="_Toc494375080"/>
      <w:r>
        <w:rPr>
          <w:rFonts w:hint="eastAsia" w:ascii="宋体" w:hAnsi="宋体" w:eastAsia="宋体" w:cs="宋体"/>
          <w:color w:val="000000" w:themeColor="text1"/>
          <w:highlight w:val="none"/>
          <w14:textFill>
            <w14:solidFill>
              <w14:schemeClr w14:val="tx1"/>
            </w14:solidFill>
          </w14:textFill>
        </w:rPr>
        <w:t>第</w:t>
      </w:r>
      <w:bookmarkEnd w:id="186"/>
      <w:r>
        <w:rPr>
          <w:rFonts w:hint="eastAsia" w:ascii="宋体" w:hAnsi="宋体" w:eastAsia="宋体" w:cs="宋体"/>
          <w:color w:val="000000" w:themeColor="text1"/>
          <w:highlight w:val="none"/>
          <w14:textFill>
            <w14:solidFill>
              <w14:schemeClr w14:val="tx1"/>
            </w14:solidFill>
          </w14:textFill>
        </w:rPr>
        <w:t>四章  项目需求</w:t>
      </w:r>
      <w:bookmarkEnd w:id="187"/>
      <w:bookmarkEnd w:id="188"/>
      <w:bookmarkEnd w:id="189"/>
      <w:bookmarkEnd w:id="192"/>
      <w:bookmarkEnd w:id="193"/>
      <w:bookmarkEnd w:id="194"/>
    </w:p>
    <w:p w14:paraId="68C375F5">
      <w:pPr>
        <w:pStyle w:val="22"/>
        <w:snapToGrid w:val="0"/>
        <w:spacing w:before="156" w:after="156"/>
        <w:ind w:left="0" w:leftChars="0" w:right="26" w:firstLine="420" w:firstLineChars="175"/>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195" w:name="_Toc26554093"/>
      <w:bookmarkStart w:id="196" w:name="_Toc49090575"/>
    </w:p>
    <w:p w14:paraId="0D0D9467">
      <w:pPr>
        <w:pStyle w:val="22"/>
        <w:snapToGrid w:val="0"/>
        <w:spacing w:before="156" w:after="156"/>
        <w:ind w:left="0" w:leftChars="0" w:right="26" w:firstLine="420" w:firstLineChars="175"/>
        <w:rPr>
          <w:rFonts w:hint="eastAsia" w:ascii="宋体" w:hAnsi="宋体" w:eastAsia="宋体" w:cs="宋体"/>
          <w:color w:val="000000" w:themeColor="text1"/>
          <w:sz w:val="24"/>
          <w:szCs w:val="24"/>
          <w:highlight w:val="none"/>
          <w14:textFill>
            <w14:solidFill>
              <w14:schemeClr w14:val="tx1"/>
            </w14:solidFill>
          </w14:textFill>
        </w:rPr>
      </w:pPr>
      <w:bookmarkStart w:id="197" w:name="_Toc534816637"/>
      <w:bookmarkStart w:id="198" w:name="_Toc534725608"/>
      <w:r>
        <w:rPr>
          <w:rFonts w:hint="eastAsia" w:ascii="宋体" w:hAnsi="宋体" w:eastAsia="宋体" w:cs="宋体"/>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技术需求</w:t>
      </w:r>
      <w:bookmarkEnd w:id="197"/>
      <w:bookmarkEnd w:id="198"/>
    </w:p>
    <w:p w14:paraId="3B51FD41">
      <w:pPr>
        <w:pStyle w:val="22"/>
        <w:snapToGrid w:val="0"/>
        <w:spacing w:before="156" w:after="156"/>
        <w:ind w:left="0" w:leftChars="0" w:right="26"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lang w:eastAsia="zh-CN"/>
          <w14:textFill>
            <w14:solidFill>
              <w14:schemeClr w14:val="tx1"/>
            </w14:solidFill>
          </w14:textFill>
        </w:rPr>
        <w:t>）项目概述及需求</w:t>
      </w:r>
      <w:r>
        <w:rPr>
          <w:rFonts w:hint="eastAsia" w:ascii="宋体" w:hAnsi="宋体" w:eastAsia="宋体" w:cs="宋体"/>
          <w:color w:val="000000" w:themeColor="text1"/>
          <w:sz w:val="24"/>
          <w:szCs w:val="24"/>
          <w:highlight w:val="none"/>
          <w14:textFill>
            <w14:solidFill>
              <w14:schemeClr w14:val="tx1"/>
            </w14:solidFill>
          </w14:textFill>
        </w:rPr>
        <w:t>（含采购货物的名称，数量等，可以表格形式呈现）</w:t>
      </w:r>
    </w:p>
    <w:p w14:paraId="20199F75">
      <w:pPr>
        <w:pStyle w:val="22"/>
        <w:keepNext w:val="0"/>
        <w:keepLines w:val="0"/>
        <w:pageBreakBefore w:val="0"/>
        <w:widowControl w:val="0"/>
        <w:kinsoku/>
        <w:wordWrap/>
        <w:overflowPunct/>
        <w:topLinePunct w:val="0"/>
        <w:autoSpaceDE/>
        <w:autoSpaceDN/>
        <w:bidi w:val="0"/>
        <w:adjustRightInd/>
        <w:snapToGrid w:val="0"/>
        <w:spacing w:before="276" w:after="276"/>
        <w:ind w:left="0" w:leftChars="0" w:right="28" w:firstLine="420" w:firstLineChars="175"/>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项目名称：</w:t>
      </w:r>
      <w:r>
        <w:rPr>
          <w:rFonts w:hint="eastAsia" w:ascii="宋体" w:hAnsi="宋体" w:eastAsia="宋体" w:cs="宋体"/>
          <w:color w:val="000000" w:themeColor="text1"/>
          <w:sz w:val="24"/>
          <w:szCs w:val="24"/>
          <w:highlight w:val="none"/>
          <w14:textFill>
            <w14:solidFill>
              <w14:schemeClr w14:val="tx1"/>
            </w14:solidFill>
          </w14:textFill>
        </w:rPr>
        <w:t>新疆师范大学智慧教育及应用工程技术研究中心项目</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453C0A6">
      <w:pPr>
        <w:pStyle w:val="22"/>
        <w:snapToGrid w:val="0"/>
        <w:spacing w:before="156" w:after="156"/>
        <w:ind w:left="0" w:leftChars="0" w:right="26" w:firstLine="420" w:firstLineChars="175"/>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标项1：</w:t>
      </w:r>
      <w:r>
        <w:rPr>
          <w:rFonts w:hint="eastAsia" w:ascii="宋体" w:hAnsi="宋体" w:eastAsia="宋体" w:cs="宋体"/>
          <w:color w:val="000000" w:themeColor="text1"/>
          <w:sz w:val="24"/>
          <w:szCs w:val="24"/>
          <w:highlight w:val="none"/>
          <w14:textFill>
            <w14:solidFill>
              <w14:schemeClr w14:val="tx1"/>
            </w14:solidFill>
          </w14:textFill>
        </w:rPr>
        <w:t>新疆师范大学智慧教育及应用工程技术研究中心项目</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-第1包</w:t>
      </w:r>
    </w:p>
    <w:tbl>
      <w:tblPr>
        <w:tblStyle w:val="1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5049"/>
        <w:gridCol w:w="1411"/>
      </w:tblGrid>
      <w:tr w14:paraId="7A52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top"/>
          </w:tcPr>
          <w:p w14:paraId="440E653E">
            <w:pPr>
              <w:spacing w:line="500" w:lineRule="exact"/>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序号</w:t>
            </w:r>
          </w:p>
        </w:tc>
        <w:tc>
          <w:tcPr>
            <w:tcW w:w="5049" w:type="dxa"/>
            <w:noWrap w:val="0"/>
            <w:vAlign w:val="top"/>
          </w:tcPr>
          <w:p w14:paraId="775C79E5">
            <w:pPr>
              <w:spacing w:line="500" w:lineRule="exact"/>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名称</w:t>
            </w:r>
          </w:p>
        </w:tc>
        <w:tc>
          <w:tcPr>
            <w:tcW w:w="1411" w:type="dxa"/>
            <w:noWrap w:val="0"/>
            <w:vAlign w:val="top"/>
          </w:tcPr>
          <w:p w14:paraId="480D02C2">
            <w:pPr>
              <w:spacing w:line="500" w:lineRule="exact"/>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数量</w:t>
            </w:r>
          </w:p>
        </w:tc>
      </w:tr>
      <w:tr w14:paraId="77CC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top"/>
          </w:tcPr>
          <w:p w14:paraId="5AB6456A">
            <w:pPr>
              <w:spacing w:line="500" w:lineRule="exact"/>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w:t>
            </w:r>
          </w:p>
        </w:tc>
        <w:tc>
          <w:tcPr>
            <w:tcW w:w="5049" w:type="dxa"/>
            <w:noWrap w:val="0"/>
            <w:vAlign w:val="center"/>
          </w:tcPr>
          <w:p w14:paraId="437ECF9A">
            <w:pPr>
              <w:keepNext w:val="0"/>
              <w:keepLines w:val="0"/>
              <w:widowControl/>
              <w:suppressLineNumbers w:val="0"/>
              <w:jc w:val="center"/>
              <w:textAlignment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数据中心智慧机柜</w:t>
            </w:r>
          </w:p>
        </w:tc>
        <w:tc>
          <w:tcPr>
            <w:tcW w:w="1411" w:type="dxa"/>
            <w:noWrap w:val="0"/>
            <w:vAlign w:val="center"/>
          </w:tcPr>
          <w:p w14:paraId="5F14B0F6">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18 </w:t>
            </w:r>
          </w:p>
        </w:tc>
      </w:tr>
      <w:tr w14:paraId="19A5F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top"/>
          </w:tcPr>
          <w:p w14:paraId="30409EC9">
            <w:pPr>
              <w:spacing w:line="500" w:lineRule="exact"/>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p>
        </w:tc>
        <w:tc>
          <w:tcPr>
            <w:tcW w:w="5049" w:type="dxa"/>
            <w:noWrap w:val="0"/>
            <w:vAlign w:val="center"/>
          </w:tcPr>
          <w:p w14:paraId="7B78DA49">
            <w:pPr>
              <w:keepNext w:val="0"/>
              <w:keepLines w:val="0"/>
              <w:widowControl/>
              <w:suppressLineNumbers w:val="0"/>
              <w:jc w:val="center"/>
              <w:textAlignment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智慧机柜专用普通PDU</w:t>
            </w:r>
          </w:p>
        </w:tc>
        <w:tc>
          <w:tcPr>
            <w:tcW w:w="1411" w:type="dxa"/>
            <w:noWrap w:val="0"/>
            <w:vAlign w:val="center"/>
          </w:tcPr>
          <w:p w14:paraId="53561F8B">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36 </w:t>
            </w:r>
          </w:p>
        </w:tc>
      </w:tr>
      <w:tr w14:paraId="6935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top"/>
          </w:tcPr>
          <w:p w14:paraId="111064C4">
            <w:pPr>
              <w:spacing w:line="500" w:lineRule="exact"/>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3</w:t>
            </w:r>
          </w:p>
        </w:tc>
        <w:tc>
          <w:tcPr>
            <w:tcW w:w="5049" w:type="dxa"/>
            <w:noWrap w:val="0"/>
            <w:vAlign w:val="center"/>
          </w:tcPr>
          <w:p w14:paraId="0279CEEB">
            <w:pPr>
              <w:keepNext w:val="0"/>
              <w:keepLines w:val="0"/>
              <w:widowControl/>
              <w:suppressLineNumbers w:val="0"/>
              <w:jc w:val="center"/>
              <w:textAlignment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双排冷通道密封组件</w:t>
            </w:r>
          </w:p>
        </w:tc>
        <w:tc>
          <w:tcPr>
            <w:tcW w:w="1411" w:type="dxa"/>
            <w:noWrap w:val="0"/>
            <w:vAlign w:val="center"/>
          </w:tcPr>
          <w:p w14:paraId="626B3322">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 </w:t>
            </w:r>
          </w:p>
        </w:tc>
      </w:tr>
      <w:tr w14:paraId="5965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top"/>
          </w:tcPr>
          <w:p w14:paraId="5C149ED5">
            <w:pPr>
              <w:spacing w:line="500" w:lineRule="exact"/>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4</w:t>
            </w:r>
          </w:p>
        </w:tc>
        <w:tc>
          <w:tcPr>
            <w:tcW w:w="5049" w:type="dxa"/>
            <w:noWrap w:val="0"/>
            <w:vAlign w:val="center"/>
          </w:tcPr>
          <w:p w14:paraId="5294A821">
            <w:pPr>
              <w:keepNext w:val="0"/>
              <w:keepLines w:val="0"/>
              <w:widowControl/>
              <w:suppressLineNumbers w:val="0"/>
              <w:jc w:val="center"/>
              <w:textAlignment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动环监控系统</w:t>
            </w:r>
          </w:p>
        </w:tc>
        <w:tc>
          <w:tcPr>
            <w:tcW w:w="1411" w:type="dxa"/>
            <w:noWrap w:val="0"/>
            <w:vAlign w:val="center"/>
          </w:tcPr>
          <w:p w14:paraId="7A020250">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 </w:t>
            </w:r>
          </w:p>
        </w:tc>
      </w:tr>
      <w:tr w14:paraId="5D12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top"/>
          </w:tcPr>
          <w:p w14:paraId="15C060E7">
            <w:pPr>
              <w:spacing w:line="500" w:lineRule="exact"/>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w:t>
            </w:r>
          </w:p>
        </w:tc>
        <w:tc>
          <w:tcPr>
            <w:tcW w:w="5049" w:type="dxa"/>
            <w:noWrap w:val="0"/>
            <w:vAlign w:val="center"/>
          </w:tcPr>
          <w:p w14:paraId="6BB55955">
            <w:pPr>
              <w:keepNext w:val="0"/>
              <w:keepLines w:val="0"/>
              <w:widowControl/>
              <w:suppressLineNumbers w:val="0"/>
              <w:jc w:val="center"/>
              <w:textAlignment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电池组监控系统</w:t>
            </w:r>
          </w:p>
        </w:tc>
        <w:tc>
          <w:tcPr>
            <w:tcW w:w="1411" w:type="dxa"/>
            <w:noWrap w:val="0"/>
            <w:vAlign w:val="center"/>
          </w:tcPr>
          <w:p w14:paraId="51B3D373">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 </w:t>
            </w:r>
          </w:p>
        </w:tc>
      </w:tr>
      <w:tr w14:paraId="28F6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top"/>
          </w:tcPr>
          <w:p w14:paraId="480022E2">
            <w:pPr>
              <w:spacing w:line="500" w:lineRule="exact"/>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6</w:t>
            </w:r>
          </w:p>
        </w:tc>
        <w:tc>
          <w:tcPr>
            <w:tcW w:w="5049" w:type="dxa"/>
            <w:noWrap w:val="0"/>
            <w:vAlign w:val="center"/>
          </w:tcPr>
          <w:p w14:paraId="5083A996">
            <w:pPr>
              <w:keepNext w:val="0"/>
              <w:keepLines w:val="0"/>
              <w:widowControl/>
              <w:suppressLineNumbers w:val="0"/>
              <w:jc w:val="center"/>
              <w:textAlignment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防雷接地系统</w:t>
            </w:r>
          </w:p>
        </w:tc>
        <w:tc>
          <w:tcPr>
            <w:tcW w:w="1411" w:type="dxa"/>
            <w:noWrap w:val="0"/>
            <w:vAlign w:val="center"/>
          </w:tcPr>
          <w:p w14:paraId="779597C3">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 </w:t>
            </w:r>
          </w:p>
        </w:tc>
      </w:tr>
      <w:tr w14:paraId="409AD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top"/>
          </w:tcPr>
          <w:p w14:paraId="035ED55B">
            <w:pPr>
              <w:spacing w:line="500" w:lineRule="exact"/>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7</w:t>
            </w:r>
          </w:p>
        </w:tc>
        <w:tc>
          <w:tcPr>
            <w:tcW w:w="5049" w:type="dxa"/>
            <w:noWrap w:val="0"/>
            <w:vAlign w:val="center"/>
          </w:tcPr>
          <w:p w14:paraId="69B17223">
            <w:pPr>
              <w:keepNext w:val="0"/>
              <w:keepLines w:val="0"/>
              <w:widowControl/>
              <w:suppressLineNumbers w:val="0"/>
              <w:jc w:val="center"/>
              <w:textAlignment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消防控制系统</w:t>
            </w:r>
          </w:p>
        </w:tc>
        <w:tc>
          <w:tcPr>
            <w:tcW w:w="1411" w:type="dxa"/>
            <w:noWrap w:val="0"/>
            <w:vAlign w:val="center"/>
          </w:tcPr>
          <w:p w14:paraId="4E2E0D29">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 </w:t>
            </w:r>
          </w:p>
        </w:tc>
      </w:tr>
      <w:tr w14:paraId="14C8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top"/>
          </w:tcPr>
          <w:p w14:paraId="728E13E0">
            <w:pPr>
              <w:spacing w:line="500" w:lineRule="exact"/>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8</w:t>
            </w:r>
          </w:p>
        </w:tc>
        <w:tc>
          <w:tcPr>
            <w:tcW w:w="5049" w:type="dxa"/>
            <w:noWrap w:val="0"/>
            <w:vAlign w:val="center"/>
          </w:tcPr>
          <w:p w14:paraId="531F9272">
            <w:pPr>
              <w:keepNext w:val="0"/>
              <w:keepLines w:val="0"/>
              <w:widowControl/>
              <w:suppressLineNumbers w:val="0"/>
              <w:jc w:val="center"/>
              <w:textAlignment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智慧机房门禁一体机</w:t>
            </w:r>
          </w:p>
        </w:tc>
        <w:tc>
          <w:tcPr>
            <w:tcW w:w="1411" w:type="dxa"/>
            <w:noWrap w:val="0"/>
            <w:vAlign w:val="center"/>
          </w:tcPr>
          <w:p w14:paraId="538689AC">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 </w:t>
            </w:r>
          </w:p>
        </w:tc>
      </w:tr>
      <w:tr w14:paraId="1B5B5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top"/>
          </w:tcPr>
          <w:p w14:paraId="1EA248F1">
            <w:pPr>
              <w:spacing w:line="500" w:lineRule="exact"/>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9</w:t>
            </w:r>
          </w:p>
        </w:tc>
        <w:tc>
          <w:tcPr>
            <w:tcW w:w="5049" w:type="dxa"/>
            <w:noWrap w:val="0"/>
            <w:vAlign w:val="center"/>
          </w:tcPr>
          <w:p w14:paraId="0768C491">
            <w:pPr>
              <w:keepNext w:val="0"/>
              <w:keepLines w:val="0"/>
              <w:widowControl/>
              <w:suppressLineNumbers w:val="0"/>
              <w:jc w:val="center"/>
              <w:textAlignment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智慧模块化双通道自动平移系统</w:t>
            </w:r>
          </w:p>
        </w:tc>
        <w:tc>
          <w:tcPr>
            <w:tcW w:w="1411" w:type="dxa"/>
            <w:noWrap w:val="0"/>
            <w:vAlign w:val="center"/>
          </w:tcPr>
          <w:p w14:paraId="04DB3BD7">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 </w:t>
            </w:r>
          </w:p>
        </w:tc>
      </w:tr>
      <w:tr w14:paraId="4093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top"/>
          </w:tcPr>
          <w:p w14:paraId="631C1C61">
            <w:pPr>
              <w:spacing w:line="500" w:lineRule="exact"/>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10</w:t>
            </w:r>
          </w:p>
        </w:tc>
        <w:tc>
          <w:tcPr>
            <w:tcW w:w="5049" w:type="dxa"/>
            <w:noWrap w:val="0"/>
            <w:vAlign w:val="center"/>
          </w:tcPr>
          <w:p w14:paraId="4CEC9957">
            <w:pPr>
              <w:keepNext w:val="0"/>
              <w:keepLines w:val="0"/>
              <w:widowControl/>
              <w:suppressLineNumbers w:val="0"/>
              <w:jc w:val="center"/>
              <w:textAlignment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网络NVR</w:t>
            </w:r>
          </w:p>
        </w:tc>
        <w:tc>
          <w:tcPr>
            <w:tcW w:w="1411" w:type="dxa"/>
            <w:noWrap w:val="0"/>
            <w:vAlign w:val="center"/>
          </w:tcPr>
          <w:p w14:paraId="2C0EB8E2">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 </w:t>
            </w:r>
          </w:p>
        </w:tc>
      </w:tr>
      <w:tr w14:paraId="3BD7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top"/>
          </w:tcPr>
          <w:p w14:paraId="2802CC0B">
            <w:pPr>
              <w:spacing w:line="500" w:lineRule="exact"/>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11</w:t>
            </w:r>
          </w:p>
        </w:tc>
        <w:tc>
          <w:tcPr>
            <w:tcW w:w="5049" w:type="dxa"/>
            <w:noWrap w:val="0"/>
            <w:vAlign w:val="center"/>
          </w:tcPr>
          <w:p w14:paraId="212DD79C">
            <w:pPr>
              <w:keepNext w:val="0"/>
              <w:keepLines w:val="0"/>
              <w:widowControl/>
              <w:suppressLineNumbers w:val="0"/>
              <w:jc w:val="center"/>
              <w:textAlignment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UPS配电一体柜</w:t>
            </w:r>
          </w:p>
        </w:tc>
        <w:tc>
          <w:tcPr>
            <w:tcW w:w="1411" w:type="dxa"/>
            <w:noWrap w:val="0"/>
            <w:vAlign w:val="center"/>
          </w:tcPr>
          <w:p w14:paraId="666A6977">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 </w:t>
            </w:r>
          </w:p>
        </w:tc>
      </w:tr>
      <w:tr w14:paraId="3544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top"/>
          </w:tcPr>
          <w:p w14:paraId="1AFFADB5">
            <w:pPr>
              <w:spacing w:line="500" w:lineRule="exact"/>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12</w:t>
            </w:r>
          </w:p>
        </w:tc>
        <w:tc>
          <w:tcPr>
            <w:tcW w:w="5049" w:type="dxa"/>
            <w:noWrap w:val="0"/>
            <w:vAlign w:val="center"/>
          </w:tcPr>
          <w:p w14:paraId="44F486BD">
            <w:pPr>
              <w:keepNext w:val="0"/>
              <w:keepLines w:val="0"/>
              <w:widowControl/>
              <w:suppressLineNumbers w:val="0"/>
              <w:jc w:val="center"/>
              <w:textAlignment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行级精密制冷设备</w:t>
            </w:r>
          </w:p>
        </w:tc>
        <w:tc>
          <w:tcPr>
            <w:tcW w:w="1411" w:type="dxa"/>
            <w:noWrap w:val="0"/>
            <w:vAlign w:val="center"/>
          </w:tcPr>
          <w:p w14:paraId="5D396AD5">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 </w:t>
            </w:r>
          </w:p>
        </w:tc>
      </w:tr>
      <w:tr w14:paraId="2A5E8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top"/>
          </w:tcPr>
          <w:p w14:paraId="5B7240D3">
            <w:pPr>
              <w:spacing w:line="500" w:lineRule="exact"/>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13</w:t>
            </w:r>
          </w:p>
        </w:tc>
        <w:tc>
          <w:tcPr>
            <w:tcW w:w="5049" w:type="dxa"/>
            <w:noWrap w:val="0"/>
            <w:vAlign w:val="center"/>
          </w:tcPr>
          <w:p w14:paraId="762519CC">
            <w:pPr>
              <w:keepNext w:val="0"/>
              <w:keepLines w:val="0"/>
              <w:widowControl/>
              <w:suppressLineNumbers w:val="0"/>
              <w:jc w:val="center"/>
              <w:textAlignment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监控触摸屏</w:t>
            </w:r>
          </w:p>
        </w:tc>
        <w:tc>
          <w:tcPr>
            <w:tcW w:w="1411" w:type="dxa"/>
            <w:noWrap w:val="0"/>
            <w:vAlign w:val="center"/>
          </w:tcPr>
          <w:p w14:paraId="715EA202">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 </w:t>
            </w:r>
          </w:p>
        </w:tc>
      </w:tr>
      <w:tr w14:paraId="6C28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top"/>
          </w:tcPr>
          <w:p w14:paraId="50F8F064">
            <w:pPr>
              <w:spacing w:line="500" w:lineRule="exact"/>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14</w:t>
            </w:r>
          </w:p>
        </w:tc>
        <w:tc>
          <w:tcPr>
            <w:tcW w:w="5049" w:type="dxa"/>
            <w:noWrap w:val="0"/>
            <w:vAlign w:val="center"/>
          </w:tcPr>
          <w:p w14:paraId="23A78731">
            <w:pPr>
              <w:keepNext w:val="0"/>
              <w:keepLines w:val="0"/>
              <w:widowControl/>
              <w:suppressLineNumbers w:val="0"/>
              <w:jc w:val="center"/>
              <w:textAlignment w:val="center"/>
              <w:rPr>
                <w:rFonts w:hint="default" w:ascii="宋体" w:hAnsi="宋体" w:eastAsia="宋体" w:cs="Times New Roman"/>
                <w:color w:val="000000" w:themeColor="text1"/>
                <w:sz w:val="24"/>
                <w:szCs w:val="24"/>
                <w:highlight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管理节点1</w:t>
            </w:r>
          </w:p>
        </w:tc>
        <w:tc>
          <w:tcPr>
            <w:tcW w:w="1411" w:type="dxa"/>
            <w:noWrap w:val="0"/>
            <w:vAlign w:val="center"/>
          </w:tcPr>
          <w:p w14:paraId="0CD3C997">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 </w:t>
            </w:r>
          </w:p>
        </w:tc>
      </w:tr>
      <w:tr w14:paraId="69B0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top"/>
          </w:tcPr>
          <w:p w14:paraId="400CCB4C">
            <w:pPr>
              <w:spacing w:line="500" w:lineRule="exact"/>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15</w:t>
            </w:r>
          </w:p>
        </w:tc>
        <w:tc>
          <w:tcPr>
            <w:tcW w:w="5049" w:type="dxa"/>
            <w:noWrap w:val="0"/>
            <w:vAlign w:val="center"/>
          </w:tcPr>
          <w:p w14:paraId="0AA914AB">
            <w:pPr>
              <w:keepNext w:val="0"/>
              <w:keepLines w:val="0"/>
              <w:widowControl/>
              <w:suppressLineNumbers w:val="0"/>
              <w:jc w:val="center"/>
              <w:textAlignment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移动内容采集终端</w:t>
            </w:r>
          </w:p>
        </w:tc>
        <w:tc>
          <w:tcPr>
            <w:tcW w:w="1411" w:type="dxa"/>
            <w:noWrap w:val="0"/>
            <w:vAlign w:val="center"/>
          </w:tcPr>
          <w:p w14:paraId="4D4F3139">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 </w:t>
            </w:r>
          </w:p>
        </w:tc>
      </w:tr>
      <w:tr w14:paraId="2979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top"/>
          </w:tcPr>
          <w:p w14:paraId="0E79EE32">
            <w:pPr>
              <w:spacing w:line="500" w:lineRule="exact"/>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16</w:t>
            </w:r>
          </w:p>
        </w:tc>
        <w:tc>
          <w:tcPr>
            <w:tcW w:w="5049" w:type="dxa"/>
            <w:noWrap w:val="0"/>
            <w:vAlign w:val="center"/>
          </w:tcPr>
          <w:p w14:paraId="0E32294C">
            <w:pPr>
              <w:keepNext w:val="0"/>
              <w:keepLines w:val="0"/>
              <w:widowControl/>
              <w:suppressLineNumbers w:val="0"/>
              <w:jc w:val="center"/>
              <w:textAlignment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监控屏幕</w:t>
            </w:r>
          </w:p>
        </w:tc>
        <w:tc>
          <w:tcPr>
            <w:tcW w:w="1411" w:type="dxa"/>
            <w:noWrap w:val="0"/>
            <w:vAlign w:val="center"/>
          </w:tcPr>
          <w:p w14:paraId="745A08A7">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 </w:t>
            </w:r>
          </w:p>
        </w:tc>
      </w:tr>
      <w:tr w14:paraId="3AB9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top"/>
          </w:tcPr>
          <w:p w14:paraId="280B1ABF">
            <w:pPr>
              <w:spacing w:line="500" w:lineRule="exact"/>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17</w:t>
            </w:r>
          </w:p>
        </w:tc>
        <w:tc>
          <w:tcPr>
            <w:tcW w:w="5049" w:type="dxa"/>
            <w:noWrap w:val="0"/>
            <w:vAlign w:val="center"/>
          </w:tcPr>
          <w:p w14:paraId="5AF86D93">
            <w:pPr>
              <w:keepNext w:val="0"/>
              <w:keepLines w:val="0"/>
              <w:widowControl/>
              <w:suppressLineNumbers w:val="0"/>
              <w:jc w:val="center"/>
              <w:textAlignment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计算节点</w:t>
            </w:r>
          </w:p>
        </w:tc>
        <w:tc>
          <w:tcPr>
            <w:tcW w:w="1411" w:type="dxa"/>
            <w:noWrap w:val="0"/>
            <w:vAlign w:val="center"/>
          </w:tcPr>
          <w:p w14:paraId="132DC001">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 </w:t>
            </w:r>
          </w:p>
        </w:tc>
      </w:tr>
      <w:tr w14:paraId="7954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top"/>
          </w:tcPr>
          <w:p w14:paraId="7473E31F">
            <w:pPr>
              <w:spacing w:line="500" w:lineRule="exact"/>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18</w:t>
            </w:r>
          </w:p>
        </w:tc>
        <w:tc>
          <w:tcPr>
            <w:tcW w:w="5049" w:type="dxa"/>
            <w:noWrap w:val="0"/>
            <w:vAlign w:val="center"/>
          </w:tcPr>
          <w:p w14:paraId="2B577614">
            <w:pPr>
              <w:keepNext w:val="0"/>
              <w:keepLines w:val="0"/>
              <w:widowControl/>
              <w:suppressLineNumbers w:val="0"/>
              <w:jc w:val="center"/>
              <w:textAlignment w:val="center"/>
              <w:rPr>
                <w:rFonts w:hint="default" w:ascii="宋体" w:hAnsi="宋体" w:eastAsia="宋体" w:cs="Times New Roman"/>
                <w:color w:val="000000" w:themeColor="text1"/>
                <w:sz w:val="24"/>
                <w:szCs w:val="24"/>
                <w:highlight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管理节点2</w:t>
            </w:r>
          </w:p>
        </w:tc>
        <w:tc>
          <w:tcPr>
            <w:tcW w:w="1411" w:type="dxa"/>
            <w:noWrap w:val="0"/>
            <w:vAlign w:val="center"/>
          </w:tcPr>
          <w:p w14:paraId="322EE322">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 </w:t>
            </w:r>
          </w:p>
        </w:tc>
      </w:tr>
      <w:tr w14:paraId="19246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top"/>
          </w:tcPr>
          <w:p w14:paraId="017E916B">
            <w:pPr>
              <w:spacing w:line="500" w:lineRule="exact"/>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19</w:t>
            </w:r>
          </w:p>
        </w:tc>
        <w:tc>
          <w:tcPr>
            <w:tcW w:w="5049" w:type="dxa"/>
            <w:noWrap w:val="0"/>
            <w:vAlign w:val="center"/>
          </w:tcPr>
          <w:p w14:paraId="508B7F0D">
            <w:pPr>
              <w:keepNext w:val="0"/>
              <w:keepLines w:val="0"/>
              <w:widowControl/>
              <w:suppressLineNumbers w:val="0"/>
              <w:jc w:val="center"/>
              <w:textAlignment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内存设备</w:t>
            </w:r>
          </w:p>
        </w:tc>
        <w:tc>
          <w:tcPr>
            <w:tcW w:w="1411" w:type="dxa"/>
            <w:noWrap w:val="0"/>
            <w:vAlign w:val="center"/>
          </w:tcPr>
          <w:p w14:paraId="4DD9D2BB">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p>
        </w:tc>
      </w:tr>
      <w:tr w14:paraId="1544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top"/>
          </w:tcPr>
          <w:p w14:paraId="59857E52">
            <w:pPr>
              <w:spacing w:line="500" w:lineRule="exact"/>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20</w:t>
            </w:r>
          </w:p>
        </w:tc>
        <w:tc>
          <w:tcPr>
            <w:tcW w:w="5049" w:type="dxa"/>
            <w:noWrap w:val="0"/>
            <w:vAlign w:val="center"/>
          </w:tcPr>
          <w:p w14:paraId="2D1C5F36">
            <w:pPr>
              <w:keepNext w:val="0"/>
              <w:keepLines w:val="0"/>
              <w:widowControl/>
              <w:suppressLineNumbers w:val="0"/>
              <w:jc w:val="center"/>
              <w:textAlignment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SATA SSD硬盘</w:t>
            </w:r>
          </w:p>
        </w:tc>
        <w:tc>
          <w:tcPr>
            <w:tcW w:w="1411" w:type="dxa"/>
            <w:noWrap w:val="0"/>
            <w:vAlign w:val="center"/>
          </w:tcPr>
          <w:p w14:paraId="69D2EA7D">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r>
      <w:tr w14:paraId="2477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top"/>
          </w:tcPr>
          <w:p w14:paraId="5ED4DB7C">
            <w:pPr>
              <w:spacing w:line="500" w:lineRule="exact"/>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21</w:t>
            </w:r>
          </w:p>
        </w:tc>
        <w:tc>
          <w:tcPr>
            <w:tcW w:w="5049" w:type="dxa"/>
            <w:noWrap w:val="0"/>
            <w:vAlign w:val="center"/>
          </w:tcPr>
          <w:p w14:paraId="5D87EE90">
            <w:pPr>
              <w:keepNext w:val="0"/>
              <w:keepLines w:val="0"/>
              <w:widowControl/>
              <w:suppressLineNumbers w:val="0"/>
              <w:jc w:val="center"/>
              <w:textAlignment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化身教研系统</w:t>
            </w:r>
          </w:p>
        </w:tc>
        <w:tc>
          <w:tcPr>
            <w:tcW w:w="1411" w:type="dxa"/>
            <w:noWrap w:val="0"/>
            <w:vAlign w:val="center"/>
          </w:tcPr>
          <w:p w14:paraId="5BB2773E">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 </w:t>
            </w:r>
          </w:p>
        </w:tc>
      </w:tr>
      <w:tr w14:paraId="4B7F6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top"/>
          </w:tcPr>
          <w:p w14:paraId="1DFB381F">
            <w:pPr>
              <w:spacing w:line="500" w:lineRule="exact"/>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22</w:t>
            </w:r>
          </w:p>
        </w:tc>
        <w:tc>
          <w:tcPr>
            <w:tcW w:w="5049" w:type="dxa"/>
            <w:noWrap w:val="0"/>
            <w:vAlign w:val="center"/>
          </w:tcPr>
          <w:p w14:paraId="3E09D536">
            <w:pPr>
              <w:keepNext w:val="0"/>
              <w:keepLines w:val="0"/>
              <w:widowControl/>
              <w:suppressLineNumbers w:val="0"/>
              <w:jc w:val="center"/>
              <w:textAlignment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调度软件</w:t>
            </w:r>
          </w:p>
        </w:tc>
        <w:tc>
          <w:tcPr>
            <w:tcW w:w="1411" w:type="dxa"/>
            <w:noWrap w:val="0"/>
            <w:vAlign w:val="center"/>
          </w:tcPr>
          <w:p w14:paraId="43754606">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 </w:t>
            </w:r>
          </w:p>
        </w:tc>
      </w:tr>
    </w:tbl>
    <w:p w14:paraId="2EDC932D">
      <w:pPr>
        <w:pStyle w:val="22"/>
        <w:snapToGrid w:val="0"/>
        <w:spacing w:before="156" w:after="156"/>
        <w:ind w:left="0" w:leftChars="0" w:right="26" w:firstLine="420" w:firstLineChars="175"/>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76844D71">
      <w:pPr>
        <w:pStyle w:val="22"/>
        <w:snapToGrid w:val="0"/>
        <w:spacing w:before="156" w:after="156"/>
        <w:ind w:left="0" w:leftChars="0" w:right="26" w:firstLine="420" w:firstLineChars="175"/>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标项2：</w:t>
      </w:r>
      <w:r>
        <w:rPr>
          <w:rFonts w:hint="eastAsia" w:ascii="宋体" w:hAnsi="宋体" w:eastAsia="宋体" w:cs="宋体"/>
          <w:color w:val="000000" w:themeColor="text1"/>
          <w:sz w:val="24"/>
          <w:szCs w:val="24"/>
          <w:highlight w:val="none"/>
          <w14:textFill>
            <w14:solidFill>
              <w14:schemeClr w14:val="tx1"/>
            </w14:solidFill>
          </w14:textFill>
        </w:rPr>
        <w:t>新疆师范大学智慧教育及应用工程技术研究中心项目</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-第2包</w:t>
      </w:r>
    </w:p>
    <w:tbl>
      <w:tblPr>
        <w:tblStyle w:val="1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5018"/>
        <w:gridCol w:w="1402"/>
      </w:tblGrid>
      <w:tr w14:paraId="6267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4" w:type="dxa"/>
            <w:noWrap w:val="0"/>
            <w:vAlign w:val="top"/>
          </w:tcPr>
          <w:p w14:paraId="0B1ECCCC">
            <w:pPr>
              <w:spacing w:line="500" w:lineRule="exact"/>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序号</w:t>
            </w:r>
          </w:p>
        </w:tc>
        <w:tc>
          <w:tcPr>
            <w:tcW w:w="5018" w:type="dxa"/>
            <w:noWrap w:val="0"/>
            <w:vAlign w:val="top"/>
          </w:tcPr>
          <w:p w14:paraId="14040D04">
            <w:pPr>
              <w:spacing w:line="500" w:lineRule="exact"/>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名称</w:t>
            </w:r>
          </w:p>
        </w:tc>
        <w:tc>
          <w:tcPr>
            <w:tcW w:w="1402" w:type="dxa"/>
            <w:noWrap w:val="0"/>
            <w:vAlign w:val="top"/>
          </w:tcPr>
          <w:p w14:paraId="3AB3C96A">
            <w:pPr>
              <w:spacing w:line="500" w:lineRule="exact"/>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数量</w:t>
            </w:r>
          </w:p>
        </w:tc>
      </w:tr>
      <w:tr w14:paraId="6967E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4" w:type="dxa"/>
            <w:noWrap w:val="0"/>
            <w:vAlign w:val="top"/>
          </w:tcPr>
          <w:p w14:paraId="359C3240">
            <w:pPr>
              <w:spacing w:line="500" w:lineRule="exact"/>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w:t>
            </w:r>
          </w:p>
        </w:tc>
        <w:tc>
          <w:tcPr>
            <w:tcW w:w="5018" w:type="dxa"/>
            <w:shd w:val="clear" w:color="auto" w:fill="auto"/>
            <w:noWrap w:val="0"/>
            <w:vAlign w:val="top"/>
          </w:tcPr>
          <w:p w14:paraId="2FDDB840">
            <w:pPr>
              <w:spacing w:line="500" w:lineRule="exact"/>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脑机接口机器人</w:t>
            </w:r>
          </w:p>
        </w:tc>
        <w:tc>
          <w:tcPr>
            <w:tcW w:w="1402" w:type="dxa"/>
            <w:shd w:val="clear" w:color="auto" w:fill="auto"/>
            <w:noWrap w:val="0"/>
            <w:vAlign w:val="top"/>
          </w:tcPr>
          <w:p w14:paraId="3DC5175F">
            <w:pPr>
              <w:spacing w:line="500" w:lineRule="exact"/>
              <w:jc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w:t>
            </w:r>
          </w:p>
        </w:tc>
      </w:tr>
      <w:tr w14:paraId="052A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4" w:type="dxa"/>
            <w:noWrap w:val="0"/>
            <w:vAlign w:val="top"/>
          </w:tcPr>
          <w:p w14:paraId="125C0B04">
            <w:pPr>
              <w:spacing w:line="500" w:lineRule="exact"/>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p>
        </w:tc>
        <w:tc>
          <w:tcPr>
            <w:tcW w:w="5018" w:type="dxa"/>
            <w:shd w:val="clear" w:color="auto" w:fill="auto"/>
            <w:noWrap w:val="0"/>
            <w:vAlign w:val="top"/>
          </w:tcPr>
          <w:p w14:paraId="12CC32A3">
            <w:pPr>
              <w:spacing w:line="500" w:lineRule="exact"/>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工业具身智能机器人</w:t>
            </w:r>
          </w:p>
        </w:tc>
        <w:tc>
          <w:tcPr>
            <w:tcW w:w="1402" w:type="dxa"/>
            <w:shd w:val="clear" w:color="auto" w:fill="auto"/>
            <w:noWrap w:val="0"/>
            <w:vAlign w:val="top"/>
          </w:tcPr>
          <w:p w14:paraId="4D742030">
            <w:pPr>
              <w:spacing w:line="500" w:lineRule="exact"/>
              <w:jc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w:t>
            </w:r>
          </w:p>
        </w:tc>
      </w:tr>
      <w:tr w14:paraId="56A2F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4" w:type="dxa"/>
            <w:noWrap w:val="0"/>
            <w:vAlign w:val="top"/>
          </w:tcPr>
          <w:p w14:paraId="606CF35B">
            <w:pPr>
              <w:spacing w:line="500" w:lineRule="exact"/>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3</w:t>
            </w:r>
          </w:p>
        </w:tc>
        <w:tc>
          <w:tcPr>
            <w:tcW w:w="5018" w:type="dxa"/>
            <w:shd w:val="clear" w:color="auto" w:fill="auto"/>
            <w:noWrap w:val="0"/>
            <w:vAlign w:val="top"/>
          </w:tcPr>
          <w:p w14:paraId="1F353B8F">
            <w:pPr>
              <w:spacing w:line="500" w:lineRule="exact"/>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工业具身智能机器人算法套件</w:t>
            </w:r>
          </w:p>
        </w:tc>
        <w:tc>
          <w:tcPr>
            <w:tcW w:w="1402" w:type="dxa"/>
            <w:shd w:val="clear" w:color="auto" w:fill="auto"/>
            <w:noWrap w:val="0"/>
            <w:vAlign w:val="top"/>
          </w:tcPr>
          <w:p w14:paraId="1AFB46EB">
            <w:pPr>
              <w:spacing w:line="500" w:lineRule="exact"/>
              <w:jc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w:t>
            </w:r>
          </w:p>
        </w:tc>
      </w:tr>
      <w:tr w14:paraId="0AECB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4" w:type="dxa"/>
            <w:noWrap w:val="0"/>
            <w:vAlign w:val="top"/>
          </w:tcPr>
          <w:p w14:paraId="0E446711">
            <w:pPr>
              <w:spacing w:line="500" w:lineRule="exact"/>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4</w:t>
            </w:r>
          </w:p>
        </w:tc>
        <w:tc>
          <w:tcPr>
            <w:tcW w:w="5018" w:type="dxa"/>
            <w:shd w:val="clear" w:color="auto" w:fill="auto"/>
            <w:noWrap w:val="0"/>
            <w:vAlign w:val="top"/>
          </w:tcPr>
          <w:p w14:paraId="215BE339">
            <w:pPr>
              <w:spacing w:line="500" w:lineRule="exact"/>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数字孪生内容创作系统</w:t>
            </w:r>
          </w:p>
        </w:tc>
        <w:tc>
          <w:tcPr>
            <w:tcW w:w="1402" w:type="dxa"/>
            <w:shd w:val="clear" w:color="auto" w:fill="auto"/>
            <w:noWrap w:val="0"/>
            <w:vAlign w:val="top"/>
          </w:tcPr>
          <w:p w14:paraId="3900F7B4">
            <w:pPr>
              <w:spacing w:line="500" w:lineRule="exact"/>
              <w:jc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w:t>
            </w:r>
          </w:p>
        </w:tc>
      </w:tr>
    </w:tbl>
    <w:p w14:paraId="516B3FAB">
      <w:pPr>
        <w:pStyle w:val="22"/>
        <w:snapToGrid w:val="0"/>
        <w:spacing w:before="156" w:after="156"/>
        <w:ind w:right="26"/>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p>
    <w:p w14:paraId="1D4C2ED0">
      <w:pPr>
        <w:pStyle w:val="22"/>
        <w:snapToGrid w:val="0"/>
        <w:spacing w:before="156" w:after="156"/>
        <w:ind w:left="0" w:leftChars="0" w:right="26"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lang w:eastAsia="zh-CN"/>
          <w14:textFill>
            <w14:solidFill>
              <w14:schemeClr w14:val="tx1"/>
            </w14:solidFill>
          </w14:textFill>
        </w:rPr>
        <w:t>）项目技术规格及要求</w:t>
      </w:r>
      <w:r>
        <w:rPr>
          <w:rFonts w:hint="eastAsia" w:ascii="宋体" w:hAnsi="宋体" w:eastAsia="宋体" w:cs="宋体"/>
          <w:color w:val="000000" w:themeColor="text1"/>
          <w:sz w:val="24"/>
          <w:szCs w:val="24"/>
          <w:highlight w:val="none"/>
          <w14:textFill>
            <w14:solidFill>
              <w14:schemeClr w14:val="tx1"/>
            </w14:solidFill>
          </w14:textFill>
        </w:rPr>
        <w:t>（填写货物的技术参数要求等</w:t>
      </w:r>
      <w:r>
        <w:rPr>
          <w:rFonts w:hint="eastAsia"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可以表格形式呈现）</w:t>
      </w:r>
    </w:p>
    <w:p w14:paraId="6D33EBAC">
      <w:pPr>
        <w:pStyle w:val="22"/>
        <w:keepNext w:val="0"/>
        <w:keepLines w:val="0"/>
        <w:pageBreakBefore w:val="0"/>
        <w:widowControl w:val="0"/>
        <w:kinsoku/>
        <w:wordWrap/>
        <w:overflowPunct/>
        <w:topLinePunct w:val="0"/>
        <w:autoSpaceDE/>
        <w:autoSpaceDN/>
        <w:bidi w:val="0"/>
        <w:adjustRightInd/>
        <w:snapToGrid w:val="0"/>
        <w:spacing w:before="396" w:after="276"/>
        <w:ind w:left="0" w:leftChars="0" w:right="28" w:firstLine="420" w:firstLineChars="175"/>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标项1：</w:t>
      </w:r>
      <w:r>
        <w:rPr>
          <w:rFonts w:hint="eastAsia" w:ascii="宋体" w:hAnsi="宋体" w:eastAsia="宋体" w:cs="宋体"/>
          <w:color w:val="000000" w:themeColor="text1"/>
          <w:sz w:val="24"/>
          <w:szCs w:val="24"/>
          <w:highlight w:val="none"/>
          <w14:textFill>
            <w14:solidFill>
              <w14:schemeClr w14:val="tx1"/>
            </w14:solidFill>
          </w14:textFill>
        </w:rPr>
        <w:t>新疆师范大学智慧教育及应用工程技术研究中心项目</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-第1包</w:t>
      </w:r>
    </w:p>
    <w:p w14:paraId="36E5D3E6">
      <w:pPr>
        <w:spacing w:line="500" w:lineRule="exact"/>
        <w:ind w:firstLine="482" w:firstLineChars="200"/>
        <w:rPr>
          <w:rFonts w:hint="eastAsia" w:ascii="宋体" w:hAnsi="宋体" w:eastAsia="宋体" w:cs="Times New Roman"/>
          <w:b/>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sz w:val="24"/>
          <w:szCs w:val="24"/>
          <w:highlight w:val="none"/>
          <w:lang w:eastAsia="zh-CN"/>
          <w14:textFill>
            <w14:solidFill>
              <w14:schemeClr w14:val="tx1"/>
            </w14:solidFill>
          </w14:textFill>
        </w:rPr>
        <w:t>序号1： 数据中心智慧机柜</w:t>
      </w:r>
    </w:p>
    <w:p w14:paraId="25603C7F">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（1）外形尺寸：服务器机柜规格（W*D*H），</w:t>
      </w:r>
      <w:r>
        <w:rPr>
          <w:rFonts w:hint="eastAsia" w:ascii="宋体" w:hAnsi="宋体" w:cs="Times New Roman"/>
          <w:color w:val="000000" w:themeColor="text1"/>
          <w:sz w:val="24"/>
          <w:szCs w:val="24"/>
          <w:highlight w:val="none"/>
          <w:lang w:val="en-US" w:eastAsia="zh-CN"/>
          <w14:textFill>
            <w14:solidFill>
              <w14:schemeClr w14:val="tx1"/>
            </w14:solidFill>
          </w14:textFill>
        </w:rPr>
        <w:t>大于等于</w:t>
      </w:r>
      <w:r>
        <w:rPr>
          <w:rFonts w:hint="eastAsia" w:ascii="宋体" w:hAnsi="宋体" w:eastAsia="宋体" w:cs="Times New Roman"/>
          <w:color w:val="000000" w:themeColor="text1"/>
          <w:sz w:val="24"/>
          <w:szCs w:val="24"/>
          <w:highlight w:val="none"/>
          <w:lang w:eastAsia="zh-CN"/>
          <w14:textFill>
            <w14:solidFill>
              <w14:schemeClr w14:val="tx1"/>
            </w14:solidFill>
          </w14:textFill>
        </w:rPr>
        <w:t>600mm*1200mm*2000mm，颜色：黑色RAL9005，安装空间：42U。</w:t>
      </w:r>
    </w:p>
    <w:p w14:paraId="40348D41">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（2）机柜涂覆层应表面光洁、色泽均匀、无流挂、无露底；金属件无毛刺、无锈蚀。机柜门板、侧板平整，无扭曲、无变形、也不明显抖动；门板开孔均匀。要求提供第三方测试报告证明。</w:t>
      </w:r>
    </w:p>
    <w:p w14:paraId="42F7F61C">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3）机柜由主框架、顶板、底板、前后门、侧横梁、内立柱和固定层板组成。其中主框架、顶底板、侧横梁、内立柱的材料厚度不小于2.0mm，前后门的材料厚度不小于1.5mm，侧板的材料厚度不小于1.2mm，并提供第三方测试报告证明。</w:t>
      </w:r>
    </w:p>
    <w:p w14:paraId="63DF734E">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（4）机柜顶部与底部预留多处线缆管理通道，底部走线孔可按需调整；满足多种走线方案：上进上出线，下进下出线，上进下出线，下进上出线；</w:t>
      </w:r>
    </w:p>
    <w:p w14:paraId="56A2D238">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（5）▲承载能力：机柜静态承载能力不小于3000kg</w:t>
      </w:r>
      <w:r>
        <w:rPr>
          <w:rFonts w:hint="eastAsia" w:ascii="宋体" w:hAnsi="宋体" w:cs="Times New Roman"/>
          <w:color w:val="000000" w:themeColor="text1"/>
          <w:sz w:val="24"/>
          <w:szCs w:val="24"/>
          <w:highlight w:val="none"/>
          <w:lang w:eastAsia="zh-CN"/>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提供第三方检测报告</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p>
    <w:p w14:paraId="54EF480C">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（6）抗震：机柜带载不低于650kg测试通过8、9级烈度结构抗地震考核。</w:t>
      </w:r>
    </w:p>
    <w:p w14:paraId="3EB1E9AA">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（7）▲机柜内部满足42U以上空间</w:t>
      </w:r>
      <w:r>
        <w:rPr>
          <w:rFonts w:hint="eastAsia" w:ascii="宋体" w:hAnsi="宋体" w:cs="Times New Roman"/>
          <w:color w:val="000000" w:themeColor="text1"/>
          <w:sz w:val="24"/>
          <w:szCs w:val="24"/>
          <w:highlight w:val="none"/>
          <w:lang w:eastAsia="zh-CN"/>
          <w14:textFill>
            <w14:solidFill>
              <w14:schemeClr w14:val="tx1"/>
            </w14:solidFill>
          </w14:textFill>
        </w:rPr>
        <w:t>；为保证机柜的抗震能力：要求机柜带载不低于650kg测试通过8、9级烈度结构抗地震考核，提供第三方检测报告。</w:t>
      </w:r>
    </w:p>
    <w:p w14:paraId="5D94501E">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8）门和侧板为可拆卸结构，门的开合转动灵活、锁定可靠、施工安装和维护方便。前门单开网孔门开孔区面积比≥80％。网孔开孔率≥73％，后门双开，后门开孔区面积比≥70％，网孔开孔率≥74％，提供第三方测试报告。</w:t>
      </w:r>
    </w:p>
    <w:p w14:paraId="170D575C">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（9）机柜在带载不低于1500kg测试通过动载DL4振动冲击试验，提供第三方测试报告并加盖公章。</w:t>
      </w:r>
    </w:p>
    <w:p w14:paraId="13E6A151">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（10）▲机柜耐电压强度：要求机柜内各带电回路以及两个非电气连接的带电回路之间，应能承受2500V，50HZ正弦试验电压1min，并不出现击穿或者飞弧现象，漏电流不超过0.9mA，提供第三方测试报告；</w:t>
      </w:r>
    </w:p>
    <w:p w14:paraId="26A4C96D">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（11）机柜附件：每个机柜含后门左右各1条宽度不小于85mm垂直理线板、1套接地组件和19英寸安装接地铜排（3*15mm²）、4个运输脚轮。</w:t>
      </w:r>
    </w:p>
    <w:p w14:paraId="60F24663">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（12）▲为满足机房安全性，机柜内盲板、密封圈、侧板卡、毛刷、脚轮等部件应符合GB/T5169.16,满足垂直燃烧V-0的要求，提供阻燃报告并加盖公章。</w:t>
      </w:r>
    </w:p>
    <w:p w14:paraId="5845690E">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（13）每台机柜要求配置1U盲板21个、2U盲板5个、托盘2个、托架1对；</w:t>
      </w:r>
    </w:p>
    <w:p w14:paraId="43E575ED">
      <w:pPr>
        <w:spacing w:line="500" w:lineRule="exact"/>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14</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为保证机柜内托盘的承载能力，机柜托盘安装到机柜上，托盘配重不低于395kg，静置24h。卸荷后，托盘</w:t>
      </w:r>
      <w:r>
        <w:rPr>
          <w:rFonts w:hint="eastAsia" w:ascii="宋体" w:hAnsi="宋体"/>
          <w:bCs/>
          <w:color w:val="000000" w:themeColor="text1"/>
          <w:sz w:val="24"/>
          <w:highlight w:val="none"/>
          <w:lang w:val="en-US" w:eastAsia="zh-CN"/>
          <w14:textFill>
            <w14:solidFill>
              <w14:schemeClr w14:val="tx1"/>
            </w14:solidFill>
          </w14:textFill>
        </w:rPr>
        <w:t>未出现</w:t>
      </w:r>
      <w:r>
        <w:rPr>
          <w:rFonts w:hint="eastAsia" w:ascii="宋体" w:hAnsi="宋体"/>
          <w:bCs/>
          <w:color w:val="000000" w:themeColor="text1"/>
          <w:sz w:val="24"/>
          <w:highlight w:val="none"/>
          <w14:textFill>
            <w14:solidFill>
              <w14:schemeClr w14:val="tx1"/>
            </w14:solidFill>
          </w14:textFill>
        </w:rPr>
        <w:t>损坏或永久变形</w:t>
      </w: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提供第三方测试报告；</w:t>
      </w:r>
    </w:p>
    <w:p w14:paraId="765E426D">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15</w:t>
      </w:r>
      <w:r>
        <w:rPr>
          <w:rFonts w:hint="eastAsia" w:ascii="宋体" w:hAnsi="宋体" w:eastAsia="宋体" w:cs="Times New Roman"/>
          <w:color w:val="000000" w:themeColor="text1"/>
          <w:sz w:val="24"/>
          <w:szCs w:val="24"/>
          <w:highlight w:val="none"/>
          <w:lang w:eastAsia="zh-CN"/>
          <w14:textFill>
            <w14:solidFill>
              <w14:schemeClr w14:val="tx1"/>
            </w14:solidFill>
          </w14:textFill>
        </w:rPr>
        <w:t>）▲为保证机柜内L型支架的承载能力，机柜L型支架安装在机柜中，配置重物不低于145kg，静置0.5h。卸荷后，支架未出现损坏或永久变形现象，提供第三方测试报告；</w:t>
      </w:r>
    </w:p>
    <w:p w14:paraId="2E75A32B">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w:t>
      </w:r>
      <w:r>
        <w:rPr>
          <w:rFonts w:hint="eastAsia" w:ascii="宋体" w:hAnsi="宋体" w:cs="Times New Roman"/>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szCs w:val="24"/>
          <w:highlight w:val="none"/>
          <w:lang w:eastAsia="zh-CN"/>
          <w14:textFill>
            <w14:solidFill>
              <w14:schemeClr w14:val="tx1"/>
            </w14:solidFill>
          </w14:textFill>
        </w:rPr>
        <w:t>）注（包含以下内容）：</w:t>
      </w:r>
    </w:p>
    <w:p w14:paraId="4259CE27">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机柜、列检空调、UPS、功率模块、蓄电池组、动环监控安装调试；</w:t>
      </w:r>
    </w:p>
    <w:p w14:paraId="160A73FA">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空调铜管、制冷剂、冷冻油、保温棉、抽真空、充氮保压测试、空调排水管、球阀</w:t>
      </w:r>
      <w:r>
        <w:rPr>
          <w:rFonts w:hint="eastAsia" w:ascii="宋体" w:hAnsi="宋体" w:cs="Times New Roman"/>
          <w:color w:val="000000" w:themeColor="text1"/>
          <w:sz w:val="24"/>
          <w:szCs w:val="24"/>
          <w:highlight w:val="none"/>
          <w:lang w:eastAsia="zh-CN"/>
          <w14:textFill>
            <w14:solidFill>
              <w14:schemeClr w14:val="tx1"/>
            </w14:solidFill>
          </w14:textFill>
        </w:rPr>
        <w:t>；</w:t>
      </w:r>
    </w:p>
    <w:p w14:paraId="417C704A">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线缆端接、铜鼻子、热缩管；</w:t>
      </w:r>
    </w:p>
    <w:p w14:paraId="41318D4E">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微模块配套强弱电线缆、动环线缆表示标签；</w:t>
      </w:r>
    </w:p>
    <w:p w14:paraId="3797CA98">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动环线缆：485、网线等；</w:t>
      </w:r>
    </w:p>
    <w:p w14:paraId="67E28A84">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配电系统通电、运行;</w:t>
      </w:r>
    </w:p>
    <w:p w14:paraId="4F2B8C96">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地下室环境实施,符合安装环境要求；</w:t>
      </w:r>
    </w:p>
    <w:p w14:paraId="421EE782">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含市电输入电缆，国标Bvr185mm（400米）</w:t>
      </w:r>
    </w:p>
    <w:p w14:paraId="0C0270CD">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含PDU线缆，国标RVV3*6（480米）</w:t>
      </w:r>
    </w:p>
    <w:p w14:paraId="036C1E21">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含精密空调线缆，国标BYJ-5*16（45米）</w:t>
      </w:r>
    </w:p>
    <w:p w14:paraId="468C4300">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含电池母线，国标Bvr120mm（280）</w:t>
      </w:r>
    </w:p>
    <w:p w14:paraId="0765F86A">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含机柜接地线缆，国标ZR-BVR-10mm²（100米）</w:t>
      </w:r>
    </w:p>
    <w:p w14:paraId="7A0624CC">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含冷通道机电池架承重支架，定制空调室外机、电池架、微模块承重支架（26个）</w:t>
      </w:r>
    </w:p>
    <w:p w14:paraId="02858C5C">
      <w:pPr>
        <w:spacing w:line="500" w:lineRule="exact"/>
        <w:ind w:firstLine="482" w:firstLineChars="200"/>
        <w:rPr>
          <w:rFonts w:hint="eastAsia" w:ascii="宋体" w:hAnsi="宋体" w:eastAsia="宋体" w:cs="Times New Roman"/>
          <w:b/>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sz w:val="24"/>
          <w:szCs w:val="24"/>
          <w:highlight w:val="none"/>
          <w:lang w:eastAsia="zh-CN"/>
          <w14:textFill>
            <w14:solidFill>
              <w14:schemeClr w14:val="tx1"/>
            </w14:solidFill>
          </w14:textFill>
        </w:rPr>
        <w:t>序号2：智慧机柜专用普通PDU</w:t>
      </w:r>
    </w:p>
    <w:p w14:paraId="3BB5F7E2">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（1）每个机柜标配2条PDU，为设备A/B路供电使用。两条PDU应为同一规格，互为备份。</w:t>
      </w:r>
    </w:p>
    <w:p w14:paraId="7C7C1C45">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（2）交流PUD采用黑色涂层，外壳选用型材或钢板应具备强度高，坚固耐用，抗压性能、装配性能、耐蚀性能和装饰性能良好，表面喷涂效果好，工艺先进，纹路平整，美观大方等特点。</w:t>
      </w:r>
    </w:p>
    <w:p w14:paraId="10AE5249">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（3）机柜PDU输出接口具有GB标准类型，10A的插座不少于20个，16A的插座不少于4个。</w:t>
      </w:r>
    </w:p>
    <w:p w14:paraId="7D434DAB">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（4）机柜PDU接线应采用从精密列头柜电源线直接接入机柜PDU的方式。</w:t>
      </w:r>
    </w:p>
    <w:p w14:paraId="7BCD7FB7">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（5）PDU应应满足GB/T26572-2011标准，通过电子电气产品有害物质检测，提供检测报告。</w:t>
      </w:r>
    </w:p>
    <w:p w14:paraId="1F022DD0">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（6）为满足机房安全性，PDU应符合GB/T5169.16,满足垂直燃烧V-0的要求，提供阻燃报告并加盖公章。</w:t>
      </w:r>
    </w:p>
    <w:p w14:paraId="65119732">
      <w:pPr>
        <w:spacing w:line="500" w:lineRule="exact"/>
        <w:ind w:firstLine="482" w:firstLineChars="200"/>
        <w:rPr>
          <w:rFonts w:hint="eastAsia" w:ascii="宋体" w:hAnsi="宋体" w:eastAsia="宋体" w:cs="Times New Roman"/>
          <w:b/>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sz w:val="24"/>
          <w:szCs w:val="24"/>
          <w:highlight w:val="none"/>
          <w:lang w:eastAsia="zh-CN"/>
          <w14:textFill>
            <w14:solidFill>
              <w14:schemeClr w14:val="tx1"/>
            </w14:solidFill>
          </w14:textFill>
        </w:rPr>
        <w:t>序号3：双排冷通道密封组件</w:t>
      </w:r>
    </w:p>
    <w:p w14:paraId="33965A4A">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（1）含通道天窗、顶部线槽、通道门楣、机柜顶部密封挡板、机柜侧板、通道照明灯具、跨通道走线桥架等</w:t>
      </w:r>
    </w:p>
    <w:p w14:paraId="7A768EE7">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（2）控制天窗上可安装摄像头、温湿度传感器、烟雾传感器、通道照明红外传感及预留消防喷头深入孔等；</w:t>
      </w:r>
    </w:p>
    <w:p w14:paraId="1CD1F038">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3）通道上部天窗为活动天窗，开启后悬停位置要求确保冷通道的净高不少于2000mm，开启角度不小于80度，并且可根据要求调节开启角度，同时不影响日常维护工作和维护人员安全。通道系统应兼具功能性、透光性及美观性，固定型天窗和翻转型天窗透光材质应使用钢化玻璃，厚度不小于5mm，天窗玻璃面积占比应保证不小于90%，请提供天窗实物照片。要求钢化玻璃透光率应不小于89%。</w:t>
      </w:r>
    </w:p>
    <w:p w14:paraId="3F126D22">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4）线槽每台机柜配置1套，上走线，由两块侧板、一块托板、一块分隔板卡接组成。中间的分隔板用以分隔AB路强电或分隔光缆和网线，根据线缆数量的不同，可以前后挪动隔板调整位置。采用高强度碳素冷轧钢板，侧板及托板厚度不小于1.2mm；模块应具备强弱电走线装置，应支持模块化设计、去工程化安装特性，并能以机柜为单位进行扩展，走线槽应能满足跨立柱、跨机柜列及跨模块安装要求。走线槽具有信号线和电源线隔离设计，隔离信号线和电源线的走线。</w:t>
      </w:r>
    </w:p>
    <w:p w14:paraId="19C3865A">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（5）包含通道控制器、通道安装附件、动环安装附件；</w:t>
      </w:r>
    </w:p>
    <w:p w14:paraId="10D2E79E">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（6）包含4套内嵌式侧板，配套1200*2000mm（W*H）机柜使用</w:t>
      </w:r>
    </w:p>
    <w:p w14:paraId="3F5F8FF0">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7）包含1套通道照明灯具，两端门框以及通道内部应有明确的状态指示灯，需保证至少有4种颜色，且具备四种颜色指示灯灯光与告警指示联动功能，在微模块产生告警后可与灯光进行联动。能够与一级告警、二级告警、三级告警、正常状态进行联动。冷微模块通道内照明应采用LED灯管，单色白光，天窗横装，保证通道照明照度值不小于550LX，满足GB50174《电子信息系统机房设计规范》中对机房照明的要求，提供第三方测试报告；照明采用控制智能化，人来灯亮，人走灯延时灭，当红外未检测到人员进入时，氛围灯按照报警等级控制氛围灯变色，提供第三方测试报告。</w:t>
      </w:r>
    </w:p>
    <w:p w14:paraId="14E24E4C">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（8）要求整体模块机房（包含冷通道）通过8、9级烈度结构抗地震考核，满足YD5083-2005规范要求，并提供第三方测试报告。</w:t>
      </w:r>
    </w:p>
    <w:p w14:paraId="3ABA62F9">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（9）包含2套跨通道走线桥架，适用于1200mm宽冷通道。</w:t>
      </w:r>
    </w:p>
    <w:p w14:paraId="0D5EA86F">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（10）通道门楣要求带LCD屏,颜色为R</w:t>
      </w:r>
      <w:r>
        <w:rPr>
          <w:rFonts w:hint="eastAsia" w:ascii="宋体" w:hAnsi="宋体" w:cs="Times New Roman"/>
          <w:color w:val="000000" w:themeColor="text1"/>
          <w:sz w:val="24"/>
          <w:szCs w:val="24"/>
          <w:highlight w:val="none"/>
          <w:lang w:val="en-US" w:eastAsia="zh-CN"/>
          <w14:textFill>
            <w14:solidFill>
              <w14:schemeClr w14:val="tx1"/>
            </w14:solidFill>
          </w14:textFill>
        </w:rPr>
        <w:t>AL</w:t>
      </w:r>
      <w:r>
        <w:rPr>
          <w:rFonts w:hint="eastAsia" w:ascii="宋体" w:hAnsi="宋体" w:eastAsia="宋体" w:cs="Times New Roman"/>
          <w:color w:val="000000" w:themeColor="text1"/>
          <w:sz w:val="24"/>
          <w:szCs w:val="24"/>
          <w:highlight w:val="none"/>
          <w:lang w:eastAsia="zh-CN"/>
          <w14:textFill>
            <w14:solidFill>
              <w14:schemeClr w14:val="tx1"/>
            </w14:solidFill>
          </w14:textFill>
        </w:rPr>
        <w:t>9005，并提供照片证明；</w:t>
      </w:r>
    </w:p>
    <w:p w14:paraId="27A1DDB6">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（11）▲为客观的反映采购产品实际节能水平，衡量数据中心能效，提供第三方PUE测试证书，测试值为区域全年平均PUE，而非基于某个项目、时间点的单点PUE指标，年PUE指标＜1.25。</w:t>
      </w:r>
    </w:p>
    <w:p w14:paraId="4846170A">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（12）微模块满足GB/T41783-2022标准中A级认证等级，提供CQC产品认证证书。</w:t>
      </w:r>
    </w:p>
    <w:p w14:paraId="2241980A">
      <w:pPr>
        <w:spacing w:line="500" w:lineRule="exact"/>
        <w:ind w:firstLine="482" w:firstLineChars="200"/>
        <w:rPr>
          <w:rFonts w:hint="eastAsia" w:ascii="宋体" w:hAnsi="宋体" w:eastAsia="宋体" w:cs="Times New Roman"/>
          <w:b/>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sz w:val="24"/>
          <w:szCs w:val="24"/>
          <w:highlight w:val="none"/>
          <w:lang w:eastAsia="zh-CN"/>
          <w14:textFill>
            <w14:solidFill>
              <w14:schemeClr w14:val="tx1"/>
            </w14:solidFill>
          </w14:textFill>
        </w:rPr>
        <w:t>序号4：动环监控系统</w:t>
      </w:r>
    </w:p>
    <w:p w14:paraId="7B24657E">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（1）动环监控系统由动环监控主机、动环监控平台系统软件、告警模块、手机APP、传感器组成；</w:t>
      </w:r>
    </w:p>
    <w:p w14:paraId="3B0379AF">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动环监控主机：要求采集机通过RS485/Tcp/ip等方式将电源、空调、温湿度、烟感、红外监控对象的相关信息接受到后，然后通过再传送到综合监控服务器中；采集单元应具备采集、数据处理、分析、告警上传、存储等功能，采用ARM架构。不低于2G内存，采用Linux操作系统平台，数据库支持SQL、Mysql等主流数据库；采用低功耗、散热好、抗干扰性较强、适应能力好、稳定性高的ARM处理器；主机具备双电源，一主一备，单电源故障情况下支持热插拔更换，在线更换双电源输入AC220V，DC240；</w:t>
      </w:r>
      <w:r>
        <w:rPr>
          <w:rFonts w:hint="eastAsia" w:ascii="宋体" w:hAnsi="宋体" w:cs="Times New Roman"/>
          <w:color w:val="000000" w:themeColor="text1"/>
          <w:sz w:val="24"/>
          <w:szCs w:val="24"/>
          <w:highlight w:val="none"/>
          <w:lang w:val="en-US" w:eastAsia="zh-CN"/>
          <w14:textFill>
            <w14:solidFill>
              <w14:schemeClr w14:val="tx1"/>
            </w14:solidFill>
          </w14:textFill>
        </w:rPr>
        <w:t>具备</w:t>
      </w:r>
      <w:r>
        <w:rPr>
          <w:rFonts w:hint="eastAsia" w:ascii="宋体" w:hAnsi="宋体" w:eastAsia="宋体" w:cs="Times New Roman"/>
          <w:color w:val="000000" w:themeColor="text1"/>
          <w:sz w:val="24"/>
          <w:szCs w:val="24"/>
          <w:highlight w:val="none"/>
          <w:lang w:eastAsia="zh-CN"/>
          <w14:textFill>
            <w14:solidFill>
              <w14:schemeClr w14:val="tx1"/>
            </w14:solidFill>
          </w14:textFill>
        </w:rPr>
        <w:t>动环主机软件；动环主机满足GB/T2423.1-2008《电工电子产品环境试验》规定的低温试验和高温试验，并提供第三方证明复印件；</w:t>
      </w:r>
    </w:p>
    <w:p w14:paraId="17EB7AB9">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3）动环监控平台系统软件：要求系统提供人性化界面视图，方便运维人员监控管理；要求模块化数据中心监控界面支持一键切换2D/3D两种展示视图，通过2D和3D视图展示微模块设备布局，并通过显著的颜色(红色)展示告警设备，鼠标悬浮时展示设备的信息，可通过点击视图上设备即可进入对应监控页面，可对3D布局图进行缩放、旋转、回位操作；要求供配电系统支持以拓扑图的方式展示微模块的配电链路逻辑图，并动态展示能效概览、开关状态和相关链路节点与设备的能耗信息；告警管理：要求系统提供告警管理功能，实现对模块化数据中心告警进行有效管理和高效响应；要求系统具备告警屏蔽能力，运维人员可根据告警事件（可基于设备、测点和事件目录维度选择）和屏蔽时间段定义告警屏蔽策略，符合条件的告警事件将被屏蔽，并在独立的屏蔽列表中管理，以便追溯；要求系统具备告警通知能力，应支持邮件、电话、短信、声光、微信的通知方式，并具备告警通知日志。运维人员可根据通知方式、通知状态、通知时间等多种查询维度对历史通知进行查询和导出；要求系统支持按告警等级联动灯带展示，至少支持四色展示；报表管理：系统要求具备统计和分析的功能，便于运维人员统计分析；</w:t>
      </w:r>
    </w:p>
    <w:p w14:paraId="347E5DDE">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（4）含短信告警模块，支持短信、电话告警服务接入,SIM：1.8/3V，支持移动、联通、电信网络；</w:t>
      </w:r>
    </w:p>
    <w:p w14:paraId="06D15757">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（5）含手机APP客户端接入接口，须能够支持安卓4.0及以上智能设备，须为独立的APP程序，而非web客户端。手机APP客户端须能显示机房的告警信息、能效指标、设备的状态参数等。</w:t>
      </w:r>
    </w:p>
    <w:p w14:paraId="7FCE56F2">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（6）含动环监控系统所需传感器；温湿度传感器6个；烟雾传感器6个；红外传感器2个；声光告警1个；不定位式水浸控制器3个；不定位漏水感应绳（10米）3条；</w:t>
      </w:r>
    </w:p>
    <w:p w14:paraId="09B308FB">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（7）注（包含以下内容）：</w:t>
      </w:r>
    </w:p>
    <w:p w14:paraId="1D95D800">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本次模块化机房建设项目为交钥匙工程，投标人提供的项目内容需包含主机房区域及蓄电池间区域墙面、顶面、地面、照明、消防、新风、空调、接地等</w:t>
      </w:r>
      <w:r>
        <w:rPr>
          <w:rFonts w:hint="eastAsia" w:ascii="宋体" w:hAnsi="宋体" w:cs="Times New Roman"/>
          <w:color w:val="000000" w:themeColor="text1"/>
          <w:sz w:val="24"/>
          <w:szCs w:val="24"/>
          <w:highlight w:val="none"/>
          <w:lang w:val="en-US" w:eastAsia="zh-CN"/>
          <w14:textFill>
            <w14:solidFill>
              <w14:schemeClr w14:val="tx1"/>
            </w14:solidFill>
          </w14:textFill>
        </w:rPr>
        <w:t>处理</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模块。</w:t>
      </w:r>
    </w:p>
    <w:p w14:paraId="2F7C1F48">
      <w:pPr>
        <w:spacing w:line="500" w:lineRule="exact"/>
        <w:ind w:firstLine="482" w:firstLineChars="200"/>
        <w:rPr>
          <w:rFonts w:hint="eastAsia" w:ascii="宋体" w:hAnsi="宋体" w:eastAsia="宋体" w:cs="Times New Roman"/>
          <w:b/>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sz w:val="24"/>
          <w:szCs w:val="24"/>
          <w:highlight w:val="none"/>
          <w:lang w:eastAsia="zh-CN"/>
          <w14:textFill>
            <w14:solidFill>
              <w14:schemeClr w14:val="tx1"/>
            </w14:solidFill>
          </w14:textFill>
        </w:rPr>
        <w:t>序号5：电池组监控系统</w:t>
      </w:r>
    </w:p>
    <w:p w14:paraId="3385C942">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（1）管理能力：可检测多组电池组，实现电池的数据采集、控制、上传和告警，实时监测电池的电压、内阻、温度、SOC、SOH。</w:t>
      </w:r>
    </w:p>
    <w:p w14:paraId="52805358">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（2）通讯方式：支持SNMP、RS485；</w:t>
      </w:r>
    </w:p>
    <w:p w14:paraId="0F036A9E">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（3）含电池单体采集模块36个，适用于12V电池；</w:t>
      </w:r>
    </w:p>
    <w:p w14:paraId="4583C025">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（4）含电池组监控模块1个；</w:t>
      </w:r>
    </w:p>
    <w:p w14:paraId="7FE63459">
      <w:pPr>
        <w:spacing w:line="500" w:lineRule="exact"/>
        <w:ind w:firstLine="482" w:firstLineChars="200"/>
        <w:rPr>
          <w:rFonts w:hint="eastAsia" w:ascii="宋体" w:hAnsi="宋体" w:eastAsia="宋体" w:cs="Times New Roman"/>
          <w:b/>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sz w:val="24"/>
          <w:szCs w:val="24"/>
          <w:highlight w:val="none"/>
          <w:lang w:eastAsia="zh-CN"/>
          <w14:textFill>
            <w14:solidFill>
              <w14:schemeClr w14:val="tx1"/>
            </w14:solidFill>
          </w14:textFill>
        </w:rPr>
        <w:t>序号6：防雷接地系统</w:t>
      </w:r>
    </w:p>
    <w:p w14:paraId="0EBBB2F1">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（1）配套一台等电位箱</w:t>
      </w:r>
    </w:p>
    <w:p w14:paraId="63C150C0">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（2）30M国标紫铜排30*3mm；</w:t>
      </w:r>
    </w:p>
    <w:p w14:paraId="7CE42B68">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（3）100M机柜接地线BVR6mm2国标；</w:t>
      </w:r>
    </w:p>
    <w:p w14:paraId="2D5041CD">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（4）5M国标接地引线ZRBVR50mm2</w:t>
      </w:r>
    </w:p>
    <w:p w14:paraId="19040BB4">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（5）74㎡国标接地铜箔40*0.3</w:t>
      </w:r>
    </w:p>
    <w:p w14:paraId="00D7BE65">
      <w:pPr>
        <w:spacing w:line="500" w:lineRule="exact"/>
        <w:ind w:firstLine="482" w:firstLineChars="200"/>
        <w:rPr>
          <w:rFonts w:hint="eastAsia" w:ascii="宋体" w:hAnsi="宋体" w:eastAsia="宋体" w:cs="Times New Roman"/>
          <w:b/>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sz w:val="24"/>
          <w:szCs w:val="24"/>
          <w:highlight w:val="none"/>
          <w:lang w:eastAsia="zh-CN"/>
          <w14:textFill>
            <w14:solidFill>
              <w14:schemeClr w14:val="tx1"/>
            </w14:solidFill>
          </w14:textFill>
        </w:rPr>
        <w:t>序号7：消防控制系统</w:t>
      </w:r>
    </w:p>
    <w:p w14:paraId="67CFF0B6">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（1）2瓶组柜式七氟丙烷灭火装置（机房），工作压力2.5MPa；灭火剂喷放时间：小于10秒；工作温度0-50℃；喷头前置。</w:t>
      </w:r>
    </w:p>
    <w:p w14:paraId="5AA086D9">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（2）180kg  HFC-227ea药剂，纯度99.6%以上。</w:t>
      </w:r>
    </w:p>
    <w:p w14:paraId="33317AAA">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（3）1台泄压口，泄压面积≥0.2㎡。</w:t>
      </w:r>
    </w:p>
    <w:p w14:paraId="3EAB2BF5">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4）1台气体灭火控制器，交流输入电压：220V±10~15%,50Hz±1%，交流输入功率：≤300W，直流备电：DC24V/5Ah,全密封免维护蓄电池，使用环境温度：0℃～40℃，相对湿度：≤95%(不凝露)，容量：1区，火灾报警回路容量≤160点。</w:t>
      </w:r>
    </w:p>
    <w:p w14:paraId="5BA5D50F">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（5）1个紧急启停按钮，总线工作电压：DC24V脉动电压。紧急情况下启动或停止系统运作。</w:t>
      </w:r>
    </w:p>
    <w:p w14:paraId="452571E6">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（6）2个声光报警器，工作电压：DC24V脉动电压、监视电流≤350uA；报警电流≤5mA；、线制：两总线（无极性），气体主机给信号启动，起到预警以及示警作用。</w:t>
      </w:r>
    </w:p>
    <w:p w14:paraId="16C0E056">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（7）1个放气指示灯总线工作电压：DC24V脉动电压；、适用温度：-10°C～50°C；提式系统启动，防区内部有气体。</w:t>
      </w:r>
    </w:p>
    <w:p w14:paraId="3B86248F">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（8）4只光电感烟探测器执行标准：GB4715-2005《点型感烟火灾探测器》。4只定温感温探测器，外壳防护等级：IP30。</w:t>
      </w:r>
    </w:p>
    <w:p w14:paraId="14CAAE2B">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（9）配套辅材：线管，金属软管，线缆、小五金等等。</w:t>
      </w:r>
    </w:p>
    <w:p w14:paraId="232D457C">
      <w:pPr>
        <w:spacing w:line="500" w:lineRule="exact"/>
        <w:ind w:firstLine="482" w:firstLineChars="200"/>
        <w:rPr>
          <w:rFonts w:hint="eastAsia" w:ascii="宋体" w:hAnsi="宋体" w:eastAsia="宋体" w:cs="Times New Roman"/>
          <w:b/>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sz w:val="24"/>
          <w:szCs w:val="24"/>
          <w:highlight w:val="none"/>
          <w:lang w:eastAsia="zh-CN"/>
          <w14:textFill>
            <w14:solidFill>
              <w14:schemeClr w14:val="tx1"/>
            </w14:solidFill>
          </w14:textFill>
        </w:rPr>
        <w:t>序号8：智慧机房门禁一体机</w:t>
      </w:r>
    </w:p>
    <w:p w14:paraId="1744937C">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（1）门禁控制一体机，可通过刷卡、指纹、密码、人脸识别等身份认证，7英寸触摸显示屏，宽动态双目200万摄像头。</w:t>
      </w:r>
    </w:p>
    <w:p w14:paraId="5FD4340A">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（2）包含指纹蓝牙模块，支持拓展指纹（1万指纹容量）识别、蓝牙开门功能。</w:t>
      </w:r>
    </w:p>
    <w:p w14:paraId="42EFC6F8">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（3）包含IC卡10张。</w:t>
      </w:r>
    </w:p>
    <w:p w14:paraId="5B1FC6A5">
      <w:pPr>
        <w:spacing w:line="500" w:lineRule="exact"/>
        <w:ind w:firstLine="482" w:firstLineChars="200"/>
        <w:rPr>
          <w:rFonts w:hint="eastAsia" w:ascii="宋体" w:hAnsi="宋体" w:eastAsia="宋体" w:cs="Times New Roman"/>
          <w:b/>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sz w:val="24"/>
          <w:szCs w:val="24"/>
          <w:highlight w:val="none"/>
          <w:lang w:eastAsia="zh-CN"/>
          <w14:textFill>
            <w14:solidFill>
              <w14:schemeClr w14:val="tx1"/>
            </w14:solidFill>
          </w14:textFill>
        </w:rPr>
        <w:t>序号9：智慧模块化双通道自动平移系统</w:t>
      </w:r>
    </w:p>
    <w:p w14:paraId="7F02B75B">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（1）端门采用电动平移门，支持ID/IC门禁读卡器,支持消防联动</w:t>
      </w:r>
      <w:r>
        <w:rPr>
          <w:rFonts w:hint="eastAsia" w:ascii="宋体" w:hAnsi="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eastAsia="zh-CN"/>
          <w14:textFill>
            <w14:solidFill>
              <w14:schemeClr w14:val="tx1"/>
            </w14:solidFill>
          </w14:textFill>
        </w:rPr>
        <w:t>配置备用电池，发生紧急断电情况时可以自动开门,保证通道内部</w:t>
      </w:r>
      <w:r>
        <w:rPr>
          <w:rFonts w:hint="eastAsia" w:ascii="宋体" w:hAnsi="宋体" w:cs="Times New Roman"/>
          <w:color w:val="000000" w:themeColor="text1"/>
          <w:sz w:val="24"/>
          <w:szCs w:val="24"/>
          <w:highlight w:val="none"/>
          <w:lang w:val="en-US" w:eastAsia="zh-CN"/>
          <w14:textFill>
            <w14:solidFill>
              <w14:schemeClr w14:val="tx1"/>
            </w14:solidFill>
          </w14:textFill>
        </w:rPr>
        <w:t>人员和</w:t>
      </w:r>
      <w:r>
        <w:rPr>
          <w:rFonts w:hint="eastAsia" w:ascii="宋体" w:hAnsi="宋体" w:eastAsia="宋体" w:cs="Times New Roman"/>
          <w:color w:val="000000" w:themeColor="text1"/>
          <w:sz w:val="24"/>
          <w:szCs w:val="24"/>
          <w:highlight w:val="none"/>
          <w:lang w:eastAsia="zh-CN"/>
          <w14:textFill>
            <w14:solidFill>
              <w14:schemeClr w14:val="tx1"/>
            </w14:solidFill>
          </w14:textFill>
        </w:rPr>
        <w:t>设备的安全性。电动平移门采用12mm无边框全景覆膜钢化玻璃，玻璃覆盖面积98%以上。可支持通道端门配LCD显示屏，可显示时间、通道状态、温湿度、负载率等参数。</w:t>
      </w:r>
    </w:p>
    <w:p w14:paraId="3DB50F97">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（2）钢化玻璃厚度不低于12mm；</w:t>
      </w:r>
    </w:p>
    <w:p w14:paraId="08800533">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3）通道门为隐藏式滑动门,通道门内侧要求配置防夹人传感器/手动开门按钮，通道门打开后不影响通道外触摸屏使用。冷通道地面（地板）上应保证通过性优异，不允许有地轨、门槛等，以便人员设备进出便利。</w:t>
      </w:r>
    </w:p>
    <w:p w14:paraId="35679794">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（4）微模块通道两端应设置门禁系统，运维人员须通过识别身份方可进入微模块内部进行相应操作。模块级门禁系统由门禁机、门禁控制器、出门按钮、磁力锁、紧急按钮组成。</w:t>
      </w:r>
    </w:p>
    <w:p w14:paraId="4744A890">
      <w:pPr>
        <w:spacing w:line="500" w:lineRule="exact"/>
        <w:ind w:firstLine="482" w:firstLineChars="200"/>
        <w:rPr>
          <w:rFonts w:hint="eastAsia" w:ascii="宋体" w:hAnsi="宋体" w:eastAsia="宋体" w:cs="Times New Roman"/>
          <w:b/>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sz w:val="24"/>
          <w:szCs w:val="24"/>
          <w:highlight w:val="none"/>
          <w:lang w:eastAsia="zh-CN"/>
          <w14:textFill>
            <w14:solidFill>
              <w14:schemeClr w14:val="tx1"/>
            </w14:solidFill>
          </w14:textFill>
        </w:rPr>
        <w:t>序号10：网络NVR</w:t>
      </w:r>
    </w:p>
    <w:p w14:paraId="14A56CF0">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（1）可接驳符合ONVIF、RTSP标准的众多主流厂商网络摄像机；</w:t>
      </w:r>
    </w:p>
    <w:p w14:paraId="3DC90CFA">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（2）支持H.265高效视频编码码流，支持H.265、H.264IP设备混合接入；</w:t>
      </w:r>
    </w:p>
    <w:p w14:paraId="5A53955D">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（3）</w:t>
      </w:r>
      <w:r>
        <w:rPr>
          <w:rFonts w:hint="eastAsia" w:ascii="宋体" w:hAnsi="宋体" w:cs="Times New Roman"/>
          <w:color w:val="000000" w:themeColor="text1"/>
          <w:sz w:val="24"/>
          <w:szCs w:val="24"/>
          <w:highlight w:val="none"/>
          <w:lang w:val="en-US" w:eastAsia="zh-CN"/>
          <w14:textFill>
            <w14:solidFill>
              <w14:schemeClr w14:val="tx1"/>
            </w14:solidFill>
          </w14:textFill>
        </w:rPr>
        <w:t>可</w:t>
      </w:r>
      <w:r>
        <w:rPr>
          <w:rFonts w:hint="eastAsia" w:ascii="宋体" w:hAnsi="宋体" w:eastAsia="宋体" w:cs="Times New Roman"/>
          <w:color w:val="000000" w:themeColor="text1"/>
          <w:sz w:val="24"/>
          <w:szCs w:val="24"/>
          <w:highlight w:val="none"/>
          <w:lang w:eastAsia="zh-CN"/>
          <w14:textFill>
            <w14:solidFill>
              <w14:schemeClr w14:val="tx1"/>
            </w14:solidFill>
          </w14:textFill>
        </w:rPr>
        <w:t>满路数接入300万及以下像素网络摄像机；</w:t>
      </w:r>
    </w:p>
    <w:p w14:paraId="6A2859DF">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（4）最大支持600万像素高清网络视频的预览、存储与回放；</w:t>
      </w:r>
    </w:p>
    <w:p w14:paraId="0C1D9B56">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（5）支持HDMI与VGA同源高清输出，HDMI与VGA输出分辨率最高均可达1920×1080；</w:t>
      </w:r>
    </w:p>
    <w:p w14:paraId="58082AF6">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（6）支持1个SATA接口，最大支持6T硬盘；</w:t>
      </w:r>
    </w:p>
    <w:p w14:paraId="6475B902">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（7）内置4个PoE网口，支持IPC直连供电和出图；</w:t>
      </w:r>
    </w:p>
    <w:p w14:paraId="3837A132">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（8）支持最大4路同步回放和多路同步倒放；</w:t>
      </w:r>
    </w:p>
    <w:p w14:paraId="19F5F74E">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（9）支持智能搜索、回放及备份功能，有效提高录像检索与回放效率；</w:t>
      </w:r>
    </w:p>
    <w:p w14:paraId="422D503B">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（10）支持ISUP5.0以及GB28181协议，实现平台接入。</w:t>
      </w:r>
    </w:p>
    <w:p w14:paraId="186F14E8">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（11）含200万像素摄像头6个。</w:t>
      </w:r>
    </w:p>
    <w:p w14:paraId="00FB64AA">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（12）含3.5英寸硬盘，8TB容量，SATA6Gb/S,缓存64MB，5400转.</w:t>
      </w:r>
    </w:p>
    <w:p w14:paraId="7482D3D1">
      <w:pPr>
        <w:spacing w:line="500" w:lineRule="exact"/>
        <w:ind w:firstLine="482" w:firstLineChars="200"/>
        <w:rPr>
          <w:rFonts w:hint="eastAsia" w:ascii="宋体" w:hAnsi="宋体" w:eastAsia="宋体" w:cs="Times New Roman"/>
          <w:b/>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sz w:val="24"/>
          <w:szCs w:val="24"/>
          <w:highlight w:val="none"/>
          <w:lang w:eastAsia="zh-CN"/>
          <w14:textFill>
            <w14:solidFill>
              <w14:schemeClr w14:val="tx1"/>
            </w14:solidFill>
          </w14:textFill>
        </w:rPr>
        <w:t>序号11：UPS配电一体柜</w:t>
      </w:r>
    </w:p>
    <w:p w14:paraId="69A29908">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UPS配电一体柜应支持集成模块化UPS、进线开关、UPS输入开关、UPS输出开关、维修旁路、IT配电、空调配电及照明配电于单一柜体内，行级空调直接从一体化UPS供电，具备主支路监测功能，10英寸触摸屏。一体化UPS机框容量不小于150KVA，本项目暂配容量不小于125KVA；</w:t>
      </w:r>
    </w:p>
    <w:p w14:paraId="1EE0E483">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支持主路开关不小于400A/4P（ATS）；UPS输入、输出开关不小于2*250A/3P；维修旁路开关（带锁）不小于1*250A/4P；市电输出开关不小于且不少于6*63A/3P+24*40A/1P；UPS输出支路开关不小于且不少于24*40A/1P，防雷模块不低于C级防雷模块。</w:t>
      </w:r>
    </w:p>
    <w:p w14:paraId="747AF84A">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（3）为保证UPS产品的高效节能、绿色环保，UPS输入功率因数高达0.99，整机效率＞95%。</w:t>
      </w:r>
    </w:p>
    <w:p w14:paraId="203274EF">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4）▲UPS系统采用分散非主从控制方式，每个功率模块采用独立的双控制技术，单个模块可独立运行，不依赖集中控制器控制，具备不转旁路热插拔功能，使整个系统独立性增强，互相干扰少。并提供证明材料并加盖公章。</w:t>
      </w:r>
    </w:p>
    <w:p w14:paraId="790C95CB">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（5）要求整机采用集中旁路设计，静态旁路模块采用大功率集成模块，杜绝采用小功率单管继电器方案，避免旁路造成环流问题而引发故障。</w:t>
      </w:r>
    </w:p>
    <w:p w14:paraId="43D52B07">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（6）模块化UPS的所有模块包括旁路单元、控制单元、功率单元、充电单元等均须支持在线热插拔，达到所有模块全冗余方式，提升系统高可靠性及高可用性。</w:t>
      </w:r>
    </w:p>
    <w:p w14:paraId="0E9008CC">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7）一体化UPS应采用10英寸及以上尺寸液晶彩色触摸屏，单屏可管理供配电系统，实时监控市电总输入的状态和数据，UPS主机和功率模块的运行状态数据、IT配电支路开关状态及空调配电支路开关状态。不接受配电和UPS分开采用多个本地屏幕管理；</w:t>
      </w:r>
    </w:p>
    <w:p w14:paraId="4F626A46">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（8）一体化UPS柜体前门板应设置EPO紧急关机按钮，以便在紧急情况下快速关闭断开UPS输入输出电源，</w:t>
      </w:r>
    </w:p>
    <w:p w14:paraId="58361912">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（9）系统应采用分散充电设计，每个功率模块应具有独立的充电功能，避免充电器单点故障，提高系统的可靠性；充电功率可进行1～20%的设置。</w:t>
      </w:r>
    </w:p>
    <w:p w14:paraId="6899F591">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10）输出电流不均衡度≤0.9%。所有电路板均需要采用三防工艺，确保在低恶劣环境下的使用寿命。UPS输出功率因数必须为1，以便与负载完美匹配。系统须满足下述过载能力：125%额定阻性负载＞10分钟后转旁路输出。</w:t>
      </w:r>
    </w:p>
    <w:p w14:paraId="316E7C32">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（11）电池组节数可进行±15～±25节设置，便于未来遭遇个别电池故障需要维护、更换时,可灵活调节电池节数的需要。</w:t>
      </w:r>
    </w:p>
    <w:p w14:paraId="2D79F285">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（12）功率模块可任意热插拔，UPS系统可智能识别，无需通过拨码或软件设置。</w:t>
      </w:r>
    </w:p>
    <w:p w14:paraId="0597277F">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13）具备智能休眠模式，当模块的负载率小于休眠负载级别时，控制器根据当前负载量来决定进入休眠模式的模块数量，并在根据所设置的轮休时间来进行休眠轮换，以节省能耗真正实现绿色节能，同时提高系统综合使用寿命。</w:t>
      </w:r>
    </w:p>
    <w:p w14:paraId="109381CF">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（14）采用全电量监控，可检测各主支路电压、电流、频率、功率因数、有功、无功、电量、谐波、负载率、开关状态等参数。</w:t>
      </w:r>
    </w:p>
    <w:p w14:paraId="23D442BF">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（15）监控系统支持多样化告警分析及显示，所有告警记录具备本地存储功能，同时满足掉电保存，所有实时报警信息也可以上传到后台监控系统，方便监控室的工作人员实时查看和分析。</w:t>
      </w:r>
    </w:p>
    <w:p w14:paraId="22B16285">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（16）系统支持声光告警功能，当系统检测到告警时，会发出蜂鸣器告警音，系统还具备告警信息存储功能，至少可存储20000条告警信息，所有数据支持掉电保存。</w:t>
      </w:r>
    </w:p>
    <w:p w14:paraId="69FC60B4">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（17）包含功率模块，功率模块总容量≥125KVA，满足本期项目需求。</w:t>
      </w:r>
    </w:p>
    <w:p w14:paraId="7C4BC815">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（18）包含12V250AH铅酸蓄电池，36节；配套电池架、电池开关箱；电池连接线。</w:t>
      </w:r>
    </w:p>
    <w:p w14:paraId="2F9EE943">
      <w:pPr>
        <w:spacing w:line="500" w:lineRule="exact"/>
        <w:ind w:firstLine="482" w:firstLineChars="200"/>
        <w:rPr>
          <w:rFonts w:hint="eastAsia" w:ascii="宋体" w:hAnsi="宋体" w:eastAsia="宋体" w:cs="Times New Roman"/>
          <w:b/>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sz w:val="24"/>
          <w:szCs w:val="24"/>
          <w:highlight w:val="none"/>
          <w:lang w:eastAsia="zh-CN"/>
          <w14:textFill>
            <w14:solidFill>
              <w14:schemeClr w14:val="tx1"/>
            </w14:solidFill>
          </w14:textFill>
        </w:rPr>
        <w:t>序号12：行级精密制冷设备</w:t>
      </w:r>
    </w:p>
    <w:p w14:paraId="7A6776DB">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（1）制冷量≥40KW，风量≥8200m3/h，恒温恒湿，水平送风，尺寸（宽*深*高）：600*1200*2000mm；</w:t>
      </w:r>
    </w:p>
    <w:p w14:paraId="44595DCF">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（2）精密空调室内机采用高效工业用直流变频压缩机；</w:t>
      </w:r>
    </w:p>
    <w:p w14:paraId="0E62885B">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（3）机组标配PTC电加热，加热量≥6kW,标配湿膜加湿，加湿量≥3kg/h；</w:t>
      </w:r>
    </w:p>
    <w:p w14:paraId="5C3CC95F">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（4）采用全变频设计，冷量输出可实现10%～100%连续调节；</w:t>
      </w:r>
    </w:p>
    <w:p w14:paraId="42BC2036">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（5）空调风机N+1冗余配置，任意风机故障，仍可确保全风量运行；</w:t>
      </w:r>
    </w:p>
    <w:p w14:paraId="75B1F957">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（6）机组标配排水泵，同时支持上排水和自然排水；标配电源检测板，具备过流、过压、欠压、缺相、过热、短路等保护功能；</w:t>
      </w:r>
    </w:p>
    <w:p w14:paraId="41E48157">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（7）机组标配7寸真彩触摸屏，支持彩色图形化界面和触摸式操作，控制系统模块化设计，功能扩展灵活，支持现场升级；</w:t>
      </w:r>
    </w:p>
    <w:p w14:paraId="635A5D8F">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（8）支持最大32台机组群控，实现轮值备用、同向自主、平均分配、按需分配的群控模式。</w:t>
      </w:r>
    </w:p>
    <w:p w14:paraId="556AF099">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cs="Times New Roman"/>
          <w:color w:val="000000" w:themeColor="text1"/>
          <w:sz w:val="24"/>
          <w:szCs w:val="24"/>
          <w:highlight w:val="none"/>
          <w:lang w:val="en-US" w:eastAsia="zh-CN"/>
          <w14:textFill>
            <w14:solidFill>
              <w14:schemeClr w14:val="tx1"/>
            </w14:solidFill>
          </w14:textFill>
        </w:rPr>
        <w:t>9</w:t>
      </w:r>
      <w:r>
        <w:rPr>
          <w:rFonts w:hint="eastAsia" w:ascii="宋体" w:hAnsi="宋体" w:eastAsia="宋体" w:cs="Times New Roman"/>
          <w:color w:val="000000" w:themeColor="text1"/>
          <w:sz w:val="24"/>
          <w:szCs w:val="24"/>
          <w:highlight w:val="none"/>
          <w:lang w:eastAsia="zh-CN"/>
          <w14:textFill>
            <w14:solidFill>
              <w14:schemeClr w14:val="tx1"/>
            </w14:solidFill>
          </w14:textFill>
        </w:rPr>
        <w:t>）要求空调机组设备符合GB/T 19413-2024相关标准，提供节能认证证书</w:t>
      </w:r>
      <w:r>
        <w:rPr>
          <w:rFonts w:hint="eastAsia" w:ascii="宋体" w:hAnsi="宋体" w:cs="Times New Roman"/>
          <w:color w:val="000000" w:themeColor="text1"/>
          <w:sz w:val="24"/>
          <w:szCs w:val="24"/>
          <w:highlight w:val="none"/>
          <w:lang w:eastAsia="zh-CN"/>
          <w14:textFill>
            <w14:solidFill>
              <w14:schemeClr w14:val="tx1"/>
            </w14:solidFill>
          </w14:textFill>
        </w:rPr>
        <w:t>。</w:t>
      </w:r>
    </w:p>
    <w:p w14:paraId="4B398B88">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w:t>
      </w:r>
      <w:r>
        <w:rPr>
          <w:rFonts w:hint="eastAsia" w:ascii="宋体" w:hAnsi="宋体" w:cs="Times New Roman"/>
          <w:color w:val="000000" w:themeColor="text1"/>
          <w:sz w:val="24"/>
          <w:szCs w:val="24"/>
          <w:highlight w:val="none"/>
          <w:lang w:val="en-US" w:eastAsia="zh-CN"/>
          <w14:textFill>
            <w14:solidFill>
              <w14:schemeClr w14:val="tx1"/>
            </w14:solidFill>
          </w14:textFill>
        </w:rPr>
        <w:t>0</w:t>
      </w:r>
      <w:r>
        <w:rPr>
          <w:rFonts w:hint="eastAsia" w:ascii="宋体" w:hAnsi="宋体" w:eastAsia="宋体" w:cs="Times New Roman"/>
          <w:color w:val="000000" w:themeColor="text1"/>
          <w:sz w:val="24"/>
          <w:szCs w:val="24"/>
          <w:highlight w:val="none"/>
          <w:lang w:eastAsia="zh-CN"/>
          <w14:textFill>
            <w14:solidFill>
              <w14:schemeClr w14:val="tx1"/>
            </w14:solidFill>
          </w14:textFill>
        </w:rPr>
        <w:t>）为了</w:t>
      </w:r>
      <w:r>
        <w:rPr>
          <w:rFonts w:hint="eastAsia" w:ascii="宋体" w:hAnsi="宋体" w:cs="Times New Roman"/>
          <w:color w:val="000000" w:themeColor="text1"/>
          <w:sz w:val="24"/>
          <w:szCs w:val="24"/>
          <w:highlight w:val="none"/>
          <w:lang w:val="en-US" w:eastAsia="zh-CN"/>
          <w14:textFill>
            <w14:solidFill>
              <w14:schemeClr w14:val="tx1"/>
            </w14:solidFill>
          </w14:textFill>
        </w:rPr>
        <w:t>响应</w:t>
      </w:r>
      <w:r>
        <w:rPr>
          <w:rFonts w:hint="eastAsia" w:ascii="宋体" w:hAnsi="宋体" w:eastAsia="宋体" w:cs="Times New Roman"/>
          <w:color w:val="000000" w:themeColor="text1"/>
          <w:sz w:val="24"/>
          <w:szCs w:val="24"/>
          <w:highlight w:val="none"/>
          <w:lang w:eastAsia="zh-CN"/>
          <w14:textFill>
            <w14:solidFill>
              <w14:schemeClr w14:val="tx1"/>
            </w14:solidFill>
          </w14:textFill>
        </w:rPr>
        <w:t>国家节能节耗政策，要求空调全年能效比应不小于4.0，有第三方测试报告</w:t>
      </w:r>
    </w:p>
    <w:p w14:paraId="165EC3DD">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w:t>
      </w:r>
      <w:r>
        <w:rPr>
          <w:rFonts w:hint="eastAsia" w:ascii="宋体" w:hAnsi="宋体" w:cs="Times New Roman"/>
          <w:color w:val="000000" w:themeColor="text1"/>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sz w:val="24"/>
          <w:szCs w:val="24"/>
          <w:highlight w:val="none"/>
          <w:lang w:eastAsia="zh-CN"/>
          <w14:textFill>
            <w14:solidFill>
              <w14:schemeClr w14:val="tx1"/>
            </w14:solidFill>
          </w14:textFill>
        </w:rPr>
        <w:t>）要求空调均配备低温组件、延长组件、氟泵组件、防雷组件。</w:t>
      </w:r>
    </w:p>
    <w:p w14:paraId="4AEA3CFF">
      <w:pPr>
        <w:spacing w:line="500" w:lineRule="exact"/>
        <w:ind w:firstLine="482" w:firstLineChars="200"/>
        <w:rPr>
          <w:rFonts w:hint="eastAsia" w:ascii="宋体" w:hAnsi="宋体" w:eastAsia="宋体" w:cs="Times New Roman"/>
          <w:b/>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sz w:val="24"/>
          <w:szCs w:val="24"/>
          <w:highlight w:val="none"/>
          <w:lang w:eastAsia="zh-CN"/>
          <w14:textFill>
            <w14:solidFill>
              <w14:schemeClr w14:val="tx1"/>
            </w14:solidFill>
          </w14:textFill>
        </w:rPr>
        <w:t>序号13：监控触摸屏</w:t>
      </w:r>
    </w:p>
    <w:p w14:paraId="6A2389C4">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（1）显示尺寸:≥43寸</w:t>
      </w:r>
    </w:p>
    <w:p w14:paraId="2E22747E">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（2）显示比例16:9</w:t>
      </w:r>
    </w:p>
    <w:p w14:paraId="0FFF0DD4">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（3）分辨率:1920×1080@60Hz</w:t>
      </w:r>
    </w:p>
    <w:p w14:paraId="41D55D26">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（4）亮度350cd/㎡（高亮可选）</w:t>
      </w:r>
    </w:p>
    <w:p w14:paraId="41486AC7">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（5）色度16.7M</w:t>
      </w:r>
    </w:p>
    <w:p w14:paraId="270D7F71">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（6）触摸类型:投射式电容触摸屏</w:t>
      </w:r>
    </w:p>
    <w:p w14:paraId="02C2AA62">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（7）支持点数:10pt</w:t>
      </w:r>
    </w:p>
    <w:p w14:paraId="58771A44">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（8）多点操作：Windows7/8/10，Android</w:t>
      </w:r>
    </w:p>
    <w:p w14:paraId="35C8A617">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（9）CPU</w:t>
      </w:r>
      <w:r>
        <w:rPr>
          <w:rFonts w:hint="eastAsia" w:ascii="宋体" w:hAnsi="宋体" w:cs="Times New Roman"/>
          <w:color w:val="000000" w:themeColor="text1"/>
          <w:sz w:val="24"/>
          <w:szCs w:val="24"/>
          <w:highlight w:val="none"/>
          <w:lang w:val="en-US" w:eastAsia="zh-CN"/>
          <w14:textFill>
            <w14:solidFill>
              <w14:schemeClr w14:val="tx1"/>
            </w14:solidFill>
          </w14:textFill>
        </w:rPr>
        <w:t>不低于</w:t>
      </w:r>
      <w:r>
        <w:rPr>
          <w:rFonts w:hint="eastAsia" w:ascii="宋体" w:hAnsi="宋体" w:eastAsia="宋体" w:cs="Times New Roman"/>
          <w:color w:val="000000" w:themeColor="text1"/>
          <w:sz w:val="24"/>
          <w:szCs w:val="24"/>
          <w:highlight w:val="none"/>
          <w:lang w:eastAsia="zh-CN"/>
          <w14:textFill>
            <w14:solidFill>
              <w14:schemeClr w14:val="tx1"/>
            </w14:solidFill>
          </w14:textFill>
        </w:rPr>
        <w:t>八核，主频2.4GHz,安卓11系统，</w:t>
      </w:r>
      <w:r>
        <w:rPr>
          <w:rFonts w:hint="eastAsia" w:ascii="宋体" w:hAnsi="宋体" w:cs="Times New Roman"/>
          <w:color w:val="000000" w:themeColor="text1"/>
          <w:sz w:val="24"/>
          <w:szCs w:val="24"/>
          <w:highlight w:val="none"/>
          <w:lang w:val="en-US" w:eastAsia="zh-CN"/>
          <w14:textFill>
            <w14:solidFill>
              <w14:schemeClr w14:val="tx1"/>
            </w14:solidFill>
          </w14:textFill>
        </w:rPr>
        <w:t>配有</w:t>
      </w:r>
      <w:r>
        <w:rPr>
          <w:rFonts w:hint="eastAsia" w:ascii="宋体" w:hAnsi="宋体" w:eastAsia="宋体" w:cs="Times New Roman"/>
          <w:color w:val="000000" w:themeColor="text1"/>
          <w:sz w:val="24"/>
          <w:szCs w:val="24"/>
          <w:highlight w:val="none"/>
          <w:lang w:eastAsia="zh-CN"/>
          <w14:textFill>
            <w14:solidFill>
              <w14:schemeClr w14:val="tx1"/>
            </w14:solidFill>
          </w14:textFill>
        </w:rPr>
        <w:t>GPU</w:t>
      </w:r>
    </w:p>
    <w:p w14:paraId="395846AA">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（10）内存：8G</w:t>
      </w:r>
    </w:p>
    <w:p w14:paraId="1C231167">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（11）存储：32G</w:t>
      </w:r>
    </w:p>
    <w:p w14:paraId="73AB7E77">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（12）接口</w:t>
      </w:r>
      <w:r>
        <w:rPr>
          <w:rFonts w:hint="eastAsia" w:ascii="宋体" w:hAnsi="宋体" w:cs="Times New Roman"/>
          <w:color w:val="000000" w:themeColor="text1"/>
          <w:sz w:val="24"/>
          <w:szCs w:val="24"/>
          <w:highlight w:val="none"/>
          <w:lang w:val="en-US" w:eastAsia="zh-CN"/>
          <w14:textFill>
            <w14:solidFill>
              <w14:schemeClr w14:val="tx1"/>
            </w14:solidFill>
          </w14:textFill>
        </w:rPr>
        <w:t>不低于：</w:t>
      </w:r>
      <w:r>
        <w:rPr>
          <w:rFonts w:hint="eastAsia" w:ascii="宋体" w:hAnsi="宋体" w:eastAsia="宋体" w:cs="Times New Roman"/>
          <w:color w:val="000000" w:themeColor="text1"/>
          <w:sz w:val="24"/>
          <w:szCs w:val="24"/>
          <w:highlight w:val="none"/>
          <w:lang w:eastAsia="zh-CN"/>
          <w14:textFill>
            <w14:solidFill>
              <w14:schemeClr w14:val="tx1"/>
            </w14:solidFill>
          </w14:textFill>
        </w:rPr>
        <w:t>1个HDMI（OUT）、2个RJ45、2个USB、1个TF卡</w:t>
      </w:r>
    </w:p>
    <w:p w14:paraId="2BFCC39E">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（13）功率最大功耗</w:t>
      </w:r>
      <w:r>
        <w:rPr>
          <w:rFonts w:hint="eastAsia" w:ascii="宋体" w:hAnsi="宋体" w:cs="Times New Roman"/>
          <w:color w:val="000000" w:themeColor="text1"/>
          <w:sz w:val="24"/>
          <w:szCs w:val="24"/>
          <w:highlight w:val="none"/>
          <w:lang w:val="en-US" w:eastAsia="zh-CN"/>
          <w14:textFill>
            <w14:solidFill>
              <w14:schemeClr w14:val="tx1"/>
            </w14:solidFill>
          </w14:textFill>
        </w:rPr>
        <w:t>不超过</w:t>
      </w:r>
      <w:r>
        <w:rPr>
          <w:rFonts w:hint="eastAsia" w:ascii="宋体" w:hAnsi="宋体" w:eastAsia="宋体" w:cs="Times New Roman"/>
          <w:color w:val="000000" w:themeColor="text1"/>
          <w:sz w:val="24"/>
          <w:szCs w:val="24"/>
          <w:highlight w:val="none"/>
          <w:lang w:eastAsia="zh-CN"/>
          <w14:textFill>
            <w14:solidFill>
              <w14:schemeClr w14:val="tx1"/>
            </w14:solidFill>
          </w14:textFill>
        </w:rPr>
        <w:t>50w；待机功耗</w:t>
      </w:r>
      <w:r>
        <w:rPr>
          <w:rFonts w:hint="eastAsia" w:ascii="宋体" w:hAnsi="宋体" w:cs="Times New Roman"/>
          <w:color w:val="000000" w:themeColor="text1"/>
          <w:sz w:val="24"/>
          <w:szCs w:val="24"/>
          <w:highlight w:val="none"/>
          <w:lang w:val="en-US" w:eastAsia="zh-CN"/>
          <w14:textFill>
            <w14:solidFill>
              <w14:schemeClr w14:val="tx1"/>
            </w14:solidFill>
          </w14:textFill>
        </w:rPr>
        <w:t>不超过</w:t>
      </w:r>
      <w:r>
        <w:rPr>
          <w:rFonts w:hint="eastAsia" w:ascii="宋体" w:hAnsi="宋体" w:eastAsia="宋体" w:cs="Times New Roman"/>
          <w:color w:val="000000" w:themeColor="text1"/>
          <w:sz w:val="24"/>
          <w:szCs w:val="24"/>
          <w:highlight w:val="none"/>
          <w:lang w:eastAsia="zh-CN"/>
          <w14:textFill>
            <w14:solidFill>
              <w14:schemeClr w14:val="tx1"/>
            </w14:solidFill>
          </w14:textFill>
        </w:rPr>
        <w:t>15w;关机功耗</w:t>
      </w:r>
      <w:r>
        <w:rPr>
          <w:rFonts w:hint="eastAsia" w:ascii="宋体" w:hAnsi="宋体" w:cs="Times New Roman"/>
          <w:color w:val="000000" w:themeColor="text1"/>
          <w:sz w:val="24"/>
          <w:szCs w:val="24"/>
          <w:highlight w:val="none"/>
          <w:lang w:val="en-US" w:eastAsia="zh-CN"/>
          <w14:textFill>
            <w14:solidFill>
              <w14:schemeClr w14:val="tx1"/>
            </w14:solidFill>
          </w14:textFill>
        </w:rPr>
        <w:t>不超过</w:t>
      </w:r>
      <w:r>
        <w:rPr>
          <w:rFonts w:hint="eastAsia" w:ascii="宋体" w:hAnsi="宋体" w:eastAsia="宋体" w:cs="Times New Roman"/>
          <w:color w:val="000000" w:themeColor="text1"/>
          <w:sz w:val="24"/>
          <w:szCs w:val="24"/>
          <w:highlight w:val="none"/>
          <w:lang w:eastAsia="zh-CN"/>
          <w14:textFill>
            <w14:solidFill>
              <w14:schemeClr w14:val="tx1"/>
            </w14:solidFill>
          </w14:textFill>
        </w:rPr>
        <w:t>2w</w:t>
      </w:r>
    </w:p>
    <w:p w14:paraId="13EB28B9">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（14）环境温度工作:0℃-50℃；</w:t>
      </w:r>
    </w:p>
    <w:p w14:paraId="51A88B4A">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（15）环境湿度工作:20%-80%。</w:t>
      </w:r>
    </w:p>
    <w:p w14:paraId="4EED1348">
      <w:pPr>
        <w:spacing w:line="500" w:lineRule="exact"/>
        <w:ind w:firstLine="482" w:firstLineChars="200"/>
        <w:rPr>
          <w:rFonts w:hint="default" w:ascii="宋体" w:hAnsi="宋体" w:eastAsia="宋体" w:cs="Times New Roman"/>
          <w:b/>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sz w:val="24"/>
          <w:szCs w:val="24"/>
          <w:highlight w:val="none"/>
          <w:lang w:eastAsia="zh-CN"/>
          <w14:textFill>
            <w14:solidFill>
              <w14:schemeClr w14:val="tx1"/>
            </w14:solidFill>
          </w14:textFill>
        </w:rPr>
        <w:t>序号14：管理节点</w:t>
      </w:r>
      <w:r>
        <w:rPr>
          <w:rFonts w:hint="eastAsia" w:ascii="宋体" w:hAnsi="宋体" w:eastAsia="宋体" w:cs="Times New Roman"/>
          <w:b/>
          <w:bCs/>
          <w:color w:val="000000" w:themeColor="text1"/>
          <w:sz w:val="24"/>
          <w:szCs w:val="24"/>
          <w:highlight w:val="none"/>
          <w:lang w:val="en-US" w:eastAsia="zh-CN"/>
          <w14:textFill>
            <w14:solidFill>
              <w14:schemeClr w14:val="tx1"/>
            </w14:solidFill>
          </w14:textFill>
        </w:rPr>
        <w:t>1</w:t>
      </w:r>
    </w:p>
    <w:p w14:paraId="04AB856A">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cs="Times New Roman"/>
          <w:color w:val="000000" w:themeColor="text1"/>
          <w:sz w:val="24"/>
          <w:szCs w:val="24"/>
          <w:highlight w:val="none"/>
          <w:lang w:val="en-US" w:eastAsia="zh-CN"/>
          <w14:textFill>
            <w14:solidFill>
              <w14:schemeClr w14:val="tx1"/>
            </w14:solidFill>
          </w14:textFill>
        </w:rPr>
        <w:t>不低于</w:t>
      </w:r>
      <w:r>
        <w:rPr>
          <w:rFonts w:ascii="宋体" w:hAnsi="宋体" w:eastAsia="宋体" w:cs="Times New Roman"/>
          <w:color w:val="000000" w:themeColor="text1"/>
          <w:sz w:val="24"/>
          <w:szCs w:val="24"/>
          <w:highlight w:val="none"/>
          <w14:textFill>
            <w14:solidFill>
              <w14:schemeClr w14:val="tx1"/>
            </w14:solidFill>
          </w14:textFill>
        </w:rPr>
        <w:t>14英寸</w:t>
      </w:r>
      <w:r>
        <w:rPr>
          <w:rFonts w:hint="eastAsia" w:ascii="宋体" w:hAnsi="宋体" w:cs="Times New Roman"/>
          <w:color w:val="000000" w:themeColor="text1"/>
          <w:sz w:val="24"/>
          <w:szCs w:val="24"/>
          <w:highlight w:val="none"/>
          <w:lang w:val="en-US" w:eastAsia="zh-CN"/>
          <w14:textFill>
            <w14:solidFill>
              <w14:schemeClr w14:val="tx1"/>
            </w14:solidFill>
          </w14:textFill>
        </w:rPr>
        <w:t>屏</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cs="Times New Roman"/>
          <w:color w:val="000000" w:themeColor="text1"/>
          <w:sz w:val="24"/>
          <w:szCs w:val="24"/>
          <w:highlight w:val="none"/>
          <w:lang w:val="en-US" w:eastAsia="zh-CN"/>
          <w14:textFill>
            <w14:solidFill>
              <w14:schemeClr w14:val="tx1"/>
            </w14:solidFill>
          </w14:textFill>
        </w:rPr>
        <w:t>不低于</w:t>
      </w:r>
      <w:r>
        <w:rPr>
          <w:rFonts w:ascii="宋体" w:hAnsi="宋体" w:eastAsia="宋体" w:cs="Times New Roman"/>
          <w:color w:val="000000" w:themeColor="text1"/>
          <w:sz w:val="24"/>
          <w:szCs w:val="24"/>
          <w:highlight w:val="none"/>
          <w14:textFill>
            <w14:solidFill>
              <w14:schemeClr w14:val="tx1"/>
            </w14:solidFill>
          </w14:textFill>
        </w:rPr>
        <w:t>CPU</w:t>
      </w:r>
      <w:r>
        <w:rPr>
          <w:rFonts w:hint="eastAsia" w:ascii="宋体" w:hAnsi="宋体" w:cs="Times New Roman"/>
          <w:color w:val="000000" w:themeColor="text1"/>
          <w:sz w:val="24"/>
          <w:szCs w:val="24"/>
          <w:highlight w:val="non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10+10核，内存</w:t>
      </w:r>
      <w:r>
        <w:rPr>
          <w:rFonts w:hint="eastAsia" w:ascii="宋体" w:hAnsi="宋体" w:cs="Times New Roman"/>
          <w:color w:val="000000" w:themeColor="text1"/>
          <w:sz w:val="24"/>
          <w:szCs w:val="24"/>
          <w:highlight w:val="none"/>
          <w:lang w:val="en-US" w:eastAsia="zh-CN"/>
          <w14:textFill>
            <w14:solidFill>
              <w14:schemeClr w14:val="tx1"/>
            </w14:solidFill>
          </w14:textFill>
        </w:rPr>
        <w:t>不低于</w:t>
      </w:r>
      <w:r>
        <w:rPr>
          <w:rFonts w:ascii="宋体" w:hAnsi="宋体" w:eastAsia="宋体" w:cs="Times New Roman"/>
          <w:color w:val="000000" w:themeColor="text1"/>
          <w:sz w:val="24"/>
          <w:szCs w:val="24"/>
          <w:highlight w:val="none"/>
          <w14:textFill>
            <w14:solidFill>
              <w14:schemeClr w14:val="tx1"/>
            </w14:solidFill>
          </w14:textFill>
        </w:rPr>
        <w:t>32G ，存储</w:t>
      </w:r>
      <w:r>
        <w:rPr>
          <w:rFonts w:hint="eastAsia" w:ascii="宋体" w:hAnsi="宋体" w:cs="Times New Roman"/>
          <w:color w:val="000000" w:themeColor="text1"/>
          <w:sz w:val="24"/>
          <w:szCs w:val="24"/>
          <w:highlight w:val="none"/>
          <w:lang w:val="en-US" w:eastAsia="zh-CN"/>
          <w14:textFill>
            <w14:solidFill>
              <w14:schemeClr w14:val="tx1"/>
            </w14:solidFill>
          </w14:textFill>
        </w:rPr>
        <w:t>不低于</w:t>
      </w:r>
      <w:r>
        <w:rPr>
          <w:rFonts w:ascii="宋体" w:hAnsi="宋体" w:eastAsia="宋体" w:cs="Times New Roman"/>
          <w:color w:val="000000" w:themeColor="text1"/>
          <w:sz w:val="24"/>
          <w:szCs w:val="24"/>
          <w:highlight w:val="none"/>
          <w14:textFill>
            <w14:solidFill>
              <w14:schemeClr w14:val="tx1"/>
            </w14:solidFill>
          </w14:textFill>
        </w:rPr>
        <w:t>4T，</w:t>
      </w:r>
      <w:r>
        <w:rPr>
          <w:rFonts w:hint="eastAsia" w:ascii="宋体" w:hAnsi="宋体" w:cs="Times New Roman"/>
          <w:color w:val="000000" w:themeColor="text1"/>
          <w:sz w:val="24"/>
          <w:szCs w:val="24"/>
          <w:highlight w:val="none"/>
          <w:lang w:val="en-US" w:eastAsia="zh-CN"/>
          <w14:textFill>
            <w14:solidFill>
              <w14:schemeClr w14:val="tx1"/>
            </w14:solidFill>
          </w14:textFill>
        </w:rPr>
        <w:t>不低于</w:t>
      </w:r>
      <w:r>
        <w:rPr>
          <w:rFonts w:ascii="宋体" w:hAnsi="宋体" w:eastAsia="宋体" w:cs="Times New Roman"/>
          <w:color w:val="000000" w:themeColor="text1"/>
          <w:sz w:val="24"/>
          <w:szCs w:val="24"/>
          <w:highlight w:val="none"/>
          <w14:textFill>
            <w14:solidFill>
              <w14:schemeClr w14:val="tx1"/>
            </w14:solidFill>
          </w14:textFill>
        </w:rPr>
        <w:t>10核图形处理器，</w:t>
      </w:r>
      <w:r>
        <w:rPr>
          <w:rFonts w:hint="eastAsia" w:ascii="宋体" w:hAnsi="宋体" w:cs="Times New Roman"/>
          <w:color w:val="000000" w:themeColor="text1"/>
          <w:sz w:val="24"/>
          <w:szCs w:val="24"/>
          <w:highlight w:val="none"/>
          <w:lang w:val="en-US" w:eastAsia="zh-CN"/>
          <w14:textFill>
            <w14:solidFill>
              <w14:schemeClr w14:val="tx1"/>
            </w14:solidFill>
          </w14:textFill>
        </w:rPr>
        <w:t>含</w:t>
      </w:r>
      <w:r>
        <w:rPr>
          <w:rFonts w:ascii="宋体" w:hAnsi="宋体" w:eastAsia="宋体" w:cs="Times New Roman"/>
          <w:color w:val="000000" w:themeColor="text1"/>
          <w:sz w:val="24"/>
          <w:szCs w:val="24"/>
          <w:highlight w:val="none"/>
          <w14:textFill>
            <w14:solidFill>
              <w14:schemeClr w14:val="tx1"/>
            </w14:solidFill>
          </w14:textFill>
        </w:rPr>
        <w:t>神经网络加速器，硬件加速光线追踪，16 核神经网络引擎，</w:t>
      </w:r>
      <w:r>
        <w:rPr>
          <w:rFonts w:hint="eastAsia" w:ascii="宋体" w:hAnsi="宋体" w:cs="Times New Roman"/>
          <w:color w:val="000000" w:themeColor="text1"/>
          <w:sz w:val="24"/>
          <w:szCs w:val="24"/>
          <w:highlight w:val="none"/>
          <w:lang w:val="en-US" w:eastAsia="zh-CN"/>
          <w14:textFill>
            <w14:solidFill>
              <w14:schemeClr w14:val="tx1"/>
            </w14:solidFill>
          </w14:textFill>
        </w:rPr>
        <w:t>不低于</w:t>
      </w:r>
      <w:r>
        <w:rPr>
          <w:rFonts w:ascii="宋体" w:hAnsi="宋体" w:eastAsia="宋体" w:cs="Times New Roman"/>
          <w:color w:val="000000" w:themeColor="text1"/>
          <w:sz w:val="24"/>
          <w:szCs w:val="24"/>
          <w:highlight w:val="none"/>
          <w14:textFill>
            <w14:solidFill>
              <w14:schemeClr w14:val="tx1"/>
            </w14:solidFill>
          </w14:textFill>
        </w:rPr>
        <w:t>153GB/s 内存带宽，媒体处理引擎，支持 H.264、HEVC、ProRes 和 ProRes RAW 硬件加速，</w:t>
      </w:r>
      <w:r>
        <w:rPr>
          <w:rFonts w:hint="eastAsia" w:ascii="宋体" w:hAnsi="宋体" w:cs="Times New Roman"/>
          <w:color w:val="000000" w:themeColor="text1"/>
          <w:sz w:val="24"/>
          <w:szCs w:val="24"/>
          <w:highlight w:val="none"/>
          <w:lang w:val="en-US" w:eastAsia="zh-CN"/>
          <w14:textFill>
            <w14:solidFill>
              <w14:schemeClr w14:val="tx1"/>
            </w14:solidFill>
          </w14:textFill>
        </w:rPr>
        <w:t>含</w:t>
      </w:r>
      <w:r>
        <w:rPr>
          <w:rFonts w:ascii="宋体" w:hAnsi="宋体" w:eastAsia="宋体" w:cs="Times New Roman"/>
          <w:color w:val="000000" w:themeColor="text1"/>
          <w:sz w:val="24"/>
          <w:szCs w:val="24"/>
          <w:highlight w:val="none"/>
          <w14:textFill>
            <w14:solidFill>
              <w14:schemeClr w14:val="tx1"/>
            </w14:solidFill>
          </w14:textFill>
        </w:rPr>
        <w:t>视频解码引擎，视频编码引擎，ProRes 编解码引擎，AV1 解码</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p>
    <w:p w14:paraId="589BF61C">
      <w:pPr>
        <w:spacing w:line="500" w:lineRule="exact"/>
        <w:ind w:firstLine="482" w:firstLineChars="200"/>
        <w:rPr>
          <w:rFonts w:hint="eastAsia" w:ascii="宋体" w:hAnsi="宋体" w:eastAsia="宋体" w:cs="Times New Roman"/>
          <w:b/>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sz w:val="24"/>
          <w:szCs w:val="24"/>
          <w:highlight w:val="none"/>
          <w:lang w:eastAsia="zh-CN"/>
          <w14:textFill>
            <w14:solidFill>
              <w14:schemeClr w14:val="tx1"/>
            </w14:solidFill>
          </w14:textFill>
        </w:rPr>
        <w:t>序号15：移动内容采集终端</w:t>
      </w:r>
    </w:p>
    <w:p w14:paraId="5646C96B">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（1）Wi-Fi 7 + 蓝牙 5.3</w:t>
      </w:r>
    </w:p>
    <w:p w14:paraId="280917FD">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（2）同时连接设备：最多 4 台（多屏协同）</w:t>
      </w:r>
    </w:p>
    <w:p w14:paraId="1B32DC07">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（3）兼容系统：HarmonyOS 4.3 / Windows / macOS / Android类型：</w:t>
      </w:r>
    </w:p>
    <w:p w14:paraId="2AA76354">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 xml:space="preserve">（4）13.2英寸OLED 柔性大屏 </w:t>
      </w:r>
    </w:p>
    <w:p w14:paraId="53D2579E">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（5）分辨率：2880 × 1920（3.4 K）</w:t>
      </w:r>
    </w:p>
    <w:p w14:paraId="1D4098D9">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（6）刷新率：144 Hz</w:t>
      </w:r>
    </w:p>
    <w:p w14:paraId="0EE878F4">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（7）触控采样率：360 Hz</w:t>
      </w:r>
    </w:p>
    <w:p w14:paraId="3ED271E4">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（8）色域：ΔE＜1，100 % P3，HDR Vivid芯片：</w:t>
      </w:r>
    </w:p>
    <w:p w14:paraId="242D08D2">
      <w:pPr>
        <w:spacing w:line="500" w:lineRule="exact"/>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（9）</w:t>
      </w:r>
      <w:r>
        <w:rPr>
          <w:rFonts w:hint="eastAsia" w:ascii="宋体" w:hAnsi="宋体" w:cs="Times New Roman"/>
          <w:color w:val="000000" w:themeColor="text1"/>
          <w:sz w:val="24"/>
          <w:szCs w:val="24"/>
          <w:highlight w:val="none"/>
          <w:lang w:val="en-US" w:eastAsia="zh-CN"/>
          <w14:textFill>
            <w14:solidFill>
              <w14:schemeClr w14:val="tx1"/>
            </w14:solidFill>
          </w14:textFill>
        </w:rPr>
        <w:t>支持</w:t>
      </w:r>
      <w:r>
        <w:rPr>
          <w:rFonts w:hint="eastAsia" w:ascii="宋体" w:hAnsi="宋体" w:eastAsia="宋体" w:cs="Times New Roman"/>
          <w:color w:val="000000" w:themeColor="text1"/>
          <w:sz w:val="24"/>
          <w:szCs w:val="24"/>
          <w:highlight w:val="none"/>
          <w:lang w:eastAsia="zh-CN"/>
          <w14:textFill>
            <w14:solidFill>
              <w14:schemeClr w14:val="tx1"/>
            </w14:solidFill>
          </w14:textFill>
        </w:rPr>
        <w:t>5G</w:t>
      </w:r>
      <w:r>
        <w:rPr>
          <w:rFonts w:hint="eastAsia"/>
          <w:color w:val="000000" w:themeColor="text1"/>
          <w:highlight w:val="none"/>
          <w:lang w:val="en-US" w:eastAsia="zh-CN"/>
          <w14:textFill>
            <w14:solidFill>
              <w14:schemeClr w14:val="tx1"/>
            </w14:solidFill>
          </w14:textFill>
        </w:rPr>
        <w:t>模式</w:t>
      </w:r>
    </w:p>
    <w:p w14:paraId="0EE93FEE">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（10）12 核 CPU + 22 核 GPU</w:t>
      </w:r>
    </w:p>
    <w:p w14:paraId="5C2A05F5">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（11）NPU：双核</w:t>
      </w:r>
      <w:r>
        <w:rPr>
          <w:rFonts w:hint="eastAsia" w:ascii="宋体" w:hAnsi="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eastAsia="zh-CN"/>
          <w14:textFill>
            <w14:solidFill>
              <w14:schemeClr w14:val="tx1"/>
            </w14:solidFill>
          </w14:textFill>
        </w:rPr>
        <w:t>AI 算力 28 TOPS</w:t>
      </w:r>
    </w:p>
    <w:p w14:paraId="143F6F48">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（12）16 GB LPDDR5X</w:t>
      </w:r>
    </w:p>
    <w:p w14:paraId="4929DDBB">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（13）1 TB UFS 4.0</w:t>
      </w:r>
    </w:p>
    <w:p w14:paraId="566EA0BD">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（14）摄像头：前摄：16 MP 超广角 + ToF 深感 后摄：50 MP 主摄 + 13 MP 超广角 + 3D 深感闪光灯</w:t>
      </w:r>
    </w:p>
    <w:p w14:paraId="0F991029">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（15）附带两个配套的蓝牙触控笔。</w:t>
      </w:r>
    </w:p>
    <w:p w14:paraId="19C38163">
      <w:pPr>
        <w:spacing w:line="500" w:lineRule="exact"/>
        <w:ind w:firstLine="482" w:firstLineChars="200"/>
        <w:rPr>
          <w:rFonts w:hint="eastAsia" w:ascii="宋体" w:hAnsi="宋体" w:eastAsia="宋体" w:cs="Times New Roman"/>
          <w:b/>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sz w:val="24"/>
          <w:szCs w:val="24"/>
          <w:highlight w:val="none"/>
          <w:lang w:eastAsia="zh-CN"/>
          <w14:textFill>
            <w14:solidFill>
              <w14:schemeClr w14:val="tx1"/>
            </w14:solidFill>
          </w14:textFill>
        </w:rPr>
        <w:t>序号16：监控屏幕</w:t>
      </w:r>
    </w:p>
    <w:p w14:paraId="0156ABFB">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（1）屏幕尺寸≥65英寸（16:9，对角线165.1cm）物理分辨率：≥3840×2160（4K UHD）</w:t>
      </w:r>
    </w:p>
    <w:p w14:paraId="129485D4">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 xml:space="preserve">（2）屏幕类型：LED/LCD，非曲面 </w:t>
      </w:r>
    </w:p>
    <w:p w14:paraId="1F126983">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（3）能效等级：≥一级能效（中国节能认证）</w:t>
      </w:r>
    </w:p>
    <w:p w14:paraId="5A024DA8">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（4）配套吊装支架，高清线缆。</w:t>
      </w:r>
    </w:p>
    <w:p w14:paraId="43F4D38A">
      <w:pPr>
        <w:spacing w:line="500" w:lineRule="exact"/>
        <w:ind w:firstLine="482" w:firstLineChars="200"/>
        <w:rPr>
          <w:rFonts w:hint="eastAsia" w:ascii="宋体" w:hAnsi="宋体" w:eastAsia="宋体" w:cs="Times New Roman"/>
          <w:b/>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sz w:val="24"/>
          <w:szCs w:val="24"/>
          <w:highlight w:val="none"/>
          <w:lang w:eastAsia="zh-CN"/>
          <w14:textFill>
            <w14:solidFill>
              <w14:schemeClr w14:val="tx1"/>
            </w14:solidFill>
          </w14:textFill>
        </w:rPr>
        <w:t>序号17：计算节点</w:t>
      </w:r>
    </w:p>
    <w:p w14:paraId="00EC0801">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（1）服务器高度：4U，机架式服务器；</w:t>
      </w:r>
    </w:p>
    <w:p w14:paraId="6ED7FFC2">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（2）CPU规格：实配≥2颗X</w:t>
      </w:r>
      <w:r>
        <w:rPr>
          <w:rFonts w:hint="eastAsia" w:ascii="宋体" w:hAnsi="宋体" w:cs="Times New Roman"/>
          <w:color w:val="000000" w:themeColor="text1"/>
          <w:sz w:val="24"/>
          <w:szCs w:val="24"/>
          <w:highlight w:val="none"/>
          <w:lang w:val="en-US" w:eastAsia="zh-CN"/>
          <w14:textFill>
            <w14:solidFill>
              <w14:schemeClr w14:val="tx1"/>
            </w14:solidFill>
          </w14:textFill>
        </w:rPr>
        <w:t>86</w:t>
      </w:r>
      <w:r>
        <w:rPr>
          <w:rFonts w:hint="eastAsia" w:ascii="宋体" w:hAnsi="宋体" w:eastAsia="宋体" w:cs="Times New Roman"/>
          <w:color w:val="000000" w:themeColor="text1"/>
          <w:sz w:val="24"/>
          <w:szCs w:val="24"/>
          <w:highlight w:val="none"/>
          <w:lang w:eastAsia="zh-CN"/>
          <w14:textFill>
            <w14:solidFill>
              <w14:schemeClr w14:val="tx1"/>
            </w14:solidFill>
          </w14:textFill>
        </w:rPr>
        <w:t>处理器，物理核心≥32 核，基准主频≥2.8GHz，三级缓存≥105MB，支持PCIe 5.0，支持超线程及硬件虚拟化；</w:t>
      </w:r>
    </w:p>
    <w:p w14:paraId="21B3BD01">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（3）内存规格：实配≥256GB DDR5 5600内存（8*32GB 2Rx8 DDR5 5600内存），提供≥32个内存槽位；</w:t>
      </w:r>
    </w:p>
    <w:p w14:paraId="4E746EFD">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（4）硬盘规格：实配≥2块960GB SATA SSD，≥4块3.84TB SATA SSD；</w:t>
      </w:r>
    </w:p>
    <w:p w14:paraId="5A7593AE">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（5）阵列控制器：≥1个阵列卡，配置12Gbps SAS磁盘阵列控制器，支持Raid0/1/10/5/50/6/60,Raid1/10，≥4GB缓存，支持缓存数据保护，配置掉电保护模块；</w:t>
      </w:r>
    </w:p>
    <w:p w14:paraId="621D2396">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（6）接口：≥5个USB接口，≥2个VGA接口，支持后部独立的管理端口；</w:t>
      </w:r>
    </w:p>
    <w:p w14:paraId="0732B7B1">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（7）▲GPU：实配≥4 个数据中心级 GPU 模块，单卡显存≥48GB GDDR6、显存位宽 384bit、FP32 浮点算力≥59TFLOPS，支持硬件级 vGPU 虚拟化与高速多卡互联技术，提供证明材料并加盖公章；</w:t>
      </w:r>
    </w:p>
    <w:p w14:paraId="046A5D15">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（8）网卡：实配≥4个千兆电接口，≥4个万兆光接口（实配多模光模块）；</w:t>
      </w:r>
    </w:p>
    <w:p w14:paraId="71803433">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（9）电源：实配≥4个2400W交流电源模块；</w:t>
      </w:r>
    </w:p>
    <w:p w14:paraId="376A5F91">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（10）配置≥1Gb独立的远程管理控制端口，支持机箱入侵侦测，在外部打开机箱时提供报警功能；</w:t>
      </w:r>
    </w:p>
    <w:p w14:paraId="6A3084BA">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（11）▲服务器支持不依赖OS，可带外升级BIOS、BMC版本，可通过BMC界面带外一次升级多个部件的固件（如网卡部件、存储卡部件等），无需多次升级，提供检测报告并加盖公章；</w:t>
      </w:r>
    </w:p>
    <w:p w14:paraId="20491EE3">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（12）▲服务器支持智能温度监控，具备支持以图形化形式展示各组件温度传感器的分布图，可直观体现服务器整体温感状态，如发生温度告警可快速定位到具体区域；</w:t>
      </w:r>
    </w:p>
    <w:p w14:paraId="37F5A061">
      <w:pPr>
        <w:spacing w:line="500" w:lineRule="exact"/>
        <w:ind w:firstLine="482" w:firstLineChars="200"/>
        <w:rPr>
          <w:rFonts w:hint="default" w:ascii="宋体" w:hAnsi="宋体" w:eastAsia="宋体" w:cs="Times New Roman"/>
          <w:b/>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sz w:val="24"/>
          <w:szCs w:val="24"/>
          <w:highlight w:val="none"/>
          <w:lang w:eastAsia="zh-CN"/>
          <w14:textFill>
            <w14:solidFill>
              <w14:schemeClr w14:val="tx1"/>
            </w14:solidFill>
          </w14:textFill>
        </w:rPr>
        <w:t>序号18：管理节点</w:t>
      </w:r>
      <w:r>
        <w:rPr>
          <w:rFonts w:hint="eastAsia" w:ascii="宋体" w:hAnsi="宋体" w:eastAsia="宋体" w:cs="Times New Roman"/>
          <w:b/>
          <w:bCs/>
          <w:color w:val="000000" w:themeColor="text1"/>
          <w:sz w:val="24"/>
          <w:szCs w:val="24"/>
          <w:highlight w:val="none"/>
          <w:lang w:val="en-US" w:eastAsia="zh-CN"/>
          <w14:textFill>
            <w14:solidFill>
              <w14:schemeClr w14:val="tx1"/>
            </w14:solidFill>
          </w14:textFill>
        </w:rPr>
        <w:t>2</w:t>
      </w:r>
    </w:p>
    <w:p w14:paraId="089292BF">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（1）2U机架式服务器；</w:t>
      </w:r>
    </w:p>
    <w:p w14:paraId="30FD97BB">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（2）▲实配不少于2颗第五代可扩展处理器</w:t>
      </w:r>
      <w:r>
        <w:rPr>
          <w:rFonts w:hint="eastAsia" w:ascii="宋体" w:hAnsi="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eastAsia="zh-CN"/>
          <w14:textFill>
            <w14:solidFill>
              <w14:schemeClr w14:val="tx1"/>
            </w14:solidFill>
          </w14:textFill>
        </w:rPr>
        <w:t>单颗处理器核心数≥16核，单颗处理器频率≥2.0GHz；</w:t>
      </w:r>
    </w:p>
    <w:p w14:paraId="5FC3298B">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 xml:space="preserve">（3）实配≥4根32G DDR5 5600 内存，内存槽位支持≥32个 DDR5内存插槽； </w:t>
      </w:r>
    </w:p>
    <w:p w14:paraId="1D59164D">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（4）实配≥2块480GB SATA SSD硬盘，≥2块960GB SATA SSD硬盘，硬盘支持热拔插;</w:t>
      </w:r>
    </w:p>
    <w:p w14:paraId="3FF854F3">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（5）实配≥1 张 12G RAID 卡,≥4G 缓存, 支持缓存数据保护，配置掉电保护模块，支持 raid 0/1/10/5/6/50/60；</w:t>
      </w:r>
    </w:p>
    <w:p w14:paraId="70BFC440">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（6）实配≥4 个千兆电口，≥2个万兆光口（满配万兆多模光模块）；</w:t>
      </w:r>
    </w:p>
    <w:p w14:paraId="2B2FA3C8">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（7）整机可支持≥18个PCIe标准槽位,其中≥11个PCIe5.0标准槽位；</w:t>
      </w:r>
    </w:p>
    <w:p w14:paraId="06A650A5">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（8）最大可支持4块双宽GPU卡，14块单宽GPU卡；</w:t>
      </w:r>
    </w:p>
    <w:p w14:paraId="70755225">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（9）实配≥2 块 800W 交流电源，≥4 个风扇模块；</w:t>
      </w:r>
    </w:p>
    <w:p w14:paraId="7FFB38EA">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（10）▲支持智能温度监控，具备支持以图形化形式展示各组件温度传感器的分布图，可直观体现服务器整体温感状态，如发生温度告警可快速定位到具体区域，提供</w:t>
      </w:r>
      <w:r>
        <w:rPr>
          <w:rFonts w:hint="eastAsia" w:ascii="宋体" w:hAnsi="宋体" w:cs="Times New Roman"/>
          <w:color w:val="000000" w:themeColor="text1"/>
          <w:sz w:val="24"/>
          <w:szCs w:val="24"/>
          <w:highlight w:val="none"/>
          <w:lang w:val="en-US" w:eastAsia="zh-CN"/>
          <w14:textFill>
            <w14:solidFill>
              <w14:schemeClr w14:val="tx1"/>
            </w14:solidFill>
          </w14:textFill>
        </w:rPr>
        <w:t>证明</w:t>
      </w:r>
      <w:r>
        <w:rPr>
          <w:rFonts w:hint="eastAsia" w:ascii="宋体" w:hAnsi="宋体" w:eastAsia="宋体" w:cs="Times New Roman"/>
          <w:color w:val="000000" w:themeColor="text1"/>
          <w:sz w:val="24"/>
          <w:szCs w:val="24"/>
          <w:highlight w:val="none"/>
          <w:lang w:eastAsia="zh-CN"/>
          <w14:textFill>
            <w14:solidFill>
              <w14:schemeClr w14:val="tx1"/>
            </w14:solidFill>
          </w14:textFill>
        </w:rPr>
        <w:t>并加盖公章；</w:t>
      </w:r>
    </w:p>
    <w:p w14:paraId="4A7E9D11">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（11）通过提供固件包的方式，在BMC不重启的情况下，实现增加BMC新功能以及解决BMC故障，提供</w:t>
      </w:r>
      <w:r>
        <w:rPr>
          <w:rFonts w:hint="eastAsia" w:ascii="宋体" w:hAnsi="宋体" w:cs="Times New Roman"/>
          <w:color w:val="000000" w:themeColor="text1"/>
          <w:sz w:val="24"/>
          <w:szCs w:val="24"/>
          <w:highlight w:val="none"/>
          <w:lang w:val="en-US" w:eastAsia="zh-CN"/>
          <w14:textFill>
            <w14:solidFill>
              <w14:schemeClr w14:val="tx1"/>
            </w14:solidFill>
          </w14:textFill>
        </w:rPr>
        <w:t>证明</w:t>
      </w:r>
      <w:r>
        <w:rPr>
          <w:rFonts w:hint="eastAsia" w:ascii="宋体" w:hAnsi="宋体" w:eastAsia="宋体" w:cs="Times New Roman"/>
          <w:color w:val="000000" w:themeColor="text1"/>
          <w:sz w:val="24"/>
          <w:szCs w:val="24"/>
          <w:highlight w:val="none"/>
          <w:lang w:eastAsia="zh-CN"/>
          <w14:textFill>
            <w14:solidFill>
              <w14:schemeClr w14:val="tx1"/>
            </w14:solidFill>
          </w14:textFill>
        </w:rPr>
        <w:t>并加盖公章；</w:t>
      </w:r>
    </w:p>
    <w:p w14:paraId="0D6DE9D7">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（12）提供数据安全擦除功能，彻底删除NVDIMM、SD模块、HDD/SSD物理盘以及逻辑盘中的数据并恢复BIOS和BMC出厂默认值；</w:t>
      </w:r>
    </w:p>
    <w:p w14:paraId="787F3278">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（13）含原厂标准滑轨；</w:t>
      </w:r>
    </w:p>
    <w:p w14:paraId="11E79D49">
      <w:pPr>
        <w:spacing w:line="500" w:lineRule="exact"/>
        <w:ind w:firstLine="482" w:firstLineChars="200"/>
        <w:rPr>
          <w:rFonts w:hint="eastAsia" w:ascii="宋体" w:hAnsi="宋体" w:eastAsia="宋体" w:cs="Times New Roman"/>
          <w:b/>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sz w:val="24"/>
          <w:szCs w:val="24"/>
          <w:highlight w:val="none"/>
          <w:lang w:eastAsia="zh-CN"/>
          <w14:textFill>
            <w14:solidFill>
              <w14:schemeClr w14:val="tx1"/>
            </w14:solidFill>
          </w14:textFill>
        </w:rPr>
        <w:t>序号19：内存设备</w:t>
      </w:r>
    </w:p>
    <w:p w14:paraId="120B860F">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（1）单个内存容量不少于32GB 2Rx8 DDR5</w:t>
      </w:r>
      <w:r>
        <w:rPr>
          <w:rFonts w:hint="eastAsia" w:ascii="宋体" w:hAnsi="宋体" w:cs="Times New Roman"/>
          <w:color w:val="000000" w:themeColor="text1"/>
          <w:sz w:val="24"/>
          <w:szCs w:val="24"/>
          <w:highlight w:val="none"/>
          <w:lang w:eastAsia="zh-CN"/>
          <w14:textFill>
            <w14:solidFill>
              <w14:schemeClr w14:val="tx1"/>
            </w14:solidFill>
          </w14:textFill>
        </w:rPr>
        <w:t>；</w:t>
      </w:r>
    </w:p>
    <w:p w14:paraId="11BD35BF">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（2）需与本次采购的服务器兼容适配。</w:t>
      </w:r>
    </w:p>
    <w:p w14:paraId="6DE0A08A">
      <w:pPr>
        <w:spacing w:line="500" w:lineRule="exact"/>
        <w:ind w:firstLine="482" w:firstLineChars="200"/>
        <w:rPr>
          <w:rFonts w:hint="eastAsia" w:ascii="宋体" w:hAnsi="宋体" w:eastAsia="宋体" w:cs="Times New Roman"/>
          <w:b/>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sz w:val="24"/>
          <w:szCs w:val="24"/>
          <w:highlight w:val="none"/>
          <w:lang w:eastAsia="zh-CN"/>
          <w14:textFill>
            <w14:solidFill>
              <w14:schemeClr w14:val="tx1"/>
            </w14:solidFill>
          </w14:textFill>
        </w:rPr>
        <w:t>序号20：SATA SSD硬盘</w:t>
      </w:r>
    </w:p>
    <w:p w14:paraId="457011A8">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（1）单个硬盘容量不少于3.84TB6Gb/sSATA SSD，需与本次采购的服务器兼容适配。</w:t>
      </w:r>
    </w:p>
    <w:p w14:paraId="72E3C12C">
      <w:pPr>
        <w:spacing w:line="500" w:lineRule="exact"/>
        <w:ind w:firstLine="482" w:firstLineChars="200"/>
        <w:rPr>
          <w:rFonts w:hint="eastAsia" w:ascii="宋体" w:hAnsi="宋体" w:eastAsia="宋体" w:cs="Times New Roman"/>
          <w:b/>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sz w:val="24"/>
          <w:szCs w:val="24"/>
          <w:highlight w:val="none"/>
          <w:lang w:eastAsia="zh-CN"/>
          <w14:textFill>
            <w14:solidFill>
              <w14:schemeClr w14:val="tx1"/>
            </w14:solidFill>
          </w14:textFill>
        </w:rPr>
        <w:t>序号21：化身教研系统</w:t>
      </w:r>
    </w:p>
    <w:p w14:paraId="2AEC5724">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化身教研系统需具备教师数字化身生成及交互管理、教师课堂大数据分析报告生成等功能。教师数字化身可为每一个教师自动创建具有本人特征的化身，随着教师更多使用，化身的特征更准确。教师每一堂课上传分析后，系统自动匹配相关专家化身，与教师的化身，按照日常教研模式，自动生成教研讨论，并能够将整个讨论过程生成视频，供教师回看。教师可以在化身教研讨论区里，更进一步提出问题，和专家本人及其化身展开讨论。教师可以在教研讨论区里，通过生成和引用课堂大数据分析报告、课堂实录等，直接针对这些材料进行针对性提问。教师可组建各种讨论群，群聊里，每个人都带有化身，化身会参与讨论。教师可以和自己的化身展开对话，讨论课堂设计、问题链设计、例题设计等。教师和化身能够按照知行思维特征，形成课堂大数据分析报告，自动分析获取专家思维特征。</w:t>
      </w:r>
      <w:r>
        <w:rPr>
          <w:rFonts w:hint="eastAsia" w:ascii="宋体" w:hAnsi="宋体" w:cs="宋体"/>
          <w:color w:val="000000" w:themeColor="text1"/>
          <w:sz w:val="24"/>
          <w:highlight w:val="none"/>
          <w:lang w:bidi="ar"/>
          <w14:textFill>
            <w14:solidFill>
              <w14:schemeClr w14:val="tx1"/>
            </w14:solidFill>
          </w14:textFill>
        </w:rPr>
        <w:t>需</w:t>
      </w:r>
      <w:r>
        <w:rPr>
          <w:rFonts w:hint="eastAsia" w:ascii="宋体" w:hAnsi="宋体" w:cs="宋体"/>
          <w:color w:val="000000" w:themeColor="text1"/>
          <w:sz w:val="24"/>
          <w:highlight w:val="none"/>
          <w:lang w:val="en-US" w:eastAsia="zh-CN" w:bidi="ar"/>
          <w14:textFill>
            <w14:solidFill>
              <w14:schemeClr w14:val="tx1"/>
            </w14:solidFill>
          </w14:textFill>
        </w:rPr>
        <w:t>提供</w:t>
      </w:r>
      <w:r>
        <w:rPr>
          <w:rFonts w:hint="eastAsia" w:ascii="宋体" w:hAnsi="宋体" w:cs="宋体"/>
          <w:color w:val="000000" w:themeColor="text1"/>
          <w:sz w:val="24"/>
          <w:highlight w:val="none"/>
          <w:lang w:bidi="ar"/>
          <w14:textFill>
            <w14:solidFill>
              <w14:schemeClr w14:val="tx1"/>
            </w14:solidFill>
          </w14:textFill>
        </w:rPr>
        <w:t>具有教师数字化身生成及交互管理功能、教师课堂大数据分析报告管理功能的界面截图，要求提供以上功能界面截图或软件说明书证明，以及一份完整的基于知行思维特征的课堂分析报告PDF文件；</w:t>
      </w:r>
    </w:p>
    <w:p w14:paraId="4988C892">
      <w:pPr>
        <w:spacing w:line="500" w:lineRule="exact"/>
        <w:ind w:firstLine="482" w:firstLineChars="200"/>
        <w:rPr>
          <w:rFonts w:hint="eastAsia" w:ascii="宋体" w:hAnsi="宋体" w:eastAsia="宋体" w:cs="Times New Roman"/>
          <w:b/>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sz w:val="24"/>
          <w:szCs w:val="24"/>
          <w:highlight w:val="none"/>
          <w:lang w:eastAsia="zh-CN"/>
          <w14:textFill>
            <w14:solidFill>
              <w14:schemeClr w14:val="tx1"/>
            </w14:solidFill>
          </w14:textFill>
        </w:rPr>
        <w:t>序号22：调度软件</w:t>
      </w:r>
    </w:p>
    <w:p w14:paraId="66EEBAB0">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（1）为满足对GPU算力的纳管和调度，要求计算调度软件授权能够扩容，支持对本次和原有GPU算力的统一纳管和智能调度，配置对应授权；为保证对接后软件正常运行，投标文件中提供</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对</w:t>
      </w:r>
      <w:r>
        <w:rPr>
          <w:rFonts w:hint="eastAsia" w:ascii="宋体" w:hAnsi="宋体" w:eastAsia="宋体" w:cs="Times New Roman"/>
          <w:color w:val="000000" w:themeColor="text1"/>
          <w:sz w:val="24"/>
          <w:szCs w:val="24"/>
          <w:highlight w:val="none"/>
          <w:lang w:eastAsia="zh-CN"/>
          <w14:textFill>
            <w14:solidFill>
              <w14:schemeClr w14:val="tx1"/>
            </w14:solidFill>
          </w14:textFill>
        </w:rPr>
        <w:t>原有</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算力</w:t>
      </w:r>
      <w:r>
        <w:rPr>
          <w:rFonts w:hint="eastAsia" w:ascii="宋体" w:hAnsi="宋体" w:eastAsia="宋体" w:cs="Times New Roman"/>
          <w:color w:val="000000" w:themeColor="text1"/>
          <w:sz w:val="24"/>
          <w:szCs w:val="24"/>
          <w:highlight w:val="none"/>
          <w:lang w:eastAsia="zh-CN"/>
          <w14:textFill>
            <w14:solidFill>
              <w14:schemeClr w14:val="tx1"/>
            </w14:solidFill>
          </w14:textFill>
        </w:rPr>
        <w:t>对接</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和纳管调度</w:t>
      </w:r>
      <w:r>
        <w:rPr>
          <w:rFonts w:hint="eastAsia" w:ascii="宋体" w:hAnsi="宋体" w:eastAsia="宋体" w:cs="Times New Roman"/>
          <w:color w:val="000000" w:themeColor="text1"/>
          <w:sz w:val="24"/>
          <w:szCs w:val="24"/>
          <w:highlight w:val="none"/>
          <w:lang w:eastAsia="zh-CN"/>
          <w14:textFill>
            <w14:solidFill>
              <w14:schemeClr w14:val="tx1"/>
            </w14:solidFill>
          </w14:textFill>
        </w:rPr>
        <w:t>承诺函并加盖公章。</w:t>
      </w:r>
    </w:p>
    <w:p w14:paraId="24020B79">
      <w:pPr>
        <w:pStyle w:val="22"/>
        <w:keepNext w:val="0"/>
        <w:keepLines w:val="0"/>
        <w:pageBreakBefore w:val="0"/>
        <w:widowControl w:val="0"/>
        <w:kinsoku/>
        <w:wordWrap/>
        <w:overflowPunct/>
        <w:topLinePunct w:val="0"/>
        <w:autoSpaceDE/>
        <w:autoSpaceDN/>
        <w:bidi w:val="0"/>
        <w:adjustRightInd/>
        <w:snapToGrid w:val="0"/>
        <w:spacing w:before="396" w:after="156"/>
        <w:ind w:left="0" w:leftChars="0" w:right="28" w:firstLine="422" w:firstLineChars="175"/>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标项2：</w:t>
      </w:r>
      <w:r>
        <w:rPr>
          <w:rFonts w:hint="eastAsia" w:ascii="宋体" w:hAnsi="宋体" w:eastAsia="宋体" w:cs="宋体"/>
          <w:b/>
          <w:bCs/>
          <w:color w:val="000000" w:themeColor="text1"/>
          <w:sz w:val="24"/>
          <w:szCs w:val="24"/>
          <w:highlight w:val="none"/>
          <w14:textFill>
            <w14:solidFill>
              <w14:schemeClr w14:val="tx1"/>
            </w14:solidFill>
          </w14:textFill>
        </w:rPr>
        <w:t>新疆师范大学智慧教育及应用工程技术研究中心项目</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-第2包</w:t>
      </w:r>
    </w:p>
    <w:p w14:paraId="18F372F0">
      <w:pPr>
        <w:spacing w:line="500" w:lineRule="exact"/>
        <w:ind w:firstLine="482" w:firstLineChars="200"/>
        <w:rPr>
          <w:rFonts w:hint="default" w:ascii="宋体" w:hAnsi="宋体" w:eastAsia="宋体" w:cs="Times New Roman"/>
          <w:b/>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sz w:val="24"/>
          <w:szCs w:val="24"/>
          <w:highlight w:val="none"/>
          <w14:textFill>
            <w14:solidFill>
              <w14:schemeClr w14:val="tx1"/>
            </w14:solidFill>
          </w14:textFill>
        </w:rPr>
        <w:t>序号</w:t>
      </w:r>
      <w:r>
        <w:rPr>
          <w:rFonts w:hint="eastAsia" w:ascii="宋体" w:hAnsi="宋体" w:eastAsia="宋体" w:cs="Times New Roman"/>
          <w:b/>
          <w:bCs/>
          <w:color w:val="000000" w:themeColor="text1"/>
          <w:sz w:val="24"/>
          <w:szCs w:val="24"/>
          <w:highlight w:val="none"/>
          <w:lang w:val="en-US" w:eastAsia="zh-CN"/>
          <w14:textFill>
            <w14:solidFill>
              <w14:schemeClr w14:val="tx1"/>
            </w14:solidFill>
          </w14:textFill>
        </w:rPr>
        <w:t>1</w:t>
      </w:r>
      <w:r>
        <w:rPr>
          <w:rFonts w:hint="eastAsia" w:ascii="宋体" w:hAnsi="宋体" w:eastAsia="宋体" w:cs="Times New Roman"/>
          <w:b/>
          <w:bCs/>
          <w:color w:val="000000" w:themeColor="text1"/>
          <w:sz w:val="24"/>
          <w:szCs w:val="24"/>
          <w:highlight w:val="none"/>
          <w14:textFill>
            <w14:solidFill>
              <w14:schemeClr w14:val="tx1"/>
            </w14:solidFill>
          </w14:textFill>
        </w:rPr>
        <w:t>：</w:t>
      </w:r>
      <w:r>
        <w:rPr>
          <w:rFonts w:hint="eastAsia" w:ascii="宋体" w:hAnsi="宋体" w:eastAsia="宋体" w:cs="Times New Roman"/>
          <w:b/>
          <w:bCs/>
          <w:color w:val="000000" w:themeColor="text1"/>
          <w:sz w:val="24"/>
          <w:szCs w:val="24"/>
          <w:highlight w:val="none"/>
          <w:lang w:val="en-US" w:eastAsia="zh-CN"/>
          <w14:textFill>
            <w14:solidFill>
              <w14:schemeClr w14:val="tx1"/>
            </w14:solidFill>
          </w14:textFill>
        </w:rPr>
        <w:t>脑机接口机器人</w:t>
      </w:r>
    </w:p>
    <w:p w14:paraId="4AC3447B">
      <w:pPr>
        <w:spacing w:line="500" w:lineRule="exact"/>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机器人高度不低于132cm；</w:t>
      </w:r>
    </w:p>
    <w:p w14:paraId="7CCB81C8">
      <w:pPr>
        <w:spacing w:line="500" w:lineRule="exact"/>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总自由度（关节电机）不低于23个；</w:t>
      </w:r>
    </w:p>
    <w:p w14:paraId="777ABD36">
      <w:pPr>
        <w:spacing w:line="500" w:lineRule="exact"/>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单腿自由度不低于6个；</w:t>
      </w:r>
    </w:p>
    <w:p w14:paraId="0EF41633">
      <w:pPr>
        <w:spacing w:line="500" w:lineRule="exact"/>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单手臂自由度不低于5个；</w:t>
      </w:r>
    </w:p>
    <w:p w14:paraId="7F5270FE">
      <w:pPr>
        <w:spacing w:line="500" w:lineRule="exact"/>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联网方式：蓝牙5.2和wifi6；</w:t>
      </w:r>
    </w:p>
    <w:p w14:paraId="0316A218">
      <w:pPr>
        <w:spacing w:line="500" w:lineRule="exact"/>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腰部自由度不低于1个</w:t>
      </w:r>
      <w:r>
        <w:rPr>
          <w:rFonts w:hint="eastAsia" w:ascii="宋体" w:hAnsi="宋体" w:cs="Times New Roman"/>
          <w:color w:val="000000" w:themeColor="text1"/>
          <w:sz w:val="24"/>
          <w:szCs w:val="24"/>
          <w:highlight w:val="none"/>
          <w:lang w:val="en-US" w:eastAsia="zh-CN"/>
          <w14:textFill>
            <w14:solidFill>
              <w14:schemeClr w14:val="tx1"/>
            </w14:solidFill>
          </w14:textFill>
        </w:rPr>
        <w:t>；</w:t>
      </w:r>
    </w:p>
    <w:p w14:paraId="6EF75C38">
      <w:pPr>
        <w:spacing w:line="500" w:lineRule="exact"/>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关节输出轴承：工业级交叉滚子轴承（高精度，高承载力）；</w:t>
      </w:r>
    </w:p>
    <w:p w14:paraId="6C80C7E3">
      <w:pPr>
        <w:spacing w:line="500" w:lineRule="exact"/>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（8）</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关节电机：低惯量高速内转子永磁同步电机（更好的响应速度和散热）；</w:t>
      </w:r>
    </w:p>
    <w:p w14:paraId="55A1C9B0">
      <w:pPr>
        <w:spacing w:line="500" w:lineRule="exact"/>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（9）</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膝关节最大扭矩120N.m；</w:t>
      </w:r>
    </w:p>
    <w:p w14:paraId="2C2BBB12">
      <w:pPr>
        <w:spacing w:line="500" w:lineRule="exact"/>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手臂最大负载不低于3kg；</w:t>
      </w:r>
    </w:p>
    <w:p w14:paraId="1A3FEDDB">
      <w:pPr>
        <w:spacing w:line="500" w:lineRule="exact"/>
        <w:ind w:firstLine="480" w:firstLineChars="200"/>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（11）</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关节运动空间</w:t>
      </w:r>
      <w:r>
        <w:rPr>
          <w:rFonts w:hint="eastAsia" w:ascii="宋体" w:hAnsi="宋体" w:cs="Times New Roman"/>
          <w:color w:val="000000" w:themeColor="text1"/>
          <w:sz w:val="24"/>
          <w:szCs w:val="24"/>
          <w:highlight w:val="none"/>
          <w:lang w:val="en-US" w:eastAsia="zh-CN"/>
          <w14:textFill>
            <w14:solidFill>
              <w14:schemeClr w14:val="tx1"/>
            </w14:solidFill>
          </w14:textFill>
        </w:rPr>
        <w:t>不低于</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：腰关节：Z±155°、X±45°、Y±30°；膝关节：0~165°；髋关节：P±154°、R-30~+170°、Y±158°；腕关节：P±92.5°、Y±92.5°</w:t>
      </w:r>
      <w:r>
        <w:rPr>
          <w:rFonts w:hint="eastAsia" w:ascii="宋体" w:hAnsi="宋体" w:cs="Times New Roman"/>
          <w:color w:val="000000" w:themeColor="text1"/>
          <w:sz w:val="24"/>
          <w:szCs w:val="24"/>
          <w:highlight w:val="none"/>
          <w:lang w:val="en-US" w:eastAsia="zh-CN"/>
          <w14:textFill>
            <w14:solidFill>
              <w14:schemeClr w14:val="tx1"/>
            </w14:solidFill>
          </w14:textFill>
        </w:rPr>
        <w:t>；</w:t>
      </w:r>
    </w:p>
    <w:p w14:paraId="0C1B7B9C">
      <w:pPr>
        <w:spacing w:line="500" w:lineRule="exact"/>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（12）AI加速下的模仿和强化学习驱动，支持UnifoLM机器人大模型，不低于G1 EDU U1基础版，</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走线方式</w:t>
      </w:r>
      <w:r>
        <w:rPr>
          <w:rFonts w:hint="eastAsia" w:ascii="宋体" w:hAnsi="宋体" w:cs="Times New Roman"/>
          <w:color w:val="000000" w:themeColor="text1"/>
          <w:sz w:val="24"/>
          <w:szCs w:val="24"/>
          <w:highlight w:val="none"/>
          <w:lang w:val="en-US" w:eastAsia="zh-CN"/>
          <w14:textFill>
            <w14:solidFill>
              <w14:schemeClr w14:val="tx1"/>
            </w14:solidFill>
          </w14:textFill>
        </w:rPr>
        <w:t>为</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内走线；</w:t>
      </w:r>
    </w:p>
    <w:p w14:paraId="51D33FD8">
      <w:pPr>
        <w:spacing w:line="500" w:lineRule="exact"/>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（13）</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关节编码器：双编码器；</w:t>
      </w:r>
    </w:p>
    <w:p w14:paraId="13056B71">
      <w:pPr>
        <w:spacing w:line="500" w:lineRule="exact"/>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（14）</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散热系统：局部风冷散热；</w:t>
      </w:r>
    </w:p>
    <w:p w14:paraId="26DE2D9B">
      <w:pPr>
        <w:spacing w:line="500" w:lineRule="exact"/>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（15）</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供电方式：13串锂电池；</w:t>
      </w:r>
    </w:p>
    <w:p w14:paraId="62F20097">
      <w:pPr>
        <w:spacing w:line="500" w:lineRule="exact"/>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（16）</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基础算力：8核高性能CPU；</w:t>
      </w:r>
    </w:p>
    <w:p w14:paraId="2F256C00">
      <w:pPr>
        <w:spacing w:line="500" w:lineRule="exact"/>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（17）含</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高算力模组；</w:t>
      </w:r>
    </w:p>
    <w:p w14:paraId="061E89A2">
      <w:pPr>
        <w:spacing w:line="500" w:lineRule="exact"/>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（18）</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感知传感器：深度相机+3D激光雷达；麦克风阵列+扬声器；</w:t>
      </w:r>
    </w:p>
    <w:p w14:paraId="60BF59FE">
      <w:pPr>
        <w:spacing w:line="500" w:lineRule="exact"/>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（19）</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智能电池：快拆9000mAh，续航不低于2h；</w:t>
      </w:r>
    </w:p>
    <w:p w14:paraId="530886D4">
      <w:pPr>
        <w:spacing w:line="500" w:lineRule="exact"/>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（20）</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充电器：54V5A；</w:t>
      </w:r>
    </w:p>
    <w:p w14:paraId="77B4B16A">
      <w:pPr>
        <w:spacing w:line="500" w:lineRule="exact"/>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（21）</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手持式遥控器：支持；</w:t>
      </w:r>
    </w:p>
    <w:p w14:paraId="25DDF8E6">
      <w:pPr>
        <w:spacing w:line="500" w:lineRule="exact"/>
        <w:ind w:firstLine="482" w:firstLineChars="200"/>
        <w:rPr>
          <w:rFonts w:ascii="宋体" w:hAnsi="宋体" w:eastAsia="宋体" w:cs="Times New Roman"/>
          <w:b/>
          <w:bCs/>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sz w:val="24"/>
          <w:szCs w:val="24"/>
          <w:highlight w:val="none"/>
          <w14:textFill>
            <w14:solidFill>
              <w14:schemeClr w14:val="tx1"/>
            </w14:solidFill>
          </w14:textFill>
        </w:rPr>
        <w:t>序号</w:t>
      </w:r>
      <w:r>
        <w:rPr>
          <w:rFonts w:hint="eastAsia" w:ascii="宋体" w:hAnsi="宋体" w:eastAsia="宋体" w:cs="Times New Roman"/>
          <w:b/>
          <w:bCs/>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b/>
          <w:bCs/>
          <w:color w:val="000000" w:themeColor="text1"/>
          <w:sz w:val="24"/>
          <w:szCs w:val="24"/>
          <w:highlight w:val="none"/>
          <w14:textFill>
            <w14:solidFill>
              <w14:schemeClr w14:val="tx1"/>
            </w14:solidFill>
          </w14:textFill>
        </w:rPr>
        <w:t>：工业具身智能机器人</w:t>
      </w:r>
    </w:p>
    <w:p w14:paraId="23C134AA">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（1）适用于复杂环境下的自主导航、巡逻、监控及数据采集任务，可应用于校园等场景的安全监控、数据收集、环境监测等多个领域。</w:t>
      </w:r>
    </w:p>
    <w:p w14:paraId="5E0CA23C">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（2）适用于室内和室外复杂环境。</w:t>
      </w:r>
    </w:p>
    <w:p w14:paraId="57D0FB6E">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（3）具备高精度自主导航与定位能力。</w:t>
      </w:r>
    </w:p>
    <w:p w14:paraId="38753F4E">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（4）具备强大的环境适应性（室内外多种路面、-20℃~50℃工作环境）。</w:t>
      </w:r>
    </w:p>
    <w:p w14:paraId="58CC0BB3">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（5）具备丰富的传感器配置（激光雷达、GPS、IMU、全景摄像机等）。</w:t>
      </w:r>
    </w:p>
    <w:p w14:paraId="503DF33C">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（6）▲机器人终端具备周边环境视频采集功能，并将实时采集的五路视频数据回传到后台。配备有1台云台摄像机。云台可水平360°、垂直180°运动。可通过手机端APP实时查看五路视频监控画面</w:t>
      </w:r>
    </w:p>
    <w:p w14:paraId="538C0C08">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（7）具备智能化管理与数据分析功能。</w:t>
      </w:r>
    </w:p>
    <w:p w14:paraId="424755DE">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（8）基于实际场景绘制园区模型而且有对应GPS位置信息，且方便标明建筑物、设备等名称。</w:t>
      </w:r>
    </w:p>
    <w:p w14:paraId="3B55DA35">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（9）支持不低于100万平米场景的地图绘制并自动稳定运行，支持全天候自动运行、自动纠错。（验收时进行现场测试，达不到要求的按</w:t>
      </w:r>
      <w:r>
        <w:rPr>
          <w:rFonts w:hint="eastAsia" w:ascii="宋体" w:hAnsi="宋体" w:cs="Times New Roman"/>
          <w:color w:val="000000" w:themeColor="text1"/>
          <w:sz w:val="24"/>
          <w:szCs w:val="24"/>
          <w:highlight w:val="none"/>
          <w:lang w:val="en-US" w:eastAsia="zh-CN"/>
          <w14:textFill>
            <w14:solidFill>
              <w14:schemeClr w14:val="tx1"/>
            </w14:solidFill>
          </w14:textFill>
        </w:rPr>
        <w:t>合同约定处理</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p>
    <w:p w14:paraId="3C218A90">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（10）▲垂直越障高度: ≥8cm，爬坡高度：≥18°</w:t>
      </w:r>
    </w:p>
    <w:p w14:paraId="2EB4F4E5">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（11）自主导航速度：1.6m/s</w:t>
      </w:r>
    </w:p>
    <w:p w14:paraId="7BBD3D13">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（12）转弯半径：原地转向</w:t>
      </w:r>
    </w:p>
    <w:p w14:paraId="0D231453">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（13）减震：四轮独立悬挂</w:t>
      </w:r>
    </w:p>
    <w:p w14:paraId="6A61C6F0">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（14）驱动方式：四轮四驱</w:t>
      </w:r>
    </w:p>
    <w:p w14:paraId="13598A4D">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（15）涉水深度：150mm</w:t>
      </w:r>
    </w:p>
    <w:p w14:paraId="5EAB792A">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（16）刹车功能：刹车距离0.5m</w:t>
      </w:r>
    </w:p>
    <w:p w14:paraId="3DE19936">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（17）▲导航精度：≤10cm</w:t>
      </w:r>
    </w:p>
    <w:p w14:paraId="6F29A873">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（18）安全防护：三维激光避障、8组超声波避障、前后悬崖检测、气压防撞</w:t>
      </w:r>
    </w:p>
    <w:p w14:paraId="49018306">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（19）遥控速度：2m/s</w:t>
      </w:r>
    </w:p>
    <w:p w14:paraId="506FCAC6">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（20）防跌落：支持前后悬崖检测</w:t>
      </w:r>
    </w:p>
    <w:p w14:paraId="5425EDEA">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（21）摄像头：4路全景摄像机、云台可见光摄像机（人脸抓拍）、红外热成像机芯模组</w:t>
      </w:r>
    </w:p>
    <w:p w14:paraId="46E61FF5">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（22）▲红外热成像：搭载红外热成像仪，可实时回传热成像监控画面，当热成像检测温度超过阈值时可产生报警信息报警，报警阈值可设置。</w:t>
      </w:r>
    </w:p>
    <w:p w14:paraId="6D885669">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（23）本地视频存储：支持监控数据实时备份到本地30天循环存储</w:t>
      </w:r>
    </w:p>
    <w:p w14:paraId="248204D0">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（24）▲智能检测包含：人脸识别、车牌识别、红外热成像测温、行人检测。人脸检测在室外空旷环境下，从采集到人脸至后台比对完成的时间≤4s</w:t>
      </w:r>
    </w:p>
    <w:p w14:paraId="0BA4E4C6">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（25）▲自主巡逻：支持按时间、任务、路线、点位、动作自由配置，应能接收后台下发的巡逻路线，并根据预先建立的环境地图进行路径规划，完成自动巡逻。</w:t>
      </w:r>
    </w:p>
    <w:p w14:paraId="6D67FA50">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（26）警示：红蓝警示灯</w:t>
      </w:r>
    </w:p>
    <w:p w14:paraId="0A5894F2">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（27）交互：语音对讲</w:t>
      </w:r>
    </w:p>
    <w:p w14:paraId="4DBA7C0F">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（28）音响：20W扬声器</w:t>
      </w:r>
    </w:p>
    <w:p w14:paraId="5B33769F">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（29）▲工作时间：可连续巡逻时间≥5小时</w:t>
      </w:r>
    </w:p>
    <w:p w14:paraId="37709AC4">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（30）充电方式：支持自主充电及手动充电</w:t>
      </w:r>
    </w:p>
    <w:p w14:paraId="03C01202">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（31）▲充电时间：≤3小时</w:t>
      </w:r>
    </w:p>
    <w:p w14:paraId="04E1DEFD">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（32）电池容量：48V30Ah</w:t>
      </w:r>
    </w:p>
    <w:p w14:paraId="72C8392A">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（33）可配置外部通讯：WIFI/4G/5G</w:t>
      </w:r>
    </w:p>
    <w:p w14:paraId="7A410750">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（34）路面适应：适应室内地板、室外水泥、室外沥青、室外地板、室外草地、室外砂石等多种路面</w:t>
      </w:r>
    </w:p>
    <w:p w14:paraId="494088FA">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（35）▲防护等级：IP55</w:t>
      </w:r>
    </w:p>
    <w:p w14:paraId="0438B81C">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（36）▲系统状态采集：应具有系统状态实时采集功能，采集的信息包括温湿度、当前电池电量、当前告警信息和功能模块工作状态</w:t>
      </w:r>
    </w:p>
    <w:p w14:paraId="16D59A43">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（37）告警及异常信息：支持后台弹窗、声音和文字报警</w:t>
      </w:r>
    </w:p>
    <w:p w14:paraId="4F160506">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（38）报表管理：支持按日/周/月自动生成巡逻工作报表，并可发送至相关管理人员邮箱</w:t>
      </w:r>
    </w:p>
    <w:p w14:paraId="719069DF">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（39）日志管理：支持机器人运行日志调阅</w:t>
      </w:r>
    </w:p>
    <w:p w14:paraId="090B0A9A">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（40）地图管理：支持虚拟路径、禁区等设置</w:t>
      </w:r>
    </w:p>
    <w:p w14:paraId="5D128C7D">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（41）实时数据传送：支持视频信息、告警信息、环境数据等实时传送</w:t>
      </w:r>
    </w:p>
    <w:p w14:paraId="214146CE">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cs="Times New Roman"/>
          <w:color w:val="000000" w:themeColor="text1"/>
          <w:sz w:val="24"/>
          <w:szCs w:val="24"/>
          <w:highlight w:val="none"/>
          <w:lang w:eastAsia="zh-CN"/>
          <w14:textFill>
            <w14:solidFill>
              <w14:schemeClr w14:val="tx1"/>
            </w14:solidFill>
          </w14:textFill>
        </w:rPr>
        <w:t>（</w:t>
      </w:r>
      <w:r>
        <w:rPr>
          <w:rFonts w:hint="eastAsia" w:ascii="宋体" w:hAnsi="宋体" w:cs="Times New Roman"/>
          <w:color w:val="000000" w:themeColor="text1"/>
          <w:sz w:val="24"/>
          <w:szCs w:val="24"/>
          <w:highlight w:val="none"/>
          <w:lang w:val="en-US" w:eastAsia="zh-CN"/>
          <w14:textFill>
            <w14:solidFill>
              <w14:schemeClr w14:val="tx1"/>
            </w14:solidFill>
          </w14:textFill>
        </w:rPr>
        <w:t>42</w:t>
      </w:r>
      <w:r>
        <w:rPr>
          <w:rFonts w:hint="eastAsia" w:ascii="宋体" w:hAnsi="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eastAsia="zh-CN"/>
          <w14:textFill>
            <w14:solidFill>
              <w14:schemeClr w14:val="tx1"/>
            </w14:solidFill>
          </w14:textFill>
        </w:rPr>
        <w:t>具备具身智能机器人视觉与激光雷达融合能力</w:t>
      </w:r>
      <w:r>
        <w:rPr>
          <w:rFonts w:hint="eastAsia" w:ascii="宋体" w:hAnsi="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eastAsia="zh-CN"/>
          <w14:textFill>
            <w14:solidFill>
              <w14:schemeClr w14:val="tx1"/>
            </w14:solidFill>
          </w14:textFill>
        </w:rPr>
        <w:t>提供相关证明文件。</w:t>
      </w:r>
    </w:p>
    <w:p w14:paraId="1AB99DED">
      <w:pPr>
        <w:spacing w:line="500" w:lineRule="exact"/>
        <w:ind w:firstLine="482" w:firstLineChars="200"/>
        <w:rPr>
          <w:rFonts w:ascii="宋体" w:hAnsi="宋体" w:eastAsia="宋体" w:cs="Times New Roman"/>
          <w:b/>
          <w:bCs/>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sz w:val="24"/>
          <w:szCs w:val="24"/>
          <w:highlight w:val="none"/>
          <w14:textFill>
            <w14:solidFill>
              <w14:schemeClr w14:val="tx1"/>
            </w14:solidFill>
          </w14:textFill>
        </w:rPr>
        <w:t>序号</w:t>
      </w:r>
      <w:r>
        <w:rPr>
          <w:rFonts w:hint="eastAsia" w:ascii="宋体" w:hAnsi="宋体" w:eastAsia="宋体" w:cs="Times New Roman"/>
          <w:b/>
          <w:bCs/>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b/>
          <w:bCs/>
          <w:color w:val="000000" w:themeColor="text1"/>
          <w:sz w:val="24"/>
          <w:szCs w:val="24"/>
          <w:highlight w:val="none"/>
          <w14:textFill>
            <w14:solidFill>
              <w14:schemeClr w14:val="tx1"/>
            </w14:solidFill>
          </w14:textFill>
        </w:rPr>
        <w:t>：工业具身智能机器人算法套件</w:t>
      </w:r>
    </w:p>
    <w:p w14:paraId="213D0D4C">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sz w:val="24"/>
          <w:szCs w:val="24"/>
          <w:highlight w:val="none"/>
          <w:lang w:eastAsia="zh-CN"/>
          <w14:textFill>
            <w14:solidFill>
              <w14:schemeClr w14:val="tx1"/>
            </w14:solidFill>
          </w14:textFill>
        </w:rPr>
        <w:t>）基础软件平台支持多子系统模块集成接入并预留扩展接口；</w:t>
      </w:r>
    </w:p>
    <w:p w14:paraId="599315F0">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lang w:eastAsia="zh-CN"/>
          <w14:textFill>
            <w14:solidFill>
              <w14:schemeClr w14:val="tx1"/>
            </w14:solidFill>
          </w14:textFill>
        </w:rPr>
        <w:t>）融合基础设施的监控管理、配置信息资产信息管理、流程化服务管理、科学的关键管理需求；</w:t>
      </w:r>
    </w:p>
    <w:p w14:paraId="6B9F76B4">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sz w:val="24"/>
          <w:szCs w:val="24"/>
          <w:highlight w:val="none"/>
          <w:lang w:eastAsia="zh-CN"/>
          <w14:textFill>
            <w14:solidFill>
              <w14:schemeClr w14:val="tx1"/>
            </w14:solidFill>
          </w14:textFill>
        </w:rPr>
        <w:t>）实现服务支持过程的标准化、流程化、规范化，提升管理部门的工作效率和服务水平；</w:t>
      </w:r>
    </w:p>
    <w:p w14:paraId="6289C31A">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sz w:val="24"/>
          <w:szCs w:val="24"/>
          <w:highlight w:val="none"/>
          <w:lang w:eastAsia="zh-CN"/>
          <w14:textFill>
            <w14:solidFill>
              <w14:schemeClr w14:val="tx1"/>
            </w14:solidFill>
          </w14:textFill>
        </w:rPr>
        <w:t>）支持图形化配置的规则引擎自定义功能，方便未来扩展更多设备报警联动；</w:t>
      </w:r>
    </w:p>
    <w:p w14:paraId="4F67B687">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szCs w:val="24"/>
          <w:highlight w:val="none"/>
          <w:lang w:eastAsia="zh-CN"/>
          <w14:textFill>
            <w14:solidFill>
              <w14:schemeClr w14:val="tx1"/>
            </w14:solidFill>
          </w14:textFill>
        </w:rPr>
        <w:t>）支持园区场景3D可视化管理；</w:t>
      </w:r>
    </w:p>
    <w:p w14:paraId="7DAFB60A">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z w:val="24"/>
          <w:szCs w:val="24"/>
          <w:highlight w:val="none"/>
          <w:lang w:eastAsia="zh-CN"/>
          <w14:textFill>
            <w14:solidFill>
              <w14:schemeClr w14:val="tx1"/>
            </w14:solidFill>
          </w14:textFill>
        </w:rPr>
        <w:t>）支持集中监控、统一报警、系统联动、运维管理等功能；</w:t>
      </w:r>
    </w:p>
    <w:p w14:paraId="6F85C3BB">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color w:val="000000" w:themeColor="text1"/>
          <w:sz w:val="24"/>
          <w:szCs w:val="24"/>
          <w:highlight w:val="none"/>
          <w:lang w:eastAsia="zh-CN"/>
          <w14:textFill>
            <w14:solidFill>
              <w14:schemeClr w14:val="tx1"/>
            </w14:solidFill>
          </w14:textFill>
        </w:rPr>
        <w:t>）采用模块化的配置方式，具备选择性强，并且为系统后期的扩容提供保证；</w:t>
      </w:r>
    </w:p>
    <w:p w14:paraId="352E925C">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8</w:t>
      </w:r>
      <w:r>
        <w:rPr>
          <w:rFonts w:hint="eastAsia" w:ascii="宋体" w:hAnsi="宋体" w:eastAsia="宋体" w:cs="Times New Roman"/>
          <w:color w:val="000000" w:themeColor="text1"/>
          <w:sz w:val="24"/>
          <w:szCs w:val="24"/>
          <w:highlight w:val="none"/>
          <w:lang w:eastAsia="zh-CN"/>
          <w14:textFill>
            <w14:solidFill>
              <w14:schemeClr w14:val="tx1"/>
            </w14:solidFill>
          </w14:textFill>
        </w:rPr>
        <w:t>）支持对外标准数据接口，以满足第三方日后应用的接入；</w:t>
      </w:r>
    </w:p>
    <w:p w14:paraId="234FEA19">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9</w:t>
      </w:r>
      <w:r>
        <w:rPr>
          <w:rFonts w:hint="eastAsia" w:ascii="宋体" w:hAnsi="宋体" w:eastAsia="宋体" w:cs="Times New Roman"/>
          <w:color w:val="000000" w:themeColor="text1"/>
          <w:sz w:val="24"/>
          <w:szCs w:val="24"/>
          <w:highlight w:val="none"/>
          <w:lang w:eastAsia="zh-CN"/>
          <w14:textFill>
            <w14:solidFill>
              <w14:schemeClr w14:val="tx1"/>
            </w14:solidFill>
          </w14:textFill>
        </w:rPr>
        <w:t>）支持多种通讯协议接口，HTTP协议，MQTT协议，CoAP协议等；</w:t>
      </w:r>
    </w:p>
    <w:p w14:paraId="22689249">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color w:val="000000" w:themeColor="text1"/>
          <w:sz w:val="24"/>
          <w:szCs w:val="24"/>
          <w:highlight w:val="none"/>
          <w:lang w:eastAsia="zh-CN"/>
          <w14:textFill>
            <w14:solidFill>
              <w14:schemeClr w14:val="tx1"/>
            </w14:solidFill>
          </w14:textFill>
        </w:rPr>
        <w:t>）支持MYSQL/PostgreSQL数据库中的一种或几种；</w:t>
      </w:r>
    </w:p>
    <w:p w14:paraId="3413414D">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11</w:t>
      </w:r>
      <w:r>
        <w:rPr>
          <w:rFonts w:hint="eastAsia" w:ascii="宋体" w:hAnsi="宋体" w:eastAsia="宋体" w:cs="Times New Roman"/>
          <w:color w:val="000000" w:themeColor="text1"/>
          <w:sz w:val="24"/>
          <w:szCs w:val="24"/>
          <w:highlight w:val="none"/>
          <w:lang w:eastAsia="zh-CN"/>
          <w14:textFill>
            <w14:solidFill>
              <w14:schemeClr w14:val="tx1"/>
            </w14:solidFill>
          </w14:textFill>
        </w:rPr>
        <w:t>）预览加载地图地理信息，实现建筑信息和设备信息管理；</w:t>
      </w:r>
    </w:p>
    <w:p w14:paraId="671E8BB9">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12</w:t>
      </w:r>
      <w:r>
        <w:rPr>
          <w:rFonts w:hint="eastAsia" w:ascii="宋体" w:hAnsi="宋体" w:eastAsia="宋体" w:cs="Times New Roman"/>
          <w:color w:val="000000" w:themeColor="text1"/>
          <w:sz w:val="24"/>
          <w:szCs w:val="24"/>
          <w:highlight w:val="none"/>
          <w:lang w:eastAsia="zh-CN"/>
          <w14:textFill>
            <w14:solidFill>
              <w14:schemeClr w14:val="tx1"/>
            </w14:solidFill>
          </w14:textFill>
        </w:rPr>
        <w:t>）具备预测性诊断维护功能，设备健康打分功能；</w:t>
      </w:r>
    </w:p>
    <w:p w14:paraId="1AE098A8">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13</w:t>
      </w:r>
      <w:r>
        <w:rPr>
          <w:rFonts w:hint="eastAsia" w:ascii="宋体" w:hAnsi="宋体" w:eastAsia="宋体" w:cs="Times New Roman"/>
          <w:color w:val="000000" w:themeColor="text1"/>
          <w:sz w:val="24"/>
          <w:szCs w:val="24"/>
          <w:highlight w:val="none"/>
          <w:lang w:eastAsia="zh-CN"/>
          <w14:textFill>
            <w14:solidFill>
              <w14:schemeClr w14:val="tx1"/>
            </w14:solidFill>
          </w14:textFill>
        </w:rPr>
        <w:t>）具有权限管理功能；</w:t>
      </w:r>
    </w:p>
    <w:p w14:paraId="2D76FA13">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14</w:t>
      </w:r>
      <w:r>
        <w:rPr>
          <w:rFonts w:hint="eastAsia" w:ascii="宋体" w:hAnsi="宋体" w:eastAsia="宋体" w:cs="Times New Roman"/>
          <w:color w:val="000000" w:themeColor="text1"/>
          <w:sz w:val="24"/>
          <w:szCs w:val="24"/>
          <w:highlight w:val="none"/>
          <w:lang w:eastAsia="zh-CN"/>
          <w14:textFill>
            <w14:solidFill>
              <w14:schemeClr w14:val="tx1"/>
            </w14:solidFill>
          </w14:textFill>
        </w:rPr>
        <w:t>）三维数字孪生模型</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模块</w:t>
      </w:r>
      <w:r>
        <w:rPr>
          <w:rFonts w:hint="eastAsia" w:ascii="宋体" w:hAnsi="宋体" w:eastAsia="宋体" w:cs="Times New Roman"/>
          <w:color w:val="000000" w:themeColor="text1"/>
          <w:sz w:val="24"/>
          <w:szCs w:val="24"/>
          <w:highlight w:val="none"/>
          <w:lang w:eastAsia="zh-CN"/>
          <w14:textFill>
            <w14:solidFill>
              <w14:schemeClr w14:val="tx1"/>
            </w14:solidFill>
          </w14:textFill>
        </w:rPr>
        <w:t>有对应GPS位置信息，且标明建筑物、设备及管道名称；支持不低于</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color w:val="000000" w:themeColor="text1"/>
          <w:sz w:val="24"/>
          <w:szCs w:val="24"/>
          <w:highlight w:val="none"/>
          <w:lang w:eastAsia="zh-CN"/>
          <w14:textFill>
            <w14:solidFill>
              <w14:schemeClr w14:val="tx1"/>
            </w14:solidFill>
          </w14:textFill>
        </w:rPr>
        <w:t>0万平米场景的地图绘制并自动稳定运行。</w:t>
      </w:r>
    </w:p>
    <w:p w14:paraId="1233FE5F">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14</w:t>
      </w:r>
      <w:r>
        <w:rPr>
          <w:rFonts w:hint="eastAsia" w:ascii="宋体" w:hAnsi="宋体" w:eastAsia="宋体" w:cs="Times New Roman"/>
          <w:color w:val="000000" w:themeColor="text1"/>
          <w:sz w:val="24"/>
          <w:szCs w:val="24"/>
          <w:highlight w:val="none"/>
          <w:lang w:eastAsia="zh-CN"/>
          <w14:textFill>
            <w14:solidFill>
              <w14:schemeClr w14:val="tx1"/>
            </w14:solidFill>
          </w14:textFill>
        </w:rPr>
        <w:t>）支持指定设备数据在三维模型中的展现，并通过点击获取相应数据；</w:t>
      </w:r>
    </w:p>
    <w:p w14:paraId="4FDD15B6">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15</w:t>
      </w:r>
      <w:r>
        <w:rPr>
          <w:rFonts w:hint="eastAsia" w:ascii="宋体" w:hAnsi="宋体" w:eastAsia="宋体" w:cs="Times New Roman"/>
          <w:color w:val="000000" w:themeColor="text1"/>
          <w:sz w:val="24"/>
          <w:szCs w:val="24"/>
          <w:highlight w:val="none"/>
          <w:lang w:eastAsia="zh-CN"/>
          <w14:textFill>
            <w14:solidFill>
              <w14:schemeClr w14:val="tx1"/>
            </w14:solidFill>
          </w14:textFill>
        </w:rPr>
        <w:t>）支持报警设备在模型中的高亮显示以最快速度定位报警位置；</w:t>
      </w:r>
    </w:p>
    <w:p w14:paraId="7D4176DF">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16</w:t>
      </w:r>
      <w:r>
        <w:rPr>
          <w:rFonts w:hint="eastAsia" w:ascii="宋体" w:hAnsi="宋体" w:eastAsia="宋体" w:cs="Times New Roman"/>
          <w:color w:val="000000" w:themeColor="text1"/>
          <w:sz w:val="24"/>
          <w:szCs w:val="24"/>
          <w:highlight w:val="none"/>
          <w:lang w:eastAsia="zh-CN"/>
          <w14:textFill>
            <w14:solidFill>
              <w14:schemeClr w14:val="tx1"/>
            </w14:solidFill>
          </w14:textFill>
        </w:rPr>
        <w:t>）设备管理模块：能够进行设备可视化采集，标注、编辑等功能。</w:t>
      </w:r>
    </w:p>
    <w:p w14:paraId="7983BE3E">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17</w:t>
      </w:r>
      <w:r>
        <w:rPr>
          <w:rFonts w:hint="eastAsia" w:ascii="宋体" w:hAnsi="宋体" w:eastAsia="宋体" w:cs="Times New Roman"/>
          <w:color w:val="000000" w:themeColor="text1"/>
          <w:sz w:val="24"/>
          <w:szCs w:val="24"/>
          <w:highlight w:val="none"/>
          <w:lang w:eastAsia="zh-CN"/>
          <w14:textFill>
            <w14:solidFill>
              <w14:schemeClr w14:val="tx1"/>
            </w14:solidFill>
          </w14:textFill>
        </w:rPr>
        <w:t>）具有设备查询、位置定位、运行参数、维护保养信息等的数据展示。</w:t>
      </w:r>
    </w:p>
    <w:p w14:paraId="583B5EDE">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18</w:t>
      </w:r>
      <w:r>
        <w:rPr>
          <w:rFonts w:hint="eastAsia" w:ascii="宋体" w:hAnsi="宋体" w:eastAsia="宋体" w:cs="Times New Roman"/>
          <w:color w:val="000000" w:themeColor="text1"/>
          <w:sz w:val="24"/>
          <w:szCs w:val="24"/>
          <w:highlight w:val="none"/>
          <w:lang w:eastAsia="zh-CN"/>
          <w14:textFill>
            <w14:solidFill>
              <w14:schemeClr w14:val="tx1"/>
            </w14:solidFill>
          </w14:textFill>
        </w:rPr>
        <w:t>）报警联动模块：</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可</w:t>
      </w:r>
      <w:r>
        <w:rPr>
          <w:rFonts w:hint="eastAsia" w:ascii="宋体" w:hAnsi="宋体" w:eastAsia="宋体" w:cs="Times New Roman"/>
          <w:color w:val="000000" w:themeColor="text1"/>
          <w:sz w:val="24"/>
          <w:szCs w:val="24"/>
          <w:highlight w:val="none"/>
          <w:lang w:eastAsia="zh-CN"/>
          <w14:textFill>
            <w14:solidFill>
              <w14:schemeClr w14:val="tx1"/>
            </w14:solidFill>
          </w14:textFill>
        </w:rPr>
        <w:t>实现园区内各子系统之间的联动管理，当有报警发生时，能够第一时间根据规则引擎联动其他子系统设备，可通过编制时间响应程序和事件响应程序的方式，来实现园区安全的自动化管理。</w:t>
      </w:r>
    </w:p>
    <w:p w14:paraId="52D35C4E">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19</w:t>
      </w:r>
      <w:r>
        <w:rPr>
          <w:rFonts w:hint="eastAsia" w:ascii="宋体" w:hAnsi="宋体" w:eastAsia="宋体" w:cs="Times New Roman"/>
          <w:color w:val="000000" w:themeColor="text1"/>
          <w:sz w:val="24"/>
          <w:szCs w:val="24"/>
          <w:highlight w:val="none"/>
          <w:lang w:eastAsia="zh-CN"/>
          <w14:textFill>
            <w14:solidFill>
              <w14:schemeClr w14:val="tx1"/>
            </w14:solidFill>
          </w14:textFill>
        </w:rPr>
        <w:t>）数据分析模块：</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可</w:t>
      </w:r>
      <w:r>
        <w:rPr>
          <w:rFonts w:hint="eastAsia" w:ascii="宋体" w:hAnsi="宋体" w:eastAsia="宋体" w:cs="Times New Roman"/>
          <w:color w:val="000000" w:themeColor="text1"/>
          <w:sz w:val="24"/>
          <w:szCs w:val="24"/>
          <w:highlight w:val="none"/>
          <w:lang w:eastAsia="zh-CN"/>
          <w14:textFill>
            <w14:solidFill>
              <w14:schemeClr w14:val="tx1"/>
            </w14:solidFill>
          </w14:textFill>
        </w:rPr>
        <w:t>通过整合各个系统数据对数据进行统计分析，将报表设计与分析融合一体，生成多种样式的报表；提供标准化的分析报表；统计报表输出。</w:t>
      </w:r>
    </w:p>
    <w:p w14:paraId="7362E96D">
      <w:pPr>
        <w:spacing w:line="500" w:lineRule="exact"/>
        <w:ind w:firstLine="482" w:firstLineChars="200"/>
        <w:rPr>
          <w:rFonts w:ascii="宋体" w:hAnsi="宋体" w:eastAsia="宋体" w:cs="Times New Roman"/>
          <w:b/>
          <w:bCs/>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sz w:val="24"/>
          <w:szCs w:val="24"/>
          <w:highlight w:val="none"/>
          <w14:textFill>
            <w14:solidFill>
              <w14:schemeClr w14:val="tx1"/>
            </w14:solidFill>
          </w14:textFill>
        </w:rPr>
        <w:t>序号</w:t>
      </w:r>
      <w:r>
        <w:rPr>
          <w:rFonts w:hint="eastAsia" w:ascii="宋体" w:hAnsi="宋体" w:eastAsia="宋体" w:cs="Times New Roman"/>
          <w:b/>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
          <w:bCs/>
          <w:color w:val="000000" w:themeColor="text1"/>
          <w:sz w:val="24"/>
          <w:szCs w:val="24"/>
          <w:highlight w:val="none"/>
          <w14:textFill>
            <w14:solidFill>
              <w14:schemeClr w14:val="tx1"/>
            </w14:solidFill>
          </w14:textFill>
        </w:rPr>
        <w:t>：数字孪生内容创作系统</w:t>
      </w:r>
    </w:p>
    <w:p w14:paraId="6014E8CE">
      <w:pPr>
        <w:spacing w:line="500" w:lineRule="exact"/>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cs="Times New Roman"/>
          <w:color w:val="000000" w:themeColor="text1"/>
          <w:sz w:val="24"/>
          <w:szCs w:val="24"/>
          <w:highlight w:val="none"/>
          <w:lang w:val="en-US" w:eastAsia="zh-CN"/>
          <w14:textFill>
            <w14:solidFill>
              <w14:schemeClr w14:val="tx1"/>
            </w14:solidFill>
          </w14:textFill>
        </w:rPr>
        <w:t>支持</w:t>
      </w:r>
      <w:r>
        <w:rPr>
          <w:rFonts w:hint="eastAsia" w:ascii="宋体" w:hAnsi="宋体" w:eastAsia="宋体" w:cs="Times New Roman"/>
          <w:color w:val="000000" w:themeColor="text1"/>
          <w:sz w:val="24"/>
          <w:szCs w:val="24"/>
          <w:highlight w:val="none"/>
          <w14:textFill>
            <w14:solidFill>
              <w14:schemeClr w14:val="tx1"/>
            </w14:solidFill>
          </w14:textFill>
        </w:rPr>
        <w:t>HTML5和WebGL技术，可在主流浏览器上进行浏览，同时支持PC端和移动端应用</w:t>
      </w:r>
      <w:r>
        <w:rPr>
          <w:rFonts w:hint="eastAsia" w:ascii="宋体" w:hAnsi="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支持C#代码编辑，</w:t>
      </w:r>
      <w:r>
        <w:rPr>
          <w:rFonts w:hint="eastAsia" w:ascii="宋体" w:hAnsi="宋体" w:cs="Times New Roman"/>
          <w:color w:val="000000" w:themeColor="text1"/>
          <w:sz w:val="24"/>
          <w:szCs w:val="24"/>
          <w:highlight w:val="none"/>
          <w:lang w:val="en-US" w:eastAsia="zh-CN"/>
          <w14:textFill>
            <w14:solidFill>
              <w14:schemeClr w14:val="tx1"/>
            </w14:solidFill>
          </w14:textFill>
        </w:rPr>
        <w:t>具备</w:t>
      </w:r>
      <w:r>
        <w:rPr>
          <w:rFonts w:hint="eastAsia" w:ascii="宋体" w:hAnsi="宋体" w:eastAsia="宋体" w:cs="Times New Roman"/>
          <w:color w:val="000000" w:themeColor="text1"/>
          <w:sz w:val="24"/>
          <w:szCs w:val="24"/>
          <w:highlight w:val="none"/>
          <w14:textFill>
            <w14:solidFill>
              <w14:schemeClr w14:val="tx1"/>
            </w14:solidFill>
          </w14:textFill>
        </w:rPr>
        <w:t>方便易用的</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修改和</w:t>
      </w:r>
      <w:r>
        <w:rPr>
          <w:rFonts w:hint="eastAsia" w:ascii="宋体" w:hAnsi="宋体" w:eastAsia="宋体" w:cs="Times New Roman"/>
          <w:color w:val="000000" w:themeColor="text1"/>
          <w:sz w:val="24"/>
          <w:szCs w:val="24"/>
          <w:highlight w:val="none"/>
          <w14:textFill>
            <w14:solidFill>
              <w14:schemeClr w14:val="tx1"/>
            </w14:solidFill>
          </w14:textFill>
        </w:rPr>
        <w:t>编辑</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逻辑</w:t>
      </w:r>
      <w:r>
        <w:rPr>
          <w:rFonts w:hint="eastAsia" w:ascii="宋体" w:hAnsi="宋体" w:eastAsia="宋体" w:cs="Times New Roman"/>
          <w:color w:val="000000" w:themeColor="text1"/>
          <w:sz w:val="24"/>
          <w:szCs w:val="24"/>
          <w:highlight w:val="none"/>
          <w14:textFill>
            <w14:solidFill>
              <w14:schemeClr w14:val="tx1"/>
            </w14:solidFill>
          </w14:textFill>
        </w:rPr>
        <w:t>。提供功能完备、可覆盖基本3D可视化物联网应用开发的API调用接口</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兼容</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支持Blender、Unity等调用</w:t>
      </w:r>
      <w:r>
        <w:rPr>
          <w:rFonts w:hint="eastAsia" w:ascii="宋体" w:hAnsi="宋体" w:eastAsia="宋体" w:cs="Times New Roman"/>
          <w:color w:val="000000" w:themeColor="text1"/>
          <w:sz w:val="24"/>
          <w:szCs w:val="24"/>
          <w:highlight w:val="none"/>
          <w14:textFill>
            <w14:solidFill>
              <w14:schemeClr w14:val="tx1"/>
            </w14:solidFill>
          </w14:textFill>
        </w:rPr>
        <w:t>。无需操作代码，可在预览窗口进行基本场景操控，如移动、旋转和缩放。</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提供</w:t>
      </w:r>
      <w:r>
        <w:rPr>
          <w:rFonts w:hint="eastAsia" w:ascii="宋体" w:hAnsi="宋体" w:cs="Times New Roman"/>
          <w:color w:val="000000" w:themeColor="text1"/>
          <w:sz w:val="24"/>
          <w:szCs w:val="24"/>
          <w:highlight w:val="none"/>
          <w:lang w:val="en-US" w:eastAsia="zh-CN"/>
          <w14:textFill>
            <w14:solidFill>
              <w14:schemeClr w14:val="tx1"/>
            </w14:solidFill>
          </w14:textFill>
        </w:rPr>
        <w:t>模型编辑开发状态下的软件截图。</w:t>
      </w:r>
    </w:p>
    <w:p w14:paraId="5AD1F9BD">
      <w:pPr>
        <w:spacing w:line="500" w:lineRule="exact"/>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提供本地化资源包，不低于10个完整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开源</w:t>
      </w:r>
      <w:r>
        <w:rPr>
          <w:rFonts w:hint="eastAsia" w:ascii="宋体" w:hAnsi="宋体" w:eastAsia="宋体" w:cs="Times New Roman"/>
          <w:color w:val="000000" w:themeColor="text1"/>
          <w:sz w:val="24"/>
          <w:szCs w:val="24"/>
          <w:highlight w:val="none"/>
          <w14:textFill>
            <w14:solidFill>
              <w14:schemeClr w14:val="tx1"/>
            </w14:solidFill>
          </w14:textFill>
        </w:rPr>
        <w:t>场景资源，包括</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高速</w:t>
      </w:r>
      <w:r>
        <w:rPr>
          <w:rFonts w:hint="eastAsia" w:ascii="宋体" w:hAnsi="宋体" w:eastAsia="宋体" w:cs="Times New Roman"/>
          <w:color w:val="000000" w:themeColor="text1"/>
          <w:sz w:val="24"/>
          <w:szCs w:val="24"/>
          <w:highlight w:val="none"/>
          <w14:textFill>
            <w14:solidFill>
              <w14:schemeClr w14:val="tx1"/>
            </w14:solidFill>
          </w14:textFill>
        </w:rPr>
        <w:t>压缩版和高清版，基于跨尺度采集重建、三维建模实现真实场景高精度复刻。</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提供不低于10个</w:t>
      </w:r>
      <w:r>
        <w:rPr>
          <w:rFonts w:hint="eastAsia" w:ascii="宋体" w:hAnsi="宋体" w:cs="Times New Roman"/>
          <w:color w:val="000000" w:themeColor="text1"/>
          <w:sz w:val="24"/>
          <w:szCs w:val="24"/>
          <w:highlight w:val="none"/>
          <w:lang w:val="en-US" w:eastAsia="zh-CN"/>
          <w14:textFill>
            <w14:solidFill>
              <w14:schemeClr w14:val="tx1"/>
            </w14:solidFill>
          </w14:textFill>
        </w:rPr>
        <w:t>本地</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场景的</w:t>
      </w:r>
      <w:r>
        <w:rPr>
          <w:rFonts w:hint="eastAsia" w:ascii="宋体" w:hAnsi="宋体" w:cs="Times New Roman"/>
          <w:color w:val="000000" w:themeColor="text1"/>
          <w:sz w:val="24"/>
          <w:szCs w:val="24"/>
          <w:highlight w:val="none"/>
          <w:lang w:val="en-US" w:eastAsia="zh-CN"/>
          <w14:textFill>
            <w14:solidFill>
              <w14:schemeClr w14:val="tx1"/>
            </w14:solidFill>
          </w14:textFill>
        </w:rPr>
        <w:t>软件截图</w:t>
      </w:r>
      <w:r>
        <w:rPr>
          <w:rFonts w:hint="eastAsia" w:ascii="宋体" w:hAnsi="宋体" w:cs="Times New Roman"/>
          <w:color w:val="000000" w:themeColor="text1"/>
          <w:sz w:val="24"/>
          <w:szCs w:val="24"/>
          <w:highlight w:val="none"/>
          <w:lang w:eastAsia="zh-CN"/>
          <w14:textFill>
            <w14:solidFill>
              <w14:schemeClr w14:val="tx1"/>
            </w14:solidFill>
          </w14:textFill>
        </w:rPr>
        <w:t>。</w:t>
      </w:r>
    </w:p>
    <w:p w14:paraId="0CDF9E70">
      <w:pPr>
        <w:spacing w:line="500" w:lineRule="exact"/>
        <w:ind w:firstLine="480" w:firstLineChars="200"/>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cs="Times New Roman"/>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cs="Times New Roman"/>
          <w:color w:val="000000" w:themeColor="text1"/>
          <w:sz w:val="24"/>
          <w:szCs w:val="24"/>
          <w:highlight w:val="none"/>
          <w:lang w:val="en-US" w:eastAsia="zh-CN"/>
          <w14:textFill>
            <w14:solidFill>
              <w14:schemeClr w14:val="tx1"/>
            </w14:solidFill>
          </w14:textFill>
        </w:rPr>
        <w:t>提供本地化资源的数字孪生3D可视化知识图谱系统，可实现对本地化资源的3D可视化管理、浏览和查询。</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提供</w:t>
      </w:r>
      <w:r>
        <w:rPr>
          <w:rFonts w:hint="eastAsia" w:ascii="宋体" w:hAnsi="宋体" w:cs="Times New Roman"/>
          <w:color w:val="000000" w:themeColor="text1"/>
          <w:sz w:val="24"/>
          <w:szCs w:val="24"/>
          <w:highlight w:val="none"/>
          <w:lang w:val="en-US" w:eastAsia="zh-CN"/>
          <w14:textFill>
            <w14:solidFill>
              <w14:schemeClr w14:val="tx1"/>
            </w14:solidFill>
          </w14:textFill>
        </w:rPr>
        <w:t>软件截图。</w:t>
      </w:r>
    </w:p>
    <w:p w14:paraId="52F4F11F">
      <w:pPr>
        <w:spacing w:line="50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cs="Times New Roman"/>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可实现项目在线或离线部署，</w:t>
      </w:r>
      <w:r>
        <w:rPr>
          <w:rFonts w:hint="eastAsia" w:ascii="宋体" w:hAnsi="宋体" w:cs="Times New Roman"/>
          <w:color w:val="000000" w:themeColor="text1"/>
          <w:sz w:val="24"/>
          <w:szCs w:val="24"/>
          <w:highlight w:val="none"/>
          <w:lang w:val="en-US" w:eastAsia="zh-CN"/>
          <w14:textFill>
            <w14:solidFill>
              <w14:schemeClr w14:val="tx1"/>
            </w14:solidFill>
          </w14:textFill>
        </w:rPr>
        <w:t>提供全开源资源包，</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无限制性保护</w:t>
      </w:r>
      <w:r>
        <w:rPr>
          <w:rFonts w:hint="eastAsia" w:ascii="宋体" w:hAnsi="宋体" w:eastAsia="宋体" w:cs="Times New Roman"/>
          <w:color w:val="000000" w:themeColor="text1"/>
          <w:sz w:val="24"/>
          <w:szCs w:val="24"/>
          <w:highlight w:val="none"/>
          <w14:textFill>
            <w14:solidFill>
              <w14:schemeClr w14:val="tx1"/>
            </w14:solidFill>
          </w14:textFill>
        </w:rPr>
        <w:t>。支持主流沉浸式应用，包括全景、VR、AR、XR等应用，支持客户端和web端</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支持多系统资源访问，包括Windows、Android、IOS系统</w:t>
      </w:r>
      <w:r>
        <w:rPr>
          <w:rFonts w:hint="eastAsia" w:ascii="宋体" w:hAnsi="宋体" w:cs="Times New Roman"/>
          <w:color w:val="000000" w:themeColor="text1"/>
          <w:sz w:val="24"/>
          <w:szCs w:val="24"/>
          <w:highlight w:val="none"/>
          <w:lang w:eastAsia="zh-CN"/>
          <w14:textFill>
            <w14:solidFill>
              <w14:schemeClr w14:val="tx1"/>
            </w14:solidFill>
          </w14:textFill>
        </w:rPr>
        <w:t>。</w:t>
      </w:r>
      <w:r>
        <w:rPr>
          <w:rFonts w:hint="eastAsia" w:ascii="宋体" w:hAnsi="宋体" w:cs="Times New Roman"/>
          <w:color w:val="000000" w:themeColor="text1"/>
          <w:sz w:val="24"/>
          <w:szCs w:val="24"/>
          <w:highlight w:val="none"/>
          <w:lang w:val="en-US" w:eastAsia="zh-CN"/>
          <w14:textFill>
            <w14:solidFill>
              <w14:schemeClr w14:val="tx1"/>
            </w14:solidFill>
          </w14:textFill>
        </w:rPr>
        <w:t>提供承诺函。</w:t>
      </w:r>
    </w:p>
    <w:p w14:paraId="58AB95CC">
      <w:pPr>
        <w:pStyle w:val="22"/>
        <w:snapToGrid w:val="0"/>
        <w:spacing w:before="156" w:after="156"/>
        <w:ind w:left="0" w:leftChars="0" w:right="26" w:firstLine="420" w:firstLineChars="175"/>
        <w:rPr>
          <w:rFonts w:hint="eastAsia" w:ascii="宋体" w:hAnsi="宋体" w:eastAsia="宋体" w:cs="宋体"/>
          <w:color w:val="000000" w:themeColor="text1"/>
          <w:sz w:val="24"/>
          <w:szCs w:val="24"/>
          <w:highlight w:val="none"/>
          <w14:textFill>
            <w14:solidFill>
              <w14:schemeClr w14:val="tx1"/>
            </w14:solidFill>
          </w14:textFill>
        </w:rPr>
      </w:pPr>
    </w:p>
    <w:p w14:paraId="0D99A08D">
      <w:pPr>
        <w:pStyle w:val="22"/>
        <w:snapToGrid w:val="0"/>
        <w:spacing w:before="156" w:after="156"/>
        <w:ind w:left="0" w:leftChars="0" w:right="26" w:firstLine="420" w:firstLineChars="175"/>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199" w:name="_Toc534725609"/>
      <w:bookmarkStart w:id="200" w:name="_Toc534816638"/>
      <w:r>
        <w:rPr>
          <w:rFonts w:hint="eastAsia" w:ascii="宋体" w:hAnsi="宋体" w:eastAsia="宋体" w:cs="宋体"/>
          <w:color w:val="000000" w:themeColor="text1"/>
          <w:sz w:val="24"/>
          <w:szCs w:val="24"/>
          <w:highlight w:val="none"/>
          <w:lang w:val="en-US" w:eastAsia="zh-CN"/>
          <w14:textFill>
            <w14:solidFill>
              <w14:schemeClr w14:val="tx1"/>
            </w14:solidFill>
          </w14:textFill>
        </w:rPr>
        <w:t>二、商务条款</w:t>
      </w:r>
      <w:bookmarkEnd w:id="199"/>
      <w:bookmarkEnd w:id="200"/>
    </w:p>
    <w:p w14:paraId="3F3A7879">
      <w:pPr>
        <w:pStyle w:val="22"/>
        <w:snapToGrid w:val="0"/>
        <w:spacing w:before="156" w:after="156"/>
        <w:ind w:left="0" w:leftChars="0" w:right="26" w:firstLine="420" w:firstLineChars="175"/>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服务期</w:t>
      </w:r>
    </w:p>
    <w:p w14:paraId="7E66BB97">
      <w:pPr>
        <w:pStyle w:val="22"/>
        <w:snapToGrid w:val="0"/>
        <w:spacing w:before="156" w:after="156"/>
        <w:ind w:left="0" w:leftChars="0" w:right="26"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免费</w:t>
      </w:r>
      <w:r>
        <w:rPr>
          <w:rFonts w:hint="eastAsia" w:ascii="宋体" w:hAnsi="宋体" w:eastAsia="宋体" w:cs="宋体"/>
          <w:color w:val="000000" w:themeColor="text1"/>
          <w:sz w:val="24"/>
          <w:szCs w:val="24"/>
          <w:highlight w:val="none"/>
          <w:lang w:val="en-US" w:eastAsia="zh-CN"/>
          <w14:textFill>
            <w14:solidFill>
              <w14:schemeClr w14:val="tx1"/>
            </w14:solidFill>
          </w14:textFill>
        </w:rPr>
        <w:t>服务期</w:t>
      </w:r>
      <w:r>
        <w:rPr>
          <w:rFonts w:hint="eastAsia" w:hAnsi="宋体" w:eastAsia="宋体" w:cs="宋体"/>
          <w:color w:val="000000" w:themeColor="text1"/>
          <w:sz w:val="24"/>
          <w:szCs w:val="24"/>
          <w:highlight w:val="none"/>
          <w:lang w:val="en-US" w:eastAsia="zh-CN"/>
          <w14:textFill>
            <w14:solidFill>
              <w14:schemeClr w14:val="tx1"/>
            </w14:solidFill>
          </w14:textFill>
        </w:rPr>
        <w:t>36</w:t>
      </w:r>
      <w:r>
        <w:rPr>
          <w:rFonts w:hint="eastAsia" w:ascii="宋体" w:hAnsi="宋体" w:eastAsia="宋体" w:cs="宋体"/>
          <w:color w:val="000000" w:themeColor="text1"/>
          <w:sz w:val="24"/>
          <w:szCs w:val="24"/>
          <w:highlight w:val="none"/>
          <w14:textFill>
            <w14:solidFill>
              <w14:schemeClr w14:val="tx1"/>
            </w14:solidFill>
          </w14:textFill>
        </w:rPr>
        <w:t xml:space="preserve"> 个月。（免费</w:t>
      </w:r>
      <w:r>
        <w:rPr>
          <w:rFonts w:hint="eastAsia" w:ascii="宋体" w:hAnsi="宋体" w:eastAsia="宋体" w:cs="宋体"/>
          <w:color w:val="000000" w:themeColor="text1"/>
          <w:sz w:val="24"/>
          <w:szCs w:val="24"/>
          <w:highlight w:val="none"/>
          <w:lang w:val="en-US" w:eastAsia="zh-CN"/>
          <w14:textFill>
            <w14:solidFill>
              <w14:schemeClr w14:val="tx1"/>
            </w14:solidFill>
          </w14:textFill>
        </w:rPr>
        <w:t>服务期</w:t>
      </w:r>
      <w:r>
        <w:rPr>
          <w:rFonts w:hint="eastAsia" w:ascii="宋体" w:hAnsi="宋体" w:eastAsia="宋体" w:cs="宋体"/>
          <w:color w:val="000000" w:themeColor="text1"/>
          <w:sz w:val="24"/>
          <w:szCs w:val="24"/>
          <w:highlight w:val="none"/>
          <w14:textFill>
            <w14:solidFill>
              <w14:schemeClr w14:val="tx1"/>
            </w14:solidFill>
          </w14:textFill>
        </w:rPr>
        <w:t>自通过甲方验收合格之日起计）</w:t>
      </w:r>
    </w:p>
    <w:p w14:paraId="3865FF92">
      <w:pPr>
        <w:pStyle w:val="22"/>
        <w:snapToGrid w:val="0"/>
        <w:spacing w:before="156" w:after="156"/>
        <w:ind w:left="0" w:leftChars="0" w:right="26"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交付期、交付方式及交付地点</w:t>
      </w:r>
    </w:p>
    <w:p w14:paraId="3B013B30">
      <w:pPr>
        <w:pStyle w:val="22"/>
        <w:snapToGrid w:val="0"/>
        <w:spacing w:before="156" w:after="156"/>
        <w:ind w:left="0" w:leftChars="0" w:right="26" w:firstLine="420" w:firstLineChars="175"/>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 交付期：</w:t>
      </w:r>
      <w:r>
        <w:rPr>
          <w:rFonts w:hint="eastAsia" w:ascii="宋体" w:hAnsi="宋体" w:eastAsia="宋体" w:cs="宋体"/>
          <w:color w:val="000000" w:themeColor="text1"/>
          <w:sz w:val="24"/>
          <w:szCs w:val="24"/>
          <w:highlight w:val="none"/>
          <w:lang w:val="en-US" w:eastAsia="zh-CN"/>
          <w14:textFill>
            <w14:solidFill>
              <w14:schemeClr w14:val="tx1"/>
            </w14:solidFill>
          </w14:textFill>
        </w:rPr>
        <w:t>自合同签订之日起30个日历日内交货并完成安装调试。</w:t>
      </w:r>
    </w:p>
    <w:p w14:paraId="67A4A593">
      <w:pPr>
        <w:pStyle w:val="22"/>
        <w:snapToGrid w:val="0"/>
        <w:spacing w:before="156" w:after="156"/>
        <w:ind w:left="0" w:leftChars="0" w:right="26"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.2 交付方式：采购人指定。</w:t>
      </w:r>
    </w:p>
    <w:p w14:paraId="6942C5F9">
      <w:pPr>
        <w:pStyle w:val="22"/>
        <w:snapToGrid w:val="0"/>
        <w:spacing w:before="156" w:after="156"/>
        <w:ind w:left="0" w:leftChars="0" w:right="26"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.3 交付地点：采购人指定。</w:t>
      </w:r>
    </w:p>
    <w:p w14:paraId="03A55619">
      <w:pPr>
        <w:pStyle w:val="22"/>
        <w:snapToGrid w:val="0"/>
        <w:spacing w:before="156" w:after="156"/>
        <w:ind w:left="0" w:leftChars="0" w:right="26"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货款支付</w:t>
      </w:r>
    </w:p>
    <w:p w14:paraId="762ED878">
      <w:pPr>
        <w:pStyle w:val="22"/>
        <w:snapToGrid w:val="0"/>
        <w:spacing w:before="156" w:after="156"/>
        <w:ind w:left="0" w:leftChars="0" w:right="26"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.1 第一次付款：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签订合同后</w:t>
      </w:r>
      <w:r>
        <w:rPr>
          <w:rFonts w:hint="eastAsia" w:ascii="宋体" w:hAnsi="宋体" w:eastAsia="宋体" w:cs="宋体"/>
          <w:color w:val="000000" w:themeColor="text1"/>
          <w:sz w:val="24"/>
          <w:szCs w:val="24"/>
          <w:highlight w:val="none"/>
          <w14:textFill>
            <w14:solidFill>
              <w14:schemeClr w14:val="tx1"/>
            </w14:solidFill>
          </w14:textFill>
        </w:rPr>
        <w:t>，支付合同金额的</w:t>
      </w:r>
      <w:r>
        <w:rPr>
          <w:rFonts w:hint="eastAsia"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的</w:t>
      </w:r>
      <w:r>
        <w:rPr>
          <w:rFonts w:hint="eastAsia" w:ascii="宋体" w:hAnsi="宋体" w:eastAsia="宋体" w:cs="宋体"/>
          <w:color w:val="000000" w:themeColor="text1"/>
          <w:sz w:val="24"/>
          <w:szCs w:val="24"/>
          <w:highlight w:val="none"/>
          <w:lang w:val="en-US" w:eastAsia="zh-CN"/>
          <w14:textFill>
            <w14:solidFill>
              <w14:schemeClr w14:val="tx1"/>
            </w14:solidFill>
          </w14:textFill>
        </w:rPr>
        <w:t>预付款</w:t>
      </w:r>
      <w:r>
        <w:rPr>
          <w:rFonts w:hint="eastAsia" w:ascii="宋体" w:hAnsi="宋体" w:eastAsia="宋体" w:cs="宋体"/>
          <w:color w:val="000000" w:themeColor="text1"/>
          <w:sz w:val="24"/>
          <w:szCs w:val="24"/>
          <w:highlight w:val="none"/>
          <w14:textFill>
            <w14:solidFill>
              <w14:schemeClr w14:val="tx1"/>
            </w14:solidFill>
          </w14:textFill>
        </w:rPr>
        <w:t>。</w:t>
      </w:r>
    </w:p>
    <w:p w14:paraId="5F6A628F">
      <w:pPr>
        <w:pStyle w:val="22"/>
        <w:snapToGrid w:val="0"/>
        <w:spacing w:before="156" w:after="156"/>
        <w:ind w:left="0" w:leftChars="0" w:right="26"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.2 第二次付款：根据甲方内部管理规定，满足终验条件，乙方提交全部验收材料，通过甲方组织的验收后，支付合同金额的</w:t>
      </w:r>
      <w:r>
        <w:rPr>
          <w:rFonts w:hint="eastAsia" w:hAnsi="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0%。</w:t>
      </w:r>
    </w:p>
    <w:p w14:paraId="7228B782">
      <w:pPr>
        <w:pStyle w:val="22"/>
        <w:snapToGrid w:val="0"/>
        <w:spacing w:before="156" w:after="156"/>
        <w:ind w:left="0" w:leftChars="0" w:right="26" w:firstLine="420" w:firstLineChars="175"/>
        <w:rPr>
          <w:rFonts w:hint="eastAsia" w:ascii="宋体" w:hAnsi="宋体" w:eastAsia="宋体" w:cs="宋体"/>
          <w:color w:val="000000" w:themeColor="text1"/>
          <w:sz w:val="24"/>
          <w:szCs w:val="24"/>
          <w:highlight w:val="none"/>
          <w14:textFill>
            <w14:solidFill>
              <w14:schemeClr w14:val="tx1"/>
            </w14:solidFill>
          </w14:textFill>
        </w:rPr>
      </w:pPr>
    </w:p>
    <w:p w14:paraId="5C33D2FA">
      <w:pPr>
        <w:pStyle w:val="5"/>
        <w:rPr>
          <w:rFonts w:hint="eastAsia" w:ascii="宋体" w:hAnsi="宋体" w:eastAsia="宋体" w:cs="宋体"/>
          <w:color w:val="000000" w:themeColor="text1"/>
          <w:highlight w:val="none"/>
          <w14:textFill>
            <w14:solidFill>
              <w14:schemeClr w14:val="tx1"/>
            </w14:solidFill>
          </w14:textFill>
        </w:rPr>
      </w:pPr>
      <w:bookmarkStart w:id="201" w:name="_Toc534725610"/>
      <w:bookmarkStart w:id="202" w:name="_Toc534816639"/>
      <w:bookmarkStart w:id="203" w:name="_Toc494375081"/>
      <w:bookmarkStart w:id="204" w:name="_Toc120614281"/>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第五章  评标方法与评标标准</w:t>
      </w:r>
      <w:bookmarkEnd w:id="201"/>
      <w:bookmarkEnd w:id="202"/>
      <w:bookmarkEnd w:id="203"/>
    </w:p>
    <w:p w14:paraId="32CEB3B6">
      <w:pPr>
        <w:pStyle w:val="103"/>
        <w:ind w:firstLine="424" w:firstLineChars="17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目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中标候选人。本项目选取1名中标候选人。</w:t>
      </w:r>
    </w:p>
    <w:p w14:paraId="6A4D2862">
      <w:pPr>
        <w:pStyle w:val="103"/>
        <w:ind w:firstLine="441" w:firstLineChars="183"/>
        <w:rPr>
          <w:rFonts w:hint="eastAsia" w:ascii="宋体" w:hAnsi="宋体" w:eastAsia="宋体" w:cs="宋体"/>
          <w:b/>
          <w:color w:val="000000" w:themeColor="text1"/>
          <w:kern w:val="2"/>
          <w:highlight w:val="none"/>
          <w:lang w:val="en-US" w:eastAsia="zh-CN"/>
          <w14:textFill>
            <w14:solidFill>
              <w14:schemeClr w14:val="tx1"/>
            </w14:solidFill>
          </w14:textFill>
        </w:rPr>
      </w:pPr>
      <w:r>
        <w:rPr>
          <w:rFonts w:hint="eastAsia" w:ascii="宋体" w:hAnsi="宋体" w:eastAsia="宋体" w:cs="宋体"/>
          <w:b/>
          <w:color w:val="000000" w:themeColor="text1"/>
          <w:kern w:val="2"/>
          <w:highlight w:val="none"/>
          <w:lang w:val="en-US" w:eastAsia="zh-CN"/>
          <w14:textFill>
            <w14:solidFill>
              <w14:schemeClr w14:val="tx1"/>
            </w14:solidFill>
          </w14:textFill>
        </w:rPr>
        <w:t>一、</w:t>
      </w:r>
      <w:r>
        <w:rPr>
          <w:rFonts w:hint="eastAsia" w:ascii="宋体" w:hAnsi="宋体" w:eastAsia="宋体" w:cs="宋体"/>
          <w:b/>
          <w:color w:val="000000" w:themeColor="text1"/>
          <w:kern w:val="2"/>
          <w:highlight w:val="none"/>
          <w14:textFill>
            <w14:solidFill>
              <w14:schemeClr w14:val="tx1"/>
            </w14:solidFill>
          </w14:textFill>
        </w:rPr>
        <w:t>政府采购政策功能落实</w:t>
      </w:r>
    </w:p>
    <w:p w14:paraId="10D51234">
      <w:pPr>
        <w:pStyle w:val="103"/>
        <w:keepNext w:val="0"/>
        <w:keepLines w:val="0"/>
        <w:pageBreakBefore w:val="0"/>
        <w:widowControl w:val="0"/>
        <w:kinsoku/>
        <w:wordWrap/>
        <w:overflowPunct/>
        <w:topLinePunct w:val="0"/>
        <w:autoSpaceDE/>
        <w:autoSpaceDN/>
        <w:bidi w:val="0"/>
        <w:snapToGrid/>
        <w:spacing w:line="500" w:lineRule="exact"/>
        <w:ind w:firstLineChars="20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lang w:eastAsia="zh-CN"/>
          <w14:textFill>
            <w14:solidFill>
              <w14:schemeClr w14:val="tx1"/>
            </w14:solidFill>
          </w14:textFill>
        </w:rPr>
        <w:t>1.</w:t>
      </w:r>
      <w:r>
        <w:rPr>
          <w:rFonts w:hint="eastAsia" w:ascii="宋体" w:hAnsi="宋体" w:cs="宋体"/>
          <w:color w:val="000000" w:themeColor="text1"/>
          <w:kern w:val="2"/>
          <w:highlight w:val="none"/>
          <w14:textFill>
            <w14:solidFill>
              <w14:schemeClr w14:val="tx1"/>
            </w14:solidFill>
          </w14:textFill>
        </w:rPr>
        <w:t>小微型企业价格扣除</w:t>
      </w:r>
    </w:p>
    <w:p w14:paraId="5B51FE64">
      <w:pPr>
        <w:pStyle w:val="103"/>
        <w:keepNext w:val="0"/>
        <w:keepLines w:val="0"/>
        <w:pageBreakBefore w:val="0"/>
        <w:widowControl w:val="0"/>
        <w:kinsoku/>
        <w:wordWrap/>
        <w:overflowPunct/>
        <w:topLinePunct w:val="0"/>
        <w:autoSpaceDE/>
        <w:autoSpaceDN/>
        <w:bidi w:val="0"/>
        <w:snapToGrid/>
        <w:spacing w:line="500" w:lineRule="exact"/>
        <w:ind w:firstLine="360" w:firstLineChars="15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（1）</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对于经主管预算单位统筹后未预留份额专门面向中小企业采购的采购项目，以及预留份额项目中的非预留部分采购包</w:t>
      </w:r>
      <w:r>
        <w:rPr>
          <w:rFonts w:hint="eastAsia" w:ascii="宋体" w:hAnsi="宋体" w:eastAsia="宋体" w:cs="宋体"/>
          <w:i w:val="0"/>
          <w:iCs w:val="0"/>
          <w:caps w:val="0"/>
          <w:color w:val="000000" w:themeColor="text1"/>
          <w:spacing w:val="0"/>
          <w:sz w:val="24"/>
          <w:szCs w:val="24"/>
          <w:highlight w:val="none"/>
          <w:shd w:val="clear" w:color="auto" w:fill="FFFFFF"/>
          <w:lang w:eastAsia="zh-CN"/>
          <w14:textFill>
            <w14:solidFill>
              <w14:schemeClr w14:val="tx1"/>
            </w14:solidFill>
          </w14:textFill>
        </w:rPr>
        <w:t>，</w:t>
      </w:r>
      <w:r>
        <w:rPr>
          <w:rFonts w:hint="eastAsia" w:ascii="宋体" w:hAnsi="宋体" w:cs="宋体"/>
          <w:color w:val="000000" w:themeColor="text1"/>
          <w:kern w:val="2"/>
          <w:highlight w:val="none"/>
          <w14:textFill>
            <w14:solidFill>
              <w14:schemeClr w14:val="tx1"/>
            </w14:solidFill>
          </w14:textFill>
        </w:rPr>
        <w:t>对小型和微型企业报价给予</w:t>
      </w:r>
      <w:r>
        <w:rPr>
          <w:rFonts w:hint="eastAsia" w:ascii="宋体" w:hAnsi="宋体" w:cs="宋体"/>
          <w:color w:val="000000" w:themeColor="text1"/>
          <w:kern w:val="2"/>
          <w:highlight w:val="none"/>
          <w:u w:val="single"/>
          <w14:textFill>
            <w14:solidFill>
              <w14:schemeClr w14:val="tx1"/>
            </w14:solidFill>
          </w14:textFill>
        </w:rPr>
        <w:t>10</w:t>
      </w:r>
      <w:r>
        <w:rPr>
          <w:rFonts w:hint="eastAsia" w:ascii="宋体" w:hAnsi="宋体" w:cs="宋体"/>
          <w:bCs/>
          <w:color w:val="000000" w:themeColor="text1"/>
          <w:kern w:val="2"/>
          <w:highlight w:val="none"/>
          <w14:textFill>
            <w14:solidFill>
              <w14:schemeClr w14:val="tx1"/>
            </w14:solidFill>
          </w14:textFill>
        </w:rPr>
        <w:t>%</w:t>
      </w:r>
      <w:r>
        <w:rPr>
          <w:rFonts w:hint="eastAsia" w:ascii="宋体" w:hAnsi="宋体" w:cs="宋体"/>
          <w:color w:val="000000" w:themeColor="text1"/>
          <w:kern w:val="2"/>
          <w:highlight w:val="none"/>
          <w14:textFill>
            <w14:solidFill>
              <w14:schemeClr w14:val="tx1"/>
            </w14:solidFill>
          </w14:textFill>
        </w:rPr>
        <w:t>的扣除价格，用扣除后的价格参与评审。</w:t>
      </w:r>
    </w:p>
    <w:p w14:paraId="5D243674">
      <w:pPr>
        <w:pStyle w:val="103"/>
        <w:keepNext w:val="0"/>
        <w:keepLines w:val="0"/>
        <w:pageBreakBefore w:val="0"/>
        <w:widowControl w:val="0"/>
        <w:kinsoku/>
        <w:wordWrap/>
        <w:overflowPunct/>
        <w:topLinePunct w:val="0"/>
        <w:autoSpaceDE/>
        <w:autoSpaceDN/>
        <w:bidi w:val="0"/>
        <w:snapToGrid/>
        <w:spacing w:line="500" w:lineRule="exact"/>
        <w:ind w:firstLine="360" w:firstLineChars="150"/>
        <w:rPr>
          <w:rFonts w:hint="eastAsia" w:ascii="宋体" w:hAnsi="宋体" w:eastAsia="宋体" w:cs="宋体"/>
          <w:color w:val="000000" w:themeColor="text1"/>
          <w:kern w:val="2"/>
          <w:highlight w:val="none"/>
          <w:lang w:eastAsia="zh-CN"/>
          <w14:textFill>
            <w14:solidFill>
              <w14:schemeClr w14:val="tx1"/>
            </w14:solidFill>
          </w14:textFill>
        </w:rPr>
      </w:pPr>
      <w:r>
        <w:rPr>
          <w:rFonts w:hint="eastAsia" w:ascii="宋体" w:hAnsi="宋体" w:cs="宋体"/>
          <w:color w:val="000000" w:themeColor="text1"/>
          <w:kern w:val="2"/>
          <w:highlight w:val="none"/>
          <w:lang w:eastAsia="zh-CN"/>
          <w14:textFill>
            <w14:solidFill>
              <w14:schemeClr w14:val="tx1"/>
            </w14:solidFill>
          </w14:textFill>
        </w:rPr>
        <w:t>（</w:t>
      </w:r>
      <w:r>
        <w:rPr>
          <w:rFonts w:hint="eastAsia" w:ascii="宋体" w:hAnsi="宋体" w:cs="宋体"/>
          <w:color w:val="000000" w:themeColor="text1"/>
          <w:kern w:val="2"/>
          <w:highlight w:val="none"/>
          <w:lang w:val="en-US" w:eastAsia="zh-CN"/>
          <w14:textFill>
            <w14:solidFill>
              <w14:schemeClr w14:val="tx1"/>
            </w14:solidFill>
          </w14:textFill>
        </w:rPr>
        <w:t>2</w:t>
      </w:r>
      <w:r>
        <w:rPr>
          <w:rFonts w:hint="eastAsia" w:ascii="宋体" w:hAnsi="宋体" w:cs="宋体"/>
          <w:color w:val="000000" w:themeColor="text1"/>
          <w:kern w:val="2"/>
          <w:highlight w:val="none"/>
          <w:lang w:eastAsia="zh-CN"/>
          <w14:textFill>
            <w14:solidFill>
              <w14:schemeClr w14:val="tx1"/>
            </w14:solidFill>
          </w14:textFill>
        </w:rPr>
        <w:t>）</w:t>
      </w:r>
      <w:r>
        <w:rPr>
          <w:rFonts w:hint="eastAsia" w:ascii="宋体" w:hAnsi="宋体" w:cs="宋体"/>
          <w:color w:val="000000" w:themeColor="text1"/>
          <w:kern w:val="2"/>
          <w:highlight w:val="none"/>
          <w:lang w:val="en-US" w:eastAsia="zh-CN"/>
          <w14:textFill>
            <w14:solidFill>
              <w14:schemeClr w14:val="tx1"/>
            </w14:solidFill>
          </w14:textFill>
        </w:rPr>
        <w:t>对</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同总金额</w:t>
      </w:r>
      <w:r>
        <w:rPr>
          <w:rFonts w:hint="eastAsia" w:ascii="宋体" w:hAnsi="宋体" w:eastAsia="宋体" w:cs="宋体"/>
          <w:i w:val="0"/>
          <w:iCs w:val="0"/>
          <w:caps w:val="0"/>
          <w:color w:val="000000" w:themeColor="text1"/>
          <w:spacing w:val="0"/>
          <w:sz w:val="24"/>
          <w:szCs w:val="24"/>
          <w:highlight w:val="none"/>
          <w:u w:val="none"/>
          <w:shd w:val="clear" w:color="auto" w:fill="FFFFFF"/>
          <w:lang w:val="en-US"/>
          <w14:textFill>
            <w14:solidFill>
              <w14:schemeClr w14:val="tx1"/>
            </w14:solidFill>
          </w14:textFill>
        </w:rPr>
        <w:t>30%</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以上的，</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对联合体或者大中型企业的报价给予</w:t>
      </w:r>
      <w:r>
        <w:rPr>
          <w:rFonts w:hint="eastAsia" w:ascii="宋体" w:hAnsi="宋体" w:cs="宋体"/>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Fonts w:hint="eastAsia" w:ascii="宋体" w:hAnsi="宋体" w:cs="宋体"/>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highlight w:val="none"/>
          <w:u w:val="single"/>
          <w:shd w:val="clear" w:color="auto" w:fill="FFFFFF"/>
          <w:lang w:val="en-US"/>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的扣除，用扣除后的价格参加评审。</w:t>
      </w:r>
    </w:p>
    <w:p w14:paraId="706C44FE">
      <w:pPr>
        <w:pStyle w:val="103"/>
        <w:keepNext w:val="0"/>
        <w:keepLines w:val="0"/>
        <w:pageBreakBefore w:val="0"/>
        <w:widowControl w:val="0"/>
        <w:kinsoku/>
        <w:wordWrap/>
        <w:overflowPunct/>
        <w:topLinePunct w:val="0"/>
        <w:autoSpaceDE/>
        <w:autoSpaceDN/>
        <w:bidi w:val="0"/>
        <w:snapToGrid/>
        <w:spacing w:line="500" w:lineRule="exact"/>
        <w:ind w:firstLine="360" w:firstLineChars="15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w:t>
      </w:r>
      <w:r>
        <w:rPr>
          <w:rFonts w:hint="eastAsia" w:ascii="宋体" w:hAnsi="宋体" w:cs="宋体"/>
          <w:color w:val="000000" w:themeColor="text1"/>
          <w:kern w:val="2"/>
          <w:highlight w:val="none"/>
          <w:lang w:val="en-US" w:eastAsia="zh-CN"/>
          <w14:textFill>
            <w14:solidFill>
              <w14:schemeClr w14:val="tx1"/>
            </w14:solidFill>
          </w14:textFill>
        </w:rPr>
        <w:t>3</w:t>
      </w:r>
      <w:r>
        <w:rPr>
          <w:rFonts w:hint="eastAsia" w:ascii="宋体" w:hAnsi="宋体" w:cs="宋体"/>
          <w:color w:val="000000" w:themeColor="text1"/>
          <w:kern w:val="2"/>
          <w:highlight w:val="none"/>
          <w14:textFill>
            <w14:solidFill>
              <w14:schemeClr w14:val="tx1"/>
            </w14:solidFill>
          </w14:textFill>
        </w:rPr>
        <w:t>）供应商需按照采购文件的要求提供相应的《企业声明函》。</w:t>
      </w:r>
    </w:p>
    <w:p w14:paraId="03EB174F">
      <w:pPr>
        <w:pStyle w:val="103"/>
        <w:keepNext w:val="0"/>
        <w:keepLines w:val="0"/>
        <w:pageBreakBefore w:val="0"/>
        <w:widowControl w:val="0"/>
        <w:kinsoku/>
        <w:wordWrap/>
        <w:overflowPunct/>
        <w:topLinePunct w:val="0"/>
        <w:autoSpaceDE/>
        <w:autoSpaceDN/>
        <w:bidi w:val="0"/>
        <w:snapToGrid/>
        <w:spacing w:line="500" w:lineRule="exact"/>
        <w:ind w:firstLine="360" w:firstLineChars="15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w:t>
      </w:r>
      <w:r>
        <w:rPr>
          <w:rFonts w:hint="eastAsia" w:ascii="宋体" w:hAnsi="宋体" w:cs="宋体"/>
          <w:color w:val="000000" w:themeColor="text1"/>
          <w:kern w:val="2"/>
          <w:highlight w:val="none"/>
          <w:lang w:val="en-US" w:eastAsia="zh-CN"/>
          <w14:textFill>
            <w14:solidFill>
              <w14:schemeClr w14:val="tx1"/>
            </w14:solidFill>
          </w14:textFill>
        </w:rPr>
        <w:t>4</w:t>
      </w:r>
      <w:r>
        <w:rPr>
          <w:rFonts w:hint="eastAsia" w:ascii="宋体" w:hAnsi="宋体" w:cs="宋体"/>
          <w:color w:val="000000" w:themeColor="text1"/>
          <w:kern w:val="2"/>
          <w:highlight w:val="none"/>
          <w14:textFill>
            <w14:solidFill>
              <w14:schemeClr w14:val="tx1"/>
            </w14:solidFill>
          </w14:textFill>
        </w:rPr>
        <w:t>）企业标准请参照《关于印发中小企业划型标准规定的通知》（工信部联企业</w:t>
      </w:r>
      <w:r>
        <w:rPr>
          <w:rFonts w:hint="eastAsia" w:ascii="宋体" w:hAnsi="宋体" w:cs="宋体"/>
          <w:color w:val="000000" w:themeColor="text1"/>
          <w:kern w:val="2"/>
          <w:highlight w:val="none"/>
          <w:lang w:eastAsia="zh-CN"/>
          <w14:textFill>
            <w14:solidFill>
              <w14:schemeClr w14:val="tx1"/>
            </w14:solidFill>
          </w14:textFill>
        </w:rPr>
        <w:t>〔2011〕300号</w:t>
      </w:r>
      <w:r>
        <w:rPr>
          <w:rFonts w:hint="eastAsia" w:ascii="宋体" w:hAnsi="宋体" w:cs="宋体"/>
          <w:color w:val="000000" w:themeColor="text1"/>
          <w:kern w:val="2"/>
          <w:highlight w:val="none"/>
          <w14:textFill>
            <w14:solidFill>
              <w14:schemeClr w14:val="tx1"/>
            </w14:solidFill>
          </w14:textFill>
        </w:rPr>
        <w:t>）文件规定自行填写。</w:t>
      </w:r>
    </w:p>
    <w:p w14:paraId="63836790">
      <w:pPr>
        <w:pStyle w:val="103"/>
        <w:keepNext w:val="0"/>
        <w:keepLines w:val="0"/>
        <w:pageBreakBefore w:val="0"/>
        <w:widowControl w:val="0"/>
        <w:kinsoku/>
        <w:wordWrap/>
        <w:overflowPunct/>
        <w:topLinePunct w:val="0"/>
        <w:autoSpaceDE/>
        <w:autoSpaceDN/>
        <w:bidi w:val="0"/>
        <w:snapToGrid/>
        <w:spacing w:line="500" w:lineRule="exact"/>
        <w:ind w:firstLineChars="20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lang w:eastAsia="zh-CN"/>
          <w14:textFill>
            <w14:solidFill>
              <w14:schemeClr w14:val="tx1"/>
            </w14:solidFill>
          </w14:textFill>
        </w:rPr>
        <w:t>2.</w:t>
      </w:r>
      <w:r>
        <w:rPr>
          <w:rFonts w:hint="eastAsia" w:ascii="宋体" w:hAnsi="宋体" w:cs="宋体"/>
          <w:color w:val="000000" w:themeColor="text1"/>
          <w:kern w:val="2"/>
          <w:highlight w:val="none"/>
          <w14:textFill>
            <w14:solidFill>
              <w14:schemeClr w14:val="tx1"/>
            </w14:solidFill>
          </w14:textFill>
        </w:rPr>
        <w:t>残疾人福利单位价格扣除</w:t>
      </w:r>
    </w:p>
    <w:p w14:paraId="136F8372">
      <w:pPr>
        <w:pStyle w:val="103"/>
        <w:keepNext w:val="0"/>
        <w:keepLines w:val="0"/>
        <w:pageBreakBefore w:val="0"/>
        <w:widowControl w:val="0"/>
        <w:kinsoku/>
        <w:wordWrap/>
        <w:overflowPunct/>
        <w:topLinePunct w:val="0"/>
        <w:autoSpaceDE/>
        <w:autoSpaceDN/>
        <w:bidi w:val="0"/>
        <w:snapToGrid/>
        <w:spacing w:line="500" w:lineRule="exact"/>
        <w:ind w:left="120" w:leftChars="57" w:firstLine="360" w:firstLineChars="15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（1）本项目对残疾人福利性单位视同小型、微型企业，给予</w:t>
      </w:r>
      <w:r>
        <w:rPr>
          <w:rFonts w:hint="eastAsia" w:ascii="宋体" w:hAnsi="宋体" w:cs="宋体"/>
          <w:color w:val="000000" w:themeColor="text1"/>
          <w:kern w:val="2"/>
          <w:highlight w:val="none"/>
          <w:u w:val="single"/>
          <w14:textFill>
            <w14:solidFill>
              <w14:schemeClr w14:val="tx1"/>
            </w14:solidFill>
          </w14:textFill>
        </w:rPr>
        <w:t>10</w:t>
      </w:r>
      <w:r>
        <w:rPr>
          <w:rFonts w:hint="eastAsia" w:ascii="宋体" w:hAnsi="宋体" w:cs="宋体"/>
          <w:color w:val="000000" w:themeColor="text1"/>
          <w:kern w:val="2"/>
          <w:highlight w:val="none"/>
          <w14:textFill>
            <w14:solidFill>
              <w14:schemeClr w14:val="tx1"/>
            </w14:solidFill>
          </w14:textFill>
        </w:rPr>
        <w:t>%</w:t>
      </w:r>
      <w:r>
        <w:rPr>
          <w:rFonts w:hint="eastAsia" w:ascii="宋体" w:hAnsi="宋体" w:cs="宋体"/>
          <w:color w:val="000000" w:themeColor="text1"/>
          <w:kern w:val="2"/>
          <w:highlight w:val="none"/>
          <w14:textFill>
            <w14:solidFill>
              <w14:schemeClr w14:val="tx1"/>
            </w14:solidFill>
          </w14:textFill>
        </w:rPr>
        <w:t>的价格扣除，用扣除后的价格参与评审。</w:t>
      </w:r>
    </w:p>
    <w:p w14:paraId="4C14F5A7">
      <w:pPr>
        <w:pStyle w:val="103"/>
        <w:keepNext w:val="0"/>
        <w:keepLines w:val="0"/>
        <w:pageBreakBefore w:val="0"/>
        <w:widowControl w:val="0"/>
        <w:kinsoku/>
        <w:wordWrap/>
        <w:overflowPunct/>
        <w:topLinePunct w:val="0"/>
        <w:autoSpaceDE/>
        <w:autoSpaceDN/>
        <w:bidi w:val="0"/>
        <w:snapToGrid/>
        <w:spacing w:line="500" w:lineRule="exact"/>
        <w:ind w:left="120" w:leftChars="57" w:firstLine="360" w:firstLineChars="15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（2）残疾人福利单位需按照采购文件的要求提供《残疾人福利性单位声明函》。</w:t>
      </w:r>
    </w:p>
    <w:p w14:paraId="74C9E344">
      <w:pPr>
        <w:pStyle w:val="103"/>
        <w:keepNext w:val="0"/>
        <w:keepLines w:val="0"/>
        <w:pageBreakBefore w:val="0"/>
        <w:widowControl w:val="0"/>
        <w:kinsoku/>
        <w:wordWrap/>
        <w:overflowPunct/>
        <w:topLinePunct w:val="0"/>
        <w:autoSpaceDE/>
        <w:autoSpaceDN/>
        <w:bidi w:val="0"/>
        <w:snapToGrid/>
        <w:spacing w:line="500" w:lineRule="exact"/>
        <w:ind w:left="120" w:leftChars="57" w:firstLine="360" w:firstLineChars="15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（3）残疾人福利单位标准请参照《关于促进残疾人就业政府采购政策的通知》（财库〔2017〕141号）。</w:t>
      </w:r>
    </w:p>
    <w:p w14:paraId="470D9EB1">
      <w:pPr>
        <w:pStyle w:val="103"/>
        <w:keepNext w:val="0"/>
        <w:keepLines w:val="0"/>
        <w:pageBreakBefore w:val="0"/>
        <w:widowControl w:val="0"/>
        <w:kinsoku/>
        <w:wordWrap/>
        <w:overflowPunct/>
        <w:topLinePunct w:val="0"/>
        <w:autoSpaceDE/>
        <w:autoSpaceDN/>
        <w:bidi w:val="0"/>
        <w:snapToGrid/>
        <w:spacing w:line="500" w:lineRule="exact"/>
        <w:ind w:firstLineChars="20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lang w:eastAsia="zh-CN"/>
          <w14:textFill>
            <w14:solidFill>
              <w14:schemeClr w14:val="tx1"/>
            </w14:solidFill>
          </w14:textFill>
        </w:rPr>
        <w:t>3.</w:t>
      </w:r>
      <w:r>
        <w:rPr>
          <w:rFonts w:hint="eastAsia" w:ascii="宋体" w:hAnsi="宋体" w:cs="宋体"/>
          <w:color w:val="000000" w:themeColor="text1"/>
          <w:kern w:val="2"/>
          <w:highlight w:val="none"/>
          <w14:textFill>
            <w14:solidFill>
              <w14:schemeClr w14:val="tx1"/>
            </w14:solidFill>
          </w14:textFill>
        </w:rPr>
        <w:t>监狱和戒毒企业价格扣除</w:t>
      </w:r>
    </w:p>
    <w:p w14:paraId="1E08DD6B">
      <w:pPr>
        <w:pStyle w:val="103"/>
        <w:keepNext w:val="0"/>
        <w:keepLines w:val="0"/>
        <w:pageBreakBefore w:val="0"/>
        <w:widowControl w:val="0"/>
        <w:kinsoku/>
        <w:wordWrap/>
        <w:overflowPunct/>
        <w:topLinePunct w:val="0"/>
        <w:autoSpaceDE/>
        <w:autoSpaceDN/>
        <w:bidi w:val="0"/>
        <w:snapToGrid/>
        <w:spacing w:line="500" w:lineRule="exact"/>
        <w:ind w:firstLineChars="20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（1）本项目对监狱和戒毒企业（简称监狱企业）视同小型、微型企业，给予</w:t>
      </w:r>
      <w:r>
        <w:rPr>
          <w:rFonts w:hint="eastAsia" w:ascii="宋体" w:hAnsi="宋体" w:cs="宋体"/>
          <w:color w:val="000000" w:themeColor="text1"/>
          <w:kern w:val="2"/>
          <w:highlight w:val="none"/>
          <w:u w:val="single"/>
          <w14:textFill>
            <w14:solidFill>
              <w14:schemeClr w14:val="tx1"/>
            </w14:solidFill>
          </w14:textFill>
        </w:rPr>
        <w:t>10</w:t>
      </w:r>
      <w:r>
        <w:rPr>
          <w:rFonts w:hint="eastAsia" w:ascii="宋体" w:hAnsi="宋体" w:cs="宋体"/>
          <w:color w:val="000000" w:themeColor="text1"/>
          <w:kern w:val="2"/>
          <w:highlight w:val="none"/>
          <w14:textFill>
            <w14:solidFill>
              <w14:schemeClr w14:val="tx1"/>
            </w14:solidFill>
          </w14:textFill>
        </w:rPr>
        <w:t>%</w:t>
      </w:r>
      <w:r>
        <w:rPr>
          <w:rFonts w:hint="eastAsia" w:ascii="宋体" w:hAnsi="宋体" w:cs="宋体"/>
          <w:color w:val="000000" w:themeColor="text1"/>
          <w:kern w:val="2"/>
          <w:highlight w:val="none"/>
          <w14:textFill>
            <w14:solidFill>
              <w14:schemeClr w14:val="tx1"/>
            </w14:solidFill>
          </w14:textFill>
        </w:rPr>
        <w:t>的价格扣除，用扣除后的价格参与评审。</w:t>
      </w:r>
    </w:p>
    <w:p w14:paraId="6E0A2AF0">
      <w:pPr>
        <w:pStyle w:val="103"/>
        <w:keepNext w:val="0"/>
        <w:keepLines w:val="0"/>
        <w:pageBreakBefore w:val="0"/>
        <w:widowControl w:val="0"/>
        <w:kinsoku/>
        <w:wordWrap/>
        <w:overflowPunct/>
        <w:topLinePunct w:val="0"/>
        <w:autoSpaceDE/>
        <w:autoSpaceDN/>
        <w:bidi w:val="0"/>
        <w:snapToGrid/>
        <w:spacing w:line="500" w:lineRule="exact"/>
        <w:ind w:firstLineChars="20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（2）监狱企业参加政府采购活动时，需提供由省级以上监狱管理局、戒毒管理局</w:t>
      </w:r>
      <w:r>
        <w:rPr>
          <w:rFonts w:hint="eastAsia" w:ascii="宋体" w:hAnsi="宋体" w:cs="宋体"/>
          <w:color w:val="000000" w:themeColor="text1"/>
          <w:kern w:val="2"/>
          <w:highlight w:val="none"/>
          <w:lang w:eastAsia="zh-CN"/>
          <w14:textFill>
            <w14:solidFill>
              <w14:schemeClr w14:val="tx1"/>
            </w14:solidFill>
          </w14:textFill>
        </w:rPr>
        <w:t>（</w:t>
      </w:r>
      <w:r>
        <w:rPr>
          <w:rFonts w:hint="eastAsia" w:ascii="宋体" w:hAnsi="宋体" w:cs="宋体"/>
          <w:color w:val="000000" w:themeColor="text1"/>
          <w:kern w:val="2"/>
          <w:highlight w:val="none"/>
          <w14:textFill>
            <w14:solidFill>
              <w14:schemeClr w14:val="tx1"/>
            </w14:solidFill>
          </w14:textFill>
        </w:rPr>
        <w:t>含新疆生产建设兵团</w:t>
      </w:r>
      <w:r>
        <w:rPr>
          <w:rFonts w:hint="eastAsia" w:ascii="宋体" w:hAnsi="宋体" w:cs="宋体"/>
          <w:color w:val="000000" w:themeColor="text1"/>
          <w:kern w:val="2"/>
          <w:highlight w:val="none"/>
          <w:lang w:eastAsia="zh-CN"/>
          <w14:textFill>
            <w14:solidFill>
              <w14:schemeClr w14:val="tx1"/>
            </w14:solidFill>
          </w14:textFill>
        </w:rPr>
        <w:t>）</w:t>
      </w:r>
      <w:r>
        <w:rPr>
          <w:rFonts w:hint="eastAsia" w:ascii="宋体" w:hAnsi="宋体" w:cs="宋体"/>
          <w:color w:val="000000" w:themeColor="text1"/>
          <w:kern w:val="2"/>
          <w:highlight w:val="none"/>
          <w14:textFill>
            <w14:solidFill>
              <w14:schemeClr w14:val="tx1"/>
            </w14:solidFill>
          </w14:textFill>
        </w:rPr>
        <w:t>出具的属于监狱企业的证明文件。</w:t>
      </w:r>
      <w:r>
        <w:rPr>
          <w:rFonts w:hint="eastAsia" w:ascii="宋体" w:hAnsi="宋体" w:cs="宋体"/>
          <w:color w:val="000000" w:themeColor="text1"/>
          <w:highlight w:val="none"/>
          <w14:textFill>
            <w14:solidFill>
              <w14:schemeClr w14:val="tx1"/>
            </w14:solidFill>
          </w14:textFill>
        </w:rPr>
        <w:t>供应商如不提供上述证明文件，价格将不做相应扣除</w:t>
      </w:r>
      <w:r>
        <w:rPr>
          <w:rFonts w:hint="eastAsia" w:ascii="宋体" w:hAnsi="宋体" w:cs="宋体"/>
          <w:color w:val="000000" w:themeColor="text1"/>
          <w:kern w:val="2"/>
          <w:highlight w:val="none"/>
          <w14:textFill>
            <w14:solidFill>
              <w14:schemeClr w14:val="tx1"/>
            </w14:solidFill>
          </w14:textFill>
        </w:rPr>
        <w:t>。</w:t>
      </w:r>
    </w:p>
    <w:p w14:paraId="7B7F8D58">
      <w:pPr>
        <w:pStyle w:val="103"/>
        <w:keepNext w:val="0"/>
        <w:keepLines w:val="0"/>
        <w:pageBreakBefore w:val="0"/>
        <w:widowControl w:val="0"/>
        <w:kinsoku/>
        <w:wordWrap/>
        <w:overflowPunct/>
        <w:topLinePunct w:val="0"/>
        <w:autoSpaceDE/>
        <w:autoSpaceDN/>
        <w:bidi w:val="0"/>
        <w:snapToGrid/>
        <w:spacing w:line="500" w:lineRule="exact"/>
        <w:ind w:firstLineChars="20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（3）监狱企业标准请参照《关于政府采购支持监狱企业发展有关问题的通知》（财库</w:t>
      </w:r>
      <w:r>
        <w:rPr>
          <w:rFonts w:hint="eastAsia" w:ascii="宋体" w:hAnsi="宋体" w:cs="宋体"/>
          <w:color w:val="000000" w:themeColor="text1"/>
          <w:kern w:val="2"/>
          <w:highlight w:val="none"/>
          <w:lang w:eastAsia="zh-CN"/>
          <w14:textFill>
            <w14:solidFill>
              <w14:schemeClr w14:val="tx1"/>
            </w14:solidFill>
          </w14:textFill>
        </w:rPr>
        <w:t>〔2014〕68号</w:t>
      </w:r>
      <w:r>
        <w:rPr>
          <w:rFonts w:hint="eastAsia" w:ascii="宋体" w:hAnsi="宋体" w:cs="宋体"/>
          <w:color w:val="000000" w:themeColor="text1"/>
          <w:kern w:val="2"/>
          <w:highlight w:val="none"/>
          <w14:textFill>
            <w14:solidFill>
              <w14:schemeClr w14:val="tx1"/>
            </w14:solidFill>
          </w14:textFill>
        </w:rPr>
        <w:t>）。</w:t>
      </w:r>
    </w:p>
    <w:p w14:paraId="5B60ECB0">
      <w:pPr>
        <w:pStyle w:val="103"/>
        <w:keepNext w:val="0"/>
        <w:keepLines w:val="0"/>
        <w:pageBreakBefore w:val="0"/>
        <w:widowControl w:val="0"/>
        <w:kinsoku/>
        <w:wordWrap/>
        <w:overflowPunct/>
        <w:topLinePunct w:val="0"/>
        <w:autoSpaceDE/>
        <w:autoSpaceDN/>
        <w:bidi w:val="0"/>
        <w:snapToGrid/>
        <w:spacing w:line="500" w:lineRule="exact"/>
        <w:ind w:firstLineChars="20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lang w:eastAsia="zh-CN"/>
          <w14:textFill>
            <w14:solidFill>
              <w14:schemeClr w14:val="tx1"/>
            </w14:solidFill>
          </w14:textFill>
        </w:rPr>
        <w:t>4.</w:t>
      </w:r>
      <w:r>
        <w:rPr>
          <w:rFonts w:hint="eastAsia" w:ascii="宋体" w:hAnsi="宋体" w:cs="宋体"/>
          <w:color w:val="000000" w:themeColor="text1"/>
          <w:kern w:val="2"/>
          <w:highlight w:val="none"/>
          <w14:textFill>
            <w14:solidFill>
              <w14:schemeClr w14:val="tx1"/>
            </w14:solidFill>
          </w14:textFill>
        </w:rPr>
        <w:t>小微型企业、残疾人福利单位、监狱企业属于小型、微型企业的，不重复享受政策。</w:t>
      </w:r>
    </w:p>
    <w:p w14:paraId="71165B58">
      <w:pPr>
        <w:pStyle w:val="17"/>
        <w:keepNext w:val="0"/>
        <w:keepLines w:val="0"/>
        <w:pageBreakBefore w:val="0"/>
        <w:widowControl w:val="0"/>
        <w:kinsoku/>
        <w:wordWrap/>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5.对本国产品的支持政策。</w:t>
      </w:r>
    </w:p>
    <w:p w14:paraId="6FA38AA0">
      <w:pPr>
        <w:pStyle w:val="17"/>
        <w:keepNext w:val="0"/>
        <w:keepLines w:val="0"/>
        <w:pageBreakBefore w:val="0"/>
        <w:widowControl w:val="0"/>
        <w:kinsoku/>
        <w:wordWrap/>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（1）政府采购活动中既有本国产品又有非本国产品参与竞争的，依法对本国产品给予价格评审优惠，对本国产品的报价给予</w:t>
      </w: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20%</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的价格扣除，用扣除后的价格参与评审。</w:t>
      </w:r>
    </w:p>
    <w:p w14:paraId="65D38ED6">
      <w:pPr>
        <w:pStyle w:val="17"/>
        <w:keepNext w:val="0"/>
        <w:keepLines w:val="0"/>
        <w:pageBreakBefore w:val="0"/>
        <w:widowControl w:val="0"/>
        <w:kinsoku/>
        <w:wordWrap/>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w:t>
      </w: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80%</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以上时（供应商需在“第六章 </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投标</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文件格式”的“附件四 投标产品配置及分项报价表”中填写比例数值），依法对该供应商提供的全部产品给予价格评审优惠，即对该供应商提供的全部产品的总报价给予</w:t>
      </w: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20%的</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价格扣除，用扣除后的价格参与评审。供应商未填写比例数值，或比例数值不足80%的，将不享受本国产品价格评审优惠。</w:t>
      </w:r>
    </w:p>
    <w:p w14:paraId="189A924A">
      <w:pPr>
        <w:keepNext w:val="0"/>
        <w:keepLines w:val="0"/>
        <w:pageBreakBefore w:val="0"/>
        <w:widowControl w:val="0"/>
        <w:numPr>
          <w:ilvl w:val="0"/>
          <w:numId w:val="0"/>
        </w:numPr>
        <w:kinsoku/>
        <w:wordWrap/>
        <w:overflowPunct/>
        <w:topLinePunct w:val="0"/>
        <w:autoSpaceDE/>
        <w:autoSpaceDN/>
        <w:bidi w:val="0"/>
        <w:snapToGrid/>
        <w:spacing w:line="500" w:lineRule="exact"/>
        <w:ind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（2）产品在中国境内生产的组件成本核算规则。产品在中国境内生产的组件成本，按照《中国境内生产的组件成本核算基本规则》计算（见国办发〔2025〕34号文附件1）。</w:t>
      </w:r>
    </w:p>
    <w:p w14:paraId="524B5241">
      <w:pPr>
        <w:snapToGrid w:val="0"/>
        <w:spacing w:line="480" w:lineRule="exact"/>
        <w:ind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（3）供应商需按照采购文件的要求对提供的产品出具《关于符合本国产品标准的声明函》。</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如未提供将不享受本国产品价格评审优惠。</w:t>
      </w:r>
      <w:r>
        <w:rPr>
          <w:rFonts w:hint="eastAsia" w:ascii="宋体" w:hAnsi="宋体" w:eastAsia="宋体" w:cs="宋体"/>
          <w:color w:val="000000" w:themeColor="text1"/>
          <w:sz w:val="24"/>
          <w:szCs w:val="24"/>
          <w:highlight w:val="none"/>
          <w14:textFill>
            <w14:solidFill>
              <w14:schemeClr w14:val="tx1"/>
            </w14:solidFill>
          </w14:textFill>
        </w:rPr>
        <w:t>供应商需在《声明函》中逐一、准确填写产品名称、厂名、生产厂址三项信息（</w:t>
      </w:r>
      <w:r>
        <w:rPr>
          <w:rFonts w:hint="eastAsia" w:ascii="宋体" w:hAnsi="宋体" w:eastAsia="宋体" w:cs="宋体"/>
          <w:color w:val="000000" w:themeColor="text1"/>
          <w:sz w:val="24"/>
          <w:szCs w:val="24"/>
          <w:highlight w:val="none"/>
          <w:lang w:val="en-US" w:eastAsia="zh-CN"/>
          <w14:textFill>
            <w14:solidFill>
              <w14:schemeClr w14:val="tx1"/>
            </w14:solidFill>
          </w14:textFill>
        </w:rPr>
        <w:t>《声明函》中标注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  ”</w:t>
      </w:r>
      <w:r>
        <w:rPr>
          <w:rFonts w:hint="eastAsia" w:ascii="宋体" w:hAnsi="宋体" w:eastAsia="宋体" w:cs="宋体"/>
          <w:color w:val="000000" w:themeColor="text1"/>
          <w:sz w:val="24"/>
          <w:szCs w:val="24"/>
          <w:highlight w:val="none"/>
          <w:lang w:val="en-US" w:eastAsia="zh-CN"/>
          <w14:textFill>
            <w14:solidFill>
              <w14:schemeClr w14:val="tx1"/>
            </w14:solidFill>
          </w14:textFill>
        </w:rPr>
        <w:t>的地方无需填写</w:t>
      </w:r>
      <w:r>
        <w:rPr>
          <w:rFonts w:hint="eastAsia" w:ascii="宋体" w:hAnsi="宋体" w:eastAsia="宋体" w:cs="宋体"/>
          <w:color w:val="000000" w:themeColor="text1"/>
          <w:sz w:val="24"/>
          <w:szCs w:val="24"/>
          <w:highlight w:val="none"/>
          <w14:textFill>
            <w14:solidFill>
              <w14:schemeClr w14:val="tx1"/>
            </w14:solidFill>
          </w14:textFill>
        </w:rPr>
        <w:t>），三项信息中任意一项未填写的视为该项产品不符合本国产品标准，不享受本国产品价格评审优惠。</w:t>
      </w:r>
    </w:p>
    <w:p w14:paraId="158BADA0">
      <w:pPr>
        <w:snapToGrid w:val="0"/>
        <w:spacing w:line="480" w:lineRule="exact"/>
        <w:ind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注：</w:t>
      </w:r>
    </w:p>
    <w:p w14:paraId="1EE1DD78">
      <w:pPr>
        <w:snapToGrid w:val="0"/>
        <w:spacing w:line="480" w:lineRule="exact"/>
        <w:ind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本国产品标准适⽤于货物，包括政府采购货物项⽬和服务项⽬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AB4A7AD">
      <w:pPr>
        <w:numPr>
          <w:ilvl w:val="0"/>
          <w:numId w:val="5"/>
        </w:numPr>
        <w:spacing w:line="400" w:lineRule="exact"/>
        <w:ind w:firstLine="555"/>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5DC3E6DC">
      <w:pPr>
        <w:numPr>
          <w:ilvl w:val="0"/>
          <w:numId w:val="5"/>
        </w:numPr>
        <w:spacing w:line="400" w:lineRule="exact"/>
        <w:ind w:firstLine="555"/>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评标过程中如发现供应商在《声明函》内容</w:t>
      </w:r>
      <w:r>
        <w:rPr>
          <w:rFonts w:hint="default" w:ascii="宋体" w:hAnsi="宋体" w:eastAsia="宋体" w:cs="宋体"/>
          <w:color w:val="000000" w:themeColor="text1"/>
          <w:sz w:val="24"/>
          <w:szCs w:val="24"/>
          <w:highlight w:val="none"/>
          <w:lang w:val="en-US" w:eastAsia="zh-CN"/>
          <w14:textFill>
            <w14:solidFill>
              <w14:schemeClr w14:val="tx1"/>
            </w14:solidFill>
          </w14:textFill>
        </w:rPr>
        <w:t>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678C5B0E">
      <w:pPr>
        <w:pStyle w:val="103"/>
        <w:spacing w:line="0" w:lineRule="atLeast"/>
        <w:ind w:left="0" w:leftChars="0" w:firstLine="0" w:firstLineChars="0"/>
        <w:rPr>
          <w:rFonts w:hint="eastAsia" w:ascii="宋体" w:hAnsi="宋体" w:eastAsia="宋体" w:cs="宋体"/>
          <w:b/>
          <w:color w:val="000000" w:themeColor="text1"/>
          <w:kern w:val="2"/>
          <w:highlight w:val="none"/>
          <w:lang w:val="en-US" w:eastAsia="zh-CN"/>
          <w14:textFill>
            <w14:solidFill>
              <w14:schemeClr w14:val="tx1"/>
            </w14:solidFill>
          </w14:textFill>
        </w:rPr>
      </w:pPr>
    </w:p>
    <w:p w14:paraId="0B3F3CC1">
      <w:pPr>
        <w:pStyle w:val="103"/>
        <w:spacing w:line="0" w:lineRule="atLeast"/>
        <w:ind w:firstLine="482" w:firstLineChars="200"/>
        <w:rPr>
          <w:rFonts w:hint="eastAsia" w:ascii="宋体" w:hAnsi="宋体" w:eastAsia="宋体" w:cs="宋体"/>
          <w:b/>
          <w:color w:val="000000" w:themeColor="text1"/>
          <w:kern w:val="2"/>
          <w:highlight w:val="none"/>
          <w14:textFill>
            <w14:solidFill>
              <w14:schemeClr w14:val="tx1"/>
            </w14:solidFill>
          </w14:textFill>
        </w:rPr>
      </w:pPr>
      <w:r>
        <w:rPr>
          <w:rFonts w:hint="eastAsia" w:ascii="宋体" w:hAnsi="宋体" w:eastAsia="宋体" w:cs="宋体"/>
          <w:b/>
          <w:color w:val="000000" w:themeColor="text1"/>
          <w:kern w:val="2"/>
          <w:highlight w:val="none"/>
          <w:lang w:val="en-US" w:eastAsia="zh-CN"/>
          <w14:textFill>
            <w14:solidFill>
              <w14:schemeClr w14:val="tx1"/>
            </w14:solidFill>
          </w14:textFill>
        </w:rPr>
        <w:t>二、</w:t>
      </w:r>
      <w:r>
        <w:rPr>
          <w:rFonts w:hint="eastAsia" w:ascii="宋体" w:hAnsi="宋体" w:eastAsia="宋体" w:cs="宋体"/>
          <w:b/>
          <w:color w:val="000000" w:themeColor="text1"/>
          <w:kern w:val="2"/>
          <w:highlight w:val="none"/>
          <w14:textFill>
            <w14:solidFill>
              <w14:schemeClr w14:val="tx1"/>
            </w14:solidFill>
          </w14:textFill>
        </w:rPr>
        <w:t>评标办法和评标标准</w:t>
      </w:r>
    </w:p>
    <w:p w14:paraId="5046F5C4">
      <w:pPr>
        <w:pStyle w:val="22"/>
        <w:keepNext w:val="0"/>
        <w:keepLines w:val="0"/>
        <w:pageBreakBefore w:val="0"/>
        <w:widowControl w:val="0"/>
        <w:kinsoku/>
        <w:wordWrap/>
        <w:overflowPunct/>
        <w:topLinePunct w:val="0"/>
        <w:autoSpaceDE/>
        <w:autoSpaceDN/>
        <w:bidi w:val="0"/>
        <w:adjustRightInd/>
        <w:snapToGrid w:val="0"/>
        <w:spacing w:before="396" w:after="276"/>
        <w:ind w:left="0" w:leftChars="0" w:right="28" w:firstLine="422" w:firstLineChars="175"/>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标项1：</w:t>
      </w:r>
      <w:r>
        <w:rPr>
          <w:rFonts w:hint="eastAsia" w:ascii="宋体" w:hAnsi="宋体" w:eastAsia="宋体" w:cs="宋体"/>
          <w:b/>
          <w:bCs/>
          <w:color w:val="000000" w:themeColor="text1"/>
          <w:sz w:val="24"/>
          <w:szCs w:val="24"/>
          <w:highlight w:val="none"/>
          <w14:textFill>
            <w14:solidFill>
              <w14:schemeClr w14:val="tx1"/>
            </w14:solidFill>
          </w14:textFill>
        </w:rPr>
        <w:t>新疆师范大学智慧教育及应用工程技术研究中心项目</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-第1包</w:t>
      </w:r>
    </w:p>
    <w:bookmarkEnd w:id="190"/>
    <w:bookmarkEnd w:id="191"/>
    <w:bookmarkEnd w:id="195"/>
    <w:bookmarkEnd w:id="196"/>
    <w:bookmarkEnd w:id="204"/>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45"/>
        <w:gridCol w:w="4958"/>
        <w:gridCol w:w="756"/>
        <w:gridCol w:w="756"/>
      </w:tblGrid>
      <w:tr w14:paraId="07B61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7" w:type="dxa"/>
            <w:noWrap w:val="0"/>
            <w:vAlign w:val="center"/>
          </w:tcPr>
          <w:p w14:paraId="5440E452">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评分项目</w:t>
            </w:r>
          </w:p>
        </w:tc>
        <w:tc>
          <w:tcPr>
            <w:tcW w:w="1245" w:type="dxa"/>
            <w:noWrap w:val="0"/>
            <w:vAlign w:val="center"/>
          </w:tcPr>
          <w:p w14:paraId="29552724">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评分因素</w:t>
            </w:r>
          </w:p>
        </w:tc>
        <w:tc>
          <w:tcPr>
            <w:tcW w:w="4958" w:type="dxa"/>
            <w:noWrap w:val="0"/>
            <w:vAlign w:val="center"/>
          </w:tcPr>
          <w:p w14:paraId="43B1DFBA">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评审内容</w:t>
            </w:r>
          </w:p>
        </w:tc>
        <w:tc>
          <w:tcPr>
            <w:tcW w:w="756" w:type="dxa"/>
            <w:noWrap w:val="0"/>
            <w:vAlign w:val="center"/>
          </w:tcPr>
          <w:p w14:paraId="5436EEB9">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分值</w:t>
            </w:r>
          </w:p>
        </w:tc>
        <w:tc>
          <w:tcPr>
            <w:tcW w:w="756" w:type="dxa"/>
            <w:noWrap w:val="0"/>
            <w:vAlign w:val="center"/>
          </w:tcPr>
          <w:p w14:paraId="4756E99C">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b/>
                <w:bCs/>
                <w:color w:val="000000" w:themeColor="text1"/>
                <w:kern w:val="0"/>
                <w:sz w:val="24"/>
                <w:highlight w:val="none"/>
                <w14:textFill>
                  <w14:solidFill>
                    <w14:schemeClr w14:val="tx1"/>
                  </w14:solidFill>
                </w14:textFill>
              </w:rPr>
            </w:pPr>
          </w:p>
        </w:tc>
      </w:tr>
      <w:tr w14:paraId="3AA6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4" w:hRule="atLeast"/>
          <w:jc w:val="center"/>
        </w:trPr>
        <w:tc>
          <w:tcPr>
            <w:tcW w:w="707" w:type="dxa"/>
            <w:noWrap w:val="0"/>
            <w:vAlign w:val="center"/>
          </w:tcPr>
          <w:p w14:paraId="2A94A04E">
            <w:pPr>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价格部分（</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0分）</w:t>
            </w:r>
          </w:p>
        </w:tc>
        <w:tc>
          <w:tcPr>
            <w:tcW w:w="1245" w:type="dxa"/>
            <w:noWrap w:val="0"/>
            <w:vAlign w:val="center"/>
          </w:tcPr>
          <w:p w14:paraId="549AB446">
            <w:pPr>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投标报价</w:t>
            </w:r>
          </w:p>
        </w:tc>
        <w:tc>
          <w:tcPr>
            <w:tcW w:w="4958" w:type="dxa"/>
            <w:noWrap w:val="0"/>
            <w:vAlign w:val="center"/>
          </w:tcPr>
          <w:p w14:paraId="3CD733FA">
            <w:pPr>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价格分采用低价优先法计算，即满足本招标文件要求的最低投标报价为评标基准价，其价格分为满分，其它投标人的价格分统一按照下列公式计算：</w:t>
            </w:r>
          </w:p>
          <w:p w14:paraId="187839A3">
            <w:pPr>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投标报价得分=（评标基准价／投标报价）×价格分分值（精确到小数点后两位）。</w:t>
            </w:r>
          </w:p>
          <w:p w14:paraId="29149D64">
            <w:pPr>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超过</w:t>
            </w:r>
            <w:r>
              <w:rPr>
                <w:rFonts w:hint="eastAsia" w:ascii="宋体" w:hAnsi="宋体" w:eastAsia="宋体" w:cs="宋体"/>
                <w:color w:val="000000" w:themeColor="text1"/>
                <w:kern w:val="0"/>
                <w:sz w:val="24"/>
                <w:szCs w:val="24"/>
                <w:highlight w:val="none"/>
                <w14:textFill>
                  <w14:solidFill>
                    <w14:schemeClr w14:val="tx1"/>
                  </w14:solidFill>
                </w14:textFill>
              </w:rPr>
              <w:t>采购项目预算或最高限价的，为无效投标。</w:t>
            </w:r>
          </w:p>
        </w:tc>
        <w:tc>
          <w:tcPr>
            <w:tcW w:w="756" w:type="dxa"/>
            <w:noWrap w:val="0"/>
            <w:vAlign w:val="center"/>
          </w:tcPr>
          <w:p w14:paraId="1EB90C78">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0</w:t>
            </w:r>
          </w:p>
        </w:tc>
        <w:tc>
          <w:tcPr>
            <w:tcW w:w="756" w:type="dxa"/>
            <w:noWrap w:val="0"/>
            <w:vAlign w:val="center"/>
          </w:tcPr>
          <w:p w14:paraId="217808D3">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69F70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jc w:val="center"/>
        </w:trPr>
        <w:tc>
          <w:tcPr>
            <w:tcW w:w="707" w:type="dxa"/>
            <w:shd w:val="clear" w:color="auto" w:fill="auto"/>
            <w:noWrap w:val="0"/>
            <w:vAlign w:val="center"/>
          </w:tcPr>
          <w:p w14:paraId="02C3C342">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商务部分（</w:t>
            </w: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1245" w:type="dxa"/>
            <w:shd w:val="clear" w:color="auto" w:fill="auto"/>
            <w:noWrap w:val="0"/>
            <w:vAlign w:val="center"/>
          </w:tcPr>
          <w:p w14:paraId="57E02CC8">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企业业绩</w:t>
            </w:r>
          </w:p>
        </w:tc>
        <w:tc>
          <w:tcPr>
            <w:tcW w:w="4958" w:type="dxa"/>
            <w:shd w:val="clear" w:color="auto" w:fill="auto"/>
            <w:noWrap w:val="0"/>
            <w:vAlign w:val="center"/>
          </w:tcPr>
          <w:p w14:paraId="78B3C3F0">
            <w:pPr>
              <w:pStyle w:val="30"/>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投标人提供近三年（2023年1月1日至今）类似项目业绩，每提供一个有效业绩得1分，最高得2分；</w:t>
            </w:r>
          </w:p>
          <w:p w14:paraId="05611FD0">
            <w:pPr>
              <w:pStyle w:val="30"/>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注：以合同签订时间为准，提供合同扫描件或中标（成交）通知书。</w:t>
            </w:r>
          </w:p>
        </w:tc>
        <w:tc>
          <w:tcPr>
            <w:tcW w:w="756" w:type="dxa"/>
            <w:shd w:val="clear" w:color="000000" w:fill="FFFFFF"/>
            <w:noWrap w:val="0"/>
            <w:vAlign w:val="center"/>
          </w:tcPr>
          <w:p w14:paraId="30B0A241">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p>
        </w:tc>
        <w:tc>
          <w:tcPr>
            <w:tcW w:w="756" w:type="dxa"/>
            <w:shd w:val="clear" w:color="000000" w:fill="FFFFFF"/>
            <w:noWrap w:val="0"/>
            <w:vAlign w:val="center"/>
          </w:tcPr>
          <w:p w14:paraId="45B9D5A7">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425F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9" w:hRule="atLeast"/>
          <w:jc w:val="center"/>
        </w:trPr>
        <w:tc>
          <w:tcPr>
            <w:tcW w:w="707" w:type="dxa"/>
            <w:vMerge w:val="restart"/>
            <w:noWrap w:val="0"/>
            <w:vAlign w:val="center"/>
          </w:tcPr>
          <w:p w14:paraId="1BED4A90">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技术部分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cs="宋体"/>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1245" w:type="dxa"/>
            <w:shd w:val="clear" w:color="auto" w:fill="auto"/>
            <w:noWrap w:val="0"/>
            <w:vAlign w:val="center"/>
          </w:tcPr>
          <w:p w14:paraId="48136668">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技术参数指标响应程度</w:t>
            </w:r>
          </w:p>
        </w:tc>
        <w:tc>
          <w:tcPr>
            <w:tcW w:w="4958" w:type="dxa"/>
            <w:shd w:val="clear" w:color="auto" w:fill="auto"/>
            <w:noWrap w:val="0"/>
            <w:vAlign w:val="center"/>
          </w:tcPr>
          <w:p w14:paraId="19BB5A01">
            <w:pPr>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1、根据所投产品对采购需求和配置与性能指标的响应程度打分，全部响应招标文件采购需求，且提供证明材料齐全的，满分得</w:t>
            </w:r>
            <w:r>
              <w:rPr>
                <w:rFonts w:hint="eastAsia" w:ascii="宋体" w:hAnsi="宋体" w:cs="宋体"/>
                <w:color w:val="000000" w:themeColor="text1"/>
                <w:kern w:val="0"/>
                <w:sz w:val="24"/>
                <w:highlight w:val="none"/>
                <w:lang w:val="en-US" w:eastAsia="zh-CN"/>
                <w14:textFill>
                  <w14:solidFill>
                    <w14:schemeClr w14:val="tx1"/>
                  </w14:solidFill>
                </w14:textFill>
              </w:rPr>
              <w:t>50</w:t>
            </w:r>
            <w:r>
              <w:rPr>
                <w:rFonts w:hint="eastAsia" w:ascii="宋体" w:hAnsi="宋体" w:cs="宋体"/>
                <w:color w:val="000000" w:themeColor="text1"/>
                <w:kern w:val="0"/>
                <w:sz w:val="24"/>
                <w:highlight w:val="none"/>
                <w14:textFill>
                  <w14:solidFill>
                    <w14:schemeClr w14:val="tx1"/>
                  </w14:solidFill>
                </w14:textFill>
              </w:rPr>
              <w:t>分；每有一项带“▲”重点指标有负偏离的扣</w:t>
            </w:r>
            <w:r>
              <w:rPr>
                <w:rFonts w:hint="eastAsia" w:ascii="宋体" w:hAnsi="宋体" w:cs="宋体"/>
                <w:color w:val="000000" w:themeColor="text1"/>
                <w:kern w:val="0"/>
                <w:sz w:val="24"/>
                <w:highlight w:val="none"/>
                <w:lang w:val="en-US" w:eastAsia="zh-CN"/>
                <w14:textFill>
                  <w14:solidFill>
                    <w14:schemeClr w14:val="tx1"/>
                  </w14:solidFill>
                </w14:textFill>
              </w:rPr>
              <w:t>2</w:t>
            </w:r>
            <w:r>
              <w:rPr>
                <w:rFonts w:hint="eastAsia" w:ascii="宋体" w:hAnsi="宋体" w:cs="宋体"/>
                <w:color w:val="000000" w:themeColor="text1"/>
                <w:kern w:val="0"/>
                <w:sz w:val="24"/>
                <w:highlight w:val="none"/>
                <w14:textFill>
                  <w14:solidFill>
                    <w14:schemeClr w14:val="tx1"/>
                  </w14:solidFill>
                </w14:textFill>
              </w:rPr>
              <w:t>分</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满分30分</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扣完为止；每有一项（除▲项以外）一般指标有负偏离的扣</w:t>
            </w:r>
            <w:r>
              <w:rPr>
                <w:rFonts w:hint="eastAsia" w:ascii="宋体" w:hAnsi="宋体" w:cs="宋体"/>
                <w:color w:val="000000" w:themeColor="text1"/>
                <w:kern w:val="0"/>
                <w:sz w:val="24"/>
                <w:highlight w:val="none"/>
                <w:lang w:val="en-US" w:eastAsia="zh-CN"/>
                <w14:textFill>
                  <w14:solidFill>
                    <w14:schemeClr w14:val="tx1"/>
                  </w14:solidFill>
                </w14:textFill>
              </w:rPr>
              <w:t>1</w:t>
            </w:r>
            <w:r>
              <w:rPr>
                <w:rFonts w:hint="eastAsia" w:ascii="宋体" w:hAnsi="宋体" w:cs="宋体"/>
                <w:color w:val="000000" w:themeColor="text1"/>
                <w:kern w:val="0"/>
                <w:sz w:val="24"/>
                <w:highlight w:val="none"/>
                <w14:textFill>
                  <w14:solidFill>
                    <w14:schemeClr w14:val="tx1"/>
                  </w14:solidFill>
                </w14:textFill>
              </w:rPr>
              <w:t>分</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满分20分</w:t>
            </w:r>
            <w:r>
              <w:rPr>
                <w:rFonts w:hint="eastAsia" w:ascii="宋体" w:hAnsi="宋体" w:cs="宋体"/>
                <w:color w:val="000000" w:themeColor="text1"/>
                <w:kern w:val="0"/>
                <w:sz w:val="24"/>
                <w:highlight w:val="none"/>
                <w14:textFill>
                  <w14:solidFill>
                    <w14:schemeClr w14:val="tx1"/>
                  </w14:solidFill>
                </w14:textFill>
              </w:rPr>
              <w:t>，扣完为止。供应商提供的参数如有虚假应标，将导致投标无效。</w:t>
            </w:r>
          </w:p>
        </w:tc>
        <w:tc>
          <w:tcPr>
            <w:tcW w:w="756" w:type="dxa"/>
            <w:shd w:val="clear" w:color="auto" w:fill="auto"/>
            <w:noWrap w:val="0"/>
            <w:vAlign w:val="center"/>
          </w:tcPr>
          <w:p w14:paraId="08576D25">
            <w:pPr>
              <w:keepNext w:val="0"/>
              <w:keepLines w:val="0"/>
              <w:pageBreakBefore w:val="0"/>
              <w:widowControl/>
              <w:kinsoku/>
              <w:wordWrap/>
              <w:overflowPunct/>
              <w:topLinePunct w:val="0"/>
              <w:autoSpaceDE/>
              <w:autoSpaceDN/>
              <w:bidi w:val="0"/>
              <w:adjustRightInd/>
              <w:spacing w:line="360" w:lineRule="exact"/>
              <w:jc w:val="center"/>
              <w:textAlignment w:val="auto"/>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50</w:t>
            </w:r>
          </w:p>
        </w:tc>
        <w:tc>
          <w:tcPr>
            <w:tcW w:w="756" w:type="dxa"/>
            <w:noWrap w:val="0"/>
            <w:vAlign w:val="center"/>
          </w:tcPr>
          <w:p w14:paraId="0CF51E3D">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516C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07" w:type="dxa"/>
            <w:vMerge w:val="continue"/>
            <w:noWrap w:val="0"/>
            <w:vAlign w:val="center"/>
          </w:tcPr>
          <w:p w14:paraId="4F92BC7D">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tc>
        <w:tc>
          <w:tcPr>
            <w:tcW w:w="1245" w:type="dxa"/>
            <w:shd w:val="clear" w:color="auto" w:fill="auto"/>
            <w:noWrap w:val="0"/>
            <w:vAlign w:val="center"/>
          </w:tcPr>
          <w:p w14:paraId="71BCFE6E">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运维工具可靠性</w:t>
            </w:r>
          </w:p>
        </w:tc>
        <w:tc>
          <w:tcPr>
            <w:tcW w:w="4958" w:type="dxa"/>
            <w:shd w:val="clear" w:color="auto" w:fill="auto"/>
            <w:noWrap w:val="0"/>
            <w:vAlign w:val="center"/>
          </w:tcPr>
          <w:p w14:paraId="646F0A5A">
            <w:pPr>
              <w:keepNext w:val="0"/>
              <w:keepLines w:val="0"/>
              <w:pageBreakBefore w:val="0"/>
              <w:kinsoku/>
              <w:wordWrap/>
              <w:overflowPunct/>
              <w:topLinePunct w:val="0"/>
              <w:autoSpaceDE/>
              <w:autoSpaceDN/>
              <w:bidi w:val="0"/>
              <w:adjustRightInd/>
              <w:spacing w:line="360" w:lineRule="exact"/>
              <w:textAlignment w:val="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为方便用户对</w:t>
            </w:r>
            <w:r>
              <w:rPr>
                <w:rFonts w:ascii="宋体" w:hAnsi="宋体"/>
                <w:bCs/>
                <w:color w:val="000000" w:themeColor="text1"/>
                <w:sz w:val="24"/>
                <w:highlight w:val="none"/>
                <w14:textFill>
                  <w14:solidFill>
                    <w14:schemeClr w14:val="tx1"/>
                  </w14:solidFill>
                </w14:textFill>
              </w:rPr>
              <w:t>运维服务过程</w:t>
            </w:r>
            <w:r>
              <w:rPr>
                <w:rFonts w:hint="eastAsia" w:ascii="宋体" w:hAnsi="宋体"/>
                <w:bCs/>
                <w:color w:val="000000" w:themeColor="text1"/>
                <w:sz w:val="24"/>
                <w:highlight w:val="none"/>
                <w14:textFill>
                  <w14:solidFill>
                    <w14:schemeClr w14:val="tx1"/>
                  </w14:solidFill>
                </w14:textFill>
              </w:rPr>
              <w:t>的</w:t>
            </w:r>
            <w:r>
              <w:rPr>
                <w:rFonts w:ascii="宋体" w:hAnsi="宋体"/>
                <w:bCs/>
                <w:color w:val="000000" w:themeColor="text1"/>
                <w:sz w:val="24"/>
                <w:highlight w:val="none"/>
                <w14:textFill>
                  <w14:solidFill>
                    <w14:schemeClr w14:val="tx1"/>
                  </w14:solidFill>
                </w14:textFill>
              </w:rPr>
              <w:t>可回溯，</w:t>
            </w:r>
            <w:r>
              <w:rPr>
                <w:rFonts w:hint="eastAsia" w:ascii="宋体" w:hAnsi="宋体"/>
                <w:bCs/>
                <w:color w:val="000000" w:themeColor="text1"/>
                <w:sz w:val="24"/>
                <w:highlight w:val="none"/>
                <w14:textFill>
                  <w14:solidFill>
                    <w14:schemeClr w14:val="tx1"/>
                  </w14:solidFill>
                </w14:textFill>
              </w:rPr>
              <w:t>保证</w:t>
            </w:r>
            <w:r>
              <w:rPr>
                <w:rFonts w:ascii="宋体" w:hAnsi="宋体"/>
                <w:bCs/>
                <w:color w:val="000000" w:themeColor="text1"/>
                <w:sz w:val="24"/>
                <w:highlight w:val="none"/>
                <w14:textFill>
                  <w14:solidFill>
                    <w14:schemeClr w14:val="tx1"/>
                  </w14:solidFill>
                </w14:textFill>
              </w:rPr>
              <w:t>信息安全</w:t>
            </w:r>
            <w:r>
              <w:rPr>
                <w:rFonts w:hint="eastAsia" w:ascii="宋体" w:hAnsi="宋体"/>
                <w:bCs/>
                <w:color w:val="000000" w:themeColor="text1"/>
                <w:sz w:val="24"/>
                <w:highlight w:val="none"/>
                <w14:textFill>
                  <w14:solidFill>
                    <w14:schemeClr w14:val="tx1"/>
                  </w14:solidFill>
                </w14:textFill>
              </w:rPr>
              <w:t>，要求提供配套运维工具，需具备的功能如下：</w:t>
            </w:r>
          </w:p>
          <w:p w14:paraId="57AEDDC4">
            <w:pPr>
              <w:keepNext w:val="0"/>
              <w:keepLines w:val="0"/>
              <w:pageBreakBefore w:val="0"/>
              <w:kinsoku/>
              <w:wordWrap/>
              <w:overflowPunct/>
              <w:topLinePunct w:val="0"/>
              <w:autoSpaceDE/>
              <w:autoSpaceDN/>
              <w:bidi w:val="0"/>
              <w:adjustRightInd/>
              <w:spacing w:line="360" w:lineRule="exact"/>
              <w:textAlignment w:val="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1、内置</w:t>
            </w:r>
            <w:r>
              <w:rPr>
                <w:rFonts w:ascii="宋体" w:hAnsi="宋体"/>
                <w:bCs/>
                <w:color w:val="000000" w:themeColor="text1"/>
                <w:sz w:val="24"/>
                <w:highlight w:val="none"/>
                <w14:textFill>
                  <w14:solidFill>
                    <w14:schemeClr w14:val="tx1"/>
                  </w14:solidFill>
                </w14:textFill>
              </w:rPr>
              <w:t>wifi模块，模块支持连接</w:t>
            </w:r>
            <w:r>
              <w:rPr>
                <w:rFonts w:hint="eastAsia" w:ascii="宋体" w:hAnsi="宋体"/>
                <w:bCs/>
                <w:color w:val="000000" w:themeColor="text1"/>
                <w:sz w:val="24"/>
                <w:highlight w:val="none"/>
                <w14:textFill>
                  <w14:solidFill>
                    <w14:schemeClr w14:val="tx1"/>
                  </w14:solidFill>
                </w14:textFill>
              </w:rPr>
              <w:t>本次部署的</w:t>
            </w:r>
            <w:r>
              <w:rPr>
                <w:rFonts w:ascii="宋体" w:hAnsi="宋体"/>
                <w:bCs/>
                <w:color w:val="000000" w:themeColor="text1"/>
                <w:sz w:val="24"/>
                <w:highlight w:val="none"/>
                <w14:textFill>
                  <w14:solidFill>
                    <w14:schemeClr w14:val="tx1"/>
                  </w14:solidFill>
                </w14:textFill>
              </w:rPr>
              <w:t>wifi网络，与</w:t>
            </w:r>
            <w:r>
              <w:rPr>
                <w:rFonts w:hint="eastAsia" w:ascii="宋体" w:hAnsi="宋体"/>
                <w:bCs/>
                <w:color w:val="000000" w:themeColor="text1"/>
                <w:sz w:val="24"/>
                <w:highlight w:val="none"/>
                <w14:textFill>
                  <w14:solidFill>
                    <w14:schemeClr w14:val="tx1"/>
                  </w14:solidFill>
                </w14:textFill>
              </w:rPr>
              <w:t>运维</w:t>
            </w:r>
            <w:r>
              <w:rPr>
                <w:rFonts w:ascii="宋体" w:hAnsi="宋体"/>
                <w:bCs/>
                <w:color w:val="000000" w:themeColor="text1"/>
                <w:sz w:val="24"/>
                <w:highlight w:val="none"/>
                <w14:textFill>
                  <w14:solidFill>
                    <w14:schemeClr w14:val="tx1"/>
                  </w14:solidFill>
                </w14:textFill>
              </w:rPr>
              <w:t>平台建立连接</w:t>
            </w:r>
            <w:r>
              <w:rPr>
                <w:rFonts w:hint="eastAsia" w:ascii="宋体" w:hAnsi="宋体"/>
                <w:bCs/>
                <w:color w:val="000000" w:themeColor="text1"/>
                <w:sz w:val="24"/>
                <w:highlight w:val="none"/>
                <w14:textFill>
                  <w14:solidFill>
                    <w14:schemeClr w14:val="tx1"/>
                  </w14:solidFill>
                </w14:textFill>
              </w:rPr>
              <w:t>，要求提供功能截图证明材料；</w:t>
            </w:r>
          </w:p>
          <w:p w14:paraId="4FB1FB22">
            <w:pPr>
              <w:keepNext w:val="0"/>
              <w:keepLines w:val="0"/>
              <w:pageBreakBefore w:val="0"/>
              <w:kinsoku/>
              <w:wordWrap/>
              <w:overflowPunct/>
              <w:topLinePunct w:val="0"/>
              <w:autoSpaceDE/>
              <w:autoSpaceDN/>
              <w:bidi w:val="0"/>
              <w:adjustRightInd/>
              <w:spacing w:line="360" w:lineRule="exact"/>
              <w:textAlignment w:val="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2、实现</w:t>
            </w:r>
            <w:r>
              <w:rPr>
                <w:rFonts w:ascii="宋体" w:hAnsi="宋体"/>
                <w:bCs/>
                <w:color w:val="000000" w:themeColor="text1"/>
                <w:sz w:val="24"/>
                <w:highlight w:val="none"/>
                <w14:textFill>
                  <w14:solidFill>
                    <w14:schemeClr w14:val="tx1"/>
                  </w14:solidFill>
                </w14:textFill>
              </w:rPr>
              <w:t>SOS</w:t>
            </w:r>
            <w:r>
              <w:rPr>
                <w:rFonts w:hint="eastAsia" w:ascii="宋体" w:hAnsi="宋体"/>
                <w:bCs/>
                <w:color w:val="000000" w:themeColor="text1"/>
                <w:sz w:val="24"/>
                <w:highlight w:val="none"/>
                <w14:textFill>
                  <w14:solidFill>
                    <w14:schemeClr w14:val="tx1"/>
                  </w14:solidFill>
                </w14:textFill>
              </w:rPr>
              <w:t>按钮一键提交工单</w:t>
            </w:r>
            <w:r>
              <w:rPr>
                <w:rFonts w:ascii="宋体" w:hAnsi="宋体"/>
                <w:bCs/>
                <w:color w:val="000000" w:themeColor="text1"/>
                <w:sz w:val="24"/>
                <w:highlight w:val="none"/>
                <w14:textFill>
                  <w14:solidFill>
                    <w14:schemeClr w14:val="tx1"/>
                  </w14:solidFill>
                </w14:textFill>
              </w:rPr>
              <w:t>，云端自动生成工单</w:t>
            </w:r>
            <w:r>
              <w:rPr>
                <w:rFonts w:hint="eastAsia" w:ascii="宋体" w:hAnsi="宋体"/>
                <w:bCs/>
                <w:color w:val="000000" w:themeColor="text1"/>
                <w:sz w:val="24"/>
                <w:highlight w:val="none"/>
                <w14:textFill>
                  <w14:solidFill>
                    <w14:schemeClr w14:val="tx1"/>
                  </w14:solidFill>
                </w14:textFill>
              </w:rPr>
              <w:t>，要求提供功能截图证明材料；</w:t>
            </w:r>
          </w:p>
          <w:p w14:paraId="329F6F26">
            <w:pPr>
              <w:keepNext w:val="0"/>
              <w:keepLines w:val="0"/>
              <w:pageBreakBefore w:val="0"/>
              <w:kinsoku/>
              <w:wordWrap/>
              <w:overflowPunct/>
              <w:topLinePunct w:val="0"/>
              <w:autoSpaceDE/>
              <w:autoSpaceDN/>
              <w:bidi w:val="0"/>
              <w:adjustRightInd/>
              <w:spacing w:line="360" w:lineRule="exact"/>
              <w:textAlignment w:val="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3、能够实现</w:t>
            </w:r>
            <w:r>
              <w:rPr>
                <w:rFonts w:ascii="宋体" w:hAnsi="宋体"/>
                <w:bCs/>
                <w:color w:val="000000" w:themeColor="text1"/>
                <w:sz w:val="24"/>
                <w:highlight w:val="none"/>
                <w14:textFill>
                  <w14:solidFill>
                    <w14:schemeClr w14:val="tx1"/>
                  </w14:solidFill>
                </w14:textFill>
              </w:rPr>
              <w:t>通过</w:t>
            </w:r>
            <w:r>
              <w:rPr>
                <w:rFonts w:hint="eastAsia" w:ascii="宋体" w:hAnsi="宋体"/>
                <w:bCs/>
                <w:color w:val="000000" w:themeColor="text1"/>
                <w:sz w:val="24"/>
                <w:highlight w:val="none"/>
                <w14:textFill>
                  <w14:solidFill>
                    <w14:schemeClr w14:val="tx1"/>
                  </w14:solidFill>
                </w14:textFill>
              </w:rPr>
              <w:t>手机端运维如APP（IOS等系统均兼容）或微信小程序等</w:t>
            </w:r>
            <w:r>
              <w:rPr>
                <w:rFonts w:ascii="宋体" w:hAnsi="宋体"/>
                <w:bCs/>
                <w:color w:val="000000" w:themeColor="text1"/>
                <w:sz w:val="24"/>
                <w:highlight w:val="none"/>
                <w14:textFill>
                  <w14:solidFill>
                    <w14:schemeClr w14:val="tx1"/>
                  </w14:solidFill>
                </w14:textFill>
              </w:rPr>
              <w:t>进入</w:t>
            </w:r>
            <w:r>
              <w:rPr>
                <w:rFonts w:hint="eastAsia" w:ascii="宋体" w:hAnsi="宋体"/>
                <w:bCs/>
                <w:color w:val="000000" w:themeColor="text1"/>
                <w:sz w:val="24"/>
                <w:highlight w:val="none"/>
                <w14:textFill>
                  <w14:solidFill>
                    <w14:schemeClr w14:val="tx1"/>
                  </w14:solidFill>
                </w14:textFill>
              </w:rPr>
              <w:t>运维</w:t>
            </w:r>
            <w:r>
              <w:rPr>
                <w:rFonts w:ascii="宋体" w:hAnsi="宋体"/>
                <w:bCs/>
                <w:color w:val="000000" w:themeColor="text1"/>
                <w:sz w:val="24"/>
                <w:highlight w:val="none"/>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运维工具功能包含：</w:t>
            </w:r>
            <w:r>
              <w:rPr>
                <w:rFonts w:ascii="宋体" w:hAnsi="宋体"/>
                <w:bCs/>
                <w:color w:val="000000" w:themeColor="text1"/>
                <w:sz w:val="24"/>
                <w:highlight w:val="none"/>
                <w14:textFill>
                  <w14:solidFill>
                    <w14:schemeClr w14:val="tx1"/>
                  </w14:solidFill>
                </w14:textFill>
              </w:rPr>
              <w:t>可在线提交工单，查看发起及</w:t>
            </w:r>
            <w:r>
              <w:rPr>
                <w:rFonts w:hint="eastAsia" w:ascii="宋体" w:hAnsi="宋体"/>
                <w:bCs/>
                <w:color w:val="000000" w:themeColor="text1"/>
                <w:sz w:val="24"/>
                <w:highlight w:val="none"/>
                <w:lang w:eastAsia="zh-CN"/>
                <w14:textFill>
                  <w14:solidFill>
                    <w14:schemeClr w14:val="tx1"/>
                  </w14:solidFill>
                </w14:textFill>
              </w:rPr>
              <w:t>接收</w:t>
            </w:r>
            <w:r>
              <w:rPr>
                <w:rFonts w:ascii="宋体" w:hAnsi="宋体"/>
                <w:bCs/>
                <w:color w:val="000000" w:themeColor="text1"/>
                <w:sz w:val="24"/>
                <w:highlight w:val="none"/>
                <w14:textFill>
                  <w14:solidFill>
                    <w14:schemeClr w14:val="tx1"/>
                  </w14:solidFill>
                </w14:textFill>
              </w:rPr>
              <w:t>的工单信息，可通过工单详情界面的菜单进行操作，包括“转派工单、增加处理进展、工单关闭、工单升级</w:t>
            </w:r>
            <w:r>
              <w:rPr>
                <w:rFonts w:hint="eastAsia" w:ascii="宋体" w:hAnsi="宋体"/>
                <w:bCs/>
                <w:color w:val="000000" w:themeColor="text1"/>
                <w:sz w:val="24"/>
                <w:highlight w:val="non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等</w:t>
            </w:r>
            <w:r>
              <w:rPr>
                <w:rFonts w:hint="eastAsia" w:ascii="宋体" w:hAnsi="宋体"/>
                <w:bCs/>
                <w:color w:val="000000" w:themeColor="text1"/>
                <w:sz w:val="24"/>
                <w:highlight w:val="none"/>
                <w14:textFill>
                  <w14:solidFill>
                    <w14:schemeClr w14:val="tx1"/>
                  </w14:solidFill>
                </w14:textFill>
              </w:rPr>
              <w:t>，要求提供功能截图证明材料；</w:t>
            </w:r>
          </w:p>
          <w:p w14:paraId="76D0D018">
            <w:pPr>
              <w:keepNext w:val="0"/>
              <w:keepLines w:val="0"/>
              <w:pageBreakBefore w:val="0"/>
              <w:kinsoku/>
              <w:wordWrap/>
              <w:overflowPunct/>
              <w:topLinePunct w:val="0"/>
              <w:autoSpaceDE/>
              <w:autoSpaceDN/>
              <w:bidi w:val="0"/>
              <w:adjustRightInd/>
              <w:spacing w:line="360" w:lineRule="exact"/>
              <w:textAlignment w:val="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4、</w:t>
            </w:r>
            <w:r>
              <w:rPr>
                <w:rFonts w:ascii="宋体" w:hAnsi="宋体"/>
                <w:bCs/>
                <w:color w:val="000000" w:themeColor="text1"/>
                <w:sz w:val="24"/>
                <w:highlight w:val="none"/>
                <w14:textFill>
                  <w14:solidFill>
                    <w14:schemeClr w14:val="tx1"/>
                  </w14:solidFill>
                </w14:textFill>
              </w:rPr>
              <w:t>支持便捷录入设备序列号信息功能，支持微信小程序扫码读取网络、服务器等设备序列号查询服务合同、维保信息等</w:t>
            </w:r>
            <w:r>
              <w:rPr>
                <w:rFonts w:hint="eastAsia" w:ascii="宋体" w:hAnsi="宋体"/>
                <w:bCs/>
                <w:color w:val="000000" w:themeColor="text1"/>
                <w:sz w:val="24"/>
                <w:highlight w:val="none"/>
                <w:lang w:eastAsia="zh-CN"/>
                <w14:textFill>
                  <w14:solidFill>
                    <w14:schemeClr w14:val="tx1"/>
                  </w14:solidFill>
                </w14:textFill>
              </w:rPr>
              <w:t>，按</w:t>
            </w:r>
            <w:r>
              <w:rPr>
                <w:rFonts w:hint="eastAsia" w:ascii="宋体" w:hAnsi="宋体"/>
                <w:bCs/>
                <w:color w:val="000000" w:themeColor="text1"/>
                <w:sz w:val="24"/>
                <w:highlight w:val="none"/>
                <w14:textFill>
                  <w14:solidFill>
                    <w14:schemeClr w14:val="tx1"/>
                  </w14:solidFill>
                </w14:textFill>
              </w:rPr>
              <w:t>要求提供功能截图证明材料；</w:t>
            </w:r>
          </w:p>
          <w:p w14:paraId="419B4A86">
            <w:pPr>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完全满足以上功能并按要求提供证明材料得4分，若有一项不满足或未提供扣1</w:t>
            </w:r>
            <w:r>
              <w:rPr>
                <w:rFonts w:ascii="宋体" w:hAnsi="宋体"/>
                <w:bCs/>
                <w:color w:val="000000" w:themeColor="text1"/>
                <w:sz w:val="24"/>
                <w:highlight w:val="none"/>
                <w14:textFill>
                  <w14:solidFill>
                    <w14:schemeClr w14:val="tx1"/>
                  </w14:solidFill>
                </w14:textFill>
              </w:rPr>
              <w:t>分，扣完为止。</w:t>
            </w:r>
          </w:p>
        </w:tc>
        <w:tc>
          <w:tcPr>
            <w:tcW w:w="756" w:type="dxa"/>
            <w:shd w:val="clear" w:color="auto" w:fill="auto"/>
            <w:noWrap w:val="0"/>
            <w:vAlign w:val="center"/>
          </w:tcPr>
          <w:p w14:paraId="4477F9C1">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p>
        </w:tc>
        <w:tc>
          <w:tcPr>
            <w:tcW w:w="756" w:type="dxa"/>
            <w:noWrap w:val="0"/>
            <w:vAlign w:val="center"/>
          </w:tcPr>
          <w:p w14:paraId="1BF76F14">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6DE1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07" w:type="dxa"/>
            <w:vMerge w:val="continue"/>
            <w:noWrap w:val="0"/>
            <w:vAlign w:val="center"/>
          </w:tcPr>
          <w:p w14:paraId="421D06FD">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tc>
        <w:tc>
          <w:tcPr>
            <w:tcW w:w="1245" w:type="dxa"/>
            <w:noWrap w:val="0"/>
            <w:vAlign w:val="center"/>
          </w:tcPr>
          <w:p w14:paraId="21B0EB6C">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s="宋体"/>
                <w:color w:val="000000" w:themeColor="text1"/>
                <w:kern w:val="0"/>
                <w:sz w:val="24"/>
                <w:szCs w:val="21"/>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实施方案</w:t>
            </w:r>
          </w:p>
        </w:tc>
        <w:tc>
          <w:tcPr>
            <w:tcW w:w="4958" w:type="dxa"/>
            <w:noWrap w:val="0"/>
            <w:vAlign w:val="center"/>
          </w:tcPr>
          <w:p w14:paraId="30A71CFF">
            <w:pPr>
              <w:keepNext w:val="0"/>
              <w:keepLines w:val="0"/>
              <w:pageBreakBefore w:val="0"/>
              <w:widowControl/>
              <w:kinsoku/>
              <w:wordWrap/>
              <w:overflowPunct/>
              <w:topLinePunct w:val="0"/>
              <w:autoSpaceDE/>
              <w:autoSpaceDN/>
              <w:bidi w:val="0"/>
              <w:adjustRightInd/>
              <w:snapToGrid/>
              <w:spacing w:line="240" w:lineRule="auto"/>
              <w:ind w:left="0" w:right="0" w:firstLine="0"/>
              <w:textAlignment w:val="auto"/>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项目实施方案，包括但不限于</w:t>
            </w:r>
            <w:r>
              <w:rPr>
                <w:rFonts w:hint="default"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①</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项目实施方案；</w:t>
            </w:r>
            <w:r>
              <w:rPr>
                <w:rFonts w:hint="default"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②</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风险管理措施与保密制度；</w:t>
            </w:r>
            <w:r>
              <w:rPr>
                <w:rFonts w:hint="default"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③</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技术架构说明；④安全体系</w:t>
            </w:r>
          </w:p>
          <w:p w14:paraId="4EF4E7B4">
            <w:pPr>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cs="宋体"/>
                <w:color w:val="000000" w:themeColor="text1"/>
                <w:kern w:val="0"/>
                <w:sz w:val="24"/>
                <w:szCs w:val="21"/>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注：以上内容完整且完全满足项目要求得</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4</w:t>
            </w:r>
            <w:r>
              <w:rPr>
                <w:rFonts w:hint="eastAsia" w:ascii="宋体" w:hAnsi="宋体" w:cs="宋体"/>
                <w:color w:val="000000" w:themeColor="text1"/>
                <w:kern w:val="0"/>
                <w:sz w:val="24"/>
                <w:szCs w:val="24"/>
                <w:highlight w:val="none"/>
                <w:lang w:bidi="ar"/>
                <w14:textFill>
                  <w14:solidFill>
                    <w14:schemeClr w14:val="tx1"/>
                  </w14:solidFill>
                </w14:textFill>
              </w:rPr>
              <w:t>分，每缺失一项内容扣</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1</w:t>
            </w:r>
            <w:r>
              <w:rPr>
                <w:rFonts w:hint="eastAsia" w:ascii="宋体" w:hAnsi="宋体" w:cs="宋体"/>
                <w:color w:val="000000" w:themeColor="text1"/>
                <w:kern w:val="0"/>
                <w:sz w:val="24"/>
                <w:szCs w:val="24"/>
                <w:highlight w:val="none"/>
                <w:lang w:bidi="ar"/>
                <w14:textFill>
                  <w14:solidFill>
                    <w14:schemeClr w14:val="tx1"/>
                  </w14:solidFill>
                </w14:textFill>
              </w:rPr>
              <w:t>分，每项内容中每</w:t>
            </w:r>
            <w:r>
              <w:rPr>
                <w:rFonts w:hAnsi="宋体"/>
                <w:color w:val="000000" w:themeColor="text1"/>
                <w:kern w:val="0"/>
                <w:sz w:val="24"/>
                <w:szCs w:val="24"/>
                <w:highlight w:val="none"/>
                <w:lang w:bidi="ar"/>
                <w14:textFill>
                  <w14:solidFill>
                    <w14:schemeClr w14:val="tx1"/>
                  </w14:solidFill>
                </w14:textFill>
              </w:rPr>
              <w:t>有一处内容缺陷扣</w:t>
            </w:r>
            <w:r>
              <w:rPr>
                <w:rFonts w:hint="eastAsia"/>
                <w:color w:val="000000" w:themeColor="text1"/>
                <w:kern w:val="0"/>
                <w:sz w:val="24"/>
                <w:szCs w:val="24"/>
                <w:highlight w:val="none"/>
                <w:lang w:val="en-US" w:eastAsia="zh-CN" w:bidi="ar"/>
                <w14:textFill>
                  <w14:solidFill>
                    <w14:schemeClr w14:val="tx1"/>
                  </w14:solidFill>
                </w14:textFill>
              </w:rPr>
              <w:t>0.5</w:t>
            </w:r>
            <w:r>
              <w:rPr>
                <w:rFonts w:hAnsi="宋体"/>
                <w:color w:val="000000" w:themeColor="text1"/>
                <w:kern w:val="0"/>
                <w:sz w:val="24"/>
                <w:szCs w:val="24"/>
                <w:highlight w:val="none"/>
                <w:lang w:bidi="ar"/>
                <w14:textFill>
                  <w14:solidFill>
                    <w14:schemeClr w14:val="tx1"/>
                  </w14:solidFill>
                </w14:textFill>
              </w:rPr>
              <w:t>分</w:t>
            </w:r>
            <w:r>
              <w:rPr>
                <w:color w:val="000000" w:themeColor="text1"/>
                <w:kern w:val="0"/>
                <w:sz w:val="24"/>
                <w:szCs w:val="24"/>
                <w:highlight w:val="none"/>
                <w:lang w:bidi="ar"/>
                <w14:textFill>
                  <w14:solidFill>
                    <w14:schemeClr w14:val="tx1"/>
                  </w14:solidFill>
                </w14:textFill>
              </w:rPr>
              <w:t>(</w:t>
            </w:r>
            <w:r>
              <w:rPr>
                <w:rFonts w:hAnsi="宋体"/>
                <w:color w:val="000000" w:themeColor="text1"/>
                <w:kern w:val="0"/>
                <w:sz w:val="24"/>
                <w:szCs w:val="24"/>
                <w:highlight w:val="none"/>
                <w:lang w:bidi="ar"/>
                <w14:textFill>
                  <w14:solidFill>
                    <w14:schemeClr w14:val="tx1"/>
                  </w14:solidFill>
                </w14:textFill>
              </w:rPr>
              <w:t>缺陷是指：存在不适用项目实际情况的情形、凭空编造、内容前后不一致、前后逻辑错误、涉及的规范及标准错误、地点区域错误、内容遗漏、不符合采购需求等</w:t>
            </w:r>
            <w:r>
              <w:rPr>
                <w:color w:val="000000" w:themeColor="text1"/>
                <w:kern w:val="0"/>
                <w:sz w:val="24"/>
                <w:szCs w:val="24"/>
                <w:highlight w:val="none"/>
                <w:lang w:bidi="ar"/>
                <w14:textFill>
                  <w14:solidFill>
                    <w14:schemeClr w14:val="tx1"/>
                  </w14:solidFill>
                </w14:textFill>
              </w:rPr>
              <w:t xml:space="preserve">) </w:t>
            </w:r>
            <w:r>
              <w:rPr>
                <w:rFonts w:hAnsi="Calibri"/>
                <w:color w:val="000000" w:themeColor="text1"/>
                <w:kern w:val="0"/>
                <w:sz w:val="24"/>
                <w:szCs w:val="24"/>
                <w:highlight w:val="none"/>
                <w:lang w:bidi="ar"/>
                <w14:textFill>
                  <w14:solidFill>
                    <w14:schemeClr w14:val="tx1"/>
                  </w14:solidFill>
                </w14:textFill>
              </w:rPr>
              <w:t>，</w:t>
            </w:r>
            <w:r>
              <w:rPr>
                <w:rFonts w:hAnsi="宋体"/>
                <w:color w:val="000000" w:themeColor="text1"/>
                <w:kern w:val="0"/>
                <w:sz w:val="24"/>
                <w:szCs w:val="24"/>
                <w:highlight w:val="none"/>
                <w:lang w:bidi="ar"/>
                <w14:textFill>
                  <w14:solidFill>
                    <w14:schemeClr w14:val="tx1"/>
                  </w14:solidFill>
                </w14:textFill>
              </w:rPr>
              <w:t>每项内容</w:t>
            </w:r>
            <w:r>
              <w:rPr>
                <w:color w:val="000000" w:themeColor="text1"/>
                <w:kern w:val="0"/>
                <w:sz w:val="24"/>
                <w:szCs w:val="24"/>
                <w:highlight w:val="none"/>
                <w:lang w:bidi="ar"/>
                <w14:textFill>
                  <w14:solidFill>
                    <w14:schemeClr w14:val="tx1"/>
                  </w14:solidFill>
                </w14:textFill>
              </w:rPr>
              <w:t xml:space="preserve"> </w:t>
            </w:r>
            <w:r>
              <w:rPr>
                <w:rFonts w:hint="eastAsia"/>
                <w:color w:val="000000" w:themeColor="text1"/>
                <w:kern w:val="0"/>
                <w:sz w:val="24"/>
                <w:szCs w:val="24"/>
                <w:highlight w:val="none"/>
                <w:lang w:val="en-US" w:eastAsia="zh-CN" w:bidi="ar"/>
                <w14:textFill>
                  <w14:solidFill>
                    <w14:schemeClr w14:val="tx1"/>
                  </w14:solidFill>
                </w14:textFill>
              </w:rPr>
              <w:t>1</w:t>
            </w:r>
            <w:r>
              <w:rPr>
                <w:rFonts w:hAnsi="宋体"/>
                <w:color w:val="000000" w:themeColor="text1"/>
                <w:kern w:val="0"/>
                <w:sz w:val="24"/>
                <w:szCs w:val="24"/>
                <w:highlight w:val="none"/>
                <w:lang w:bidi="ar"/>
                <w14:textFill>
                  <w14:solidFill>
                    <w14:schemeClr w14:val="tx1"/>
                  </w14:solidFill>
                </w14:textFill>
              </w:rPr>
              <w:t>分，如一项内容中存在</w:t>
            </w:r>
            <w:r>
              <w:rPr>
                <w:color w:val="000000" w:themeColor="text1"/>
                <w:kern w:val="0"/>
                <w:sz w:val="24"/>
                <w:szCs w:val="24"/>
                <w:highlight w:val="none"/>
                <w:lang w:bidi="ar"/>
                <w14:textFill>
                  <w14:solidFill>
                    <w14:schemeClr w14:val="tx1"/>
                  </w14:solidFill>
                </w14:textFill>
              </w:rPr>
              <w:t>2</w:t>
            </w:r>
            <w:r>
              <w:rPr>
                <w:rFonts w:hAnsi="宋体"/>
                <w:color w:val="000000" w:themeColor="text1"/>
                <w:kern w:val="0"/>
                <w:sz w:val="24"/>
                <w:szCs w:val="24"/>
                <w:highlight w:val="none"/>
                <w:lang w:bidi="ar"/>
                <w14:textFill>
                  <w14:solidFill>
                    <w14:schemeClr w14:val="tx1"/>
                  </w14:solidFill>
                </w14:textFill>
              </w:rPr>
              <w:t>处（含）错误则</w:t>
            </w:r>
            <w:r>
              <w:rPr>
                <w:rFonts w:hint="eastAsia"/>
                <w:color w:val="000000" w:themeColor="text1"/>
                <w:kern w:val="0"/>
                <w:sz w:val="24"/>
                <w:szCs w:val="24"/>
                <w:highlight w:val="none"/>
                <w:lang w:val="en-US" w:eastAsia="zh-CN" w:bidi="ar"/>
                <w14:textFill>
                  <w14:solidFill>
                    <w14:schemeClr w14:val="tx1"/>
                  </w14:solidFill>
                </w14:textFill>
              </w:rPr>
              <w:t>1</w:t>
            </w:r>
            <w:r>
              <w:rPr>
                <w:rFonts w:hAnsi="宋体"/>
                <w:color w:val="000000" w:themeColor="text1"/>
                <w:kern w:val="0"/>
                <w:sz w:val="24"/>
                <w:szCs w:val="24"/>
                <w:highlight w:val="none"/>
                <w:lang w:bidi="ar"/>
                <w14:textFill>
                  <w14:solidFill>
                    <w14:schemeClr w14:val="tx1"/>
                  </w14:solidFill>
                </w14:textFill>
              </w:rPr>
              <w:t>分扣完</w:t>
            </w:r>
            <w:r>
              <w:rPr>
                <w:rFonts w:hint="eastAsia" w:hAnsi="宋体"/>
                <w:color w:val="000000" w:themeColor="text1"/>
                <w:kern w:val="0"/>
                <w:sz w:val="24"/>
                <w:szCs w:val="24"/>
                <w:highlight w:val="none"/>
                <w:lang w:eastAsia="zh-CN" w:bidi="ar"/>
                <w14:textFill>
                  <w14:solidFill>
                    <w14:schemeClr w14:val="tx1"/>
                  </w14:solidFill>
                </w14:textFill>
              </w:rPr>
              <w:t>，不提供不得分</w:t>
            </w:r>
            <w:r>
              <w:rPr>
                <w:rFonts w:hAnsi="宋体"/>
                <w:color w:val="000000" w:themeColor="text1"/>
                <w:kern w:val="0"/>
                <w:sz w:val="24"/>
                <w:szCs w:val="24"/>
                <w:highlight w:val="none"/>
                <w:lang w:bidi="ar"/>
                <w14:textFill>
                  <w14:solidFill>
                    <w14:schemeClr w14:val="tx1"/>
                  </w14:solidFill>
                </w14:textFill>
              </w:rPr>
              <w:t>。</w:t>
            </w:r>
          </w:p>
        </w:tc>
        <w:tc>
          <w:tcPr>
            <w:tcW w:w="756" w:type="dxa"/>
            <w:noWrap w:val="0"/>
            <w:vAlign w:val="center"/>
          </w:tcPr>
          <w:p w14:paraId="071286EC">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p>
          <w:p w14:paraId="3455CF09">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tc>
        <w:tc>
          <w:tcPr>
            <w:tcW w:w="756" w:type="dxa"/>
            <w:noWrap w:val="0"/>
            <w:vAlign w:val="center"/>
          </w:tcPr>
          <w:p w14:paraId="0DF5C37B">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tc>
      </w:tr>
      <w:tr w14:paraId="795AC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07" w:type="dxa"/>
            <w:vMerge w:val="continue"/>
            <w:noWrap w:val="0"/>
            <w:vAlign w:val="center"/>
          </w:tcPr>
          <w:p w14:paraId="1C3AF469">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tc>
        <w:tc>
          <w:tcPr>
            <w:tcW w:w="1245" w:type="dxa"/>
            <w:noWrap w:val="0"/>
            <w:vAlign w:val="center"/>
          </w:tcPr>
          <w:p w14:paraId="6EFB8189">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s="宋体"/>
                <w:color w:val="000000" w:themeColor="text1"/>
                <w:kern w:val="0"/>
                <w:sz w:val="24"/>
                <w:szCs w:val="21"/>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应急服务方案</w:t>
            </w:r>
          </w:p>
        </w:tc>
        <w:tc>
          <w:tcPr>
            <w:tcW w:w="4958" w:type="dxa"/>
            <w:noWrap w:val="0"/>
            <w:vAlign w:val="center"/>
          </w:tcPr>
          <w:p w14:paraId="3021AD80">
            <w:pPr>
              <w:keepNext w:val="0"/>
              <w:keepLines w:val="0"/>
              <w:pageBreakBefore w:val="0"/>
              <w:widowControl/>
              <w:kinsoku/>
              <w:wordWrap/>
              <w:overflowPunct/>
              <w:topLinePunct w:val="0"/>
              <w:autoSpaceDE/>
              <w:autoSpaceDN/>
              <w:bidi w:val="0"/>
              <w:adjustRightInd/>
              <w:snapToGrid/>
              <w:spacing w:line="240" w:lineRule="auto"/>
              <w:ind w:left="0" w:right="0" w:firstLine="0"/>
              <w:textAlignment w:val="auto"/>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项目实施方案，包括但不限于</w:t>
            </w:r>
            <w:r>
              <w:rPr>
                <w:rFonts w:hint="default"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①</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项目实施方案；</w:t>
            </w:r>
            <w:r>
              <w:rPr>
                <w:rFonts w:hint="default"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②</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风险管理措施与保密制度；</w:t>
            </w:r>
            <w:r>
              <w:rPr>
                <w:rFonts w:hint="default"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③</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技术架构说明；</w:t>
            </w:r>
          </w:p>
          <w:p w14:paraId="0A583092">
            <w:pPr>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cs="宋体"/>
                <w:color w:val="000000" w:themeColor="text1"/>
                <w:kern w:val="0"/>
                <w:sz w:val="24"/>
                <w:szCs w:val="21"/>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注：以上内容完整且完全满足项目要求得</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3</w:t>
            </w:r>
            <w:r>
              <w:rPr>
                <w:rFonts w:hint="eastAsia" w:ascii="宋体" w:hAnsi="宋体" w:cs="宋体"/>
                <w:color w:val="000000" w:themeColor="text1"/>
                <w:kern w:val="0"/>
                <w:sz w:val="24"/>
                <w:szCs w:val="24"/>
                <w:highlight w:val="none"/>
                <w:lang w:bidi="ar"/>
                <w14:textFill>
                  <w14:solidFill>
                    <w14:schemeClr w14:val="tx1"/>
                  </w14:solidFill>
                </w14:textFill>
              </w:rPr>
              <w:t>分，每缺失一项内容扣</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1</w:t>
            </w:r>
            <w:r>
              <w:rPr>
                <w:rFonts w:hint="eastAsia" w:ascii="宋体" w:hAnsi="宋体" w:cs="宋体"/>
                <w:color w:val="000000" w:themeColor="text1"/>
                <w:kern w:val="0"/>
                <w:sz w:val="24"/>
                <w:szCs w:val="24"/>
                <w:highlight w:val="none"/>
                <w:lang w:bidi="ar"/>
                <w14:textFill>
                  <w14:solidFill>
                    <w14:schemeClr w14:val="tx1"/>
                  </w14:solidFill>
                </w14:textFill>
              </w:rPr>
              <w:t>分，每项内容中每</w:t>
            </w:r>
            <w:r>
              <w:rPr>
                <w:rFonts w:hAnsi="宋体"/>
                <w:color w:val="000000" w:themeColor="text1"/>
                <w:kern w:val="0"/>
                <w:sz w:val="24"/>
                <w:szCs w:val="24"/>
                <w:highlight w:val="none"/>
                <w:lang w:bidi="ar"/>
                <w14:textFill>
                  <w14:solidFill>
                    <w14:schemeClr w14:val="tx1"/>
                  </w14:solidFill>
                </w14:textFill>
              </w:rPr>
              <w:t>有一处内容缺陷扣</w:t>
            </w:r>
            <w:r>
              <w:rPr>
                <w:rFonts w:hint="eastAsia"/>
                <w:color w:val="000000" w:themeColor="text1"/>
                <w:kern w:val="0"/>
                <w:sz w:val="24"/>
                <w:szCs w:val="24"/>
                <w:highlight w:val="none"/>
                <w:lang w:val="en-US" w:eastAsia="zh-CN" w:bidi="ar"/>
                <w14:textFill>
                  <w14:solidFill>
                    <w14:schemeClr w14:val="tx1"/>
                  </w14:solidFill>
                </w14:textFill>
              </w:rPr>
              <w:t>0.5</w:t>
            </w:r>
            <w:r>
              <w:rPr>
                <w:rFonts w:hAnsi="宋体"/>
                <w:color w:val="000000" w:themeColor="text1"/>
                <w:kern w:val="0"/>
                <w:sz w:val="24"/>
                <w:szCs w:val="24"/>
                <w:highlight w:val="none"/>
                <w:lang w:bidi="ar"/>
                <w14:textFill>
                  <w14:solidFill>
                    <w14:schemeClr w14:val="tx1"/>
                  </w14:solidFill>
                </w14:textFill>
              </w:rPr>
              <w:t>分</w:t>
            </w:r>
            <w:r>
              <w:rPr>
                <w:color w:val="000000" w:themeColor="text1"/>
                <w:kern w:val="0"/>
                <w:sz w:val="24"/>
                <w:szCs w:val="24"/>
                <w:highlight w:val="none"/>
                <w:lang w:bidi="ar"/>
                <w14:textFill>
                  <w14:solidFill>
                    <w14:schemeClr w14:val="tx1"/>
                  </w14:solidFill>
                </w14:textFill>
              </w:rPr>
              <w:t>(</w:t>
            </w:r>
            <w:r>
              <w:rPr>
                <w:rFonts w:hAnsi="宋体"/>
                <w:color w:val="000000" w:themeColor="text1"/>
                <w:kern w:val="0"/>
                <w:sz w:val="24"/>
                <w:szCs w:val="24"/>
                <w:highlight w:val="none"/>
                <w:lang w:bidi="ar"/>
                <w14:textFill>
                  <w14:solidFill>
                    <w14:schemeClr w14:val="tx1"/>
                  </w14:solidFill>
                </w14:textFill>
              </w:rPr>
              <w:t>缺陷是指：存在不适用项目实际情况的情形、凭空编造、内容前后不一致、前后逻辑错误、涉及的规范及标准错误、地点区域错误、内容遗漏、不符合采购需求等</w:t>
            </w:r>
            <w:r>
              <w:rPr>
                <w:color w:val="000000" w:themeColor="text1"/>
                <w:kern w:val="0"/>
                <w:sz w:val="24"/>
                <w:szCs w:val="24"/>
                <w:highlight w:val="none"/>
                <w:lang w:bidi="ar"/>
                <w14:textFill>
                  <w14:solidFill>
                    <w14:schemeClr w14:val="tx1"/>
                  </w14:solidFill>
                </w14:textFill>
              </w:rPr>
              <w:t xml:space="preserve">) </w:t>
            </w:r>
            <w:r>
              <w:rPr>
                <w:rFonts w:hAnsi="Calibri"/>
                <w:color w:val="000000" w:themeColor="text1"/>
                <w:kern w:val="0"/>
                <w:sz w:val="24"/>
                <w:szCs w:val="24"/>
                <w:highlight w:val="none"/>
                <w:lang w:bidi="ar"/>
                <w14:textFill>
                  <w14:solidFill>
                    <w14:schemeClr w14:val="tx1"/>
                  </w14:solidFill>
                </w14:textFill>
              </w:rPr>
              <w:t>，</w:t>
            </w:r>
            <w:r>
              <w:rPr>
                <w:rFonts w:hAnsi="宋体"/>
                <w:color w:val="000000" w:themeColor="text1"/>
                <w:kern w:val="0"/>
                <w:sz w:val="24"/>
                <w:szCs w:val="24"/>
                <w:highlight w:val="none"/>
                <w:lang w:bidi="ar"/>
                <w14:textFill>
                  <w14:solidFill>
                    <w14:schemeClr w14:val="tx1"/>
                  </w14:solidFill>
                </w14:textFill>
              </w:rPr>
              <w:t>每项内容</w:t>
            </w:r>
            <w:r>
              <w:rPr>
                <w:color w:val="000000" w:themeColor="text1"/>
                <w:kern w:val="0"/>
                <w:sz w:val="24"/>
                <w:szCs w:val="24"/>
                <w:highlight w:val="none"/>
                <w:lang w:bidi="ar"/>
                <w14:textFill>
                  <w14:solidFill>
                    <w14:schemeClr w14:val="tx1"/>
                  </w14:solidFill>
                </w14:textFill>
              </w:rPr>
              <w:t xml:space="preserve"> </w:t>
            </w:r>
            <w:r>
              <w:rPr>
                <w:rFonts w:hint="eastAsia"/>
                <w:color w:val="000000" w:themeColor="text1"/>
                <w:kern w:val="0"/>
                <w:sz w:val="24"/>
                <w:szCs w:val="24"/>
                <w:highlight w:val="none"/>
                <w:lang w:val="en-US" w:eastAsia="zh-CN" w:bidi="ar"/>
                <w14:textFill>
                  <w14:solidFill>
                    <w14:schemeClr w14:val="tx1"/>
                  </w14:solidFill>
                </w14:textFill>
              </w:rPr>
              <w:t>1</w:t>
            </w:r>
            <w:r>
              <w:rPr>
                <w:rFonts w:hAnsi="宋体"/>
                <w:color w:val="000000" w:themeColor="text1"/>
                <w:kern w:val="0"/>
                <w:sz w:val="24"/>
                <w:szCs w:val="24"/>
                <w:highlight w:val="none"/>
                <w:lang w:bidi="ar"/>
                <w14:textFill>
                  <w14:solidFill>
                    <w14:schemeClr w14:val="tx1"/>
                  </w14:solidFill>
                </w14:textFill>
              </w:rPr>
              <w:t>分，如一项内容中存在</w:t>
            </w:r>
            <w:r>
              <w:rPr>
                <w:color w:val="000000" w:themeColor="text1"/>
                <w:kern w:val="0"/>
                <w:sz w:val="24"/>
                <w:szCs w:val="24"/>
                <w:highlight w:val="none"/>
                <w:lang w:bidi="ar"/>
                <w14:textFill>
                  <w14:solidFill>
                    <w14:schemeClr w14:val="tx1"/>
                  </w14:solidFill>
                </w14:textFill>
              </w:rPr>
              <w:t>2</w:t>
            </w:r>
            <w:r>
              <w:rPr>
                <w:rFonts w:hAnsi="宋体"/>
                <w:color w:val="000000" w:themeColor="text1"/>
                <w:kern w:val="0"/>
                <w:sz w:val="24"/>
                <w:szCs w:val="24"/>
                <w:highlight w:val="none"/>
                <w:lang w:bidi="ar"/>
                <w14:textFill>
                  <w14:solidFill>
                    <w14:schemeClr w14:val="tx1"/>
                  </w14:solidFill>
                </w14:textFill>
              </w:rPr>
              <w:t>处（含）错误则</w:t>
            </w:r>
            <w:r>
              <w:rPr>
                <w:rFonts w:hint="eastAsia"/>
                <w:color w:val="000000" w:themeColor="text1"/>
                <w:kern w:val="0"/>
                <w:sz w:val="24"/>
                <w:szCs w:val="24"/>
                <w:highlight w:val="none"/>
                <w:lang w:val="en-US" w:eastAsia="zh-CN" w:bidi="ar"/>
                <w14:textFill>
                  <w14:solidFill>
                    <w14:schemeClr w14:val="tx1"/>
                  </w14:solidFill>
                </w14:textFill>
              </w:rPr>
              <w:t>1</w:t>
            </w:r>
            <w:r>
              <w:rPr>
                <w:rFonts w:hAnsi="宋体"/>
                <w:color w:val="000000" w:themeColor="text1"/>
                <w:kern w:val="0"/>
                <w:sz w:val="24"/>
                <w:szCs w:val="24"/>
                <w:highlight w:val="none"/>
                <w:lang w:bidi="ar"/>
                <w14:textFill>
                  <w14:solidFill>
                    <w14:schemeClr w14:val="tx1"/>
                  </w14:solidFill>
                </w14:textFill>
              </w:rPr>
              <w:t>分扣完</w:t>
            </w:r>
            <w:r>
              <w:rPr>
                <w:rFonts w:hint="eastAsia" w:hAnsi="宋体"/>
                <w:color w:val="000000" w:themeColor="text1"/>
                <w:kern w:val="0"/>
                <w:sz w:val="24"/>
                <w:szCs w:val="24"/>
                <w:highlight w:val="none"/>
                <w:lang w:eastAsia="zh-CN" w:bidi="ar"/>
                <w14:textFill>
                  <w14:solidFill>
                    <w14:schemeClr w14:val="tx1"/>
                  </w14:solidFill>
                </w14:textFill>
              </w:rPr>
              <w:t>，不提供不得分</w:t>
            </w:r>
          </w:p>
        </w:tc>
        <w:tc>
          <w:tcPr>
            <w:tcW w:w="756" w:type="dxa"/>
            <w:noWrap w:val="0"/>
            <w:vAlign w:val="center"/>
          </w:tcPr>
          <w:p w14:paraId="363C1F36">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kern w:val="0"/>
                <w:sz w:val="24"/>
                <w:szCs w:val="21"/>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756" w:type="dxa"/>
            <w:noWrap w:val="0"/>
            <w:vAlign w:val="center"/>
          </w:tcPr>
          <w:p w14:paraId="30FD18CB">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tc>
      </w:tr>
      <w:tr w14:paraId="4FE3F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07" w:type="dxa"/>
            <w:vMerge w:val="continue"/>
            <w:noWrap w:val="0"/>
            <w:vAlign w:val="center"/>
          </w:tcPr>
          <w:p w14:paraId="0208D955">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tc>
        <w:tc>
          <w:tcPr>
            <w:tcW w:w="1245" w:type="dxa"/>
            <w:noWrap w:val="0"/>
            <w:vAlign w:val="center"/>
          </w:tcPr>
          <w:p w14:paraId="41B59B95">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s="宋体"/>
                <w:color w:val="000000" w:themeColor="text1"/>
                <w:kern w:val="0"/>
                <w:sz w:val="24"/>
                <w:szCs w:val="21"/>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售后服务</w:t>
            </w:r>
          </w:p>
        </w:tc>
        <w:tc>
          <w:tcPr>
            <w:tcW w:w="4958" w:type="dxa"/>
            <w:noWrap w:val="0"/>
            <w:vAlign w:val="center"/>
          </w:tcPr>
          <w:p w14:paraId="2464B1C4">
            <w:pPr>
              <w:keepNext w:val="0"/>
              <w:keepLines w:val="0"/>
              <w:pageBreakBefore w:val="0"/>
              <w:widowControl/>
              <w:kinsoku/>
              <w:wordWrap/>
              <w:overflowPunct/>
              <w:topLinePunct w:val="0"/>
              <w:autoSpaceDE/>
              <w:autoSpaceDN/>
              <w:bidi w:val="0"/>
              <w:adjustRightInd/>
              <w:snapToGrid/>
              <w:spacing w:line="240" w:lineRule="auto"/>
              <w:ind w:left="0" w:right="0" w:firstLine="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投标人提供售后服务方案需</w:t>
            </w:r>
            <w:r>
              <w:rPr>
                <w:rFonts w:hint="eastAsia" w:ascii="宋体" w:hAnsi="宋体" w:eastAsia="宋体" w:cs="宋体"/>
                <w:color w:val="000000" w:themeColor="text1"/>
                <w:sz w:val="24"/>
                <w:szCs w:val="24"/>
                <w:highlight w:val="none"/>
                <w:lang w:eastAsia="zh-CN"/>
                <w14:textFill>
                  <w14:solidFill>
                    <w14:schemeClr w14:val="tx1"/>
                  </w14:solidFill>
                </w14:textFill>
              </w:rPr>
              <w:t>内容包含但不限于：</w:t>
            </w:r>
          </w:p>
          <w:p w14:paraId="7DA9AC82">
            <w:pPr>
              <w:keepNext w:val="0"/>
              <w:keepLines w:val="0"/>
              <w:pageBreakBefore w:val="0"/>
              <w:widowControl/>
              <w:kinsoku/>
              <w:wordWrap/>
              <w:overflowPunct/>
              <w:topLinePunct w:val="0"/>
              <w:autoSpaceDE/>
              <w:autoSpaceDN/>
              <w:bidi w:val="0"/>
              <w:adjustRightInd/>
              <w:snapToGrid/>
              <w:spacing w:line="240" w:lineRule="auto"/>
              <w:ind w:left="0" w:right="0" w:firstLine="0"/>
              <w:textAlignment w:val="auto"/>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①</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服务保障体系；</w:t>
            </w:r>
            <w:r>
              <w:rPr>
                <w:rFonts w:hint="eastAsia" w:ascii="宋体" w:hAnsi="宋体" w:cs="宋体"/>
                <w:color w:val="000000" w:themeColor="text1"/>
                <w:kern w:val="0"/>
                <w:sz w:val="24"/>
                <w:szCs w:val="24"/>
                <w:highlight w:val="none"/>
                <w:lang w:bidi="ar"/>
                <w14:textFill>
                  <w14:solidFill>
                    <w14:schemeClr w14:val="tx1"/>
                  </w14:solidFill>
                </w14:textFill>
              </w:rPr>
              <w:t>②</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故障响应；</w:t>
            </w:r>
            <w:r>
              <w:rPr>
                <w:rFonts w:hint="eastAsia" w:ascii="宋体" w:hAnsi="宋体" w:cs="宋体"/>
                <w:color w:val="000000" w:themeColor="text1"/>
                <w:kern w:val="0"/>
                <w:sz w:val="24"/>
                <w:szCs w:val="24"/>
                <w:highlight w:val="none"/>
                <w:lang w:bidi="ar"/>
                <w14:textFill>
                  <w14:solidFill>
                    <w14:schemeClr w14:val="tx1"/>
                  </w14:solidFill>
                </w14:textFill>
              </w:rPr>
              <w:t>③</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故障处理；</w:t>
            </w:r>
          </w:p>
          <w:p w14:paraId="7BA4EE54">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kern w:val="0"/>
                <w:sz w:val="24"/>
                <w:szCs w:val="21"/>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注：以上内容完整且完全满足项目要求得</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3</w:t>
            </w:r>
            <w:r>
              <w:rPr>
                <w:rFonts w:hint="eastAsia" w:ascii="宋体" w:hAnsi="宋体" w:cs="宋体"/>
                <w:color w:val="000000" w:themeColor="text1"/>
                <w:kern w:val="0"/>
                <w:sz w:val="24"/>
                <w:szCs w:val="24"/>
                <w:highlight w:val="none"/>
                <w:lang w:bidi="ar"/>
                <w14:textFill>
                  <w14:solidFill>
                    <w14:schemeClr w14:val="tx1"/>
                  </w14:solidFill>
                </w14:textFill>
              </w:rPr>
              <w:t>分，每缺失一项内容扣</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1</w:t>
            </w:r>
            <w:r>
              <w:rPr>
                <w:rFonts w:hint="eastAsia" w:ascii="宋体" w:hAnsi="宋体" w:cs="宋体"/>
                <w:color w:val="000000" w:themeColor="text1"/>
                <w:kern w:val="0"/>
                <w:sz w:val="24"/>
                <w:szCs w:val="24"/>
                <w:highlight w:val="none"/>
                <w:lang w:bidi="ar"/>
                <w14:textFill>
                  <w14:solidFill>
                    <w14:schemeClr w14:val="tx1"/>
                  </w14:solidFill>
                </w14:textFill>
              </w:rPr>
              <w:t>分，每项内容中每</w:t>
            </w:r>
            <w:r>
              <w:rPr>
                <w:rFonts w:hAnsi="宋体"/>
                <w:color w:val="000000" w:themeColor="text1"/>
                <w:kern w:val="0"/>
                <w:sz w:val="24"/>
                <w:szCs w:val="24"/>
                <w:highlight w:val="none"/>
                <w:lang w:bidi="ar"/>
                <w14:textFill>
                  <w14:solidFill>
                    <w14:schemeClr w14:val="tx1"/>
                  </w14:solidFill>
                </w14:textFill>
              </w:rPr>
              <w:t>有一处内容缺陷扣</w:t>
            </w:r>
            <w:r>
              <w:rPr>
                <w:rFonts w:hint="eastAsia"/>
                <w:color w:val="000000" w:themeColor="text1"/>
                <w:kern w:val="0"/>
                <w:sz w:val="24"/>
                <w:szCs w:val="24"/>
                <w:highlight w:val="none"/>
                <w:lang w:val="en-US" w:eastAsia="zh-CN" w:bidi="ar"/>
                <w14:textFill>
                  <w14:solidFill>
                    <w14:schemeClr w14:val="tx1"/>
                  </w14:solidFill>
                </w14:textFill>
              </w:rPr>
              <w:t>0.5</w:t>
            </w:r>
            <w:r>
              <w:rPr>
                <w:rFonts w:hAnsi="宋体"/>
                <w:color w:val="000000" w:themeColor="text1"/>
                <w:kern w:val="0"/>
                <w:sz w:val="24"/>
                <w:szCs w:val="24"/>
                <w:highlight w:val="none"/>
                <w:lang w:bidi="ar"/>
                <w14:textFill>
                  <w14:solidFill>
                    <w14:schemeClr w14:val="tx1"/>
                  </w14:solidFill>
                </w14:textFill>
              </w:rPr>
              <w:t>分</w:t>
            </w:r>
            <w:r>
              <w:rPr>
                <w:color w:val="000000" w:themeColor="text1"/>
                <w:kern w:val="0"/>
                <w:sz w:val="24"/>
                <w:szCs w:val="24"/>
                <w:highlight w:val="none"/>
                <w:lang w:bidi="ar"/>
                <w14:textFill>
                  <w14:solidFill>
                    <w14:schemeClr w14:val="tx1"/>
                  </w14:solidFill>
                </w14:textFill>
              </w:rPr>
              <w:t>(</w:t>
            </w:r>
            <w:r>
              <w:rPr>
                <w:rFonts w:hAnsi="宋体"/>
                <w:color w:val="000000" w:themeColor="text1"/>
                <w:kern w:val="0"/>
                <w:sz w:val="24"/>
                <w:szCs w:val="24"/>
                <w:highlight w:val="none"/>
                <w:lang w:bidi="ar"/>
                <w14:textFill>
                  <w14:solidFill>
                    <w14:schemeClr w14:val="tx1"/>
                  </w14:solidFill>
                </w14:textFill>
              </w:rPr>
              <w:t>缺陷是指：存在不适用项目实际情况的情形、凭空编造、内容前后不一致、前后逻辑错误、涉及的规范及标准错误、地点区域错误、内容遗漏、不符合采购需求等</w:t>
            </w:r>
            <w:r>
              <w:rPr>
                <w:color w:val="000000" w:themeColor="text1"/>
                <w:kern w:val="0"/>
                <w:sz w:val="24"/>
                <w:szCs w:val="24"/>
                <w:highlight w:val="none"/>
                <w:lang w:bidi="ar"/>
                <w14:textFill>
                  <w14:solidFill>
                    <w14:schemeClr w14:val="tx1"/>
                  </w14:solidFill>
                </w14:textFill>
              </w:rPr>
              <w:t xml:space="preserve">) </w:t>
            </w:r>
            <w:r>
              <w:rPr>
                <w:rFonts w:hAnsi="Calibri"/>
                <w:color w:val="000000" w:themeColor="text1"/>
                <w:kern w:val="0"/>
                <w:sz w:val="24"/>
                <w:szCs w:val="24"/>
                <w:highlight w:val="none"/>
                <w:lang w:bidi="ar"/>
                <w14:textFill>
                  <w14:solidFill>
                    <w14:schemeClr w14:val="tx1"/>
                  </w14:solidFill>
                </w14:textFill>
              </w:rPr>
              <w:t>，</w:t>
            </w:r>
            <w:r>
              <w:rPr>
                <w:rFonts w:hAnsi="宋体"/>
                <w:color w:val="000000" w:themeColor="text1"/>
                <w:kern w:val="0"/>
                <w:sz w:val="24"/>
                <w:szCs w:val="24"/>
                <w:highlight w:val="none"/>
                <w:lang w:bidi="ar"/>
                <w14:textFill>
                  <w14:solidFill>
                    <w14:schemeClr w14:val="tx1"/>
                  </w14:solidFill>
                </w14:textFill>
              </w:rPr>
              <w:t>每项内容</w:t>
            </w:r>
            <w:r>
              <w:rPr>
                <w:color w:val="000000" w:themeColor="text1"/>
                <w:kern w:val="0"/>
                <w:sz w:val="24"/>
                <w:szCs w:val="24"/>
                <w:highlight w:val="none"/>
                <w:lang w:bidi="ar"/>
                <w14:textFill>
                  <w14:solidFill>
                    <w14:schemeClr w14:val="tx1"/>
                  </w14:solidFill>
                </w14:textFill>
              </w:rPr>
              <w:t xml:space="preserve"> </w:t>
            </w:r>
            <w:r>
              <w:rPr>
                <w:rFonts w:hint="eastAsia"/>
                <w:color w:val="000000" w:themeColor="text1"/>
                <w:kern w:val="0"/>
                <w:sz w:val="24"/>
                <w:szCs w:val="24"/>
                <w:highlight w:val="none"/>
                <w:lang w:val="en-US" w:eastAsia="zh-CN" w:bidi="ar"/>
                <w14:textFill>
                  <w14:solidFill>
                    <w14:schemeClr w14:val="tx1"/>
                  </w14:solidFill>
                </w14:textFill>
              </w:rPr>
              <w:t>1</w:t>
            </w:r>
            <w:r>
              <w:rPr>
                <w:rFonts w:hAnsi="宋体"/>
                <w:color w:val="000000" w:themeColor="text1"/>
                <w:kern w:val="0"/>
                <w:sz w:val="24"/>
                <w:szCs w:val="24"/>
                <w:highlight w:val="none"/>
                <w:lang w:bidi="ar"/>
                <w14:textFill>
                  <w14:solidFill>
                    <w14:schemeClr w14:val="tx1"/>
                  </w14:solidFill>
                </w14:textFill>
              </w:rPr>
              <w:t>分，如一项内容中存在</w:t>
            </w:r>
            <w:r>
              <w:rPr>
                <w:color w:val="000000" w:themeColor="text1"/>
                <w:kern w:val="0"/>
                <w:sz w:val="24"/>
                <w:szCs w:val="24"/>
                <w:highlight w:val="none"/>
                <w:lang w:bidi="ar"/>
                <w14:textFill>
                  <w14:solidFill>
                    <w14:schemeClr w14:val="tx1"/>
                  </w14:solidFill>
                </w14:textFill>
              </w:rPr>
              <w:t>2</w:t>
            </w:r>
            <w:r>
              <w:rPr>
                <w:rFonts w:hAnsi="宋体"/>
                <w:color w:val="000000" w:themeColor="text1"/>
                <w:kern w:val="0"/>
                <w:sz w:val="24"/>
                <w:szCs w:val="24"/>
                <w:highlight w:val="none"/>
                <w:lang w:bidi="ar"/>
                <w14:textFill>
                  <w14:solidFill>
                    <w14:schemeClr w14:val="tx1"/>
                  </w14:solidFill>
                </w14:textFill>
              </w:rPr>
              <w:t>处（含）错误则</w:t>
            </w:r>
            <w:r>
              <w:rPr>
                <w:rFonts w:hint="eastAsia"/>
                <w:color w:val="000000" w:themeColor="text1"/>
                <w:kern w:val="0"/>
                <w:sz w:val="24"/>
                <w:szCs w:val="24"/>
                <w:highlight w:val="none"/>
                <w:lang w:val="en-US" w:eastAsia="zh-CN" w:bidi="ar"/>
                <w14:textFill>
                  <w14:solidFill>
                    <w14:schemeClr w14:val="tx1"/>
                  </w14:solidFill>
                </w14:textFill>
              </w:rPr>
              <w:t>1</w:t>
            </w:r>
            <w:r>
              <w:rPr>
                <w:rFonts w:hAnsi="宋体"/>
                <w:color w:val="000000" w:themeColor="text1"/>
                <w:kern w:val="0"/>
                <w:sz w:val="24"/>
                <w:szCs w:val="24"/>
                <w:highlight w:val="none"/>
                <w:lang w:bidi="ar"/>
                <w14:textFill>
                  <w14:solidFill>
                    <w14:schemeClr w14:val="tx1"/>
                  </w14:solidFill>
                </w14:textFill>
              </w:rPr>
              <w:t>分扣完</w:t>
            </w:r>
            <w:r>
              <w:rPr>
                <w:rFonts w:hint="eastAsia" w:hAnsi="宋体"/>
                <w:color w:val="000000" w:themeColor="text1"/>
                <w:kern w:val="0"/>
                <w:sz w:val="24"/>
                <w:szCs w:val="24"/>
                <w:highlight w:val="none"/>
                <w:lang w:eastAsia="zh-CN" w:bidi="ar"/>
                <w14:textFill>
                  <w14:solidFill>
                    <w14:schemeClr w14:val="tx1"/>
                  </w14:solidFill>
                </w14:textFill>
              </w:rPr>
              <w:t>，不提供不得分</w:t>
            </w:r>
            <w:r>
              <w:rPr>
                <w:rFonts w:hAnsi="宋体"/>
                <w:color w:val="000000" w:themeColor="text1"/>
                <w:kern w:val="0"/>
                <w:sz w:val="24"/>
                <w:szCs w:val="24"/>
                <w:highlight w:val="none"/>
                <w:lang w:bidi="ar"/>
                <w14:textFill>
                  <w14:solidFill>
                    <w14:schemeClr w14:val="tx1"/>
                  </w14:solidFill>
                </w14:textFill>
              </w:rPr>
              <w:t>。</w:t>
            </w:r>
          </w:p>
        </w:tc>
        <w:tc>
          <w:tcPr>
            <w:tcW w:w="756" w:type="dxa"/>
            <w:noWrap w:val="0"/>
            <w:vAlign w:val="center"/>
          </w:tcPr>
          <w:p w14:paraId="5BF84B3F">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kern w:val="0"/>
                <w:sz w:val="24"/>
                <w:szCs w:val="21"/>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3</w:t>
            </w:r>
          </w:p>
        </w:tc>
        <w:tc>
          <w:tcPr>
            <w:tcW w:w="756" w:type="dxa"/>
            <w:noWrap w:val="0"/>
            <w:vAlign w:val="center"/>
          </w:tcPr>
          <w:p w14:paraId="2F4E144E">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tc>
      </w:tr>
      <w:tr w14:paraId="7D8ED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07" w:type="dxa"/>
            <w:vMerge w:val="continue"/>
            <w:noWrap w:val="0"/>
            <w:vAlign w:val="center"/>
          </w:tcPr>
          <w:p w14:paraId="27C6E920">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tc>
        <w:tc>
          <w:tcPr>
            <w:tcW w:w="1245" w:type="dxa"/>
            <w:shd w:val="clear" w:color="auto" w:fill="auto"/>
            <w:noWrap w:val="0"/>
            <w:vAlign w:val="center"/>
          </w:tcPr>
          <w:p w14:paraId="7E2805D1">
            <w:pPr>
              <w:keepNext w:val="0"/>
              <w:keepLines w:val="0"/>
              <w:pageBreakBefore w:val="0"/>
              <w:kinsoku/>
              <w:wordWrap/>
              <w:overflowPunct/>
              <w:topLinePunct w:val="0"/>
              <w:autoSpaceDE/>
              <w:autoSpaceDN/>
              <w:bidi w:val="0"/>
              <w:adjustRightInd/>
              <w:spacing w:line="360" w:lineRule="exact"/>
              <w:jc w:val="center"/>
              <w:textAlignment w:val="auto"/>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人员配置</w:t>
            </w:r>
          </w:p>
        </w:tc>
        <w:tc>
          <w:tcPr>
            <w:tcW w:w="4958" w:type="dxa"/>
            <w:shd w:val="clear" w:color="auto" w:fill="auto"/>
            <w:noWrap w:val="0"/>
            <w:vAlign w:val="center"/>
          </w:tcPr>
          <w:p w14:paraId="0619C50E">
            <w:pPr>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1、投标人拟派的1名项目经理具有人社部、工信部颁发的信息系统项目管理师证书。</w:t>
            </w:r>
          </w:p>
          <w:p w14:paraId="22D7FE3A">
            <w:pPr>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2、投标人拟派的项目经理具有至少2个近三年类似业绩（2023年1月1日至今），类似业绩以合同签订时间为准，提供合同</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或</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中标（成交）通知书或加盖甲方公章的验收单原件扫描件，加盖投标人公章。</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(不可与企业业绩重复，重复该项不计分）</w:t>
            </w:r>
          </w:p>
          <w:p w14:paraId="138F059F">
            <w:pPr>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3.拟投入本项目人员（除项目经理外），提供现场实施及驻场服务人员（具有相关专业中级及以上工程师职称证书）不少于4人</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w:t>
            </w:r>
          </w:p>
          <w:p w14:paraId="04096C70">
            <w:pPr>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驻场时间不少于6个月。</w:t>
            </w:r>
          </w:p>
          <w:p w14:paraId="33FB029F">
            <w:pPr>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注：</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提供有效期内证明资料的原件扫描件</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提供人员名单</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身</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及</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身份证复印件</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证明</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w:t>
            </w:r>
          </w:p>
          <w:p w14:paraId="7BDE4AF6">
            <w:pPr>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以上要求全部满足得4分</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，每满足1条得1分，</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否则不得分。</w:t>
            </w:r>
          </w:p>
        </w:tc>
        <w:tc>
          <w:tcPr>
            <w:tcW w:w="756" w:type="dxa"/>
            <w:shd w:val="clear" w:color="000000" w:fill="FFFFFF"/>
            <w:noWrap w:val="0"/>
            <w:vAlign w:val="center"/>
          </w:tcPr>
          <w:p w14:paraId="2255180A">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p>
        </w:tc>
        <w:tc>
          <w:tcPr>
            <w:tcW w:w="756" w:type="dxa"/>
            <w:noWrap w:val="0"/>
            <w:vAlign w:val="center"/>
          </w:tcPr>
          <w:p w14:paraId="2640ED34">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tc>
      </w:tr>
    </w:tbl>
    <w:p w14:paraId="118872CB">
      <w:pPr>
        <w:snapToGrid w:val="0"/>
        <w:spacing w:line="480" w:lineRule="exact"/>
        <w:ind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668E0D3C">
      <w:pPr>
        <w:pStyle w:val="22"/>
        <w:keepNext w:val="0"/>
        <w:keepLines w:val="0"/>
        <w:pageBreakBefore w:val="0"/>
        <w:widowControl w:val="0"/>
        <w:kinsoku/>
        <w:wordWrap/>
        <w:overflowPunct/>
        <w:topLinePunct w:val="0"/>
        <w:autoSpaceDE/>
        <w:autoSpaceDN/>
        <w:bidi w:val="0"/>
        <w:adjustRightInd/>
        <w:snapToGrid w:val="0"/>
        <w:spacing w:before="396" w:after="276"/>
        <w:ind w:left="0" w:leftChars="0" w:right="28" w:firstLine="422" w:firstLineChars="175"/>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标项2：</w:t>
      </w:r>
      <w:r>
        <w:rPr>
          <w:rFonts w:hint="eastAsia" w:ascii="宋体" w:hAnsi="宋体" w:eastAsia="宋体" w:cs="宋体"/>
          <w:b/>
          <w:bCs/>
          <w:color w:val="000000" w:themeColor="text1"/>
          <w:sz w:val="24"/>
          <w:szCs w:val="24"/>
          <w:highlight w:val="none"/>
          <w14:textFill>
            <w14:solidFill>
              <w14:schemeClr w14:val="tx1"/>
            </w14:solidFill>
          </w14:textFill>
        </w:rPr>
        <w:t>新疆师范大学智慧教育及应用工程技术研究中心项目</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-第2包</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45"/>
        <w:gridCol w:w="4958"/>
        <w:gridCol w:w="756"/>
        <w:gridCol w:w="756"/>
      </w:tblGrid>
      <w:tr w14:paraId="2CF3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7" w:type="dxa"/>
            <w:noWrap w:val="0"/>
            <w:vAlign w:val="center"/>
          </w:tcPr>
          <w:p w14:paraId="5216DE88">
            <w:pPr>
              <w:widowControl/>
              <w:jc w:val="left"/>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评分项目</w:t>
            </w:r>
          </w:p>
        </w:tc>
        <w:tc>
          <w:tcPr>
            <w:tcW w:w="1245" w:type="dxa"/>
            <w:noWrap w:val="0"/>
            <w:vAlign w:val="center"/>
          </w:tcPr>
          <w:p w14:paraId="0EA147DB">
            <w:pPr>
              <w:widowControl/>
              <w:jc w:val="left"/>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评分因素</w:t>
            </w:r>
          </w:p>
        </w:tc>
        <w:tc>
          <w:tcPr>
            <w:tcW w:w="4958" w:type="dxa"/>
            <w:noWrap w:val="0"/>
            <w:vAlign w:val="center"/>
          </w:tcPr>
          <w:p w14:paraId="51811137">
            <w:pPr>
              <w:widowControl/>
              <w:jc w:val="left"/>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评审内容</w:t>
            </w:r>
          </w:p>
        </w:tc>
        <w:tc>
          <w:tcPr>
            <w:tcW w:w="756" w:type="dxa"/>
            <w:noWrap w:val="0"/>
            <w:vAlign w:val="center"/>
          </w:tcPr>
          <w:p w14:paraId="64D2DC1B">
            <w:pPr>
              <w:widowControl/>
              <w:jc w:val="left"/>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分值</w:t>
            </w:r>
          </w:p>
        </w:tc>
        <w:tc>
          <w:tcPr>
            <w:tcW w:w="756" w:type="dxa"/>
            <w:noWrap w:val="0"/>
            <w:vAlign w:val="center"/>
          </w:tcPr>
          <w:p w14:paraId="2CA85C3A">
            <w:pPr>
              <w:widowControl/>
              <w:jc w:val="left"/>
              <w:rPr>
                <w:rFonts w:hint="eastAsia" w:ascii="宋体" w:hAnsi="宋体" w:eastAsia="宋体" w:cs="宋体"/>
                <w:b/>
                <w:bCs/>
                <w:color w:val="000000" w:themeColor="text1"/>
                <w:kern w:val="0"/>
                <w:sz w:val="24"/>
                <w:highlight w:val="none"/>
                <w14:textFill>
                  <w14:solidFill>
                    <w14:schemeClr w14:val="tx1"/>
                  </w14:solidFill>
                </w14:textFill>
              </w:rPr>
            </w:pPr>
          </w:p>
        </w:tc>
      </w:tr>
      <w:tr w14:paraId="735D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707" w:type="dxa"/>
            <w:noWrap w:val="0"/>
            <w:vAlign w:val="center"/>
          </w:tcPr>
          <w:p w14:paraId="02A7DEF0">
            <w:pPr>
              <w:widowControl/>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价格部分（</w:t>
            </w: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0分）</w:t>
            </w:r>
          </w:p>
        </w:tc>
        <w:tc>
          <w:tcPr>
            <w:tcW w:w="1245" w:type="dxa"/>
            <w:noWrap w:val="0"/>
            <w:vAlign w:val="center"/>
          </w:tcPr>
          <w:p w14:paraId="47D607E7">
            <w:pPr>
              <w:widowControl/>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投标报价</w:t>
            </w:r>
          </w:p>
        </w:tc>
        <w:tc>
          <w:tcPr>
            <w:tcW w:w="4958" w:type="dxa"/>
            <w:noWrap w:val="0"/>
            <w:vAlign w:val="center"/>
          </w:tcPr>
          <w:p w14:paraId="44D1324B">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价格分采用低价优先法计算，即满足本招标文件要求的最低投标报价为评标基准价，其价格分为满分，其它投标人的价格分统一按照下列公式计算：</w:t>
            </w:r>
          </w:p>
          <w:p w14:paraId="0AC478B8">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投标报价得分=（评标基准价／投标报价）×价格分分值（精确到小数点后两位）。</w:t>
            </w:r>
          </w:p>
          <w:p w14:paraId="1EF2AF25">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超过</w:t>
            </w:r>
            <w:r>
              <w:rPr>
                <w:rFonts w:hint="eastAsia" w:ascii="宋体" w:hAnsi="宋体" w:eastAsia="宋体" w:cs="宋体"/>
                <w:color w:val="000000" w:themeColor="text1"/>
                <w:kern w:val="0"/>
                <w:sz w:val="24"/>
                <w:szCs w:val="24"/>
                <w:highlight w:val="none"/>
                <w14:textFill>
                  <w14:solidFill>
                    <w14:schemeClr w14:val="tx1"/>
                  </w14:solidFill>
                </w14:textFill>
              </w:rPr>
              <w:t>采购项目预算或最高限价的，为无效投标。</w:t>
            </w:r>
          </w:p>
        </w:tc>
        <w:tc>
          <w:tcPr>
            <w:tcW w:w="756" w:type="dxa"/>
            <w:noWrap w:val="0"/>
            <w:vAlign w:val="center"/>
          </w:tcPr>
          <w:p w14:paraId="7F0EF496">
            <w:pPr>
              <w:widowControl/>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0</w:t>
            </w:r>
          </w:p>
        </w:tc>
        <w:tc>
          <w:tcPr>
            <w:tcW w:w="756" w:type="dxa"/>
            <w:noWrap w:val="0"/>
            <w:vAlign w:val="center"/>
          </w:tcPr>
          <w:p w14:paraId="7EB8ECAD">
            <w:pPr>
              <w:widowControl/>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4AFF6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9" w:hRule="atLeast"/>
          <w:jc w:val="center"/>
        </w:trPr>
        <w:tc>
          <w:tcPr>
            <w:tcW w:w="707" w:type="dxa"/>
            <w:vMerge w:val="restart"/>
            <w:shd w:val="clear" w:color="auto" w:fill="auto"/>
            <w:noWrap w:val="0"/>
            <w:vAlign w:val="center"/>
          </w:tcPr>
          <w:p w14:paraId="31CAAAE9">
            <w:pPr>
              <w:widowControl/>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商务部分（</w:t>
            </w: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1245" w:type="dxa"/>
            <w:shd w:val="clear" w:color="auto" w:fill="auto"/>
            <w:noWrap w:val="0"/>
            <w:vAlign w:val="center"/>
          </w:tcPr>
          <w:p w14:paraId="4A175FF9">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企业业绩</w:t>
            </w:r>
          </w:p>
        </w:tc>
        <w:tc>
          <w:tcPr>
            <w:tcW w:w="4958" w:type="dxa"/>
            <w:shd w:val="clear" w:color="000000" w:fill="FFFFFF"/>
            <w:noWrap w:val="0"/>
            <w:vAlign w:val="center"/>
          </w:tcPr>
          <w:p w14:paraId="35E4F213">
            <w:pPr>
              <w:pStyle w:val="30"/>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投标人提供近三年（2023年1月1日至今）类似项目业绩，每提供一个有效业绩得1分，最高得2分；</w:t>
            </w:r>
          </w:p>
          <w:p w14:paraId="59717DEF">
            <w:pPr>
              <w:pStyle w:val="30"/>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注：本业绩指信息化行业业绩，以合同签订时间为准，提供原件扫描件合同</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或</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中标（成交）通知书，加盖投标人公章。</w:t>
            </w:r>
          </w:p>
        </w:tc>
        <w:tc>
          <w:tcPr>
            <w:tcW w:w="756" w:type="dxa"/>
            <w:shd w:val="clear" w:color="000000" w:fill="FFFFFF"/>
            <w:noWrap w:val="0"/>
            <w:vAlign w:val="center"/>
          </w:tcPr>
          <w:p w14:paraId="590E0EC5">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p>
        </w:tc>
        <w:tc>
          <w:tcPr>
            <w:tcW w:w="756" w:type="dxa"/>
            <w:shd w:val="clear" w:color="000000" w:fill="FFFFFF"/>
            <w:noWrap w:val="0"/>
            <w:vAlign w:val="center"/>
          </w:tcPr>
          <w:p w14:paraId="1860E6EE">
            <w:pPr>
              <w:widowControl/>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092A0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07" w:type="dxa"/>
            <w:vMerge w:val="restart"/>
            <w:noWrap w:val="0"/>
            <w:vAlign w:val="center"/>
          </w:tcPr>
          <w:p w14:paraId="63B7BE06">
            <w:pPr>
              <w:widowControl/>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技术部分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68</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1245" w:type="dxa"/>
            <w:tcBorders>
              <w:bottom w:val="single" w:color="auto" w:sz="4" w:space="0"/>
            </w:tcBorders>
            <w:shd w:val="clear" w:color="auto" w:fill="auto"/>
            <w:noWrap w:val="0"/>
            <w:vAlign w:val="center"/>
          </w:tcPr>
          <w:p w14:paraId="57F208FD">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技术参数指标响应程度</w:t>
            </w:r>
          </w:p>
        </w:tc>
        <w:tc>
          <w:tcPr>
            <w:tcW w:w="4958" w:type="dxa"/>
            <w:tcBorders>
              <w:bottom w:val="single" w:color="auto" w:sz="4" w:space="0"/>
            </w:tcBorders>
            <w:shd w:val="clear" w:color="auto" w:fill="auto"/>
            <w:noWrap w:val="0"/>
            <w:vAlign w:val="center"/>
          </w:tcPr>
          <w:p w14:paraId="38282F74">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1、根据所投产品对采购需求和配置与性能指标的响应程度打分，全部响应招标文件采购需求，且提供证明材料齐全的，满分得</w:t>
            </w:r>
            <w:r>
              <w:rPr>
                <w:rFonts w:hint="eastAsia" w:ascii="宋体" w:hAnsi="宋体" w:cs="宋体"/>
                <w:color w:val="000000" w:themeColor="text1"/>
                <w:kern w:val="0"/>
                <w:sz w:val="24"/>
                <w:highlight w:val="none"/>
                <w:lang w:val="en-US" w:eastAsia="zh-CN"/>
                <w14:textFill>
                  <w14:solidFill>
                    <w14:schemeClr w14:val="tx1"/>
                  </w14:solidFill>
                </w14:textFill>
              </w:rPr>
              <w:t>57</w:t>
            </w:r>
            <w:r>
              <w:rPr>
                <w:rFonts w:hint="eastAsia" w:ascii="宋体" w:hAnsi="宋体" w:cs="宋体"/>
                <w:color w:val="000000" w:themeColor="text1"/>
                <w:kern w:val="0"/>
                <w:sz w:val="24"/>
                <w:highlight w:val="none"/>
                <w14:textFill>
                  <w14:solidFill>
                    <w14:schemeClr w14:val="tx1"/>
                  </w14:solidFill>
                </w14:textFill>
              </w:rPr>
              <w:t>分；每有一项带“▲”重点指标有负偏离的扣</w:t>
            </w:r>
            <w:r>
              <w:rPr>
                <w:rFonts w:hint="eastAsia" w:ascii="宋体" w:hAnsi="宋体" w:cs="宋体"/>
                <w:color w:val="000000" w:themeColor="text1"/>
                <w:kern w:val="0"/>
                <w:sz w:val="24"/>
                <w:highlight w:val="none"/>
                <w:lang w:val="en-US" w:eastAsia="zh-CN"/>
                <w14:textFill>
                  <w14:solidFill>
                    <w14:schemeClr w14:val="tx1"/>
                  </w14:solidFill>
                </w14:textFill>
              </w:rPr>
              <w:t>3</w:t>
            </w:r>
            <w:r>
              <w:rPr>
                <w:rFonts w:hint="eastAsia" w:ascii="宋体" w:hAnsi="宋体" w:cs="宋体"/>
                <w:color w:val="000000" w:themeColor="text1"/>
                <w:kern w:val="0"/>
                <w:sz w:val="24"/>
                <w:highlight w:val="none"/>
                <w14:textFill>
                  <w14:solidFill>
                    <w14:schemeClr w14:val="tx1"/>
                  </w14:solidFill>
                </w14:textFill>
              </w:rPr>
              <w:t>分</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共30分</w:t>
            </w:r>
            <w:r>
              <w:rPr>
                <w:rFonts w:hint="eastAsia" w:ascii="宋体" w:hAnsi="宋体" w:cs="宋体"/>
                <w:color w:val="000000" w:themeColor="text1"/>
                <w:kern w:val="0"/>
                <w:sz w:val="24"/>
                <w:highlight w:val="none"/>
                <w14:textFill>
                  <w14:solidFill>
                    <w14:schemeClr w14:val="tx1"/>
                  </w14:solidFill>
                </w14:textFill>
              </w:rPr>
              <w:t>，扣完为止；每有一项（除▲项以外）一般指标有负偏离的扣</w:t>
            </w:r>
            <w:r>
              <w:rPr>
                <w:rFonts w:hint="eastAsia" w:ascii="宋体" w:hAnsi="宋体" w:cs="宋体"/>
                <w:color w:val="000000" w:themeColor="text1"/>
                <w:kern w:val="0"/>
                <w:sz w:val="24"/>
                <w:highlight w:val="none"/>
                <w:lang w:val="en-US" w:eastAsia="zh-CN"/>
                <w14:textFill>
                  <w14:solidFill>
                    <w14:schemeClr w14:val="tx1"/>
                  </w14:solidFill>
                </w14:textFill>
              </w:rPr>
              <w:t>1</w:t>
            </w:r>
            <w:r>
              <w:rPr>
                <w:rFonts w:hint="eastAsia" w:ascii="宋体" w:hAnsi="宋体" w:cs="宋体"/>
                <w:color w:val="000000" w:themeColor="text1"/>
                <w:kern w:val="0"/>
                <w:sz w:val="24"/>
                <w:highlight w:val="none"/>
                <w14:textFill>
                  <w14:solidFill>
                    <w14:schemeClr w14:val="tx1"/>
                  </w14:solidFill>
                </w14:textFill>
              </w:rPr>
              <w:t>分</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满分27分</w:t>
            </w:r>
            <w:r>
              <w:rPr>
                <w:rFonts w:hint="eastAsia" w:ascii="宋体" w:hAnsi="宋体" w:cs="宋体"/>
                <w:color w:val="000000" w:themeColor="text1"/>
                <w:kern w:val="0"/>
                <w:sz w:val="24"/>
                <w:highlight w:val="none"/>
                <w14:textFill>
                  <w14:solidFill>
                    <w14:schemeClr w14:val="tx1"/>
                  </w14:solidFill>
                </w14:textFill>
              </w:rPr>
              <w:t>，扣完为止。供应商提供的参数如有虚假应标，将导致投标无效。</w:t>
            </w:r>
          </w:p>
        </w:tc>
        <w:tc>
          <w:tcPr>
            <w:tcW w:w="756" w:type="dxa"/>
            <w:tcBorders>
              <w:bottom w:val="single" w:color="auto" w:sz="4" w:space="0"/>
            </w:tcBorders>
            <w:shd w:val="clear" w:color="auto" w:fill="auto"/>
            <w:noWrap w:val="0"/>
            <w:vAlign w:val="center"/>
          </w:tcPr>
          <w:p w14:paraId="5D0316FA">
            <w:pPr>
              <w:keepNext w:val="0"/>
              <w:keepLines w:val="0"/>
              <w:pageBreakBefore w:val="0"/>
              <w:widowControl/>
              <w:kinsoku/>
              <w:wordWrap/>
              <w:overflowPunct/>
              <w:topLinePunct w:val="0"/>
              <w:autoSpaceDE/>
              <w:autoSpaceDN/>
              <w:bidi w:val="0"/>
              <w:adjustRightInd/>
              <w:spacing w:line="360" w:lineRule="exact"/>
              <w:jc w:val="left"/>
              <w:textAlignment w:val="auto"/>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cs="宋体"/>
                <w:color w:val="000000" w:themeColor="text1"/>
                <w:kern w:val="0"/>
                <w:sz w:val="24"/>
                <w:szCs w:val="24"/>
                <w:highlight w:val="none"/>
                <w:lang w:val="en-US" w:eastAsia="zh-CN"/>
                <w14:textFill>
                  <w14:solidFill>
                    <w14:schemeClr w14:val="tx1"/>
                  </w14:solidFill>
                </w14:textFill>
              </w:rPr>
              <w:t>7</w:t>
            </w:r>
          </w:p>
        </w:tc>
        <w:tc>
          <w:tcPr>
            <w:tcW w:w="756" w:type="dxa"/>
            <w:tcBorders>
              <w:bottom w:val="single" w:color="auto" w:sz="4" w:space="0"/>
            </w:tcBorders>
            <w:noWrap w:val="0"/>
            <w:vAlign w:val="center"/>
          </w:tcPr>
          <w:p w14:paraId="484DB4D8">
            <w:pPr>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4E3D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07" w:type="dxa"/>
            <w:vMerge w:val="continue"/>
            <w:noWrap w:val="0"/>
            <w:vAlign w:val="center"/>
          </w:tcPr>
          <w:p w14:paraId="39B2F1DC">
            <w:pPr>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245" w:type="dxa"/>
            <w:shd w:val="clear" w:color="auto" w:fill="auto"/>
            <w:noWrap w:val="0"/>
            <w:vAlign w:val="center"/>
          </w:tcPr>
          <w:p w14:paraId="3CAA112A">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kern w:val="0"/>
                <w:sz w:val="24"/>
                <w:szCs w:val="21"/>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实施方案</w:t>
            </w:r>
          </w:p>
        </w:tc>
        <w:tc>
          <w:tcPr>
            <w:tcW w:w="4958" w:type="dxa"/>
            <w:shd w:val="clear" w:color="auto" w:fill="auto"/>
            <w:noWrap w:val="0"/>
            <w:vAlign w:val="center"/>
          </w:tcPr>
          <w:p w14:paraId="63037524">
            <w:pPr>
              <w:keepNext w:val="0"/>
              <w:keepLines w:val="0"/>
              <w:pageBreakBefore w:val="0"/>
              <w:widowControl/>
              <w:kinsoku/>
              <w:wordWrap/>
              <w:overflowPunct/>
              <w:topLinePunct w:val="0"/>
              <w:autoSpaceDE/>
              <w:autoSpaceDN/>
              <w:bidi w:val="0"/>
              <w:adjustRightInd/>
              <w:snapToGrid/>
              <w:spacing w:line="240" w:lineRule="auto"/>
              <w:ind w:left="0" w:right="0" w:firstLine="0"/>
              <w:textAlignment w:val="auto"/>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项目实施方案，包括但不限于</w:t>
            </w:r>
            <w:r>
              <w:rPr>
                <w:rFonts w:hint="default"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①</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项目实施方案；</w:t>
            </w:r>
            <w:r>
              <w:rPr>
                <w:rFonts w:hint="default"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②</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风险管理措施与保密制度；</w:t>
            </w:r>
            <w:r>
              <w:rPr>
                <w:rFonts w:hint="default"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③</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技术架构说明；④安全体系</w:t>
            </w:r>
          </w:p>
          <w:p w14:paraId="4ABE7B93">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kern w:val="0"/>
                <w:sz w:val="24"/>
                <w:szCs w:val="21"/>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注：以上内容完整且完全满足项目要求得</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4</w:t>
            </w:r>
            <w:r>
              <w:rPr>
                <w:rFonts w:hint="eastAsia" w:ascii="宋体" w:hAnsi="宋体" w:cs="宋体"/>
                <w:color w:val="000000" w:themeColor="text1"/>
                <w:kern w:val="0"/>
                <w:sz w:val="24"/>
                <w:szCs w:val="24"/>
                <w:highlight w:val="none"/>
                <w:lang w:bidi="ar"/>
                <w14:textFill>
                  <w14:solidFill>
                    <w14:schemeClr w14:val="tx1"/>
                  </w14:solidFill>
                </w14:textFill>
              </w:rPr>
              <w:t>分，每缺失一项内容扣</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1</w:t>
            </w:r>
            <w:r>
              <w:rPr>
                <w:rFonts w:hint="eastAsia" w:ascii="宋体" w:hAnsi="宋体" w:cs="宋体"/>
                <w:color w:val="000000" w:themeColor="text1"/>
                <w:kern w:val="0"/>
                <w:sz w:val="24"/>
                <w:szCs w:val="24"/>
                <w:highlight w:val="none"/>
                <w:lang w:bidi="ar"/>
                <w14:textFill>
                  <w14:solidFill>
                    <w14:schemeClr w14:val="tx1"/>
                  </w14:solidFill>
                </w14:textFill>
              </w:rPr>
              <w:t>分，每项内容中每</w:t>
            </w:r>
            <w:r>
              <w:rPr>
                <w:rFonts w:hAnsi="宋体"/>
                <w:color w:val="000000" w:themeColor="text1"/>
                <w:kern w:val="0"/>
                <w:sz w:val="24"/>
                <w:szCs w:val="24"/>
                <w:highlight w:val="none"/>
                <w:lang w:bidi="ar"/>
                <w14:textFill>
                  <w14:solidFill>
                    <w14:schemeClr w14:val="tx1"/>
                  </w14:solidFill>
                </w14:textFill>
              </w:rPr>
              <w:t>有一处内容缺陷扣</w:t>
            </w:r>
            <w:r>
              <w:rPr>
                <w:rFonts w:hint="eastAsia"/>
                <w:color w:val="000000" w:themeColor="text1"/>
                <w:kern w:val="0"/>
                <w:sz w:val="24"/>
                <w:szCs w:val="24"/>
                <w:highlight w:val="none"/>
                <w:lang w:val="en-US" w:eastAsia="zh-CN" w:bidi="ar"/>
                <w14:textFill>
                  <w14:solidFill>
                    <w14:schemeClr w14:val="tx1"/>
                  </w14:solidFill>
                </w14:textFill>
              </w:rPr>
              <w:t>0.5</w:t>
            </w:r>
            <w:r>
              <w:rPr>
                <w:rFonts w:hAnsi="宋体"/>
                <w:color w:val="000000" w:themeColor="text1"/>
                <w:kern w:val="0"/>
                <w:sz w:val="24"/>
                <w:szCs w:val="24"/>
                <w:highlight w:val="none"/>
                <w:lang w:bidi="ar"/>
                <w14:textFill>
                  <w14:solidFill>
                    <w14:schemeClr w14:val="tx1"/>
                  </w14:solidFill>
                </w14:textFill>
              </w:rPr>
              <w:t>分</w:t>
            </w:r>
            <w:r>
              <w:rPr>
                <w:color w:val="000000" w:themeColor="text1"/>
                <w:kern w:val="0"/>
                <w:sz w:val="24"/>
                <w:szCs w:val="24"/>
                <w:highlight w:val="none"/>
                <w:lang w:bidi="ar"/>
                <w14:textFill>
                  <w14:solidFill>
                    <w14:schemeClr w14:val="tx1"/>
                  </w14:solidFill>
                </w14:textFill>
              </w:rPr>
              <w:t>(</w:t>
            </w:r>
            <w:r>
              <w:rPr>
                <w:rFonts w:hAnsi="宋体"/>
                <w:color w:val="000000" w:themeColor="text1"/>
                <w:kern w:val="0"/>
                <w:sz w:val="24"/>
                <w:szCs w:val="24"/>
                <w:highlight w:val="none"/>
                <w:lang w:bidi="ar"/>
                <w14:textFill>
                  <w14:solidFill>
                    <w14:schemeClr w14:val="tx1"/>
                  </w14:solidFill>
                </w14:textFill>
              </w:rPr>
              <w:t>缺陷是指：存在不适用项目实际情况的情形、凭空编造、内容前后不一致、前后逻辑错误、涉及的规范及标准错误、地点区域错误、内容遗漏、不符合采购需求等</w:t>
            </w:r>
            <w:r>
              <w:rPr>
                <w:color w:val="000000" w:themeColor="text1"/>
                <w:kern w:val="0"/>
                <w:sz w:val="24"/>
                <w:szCs w:val="24"/>
                <w:highlight w:val="none"/>
                <w:lang w:bidi="ar"/>
                <w14:textFill>
                  <w14:solidFill>
                    <w14:schemeClr w14:val="tx1"/>
                  </w14:solidFill>
                </w14:textFill>
              </w:rPr>
              <w:t xml:space="preserve">) </w:t>
            </w:r>
            <w:r>
              <w:rPr>
                <w:rFonts w:hAnsi="Calibri"/>
                <w:color w:val="000000" w:themeColor="text1"/>
                <w:kern w:val="0"/>
                <w:sz w:val="24"/>
                <w:szCs w:val="24"/>
                <w:highlight w:val="none"/>
                <w:lang w:bidi="ar"/>
                <w14:textFill>
                  <w14:solidFill>
                    <w14:schemeClr w14:val="tx1"/>
                  </w14:solidFill>
                </w14:textFill>
              </w:rPr>
              <w:t>，</w:t>
            </w:r>
            <w:r>
              <w:rPr>
                <w:rFonts w:hAnsi="宋体"/>
                <w:color w:val="000000" w:themeColor="text1"/>
                <w:kern w:val="0"/>
                <w:sz w:val="24"/>
                <w:szCs w:val="24"/>
                <w:highlight w:val="none"/>
                <w:lang w:bidi="ar"/>
                <w14:textFill>
                  <w14:solidFill>
                    <w14:schemeClr w14:val="tx1"/>
                  </w14:solidFill>
                </w14:textFill>
              </w:rPr>
              <w:t>每项内容</w:t>
            </w:r>
            <w:r>
              <w:rPr>
                <w:color w:val="000000" w:themeColor="text1"/>
                <w:kern w:val="0"/>
                <w:sz w:val="24"/>
                <w:szCs w:val="24"/>
                <w:highlight w:val="none"/>
                <w:lang w:bidi="ar"/>
                <w14:textFill>
                  <w14:solidFill>
                    <w14:schemeClr w14:val="tx1"/>
                  </w14:solidFill>
                </w14:textFill>
              </w:rPr>
              <w:t xml:space="preserve"> </w:t>
            </w:r>
            <w:r>
              <w:rPr>
                <w:rFonts w:hint="eastAsia"/>
                <w:color w:val="000000" w:themeColor="text1"/>
                <w:kern w:val="0"/>
                <w:sz w:val="24"/>
                <w:szCs w:val="24"/>
                <w:highlight w:val="none"/>
                <w:lang w:val="en-US" w:eastAsia="zh-CN" w:bidi="ar"/>
                <w14:textFill>
                  <w14:solidFill>
                    <w14:schemeClr w14:val="tx1"/>
                  </w14:solidFill>
                </w14:textFill>
              </w:rPr>
              <w:t>1</w:t>
            </w:r>
            <w:r>
              <w:rPr>
                <w:rFonts w:hAnsi="宋体"/>
                <w:color w:val="000000" w:themeColor="text1"/>
                <w:kern w:val="0"/>
                <w:sz w:val="24"/>
                <w:szCs w:val="24"/>
                <w:highlight w:val="none"/>
                <w:lang w:bidi="ar"/>
                <w14:textFill>
                  <w14:solidFill>
                    <w14:schemeClr w14:val="tx1"/>
                  </w14:solidFill>
                </w14:textFill>
              </w:rPr>
              <w:t>分，如一项内容中存在</w:t>
            </w:r>
            <w:r>
              <w:rPr>
                <w:color w:val="000000" w:themeColor="text1"/>
                <w:kern w:val="0"/>
                <w:sz w:val="24"/>
                <w:szCs w:val="24"/>
                <w:highlight w:val="none"/>
                <w:lang w:bidi="ar"/>
                <w14:textFill>
                  <w14:solidFill>
                    <w14:schemeClr w14:val="tx1"/>
                  </w14:solidFill>
                </w14:textFill>
              </w:rPr>
              <w:t>2</w:t>
            </w:r>
            <w:r>
              <w:rPr>
                <w:rFonts w:hAnsi="宋体"/>
                <w:color w:val="000000" w:themeColor="text1"/>
                <w:kern w:val="0"/>
                <w:sz w:val="24"/>
                <w:szCs w:val="24"/>
                <w:highlight w:val="none"/>
                <w:lang w:bidi="ar"/>
                <w14:textFill>
                  <w14:solidFill>
                    <w14:schemeClr w14:val="tx1"/>
                  </w14:solidFill>
                </w14:textFill>
              </w:rPr>
              <w:t>处（含）错误则</w:t>
            </w:r>
            <w:r>
              <w:rPr>
                <w:rFonts w:hint="eastAsia"/>
                <w:color w:val="000000" w:themeColor="text1"/>
                <w:kern w:val="0"/>
                <w:sz w:val="24"/>
                <w:szCs w:val="24"/>
                <w:highlight w:val="none"/>
                <w:lang w:val="en-US" w:eastAsia="zh-CN" w:bidi="ar"/>
                <w14:textFill>
                  <w14:solidFill>
                    <w14:schemeClr w14:val="tx1"/>
                  </w14:solidFill>
                </w14:textFill>
              </w:rPr>
              <w:t>1</w:t>
            </w:r>
            <w:r>
              <w:rPr>
                <w:rFonts w:hAnsi="宋体"/>
                <w:color w:val="000000" w:themeColor="text1"/>
                <w:kern w:val="0"/>
                <w:sz w:val="24"/>
                <w:szCs w:val="24"/>
                <w:highlight w:val="none"/>
                <w:lang w:bidi="ar"/>
                <w14:textFill>
                  <w14:solidFill>
                    <w14:schemeClr w14:val="tx1"/>
                  </w14:solidFill>
                </w14:textFill>
              </w:rPr>
              <w:t>分扣完</w:t>
            </w:r>
            <w:r>
              <w:rPr>
                <w:rFonts w:hint="eastAsia" w:hAnsi="宋体"/>
                <w:color w:val="000000" w:themeColor="text1"/>
                <w:kern w:val="0"/>
                <w:sz w:val="24"/>
                <w:szCs w:val="24"/>
                <w:highlight w:val="none"/>
                <w:lang w:eastAsia="zh-CN" w:bidi="ar"/>
                <w14:textFill>
                  <w14:solidFill>
                    <w14:schemeClr w14:val="tx1"/>
                  </w14:solidFill>
                </w14:textFill>
              </w:rPr>
              <w:t>，不提供不得分</w:t>
            </w:r>
          </w:p>
        </w:tc>
        <w:tc>
          <w:tcPr>
            <w:tcW w:w="756" w:type="dxa"/>
            <w:shd w:val="clear" w:color="auto" w:fill="auto"/>
            <w:noWrap w:val="0"/>
            <w:vAlign w:val="center"/>
          </w:tcPr>
          <w:p w14:paraId="09D88104">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p>
          <w:p w14:paraId="1119B430">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756" w:type="dxa"/>
            <w:noWrap w:val="0"/>
            <w:vAlign w:val="center"/>
          </w:tcPr>
          <w:p w14:paraId="1FE0AAEE">
            <w:pPr>
              <w:widowControl/>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5B85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07" w:type="dxa"/>
            <w:vMerge w:val="continue"/>
            <w:noWrap w:val="0"/>
            <w:vAlign w:val="center"/>
          </w:tcPr>
          <w:p w14:paraId="0DE73465">
            <w:pPr>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245" w:type="dxa"/>
            <w:shd w:val="clear" w:color="auto" w:fill="auto"/>
            <w:noWrap w:val="0"/>
            <w:vAlign w:val="center"/>
          </w:tcPr>
          <w:p w14:paraId="4852592B">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kern w:val="0"/>
                <w:sz w:val="24"/>
                <w:szCs w:val="21"/>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售后服务</w:t>
            </w:r>
          </w:p>
        </w:tc>
        <w:tc>
          <w:tcPr>
            <w:tcW w:w="4958" w:type="dxa"/>
            <w:shd w:val="clear" w:color="auto" w:fill="auto"/>
            <w:noWrap w:val="0"/>
            <w:vAlign w:val="center"/>
          </w:tcPr>
          <w:p w14:paraId="4F145D5E">
            <w:pPr>
              <w:keepNext w:val="0"/>
              <w:keepLines w:val="0"/>
              <w:pageBreakBefore w:val="0"/>
              <w:widowControl/>
              <w:kinsoku/>
              <w:wordWrap/>
              <w:overflowPunct/>
              <w:topLinePunct w:val="0"/>
              <w:autoSpaceDE/>
              <w:autoSpaceDN/>
              <w:bidi w:val="0"/>
              <w:adjustRightInd/>
              <w:snapToGrid/>
              <w:spacing w:line="240" w:lineRule="auto"/>
              <w:ind w:left="0" w:right="0" w:firstLine="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投标人提供售后服务方案需</w:t>
            </w:r>
            <w:r>
              <w:rPr>
                <w:rFonts w:hint="eastAsia" w:ascii="宋体" w:hAnsi="宋体" w:eastAsia="宋体" w:cs="宋体"/>
                <w:color w:val="000000" w:themeColor="text1"/>
                <w:sz w:val="24"/>
                <w:szCs w:val="24"/>
                <w:highlight w:val="none"/>
                <w:lang w:eastAsia="zh-CN"/>
                <w14:textFill>
                  <w14:solidFill>
                    <w14:schemeClr w14:val="tx1"/>
                  </w14:solidFill>
                </w14:textFill>
              </w:rPr>
              <w:t>内容包含但不限于：</w:t>
            </w:r>
          </w:p>
          <w:p w14:paraId="0D0D1B04">
            <w:pPr>
              <w:keepNext w:val="0"/>
              <w:keepLines w:val="0"/>
              <w:pageBreakBefore w:val="0"/>
              <w:widowControl/>
              <w:kinsoku/>
              <w:wordWrap/>
              <w:overflowPunct/>
              <w:topLinePunct w:val="0"/>
              <w:autoSpaceDE/>
              <w:autoSpaceDN/>
              <w:bidi w:val="0"/>
              <w:adjustRightInd/>
              <w:snapToGrid/>
              <w:spacing w:line="240" w:lineRule="auto"/>
              <w:ind w:left="0" w:right="0" w:firstLine="0"/>
              <w:textAlignment w:val="auto"/>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①</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服务保障体系；</w:t>
            </w:r>
            <w:r>
              <w:rPr>
                <w:rFonts w:hint="eastAsia" w:ascii="宋体" w:hAnsi="宋体" w:cs="宋体"/>
                <w:color w:val="000000" w:themeColor="text1"/>
                <w:kern w:val="0"/>
                <w:sz w:val="24"/>
                <w:szCs w:val="24"/>
                <w:highlight w:val="none"/>
                <w:lang w:bidi="ar"/>
                <w14:textFill>
                  <w14:solidFill>
                    <w14:schemeClr w14:val="tx1"/>
                  </w14:solidFill>
                </w14:textFill>
              </w:rPr>
              <w:t>②</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故障响应；</w:t>
            </w:r>
            <w:r>
              <w:rPr>
                <w:rFonts w:hint="eastAsia" w:ascii="宋体" w:hAnsi="宋体" w:cs="宋体"/>
                <w:color w:val="000000" w:themeColor="text1"/>
                <w:kern w:val="0"/>
                <w:sz w:val="24"/>
                <w:szCs w:val="24"/>
                <w:highlight w:val="none"/>
                <w:lang w:bidi="ar"/>
                <w14:textFill>
                  <w14:solidFill>
                    <w14:schemeClr w14:val="tx1"/>
                  </w14:solidFill>
                </w14:textFill>
              </w:rPr>
              <w:t>③</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故障处理；</w:t>
            </w:r>
          </w:p>
          <w:p w14:paraId="6E67A607">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kern w:val="0"/>
                <w:sz w:val="24"/>
                <w:szCs w:val="21"/>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注：以上内容完整且完全满足项目要求得</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3</w:t>
            </w:r>
            <w:r>
              <w:rPr>
                <w:rFonts w:hint="eastAsia" w:ascii="宋体" w:hAnsi="宋体" w:cs="宋体"/>
                <w:color w:val="000000" w:themeColor="text1"/>
                <w:kern w:val="0"/>
                <w:sz w:val="24"/>
                <w:szCs w:val="24"/>
                <w:highlight w:val="none"/>
                <w:lang w:bidi="ar"/>
                <w14:textFill>
                  <w14:solidFill>
                    <w14:schemeClr w14:val="tx1"/>
                  </w14:solidFill>
                </w14:textFill>
              </w:rPr>
              <w:t>分，每缺失一项内容扣</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1</w:t>
            </w:r>
            <w:r>
              <w:rPr>
                <w:rFonts w:hint="eastAsia" w:ascii="宋体" w:hAnsi="宋体" w:cs="宋体"/>
                <w:color w:val="000000" w:themeColor="text1"/>
                <w:kern w:val="0"/>
                <w:sz w:val="24"/>
                <w:szCs w:val="24"/>
                <w:highlight w:val="none"/>
                <w:lang w:bidi="ar"/>
                <w14:textFill>
                  <w14:solidFill>
                    <w14:schemeClr w14:val="tx1"/>
                  </w14:solidFill>
                </w14:textFill>
              </w:rPr>
              <w:t>分，每项内容中每</w:t>
            </w:r>
            <w:r>
              <w:rPr>
                <w:rFonts w:hAnsi="宋体"/>
                <w:color w:val="000000" w:themeColor="text1"/>
                <w:kern w:val="0"/>
                <w:sz w:val="24"/>
                <w:szCs w:val="24"/>
                <w:highlight w:val="none"/>
                <w:lang w:bidi="ar"/>
                <w14:textFill>
                  <w14:solidFill>
                    <w14:schemeClr w14:val="tx1"/>
                  </w14:solidFill>
                </w14:textFill>
              </w:rPr>
              <w:t>有一处内容缺陷扣</w:t>
            </w:r>
            <w:r>
              <w:rPr>
                <w:rFonts w:hint="eastAsia"/>
                <w:color w:val="000000" w:themeColor="text1"/>
                <w:kern w:val="0"/>
                <w:sz w:val="24"/>
                <w:szCs w:val="24"/>
                <w:highlight w:val="none"/>
                <w:lang w:val="en-US" w:eastAsia="zh-CN" w:bidi="ar"/>
                <w14:textFill>
                  <w14:solidFill>
                    <w14:schemeClr w14:val="tx1"/>
                  </w14:solidFill>
                </w14:textFill>
              </w:rPr>
              <w:t>0.5</w:t>
            </w:r>
            <w:r>
              <w:rPr>
                <w:rFonts w:hAnsi="宋体"/>
                <w:color w:val="000000" w:themeColor="text1"/>
                <w:kern w:val="0"/>
                <w:sz w:val="24"/>
                <w:szCs w:val="24"/>
                <w:highlight w:val="none"/>
                <w:lang w:bidi="ar"/>
                <w14:textFill>
                  <w14:solidFill>
                    <w14:schemeClr w14:val="tx1"/>
                  </w14:solidFill>
                </w14:textFill>
              </w:rPr>
              <w:t>分</w:t>
            </w:r>
            <w:r>
              <w:rPr>
                <w:color w:val="000000" w:themeColor="text1"/>
                <w:kern w:val="0"/>
                <w:sz w:val="24"/>
                <w:szCs w:val="24"/>
                <w:highlight w:val="none"/>
                <w:lang w:bidi="ar"/>
                <w14:textFill>
                  <w14:solidFill>
                    <w14:schemeClr w14:val="tx1"/>
                  </w14:solidFill>
                </w14:textFill>
              </w:rPr>
              <w:t>(</w:t>
            </w:r>
            <w:r>
              <w:rPr>
                <w:rFonts w:hAnsi="宋体"/>
                <w:color w:val="000000" w:themeColor="text1"/>
                <w:kern w:val="0"/>
                <w:sz w:val="24"/>
                <w:szCs w:val="24"/>
                <w:highlight w:val="none"/>
                <w:lang w:bidi="ar"/>
                <w14:textFill>
                  <w14:solidFill>
                    <w14:schemeClr w14:val="tx1"/>
                  </w14:solidFill>
                </w14:textFill>
              </w:rPr>
              <w:t>缺陷是指：存在不适用项目实际情况的情形、凭空编造、内容前后不一致、前后逻辑错误、涉及的规范及标准错误、地点区域错误、内容遗漏、不符合采购需求等</w:t>
            </w:r>
            <w:r>
              <w:rPr>
                <w:color w:val="000000" w:themeColor="text1"/>
                <w:kern w:val="0"/>
                <w:sz w:val="24"/>
                <w:szCs w:val="24"/>
                <w:highlight w:val="none"/>
                <w:lang w:bidi="ar"/>
                <w14:textFill>
                  <w14:solidFill>
                    <w14:schemeClr w14:val="tx1"/>
                  </w14:solidFill>
                </w14:textFill>
              </w:rPr>
              <w:t xml:space="preserve">) </w:t>
            </w:r>
            <w:r>
              <w:rPr>
                <w:rFonts w:hAnsi="Calibri"/>
                <w:color w:val="000000" w:themeColor="text1"/>
                <w:kern w:val="0"/>
                <w:sz w:val="24"/>
                <w:szCs w:val="24"/>
                <w:highlight w:val="none"/>
                <w:lang w:bidi="ar"/>
                <w14:textFill>
                  <w14:solidFill>
                    <w14:schemeClr w14:val="tx1"/>
                  </w14:solidFill>
                </w14:textFill>
              </w:rPr>
              <w:t>，</w:t>
            </w:r>
            <w:r>
              <w:rPr>
                <w:rFonts w:hAnsi="宋体"/>
                <w:color w:val="000000" w:themeColor="text1"/>
                <w:kern w:val="0"/>
                <w:sz w:val="24"/>
                <w:szCs w:val="24"/>
                <w:highlight w:val="none"/>
                <w:lang w:bidi="ar"/>
                <w14:textFill>
                  <w14:solidFill>
                    <w14:schemeClr w14:val="tx1"/>
                  </w14:solidFill>
                </w14:textFill>
              </w:rPr>
              <w:t>每项内容</w:t>
            </w:r>
            <w:r>
              <w:rPr>
                <w:color w:val="000000" w:themeColor="text1"/>
                <w:kern w:val="0"/>
                <w:sz w:val="24"/>
                <w:szCs w:val="24"/>
                <w:highlight w:val="none"/>
                <w:lang w:bidi="ar"/>
                <w14:textFill>
                  <w14:solidFill>
                    <w14:schemeClr w14:val="tx1"/>
                  </w14:solidFill>
                </w14:textFill>
              </w:rPr>
              <w:t xml:space="preserve"> </w:t>
            </w:r>
            <w:r>
              <w:rPr>
                <w:rFonts w:hint="eastAsia"/>
                <w:color w:val="000000" w:themeColor="text1"/>
                <w:kern w:val="0"/>
                <w:sz w:val="24"/>
                <w:szCs w:val="24"/>
                <w:highlight w:val="none"/>
                <w:lang w:val="en-US" w:eastAsia="zh-CN" w:bidi="ar"/>
                <w14:textFill>
                  <w14:solidFill>
                    <w14:schemeClr w14:val="tx1"/>
                  </w14:solidFill>
                </w14:textFill>
              </w:rPr>
              <w:t>1</w:t>
            </w:r>
            <w:r>
              <w:rPr>
                <w:rFonts w:hAnsi="宋体"/>
                <w:color w:val="000000" w:themeColor="text1"/>
                <w:kern w:val="0"/>
                <w:sz w:val="24"/>
                <w:szCs w:val="24"/>
                <w:highlight w:val="none"/>
                <w:lang w:bidi="ar"/>
                <w14:textFill>
                  <w14:solidFill>
                    <w14:schemeClr w14:val="tx1"/>
                  </w14:solidFill>
                </w14:textFill>
              </w:rPr>
              <w:t>分，如一项内容中存在</w:t>
            </w:r>
            <w:r>
              <w:rPr>
                <w:color w:val="000000" w:themeColor="text1"/>
                <w:kern w:val="0"/>
                <w:sz w:val="24"/>
                <w:szCs w:val="24"/>
                <w:highlight w:val="none"/>
                <w:lang w:bidi="ar"/>
                <w14:textFill>
                  <w14:solidFill>
                    <w14:schemeClr w14:val="tx1"/>
                  </w14:solidFill>
                </w14:textFill>
              </w:rPr>
              <w:t>2</w:t>
            </w:r>
            <w:r>
              <w:rPr>
                <w:rFonts w:hAnsi="宋体"/>
                <w:color w:val="000000" w:themeColor="text1"/>
                <w:kern w:val="0"/>
                <w:sz w:val="24"/>
                <w:szCs w:val="24"/>
                <w:highlight w:val="none"/>
                <w:lang w:bidi="ar"/>
                <w14:textFill>
                  <w14:solidFill>
                    <w14:schemeClr w14:val="tx1"/>
                  </w14:solidFill>
                </w14:textFill>
              </w:rPr>
              <w:t>处（含）错误则</w:t>
            </w:r>
            <w:r>
              <w:rPr>
                <w:rFonts w:hint="eastAsia"/>
                <w:color w:val="000000" w:themeColor="text1"/>
                <w:kern w:val="0"/>
                <w:sz w:val="24"/>
                <w:szCs w:val="24"/>
                <w:highlight w:val="none"/>
                <w:lang w:val="en-US" w:eastAsia="zh-CN" w:bidi="ar"/>
                <w14:textFill>
                  <w14:solidFill>
                    <w14:schemeClr w14:val="tx1"/>
                  </w14:solidFill>
                </w14:textFill>
              </w:rPr>
              <w:t>1</w:t>
            </w:r>
            <w:r>
              <w:rPr>
                <w:rFonts w:hAnsi="宋体"/>
                <w:color w:val="000000" w:themeColor="text1"/>
                <w:kern w:val="0"/>
                <w:sz w:val="24"/>
                <w:szCs w:val="24"/>
                <w:highlight w:val="none"/>
                <w:lang w:bidi="ar"/>
                <w14:textFill>
                  <w14:solidFill>
                    <w14:schemeClr w14:val="tx1"/>
                  </w14:solidFill>
                </w14:textFill>
              </w:rPr>
              <w:t>分扣完</w:t>
            </w:r>
            <w:r>
              <w:rPr>
                <w:rFonts w:hint="eastAsia" w:hAnsi="宋体"/>
                <w:color w:val="000000" w:themeColor="text1"/>
                <w:kern w:val="0"/>
                <w:sz w:val="24"/>
                <w:szCs w:val="24"/>
                <w:highlight w:val="none"/>
                <w:lang w:eastAsia="zh-CN" w:bidi="ar"/>
                <w14:textFill>
                  <w14:solidFill>
                    <w14:schemeClr w14:val="tx1"/>
                  </w14:solidFill>
                </w14:textFill>
              </w:rPr>
              <w:t>，不提供不得分</w:t>
            </w:r>
            <w:r>
              <w:rPr>
                <w:rFonts w:hAnsi="宋体"/>
                <w:color w:val="000000" w:themeColor="text1"/>
                <w:kern w:val="0"/>
                <w:sz w:val="24"/>
                <w:szCs w:val="24"/>
                <w:highlight w:val="none"/>
                <w:lang w:bidi="ar"/>
                <w14:textFill>
                  <w14:solidFill>
                    <w14:schemeClr w14:val="tx1"/>
                  </w14:solidFill>
                </w14:textFill>
              </w:rPr>
              <w:t>。</w:t>
            </w:r>
          </w:p>
        </w:tc>
        <w:tc>
          <w:tcPr>
            <w:tcW w:w="756" w:type="dxa"/>
            <w:shd w:val="clear" w:color="auto" w:fill="auto"/>
            <w:noWrap w:val="0"/>
            <w:vAlign w:val="center"/>
          </w:tcPr>
          <w:p w14:paraId="2EF56452">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kern w:val="0"/>
                <w:sz w:val="24"/>
                <w:szCs w:val="21"/>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756" w:type="dxa"/>
            <w:noWrap w:val="0"/>
            <w:vAlign w:val="center"/>
          </w:tcPr>
          <w:p w14:paraId="42B9DE5A">
            <w:pPr>
              <w:widowControl/>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021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07" w:type="dxa"/>
            <w:vMerge w:val="continue"/>
            <w:noWrap w:val="0"/>
            <w:vAlign w:val="center"/>
          </w:tcPr>
          <w:p w14:paraId="6304F667">
            <w:pPr>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245" w:type="dxa"/>
            <w:shd w:val="clear" w:color="auto" w:fill="auto"/>
            <w:noWrap w:val="0"/>
            <w:vAlign w:val="center"/>
          </w:tcPr>
          <w:p w14:paraId="33D1C1A6">
            <w:pPr>
              <w:keepNext w:val="0"/>
              <w:keepLines w:val="0"/>
              <w:pageBreakBefore w:val="0"/>
              <w:kinsoku/>
              <w:wordWrap/>
              <w:overflowPunct/>
              <w:topLinePunct w:val="0"/>
              <w:autoSpaceDE/>
              <w:autoSpaceDN/>
              <w:bidi w:val="0"/>
              <w:adjustRightInd/>
              <w:spacing w:line="360" w:lineRule="exact"/>
              <w:jc w:val="left"/>
              <w:textAlignment w:val="auto"/>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人员配置</w:t>
            </w:r>
          </w:p>
        </w:tc>
        <w:tc>
          <w:tcPr>
            <w:tcW w:w="4958" w:type="dxa"/>
            <w:shd w:val="clear" w:color="auto" w:fill="auto"/>
            <w:noWrap w:val="0"/>
            <w:vAlign w:val="center"/>
          </w:tcPr>
          <w:p w14:paraId="38BBB43E">
            <w:pPr>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1、投标人拟派的1名项目经理具有人社部、工信部颁发的信息系统项目管理师证书。</w:t>
            </w:r>
          </w:p>
          <w:p w14:paraId="39156C99">
            <w:pPr>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2、投标人拟派的项目经理具有至少2个近三年类似业绩（2023年1月1日至今），类似业绩以合同签订时间为准，提供合同</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或</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中标（成交）通知书或加盖甲方公章的验收单原件扫描件，加盖投标人公章。</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(不可与企业业绩重复，重复该项不计分）</w:t>
            </w:r>
          </w:p>
          <w:p w14:paraId="439E7AEB">
            <w:pPr>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3.拟投入本项目人员（除项目经理外），提供现场实施及驻场服务人员（具有相关专业中级及以上工程师职称证书）不少于4人</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w:t>
            </w:r>
          </w:p>
          <w:p w14:paraId="22A38593">
            <w:pPr>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驻场时间不少于6个月。</w:t>
            </w:r>
          </w:p>
          <w:p w14:paraId="0B6261B5">
            <w:pPr>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注：提供有效期内证明资料的原件扫描件</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提供人员名单及</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身份证复印件</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证明</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w:t>
            </w:r>
          </w:p>
          <w:p w14:paraId="0013E663">
            <w:pPr>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以上要求全部满足得4分</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，每满足1条得1分，</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否则不得分。</w:t>
            </w:r>
          </w:p>
        </w:tc>
        <w:tc>
          <w:tcPr>
            <w:tcW w:w="756" w:type="dxa"/>
            <w:shd w:val="clear" w:color="000000" w:fill="FFFFFF"/>
            <w:noWrap w:val="0"/>
            <w:vAlign w:val="center"/>
          </w:tcPr>
          <w:p w14:paraId="4CC7EC05">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p>
        </w:tc>
        <w:tc>
          <w:tcPr>
            <w:tcW w:w="756" w:type="dxa"/>
            <w:noWrap w:val="0"/>
            <w:vAlign w:val="center"/>
          </w:tcPr>
          <w:p w14:paraId="7915A942">
            <w:pPr>
              <w:jc w:val="left"/>
              <w:rPr>
                <w:rFonts w:hint="eastAsia" w:ascii="宋体" w:hAnsi="宋体" w:eastAsia="宋体" w:cs="宋体"/>
                <w:color w:val="000000" w:themeColor="text1"/>
                <w:kern w:val="0"/>
                <w:sz w:val="24"/>
                <w:szCs w:val="24"/>
                <w:highlight w:val="none"/>
                <w14:textFill>
                  <w14:solidFill>
                    <w14:schemeClr w14:val="tx1"/>
                  </w14:solidFill>
                </w14:textFill>
              </w:rPr>
            </w:pPr>
          </w:p>
        </w:tc>
      </w:tr>
    </w:tbl>
    <w:p w14:paraId="449F907D">
      <w:pPr>
        <w:pStyle w:val="22"/>
        <w:keepNext w:val="0"/>
        <w:keepLines w:val="0"/>
        <w:pageBreakBefore w:val="0"/>
        <w:widowControl w:val="0"/>
        <w:kinsoku/>
        <w:wordWrap/>
        <w:overflowPunct/>
        <w:topLinePunct w:val="0"/>
        <w:autoSpaceDE/>
        <w:autoSpaceDN/>
        <w:bidi w:val="0"/>
        <w:adjustRightInd/>
        <w:snapToGrid w:val="0"/>
        <w:spacing w:before="396" w:after="276"/>
        <w:ind w:right="28"/>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p>
    <w:p w14:paraId="5C94E6B2">
      <w:pPr>
        <w:pStyle w:val="5"/>
        <w:ind w:firstLine="2209" w:firstLineChars="500"/>
        <w:jc w:val="both"/>
        <w:rPr>
          <w:rFonts w:hint="eastAsia" w:ascii="宋体" w:hAnsi="宋体" w:eastAsia="宋体" w:cs="宋体"/>
          <w:color w:val="000000" w:themeColor="text1"/>
          <w:highlight w:val="none"/>
          <w14:textFill>
            <w14:solidFill>
              <w14:schemeClr w14:val="tx1"/>
            </w14:solidFill>
          </w14:textFill>
        </w:rPr>
      </w:pPr>
    </w:p>
    <w:p w14:paraId="7639A977">
      <w:pPr>
        <w:rPr>
          <w:rFonts w:hint="eastAsia" w:ascii="宋体" w:hAnsi="宋体" w:eastAsia="宋体" w:cs="宋体"/>
          <w:color w:val="000000" w:themeColor="text1"/>
          <w:highlight w:val="none"/>
          <w14:textFill>
            <w14:solidFill>
              <w14:schemeClr w14:val="tx1"/>
            </w14:solidFill>
          </w14:textFill>
        </w:rPr>
      </w:pPr>
    </w:p>
    <w:p w14:paraId="052712BD">
      <w:pPr>
        <w:rPr>
          <w:rFonts w:hint="eastAsia" w:ascii="宋体" w:hAnsi="宋体" w:eastAsia="宋体" w:cs="宋体"/>
          <w:color w:val="000000" w:themeColor="text1"/>
          <w:highlight w:val="none"/>
          <w14:textFill>
            <w14:solidFill>
              <w14:schemeClr w14:val="tx1"/>
            </w14:solidFill>
          </w14:textFill>
        </w:rPr>
      </w:pPr>
    </w:p>
    <w:p w14:paraId="79007014">
      <w:pPr>
        <w:rPr>
          <w:rFonts w:hint="eastAsia" w:ascii="宋体" w:hAnsi="宋体" w:eastAsia="宋体" w:cs="宋体"/>
          <w:color w:val="000000" w:themeColor="text1"/>
          <w:highlight w:val="none"/>
          <w14:textFill>
            <w14:solidFill>
              <w14:schemeClr w14:val="tx1"/>
            </w14:solidFill>
          </w14:textFill>
        </w:rPr>
      </w:pPr>
    </w:p>
    <w:p w14:paraId="6F27BF3A">
      <w:pPr>
        <w:rPr>
          <w:rFonts w:hint="eastAsia" w:ascii="宋体" w:hAnsi="宋体" w:eastAsia="宋体" w:cs="宋体"/>
          <w:color w:val="000000" w:themeColor="text1"/>
          <w:highlight w:val="none"/>
          <w14:textFill>
            <w14:solidFill>
              <w14:schemeClr w14:val="tx1"/>
            </w14:solidFill>
          </w14:textFill>
        </w:rPr>
      </w:pPr>
    </w:p>
    <w:p w14:paraId="5B8597BF">
      <w:pPr>
        <w:rPr>
          <w:rFonts w:hint="eastAsia" w:ascii="宋体" w:hAnsi="宋体" w:eastAsia="宋体" w:cs="宋体"/>
          <w:color w:val="000000" w:themeColor="text1"/>
          <w:highlight w:val="none"/>
          <w14:textFill>
            <w14:solidFill>
              <w14:schemeClr w14:val="tx1"/>
            </w14:solidFill>
          </w14:textFill>
        </w:rPr>
      </w:pPr>
    </w:p>
    <w:p w14:paraId="513B81EE">
      <w:pPr>
        <w:rPr>
          <w:rFonts w:hint="eastAsia" w:ascii="宋体" w:hAnsi="宋体" w:eastAsia="宋体" w:cs="宋体"/>
          <w:color w:val="000000" w:themeColor="text1"/>
          <w:highlight w:val="none"/>
          <w14:textFill>
            <w14:solidFill>
              <w14:schemeClr w14:val="tx1"/>
            </w14:solidFill>
          </w14:textFill>
        </w:rPr>
      </w:pPr>
    </w:p>
    <w:p w14:paraId="037805E4">
      <w:pPr>
        <w:rPr>
          <w:rFonts w:hint="eastAsia" w:ascii="宋体" w:hAnsi="宋体" w:eastAsia="宋体" w:cs="宋体"/>
          <w:color w:val="000000" w:themeColor="text1"/>
          <w:highlight w:val="none"/>
          <w14:textFill>
            <w14:solidFill>
              <w14:schemeClr w14:val="tx1"/>
            </w14:solidFill>
          </w14:textFill>
        </w:rPr>
      </w:pPr>
    </w:p>
    <w:p w14:paraId="05A81565">
      <w:pPr>
        <w:pStyle w:val="6"/>
        <w:rPr>
          <w:rFonts w:hint="eastAsia"/>
          <w:color w:val="000000" w:themeColor="text1"/>
          <w:highlight w:val="none"/>
          <w14:textFill>
            <w14:solidFill>
              <w14:schemeClr w14:val="tx1"/>
            </w14:solidFill>
          </w14:textFill>
        </w:rPr>
      </w:pPr>
    </w:p>
    <w:p w14:paraId="1B691CE5">
      <w:pPr>
        <w:rPr>
          <w:rFonts w:hint="eastAsia" w:ascii="宋体" w:hAnsi="宋体" w:eastAsia="宋体" w:cs="宋体"/>
          <w:color w:val="000000" w:themeColor="text1"/>
          <w:highlight w:val="none"/>
          <w14:textFill>
            <w14:solidFill>
              <w14:schemeClr w14:val="tx1"/>
            </w14:solidFill>
          </w14:textFill>
        </w:rPr>
      </w:pPr>
    </w:p>
    <w:p w14:paraId="5C534CB7">
      <w:pPr>
        <w:rPr>
          <w:rFonts w:hint="eastAsia" w:ascii="宋体" w:hAnsi="宋体" w:eastAsia="宋体" w:cs="宋体"/>
          <w:color w:val="000000" w:themeColor="text1"/>
          <w:highlight w:val="none"/>
          <w14:textFill>
            <w14:solidFill>
              <w14:schemeClr w14:val="tx1"/>
            </w14:solidFill>
          </w14:textFill>
        </w:rPr>
      </w:pPr>
    </w:p>
    <w:p w14:paraId="4B1F9A48">
      <w:pPr>
        <w:rPr>
          <w:rFonts w:hint="eastAsia" w:ascii="宋体" w:hAnsi="宋体" w:eastAsia="宋体" w:cs="宋体"/>
          <w:color w:val="000000" w:themeColor="text1"/>
          <w:highlight w:val="none"/>
          <w14:textFill>
            <w14:solidFill>
              <w14:schemeClr w14:val="tx1"/>
            </w14:solidFill>
          </w14:textFill>
        </w:rPr>
      </w:pPr>
    </w:p>
    <w:p w14:paraId="4032202E">
      <w:pPr>
        <w:rPr>
          <w:rFonts w:hint="eastAsia" w:ascii="宋体" w:hAnsi="宋体" w:eastAsia="宋体" w:cs="宋体"/>
          <w:color w:val="000000" w:themeColor="text1"/>
          <w:highlight w:val="none"/>
          <w14:textFill>
            <w14:solidFill>
              <w14:schemeClr w14:val="tx1"/>
            </w14:solidFill>
          </w14:textFill>
        </w:rPr>
      </w:pPr>
    </w:p>
    <w:p w14:paraId="53636AD2">
      <w:pPr>
        <w:pStyle w:val="5"/>
        <w:ind w:firstLine="2209" w:firstLineChars="50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第六章  投标文件格式 </w:t>
      </w:r>
    </w:p>
    <w:p w14:paraId="12338E93">
      <w:pPr>
        <w:jc w:val="center"/>
        <w:rPr>
          <w:rFonts w:hint="eastAsia" w:ascii="宋体" w:hAnsi="宋体" w:eastAsia="宋体" w:cs="宋体"/>
          <w:b/>
          <w:color w:val="000000" w:themeColor="text1"/>
          <w:sz w:val="72"/>
          <w:highlight w:val="none"/>
          <w14:textFill>
            <w14:solidFill>
              <w14:schemeClr w14:val="tx1"/>
            </w14:solidFill>
          </w14:textFill>
        </w:rPr>
      </w:pPr>
      <w:bookmarkStart w:id="205" w:name="_Hlt26955039"/>
      <w:bookmarkEnd w:id="205"/>
      <w:bookmarkStart w:id="206" w:name="_Hlt26671244"/>
      <w:bookmarkEnd w:id="206"/>
      <w:bookmarkStart w:id="207" w:name="_Toc26554094"/>
      <w:bookmarkStart w:id="208" w:name="_Toc120614282"/>
      <w:bookmarkStart w:id="209" w:name="_Toc49090576"/>
    </w:p>
    <w:p w14:paraId="0BE3A43D">
      <w:pPr>
        <w:jc w:val="center"/>
        <w:rPr>
          <w:rFonts w:hint="eastAsia" w:ascii="宋体" w:hAnsi="宋体" w:eastAsia="宋体" w:cs="宋体"/>
          <w:b/>
          <w:color w:val="000000" w:themeColor="text1"/>
          <w:sz w:val="72"/>
          <w:highlight w:val="none"/>
          <w14:textFill>
            <w14:solidFill>
              <w14:schemeClr w14:val="tx1"/>
            </w14:solidFill>
          </w14:textFill>
        </w:rPr>
      </w:pPr>
      <w:r>
        <w:rPr>
          <w:rFonts w:hint="eastAsia" w:ascii="宋体" w:hAnsi="宋体" w:eastAsia="宋体" w:cs="宋体"/>
          <w:b/>
          <w:color w:val="000000" w:themeColor="text1"/>
          <w:sz w:val="72"/>
          <w:highlight w:val="none"/>
          <w14:textFill>
            <w14:solidFill>
              <w14:schemeClr w14:val="tx1"/>
            </w14:solidFill>
          </w14:textFill>
        </w:rPr>
        <w:t>投  标  文  件</w:t>
      </w:r>
    </w:p>
    <w:p w14:paraId="0951F5D9">
      <w:pPr>
        <w:jc w:val="center"/>
        <w:rPr>
          <w:rFonts w:hint="eastAsia" w:ascii="宋体" w:hAnsi="宋体" w:eastAsia="宋体" w:cs="宋体"/>
          <w:b/>
          <w:color w:val="000000" w:themeColor="text1"/>
          <w:sz w:val="72"/>
          <w:highlight w:val="none"/>
          <w14:textFill>
            <w14:solidFill>
              <w14:schemeClr w14:val="tx1"/>
            </w14:solidFill>
          </w14:textFill>
        </w:rPr>
      </w:pPr>
    </w:p>
    <w:p w14:paraId="530289F8">
      <w:pPr>
        <w:jc w:val="center"/>
        <w:rPr>
          <w:rFonts w:hint="eastAsia" w:ascii="宋体" w:hAnsi="宋体" w:eastAsia="宋体" w:cs="宋体"/>
          <w:b/>
          <w:color w:val="000000" w:themeColor="text1"/>
          <w:sz w:val="72"/>
          <w:highlight w:val="none"/>
          <w14:textFill>
            <w14:solidFill>
              <w14:schemeClr w14:val="tx1"/>
            </w14:solidFill>
          </w14:textFill>
        </w:rPr>
      </w:pPr>
    </w:p>
    <w:p w14:paraId="7BC74956">
      <w:pPr>
        <w:jc w:val="center"/>
        <w:rPr>
          <w:rFonts w:hint="eastAsia" w:ascii="宋体" w:hAnsi="宋体" w:eastAsia="宋体" w:cs="宋体"/>
          <w:b/>
          <w:color w:val="000000" w:themeColor="text1"/>
          <w:sz w:val="36"/>
          <w:highlight w:val="none"/>
          <w14:textFill>
            <w14:solidFill>
              <w14:schemeClr w14:val="tx1"/>
            </w14:solidFill>
          </w14:textFill>
        </w:rPr>
      </w:pPr>
    </w:p>
    <w:p w14:paraId="0AC9F503">
      <w:pPr>
        <w:jc w:val="center"/>
        <w:rPr>
          <w:rFonts w:hint="eastAsia" w:ascii="宋体" w:hAnsi="宋体" w:eastAsia="宋体" w:cs="宋体"/>
          <w:b/>
          <w:color w:val="000000" w:themeColor="text1"/>
          <w:sz w:val="36"/>
          <w:highlight w:val="none"/>
          <w14:textFill>
            <w14:solidFill>
              <w14:schemeClr w14:val="tx1"/>
            </w14:solidFill>
          </w14:textFill>
        </w:rPr>
      </w:pPr>
    </w:p>
    <w:p w14:paraId="03A87BFC">
      <w:pPr>
        <w:jc w:val="center"/>
        <w:rPr>
          <w:rFonts w:hint="eastAsia" w:ascii="宋体" w:hAnsi="宋体" w:eastAsia="宋体" w:cs="宋体"/>
          <w:b/>
          <w:color w:val="000000" w:themeColor="text1"/>
          <w:sz w:val="36"/>
          <w:highlight w:val="none"/>
          <w14:textFill>
            <w14:solidFill>
              <w14:schemeClr w14:val="tx1"/>
            </w14:solidFill>
          </w14:textFill>
        </w:rPr>
      </w:pPr>
    </w:p>
    <w:p w14:paraId="67CF9BA2">
      <w:pPr>
        <w:ind w:firstLine="1084" w:firstLineChars="300"/>
        <w:rPr>
          <w:rFonts w:hint="eastAsia" w:ascii="宋体" w:hAnsi="宋体" w:eastAsia="宋体" w:cs="宋体"/>
          <w:b/>
          <w:color w:val="000000" w:themeColor="text1"/>
          <w:sz w:val="36"/>
          <w:highlight w:val="none"/>
          <w14:textFill>
            <w14:solidFill>
              <w14:schemeClr w14:val="tx1"/>
            </w14:solidFill>
          </w14:textFill>
        </w:rPr>
      </w:pPr>
      <w:r>
        <w:rPr>
          <w:rFonts w:hint="eastAsia" w:ascii="宋体" w:hAnsi="宋体" w:eastAsia="宋体" w:cs="宋体"/>
          <w:b/>
          <w:color w:val="000000" w:themeColor="text1"/>
          <w:sz w:val="36"/>
          <w:highlight w:val="none"/>
          <w14:textFill>
            <w14:solidFill>
              <w14:schemeClr w14:val="tx1"/>
            </w14:solidFill>
          </w14:textFill>
        </w:rPr>
        <w:t>项 目 名 称：</w:t>
      </w:r>
      <w:r>
        <w:rPr>
          <w:rFonts w:hint="eastAsia" w:ascii="宋体" w:hAnsi="宋体" w:eastAsia="宋体" w:cs="宋体"/>
          <w:b/>
          <w:color w:val="000000" w:themeColor="text1"/>
          <w:sz w:val="36"/>
          <w:highlight w:val="none"/>
          <w:u w:val="single"/>
          <w14:textFill>
            <w14:solidFill>
              <w14:schemeClr w14:val="tx1"/>
            </w14:solidFill>
          </w14:textFill>
        </w:rPr>
        <w:t xml:space="preserve">               </w:t>
      </w:r>
    </w:p>
    <w:p w14:paraId="163EDFBE">
      <w:pPr>
        <w:ind w:firstLine="1084" w:firstLineChars="300"/>
        <w:rPr>
          <w:rFonts w:hint="eastAsia" w:ascii="宋体" w:hAnsi="宋体" w:eastAsia="宋体" w:cs="宋体"/>
          <w:b/>
          <w:color w:val="000000" w:themeColor="text1"/>
          <w:sz w:val="36"/>
          <w:highlight w:val="none"/>
          <w:u w:val="single"/>
          <w14:textFill>
            <w14:solidFill>
              <w14:schemeClr w14:val="tx1"/>
            </w14:solidFill>
          </w14:textFill>
        </w:rPr>
      </w:pPr>
      <w:r>
        <w:rPr>
          <w:rFonts w:hint="eastAsia" w:ascii="宋体" w:hAnsi="宋体" w:eastAsia="宋体" w:cs="宋体"/>
          <w:b/>
          <w:color w:val="000000" w:themeColor="text1"/>
          <w:sz w:val="36"/>
          <w:highlight w:val="none"/>
          <w:lang w:val="en-US" w:eastAsia="zh-CN"/>
          <w14:textFill>
            <w14:solidFill>
              <w14:schemeClr w14:val="tx1"/>
            </w14:solidFill>
          </w14:textFill>
        </w:rPr>
        <w:t>项 目</w:t>
      </w:r>
      <w:r>
        <w:rPr>
          <w:rFonts w:hint="eastAsia" w:ascii="宋体" w:hAnsi="宋体" w:eastAsia="宋体" w:cs="宋体"/>
          <w:b/>
          <w:color w:val="000000" w:themeColor="text1"/>
          <w:sz w:val="36"/>
          <w:highlight w:val="none"/>
          <w14:textFill>
            <w14:solidFill>
              <w14:schemeClr w14:val="tx1"/>
            </w14:solidFill>
          </w14:textFill>
        </w:rPr>
        <w:t xml:space="preserve"> 编 号：</w:t>
      </w:r>
      <w:r>
        <w:rPr>
          <w:rFonts w:hint="eastAsia" w:ascii="宋体" w:hAnsi="宋体" w:eastAsia="宋体" w:cs="宋体"/>
          <w:b/>
          <w:color w:val="000000" w:themeColor="text1"/>
          <w:sz w:val="36"/>
          <w:highlight w:val="none"/>
          <w:u w:val="single"/>
          <w14:textFill>
            <w14:solidFill>
              <w14:schemeClr w14:val="tx1"/>
            </w14:solidFill>
          </w14:textFill>
        </w:rPr>
        <w:t xml:space="preserve">               </w:t>
      </w:r>
    </w:p>
    <w:p w14:paraId="3949E0F3">
      <w:pPr>
        <w:rPr>
          <w:rFonts w:hint="eastAsia" w:ascii="宋体" w:hAnsi="宋体" w:eastAsia="宋体" w:cs="宋体"/>
          <w:b/>
          <w:color w:val="000000" w:themeColor="text1"/>
          <w:sz w:val="36"/>
          <w:highlight w:val="none"/>
          <w:u w:val="single"/>
          <w14:textFill>
            <w14:solidFill>
              <w14:schemeClr w14:val="tx1"/>
            </w14:solidFill>
          </w14:textFill>
        </w:rPr>
      </w:pPr>
      <w:r>
        <w:rPr>
          <w:rFonts w:hint="eastAsia" w:ascii="宋体" w:hAnsi="宋体" w:eastAsia="宋体" w:cs="宋体"/>
          <w:b/>
          <w:color w:val="000000" w:themeColor="text1"/>
          <w:sz w:val="36"/>
          <w:highlight w:val="none"/>
          <w14:textFill>
            <w14:solidFill>
              <w14:schemeClr w14:val="tx1"/>
            </w14:solidFill>
          </w14:textFill>
        </w:rPr>
        <w:t xml:space="preserve">      </w:t>
      </w:r>
      <w:r>
        <w:rPr>
          <w:rFonts w:hint="eastAsia" w:ascii="宋体" w:hAnsi="宋体" w:eastAsia="宋体" w:cs="宋体"/>
          <w:b/>
          <w:color w:val="000000" w:themeColor="text1"/>
          <w:sz w:val="36"/>
          <w:highlight w:val="none"/>
          <w:lang w:val="en-US" w:eastAsia="zh-CN"/>
          <w14:textFill>
            <w14:solidFill>
              <w14:schemeClr w14:val="tx1"/>
            </w14:solidFill>
          </w14:textFill>
        </w:rPr>
        <w:t>供应商</w:t>
      </w:r>
      <w:r>
        <w:rPr>
          <w:rFonts w:hint="eastAsia" w:ascii="宋体" w:hAnsi="宋体" w:eastAsia="宋体" w:cs="宋体"/>
          <w:b/>
          <w:color w:val="000000" w:themeColor="text1"/>
          <w:sz w:val="36"/>
          <w:highlight w:val="none"/>
          <w14:textFill>
            <w14:solidFill>
              <w14:schemeClr w14:val="tx1"/>
            </w14:solidFill>
          </w14:textFill>
        </w:rPr>
        <w:t>名称 ：</w:t>
      </w:r>
      <w:r>
        <w:rPr>
          <w:rFonts w:hint="eastAsia" w:ascii="宋体" w:hAnsi="宋体" w:eastAsia="宋体" w:cs="宋体"/>
          <w:b/>
          <w:color w:val="000000" w:themeColor="text1"/>
          <w:sz w:val="36"/>
          <w:highlight w:val="none"/>
          <w:u w:val="single"/>
          <w14:textFill>
            <w14:solidFill>
              <w14:schemeClr w14:val="tx1"/>
            </w14:solidFill>
          </w14:textFill>
        </w:rPr>
        <w:t>（电子签章）</w:t>
      </w:r>
      <w:r>
        <w:rPr>
          <w:rFonts w:hint="eastAsia" w:ascii="宋体" w:hAnsi="宋体" w:eastAsia="宋体" w:cs="宋体"/>
          <w:b/>
          <w:color w:val="000000" w:themeColor="text1"/>
          <w:sz w:val="36"/>
          <w:highlight w:val="none"/>
          <w:u w:val="none"/>
          <w:lang w:val="en-US" w:eastAsia="zh-CN"/>
          <w14:textFill>
            <w14:solidFill>
              <w14:schemeClr w14:val="tx1"/>
            </w14:solidFill>
          </w14:textFill>
        </w:rPr>
        <w:t xml:space="preserve">  </w:t>
      </w:r>
      <w:r>
        <w:rPr>
          <w:rFonts w:hint="eastAsia" w:ascii="宋体" w:hAnsi="宋体" w:eastAsia="宋体" w:cs="宋体"/>
          <w:b/>
          <w:color w:val="000000" w:themeColor="text1"/>
          <w:sz w:val="36"/>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36"/>
          <w:highlight w:val="none"/>
          <w:u w:val="single"/>
          <w14:textFill>
            <w14:solidFill>
              <w14:schemeClr w14:val="tx1"/>
            </w14:solidFill>
          </w14:textFill>
        </w:rPr>
        <w:t xml:space="preserve">               </w:t>
      </w:r>
    </w:p>
    <w:p w14:paraId="351D6852">
      <w:pPr>
        <w:ind w:firstLine="1084" w:firstLineChars="300"/>
        <w:rPr>
          <w:rFonts w:hint="eastAsia" w:ascii="宋体" w:hAnsi="宋体" w:eastAsia="宋体" w:cs="宋体"/>
          <w:b/>
          <w:color w:val="000000" w:themeColor="text1"/>
          <w:sz w:val="36"/>
          <w:highlight w:val="none"/>
          <w14:textFill>
            <w14:solidFill>
              <w14:schemeClr w14:val="tx1"/>
            </w14:solidFill>
          </w14:textFill>
        </w:rPr>
      </w:pPr>
      <w:r>
        <w:rPr>
          <w:rFonts w:hint="eastAsia" w:ascii="宋体" w:hAnsi="宋体" w:eastAsia="宋体" w:cs="宋体"/>
          <w:b/>
          <w:color w:val="000000" w:themeColor="text1"/>
          <w:sz w:val="36"/>
          <w:highlight w:val="none"/>
          <w14:textFill>
            <w14:solidFill>
              <w14:schemeClr w14:val="tx1"/>
            </w14:solidFill>
          </w14:textFill>
        </w:rPr>
        <w:t>日      期 ：</w:t>
      </w:r>
    </w:p>
    <w:p w14:paraId="727D31AE">
      <w:pPr>
        <w:rPr>
          <w:rFonts w:hint="eastAsia" w:ascii="宋体" w:hAnsi="宋体" w:eastAsia="宋体" w:cs="宋体"/>
          <w:b/>
          <w:color w:val="000000" w:themeColor="text1"/>
          <w:sz w:val="36"/>
          <w:highlight w:val="none"/>
          <w14:textFill>
            <w14:solidFill>
              <w14:schemeClr w14:val="tx1"/>
            </w14:solidFill>
          </w14:textFill>
        </w:rPr>
      </w:pPr>
      <w:r>
        <w:rPr>
          <w:rFonts w:hint="eastAsia" w:ascii="宋体" w:hAnsi="宋体" w:eastAsia="宋体" w:cs="宋体"/>
          <w:b/>
          <w:color w:val="000000" w:themeColor="text1"/>
          <w:sz w:val="36"/>
          <w:highlight w:val="none"/>
          <w:u w:val="single"/>
          <w14:textFill>
            <w14:solidFill>
              <w14:schemeClr w14:val="tx1"/>
            </w14:solidFill>
          </w14:textFill>
        </w:rPr>
        <w:t xml:space="preserve">              </w:t>
      </w:r>
    </w:p>
    <w:p w14:paraId="4F9B5FC7">
      <w:pPr>
        <w:spacing w:line="440" w:lineRule="exact"/>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2F991B7E">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26B92C73">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32F1A9D9">
      <w:pPr>
        <w:spacing w:line="44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p w14:paraId="7D400A9D">
      <w:pPr>
        <w:jc w:val="center"/>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评分索引表</w:t>
      </w:r>
    </w:p>
    <w:tbl>
      <w:tblPr>
        <w:tblStyle w:val="3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9"/>
        <w:gridCol w:w="3711"/>
      </w:tblGrid>
      <w:tr w14:paraId="430F7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top"/>
          </w:tcPr>
          <w:p w14:paraId="386678F4">
            <w:pPr>
              <w:pStyle w:val="86"/>
              <w:shd w:val="clear" w:color="auto" w:fill="FFFFFF"/>
              <w:spacing w:line="265" w:lineRule="atLeast"/>
              <w:ind w:left="420"/>
              <w:jc w:val="center"/>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highlight w:val="none"/>
                <w:lang w:val="en-US"/>
                <w14:textFill>
                  <w14:solidFill>
                    <w14:schemeClr w14:val="tx1"/>
                  </w14:solidFill>
                </w14:textFill>
              </w:rPr>
              <w:t>评分项目</w:t>
            </w:r>
          </w:p>
        </w:tc>
        <w:tc>
          <w:tcPr>
            <w:tcW w:w="3711" w:type="dxa"/>
            <w:noWrap w:val="0"/>
            <w:vAlign w:val="top"/>
          </w:tcPr>
          <w:p w14:paraId="56397E92">
            <w:pPr>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kern w:val="0"/>
                <w:sz w:val="24"/>
                <w:highlight w:val="none"/>
                <w:lang w:bidi="en-US"/>
                <w14:textFill>
                  <w14:solidFill>
                    <w14:schemeClr w14:val="tx1"/>
                  </w14:solidFill>
                </w14:textFill>
              </w:rPr>
              <w:t>在投标文件中的页码位置（注明在**节点下第**页，如“技术参数响应及偏离表I”第**页）</w:t>
            </w:r>
          </w:p>
        </w:tc>
      </w:tr>
      <w:tr w14:paraId="4FBD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529" w:type="dxa"/>
            <w:noWrap w:val="0"/>
            <w:vAlign w:val="top"/>
          </w:tcPr>
          <w:p w14:paraId="0B0241B9">
            <w:pPr>
              <w:pStyle w:val="86"/>
              <w:shd w:val="clear" w:color="auto" w:fill="FFFFFF"/>
              <w:spacing w:line="265" w:lineRule="atLeast"/>
              <w:ind w:left="420"/>
              <w:jc w:val="both"/>
              <w:rPr>
                <w:rFonts w:hint="eastAsia" w:ascii="宋体" w:hAnsi="宋体" w:eastAsia="宋体" w:cs="宋体"/>
                <w:b/>
                <w:color w:val="000000" w:themeColor="text1"/>
                <w:highlight w:val="none"/>
                <w:lang w:val="en-US" w:eastAsia="zh-CN"/>
                <w14:textFill>
                  <w14:solidFill>
                    <w14:schemeClr w14:val="tx1"/>
                  </w14:solidFill>
                </w14:textFill>
              </w:rPr>
            </w:pPr>
          </w:p>
        </w:tc>
        <w:tc>
          <w:tcPr>
            <w:tcW w:w="3711" w:type="dxa"/>
            <w:noWrap w:val="0"/>
            <w:vAlign w:val="top"/>
          </w:tcPr>
          <w:p w14:paraId="713C8B10">
            <w:pPr>
              <w:rPr>
                <w:rFonts w:hint="eastAsia" w:ascii="宋体" w:hAnsi="宋体" w:eastAsia="宋体" w:cs="宋体"/>
                <w:b/>
                <w:color w:val="000000" w:themeColor="text1"/>
                <w:kern w:val="0"/>
                <w:sz w:val="24"/>
                <w:highlight w:val="none"/>
                <w:lang w:bidi="en-US"/>
                <w14:textFill>
                  <w14:solidFill>
                    <w14:schemeClr w14:val="tx1"/>
                  </w14:solidFill>
                </w14:textFill>
              </w:rPr>
            </w:pPr>
          </w:p>
        </w:tc>
      </w:tr>
      <w:tr w14:paraId="26965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val="0"/>
            <w:vAlign w:val="top"/>
          </w:tcPr>
          <w:p w14:paraId="37287C57">
            <w:pPr>
              <w:pStyle w:val="86"/>
              <w:shd w:val="clear" w:color="auto" w:fill="FFFFFF"/>
              <w:spacing w:line="265" w:lineRule="atLeast"/>
              <w:ind w:left="420"/>
              <w:jc w:val="both"/>
              <w:rPr>
                <w:rFonts w:hint="eastAsia" w:ascii="宋体" w:hAnsi="宋体" w:eastAsia="宋体" w:cs="宋体"/>
                <w:color w:val="000000" w:themeColor="text1"/>
                <w:highlight w:val="none"/>
                <w:lang w:val="en-US" w:eastAsia="zh-CN"/>
                <w14:textFill>
                  <w14:solidFill>
                    <w14:schemeClr w14:val="tx1"/>
                  </w14:solidFill>
                </w14:textFill>
              </w:rPr>
            </w:pPr>
          </w:p>
        </w:tc>
      </w:tr>
      <w:tr w14:paraId="23C8E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9" w:type="dxa"/>
            <w:noWrap w:val="0"/>
            <w:vAlign w:val="top"/>
          </w:tcPr>
          <w:p w14:paraId="27576B28">
            <w:pPr>
              <w:pStyle w:val="86"/>
              <w:shd w:val="clear" w:color="auto" w:fill="FFFFFF"/>
              <w:spacing w:line="265" w:lineRule="atLeast"/>
              <w:ind w:left="420"/>
              <w:rPr>
                <w:rFonts w:hint="eastAsia" w:ascii="宋体" w:hAnsi="宋体" w:eastAsia="宋体" w:cs="宋体"/>
                <w:color w:val="000000" w:themeColor="text1"/>
                <w:highlight w:val="none"/>
                <w:lang w:val="en-US" w:eastAsia="zh-CN"/>
                <w14:textFill>
                  <w14:solidFill>
                    <w14:schemeClr w14:val="tx1"/>
                  </w14:solidFill>
                </w14:textFill>
              </w:rPr>
            </w:pPr>
          </w:p>
        </w:tc>
        <w:tc>
          <w:tcPr>
            <w:tcW w:w="3711" w:type="dxa"/>
            <w:noWrap w:val="0"/>
            <w:vAlign w:val="top"/>
          </w:tcPr>
          <w:p w14:paraId="36AAC4DF">
            <w:pPr>
              <w:rPr>
                <w:rFonts w:hint="eastAsia" w:ascii="宋体" w:hAnsi="宋体" w:eastAsia="宋体" w:cs="宋体"/>
                <w:color w:val="000000" w:themeColor="text1"/>
                <w:highlight w:val="none"/>
                <w14:textFill>
                  <w14:solidFill>
                    <w14:schemeClr w14:val="tx1"/>
                  </w14:solidFill>
                </w14:textFill>
              </w:rPr>
            </w:pPr>
          </w:p>
        </w:tc>
      </w:tr>
      <w:tr w14:paraId="26DFC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124AD1D5">
            <w:pPr>
              <w:pStyle w:val="86"/>
              <w:shd w:val="clear" w:color="auto" w:fill="FFFFFF"/>
              <w:spacing w:line="265" w:lineRule="atLeast"/>
              <w:ind w:left="420"/>
              <w:rPr>
                <w:rFonts w:hint="eastAsia" w:ascii="宋体" w:hAnsi="宋体" w:eastAsia="宋体" w:cs="宋体"/>
                <w:color w:val="000000" w:themeColor="text1"/>
                <w:highlight w:val="none"/>
                <w:lang w:val="en-US" w:eastAsia="zh-CN"/>
                <w14:textFill>
                  <w14:solidFill>
                    <w14:schemeClr w14:val="tx1"/>
                  </w14:solidFill>
                </w14:textFill>
              </w:rPr>
            </w:pPr>
          </w:p>
        </w:tc>
        <w:tc>
          <w:tcPr>
            <w:tcW w:w="3711" w:type="dxa"/>
            <w:noWrap w:val="0"/>
            <w:vAlign w:val="top"/>
          </w:tcPr>
          <w:p w14:paraId="656D18E0">
            <w:pPr>
              <w:rPr>
                <w:rFonts w:hint="eastAsia" w:ascii="宋体" w:hAnsi="宋体" w:eastAsia="宋体" w:cs="宋体"/>
                <w:color w:val="000000" w:themeColor="text1"/>
                <w:highlight w:val="none"/>
                <w14:textFill>
                  <w14:solidFill>
                    <w14:schemeClr w14:val="tx1"/>
                  </w14:solidFill>
                </w14:textFill>
              </w:rPr>
            </w:pPr>
          </w:p>
        </w:tc>
      </w:tr>
      <w:tr w14:paraId="6EDB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top"/>
          </w:tcPr>
          <w:p w14:paraId="1510D937">
            <w:pPr>
              <w:pStyle w:val="86"/>
              <w:shd w:val="clear" w:color="auto" w:fill="FFFFFF"/>
              <w:spacing w:line="265" w:lineRule="atLeast"/>
              <w:ind w:left="420"/>
              <w:rPr>
                <w:rFonts w:hint="eastAsia" w:ascii="宋体" w:hAnsi="宋体" w:eastAsia="宋体" w:cs="宋体"/>
                <w:color w:val="000000" w:themeColor="text1"/>
                <w:highlight w:val="none"/>
                <w:lang w:val="en-US" w:eastAsia="zh-CN"/>
                <w14:textFill>
                  <w14:solidFill>
                    <w14:schemeClr w14:val="tx1"/>
                  </w14:solidFill>
                </w14:textFill>
              </w:rPr>
            </w:pPr>
          </w:p>
        </w:tc>
        <w:tc>
          <w:tcPr>
            <w:tcW w:w="3711" w:type="dxa"/>
            <w:noWrap w:val="0"/>
            <w:vAlign w:val="top"/>
          </w:tcPr>
          <w:p w14:paraId="745B25DB">
            <w:pPr>
              <w:rPr>
                <w:rFonts w:hint="eastAsia" w:ascii="宋体" w:hAnsi="宋体" w:eastAsia="宋体" w:cs="宋体"/>
                <w:color w:val="000000" w:themeColor="text1"/>
                <w:highlight w:val="none"/>
                <w14:textFill>
                  <w14:solidFill>
                    <w14:schemeClr w14:val="tx1"/>
                  </w14:solidFill>
                </w14:textFill>
              </w:rPr>
            </w:pPr>
          </w:p>
        </w:tc>
      </w:tr>
      <w:tr w14:paraId="1DE0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top"/>
          </w:tcPr>
          <w:p w14:paraId="7ECA84BA">
            <w:pPr>
              <w:pStyle w:val="86"/>
              <w:shd w:val="clear" w:color="auto" w:fill="FFFFFF"/>
              <w:spacing w:line="265" w:lineRule="atLeast"/>
              <w:ind w:left="420"/>
              <w:rPr>
                <w:rFonts w:hint="eastAsia" w:ascii="宋体" w:hAnsi="宋体" w:eastAsia="宋体" w:cs="宋体"/>
                <w:color w:val="000000" w:themeColor="text1"/>
                <w:highlight w:val="none"/>
                <w:lang w:val="en-US" w:eastAsia="zh-CN"/>
                <w14:textFill>
                  <w14:solidFill>
                    <w14:schemeClr w14:val="tx1"/>
                  </w14:solidFill>
                </w14:textFill>
              </w:rPr>
            </w:pPr>
          </w:p>
        </w:tc>
        <w:tc>
          <w:tcPr>
            <w:tcW w:w="3711" w:type="dxa"/>
            <w:noWrap w:val="0"/>
            <w:vAlign w:val="top"/>
          </w:tcPr>
          <w:p w14:paraId="25813A3D">
            <w:pPr>
              <w:rPr>
                <w:rFonts w:hint="eastAsia" w:ascii="宋体" w:hAnsi="宋体" w:eastAsia="宋体" w:cs="宋体"/>
                <w:color w:val="000000" w:themeColor="text1"/>
                <w:highlight w:val="none"/>
                <w14:textFill>
                  <w14:solidFill>
                    <w14:schemeClr w14:val="tx1"/>
                  </w14:solidFill>
                </w14:textFill>
              </w:rPr>
            </w:pPr>
          </w:p>
        </w:tc>
      </w:tr>
      <w:tr w14:paraId="10EC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50549B1E">
            <w:pPr>
              <w:pStyle w:val="86"/>
              <w:shd w:val="clear" w:color="auto" w:fill="FFFFFF"/>
              <w:spacing w:line="265" w:lineRule="atLeast"/>
              <w:ind w:left="420"/>
              <w:rPr>
                <w:rFonts w:hint="eastAsia" w:ascii="宋体" w:hAnsi="宋体" w:eastAsia="宋体" w:cs="宋体"/>
                <w:color w:val="000000" w:themeColor="text1"/>
                <w:highlight w:val="none"/>
                <w:lang w:val="en-US" w:eastAsia="zh-CN"/>
                <w14:textFill>
                  <w14:solidFill>
                    <w14:schemeClr w14:val="tx1"/>
                  </w14:solidFill>
                </w14:textFill>
              </w:rPr>
            </w:pPr>
          </w:p>
        </w:tc>
        <w:tc>
          <w:tcPr>
            <w:tcW w:w="3711" w:type="dxa"/>
            <w:noWrap w:val="0"/>
            <w:vAlign w:val="top"/>
          </w:tcPr>
          <w:p w14:paraId="15A9C27C">
            <w:pPr>
              <w:rPr>
                <w:rFonts w:hint="eastAsia" w:ascii="宋体" w:hAnsi="宋体" w:eastAsia="宋体" w:cs="宋体"/>
                <w:color w:val="000000" w:themeColor="text1"/>
                <w:highlight w:val="none"/>
                <w14:textFill>
                  <w14:solidFill>
                    <w14:schemeClr w14:val="tx1"/>
                  </w14:solidFill>
                </w14:textFill>
              </w:rPr>
            </w:pPr>
          </w:p>
        </w:tc>
      </w:tr>
      <w:tr w14:paraId="3C37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val="0"/>
            <w:vAlign w:val="top"/>
          </w:tcPr>
          <w:p w14:paraId="28EF7C52">
            <w:pPr>
              <w:pStyle w:val="86"/>
              <w:shd w:val="clear" w:color="auto" w:fill="FFFFFF"/>
              <w:spacing w:line="265" w:lineRule="atLeast"/>
              <w:ind w:left="420"/>
              <w:jc w:val="both"/>
              <w:rPr>
                <w:rFonts w:hint="eastAsia" w:ascii="宋体" w:hAnsi="宋体" w:eastAsia="宋体" w:cs="宋体"/>
                <w:color w:val="000000" w:themeColor="text1"/>
                <w:highlight w:val="none"/>
                <w:lang w:val="en-US" w:eastAsia="zh-CN"/>
                <w14:textFill>
                  <w14:solidFill>
                    <w14:schemeClr w14:val="tx1"/>
                  </w14:solidFill>
                </w14:textFill>
              </w:rPr>
            </w:pPr>
          </w:p>
        </w:tc>
      </w:tr>
      <w:tr w14:paraId="4829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29" w:type="dxa"/>
            <w:noWrap w:val="0"/>
            <w:vAlign w:val="top"/>
          </w:tcPr>
          <w:p w14:paraId="7ABE6CF0">
            <w:pPr>
              <w:pStyle w:val="86"/>
              <w:shd w:val="clear" w:color="auto" w:fill="FFFFFF"/>
              <w:spacing w:line="265" w:lineRule="atLeast"/>
              <w:ind w:left="420"/>
              <w:rPr>
                <w:rFonts w:hint="eastAsia" w:ascii="宋体" w:hAnsi="宋体" w:eastAsia="宋体" w:cs="宋体"/>
                <w:color w:val="000000" w:themeColor="text1"/>
                <w:highlight w:val="none"/>
                <w:lang w:val="en-US" w:eastAsia="zh-CN"/>
                <w14:textFill>
                  <w14:solidFill>
                    <w14:schemeClr w14:val="tx1"/>
                  </w14:solidFill>
                </w14:textFill>
              </w:rPr>
            </w:pPr>
          </w:p>
        </w:tc>
        <w:tc>
          <w:tcPr>
            <w:tcW w:w="3711" w:type="dxa"/>
            <w:noWrap w:val="0"/>
            <w:vAlign w:val="top"/>
          </w:tcPr>
          <w:p w14:paraId="130744E4">
            <w:pPr>
              <w:rPr>
                <w:rFonts w:hint="eastAsia" w:ascii="宋体" w:hAnsi="宋体" w:eastAsia="宋体" w:cs="宋体"/>
                <w:color w:val="000000" w:themeColor="text1"/>
                <w:highlight w:val="none"/>
                <w14:textFill>
                  <w14:solidFill>
                    <w14:schemeClr w14:val="tx1"/>
                  </w14:solidFill>
                </w14:textFill>
              </w:rPr>
            </w:pPr>
          </w:p>
        </w:tc>
      </w:tr>
      <w:tr w14:paraId="56CB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529" w:type="dxa"/>
            <w:noWrap w:val="0"/>
            <w:vAlign w:val="top"/>
          </w:tcPr>
          <w:p w14:paraId="54F3706E">
            <w:pPr>
              <w:pStyle w:val="86"/>
              <w:shd w:val="clear" w:color="auto" w:fill="FFFFFF"/>
              <w:spacing w:line="265" w:lineRule="atLeast"/>
              <w:ind w:left="420"/>
              <w:rPr>
                <w:rFonts w:hint="eastAsia" w:ascii="宋体" w:hAnsi="宋体" w:eastAsia="宋体" w:cs="宋体"/>
                <w:color w:val="000000" w:themeColor="text1"/>
                <w:highlight w:val="none"/>
                <w:lang w:val="en-US" w:eastAsia="zh-CN"/>
                <w14:textFill>
                  <w14:solidFill>
                    <w14:schemeClr w14:val="tx1"/>
                  </w14:solidFill>
                </w14:textFill>
              </w:rPr>
            </w:pPr>
          </w:p>
        </w:tc>
        <w:tc>
          <w:tcPr>
            <w:tcW w:w="3711" w:type="dxa"/>
            <w:noWrap w:val="0"/>
            <w:vAlign w:val="top"/>
          </w:tcPr>
          <w:p w14:paraId="24ADBDBF">
            <w:pPr>
              <w:rPr>
                <w:rFonts w:hint="eastAsia" w:ascii="宋体" w:hAnsi="宋体" w:eastAsia="宋体" w:cs="宋体"/>
                <w:color w:val="000000" w:themeColor="text1"/>
                <w:highlight w:val="none"/>
                <w14:textFill>
                  <w14:solidFill>
                    <w14:schemeClr w14:val="tx1"/>
                  </w14:solidFill>
                </w14:textFill>
              </w:rPr>
            </w:pPr>
          </w:p>
        </w:tc>
      </w:tr>
      <w:tr w14:paraId="5B69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529" w:type="dxa"/>
            <w:noWrap w:val="0"/>
            <w:vAlign w:val="top"/>
          </w:tcPr>
          <w:p w14:paraId="40CEB727">
            <w:pPr>
              <w:pStyle w:val="86"/>
              <w:shd w:val="clear" w:color="auto" w:fill="FFFFFF"/>
              <w:spacing w:line="265" w:lineRule="atLeast"/>
              <w:ind w:left="420"/>
              <w:rPr>
                <w:rFonts w:hint="eastAsia" w:ascii="宋体" w:hAnsi="宋体" w:eastAsia="宋体" w:cs="宋体"/>
                <w:color w:val="000000" w:themeColor="text1"/>
                <w:highlight w:val="none"/>
                <w:lang w:val="en-US" w:eastAsia="zh-CN"/>
                <w14:textFill>
                  <w14:solidFill>
                    <w14:schemeClr w14:val="tx1"/>
                  </w14:solidFill>
                </w14:textFill>
              </w:rPr>
            </w:pPr>
          </w:p>
        </w:tc>
        <w:tc>
          <w:tcPr>
            <w:tcW w:w="3711" w:type="dxa"/>
            <w:noWrap w:val="0"/>
            <w:vAlign w:val="top"/>
          </w:tcPr>
          <w:p w14:paraId="1BCD522A">
            <w:pPr>
              <w:rPr>
                <w:rFonts w:hint="eastAsia" w:ascii="宋体" w:hAnsi="宋体" w:eastAsia="宋体" w:cs="宋体"/>
                <w:color w:val="000000" w:themeColor="text1"/>
                <w:highlight w:val="none"/>
                <w14:textFill>
                  <w14:solidFill>
                    <w14:schemeClr w14:val="tx1"/>
                  </w14:solidFill>
                </w14:textFill>
              </w:rPr>
            </w:pPr>
          </w:p>
        </w:tc>
      </w:tr>
      <w:tr w14:paraId="6A931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529" w:type="dxa"/>
            <w:noWrap w:val="0"/>
            <w:vAlign w:val="top"/>
          </w:tcPr>
          <w:p w14:paraId="34DC73FC">
            <w:pPr>
              <w:pStyle w:val="86"/>
              <w:shd w:val="clear" w:color="auto" w:fill="FFFFFF"/>
              <w:spacing w:line="265" w:lineRule="atLeast"/>
              <w:ind w:left="420"/>
              <w:rPr>
                <w:rFonts w:hint="eastAsia" w:ascii="宋体" w:hAnsi="宋体" w:eastAsia="宋体" w:cs="宋体"/>
                <w:color w:val="000000" w:themeColor="text1"/>
                <w:highlight w:val="none"/>
                <w:lang w:val="en-US" w:eastAsia="zh-CN"/>
                <w14:textFill>
                  <w14:solidFill>
                    <w14:schemeClr w14:val="tx1"/>
                  </w14:solidFill>
                </w14:textFill>
              </w:rPr>
            </w:pPr>
          </w:p>
        </w:tc>
        <w:tc>
          <w:tcPr>
            <w:tcW w:w="3711" w:type="dxa"/>
            <w:noWrap w:val="0"/>
            <w:vAlign w:val="top"/>
          </w:tcPr>
          <w:p w14:paraId="3FABF347">
            <w:pPr>
              <w:rPr>
                <w:rFonts w:hint="eastAsia" w:ascii="宋体" w:hAnsi="宋体" w:eastAsia="宋体" w:cs="宋体"/>
                <w:color w:val="000000" w:themeColor="text1"/>
                <w:highlight w:val="none"/>
                <w14:textFill>
                  <w14:solidFill>
                    <w14:schemeClr w14:val="tx1"/>
                  </w14:solidFill>
                </w14:textFill>
              </w:rPr>
            </w:pPr>
          </w:p>
        </w:tc>
      </w:tr>
      <w:tr w14:paraId="1A10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529" w:type="dxa"/>
            <w:noWrap w:val="0"/>
            <w:vAlign w:val="top"/>
          </w:tcPr>
          <w:p w14:paraId="7D8E977B">
            <w:pPr>
              <w:pStyle w:val="86"/>
              <w:shd w:val="clear" w:color="auto" w:fill="FFFFFF"/>
              <w:spacing w:line="265" w:lineRule="atLeast"/>
              <w:ind w:left="420"/>
              <w:rPr>
                <w:rFonts w:hint="eastAsia" w:ascii="宋体" w:hAnsi="宋体" w:eastAsia="宋体" w:cs="宋体"/>
                <w:color w:val="000000" w:themeColor="text1"/>
                <w:highlight w:val="none"/>
                <w:lang w:val="en-US" w:eastAsia="zh-CN"/>
                <w14:textFill>
                  <w14:solidFill>
                    <w14:schemeClr w14:val="tx1"/>
                  </w14:solidFill>
                </w14:textFill>
              </w:rPr>
            </w:pPr>
          </w:p>
        </w:tc>
        <w:tc>
          <w:tcPr>
            <w:tcW w:w="3711" w:type="dxa"/>
            <w:noWrap w:val="0"/>
            <w:vAlign w:val="top"/>
          </w:tcPr>
          <w:p w14:paraId="017CAF33">
            <w:pPr>
              <w:rPr>
                <w:rFonts w:hint="eastAsia" w:ascii="宋体" w:hAnsi="宋体" w:eastAsia="宋体" w:cs="宋体"/>
                <w:color w:val="000000" w:themeColor="text1"/>
                <w:highlight w:val="none"/>
                <w14:textFill>
                  <w14:solidFill>
                    <w14:schemeClr w14:val="tx1"/>
                  </w14:solidFill>
                </w14:textFill>
              </w:rPr>
            </w:pPr>
          </w:p>
        </w:tc>
      </w:tr>
      <w:tr w14:paraId="02F0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val="0"/>
            <w:vAlign w:val="top"/>
          </w:tcPr>
          <w:p w14:paraId="29332C1C">
            <w:pPr>
              <w:pStyle w:val="86"/>
              <w:shd w:val="clear" w:color="auto" w:fill="FFFFFF"/>
              <w:spacing w:line="265" w:lineRule="atLeast"/>
              <w:ind w:left="420"/>
              <w:jc w:val="both"/>
              <w:rPr>
                <w:rFonts w:hint="eastAsia" w:ascii="宋体" w:hAnsi="宋体" w:eastAsia="宋体" w:cs="宋体"/>
                <w:b/>
                <w:color w:val="000000" w:themeColor="text1"/>
                <w:highlight w:val="none"/>
                <w:lang w:val="en-US" w:eastAsia="zh-CN"/>
                <w14:textFill>
                  <w14:solidFill>
                    <w14:schemeClr w14:val="tx1"/>
                  </w14:solidFill>
                </w14:textFill>
              </w:rPr>
            </w:pPr>
          </w:p>
        </w:tc>
      </w:tr>
      <w:tr w14:paraId="6F20A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9" w:type="dxa"/>
            <w:noWrap w:val="0"/>
            <w:vAlign w:val="top"/>
          </w:tcPr>
          <w:p w14:paraId="28E78400">
            <w:pPr>
              <w:pStyle w:val="86"/>
              <w:shd w:val="clear" w:color="auto" w:fill="FFFFFF"/>
              <w:spacing w:line="265" w:lineRule="atLeast"/>
              <w:ind w:left="420"/>
              <w:rPr>
                <w:rFonts w:hint="eastAsia" w:ascii="宋体" w:hAnsi="宋体" w:eastAsia="宋体" w:cs="宋体"/>
                <w:b/>
                <w:bCs/>
                <w:color w:val="000000" w:themeColor="text1"/>
                <w:highlight w:val="none"/>
                <w:lang w:val="en-US" w:eastAsia="zh-CN"/>
                <w14:textFill>
                  <w14:solidFill>
                    <w14:schemeClr w14:val="tx1"/>
                  </w14:solidFill>
                </w14:textFill>
              </w:rPr>
            </w:pPr>
          </w:p>
        </w:tc>
        <w:tc>
          <w:tcPr>
            <w:tcW w:w="3711" w:type="dxa"/>
            <w:noWrap w:val="0"/>
            <w:vAlign w:val="top"/>
          </w:tcPr>
          <w:p w14:paraId="1ABA92A9">
            <w:pPr>
              <w:rPr>
                <w:rFonts w:hint="eastAsia" w:ascii="宋体" w:hAnsi="宋体" w:eastAsia="宋体" w:cs="宋体"/>
                <w:color w:val="000000" w:themeColor="text1"/>
                <w:highlight w:val="none"/>
                <w14:textFill>
                  <w14:solidFill>
                    <w14:schemeClr w14:val="tx1"/>
                  </w14:solidFill>
                </w14:textFill>
              </w:rPr>
            </w:pPr>
          </w:p>
        </w:tc>
      </w:tr>
      <w:tr w14:paraId="25AE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7F5C0580">
            <w:pPr>
              <w:pStyle w:val="86"/>
              <w:shd w:val="clear" w:color="auto" w:fill="FFFFFF"/>
              <w:spacing w:line="265" w:lineRule="atLeast"/>
              <w:ind w:left="420"/>
              <w:rPr>
                <w:rFonts w:hint="eastAsia" w:ascii="宋体" w:hAnsi="宋体" w:eastAsia="宋体" w:cs="宋体"/>
                <w:color w:val="000000" w:themeColor="text1"/>
                <w:highlight w:val="none"/>
                <w:lang w:val="en-US" w:eastAsia="zh-CN"/>
                <w14:textFill>
                  <w14:solidFill>
                    <w14:schemeClr w14:val="tx1"/>
                  </w14:solidFill>
                </w14:textFill>
              </w:rPr>
            </w:pPr>
          </w:p>
        </w:tc>
        <w:tc>
          <w:tcPr>
            <w:tcW w:w="3711" w:type="dxa"/>
            <w:noWrap w:val="0"/>
            <w:vAlign w:val="top"/>
          </w:tcPr>
          <w:p w14:paraId="43F7450B">
            <w:pPr>
              <w:rPr>
                <w:rFonts w:hint="eastAsia" w:ascii="宋体" w:hAnsi="宋体" w:eastAsia="宋体" w:cs="宋体"/>
                <w:color w:val="000000" w:themeColor="text1"/>
                <w:highlight w:val="none"/>
                <w14:textFill>
                  <w14:solidFill>
                    <w14:schemeClr w14:val="tx1"/>
                  </w14:solidFill>
                </w14:textFill>
              </w:rPr>
            </w:pPr>
          </w:p>
        </w:tc>
      </w:tr>
    </w:tbl>
    <w:p w14:paraId="71C36FBF">
      <w:pPr>
        <w:rPr>
          <w:rFonts w:hint="eastAsia" w:ascii="宋体" w:hAnsi="宋体" w:eastAsia="宋体" w:cs="宋体"/>
          <w:color w:val="000000" w:themeColor="text1"/>
          <w:highlight w:val="none"/>
          <w14:textFill>
            <w14:solidFill>
              <w14:schemeClr w14:val="tx1"/>
            </w14:solidFill>
          </w14:textFill>
        </w:rPr>
      </w:pPr>
    </w:p>
    <w:p w14:paraId="48230941">
      <w:pPr>
        <w:ind w:firstLine="1084" w:firstLineChars="300"/>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6"/>
          <w:highlight w:val="none"/>
          <w:u w:val="single"/>
          <w14:textFill>
            <w14:solidFill>
              <w14:schemeClr w14:val="tx1"/>
            </w14:solidFill>
          </w14:textFill>
        </w:rPr>
        <w:br w:type="page"/>
      </w:r>
      <w:r>
        <w:rPr>
          <w:rFonts w:hint="eastAsia" w:ascii="宋体" w:hAnsi="宋体" w:eastAsia="宋体" w:cs="宋体"/>
          <w:b/>
          <w:bCs/>
          <w:color w:val="000000" w:themeColor="text1"/>
          <w:sz w:val="32"/>
          <w:szCs w:val="32"/>
          <w:highlight w:val="none"/>
          <w14:textFill>
            <w14:solidFill>
              <w14:schemeClr w14:val="tx1"/>
            </w14:solidFill>
          </w14:textFill>
        </w:rPr>
        <w:t>投标主要文件目录</w:t>
      </w:r>
    </w:p>
    <w:p w14:paraId="74B5B05E">
      <w:pPr>
        <w:spacing w:line="440" w:lineRule="exact"/>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74EFB745">
      <w:pPr>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一、资格审查响应对照表</w:t>
      </w:r>
    </w:p>
    <w:p w14:paraId="51BBDD0E">
      <w:pPr>
        <w:ind w:left="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二、符合性审查响应对照表</w:t>
      </w:r>
    </w:p>
    <w:p w14:paraId="7095F154">
      <w:pPr>
        <w:ind w:left="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三、非实质性响应对照表</w:t>
      </w:r>
    </w:p>
    <w:p w14:paraId="2A5FDA15">
      <w:pPr>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投标产品配置与分项报价表</w:t>
      </w:r>
    </w:p>
    <w:p w14:paraId="2CC134D3">
      <w:pPr>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、技术参数响应及偏离表</w:t>
      </w:r>
    </w:p>
    <w:p w14:paraId="7A82799F">
      <w:pPr>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六、商务条款响应及偏离表</w:t>
      </w:r>
    </w:p>
    <w:p w14:paraId="5E1B5A55">
      <w:pPr>
        <w:ind w:firstLine="480" w:firstLineChars="200"/>
        <w:rPr>
          <w:rFonts w:hint="eastAsia" w:ascii="宋体" w:hAnsi="宋体" w:eastAsia="宋体" w:cs="宋体"/>
          <w:i/>
          <w:color w:val="000000" w:themeColor="text1"/>
          <w:sz w:val="24"/>
          <w:highlight w:val="none"/>
          <w:u w:val="single"/>
          <w14:textFill>
            <w14:solidFill>
              <w14:schemeClr w14:val="tx1"/>
            </w14:solidFill>
          </w14:textFill>
        </w:rPr>
      </w:pPr>
      <w:r>
        <w:rPr>
          <w:rFonts w:hint="eastAsia" w:ascii="宋体" w:hAnsi="宋体" w:eastAsia="宋体" w:cs="宋体"/>
          <w:i/>
          <w:color w:val="000000" w:themeColor="text1"/>
          <w:sz w:val="24"/>
          <w:highlight w:val="none"/>
          <w:u w:val="single"/>
          <w14:textFill>
            <w14:solidFill>
              <w14:schemeClr w14:val="tx1"/>
            </w14:solidFill>
          </w14:textFill>
        </w:rPr>
        <w:t>七、开标一览表</w:t>
      </w:r>
    </w:p>
    <w:p w14:paraId="5C7C7099">
      <w:pPr>
        <w:ind w:firstLine="48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1"/>
          <w:highlight w:val="none"/>
          <w:lang w:val="en-US" w:eastAsia="zh-CN" w:bidi="ar-SA"/>
          <w14:textFill>
            <w14:solidFill>
              <w14:schemeClr w14:val="tx1"/>
            </w14:solidFill>
          </w14:textFill>
        </w:rPr>
        <w:t>八、供应商认为有必要提供的声明及文件资料</w:t>
      </w:r>
    </w:p>
    <w:p w14:paraId="757549E6">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5DDB2D0B">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1D23E5CD">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508A2B2E">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7A56C2FC">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58CB33DB">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4D7ABD81">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6492885A">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5381FB7C">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637453B5">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176C3E39">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0FF0EBB8">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3D4855D0">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299DB4FB">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5C46E072">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5A43B0C8">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28480EB6">
      <w:pPr>
        <w:pStyle w:val="6"/>
        <w:jc w:val="center"/>
        <w:rPr>
          <w:rFonts w:hint="eastAsia" w:ascii="宋体" w:hAnsi="宋体" w:eastAsia="宋体" w:cs="宋体"/>
          <w:color w:val="000000" w:themeColor="text1"/>
          <w:sz w:val="4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bookmarkStart w:id="210" w:name="_Toc534725612"/>
      <w:bookmarkStart w:id="211" w:name="_Toc534816641"/>
      <w:r>
        <w:rPr>
          <w:rFonts w:hint="eastAsia" w:ascii="宋体" w:hAnsi="宋体" w:eastAsia="宋体" w:cs="宋体"/>
          <w:bCs w:val="0"/>
          <w:color w:val="000000" w:themeColor="text1"/>
          <w:highlight w:val="none"/>
          <w14:textFill>
            <w14:solidFill>
              <w14:schemeClr w14:val="tx1"/>
            </w14:solidFill>
          </w14:textFill>
        </w:rPr>
        <w:t>一、</w:t>
      </w:r>
      <w:bookmarkEnd w:id="210"/>
      <w:bookmarkEnd w:id="211"/>
      <w:r>
        <w:rPr>
          <w:rFonts w:hint="eastAsia" w:ascii="宋体" w:hAnsi="宋体" w:eastAsia="宋体" w:cs="宋体"/>
          <w:bCs w:val="0"/>
          <w:color w:val="000000" w:themeColor="text1"/>
          <w:highlight w:val="none"/>
          <w14:textFill>
            <w14:solidFill>
              <w14:schemeClr w14:val="tx1"/>
            </w14:solidFill>
          </w14:textFill>
        </w:rPr>
        <w:t>资格审查响应对照表</w:t>
      </w:r>
      <w:bookmarkEnd w:id="207"/>
      <w:bookmarkEnd w:id="208"/>
      <w:bookmarkEnd w:id="209"/>
    </w:p>
    <w:p w14:paraId="44360655">
      <w:pPr>
        <w:snapToGrid w:val="0"/>
        <w:spacing w:before="50" w:after="50"/>
        <w:rPr>
          <w:rFonts w:hint="eastAsia" w:ascii="宋体" w:hAnsi="宋体" w:eastAsia="宋体" w:cs="宋体"/>
          <w:color w:val="000000" w:themeColor="text1"/>
          <w:sz w:val="44"/>
          <w:highlight w:val="none"/>
          <w14:textFill>
            <w14:solidFill>
              <w14:schemeClr w14:val="tx1"/>
            </w14:solidFill>
          </w14:textFill>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103"/>
        <w:gridCol w:w="1916"/>
      </w:tblGrid>
      <w:tr w14:paraId="1F68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14:paraId="74A97205">
            <w:pPr>
              <w:snapToGrid w:val="0"/>
              <w:spacing w:line="240" w:lineRule="atLeas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序号</w:t>
            </w:r>
          </w:p>
        </w:tc>
        <w:tc>
          <w:tcPr>
            <w:tcW w:w="5447" w:type="dxa"/>
            <w:noWrap w:val="0"/>
            <w:vAlign w:val="center"/>
          </w:tcPr>
          <w:p w14:paraId="2578F596">
            <w:pPr>
              <w:snapToGrid w:val="0"/>
              <w:spacing w:line="240" w:lineRule="atLeas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资格审查响应内容</w:t>
            </w:r>
          </w:p>
        </w:tc>
        <w:tc>
          <w:tcPr>
            <w:tcW w:w="1103" w:type="dxa"/>
            <w:noWrap w:val="0"/>
            <w:vAlign w:val="center"/>
          </w:tcPr>
          <w:p w14:paraId="272A24D3">
            <w:pPr>
              <w:snapToGrid w:val="0"/>
              <w:spacing w:line="240" w:lineRule="atLeas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是否响应</w:t>
            </w:r>
          </w:p>
          <w:p w14:paraId="2E1AF6A5">
            <w:pPr>
              <w:snapToGrid w:val="0"/>
              <w:spacing w:line="240" w:lineRule="atLeas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（填是或否）</w:t>
            </w:r>
          </w:p>
        </w:tc>
        <w:tc>
          <w:tcPr>
            <w:tcW w:w="1916" w:type="dxa"/>
            <w:noWrap w:val="0"/>
            <w:vAlign w:val="center"/>
          </w:tcPr>
          <w:p w14:paraId="5B8BC841">
            <w:pPr>
              <w:snapToGrid w:val="0"/>
              <w:spacing w:line="240" w:lineRule="atLeas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上传证明材料的图片</w:t>
            </w:r>
            <w:r>
              <w:rPr>
                <w:rFonts w:hint="eastAsia" w:ascii="宋体" w:hAnsi="宋体" w:eastAsia="宋体" w:cs="宋体"/>
                <w:b/>
                <w:color w:val="000000" w:themeColor="text1"/>
                <w:highlight w:val="none"/>
                <w:lang w:eastAsia="zh-CN"/>
                <w14:textFill>
                  <w14:solidFill>
                    <w14:schemeClr w14:val="tx1"/>
                  </w14:solidFill>
                </w14:textFill>
              </w:rPr>
              <w:t>（</w:t>
            </w:r>
            <w:r>
              <w:rPr>
                <w:rFonts w:hint="eastAsia" w:ascii="宋体" w:hAnsi="宋体" w:eastAsia="宋体" w:cs="宋体"/>
                <w:b/>
                <w:color w:val="000000" w:themeColor="text1"/>
                <w:highlight w:val="none"/>
                <w14:textFill>
                  <w14:solidFill>
                    <w14:schemeClr w14:val="tx1"/>
                  </w14:solidFill>
                </w14:textFill>
              </w:rPr>
              <w:t>按顺序附到此对照表后面</w:t>
            </w:r>
            <w:r>
              <w:rPr>
                <w:rFonts w:hint="eastAsia" w:ascii="宋体" w:hAnsi="宋体" w:eastAsia="宋体" w:cs="宋体"/>
                <w:b/>
                <w:color w:val="000000" w:themeColor="text1"/>
                <w:highlight w:val="none"/>
                <w:lang w:eastAsia="zh-CN"/>
                <w14:textFill>
                  <w14:solidFill>
                    <w14:schemeClr w14:val="tx1"/>
                  </w14:solidFill>
                </w14:textFill>
              </w:rPr>
              <w:t>）</w:t>
            </w:r>
          </w:p>
        </w:tc>
      </w:tr>
      <w:tr w14:paraId="2A0B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112" w:type="dxa"/>
            <w:gridSpan w:val="4"/>
            <w:noWrap w:val="0"/>
            <w:vAlign w:val="center"/>
          </w:tcPr>
          <w:p w14:paraId="3904C757">
            <w:pP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通用资格条件</w:t>
            </w:r>
          </w:p>
        </w:tc>
      </w:tr>
      <w:tr w14:paraId="0BF2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141C8A0A">
            <w:pPr>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1</w:t>
            </w:r>
          </w:p>
        </w:tc>
        <w:tc>
          <w:tcPr>
            <w:tcW w:w="5447" w:type="dxa"/>
            <w:noWrap w:val="0"/>
            <w:vAlign w:val="center"/>
          </w:tcPr>
          <w:p w14:paraId="60CB0FC4">
            <w:pPr>
              <w:spacing w:line="0" w:lineRule="atLeast"/>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法人或者其他组织的营业执照等证明文件，自然人的身份证明（身份证为正、反面）</w:t>
            </w:r>
          </w:p>
        </w:tc>
        <w:tc>
          <w:tcPr>
            <w:tcW w:w="1103" w:type="dxa"/>
            <w:noWrap w:val="0"/>
            <w:vAlign w:val="center"/>
          </w:tcPr>
          <w:p w14:paraId="7FF29FBB">
            <w:pPr>
              <w:rPr>
                <w:rFonts w:hint="eastAsia" w:ascii="宋体" w:hAnsi="宋体" w:eastAsia="宋体" w:cs="宋体"/>
                <w:b/>
                <w:color w:val="000000" w:themeColor="text1"/>
                <w:highlight w:val="none"/>
                <w14:textFill>
                  <w14:solidFill>
                    <w14:schemeClr w14:val="tx1"/>
                  </w14:solidFill>
                </w14:textFill>
              </w:rPr>
            </w:pPr>
          </w:p>
        </w:tc>
        <w:tc>
          <w:tcPr>
            <w:tcW w:w="1916" w:type="dxa"/>
            <w:noWrap w:val="0"/>
            <w:vAlign w:val="center"/>
          </w:tcPr>
          <w:p w14:paraId="60AEE1E9">
            <w:pPr>
              <w:rPr>
                <w:rFonts w:hint="eastAsia" w:ascii="宋体" w:hAnsi="宋体" w:eastAsia="宋体" w:cs="宋体"/>
                <w:b/>
                <w:color w:val="000000" w:themeColor="text1"/>
                <w:highlight w:val="none"/>
                <w14:textFill>
                  <w14:solidFill>
                    <w14:schemeClr w14:val="tx1"/>
                  </w14:solidFill>
                </w14:textFill>
              </w:rPr>
            </w:pPr>
          </w:p>
        </w:tc>
      </w:tr>
      <w:tr w14:paraId="667AB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725448A2">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5447" w:type="dxa"/>
            <w:noWrap w:val="0"/>
            <w:vAlign w:val="center"/>
          </w:tcPr>
          <w:p w14:paraId="0756BAFB">
            <w:pPr>
              <w:spacing w:line="0" w:lineRule="atLeast"/>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最近一个年度的财务状况报告（成立不满一年不需提供）</w:t>
            </w:r>
          </w:p>
        </w:tc>
        <w:tc>
          <w:tcPr>
            <w:tcW w:w="1103" w:type="dxa"/>
            <w:noWrap w:val="0"/>
            <w:vAlign w:val="center"/>
          </w:tcPr>
          <w:p w14:paraId="38B72107">
            <w:pPr>
              <w:rPr>
                <w:rFonts w:hint="eastAsia" w:ascii="宋体" w:hAnsi="宋体" w:eastAsia="宋体" w:cs="宋体"/>
                <w:color w:val="000000" w:themeColor="text1"/>
                <w:highlight w:val="none"/>
                <w14:textFill>
                  <w14:solidFill>
                    <w14:schemeClr w14:val="tx1"/>
                  </w14:solidFill>
                </w14:textFill>
              </w:rPr>
            </w:pPr>
          </w:p>
        </w:tc>
        <w:tc>
          <w:tcPr>
            <w:tcW w:w="1916" w:type="dxa"/>
            <w:noWrap w:val="0"/>
            <w:vAlign w:val="center"/>
          </w:tcPr>
          <w:p w14:paraId="2CA2EC4E">
            <w:pPr>
              <w:rPr>
                <w:rFonts w:hint="eastAsia" w:ascii="宋体" w:hAnsi="宋体" w:eastAsia="宋体" w:cs="宋体"/>
                <w:color w:val="000000" w:themeColor="text1"/>
                <w:highlight w:val="none"/>
                <w14:textFill>
                  <w14:solidFill>
                    <w14:schemeClr w14:val="tx1"/>
                  </w14:solidFill>
                </w14:textFill>
              </w:rPr>
            </w:pPr>
          </w:p>
        </w:tc>
      </w:tr>
      <w:tr w14:paraId="1AEE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502C11DA">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5447" w:type="dxa"/>
            <w:noWrap w:val="0"/>
            <w:vAlign w:val="center"/>
          </w:tcPr>
          <w:p w14:paraId="36E550A8">
            <w:pPr>
              <w:spacing w:line="0" w:lineRule="atLeast"/>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依法缴纳税收和社会保障资金的相关材料（提供提交投标文件截止时间前一年内至少一个月依法缴纳税收及缴纳社会保障资金的证明材料。投标人依法享受缓缴、免缴税收、社会保障资金的提供证明材料。）</w:t>
            </w:r>
          </w:p>
        </w:tc>
        <w:tc>
          <w:tcPr>
            <w:tcW w:w="1103" w:type="dxa"/>
            <w:noWrap w:val="0"/>
            <w:vAlign w:val="center"/>
          </w:tcPr>
          <w:p w14:paraId="4C2A7420">
            <w:pPr>
              <w:rPr>
                <w:rFonts w:hint="eastAsia" w:ascii="宋体" w:hAnsi="宋体" w:eastAsia="宋体" w:cs="宋体"/>
                <w:color w:val="000000" w:themeColor="text1"/>
                <w:highlight w:val="none"/>
                <w14:textFill>
                  <w14:solidFill>
                    <w14:schemeClr w14:val="tx1"/>
                  </w14:solidFill>
                </w14:textFill>
              </w:rPr>
            </w:pPr>
          </w:p>
        </w:tc>
        <w:tc>
          <w:tcPr>
            <w:tcW w:w="1916" w:type="dxa"/>
            <w:noWrap w:val="0"/>
            <w:vAlign w:val="center"/>
          </w:tcPr>
          <w:p w14:paraId="4BDF5ABC">
            <w:pPr>
              <w:rPr>
                <w:rFonts w:hint="eastAsia" w:ascii="宋体" w:hAnsi="宋体" w:eastAsia="宋体" w:cs="宋体"/>
                <w:color w:val="000000" w:themeColor="text1"/>
                <w:highlight w:val="none"/>
                <w14:textFill>
                  <w14:solidFill>
                    <w14:schemeClr w14:val="tx1"/>
                  </w14:solidFill>
                </w14:textFill>
              </w:rPr>
            </w:pPr>
          </w:p>
        </w:tc>
      </w:tr>
      <w:tr w14:paraId="335F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6" w:type="dxa"/>
            <w:noWrap w:val="0"/>
            <w:vAlign w:val="center"/>
          </w:tcPr>
          <w:p w14:paraId="47FB8954">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5447" w:type="dxa"/>
            <w:noWrap w:val="0"/>
            <w:vAlign w:val="center"/>
          </w:tcPr>
          <w:p w14:paraId="5973FCAB">
            <w:pPr>
              <w:spacing w:line="0" w:lineRule="atLeast"/>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具备履行合同所必需的设备和专业技术能力的书面声明</w:t>
            </w:r>
          </w:p>
        </w:tc>
        <w:tc>
          <w:tcPr>
            <w:tcW w:w="1103" w:type="dxa"/>
            <w:noWrap w:val="0"/>
            <w:vAlign w:val="center"/>
          </w:tcPr>
          <w:p w14:paraId="705DA1FA">
            <w:pPr>
              <w:rPr>
                <w:rFonts w:hint="eastAsia" w:ascii="宋体" w:hAnsi="宋体" w:eastAsia="宋体" w:cs="宋体"/>
                <w:color w:val="000000" w:themeColor="text1"/>
                <w:highlight w:val="none"/>
                <w14:textFill>
                  <w14:solidFill>
                    <w14:schemeClr w14:val="tx1"/>
                  </w14:solidFill>
                </w14:textFill>
              </w:rPr>
            </w:pPr>
          </w:p>
        </w:tc>
        <w:tc>
          <w:tcPr>
            <w:tcW w:w="1916" w:type="dxa"/>
            <w:noWrap w:val="0"/>
            <w:vAlign w:val="center"/>
          </w:tcPr>
          <w:p w14:paraId="74D1679D">
            <w:pPr>
              <w:rPr>
                <w:rFonts w:hint="eastAsia" w:ascii="宋体" w:hAnsi="宋体" w:eastAsia="宋体" w:cs="宋体"/>
                <w:color w:val="000000" w:themeColor="text1"/>
                <w:highlight w:val="none"/>
                <w14:textFill>
                  <w14:solidFill>
                    <w14:schemeClr w14:val="tx1"/>
                  </w14:solidFill>
                </w14:textFill>
              </w:rPr>
            </w:pPr>
          </w:p>
        </w:tc>
      </w:tr>
      <w:tr w14:paraId="154F8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63103558">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5447" w:type="dxa"/>
            <w:noWrap w:val="0"/>
            <w:vAlign w:val="center"/>
          </w:tcPr>
          <w:p w14:paraId="0784BAF9">
            <w:pPr>
              <w:snapToGrid w:val="0"/>
              <w:spacing w:line="0" w:lineRule="atLeast"/>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参加政府采购活动前 3 年内在经营活动中没有重大违法记录的书面声明</w:t>
            </w:r>
          </w:p>
        </w:tc>
        <w:tc>
          <w:tcPr>
            <w:tcW w:w="1103" w:type="dxa"/>
            <w:noWrap w:val="0"/>
            <w:vAlign w:val="center"/>
          </w:tcPr>
          <w:p w14:paraId="75D57FA0">
            <w:pPr>
              <w:rPr>
                <w:rFonts w:hint="eastAsia" w:ascii="宋体" w:hAnsi="宋体" w:eastAsia="宋体" w:cs="宋体"/>
                <w:color w:val="000000" w:themeColor="text1"/>
                <w:highlight w:val="none"/>
                <w14:textFill>
                  <w14:solidFill>
                    <w14:schemeClr w14:val="tx1"/>
                  </w14:solidFill>
                </w14:textFill>
              </w:rPr>
            </w:pPr>
          </w:p>
        </w:tc>
        <w:tc>
          <w:tcPr>
            <w:tcW w:w="1916" w:type="dxa"/>
            <w:noWrap w:val="0"/>
            <w:vAlign w:val="center"/>
          </w:tcPr>
          <w:p w14:paraId="0B40C519">
            <w:pPr>
              <w:rPr>
                <w:rFonts w:hint="eastAsia" w:ascii="宋体" w:hAnsi="宋体" w:eastAsia="宋体" w:cs="宋体"/>
                <w:color w:val="000000" w:themeColor="text1"/>
                <w:highlight w:val="none"/>
                <w14:textFill>
                  <w14:solidFill>
                    <w14:schemeClr w14:val="tx1"/>
                  </w14:solidFill>
                </w14:textFill>
              </w:rPr>
            </w:pPr>
          </w:p>
        </w:tc>
      </w:tr>
      <w:tr w14:paraId="3140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279BD633">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5447" w:type="dxa"/>
            <w:noWrap w:val="0"/>
            <w:vAlign w:val="center"/>
          </w:tcPr>
          <w:p w14:paraId="5E732857">
            <w:pPr>
              <w:snapToGrid w:val="0"/>
              <w:spacing w:line="0" w:lineRule="atLeast"/>
              <w:rPr>
                <w:rFonts w:hint="eastAsia" w:ascii="宋体" w:hAnsi="宋体" w:eastAsia="宋体" w:cs="宋体"/>
                <w:iCs/>
                <w:color w:val="000000" w:themeColor="text1"/>
                <w:sz w:val="24"/>
                <w:szCs w:val="24"/>
                <w:highlight w:val="none"/>
                <w:lang w:eastAsia="zh-CN"/>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未被“信用中国”网站（www.creditchina.gov.cn）</w:t>
            </w:r>
            <w:r>
              <w:rPr>
                <w:rFonts w:hint="eastAsia" w:ascii="宋体" w:hAnsi="宋体" w:eastAsia="宋体" w:cs="宋体"/>
                <w:iCs/>
                <w:color w:val="000000" w:themeColor="text1"/>
                <w:sz w:val="24"/>
                <w:szCs w:val="24"/>
                <w:highlight w:val="none"/>
                <w:lang w:eastAsia="zh-CN"/>
                <w14:textFill>
                  <w14:solidFill>
                    <w14:schemeClr w14:val="tx1"/>
                  </w14:solidFill>
                </w14:textFill>
              </w:rPr>
              <w:t>、“中国政府采购网”(www.ccgp.gov.cn）</w:t>
            </w:r>
            <w:r>
              <w:rPr>
                <w:rFonts w:hint="eastAsia" w:ascii="宋体" w:hAnsi="宋体" w:eastAsia="宋体" w:cs="宋体"/>
                <w:iCs/>
                <w:color w:val="000000" w:themeColor="text1"/>
                <w:sz w:val="24"/>
                <w:szCs w:val="24"/>
                <w:highlight w:val="none"/>
                <w14:textFill>
                  <w14:solidFill>
                    <w14:schemeClr w14:val="tx1"/>
                  </w14:solidFill>
                </w14:textFill>
              </w:rPr>
              <w:t>列入失信被执行人、重大税收违法案件当事人名单、政府采购严重失信行为记录名单</w:t>
            </w:r>
            <w:r>
              <w:rPr>
                <w:rFonts w:hint="eastAsia" w:ascii="宋体" w:hAnsi="宋体" w:eastAsia="宋体" w:cs="宋体"/>
                <w:color w:val="000000" w:themeColor="text1"/>
                <w:sz w:val="24"/>
                <w:szCs w:val="24"/>
                <w:highlight w:val="none"/>
                <w14:textFill>
                  <w14:solidFill>
                    <w14:schemeClr w14:val="tx1"/>
                  </w14:solidFill>
                </w14:textFill>
              </w:rPr>
              <w:t>（提供网页截图</w:t>
            </w:r>
            <w:r>
              <w:rPr>
                <w:rFonts w:hint="eastAsia" w:ascii="宋体" w:hAnsi="宋体" w:eastAsia="宋体" w:cs="宋体"/>
                <w:color w:val="000000" w:themeColor="text1"/>
                <w:sz w:val="24"/>
                <w:szCs w:val="24"/>
                <w:highlight w:val="none"/>
                <w:lang w:val="en-US" w:eastAsia="zh-CN"/>
                <w14:textFill>
                  <w14:solidFill>
                    <w14:schemeClr w14:val="tx1"/>
                  </w14:solidFill>
                </w14:textFill>
              </w:rPr>
              <w:t>或自拟承诺函</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1103" w:type="dxa"/>
            <w:noWrap w:val="0"/>
            <w:vAlign w:val="center"/>
          </w:tcPr>
          <w:p w14:paraId="39C99FE9">
            <w:pPr>
              <w:rPr>
                <w:rFonts w:hint="eastAsia" w:ascii="宋体" w:hAnsi="宋体" w:eastAsia="宋体" w:cs="宋体"/>
                <w:color w:val="000000" w:themeColor="text1"/>
                <w:highlight w:val="none"/>
                <w14:textFill>
                  <w14:solidFill>
                    <w14:schemeClr w14:val="tx1"/>
                  </w14:solidFill>
                </w14:textFill>
              </w:rPr>
            </w:pPr>
          </w:p>
        </w:tc>
        <w:tc>
          <w:tcPr>
            <w:tcW w:w="1916" w:type="dxa"/>
            <w:noWrap w:val="0"/>
            <w:vAlign w:val="center"/>
          </w:tcPr>
          <w:p w14:paraId="06C74C47">
            <w:pPr>
              <w:rPr>
                <w:rFonts w:hint="eastAsia" w:ascii="宋体" w:hAnsi="宋体" w:eastAsia="宋体" w:cs="宋体"/>
                <w:color w:val="000000" w:themeColor="text1"/>
                <w:highlight w:val="none"/>
                <w14:textFill>
                  <w14:solidFill>
                    <w14:schemeClr w14:val="tx1"/>
                  </w14:solidFill>
                </w14:textFill>
              </w:rPr>
            </w:pPr>
          </w:p>
        </w:tc>
      </w:tr>
      <w:tr w14:paraId="10C45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12" w:type="dxa"/>
            <w:gridSpan w:val="4"/>
            <w:noWrap w:val="0"/>
            <w:vAlign w:val="center"/>
          </w:tcPr>
          <w:p w14:paraId="754E4A6E">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特定资格条件</w:t>
            </w:r>
          </w:p>
        </w:tc>
      </w:tr>
      <w:tr w14:paraId="0DD2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74CCF564">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5447" w:type="dxa"/>
            <w:noWrap w:val="0"/>
            <w:vAlign w:val="center"/>
          </w:tcPr>
          <w:p w14:paraId="5D7E36E8">
            <w:pPr>
              <w:snapToGrid w:val="0"/>
              <w:spacing w:line="0" w:lineRule="atLeast"/>
              <w:jc w:val="left"/>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w:t>
            </w:r>
          </w:p>
        </w:tc>
        <w:tc>
          <w:tcPr>
            <w:tcW w:w="3019" w:type="dxa"/>
            <w:gridSpan w:val="2"/>
            <w:noWrap w:val="0"/>
            <w:vAlign w:val="center"/>
          </w:tcPr>
          <w:p w14:paraId="174EDB64">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如该项目设定</w:t>
            </w:r>
          </w:p>
        </w:tc>
      </w:tr>
      <w:tr w14:paraId="69BD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112" w:type="dxa"/>
            <w:gridSpan w:val="4"/>
            <w:noWrap w:val="0"/>
            <w:vAlign w:val="center"/>
          </w:tcPr>
          <w:p w14:paraId="1DC38A3F">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落实政府采购政策需满足的资格要求</w:t>
            </w:r>
          </w:p>
        </w:tc>
      </w:tr>
      <w:tr w14:paraId="0CAC0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3C77A876">
            <w:pPr>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p>
        </w:tc>
        <w:tc>
          <w:tcPr>
            <w:tcW w:w="5447" w:type="dxa"/>
            <w:noWrap w:val="0"/>
            <w:vAlign w:val="center"/>
          </w:tcPr>
          <w:p w14:paraId="4EE2C6B7">
            <w:pPr>
              <w:snapToGrid w:val="0"/>
              <w:spacing w:line="0" w:lineRule="atLeast"/>
              <w:jc w:val="left"/>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w:t>
            </w:r>
          </w:p>
        </w:tc>
        <w:tc>
          <w:tcPr>
            <w:tcW w:w="3019" w:type="dxa"/>
            <w:gridSpan w:val="2"/>
            <w:noWrap w:val="0"/>
            <w:vAlign w:val="center"/>
          </w:tcPr>
          <w:p w14:paraId="7E6B4C57">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如该项目设定</w:t>
            </w:r>
          </w:p>
        </w:tc>
      </w:tr>
      <w:tr w14:paraId="4780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112" w:type="dxa"/>
            <w:gridSpan w:val="4"/>
            <w:noWrap w:val="0"/>
            <w:vAlign w:val="center"/>
          </w:tcPr>
          <w:p w14:paraId="705170F8">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其他资格条件</w:t>
            </w:r>
          </w:p>
        </w:tc>
      </w:tr>
      <w:tr w14:paraId="7DA5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5BF29758">
            <w:pPr>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w:t>
            </w:r>
          </w:p>
        </w:tc>
        <w:tc>
          <w:tcPr>
            <w:tcW w:w="5447" w:type="dxa"/>
            <w:noWrap w:val="0"/>
            <w:vAlign w:val="center"/>
          </w:tcPr>
          <w:p w14:paraId="655A047C">
            <w:pPr>
              <w:snapToGrid w:val="0"/>
              <w:spacing w:line="0" w:lineRule="atLeast"/>
              <w:jc w:val="left"/>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法人授权书</w:t>
            </w:r>
          </w:p>
        </w:tc>
        <w:tc>
          <w:tcPr>
            <w:tcW w:w="3019" w:type="dxa"/>
            <w:gridSpan w:val="2"/>
            <w:noWrap w:val="0"/>
            <w:vAlign w:val="center"/>
          </w:tcPr>
          <w:p w14:paraId="5F66FE20">
            <w:pPr>
              <w:rPr>
                <w:rFonts w:hint="eastAsia" w:ascii="宋体" w:hAnsi="宋体" w:eastAsia="宋体" w:cs="宋体"/>
                <w:color w:val="000000" w:themeColor="text1"/>
                <w:highlight w:val="none"/>
                <w14:textFill>
                  <w14:solidFill>
                    <w14:schemeClr w14:val="tx1"/>
                  </w14:solidFill>
                </w14:textFill>
              </w:rPr>
            </w:pPr>
          </w:p>
        </w:tc>
      </w:tr>
      <w:tr w14:paraId="7313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315EDC76">
            <w:pPr>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w:t>
            </w:r>
          </w:p>
        </w:tc>
        <w:tc>
          <w:tcPr>
            <w:tcW w:w="5447" w:type="dxa"/>
            <w:noWrap w:val="0"/>
            <w:vAlign w:val="center"/>
          </w:tcPr>
          <w:p w14:paraId="02449096">
            <w:pPr>
              <w:snapToGrid w:val="0"/>
              <w:spacing w:line="0" w:lineRule="atLeast"/>
              <w:jc w:val="left"/>
              <w:rPr>
                <w:rFonts w:hint="eastAsia" w:ascii="宋体" w:hAnsi="宋体" w:eastAsia="宋体" w:cs="宋体"/>
                <w:iCs/>
                <w:color w:val="000000" w:themeColor="text1"/>
                <w:sz w:val="24"/>
                <w:szCs w:val="24"/>
                <w:highlight w:val="none"/>
                <w:lang w:val="en-US" w:eastAsia="zh-CN"/>
                <w14:textFill>
                  <w14:solidFill>
                    <w14:schemeClr w14:val="tx1"/>
                  </w14:solidFill>
                </w14:textFill>
              </w:rPr>
            </w:pPr>
            <w:r>
              <w:rPr>
                <w:rFonts w:hint="eastAsia" w:ascii="宋体" w:hAnsi="宋体" w:eastAsia="宋体" w:cs="宋体"/>
                <w:iCs/>
                <w:color w:val="000000" w:themeColor="text1"/>
                <w:sz w:val="24"/>
                <w:szCs w:val="24"/>
                <w:highlight w:val="none"/>
                <w:lang w:val="en-US" w:eastAsia="zh-CN"/>
                <w14:textFill>
                  <w14:solidFill>
                    <w14:schemeClr w14:val="tx1"/>
                  </w14:solidFill>
                </w14:textFill>
              </w:rPr>
              <w:t>投标保证金缴纳凭证</w:t>
            </w:r>
          </w:p>
        </w:tc>
        <w:tc>
          <w:tcPr>
            <w:tcW w:w="3019" w:type="dxa"/>
            <w:gridSpan w:val="2"/>
            <w:noWrap w:val="0"/>
            <w:vAlign w:val="center"/>
          </w:tcPr>
          <w:p w14:paraId="071AFB37">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如该项目收取</w:t>
            </w:r>
          </w:p>
        </w:tc>
      </w:tr>
      <w:tr w14:paraId="5DF6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20329B69">
            <w:pPr>
              <w:jc w:val="center"/>
              <w:rPr>
                <w:rFonts w:hint="eastAsia" w:ascii="宋体" w:hAnsi="宋体" w:eastAsia="宋体" w:cs="宋体"/>
                <w:color w:val="000000" w:themeColor="text1"/>
                <w:highlight w:val="none"/>
                <w14:textFill>
                  <w14:solidFill>
                    <w14:schemeClr w14:val="tx1"/>
                  </w14:solidFill>
                </w14:textFill>
              </w:rPr>
            </w:pPr>
          </w:p>
        </w:tc>
        <w:tc>
          <w:tcPr>
            <w:tcW w:w="5447" w:type="dxa"/>
            <w:noWrap w:val="0"/>
            <w:vAlign w:val="center"/>
          </w:tcPr>
          <w:p w14:paraId="7C7C3486">
            <w:pPr>
              <w:snapToGrid w:val="0"/>
              <w:spacing w:line="0" w:lineRule="atLeas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3019" w:type="dxa"/>
            <w:gridSpan w:val="2"/>
            <w:noWrap w:val="0"/>
            <w:vAlign w:val="center"/>
          </w:tcPr>
          <w:p w14:paraId="4917F82E">
            <w:pPr>
              <w:rPr>
                <w:rFonts w:hint="eastAsia" w:ascii="宋体" w:hAnsi="宋体" w:eastAsia="宋体" w:cs="宋体"/>
                <w:color w:val="000000" w:themeColor="text1"/>
                <w:highlight w:val="none"/>
                <w14:textFill>
                  <w14:solidFill>
                    <w14:schemeClr w14:val="tx1"/>
                  </w14:solidFill>
                </w14:textFill>
              </w:rPr>
            </w:pPr>
          </w:p>
        </w:tc>
      </w:tr>
    </w:tbl>
    <w:p w14:paraId="07B873BB">
      <w:pPr>
        <w:pStyle w:val="2"/>
        <w:rPr>
          <w:rFonts w:hint="eastAsia" w:ascii="宋体" w:hAnsi="宋体" w:eastAsia="宋体" w:cs="宋体"/>
          <w:color w:val="000000" w:themeColor="text1"/>
          <w:highlight w:val="none"/>
          <w14:textFill>
            <w14:solidFill>
              <w14:schemeClr w14:val="tx1"/>
            </w14:solidFill>
          </w14:textFill>
        </w:rPr>
        <w:sectPr>
          <w:footerReference r:id="rId4" w:type="first"/>
          <w:pgSz w:w="11906" w:h="16838"/>
          <w:pgMar w:top="1418" w:right="1588" w:bottom="1418" w:left="1365" w:header="851" w:footer="907" w:gutter="0"/>
          <w:cols w:space="720" w:num="1"/>
          <w:titlePg/>
          <w:docGrid w:type="lines" w:linePitch="290" w:charSpace="0"/>
        </w:sectPr>
      </w:pPr>
    </w:p>
    <w:p w14:paraId="57BD3102">
      <w:pPr>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二、符合性审查响应对照表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14:paraId="1F48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14:paraId="08738DAE">
            <w:pPr>
              <w:snapToGrid w:val="0"/>
              <w:spacing w:line="240" w:lineRule="atLeast"/>
              <w:jc w:val="center"/>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序号</w:t>
            </w:r>
          </w:p>
        </w:tc>
        <w:tc>
          <w:tcPr>
            <w:tcW w:w="5447" w:type="dxa"/>
            <w:noWrap w:val="0"/>
            <w:vAlign w:val="center"/>
          </w:tcPr>
          <w:p w14:paraId="0F548BD4">
            <w:pPr>
              <w:snapToGrid w:val="0"/>
              <w:spacing w:line="240" w:lineRule="atLeast"/>
              <w:jc w:val="center"/>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符合性审查响应内容</w:t>
            </w:r>
          </w:p>
        </w:tc>
        <w:tc>
          <w:tcPr>
            <w:tcW w:w="1680" w:type="dxa"/>
            <w:noWrap w:val="0"/>
            <w:vAlign w:val="center"/>
          </w:tcPr>
          <w:p w14:paraId="711A97A5">
            <w:pPr>
              <w:snapToGrid w:val="0"/>
              <w:spacing w:line="240" w:lineRule="atLeast"/>
              <w:jc w:val="center"/>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是否响应</w:t>
            </w:r>
          </w:p>
          <w:p w14:paraId="3AC1E2B3">
            <w:pPr>
              <w:snapToGrid w:val="0"/>
              <w:spacing w:line="240" w:lineRule="atLeast"/>
              <w:jc w:val="center"/>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（填是或否）</w:t>
            </w:r>
          </w:p>
        </w:tc>
        <w:tc>
          <w:tcPr>
            <w:tcW w:w="1308" w:type="dxa"/>
            <w:noWrap w:val="0"/>
            <w:vAlign w:val="center"/>
          </w:tcPr>
          <w:p w14:paraId="3BA2FE94">
            <w:pPr>
              <w:snapToGrid w:val="0"/>
              <w:spacing w:line="240" w:lineRule="auto"/>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在投标文件中的页码位置（注明在**节点下第**页，如“技术参数响应及偏离表I”第**页）</w:t>
            </w:r>
          </w:p>
        </w:tc>
      </w:tr>
      <w:tr w14:paraId="727A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68AD9B09">
            <w:pPr>
              <w:spacing w:line="240" w:lineRule="auto"/>
              <w:jc w:val="center"/>
              <w:rPr>
                <w:rFonts w:hint="eastAsia" w:ascii="宋体" w:hAnsi="宋体" w:eastAsia="宋体" w:cs="宋体"/>
                <w:color w:val="000000" w:themeColor="text1"/>
                <w:sz w:val="21"/>
                <w:highlight w:val="none"/>
                <w:lang w:val="en-US" w:eastAsia="zh-CN"/>
                <w14:textFill>
                  <w14:solidFill>
                    <w14:schemeClr w14:val="tx1"/>
                  </w14:solidFill>
                </w14:textFill>
              </w:rPr>
            </w:pPr>
            <w:r>
              <w:rPr>
                <w:rFonts w:hint="eastAsia" w:ascii="宋体" w:hAnsi="宋体" w:eastAsia="宋体" w:cs="宋体"/>
                <w:color w:val="000000" w:themeColor="text1"/>
                <w:sz w:val="21"/>
                <w:highlight w:val="none"/>
                <w:lang w:val="en-US" w:eastAsia="zh-CN"/>
                <w14:textFill>
                  <w14:solidFill>
                    <w14:schemeClr w14:val="tx1"/>
                  </w14:solidFill>
                </w14:textFill>
              </w:rPr>
              <w:t>1</w:t>
            </w:r>
          </w:p>
        </w:tc>
        <w:tc>
          <w:tcPr>
            <w:tcW w:w="5447" w:type="dxa"/>
            <w:noWrap w:val="0"/>
            <w:vAlign w:val="center"/>
          </w:tcPr>
          <w:p w14:paraId="230C9429">
            <w:pPr>
              <w:spacing w:line="0" w:lineRule="atLeas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报价未超预算</w:t>
            </w:r>
          </w:p>
        </w:tc>
        <w:tc>
          <w:tcPr>
            <w:tcW w:w="1680" w:type="dxa"/>
            <w:noWrap w:val="0"/>
            <w:vAlign w:val="center"/>
          </w:tcPr>
          <w:p w14:paraId="101348B2">
            <w:pPr>
              <w:spacing w:line="240" w:lineRule="auto"/>
              <w:rPr>
                <w:rFonts w:hint="eastAsia" w:ascii="宋体" w:hAnsi="宋体" w:eastAsia="宋体" w:cs="宋体"/>
                <w:color w:val="000000" w:themeColor="text1"/>
                <w:sz w:val="21"/>
                <w:highlight w:val="none"/>
                <w14:textFill>
                  <w14:solidFill>
                    <w14:schemeClr w14:val="tx1"/>
                  </w14:solidFill>
                </w14:textFill>
              </w:rPr>
            </w:pPr>
          </w:p>
        </w:tc>
        <w:tc>
          <w:tcPr>
            <w:tcW w:w="1308" w:type="dxa"/>
            <w:noWrap w:val="0"/>
            <w:vAlign w:val="center"/>
          </w:tcPr>
          <w:p w14:paraId="6FE2F516">
            <w:pPr>
              <w:spacing w:line="240" w:lineRule="auto"/>
              <w:rPr>
                <w:rFonts w:hint="eastAsia" w:ascii="宋体" w:hAnsi="宋体" w:eastAsia="宋体" w:cs="宋体"/>
                <w:color w:val="000000" w:themeColor="text1"/>
                <w:sz w:val="21"/>
                <w:highlight w:val="none"/>
                <w14:textFill>
                  <w14:solidFill>
                    <w14:schemeClr w14:val="tx1"/>
                  </w14:solidFill>
                </w14:textFill>
              </w:rPr>
            </w:pPr>
          </w:p>
        </w:tc>
      </w:tr>
      <w:tr w14:paraId="386A5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30784653">
            <w:pPr>
              <w:spacing w:line="240" w:lineRule="auto"/>
              <w:jc w:val="center"/>
              <w:rPr>
                <w:rFonts w:hint="eastAsia" w:ascii="宋体" w:hAnsi="宋体" w:eastAsia="宋体" w:cs="宋体"/>
                <w:color w:val="000000" w:themeColor="text1"/>
                <w:sz w:val="21"/>
                <w:highlight w:val="none"/>
                <w:lang w:val="en-US" w:eastAsia="zh-CN"/>
                <w14:textFill>
                  <w14:solidFill>
                    <w14:schemeClr w14:val="tx1"/>
                  </w14:solidFill>
                </w14:textFill>
              </w:rPr>
            </w:pPr>
            <w:r>
              <w:rPr>
                <w:rFonts w:hint="eastAsia" w:ascii="宋体" w:hAnsi="宋体" w:eastAsia="宋体" w:cs="宋体"/>
                <w:color w:val="000000" w:themeColor="text1"/>
                <w:sz w:val="21"/>
                <w:highlight w:val="none"/>
                <w:lang w:val="en-US" w:eastAsia="zh-CN"/>
                <w14:textFill>
                  <w14:solidFill>
                    <w14:schemeClr w14:val="tx1"/>
                  </w14:solidFill>
                </w14:textFill>
              </w:rPr>
              <w:t>2</w:t>
            </w:r>
          </w:p>
        </w:tc>
        <w:tc>
          <w:tcPr>
            <w:tcW w:w="5447" w:type="dxa"/>
            <w:noWrap w:val="0"/>
            <w:vAlign w:val="center"/>
          </w:tcPr>
          <w:p w14:paraId="07652840">
            <w:pPr>
              <w:spacing w:line="0" w:lineRule="atLeas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按照</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文件规定要求签署、盖章</w:t>
            </w:r>
          </w:p>
        </w:tc>
        <w:tc>
          <w:tcPr>
            <w:tcW w:w="1680" w:type="dxa"/>
            <w:noWrap w:val="0"/>
            <w:vAlign w:val="center"/>
          </w:tcPr>
          <w:p w14:paraId="5C268BF9">
            <w:pPr>
              <w:spacing w:line="240" w:lineRule="auto"/>
              <w:rPr>
                <w:rFonts w:hint="eastAsia" w:ascii="宋体" w:hAnsi="宋体" w:eastAsia="宋体" w:cs="宋体"/>
                <w:color w:val="000000" w:themeColor="text1"/>
                <w:sz w:val="21"/>
                <w:highlight w:val="none"/>
                <w14:textFill>
                  <w14:solidFill>
                    <w14:schemeClr w14:val="tx1"/>
                  </w14:solidFill>
                </w14:textFill>
              </w:rPr>
            </w:pPr>
          </w:p>
        </w:tc>
        <w:tc>
          <w:tcPr>
            <w:tcW w:w="1308" w:type="dxa"/>
            <w:noWrap w:val="0"/>
            <w:vAlign w:val="center"/>
          </w:tcPr>
          <w:p w14:paraId="6C4B6D55">
            <w:pPr>
              <w:spacing w:line="240" w:lineRule="auto"/>
              <w:rPr>
                <w:rFonts w:hint="eastAsia" w:ascii="宋体" w:hAnsi="宋体" w:eastAsia="宋体" w:cs="宋体"/>
                <w:color w:val="000000" w:themeColor="text1"/>
                <w:sz w:val="21"/>
                <w:highlight w:val="none"/>
                <w14:textFill>
                  <w14:solidFill>
                    <w14:schemeClr w14:val="tx1"/>
                  </w14:solidFill>
                </w14:textFill>
              </w:rPr>
            </w:pPr>
          </w:p>
        </w:tc>
      </w:tr>
      <w:tr w14:paraId="3B23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426CF219">
            <w:pPr>
              <w:spacing w:line="240" w:lineRule="auto"/>
              <w:jc w:val="center"/>
              <w:rPr>
                <w:rFonts w:hint="eastAsia" w:ascii="宋体" w:hAnsi="宋体" w:eastAsia="宋体" w:cs="宋体"/>
                <w:color w:val="000000" w:themeColor="text1"/>
                <w:sz w:val="21"/>
                <w:highlight w:val="none"/>
                <w:lang w:val="en-US" w:eastAsia="zh-CN"/>
                <w14:textFill>
                  <w14:solidFill>
                    <w14:schemeClr w14:val="tx1"/>
                  </w14:solidFill>
                </w14:textFill>
              </w:rPr>
            </w:pPr>
            <w:r>
              <w:rPr>
                <w:rFonts w:hint="eastAsia" w:ascii="宋体" w:hAnsi="宋体" w:eastAsia="宋体" w:cs="宋体"/>
                <w:color w:val="000000" w:themeColor="text1"/>
                <w:sz w:val="21"/>
                <w:highlight w:val="none"/>
                <w:lang w:val="en-US" w:eastAsia="zh-CN"/>
                <w14:textFill>
                  <w14:solidFill>
                    <w14:schemeClr w14:val="tx1"/>
                  </w14:solidFill>
                </w14:textFill>
              </w:rPr>
              <w:t>3</w:t>
            </w:r>
          </w:p>
        </w:tc>
        <w:tc>
          <w:tcPr>
            <w:tcW w:w="5447" w:type="dxa"/>
            <w:noWrap w:val="0"/>
            <w:vAlign w:val="center"/>
          </w:tcPr>
          <w:p w14:paraId="0C51BF27">
            <w:pPr>
              <w:spacing w:line="0" w:lineRule="atLeas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供应商在报价时</w:t>
            </w:r>
            <w:r>
              <w:rPr>
                <w:rFonts w:hint="eastAsia" w:ascii="宋体" w:hAnsi="宋体" w:eastAsia="宋体" w:cs="宋体"/>
                <w:color w:val="000000" w:themeColor="text1"/>
                <w:sz w:val="24"/>
                <w:szCs w:val="24"/>
                <w:highlight w:val="none"/>
                <w:lang w:val="en-US" w:eastAsia="zh-CN"/>
                <w14:textFill>
                  <w14:solidFill>
                    <w14:schemeClr w14:val="tx1"/>
                  </w14:solidFill>
                </w14:textFill>
              </w:rPr>
              <w:t>未</w:t>
            </w:r>
            <w:r>
              <w:rPr>
                <w:rFonts w:hint="eastAsia" w:ascii="宋体" w:hAnsi="宋体" w:eastAsia="宋体" w:cs="宋体"/>
                <w:color w:val="000000" w:themeColor="text1"/>
                <w:sz w:val="24"/>
                <w:szCs w:val="24"/>
                <w:highlight w:val="none"/>
                <w14:textFill>
                  <w14:solidFill>
                    <w14:schemeClr w14:val="tx1"/>
                  </w14:solidFill>
                </w14:textFill>
              </w:rPr>
              <w:t>采用选择性报价</w:t>
            </w:r>
          </w:p>
          <w:p w14:paraId="5369D3EE">
            <w:pPr>
              <w:spacing w:line="0" w:lineRule="atLeast"/>
              <w:rPr>
                <w:rFonts w:hint="eastAsia" w:ascii="宋体" w:hAnsi="宋体" w:eastAsia="宋体" w:cs="宋体"/>
                <w:color w:val="000000" w:themeColor="text1"/>
                <w:sz w:val="24"/>
                <w:szCs w:val="24"/>
                <w:highlight w:val="none"/>
                <w14:textFill>
                  <w14:solidFill>
                    <w14:schemeClr w14:val="tx1"/>
                  </w14:solidFill>
                </w14:textFill>
              </w:rPr>
            </w:pPr>
          </w:p>
        </w:tc>
        <w:tc>
          <w:tcPr>
            <w:tcW w:w="1680" w:type="dxa"/>
            <w:noWrap w:val="0"/>
            <w:vAlign w:val="center"/>
          </w:tcPr>
          <w:p w14:paraId="0AEF2146">
            <w:pPr>
              <w:spacing w:line="240" w:lineRule="auto"/>
              <w:rPr>
                <w:rFonts w:hint="eastAsia" w:ascii="宋体" w:hAnsi="宋体" w:eastAsia="宋体" w:cs="宋体"/>
                <w:color w:val="000000" w:themeColor="text1"/>
                <w:sz w:val="21"/>
                <w:highlight w:val="none"/>
                <w14:textFill>
                  <w14:solidFill>
                    <w14:schemeClr w14:val="tx1"/>
                  </w14:solidFill>
                </w14:textFill>
              </w:rPr>
            </w:pPr>
          </w:p>
        </w:tc>
        <w:tc>
          <w:tcPr>
            <w:tcW w:w="1308" w:type="dxa"/>
            <w:noWrap w:val="0"/>
            <w:vAlign w:val="center"/>
          </w:tcPr>
          <w:p w14:paraId="6A20435B">
            <w:pPr>
              <w:spacing w:line="240" w:lineRule="auto"/>
              <w:rPr>
                <w:rFonts w:hint="eastAsia" w:ascii="宋体" w:hAnsi="宋体" w:eastAsia="宋体" w:cs="宋体"/>
                <w:color w:val="000000" w:themeColor="text1"/>
                <w:sz w:val="21"/>
                <w:highlight w:val="none"/>
                <w14:textFill>
                  <w14:solidFill>
                    <w14:schemeClr w14:val="tx1"/>
                  </w14:solidFill>
                </w14:textFill>
              </w:rPr>
            </w:pPr>
          </w:p>
        </w:tc>
      </w:tr>
      <w:tr w14:paraId="6E4B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33E6F07E">
            <w:pPr>
              <w:spacing w:line="240" w:lineRule="auto"/>
              <w:jc w:val="center"/>
              <w:rPr>
                <w:rFonts w:hint="eastAsia" w:ascii="宋体" w:hAnsi="宋体" w:eastAsia="宋体" w:cs="宋体"/>
                <w:color w:val="000000" w:themeColor="text1"/>
                <w:sz w:val="21"/>
                <w:highlight w:val="none"/>
                <w:lang w:val="en-US" w:eastAsia="zh-CN"/>
                <w14:textFill>
                  <w14:solidFill>
                    <w14:schemeClr w14:val="tx1"/>
                  </w14:solidFill>
                </w14:textFill>
              </w:rPr>
            </w:pPr>
            <w:r>
              <w:rPr>
                <w:rFonts w:hint="eastAsia" w:ascii="宋体" w:hAnsi="宋体" w:eastAsia="宋体" w:cs="宋体"/>
                <w:color w:val="000000" w:themeColor="text1"/>
                <w:sz w:val="21"/>
                <w:highlight w:val="none"/>
                <w:lang w:val="en-US" w:eastAsia="zh-CN"/>
                <w14:textFill>
                  <w14:solidFill>
                    <w14:schemeClr w14:val="tx1"/>
                  </w14:solidFill>
                </w14:textFill>
              </w:rPr>
              <w:t>4</w:t>
            </w:r>
          </w:p>
        </w:tc>
        <w:tc>
          <w:tcPr>
            <w:tcW w:w="5447" w:type="dxa"/>
            <w:noWrap w:val="0"/>
            <w:vAlign w:val="center"/>
          </w:tcPr>
          <w:p w14:paraId="22B417BA">
            <w:pPr>
              <w:spacing w:line="0" w:lineRule="atLeas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文件中规定的实质性要求和条件的（本</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文件中斜体且有下划线部分为实质性要求和条件）</w:t>
            </w:r>
          </w:p>
        </w:tc>
        <w:tc>
          <w:tcPr>
            <w:tcW w:w="1680" w:type="dxa"/>
            <w:noWrap w:val="0"/>
            <w:vAlign w:val="center"/>
          </w:tcPr>
          <w:p w14:paraId="0FADB124">
            <w:pPr>
              <w:spacing w:line="240" w:lineRule="auto"/>
              <w:rPr>
                <w:rFonts w:hint="eastAsia" w:ascii="宋体" w:hAnsi="宋体" w:eastAsia="宋体" w:cs="宋体"/>
                <w:color w:val="000000" w:themeColor="text1"/>
                <w:sz w:val="21"/>
                <w:highlight w:val="none"/>
                <w14:textFill>
                  <w14:solidFill>
                    <w14:schemeClr w14:val="tx1"/>
                  </w14:solidFill>
                </w14:textFill>
              </w:rPr>
            </w:pPr>
          </w:p>
        </w:tc>
        <w:tc>
          <w:tcPr>
            <w:tcW w:w="1308" w:type="dxa"/>
            <w:noWrap w:val="0"/>
            <w:vAlign w:val="center"/>
          </w:tcPr>
          <w:p w14:paraId="7DA6DF19">
            <w:pPr>
              <w:spacing w:line="240" w:lineRule="auto"/>
              <w:rPr>
                <w:rFonts w:hint="eastAsia" w:ascii="宋体" w:hAnsi="宋体" w:eastAsia="宋体" w:cs="宋体"/>
                <w:color w:val="000000" w:themeColor="text1"/>
                <w:sz w:val="21"/>
                <w:highlight w:val="none"/>
                <w14:textFill>
                  <w14:solidFill>
                    <w14:schemeClr w14:val="tx1"/>
                  </w14:solidFill>
                </w14:textFill>
              </w:rPr>
            </w:pPr>
          </w:p>
        </w:tc>
      </w:tr>
      <w:tr w14:paraId="2FFD6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1F167B8B">
            <w:pPr>
              <w:spacing w:line="240" w:lineRule="auto"/>
              <w:jc w:val="center"/>
              <w:rPr>
                <w:rFonts w:hint="eastAsia" w:ascii="宋体" w:hAnsi="宋体" w:eastAsia="宋体" w:cs="宋体"/>
                <w:color w:val="000000" w:themeColor="text1"/>
                <w:sz w:val="21"/>
                <w:highlight w:val="none"/>
                <w:lang w:val="en-US" w:eastAsia="zh-CN"/>
                <w14:textFill>
                  <w14:solidFill>
                    <w14:schemeClr w14:val="tx1"/>
                  </w14:solidFill>
                </w14:textFill>
              </w:rPr>
            </w:pPr>
            <w:r>
              <w:rPr>
                <w:rFonts w:hint="eastAsia" w:ascii="宋体" w:hAnsi="宋体" w:eastAsia="宋体" w:cs="宋体"/>
                <w:color w:val="000000" w:themeColor="text1"/>
                <w:sz w:val="21"/>
                <w:highlight w:val="none"/>
                <w:lang w:val="en-US" w:eastAsia="zh-CN"/>
                <w14:textFill>
                  <w14:solidFill>
                    <w14:schemeClr w14:val="tx1"/>
                  </w14:solidFill>
                </w14:textFill>
              </w:rPr>
              <w:t>5</w:t>
            </w:r>
          </w:p>
        </w:tc>
        <w:tc>
          <w:tcPr>
            <w:tcW w:w="5447" w:type="dxa"/>
            <w:noWrap w:val="0"/>
            <w:vAlign w:val="center"/>
          </w:tcPr>
          <w:p w14:paraId="44A9538D">
            <w:pPr>
              <w:spacing w:line="0" w:lineRule="atLeas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未含有采购人不能接受的附加条件的</w:t>
            </w:r>
          </w:p>
        </w:tc>
        <w:tc>
          <w:tcPr>
            <w:tcW w:w="1680" w:type="dxa"/>
            <w:noWrap w:val="0"/>
            <w:vAlign w:val="center"/>
          </w:tcPr>
          <w:p w14:paraId="3AB33F41">
            <w:pPr>
              <w:spacing w:line="240" w:lineRule="auto"/>
              <w:rPr>
                <w:rFonts w:hint="eastAsia" w:ascii="宋体" w:hAnsi="宋体" w:eastAsia="宋体" w:cs="宋体"/>
                <w:color w:val="000000" w:themeColor="text1"/>
                <w:sz w:val="21"/>
                <w:highlight w:val="none"/>
                <w14:textFill>
                  <w14:solidFill>
                    <w14:schemeClr w14:val="tx1"/>
                  </w14:solidFill>
                </w14:textFill>
              </w:rPr>
            </w:pPr>
          </w:p>
        </w:tc>
        <w:tc>
          <w:tcPr>
            <w:tcW w:w="1308" w:type="dxa"/>
            <w:noWrap w:val="0"/>
            <w:vAlign w:val="center"/>
          </w:tcPr>
          <w:p w14:paraId="20394AF0">
            <w:pPr>
              <w:spacing w:line="240" w:lineRule="auto"/>
              <w:rPr>
                <w:rFonts w:hint="eastAsia" w:ascii="宋体" w:hAnsi="宋体" w:eastAsia="宋体" w:cs="宋体"/>
                <w:color w:val="000000" w:themeColor="text1"/>
                <w:sz w:val="21"/>
                <w:highlight w:val="none"/>
                <w14:textFill>
                  <w14:solidFill>
                    <w14:schemeClr w14:val="tx1"/>
                  </w14:solidFill>
                </w14:textFill>
              </w:rPr>
            </w:pPr>
          </w:p>
        </w:tc>
      </w:tr>
    </w:tbl>
    <w:p w14:paraId="27C0DDC3">
      <w:pPr>
        <w:snapToGrid w:val="0"/>
        <w:spacing w:before="50" w:after="50"/>
        <w:rPr>
          <w:rFonts w:hint="eastAsia" w:ascii="宋体" w:hAnsi="宋体" w:eastAsia="宋体" w:cs="宋体"/>
          <w:color w:val="000000" w:themeColor="text1"/>
          <w:sz w:val="32"/>
          <w:szCs w:val="32"/>
          <w:highlight w:val="none"/>
          <w14:textFill>
            <w14:solidFill>
              <w14:schemeClr w14:val="tx1"/>
            </w14:solidFill>
          </w14:textFill>
        </w:rPr>
      </w:pPr>
    </w:p>
    <w:p w14:paraId="40DCAFC4">
      <w:pPr>
        <w:snapToGrid w:val="0"/>
        <w:spacing w:before="50" w:after="5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44"/>
          <w:highlight w:val="none"/>
          <w14:textFill>
            <w14:solidFill>
              <w14:schemeClr w14:val="tx1"/>
            </w14:solidFill>
          </w14:textFill>
        </w:rPr>
        <w:t xml:space="preserve"> </w:t>
      </w:r>
    </w:p>
    <w:p w14:paraId="054AFBF8">
      <w:pPr>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三、非实质性响应对照表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14:paraId="3AB4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14:paraId="4B1F22A2">
            <w:pPr>
              <w:snapToGrid w:val="0"/>
              <w:spacing w:line="240" w:lineRule="atLeas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序号</w:t>
            </w:r>
          </w:p>
        </w:tc>
        <w:tc>
          <w:tcPr>
            <w:tcW w:w="5447" w:type="dxa"/>
            <w:noWrap w:val="0"/>
            <w:vAlign w:val="center"/>
          </w:tcPr>
          <w:p w14:paraId="53101BC3">
            <w:pPr>
              <w:snapToGrid w:val="0"/>
              <w:spacing w:line="240" w:lineRule="atLeas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非实质性响应内容</w:t>
            </w:r>
          </w:p>
        </w:tc>
        <w:tc>
          <w:tcPr>
            <w:tcW w:w="1680" w:type="dxa"/>
            <w:noWrap w:val="0"/>
            <w:vAlign w:val="center"/>
          </w:tcPr>
          <w:p w14:paraId="695399FF">
            <w:pPr>
              <w:snapToGrid w:val="0"/>
              <w:spacing w:line="240" w:lineRule="atLeas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是否响应</w:t>
            </w:r>
          </w:p>
          <w:p w14:paraId="66CA828F">
            <w:pPr>
              <w:snapToGrid w:val="0"/>
              <w:spacing w:line="240" w:lineRule="atLeas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（填是或者否）</w:t>
            </w:r>
          </w:p>
        </w:tc>
        <w:tc>
          <w:tcPr>
            <w:tcW w:w="1308" w:type="dxa"/>
            <w:noWrap w:val="0"/>
            <w:vAlign w:val="center"/>
          </w:tcPr>
          <w:p w14:paraId="52D8ECFE">
            <w:pPr>
              <w:snapToGrid w:val="0"/>
              <w:spacing w:line="240" w:lineRule="atLeas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上传证明材料的图片</w:t>
            </w:r>
            <w:r>
              <w:rPr>
                <w:rFonts w:hint="eastAsia" w:ascii="宋体" w:hAnsi="宋体" w:eastAsia="宋体" w:cs="宋体"/>
                <w:b/>
                <w:color w:val="000000" w:themeColor="text1"/>
                <w:highlight w:val="none"/>
                <w:lang w:eastAsia="zh-CN"/>
                <w14:textFill>
                  <w14:solidFill>
                    <w14:schemeClr w14:val="tx1"/>
                  </w14:solidFill>
                </w14:textFill>
              </w:rPr>
              <w:t>（</w:t>
            </w:r>
            <w:r>
              <w:rPr>
                <w:rFonts w:hint="eastAsia" w:ascii="宋体" w:hAnsi="宋体" w:eastAsia="宋体" w:cs="宋体"/>
                <w:b/>
                <w:color w:val="000000" w:themeColor="text1"/>
                <w:highlight w:val="none"/>
                <w14:textFill>
                  <w14:solidFill>
                    <w14:schemeClr w14:val="tx1"/>
                  </w14:solidFill>
                </w14:textFill>
              </w:rPr>
              <w:t>按顺序附到此对照表后面</w:t>
            </w:r>
            <w:r>
              <w:rPr>
                <w:rFonts w:hint="eastAsia" w:ascii="宋体" w:hAnsi="宋体" w:eastAsia="宋体" w:cs="宋体"/>
                <w:b/>
                <w:color w:val="000000" w:themeColor="text1"/>
                <w:highlight w:val="none"/>
                <w:lang w:eastAsia="zh-CN"/>
                <w14:textFill>
                  <w14:solidFill>
                    <w14:schemeClr w14:val="tx1"/>
                  </w14:solidFill>
                </w14:textFill>
              </w:rPr>
              <w:t>）</w:t>
            </w:r>
          </w:p>
        </w:tc>
      </w:tr>
      <w:tr w14:paraId="12BED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2F0C2899">
            <w:pPr>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1</w:t>
            </w:r>
          </w:p>
        </w:tc>
        <w:tc>
          <w:tcPr>
            <w:tcW w:w="5447" w:type="dxa"/>
            <w:noWrap w:val="0"/>
            <w:vAlign w:val="center"/>
          </w:tcPr>
          <w:p w14:paraId="1747AD5B">
            <w:pPr>
              <w:spacing w:line="0" w:lineRule="atLeast"/>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《企业声明函》</w:t>
            </w:r>
          </w:p>
        </w:tc>
        <w:tc>
          <w:tcPr>
            <w:tcW w:w="1680" w:type="dxa"/>
            <w:noWrap w:val="0"/>
            <w:vAlign w:val="center"/>
          </w:tcPr>
          <w:p w14:paraId="3C5A0EC4">
            <w:pPr>
              <w:rPr>
                <w:rFonts w:hint="eastAsia" w:ascii="宋体" w:hAnsi="宋体" w:eastAsia="宋体" w:cs="宋体"/>
                <w:b/>
                <w:color w:val="000000" w:themeColor="text1"/>
                <w:highlight w:val="none"/>
                <w14:textFill>
                  <w14:solidFill>
                    <w14:schemeClr w14:val="tx1"/>
                  </w14:solidFill>
                </w14:textFill>
              </w:rPr>
            </w:pPr>
          </w:p>
        </w:tc>
        <w:tc>
          <w:tcPr>
            <w:tcW w:w="1308" w:type="dxa"/>
            <w:noWrap w:val="0"/>
            <w:vAlign w:val="center"/>
          </w:tcPr>
          <w:p w14:paraId="678AC1AE">
            <w:pPr>
              <w:rPr>
                <w:rFonts w:hint="eastAsia" w:ascii="宋体" w:hAnsi="宋体" w:eastAsia="宋体" w:cs="宋体"/>
                <w:b/>
                <w:color w:val="000000" w:themeColor="text1"/>
                <w:highlight w:val="none"/>
                <w14:textFill>
                  <w14:solidFill>
                    <w14:schemeClr w14:val="tx1"/>
                  </w14:solidFill>
                </w14:textFill>
              </w:rPr>
            </w:pPr>
          </w:p>
        </w:tc>
      </w:tr>
      <w:tr w14:paraId="0E29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0FF41B34">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5447" w:type="dxa"/>
            <w:noWrap w:val="0"/>
            <w:vAlign w:val="center"/>
          </w:tcPr>
          <w:p w14:paraId="2554A2AF">
            <w:pPr>
              <w:spacing w:line="0" w:lineRule="atLeast"/>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《残疾人福利性单位声明函》</w:t>
            </w:r>
          </w:p>
        </w:tc>
        <w:tc>
          <w:tcPr>
            <w:tcW w:w="1680" w:type="dxa"/>
            <w:noWrap w:val="0"/>
            <w:vAlign w:val="center"/>
          </w:tcPr>
          <w:p w14:paraId="042A0F0C">
            <w:pPr>
              <w:rPr>
                <w:rFonts w:hint="eastAsia" w:ascii="宋体" w:hAnsi="宋体" w:eastAsia="宋体" w:cs="宋体"/>
                <w:color w:val="000000" w:themeColor="text1"/>
                <w:highlight w:val="none"/>
                <w14:textFill>
                  <w14:solidFill>
                    <w14:schemeClr w14:val="tx1"/>
                  </w14:solidFill>
                </w14:textFill>
              </w:rPr>
            </w:pPr>
          </w:p>
        </w:tc>
        <w:tc>
          <w:tcPr>
            <w:tcW w:w="1308" w:type="dxa"/>
            <w:noWrap w:val="0"/>
            <w:vAlign w:val="center"/>
          </w:tcPr>
          <w:p w14:paraId="14365313">
            <w:pPr>
              <w:rPr>
                <w:rFonts w:hint="eastAsia" w:ascii="宋体" w:hAnsi="宋体" w:eastAsia="宋体" w:cs="宋体"/>
                <w:color w:val="000000" w:themeColor="text1"/>
                <w:highlight w:val="none"/>
                <w14:textFill>
                  <w14:solidFill>
                    <w14:schemeClr w14:val="tx1"/>
                  </w14:solidFill>
                </w14:textFill>
              </w:rPr>
            </w:pPr>
          </w:p>
        </w:tc>
      </w:tr>
      <w:tr w14:paraId="1732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2F89A2E9">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5447" w:type="dxa"/>
            <w:noWrap w:val="0"/>
            <w:vAlign w:val="center"/>
          </w:tcPr>
          <w:p w14:paraId="5A22890B">
            <w:pPr>
              <w:snapToGrid w:val="0"/>
              <w:spacing w:line="0" w:lineRule="atLeast"/>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w:t>
            </w:r>
          </w:p>
        </w:tc>
        <w:tc>
          <w:tcPr>
            <w:tcW w:w="1680" w:type="dxa"/>
            <w:noWrap w:val="0"/>
            <w:vAlign w:val="center"/>
          </w:tcPr>
          <w:p w14:paraId="6A3DD874">
            <w:pPr>
              <w:rPr>
                <w:rFonts w:hint="eastAsia" w:ascii="宋体" w:hAnsi="宋体" w:eastAsia="宋体" w:cs="宋体"/>
                <w:color w:val="000000" w:themeColor="text1"/>
                <w:highlight w:val="none"/>
                <w14:textFill>
                  <w14:solidFill>
                    <w14:schemeClr w14:val="tx1"/>
                  </w14:solidFill>
                </w14:textFill>
              </w:rPr>
            </w:pPr>
          </w:p>
        </w:tc>
        <w:tc>
          <w:tcPr>
            <w:tcW w:w="1308" w:type="dxa"/>
            <w:noWrap w:val="0"/>
            <w:vAlign w:val="center"/>
          </w:tcPr>
          <w:p w14:paraId="72907800">
            <w:pPr>
              <w:rPr>
                <w:rFonts w:hint="eastAsia" w:ascii="宋体" w:hAnsi="宋体" w:eastAsia="宋体" w:cs="宋体"/>
                <w:color w:val="000000" w:themeColor="text1"/>
                <w:highlight w:val="none"/>
                <w14:textFill>
                  <w14:solidFill>
                    <w14:schemeClr w14:val="tx1"/>
                  </w14:solidFill>
                </w14:textFill>
              </w:rPr>
            </w:pPr>
          </w:p>
        </w:tc>
      </w:tr>
    </w:tbl>
    <w:p w14:paraId="725F8DF7">
      <w:pPr>
        <w:pStyle w:val="8"/>
        <w:ind w:firstLine="0"/>
        <w:jc w:val="center"/>
        <w:rPr>
          <w:rFonts w:hint="eastAsia" w:ascii="宋体" w:hAnsi="宋体" w:eastAsia="宋体" w:cs="宋体"/>
          <w:b/>
          <w:bCs/>
          <w:color w:val="000000" w:themeColor="text1"/>
          <w:sz w:val="30"/>
          <w:szCs w:val="30"/>
          <w:highlight w:val="none"/>
          <w:lang w:eastAsia="zh-CN"/>
          <w14:textFill>
            <w14:solidFill>
              <w14:schemeClr w14:val="tx1"/>
            </w14:solidFill>
          </w14:textFill>
        </w:rPr>
        <w:sectPr>
          <w:pgSz w:w="11906" w:h="16838"/>
          <w:pgMar w:top="1418" w:right="1588" w:bottom="1418" w:left="1365" w:header="851" w:footer="907" w:gutter="0"/>
          <w:cols w:space="720" w:num="1"/>
          <w:titlePg/>
          <w:docGrid w:type="lines" w:linePitch="290" w:charSpace="0"/>
        </w:sectPr>
      </w:pPr>
      <w:bookmarkStart w:id="212" w:name="_Toc534816643"/>
      <w:bookmarkStart w:id="213" w:name="_Toc534725614"/>
      <w:bookmarkStart w:id="214" w:name="_Toc120614284"/>
    </w:p>
    <w:bookmarkEnd w:id="212"/>
    <w:bookmarkEnd w:id="213"/>
    <w:p w14:paraId="3220786A">
      <w:pPr>
        <w:pStyle w:val="6"/>
        <w:jc w:val="both"/>
        <w:rPr>
          <w:rFonts w:hint="eastAsia" w:ascii="宋体" w:hAnsi="宋体" w:eastAsia="宋体" w:cs="宋体"/>
          <w:color w:val="000000" w:themeColor="text1"/>
          <w:highlight w:val="none"/>
          <w14:textFill>
            <w14:solidFill>
              <w14:schemeClr w14:val="tx1"/>
            </w14:solidFill>
          </w14:textFill>
        </w:rPr>
      </w:pPr>
      <w:bookmarkStart w:id="215" w:name="_Toc534816648"/>
      <w:bookmarkStart w:id="216" w:name="_Toc534725619"/>
      <w:r>
        <w:rPr>
          <w:rFonts w:hint="eastAsia" w:ascii="宋体" w:hAnsi="宋体" w:eastAsia="宋体" w:cs="宋体"/>
          <w:color w:val="000000" w:themeColor="text1"/>
          <w:highlight w:val="none"/>
          <w:lang w:val="en-US" w:eastAsia="zh-CN"/>
          <w14:textFill>
            <w14:solidFill>
              <w14:schemeClr w14:val="tx1"/>
            </w14:solidFill>
          </w14:textFill>
        </w:rPr>
        <w:t>四</w:t>
      </w:r>
      <w:r>
        <w:rPr>
          <w:rFonts w:hint="eastAsia" w:ascii="宋体" w:hAnsi="宋体" w:eastAsia="宋体" w:cs="宋体"/>
          <w:color w:val="000000" w:themeColor="text1"/>
          <w:highlight w:val="none"/>
          <w14:textFill>
            <w14:solidFill>
              <w14:schemeClr w14:val="tx1"/>
            </w14:solidFill>
          </w14:textFill>
        </w:rPr>
        <w:t>、投标产品配置及分项报价表</w:t>
      </w:r>
    </w:p>
    <w:tbl>
      <w:tblPr>
        <w:tblStyle w:val="37"/>
        <w:tblW w:w="14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4032"/>
        <w:gridCol w:w="3217"/>
        <w:gridCol w:w="993"/>
        <w:gridCol w:w="708"/>
        <w:gridCol w:w="993"/>
        <w:gridCol w:w="1134"/>
        <w:gridCol w:w="1134"/>
        <w:gridCol w:w="1387"/>
      </w:tblGrid>
      <w:tr w14:paraId="4AF5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1044" w:type="dxa"/>
            <w:noWrap w:val="0"/>
            <w:vAlign w:val="center"/>
          </w:tcPr>
          <w:p w14:paraId="08778704">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序号</w:t>
            </w:r>
          </w:p>
        </w:tc>
        <w:tc>
          <w:tcPr>
            <w:tcW w:w="4032" w:type="dxa"/>
            <w:noWrap w:val="0"/>
            <w:vAlign w:val="center"/>
          </w:tcPr>
          <w:p w14:paraId="023213E0">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标的物名称</w:t>
            </w:r>
          </w:p>
        </w:tc>
        <w:tc>
          <w:tcPr>
            <w:tcW w:w="3217" w:type="dxa"/>
            <w:noWrap w:val="0"/>
            <w:vAlign w:val="center"/>
          </w:tcPr>
          <w:p w14:paraId="76926A80">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品牌、规格、型号</w:t>
            </w:r>
          </w:p>
        </w:tc>
        <w:tc>
          <w:tcPr>
            <w:tcW w:w="993" w:type="dxa"/>
            <w:noWrap w:val="0"/>
            <w:vAlign w:val="center"/>
          </w:tcPr>
          <w:p w14:paraId="14F75E40">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708" w:type="dxa"/>
            <w:noWrap w:val="0"/>
            <w:vAlign w:val="top"/>
          </w:tcPr>
          <w:p w14:paraId="0C20A888">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w:t>
            </w:r>
          </w:p>
        </w:tc>
        <w:tc>
          <w:tcPr>
            <w:tcW w:w="993" w:type="dxa"/>
            <w:noWrap w:val="0"/>
            <w:vAlign w:val="center"/>
          </w:tcPr>
          <w:p w14:paraId="5235C561">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单价</w:t>
            </w:r>
          </w:p>
        </w:tc>
        <w:tc>
          <w:tcPr>
            <w:tcW w:w="1134" w:type="dxa"/>
            <w:noWrap w:val="0"/>
            <w:vAlign w:val="center"/>
          </w:tcPr>
          <w:p w14:paraId="2110C054">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交付期/服务期</w:t>
            </w:r>
          </w:p>
        </w:tc>
        <w:tc>
          <w:tcPr>
            <w:tcW w:w="1134" w:type="dxa"/>
            <w:noWrap w:val="0"/>
            <w:vAlign w:val="center"/>
          </w:tcPr>
          <w:p w14:paraId="0604750A">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产地</w:t>
            </w:r>
          </w:p>
        </w:tc>
        <w:tc>
          <w:tcPr>
            <w:tcW w:w="1387" w:type="dxa"/>
            <w:noWrap w:val="0"/>
            <w:vAlign w:val="center"/>
          </w:tcPr>
          <w:p w14:paraId="4158F68F">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总价</w:t>
            </w:r>
          </w:p>
        </w:tc>
      </w:tr>
      <w:tr w14:paraId="2655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044" w:type="dxa"/>
            <w:noWrap w:val="0"/>
            <w:vAlign w:val="center"/>
          </w:tcPr>
          <w:p w14:paraId="64E9149F">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4032" w:type="dxa"/>
            <w:noWrap w:val="0"/>
            <w:vAlign w:val="center"/>
          </w:tcPr>
          <w:p w14:paraId="6BCB1B23">
            <w:pPr>
              <w:rPr>
                <w:rFonts w:hint="eastAsia" w:ascii="宋体" w:hAnsi="宋体" w:eastAsia="宋体" w:cs="宋体"/>
                <w:color w:val="000000" w:themeColor="text1"/>
                <w:sz w:val="24"/>
                <w:szCs w:val="24"/>
                <w:highlight w:val="none"/>
                <w14:textFill>
                  <w14:solidFill>
                    <w14:schemeClr w14:val="tx1"/>
                  </w14:solidFill>
                </w14:textFill>
              </w:rPr>
            </w:pPr>
          </w:p>
        </w:tc>
        <w:tc>
          <w:tcPr>
            <w:tcW w:w="3217" w:type="dxa"/>
            <w:noWrap w:val="0"/>
            <w:vAlign w:val="center"/>
          </w:tcPr>
          <w:p w14:paraId="348676E7">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93" w:type="dxa"/>
            <w:noWrap w:val="0"/>
            <w:vAlign w:val="center"/>
          </w:tcPr>
          <w:p w14:paraId="3A0E10B8">
            <w:pPr>
              <w:rPr>
                <w:rFonts w:hint="eastAsia" w:ascii="宋体" w:hAnsi="宋体" w:eastAsia="宋体" w:cs="宋体"/>
                <w:color w:val="000000" w:themeColor="text1"/>
                <w:sz w:val="24"/>
                <w:szCs w:val="24"/>
                <w:highlight w:val="none"/>
                <w14:textFill>
                  <w14:solidFill>
                    <w14:schemeClr w14:val="tx1"/>
                  </w14:solidFill>
                </w14:textFill>
              </w:rPr>
            </w:pPr>
          </w:p>
        </w:tc>
        <w:tc>
          <w:tcPr>
            <w:tcW w:w="708" w:type="dxa"/>
            <w:noWrap w:val="0"/>
            <w:vAlign w:val="top"/>
          </w:tcPr>
          <w:p w14:paraId="1757CCFC">
            <w:pPr>
              <w:rPr>
                <w:rFonts w:hint="eastAsia" w:ascii="宋体" w:hAnsi="宋体" w:eastAsia="宋体" w:cs="宋体"/>
                <w:color w:val="000000" w:themeColor="text1"/>
                <w:sz w:val="24"/>
                <w:szCs w:val="24"/>
                <w:highlight w:val="none"/>
                <w14:textFill>
                  <w14:solidFill>
                    <w14:schemeClr w14:val="tx1"/>
                  </w14:solidFill>
                </w14:textFill>
              </w:rPr>
            </w:pPr>
          </w:p>
        </w:tc>
        <w:tc>
          <w:tcPr>
            <w:tcW w:w="993" w:type="dxa"/>
            <w:noWrap w:val="0"/>
            <w:vAlign w:val="center"/>
          </w:tcPr>
          <w:p w14:paraId="14145851">
            <w:pPr>
              <w:rPr>
                <w:rFonts w:hint="eastAsia" w:ascii="宋体" w:hAnsi="宋体" w:eastAsia="宋体" w:cs="宋体"/>
                <w:color w:val="000000" w:themeColor="text1"/>
                <w:sz w:val="24"/>
                <w:szCs w:val="24"/>
                <w:highlight w:val="none"/>
                <w14:textFill>
                  <w14:solidFill>
                    <w14:schemeClr w14:val="tx1"/>
                  </w14:solidFill>
                </w14:textFill>
              </w:rPr>
            </w:pPr>
          </w:p>
        </w:tc>
        <w:tc>
          <w:tcPr>
            <w:tcW w:w="1134" w:type="dxa"/>
            <w:noWrap w:val="0"/>
            <w:vAlign w:val="center"/>
          </w:tcPr>
          <w:p w14:paraId="0C1D8AAC">
            <w:pPr>
              <w:rPr>
                <w:rFonts w:hint="eastAsia" w:ascii="宋体" w:hAnsi="宋体" w:eastAsia="宋体" w:cs="宋体"/>
                <w:color w:val="000000" w:themeColor="text1"/>
                <w:sz w:val="24"/>
                <w:szCs w:val="24"/>
                <w:highlight w:val="none"/>
                <w14:textFill>
                  <w14:solidFill>
                    <w14:schemeClr w14:val="tx1"/>
                  </w14:solidFill>
                </w14:textFill>
              </w:rPr>
            </w:pPr>
          </w:p>
        </w:tc>
        <w:tc>
          <w:tcPr>
            <w:tcW w:w="1134" w:type="dxa"/>
            <w:noWrap w:val="0"/>
            <w:vAlign w:val="center"/>
          </w:tcPr>
          <w:p w14:paraId="52C6E80A">
            <w:pPr>
              <w:rPr>
                <w:rFonts w:hint="eastAsia" w:ascii="宋体" w:hAnsi="宋体" w:eastAsia="宋体" w:cs="宋体"/>
                <w:color w:val="000000" w:themeColor="text1"/>
                <w:sz w:val="24"/>
                <w:szCs w:val="24"/>
                <w:highlight w:val="none"/>
                <w14:textFill>
                  <w14:solidFill>
                    <w14:schemeClr w14:val="tx1"/>
                  </w14:solidFill>
                </w14:textFill>
              </w:rPr>
            </w:pPr>
          </w:p>
        </w:tc>
        <w:tc>
          <w:tcPr>
            <w:tcW w:w="1387" w:type="dxa"/>
            <w:noWrap w:val="0"/>
            <w:vAlign w:val="center"/>
          </w:tcPr>
          <w:p w14:paraId="7488E846">
            <w:pPr>
              <w:rPr>
                <w:rFonts w:hint="eastAsia" w:ascii="宋体" w:hAnsi="宋体" w:eastAsia="宋体" w:cs="宋体"/>
                <w:color w:val="000000" w:themeColor="text1"/>
                <w:sz w:val="24"/>
                <w:szCs w:val="24"/>
                <w:highlight w:val="none"/>
                <w14:textFill>
                  <w14:solidFill>
                    <w14:schemeClr w14:val="tx1"/>
                  </w14:solidFill>
                </w14:textFill>
              </w:rPr>
            </w:pPr>
          </w:p>
        </w:tc>
      </w:tr>
      <w:tr w14:paraId="7394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044" w:type="dxa"/>
            <w:noWrap w:val="0"/>
            <w:vAlign w:val="center"/>
          </w:tcPr>
          <w:p w14:paraId="6B7929AF">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4032" w:type="dxa"/>
            <w:noWrap w:val="0"/>
            <w:vAlign w:val="center"/>
          </w:tcPr>
          <w:p w14:paraId="5732A045">
            <w:pPr>
              <w:rPr>
                <w:rFonts w:hint="eastAsia" w:ascii="宋体" w:hAnsi="宋体" w:eastAsia="宋体" w:cs="宋体"/>
                <w:color w:val="000000" w:themeColor="text1"/>
                <w:sz w:val="24"/>
                <w:szCs w:val="24"/>
                <w:highlight w:val="none"/>
                <w14:textFill>
                  <w14:solidFill>
                    <w14:schemeClr w14:val="tx1"/>
                  </w14:solidFill>
                </w14:textFill>
              </w:rPr>
            </w:pPr>
          </w:p>
        </w:tc>
        <w:tc>
          <w:tcPr>
            <w:tcW w:w="3217" w:type="dxa"/>
            <w:noWrap w:val="0"/>
            <w:vAlign w:val="center"/>
          </w:tcPr>
          <w:p w14:paraId="013313B6">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93" w:type="dxa"/>
            <w:noWrap w:val="0"/>
            <w:vAlign w:val="center"/>
          </w:tcPr>
          <w:p w14:paraId="338C27B8">
            <w:pPr>
              <w:rPr>
                <w:rFonts w:hint="eastAsia" w:ascii="宋体" w:hAnsi="宋体" w:eastAsia="宋体" w:cs="宋体"/>
                <w:color w:val="000000" w:themeColor="text1"/>
                <w:sz w:val="24"/>
                <w:szCs w:val="24"/>
                <w:highlight w:val="none"/>
                <w14:textFill>
                  <w14:solidFill>
                    <w14:schemeClr w14:val="tx1"/>
                  </w14:solidFill>
                </w14:textFill>
              </w:rPr>
            </w:pPr>
          </w:p>
        </w:tc>
        <w:tc>
          <w:tcPr>
            <w:tcW w:w="708" w:type="dxa"/>
            <w:noWrap w:val="0"/>
            <w:vAlign w:val="top"/>
          </w:tcPr>
          <w:p w14:paraId="79B27D2A">
            <w:pPr>
              <w:rPr>
                <w:rFonts w:hint="eastAsia" w:ascii="宋体" w:hAnsi="宋体" w:eastAsia="宋体" w:cs="宋体"/>
                <w:color w:val="000000" w:themeColor="text1"/>
                <w:sz w:val="24"/>
                <w:szCs w:val="24"/>
                <w:highlight w:val="none"/>
                <w14:textFill>
                  <w14:solidFill>
                    <w14:schemeClr w14:val="tx1"/>
                  </w14:solidFill>
                </w14:textFill>
              </w:rPr>
            </w:pPr>
          </w:p>
        </w:tc>
        <w:tc>
          <w:tcPr>
            <w:tcW w:w="993" w:type="dxa"/>
            <w:noWrap w:val="0"/>
            <w:vAlign w:val="center"/>
          </w:tcPr>
          <w:p w14:paraId="3523BEE6">
            <w:pPr>
              <w:rPr>
                <w:rFonts w:hint="eastAsia" w:ascii="宋体" w:hAnsi="宋体" w:eastAsia="宋体" w:cs="宋体"/>
                <w:color w:val="000000" w:themeColor="text1"/>
                <w:sz w:val="24"/>
                <w:szCs w:val="24"/>
                <w:highlight w:val="none"/>
                <w14:textFill>
                  <w14:solidFill>
                    <w14:schemeClr w14:val="tx1"/>
                  </w14:solidFill>
                </w14:textFill>
              </w:rPr>
            </w:pPr>
          </w:p>
        </w:tc>
        <w:tc>
          <w:tcPr>
            <w:tcW w:w="1134" w:type="dxa"/>
            <w:noWrap w:val="0"/>
            <w:vAlign w:val="center"/>
          </w:tcPr>
          <w:p w14:paraId="6A653C1C">
            <w:pPr>
              <w:rPr>
                <w:rFonts w:hint="eastAsia" w:ascii="宋体" w:hAnsi="宋体" w:eastAsia="宋体" w:cs="宋体"/>
                <w:color w:val="000000" w:themeColor="text1"/>
                <w:sz w:val="24"/>
                <w:szCs w:val="24"/>
                <w:highlight w:val="none"/>
                <w14:textFill>
                  <w14:solidFill>
                    <w14:schemeClr w14:val="tx1"/>
                  </w14:solidFill>
                </w14:textFill>
              </w:rPr>
            </w:pPr>
          </w:p>
        </w:tc>
        <w:tc>
          <w:tcPr>
            <w:tcW w:w="1134" w:type="dxa"/>
            <w:noWrap w:val="0"/>
            <w:vAlign w:val="center"/>
          </w:tcPr>
          <w:p w14:paraId="1B21842B">
            <w:pPr>
              <w:rPr>
                <w:rFonts w:hint="eastAsia" w:ascii="宋体" w:hAnsi="宋体" w:eastAsia="宋体" w:cs="宋体"/>
                <w:color w:val="000000" w:themeColor="text1"/>
                <w:sz w:val="24"/>
                <w:szCs w:val="24"/>
                <w:highlight w:val="none"/>
                <w14:textFill>
                  <w14:solidFill>
                    <w14:schemeClr w14:val="tx1"/>
                  </w14:solidFill>
                </w14:textFill>
              </w:rPr>
            </w:pPr>
          </w:p>
        </w:tc>
        <w:tc>
          <w:tcPr>
            <w:tcW w:w="1387" w:type="dxa"/>
            <w:noWrap w:val="0"/>
            <w:vAlign w:val="center"/>
          </w:tcPr>
          <w:p w14:paraId="446B0F45">
            <w:pPr>
              <w:rPr>
                <w:rFonts w:hint="eastAsia" w:ascii="宋体" w:hAnsi="宋体" w:eastAsia="宋体" w:cs="宋体"/>
                <w:color w:val="000000" w:themeColor="text1"/>
                <w:sz w:val="24"/>
                <w:szCs w:val="24"/>
                <w:highlight w:val="none"/>
                <w14:textFill>
                  <w14:solidFill>
                    <w14:schemeClr w14:val="tx1"/>
                  </w14:solidFill>
                </w14:textFill>
              </w:rPr>
            </w:pPr>
          </w:p>
        </w:tc>
      </w:tr>
      <w:tr w14:paraId="3ECA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044" w:type="dxa"/>
            <w:noWrap w:val="0"/>
            <w:vAlign w:val="center"/>
          </w:tcPr>
          <w:p w14:paraId="344F1A35">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4032" w:type="dxa"/>
            <w:noWrap w:val="0"/>
            <w:vAlign w:val="center"/>
          </w:tcPr>
          <w:p w14:paraId="4DB7FB58">
            <w:pPr>
              <w:rPr>
                <w:rFonts w:hint="eastAsia" w:ascii="宋体" w:hAnsi="宋体" w:eastAsia="宋体" w:cs="宋体"/>
                <w:color w:val="000000" w:themeColor="text1"/>
                <w:sz w:val="24"/>
                <w:szCs w:val="24"/>
                <w:highlight w:val="none"/>
                <w14:textFill>
                  <w14:solidFill>
                    <w14:schemeClr w14:val="tx1"/>
                  </w14:solidFill>
                </w14:textFill>
              </w:rPr>
            </w:pPr>
          </w:p>
        </w:tc>
        <w:tc>
          <w:tcPr>
            <w:tcW w:w="3217" w:type="dxa"/>
            <w:noWrap w:val="0"/>
            <w:vAlign w:val="center"/>
          </w:tcPr>
          <w:p w14:paraId="12390D48">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93" w:type="dxa"/>
            <w:noWrap w:val="0"/>
            <w:vAlign w:val="center"/>
          </w:tcPr>
          <w:p w14:paraId="7C4EADD9">
            <w:pPr>
              <w:rPr>
                <w:rFonts w:hint="eastAsia" w:ascii="宋体" w:hAnsi="宋体" w:eastAsia="宋体" w:cs="宋体"/>
                <w:color w:val="000000" w:themeColor="text1"/>
                <w:sz w:val="24"/>
                <w:szCs w:val="24"/>
                <w:highlight w:val="none"/>
                <w14:textFill>
                  <w14:solidFill>
                    <w14:schemeClr w14:val="tx1"/>
                  </w14:solidFill>
                </w14:textFill>
              </w:rPr>
            </w:pPr>
          </w:p>
        </w:tc>
        <w:tc>
          <w:tcPr>
            <w:tcW w:w="708" w:type="dxa"/>
            <w:noWrap w:val="0"/>
            <w:vAlign w:val="top"/>
          </w:tcPr>
          <w:p w14:paraId="154BB23D">
            <w:pPr>
              <w:rPr>
                <w:rFonts w:hint="eastAsia" w:ascii="宋体" w:hAnsi="宋体" w:eastAsia="宋体" w:cs="宋体"/>
                <w:color w:val="000000" w:themeColor="text1"/>
                <w:sz w:val="24"/>
                <w:szCs w:val="24"/>
                <w:highlight w:val="none"/>
                <w14:textFill>
                  <w14:solidFill>
                    <w14:schemeClr w14:val="tx1"/>
                  </w14:solidFill>
                </w14:textFill>
              </w:rPr>
            </w:pPr>
          </w:p>
        </w:tc>
        <w:tc>
          <w:tcPr>
            <w:tcW w:w="993" w:type="dxa"/>
            <w:noWrap w:val="0"/>
            <w:vAlign w:val="center"/>
          </w:tcPr>
          <w:p w14:paraId="302D3531">
            <w:pPr>
              <w:rPr>
                <w:rFonts w:hint="eastAsia" w:ascii="宋体" w:hAnsi="宋体" w:eastAsia="宋体" w:cs="宋体"/>
                <w:color w:val="000000" w:themeColor="text1"/>
                <w:sz w:val="24"/>
                <w:szCs w:val="24"/>
                <w:highlight w:val="none"/>
                <w14:textFill>
                  <w14:solidFill>
                    <w14:schemeClr w14:val="tx1"/>
                  </w14:solidFill>
                </w14:textFill>
              </w:rPr>
            </w:pPr>
          </w:p>
        </w:tc>
        <w:tc>
          <w:tcPr>
            <w:tcW w:w="1134" w:type="dxa"/>
            <w:noWrap w:val="0"/>
            <w:vAlign w:val="center"/>
          </w:tcPr>
          <w:p w14:paraId="3F8CBC49">
            <w:pPr>
              <w:rPr>
                <w:rFonts w:hint="eastAsia" w:ascii="宋体" w:hAnsi="宋体" w:eastAsia="宋体" w:cs="宋体"/>
                <w:color w:val="000000" w:themeColor="text1"/>
                <w:sz w:val="24"/>
                <w:szCs w:val="24"/>
                <w:highlight w:val="none"/>
                <w14:textFill>
                  <w14:solidFill>
                    <w14:schemeClr w14:val="tx1"/>
                  </w14:solidFill>
                </w14:textFill>
              </w:rPr>
            </w:pPr>
          </w:p>
        </w:tc>
        <w:tc>
          <w:tcPr>
            <w:tcW w:w="1134" w:type="dxa"/>
            <w:noWrap w:val="0"/>
            <w:vAlign w:val="center"/>
          </w:tcPr>
          <w:p w14:paraId="43E0BA3B">
            <w:pPr>
              <w:rPr>
                <w:rFonts w:hint="eastAsia" w:ascii="宋体" w:hAnsi="宋体" w:eastAsia="宋体" w:cs="宋体"/>
                <w:color w:val="000000" w:themeColor="text1"/>
                <w:sz w:val="24"/>
                <w:szCs w:val="24"/>
                <w:highlight w:val="none"/>
                <w14:textFill>
                  <w14:solidFill>
                    <w14:schemeClr w14:val="tx1"/>
                  </w14:solidFill>
                </w14:textFill>
              </w:rPr>
            </w:pPr>
          </w:p>
        </w:tc>
        <w:tc>
          <w:tcPr>
            <w:tcW w:w="1387" w:type="dxa"/>
            <w:noWrap w:val="0"/>
            <w:vAlign w:val="center"/>
          </w:tcPr>
          <w:p w14:paraId="4AF17F5B">
            <w:pPr>
              <w:rPr>
                <w:rFonts w:hint="eastAsia" w:ascii="宋体" w:hAnsi="宋体" w:eastAsia="宋体" w:cs="宋体"/>
                <w:color w:val="000000" w:themeColor="text1"/>
                <w:sz w:val="24"/>
                <w:szCs w:val="24"/>
                <w:highlight w:val="none"/>
                <w14:textFill>
                  <w14:solidFill>
                    <w14:schemeClr w14:val="tx1"/>
                  </w14:solidFill>
                </w14:textFill>
              </w:rPr>
            </w:pPr>
          </w:p>
        </w:tc>
      </w:tr>
      <w:tr w14:paraId="6802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044" w:type="dxa"/>
            <w:noWrap w:val="0"/>
            <w:vAlign w:val="center"/>
          </w:tcPr>
          <w:p w14:paraId="368DCCA8">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4032" w:type="dxa"/>
            <w:noWrap w:val="0"/>
            <w:vAlign w:val="center"/>
          </w:tcPr>
          <w:p w14:paraId="7CF0B7A9">
            <w:pPr>
              <w:rPr>
                <w:rFonts w:hint="eastAsia" w:ascii="宋体" w:hAnsi="宋体" w:eastAsia="宋体" w:cs="宋体"/>
                <w:color w:val="000000" w:themeColor="text1"/>
                <w:sz w:val="24"/>
                <w:szCs w:val="24"/>
                <w:highlight w:val="none"/>
                <w14:textFill>
                  <w14:solidFill>
                    <w14:schemeClr w14:val="tx1"/>
                  </w14:solidFill>
                </w14:textFill>
              </w:rPr>
            </w:pPr>
          </w:p>
        </w:tc>
        <w:tc>
          <w:tcPr>
            <w:tcW w:w="3217" w:type="dxa"/>
            <w:noWrap w:val="0"/>
            <w:vAlign w:val="center"/>
          </w:tcPr>
          <w:p w14:paraId="65296AB9">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93" w:type="dxa"/>
            <w:noWrap w:val="0"/>
            <w:vAlign w:val="center"/>
          </w:tcPr>
          <w:p w14:paraId="1DF04825">
            <w:pPr>
              <w:rPr>
                <w:rFonts w:hint="eastAsia" w:ascii="宋体" w:hAnsi="宋体" w:eastAsia="宋体" w:cs="宋体"/>
                <w:color w:val="000000" w:themeColor="text1"/>
                <w:sz w:val="24"/>
                <w:szCs w:val="24"/>
                <w:highlight w:val="none"/>
                <w14:textFill>
                  <w14:solidFill>
                    <w14:schemeClr w14:val="tx1"/>
                  </w14:solidFill>
                </w14:textFill>
              </w:rPr>
            </w:pPr>
          </w:p>
        </w:tc>
        <w:tc>
          <w:tcPr>
            <w:tcW w:w="708" w:type="dxa"/>
            <w:noWrap w:val="0"/>
            <w:vAlign w:val="top"/>
          </w:tcPr>
          <w:p w14:paraId="65E6D6E7">
            <w:pPr>
              <w:rPr>
                <w:rFonts w:hint="eastAsia" w:ascii="宋体" w:hAnsi="宋体" w:eastAsia="宋体" w:cs="宋体"/>
                <w:color w:val="000000" w:themeColor="text1"/>
                <w:sz w:val="24"/>
                <w:szCs w:val="24"/>
                <w:highlight w:val="none"/>
                <w14:textFill>
                  <w14:solidFill>
                    <w14:schemeClr w14:val="tx1"/>
                  </w14:solidFill>
                </w14:textFill>
              </w:rPr>
            </w:pPr>
          </w:p>
        </w:tc>
        <w:tc>
          <w:tcPr>
            <w:tcW w:w="993" w:type="dxa"/>
            <w:noWrap w:val="0"/>
            <w:vAlign w:val="center"/>
          </w:tcPr>
          <w:p w14:paraId="6CD302AD">
            <w:pPr>
              <w:rPr>
                <w:rFonts w:hint="eastAsia" w:ascii="宋体" w:hAnsi="宋体" w:eastAsia="宋体" w:cs="宋体"/>
                <w:color w:val="000000" w:themeColor="text1"/>
                <w:sz w:val="24"/>
                <w:szCs w:val="24"/>
                <w:highlight w:val="none"/>
                <w14:textFill>
                  <w14:solidFill>
                    <w14:schemeClr w14:val="tx1"/>
                  </w14:solidFill>
                </w14:textFill>
              </w:rPr>
            </w:pPr>
          </w:p>
        </w:tc>
        <w:tc>
          <w:tcPr>
            <w:tcW w:w="1134" w:type="dxa"/>
            <w:noWrap w:val="0"/>
            <w:vAlign w:val="center"/>
          </w:tcPr>
          <w:p w14:paraId="73022AC7">
            <w:pPr>
              <w:rPr>
                <w:rFonts w:hint="eastAsia" w:ascii="宋体" w:hAnsi="宋体" w:eastAsia="宋体" w:cs="宋体"/>
                <w:color w:val="000000" w:themeColor="text1"/>
                <w:sz w:val="24"/>
                <w:szCs w:val="24"/>
                <w:highlight w:val="none"/>
                <w14:textFill>
                  <w14:solidFill>
                    <w14:schemeClr w14:val="tx1"/>
                  </w14:solidFill>
                </w14:textFill>
              </w:rPr>
            </w:pPr>
          </w:p>
        </w:tc>
        <w:tc>
          <w:tcPr>
            <w:tcW w:w="1134" w:type="dxa"/>
            <w:noWrap w:val="0"/>
            <w:vAlign w:val="center"/>
          </w:tcPr>
          <w:p w14:paraId="70DDC788">
            <w:pPr>
              <w:rPr>
                <w:rFonts w:hint="eastAsia" w:ascii="宋体" w:hAnsi="宋体" w:eastAsia="宋体" w:cs="宋体"/>
                <w:color w:val="000000" w:themeColor="text1"/>
                <w:sz w:val="24"/>
                <w:szCs w:val="24"/>
                <w:highlight w:val="none"/>
                <w14:textFill>
                  <w14:solidFill>
                    <w14:schemeClr w14:val="tx1"/>
                  </w14:solidFill>
                </w14:textFill>
              </w:rPr>
            </w:pPr>
          </w:p>
        </w:tc>
        <w:tc>
          <w:tcPr>
            <w:tcW w:w="1387" w:type="dxa"/>
            <w:noWrap w:val="0"/>
            <w:vAlign w:val="center"/>
          </w:tcPr>
          <w:p w14:paraId="2CF01B81">
            <w:pPr>
              <w:rPr>
                <w:rFonts w:hint="eastAsia" w:ascii="宋体" w:hAnsi="宋体" w:eastAsia="宋体" w:cs="宋体"/>
                <w:color w:val="000000" w:themeColor="text1"/>
                <w:sz w:val="24"/>
                <w:szCs w:val="24"/>
                <w:highlight w:val="none"/>
                <w14:textFill>
                  <w14:solidFill>
                    <w14:schemeClr w14:val="tx1"/>
                  </w14:solidFill>
                </w14:textFill>
              </w:rPr>
            </w:pPr>
          </w:p>
        </w:tc>
      </w:tr>
      <w:tr w14:paraId="30CF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293" w:type="dxa"/>
            <w:gridSpan w:val="3"/>
            <w:noWrap w:val="0"/>
            <w:vAlign w:val="center"/>
          </w:tcPr>
          <w:p w14:paraId="7EA8A578">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合计</w:t>
            </w:r>
          </w:p>
        </w:tc>
        <w:tc>
          <w:tcPr>
            <w:tcW w:w="6349" w:type="dxa"/>
            <w:gridSpan w:val="6"/>
            <w:noWrap w:val="0"/>
            <w:vAlign w:val="top"/>
          </w:tcPr>
          <w:p w14:paraId="14FA6B4D">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tc>
      </w:tr>
      <w:tr w14:paraId="4265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14642" w:type="dxa"/>
            <w:gridSpan w:val="9"/>
            <w:noWrap w:val="0"/>
            <w:vAlign w:val="center"/>
          </w:tcPr>
          <w:p w14:paraId="737E5F4D">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方正魏碑_GBK" w:hAnsi="方正魏碑_GBK" w:eastAsia="方正魏碑_GBK" w:cs="方正魏碑_GBK"/>
                <w:i w:val="0"/>
                <w:iCs w:val="0"/>
                <w:caps w:val="0"/>
                <w:color w:val="000000" w:themeColor="text1"/>
                <w:spacing w:val="0"/>
                <w:sz w:val="28"/>
                <w:szCs w:val="28"/>
                <w:highlight w:val="none"/>
                <w:lang w:eastAsia="zh-CN"/>
                <w14:textFill>
                  <w14:solidFill>
                    <w14:schemeClr w14:val="tx1"/>
                  </w14:solidFill>
                </w14:textFill>
              </w:rPr>
              <w:t>本</w:t>
            </w:r>
            <w:r>
              <w:rPr>
                <w:rFonts w:hint="eastAsia" w:ascii="方正魏碑_GBK" w:hAnsi="方正魏碑_GBK" w:eastAsia="方正魏碑_GBK" w:cs="方正魏碑_GBK"/>
                <w:i w:val="0"/>
                <w:iCs w:val="0"/>
                <w:caps w:val="0"/>
                <w:color w:val="000000" w:themeColor="text1"/>
                <w:spacing w:val="0"/>
                <w:sz w:val="28"/>
                <w:szCs w:val="28"/>
                <w:highlight w:val="none"/>
                <w14:textFill>
                  <w14:solidFill>
                    <w14:schemeClr w14:val="tx1"/>
                  </w14:solidFill>
                </w14:textFill>
              </w:rPr>
              <w:t>采购包</w:t>
            </w:r>
            <w:r>
              <w:rPr>
                <w:rFonts w:hint="eastAsia" w:ascii="方正魏碑_GBK" w:hAnsi="方正魏碑_GBK" w:eastAsia="方正魏碑_GBK" w:cs="方正魏碑_GBK"/>
                <w:i w:val="0"/>
                <w:iCs w:val="0"/>
                <w:caps w:val="0"/>
                <w:color w:val="000000" w:themeColor="text1"/>
                <w:spacing w:val="0"/>
                <w:sz w:val="28"/>
                <w:szCs w:val="28"/>
                <w:highlight w:val="none"/>
                <w:u w:val="none"/>
                <w:lang w:val="en-US" w:eastAsia="zh-CN"/>
                <w14:textFill>
                  <w14:solidFill>
                    <w14:schemeClr w14:val="tx1"/>
                  </w14:solidFill>
                </w14:textFill>
              </w:rPr>
              <w:t>中</w:t>
            </w:r>
            <w:r>
              <w:rPr>
                <w:rFonts w:hint="eastAsia" w:ascii="方正魏碑_GBK" w:hAnsi="方正魏碑_GBK" w:eastAsia="方正魏碑_GBK" w:cs="方正魏碑_GBK"/>
                <w:i w:val="0"/>
                <w:iCs w:val="0"/>
                <w:caps w:val="0"/>
                <w:color w:val="000000" w:themeColor="text1"/>
                <w:spacing w:val="0"/>
                <w:sz w:val="28"/>
                <w:szCs w:val="28"/>
                <w:highlight w:val="none"/>
                <w14:textFill>
                  <w14:solidFill>
                    <w14:schemeClr w14:val="tx1"/>
                  </w14:solidFill>
                </w14:textFill>
              </w:rPr>
              <w:t>提供的符合本国产品标准的产品成本之和占</w:t>
            </w:r>
            <w:r>
              <w:rPr>
                <w:rFonts w:hint="eastAsia" w:ascii="方正魏碑_GBK" w:hAnsi="方正魏碑_GBK" w:eastAsia="方正魏碑_GBK" w:cs="方正魏碑_GBK"/>
                <w:i w:val="0"/>
                <w:iCs w:val="0"/>
                <w:caps w:val="0"/>
                <w:color w:val="000000" w:themeColor="text1"/>
                <w:spacing w:val="0"/>
                <w:sz w:val="28"/>
                <w:szCs w:val="28"/>
                <w:highlight w:val="none"/>
                <w:lang w:eastAsia="zh-CN"/>
                <w14:textFill>
                  <w14:solidFill>
                    <w14:schemeClr w14:val="tx1"/>
                  </w14:solidFill>
                </w14:textFill>
              </w:rPr>
              <w:t>该采购包</w:t>
            </w:r>
            <w:r>
              <w:rPr>
                <w:rFonts w:hint="eastAsia" w:ascii="方正魏碑_GBK" w:hAnsi="方正魏碑_GBK" w:eastAsia="方正魏碑_GBK" w:cs="方正魏碑_GBK"/>
                <w:i w:val="0"/>
                <w:iCs w:val="0"/>
                <w:caps w:val="0"/>
                <w:color w:val="000000" w:themeColor="text1"/>
                <w:spacing w:val="0"/>
                <w:sz w:val="28"/>
                <w:szCs w:val="28"/>
                <w:highlight w:val="none"/>
                <w14:textFill>
                  <w14:solidFill>
                    <w14:schemeClr w14:val="tx1"/>
                  </w14:solidFill>
                </w14:textFill>
              </w:rPr>
              <w:t>提供的全部产品成本之和的比例</w:t>
            </w:r>
            <w:r>
              <w:rPr>
                <w:rFonts w:hint="eastAsia" w:ascii="方正魏碑_GBK" w:hAnsi="方正魏碑_GBK" w:eastAsia="方正魏碑_GBK" w:cs="方正魏碑_GBK"/>
                <w:i w:val="0"/>
                <w:iCs w:val="0"/>
                <w:caps w:val="0"/>
                <w:color w:val="000000" w:themeColor="text1"/>
                <w:spacing w:val="0"/>
                <w:sz w:val="28"/>
                <w:szCs w:val="28"/>
                <w:highlight w:val="none"/>
                <w:lang w:eastAsia="zh-CN"/>
                <w14:textFill>
                  <w14:solidFill>
                    <w14:schemeClr w14:val="tx1"/>
                  </w14:solidFill>
                </w14:textFill>
              </w:rPr>
              <w:t>为</w:t>
            </w:r>
            <w:r>
              <w:rPr>
                <w:rFonts w:hint="eastAsia" w:ascii="方正魏碑_GBK" w:hAnsi="方正魏碑_GBK" w:eastAsia="方正魏碑_GBK" w:cs="方正魏碑_GBK"/>
                <w:i w:val="0"/>
                <w:iCs w:val="0"/>
                <w:caps w:val="0"/>
                <w:color w:val="000000" w:themeColor="text1"/>
                <w:spacing w:val="0"/>
                <w:sz w:val="28"/>
                <w:szCs w:val="28"/>
                <w:highlight w:val="none"/>
                <w:u w:val="single"/>
                <w:lang w:val="en-US" w:eastAsia="zh-CN"/>
                <w14:textFill>
                  <w14:solidFill>
                    <w14:schemeClr w14:val="tx1"/>
                  </w14:solidFill>
                </w14:textFill>
              </w:rPr>
              <w:t>***</w:t>
            </w:r>
            <w:r>
              <w:rPr>
                <w:rFonts w:hint="eastAsia" w:ascii="方正魏碑_GBK" w:hAnsi="方正魏碑_GBK" w:eastAsia="方正魏碑_GBK" w:cs="方正魏碑_GBK"/>
                <w:i w:val="0"/>
                <w:iCs w:val="0"/>
                <w:caps w:val="0"/>
                <w:color w:val="000000" w:themeColor="text1"/>
                <w:spacing w:val="0"/>
                <w:sz w:val="28"/>
                <w:szCs w:val="28"/>
                <w:highlight w:val="none"/>
                <w:u w:val="none"/>
                <w14:textFill>
                  <w14:solidFill>
                    <w14:schemeClr w14:val="tx1"/>
                  </w14:solidFill>
                </w14:textFill>
              </w:rPr>
              <w:t>%</w:t>
            </w:r>
            <w:r>
              <w:rPr>
                <w:rFonts w:hint="eastAsia" w:ascii="方正魏碑_GBK" w:hAnsi="方正魏碑_GBK" w:eastAsia="方正魏碑_GBK" w:cs="方正魏碑_GBK"/>
                <w:i w:val="0"/>
                <w:iCs w:val="0"/>
                <w:caps w:val="0"/>
                <w:color w:val="000000" w:themeColor="text1"/>
                <w:spacing w:val="0"/>
                <w:sz w:val="28"/>
                <w:szCs w:val="28"/>
                <w:highlight w:val="none"/>
                <w:lang w:eastAsia="zh-CN"/>
                <w14:textFill>
                  <w14:solidFill>
                    <w14:schemeClr w14:val="tx1"/>
                  </w14:solidFill>
                </w14:textFill>
              </w:rPr>
              <w:t>。</w:t>
            </w:r>
          </w:p>
        </w:tc>
      </w:tr>
    </w:tbl>
    <w:p w14:paraId="5A5F6B3B">
      <w:pP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注：</w:t>
      </w:r>
    </w:p>
    <w:p w14:paraId="18663A87">
      <w:pP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1.</w:t>
      </w:r>
      <w:r>
        <w:rPr>
          <w:rFonts w:hint="eastAsia" w:ascii="宋体" w:hAnsi="宋体" w:eastAsia="宋体" w:cs="宋体"/>
          <w:bCs/>
          <w:color w:val="000000" w:themeColor="text1"/>
          <w:sz w:val="24"/>
          <w:highlight w:val="none"/>
          <w14:textFill>
            <w14:solidFill>
              <w14:schemeClr w14:val="tx1"/>
            </w14:solidFill>
          </w14:textFill>
        </w:rPr>
        <w:t>单价和总价采用人民币报价，以元为单位。</w:t>
      </w:r>
    </w:p>
    <w:p w14:paraId="5BDD18DE">
      <w:pPr>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2.货物项目填写“交付期”，服务项目填写“服务期”，只填写一个期限。</w:t>
      </w:r>
    </w:p>
    <w:p w14:paraId="5C4B899F">
      <w:pPr>
        <w:pStyle w:val="2"/>
        <w:widowControl w:val="0"/>
        <w:numPr>
          <w:ilvl w:val="0"/>
          <w:numId w:val="0"/>
        </w:numPr>
        <w:spacing w:line="360" w:lineRule="auto"/>
        <w:jc w:val="both"/>
        <w:rPr>
          <w:rFonts w:hint="eastAsia" w:ascii="宋体" w:hAnsi="宋体" w:eastAsia="宋体" w:cs="宋体"/>
          <w:color w:val="000000" w:themeColor="text1"/>
          <w:highlight w:val="none"/>
          <w14:textFill>
            <w14:solidFill>
              <w14:schemeClr w14:val="tx1"/>
            </w14:solidFill>
          </w14:textFill>
        </w:rPr>
        <w:sectPr>
          <w:pgSz w:w="16838" w:h="11906" w:orient="landscape"/>
          <w:pgMar w:top="1365" w:right="1418" w:bottom="1588" w:left="1418" w:header="851" w:footer="907" w:gutter="0"/>
          <w:cols w:space="720" w:num="1"/>
          <w:titlePg/>
          <w:docGrid w:type="lines" w:linePitch="290" w:charSpace="0"/>
        </w:sectPr>
      </w:pPr>
    </w:p>
    <w:p w14:paraId="49DCE58E">
      <w:pPr>
        <w:pStyle w:val="6"/>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五</w:t>
      </w:r>
      <w:r>
        <w:rPr>
          <w:rFonts w:hint="eastAsia" w:ascii="宋体" w:hAnsi="宋体" w:eastAsia="宋体" w:cs="宋体"/>
          <w:color w:val="000000" w:themeColor="text1"/>
          <w:highlight w:val="none"/>
          <w14:textFill>
            <w14:solidFill>
              <w14:schemeClr w14:val="tx1"/>
            </w14:solidFill>
          </w14:textFill>
        </w:rPr>
        <w:t>、技术参数响应及偏离表</w:t>
      </w:r>
      <w:bookmarkEnd w:id="215"/>
      <w:bookmarkEnd w:id="216"/>
    </w:p>
    <w:p w14:paraId="2CA9EC1E">
      <w:pPr>
        <w:jc w:val="center"/>
        <w:rPr>
          <w:rFonts w:hint="eastAsia" w:ascii="宋体" w:hAnsi="宋体" w:eastAsia="宋体" w:cs="宋体"/>
          <w:color w:val="000000" w:themeColor="text1"/>
          <w:sz w:val="24"/>
          <w:szCs w:val="24"/>
          <w:highlight w:val="none"/>
          <w14:textFill>
            <w14:solidFill>
              <w14:schemeClr w14:val="tx1"/>
            </w14:solidFill>
          </w14:textFill>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14:paraId="78A9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0"/>
            <w:vAlign w:val="center"/>
          </w:tcPr>
          <w:p w14:paraId="112467DF">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2852" w:type="dxa"/>
            <w:noWrap w:val="0"/>
            <w:vAlign w:val="center"/>
          </w:tcPr>
          <w:p w14:paraId="6AF8F407">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招标要求</w:t>
            </w:r>
          </w:p>
        </w:tc>
        <w:tc>
          <w:tcPr>
            <w:tcW w:w="2852" w:type="dxa"/>
            <w:noWrap w:val="0"/>
            <w:vAlign w:val="center"/>
          </w:tcPr>
          <w:p w14:paraId="0D829454">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投标响应</w:t>
            </w:r>
          </w:p>
        </w:tc>
        <w:tc>
          <w:tcPr>
            <w:tcW w:w="1308" w:type="dxa"/>
            <w:noWrap w:val="0"/>
            <w:vAlign w:val="center"/>
          </w:tcPr>
          <w:p w14:paraId="6DE8DC5F">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超出、符合或偏离</w:t>
            </w:r>
          </w:p>
        </w:tc>
        <w:tc>
          <w:tcPr>
            <w:tcW w:w="1173" w:type="dxa"/>
            <w:noWrap w:val="0"/>
            <w:vAlign w:val="center"/>
          </w:tcPr>
          <w:p w14:paraId="1A5A762D">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原因</w:t>
            </w:r>
          </w:p>
        </w:tc>
      </w:tr>
      <w:tr w14:paraId="4452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7E8AB249">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2852" w:type="dxa"/>
            <w:noWrap w:val="0"/>
            <w:vAlign w:val="top"/>
          </w:tcPr>
          <w:p w14:paraId="1BC2A17E">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52" w:type="dxa"/>
            <w:noWrap w:val="0"/>
            <w:vAlign w:val="top"/>
          </w:tcPr>
          <w:p w14:paraId="1977A8C7">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08" w:type="dxa"/>
            <w:noWrap w:val="0"/>
            <w:vAlign w:val="top"/>
          </w:tcPr>
          <w:p w14:paraId="55580F85">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73" w:type="dxa"/>
            <w:noWrap w:val="0"/>
            <w:vAlign w:val="top"/>
          </w:tcPr>
          <w:p w14:paraId="40651D03">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AAA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6DCD65D1">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2852" w:type="dxa"/>
            <w:noWrap w:val="0"/>
            <w:vAlign w:val="top"/>
          </w:tcPr>
          <w:p w14:paraId="1037075C">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52" w:type="dxa"/>
            <w:noWrap w:val="0"/>
            <w:vAlign w:val="top"/>
          </w:tcPr>
          <w:p w14:paraId="6617F3EB">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08" w:type="dxa"/>
            <w:noWrap w:val="0"/>
            <w:vAlign w:val="top"/>
          </w:tcPr>
          <w:p w14:paraId="570AB476">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73" w:type="dxa"/>
            <w:noWrap w:val="0"/>
            <w:vAlign w:val="top"/>
          </w:tcPr>
          <w:p w14:paraId="442918F0">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5BC4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1D8B90E3">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2852" w:type="dxa"/>
            <w:noWrap w:val="0"/>
            <w:vAlign w:val="top"/>
          </w:tcPr>
          <w:p w14:paraId="31DD9B6C">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52" w:type="dxa"/>
            <w:noWrap w:val="0"/>
            <w:vAlign w:val="top"/>
          </w:tcPr>
          <w:p w14:paraId="3737B3D0">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08" w:type="dxa"/>
            <w:noWrap w:val="0"/>
            <w:vAlign w:val="top"/>
          </w:tcPr>
          <w:p w14:paraId="41C6D473">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73" w:type="dxa"/>
            <w:noWrap w:val="0"/>
            <w:vAlign w:val="top"/>
          </w:tcPr>
          <w:p w14:paraId="5B2355B7">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6786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641AD318">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2852" w:type="dxa"/>
            <w:noWrap w:val="0"/>
            <w:vAlign w:val="top"/>
          </w:tcPr>
          <w:p w14:paraId="75E2A55F">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52" w:type="dxa"/>
            <w:noWrap w:val="0"/>
            <w:vAlign w:val="top"/>
          </w:tcPr>
          <w:p w14:paraId="0C3AEF05">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08" w:type="dxa"/>
            <w:noWrap w:val="0"/>
            <w:vAlign w:val="top"/>
          </w:tcPr>
          <w:p w14:paraId="422388DB">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73" w:type="dxa"/>
            <w:noWrap w:val="0"/>
            <w:vAlign w:val="top"/>
          </w:tcPr>
          <w:p w14:paraId="2A804170">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99DB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501DB0C9">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2852" w:type="dxa"/>
            <w:noWrap w:val="0"/>
            <w:vAlign w:val="top"/>
          </w:tcPr>
          <w:p w14:paraId="65B1F51A">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52" w:type="dxa"/>
            <w:noWrap w:val="0"/>
            <w:vAlign w:val="top"/>
          </w:tcPr>
          <w:p w14:paraId="6A31DAF7">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08" w:type="dxa"/>
            <w:noWrap w:val="0"/>
            <w:vAlign w:val="top"/>
          </w:tcPr>
          <w:p w14:paraId="3DF32940">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73" w:type="dxa"/>
            <w:noWrap w:val="0"/>
            <w:vAlign w:val="top"/>
          </w:tcPr>
          <w:p w14:paraId="5D63E464">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D5E0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1896669F">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2852" w:type="dxa"/>
            <w:noWrap w:val="0"/>
            <w:vAlign w:val="top"/>
          </w:tcPr>
          <w:p w14:paraId="62085731">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52" w:type="dxa"/>
            <w:noWrap w:val="0"/>
            <w:vAlign w:val="top"/>
          </w:tcPr>
          <w:p w14:paraId="3DEB8106">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08" w:type="dxa"/>
            <w:noWrap w:val="0"/>
            <w:vAlign w:val="top"/>
          </w:tcPr>
          <w:p w14:paraId="4D50E954">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73" w:type="dxa"/>
            <w:noWrap w:val="0"/>
            <w:vAlign w:val="top"/>
          </w:tcPr>
          <w:p w14:paraId="61C45D5D">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AF6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73E691D7">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p>
        </w:tc>
        <w:tc>
          <w:tcPr>
            <w:tcW w:w="2852" w:type="dxa"/>
            <w:noWrap w:val="0"/>
            <w:vAlign w:val="top"/>
          </w:tcPr>
          <w:p w14:paraId="66791A8A">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52" w:type="dxa"/>
            <w:noWrap w:val="0"/>
            <w:vAlign w:val="top"/>
          </w:tcPr>
          <w:p w14:paraId="098DB68A">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08" w:type="dxa"/>
            <w:noWrap w:val="0"/>
            <w:vAlign w:val="top"/>
          </w:tcPr>
          <w:p w14:paraId="639BC704">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73" w:type="dxa"/>
            <w:noWrap w:val="0"/>
            <w:vAlign w:val="top"/>
          </w:tcPr>
          <w:p w14:paraId="2ED514A7">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A4A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204111AB">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2852" w:type="dxa"/>
            <w:noWrap w:val="0"/>
            <w:vAlign w:val="top"/>
          </w:tcPr>
          <w:p w14:paraId="73EA445C">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52" w:type="dxa"/>
            <w:noWrap w:val="0"/>
            <w:vAlign w:val="top"/>
          </w:tcPr>
          <w:p w14:paraId="7DA5FA89">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08" w:type="dxa"/>
            <w:noWrap w:val="0"/>
            <w:vAlign w:val="top"/>
          </w:tcPr>
          <w:p w14:paraId="4E852C4E">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73" w:type="dxa"/>
            <w:noWrap w:val="0"/>
            <w:vAlign w:val="top"/>
          </w:tcPr>
          <w:p w14:paraId="0BFCB3F3">
            <w:pPr>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420B0B11">
      <w:pPr>
        <w:rPr>
          <w:rFonts w:hint="eastAsia" w:ascii="宋体" w:hAnsi="宋体" w:eastAsia="宋体" w:cs="宋体"/>
          <w:color w:val="000000" w:themeColor="text1"/>
          <w:sz w:val="24"/>
          <w:szCs w:val="24"/>
          <w:highlight w:val="none"/>
          <w14:textFill>
            <w14:solidFill>
              <w14:schemeClr w14:val="tx1"/>
            </w14:solidFill>
          </w14:textFill>
        </w:rPr>
      </w:pPr>
    </w:p>
    <w:p w14:paraId="5B160584">
      <w:pPr>
        <w:rPr>
          <w:rFonts w:hint="eastAsia" w:ascii="宋体" w:hAnsi="宋体" w:eastAsia="宋体" w:cs="宋体"/>
          <w:color w:val="000000" w:themeColor="text1"/>
          <w:sz w:val="24"/>
          <w:szCs w:val="24"/>
          <w:highlight w:val="none"/>
          <w14:textFill>
            <w14:solidFill>
              <w14:schemeClr w14:val="tx1"/>
            </w14:solidFill>
          </w14:textFill>
        </w:rPr>
      </w:pPr>
    </w:p>
    <w:p w14:paraId="017A1503">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注：1、按照基本技术要求详细填列。</w:t>
      </w:r>
    </w:p>
    <w:p w14:paraId="0EB25BD4">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行数不够，可自行添加。</w:t>
      </w:r>
    </w:p>
    <w:p w14:paraId="31D5A58D">
      <w:pPr>
        <w:rPr>
          <w:rFonts w:hint="eastAsia" w:ascii="宋体" w:hAnsi="宋体" w:eastAsia="宋体" w:cs="宋体"/>
          <w:color w:val="000000" w:themeColor="text1"/>
          <w:sz w:val="32"/>
          <w:highlight w:val="none"/>
          <w14:textFill>
            <w14:solidFill>
              <w14:schemeClr w14:val="tx1"/>
            </w14:solidFill>
          </w14:textFill>
        </w:rPr>
        <w:sectPr>
          <w:pgSz w:w="11906" w:h="16838"/>
          <w:pgMar w:top="1418" w:right="1588" w:bottom="1418" w:left="1365" w:header="851" w:footer="907" w:gutter="0"/>
          <w:cols w:space="720" w:num="1"/>
          <w:titlePg/>
          <w:docGrid w:type="lines" w:linePitch="290" w:charSpace="0"/>
        </w:sectPr>
      </w:pPr>
    </w:p>
    <w:bookmarkEnd w:id="214"/>
    <w:p w14:paraId="386DB4CB">
      <w:pPr>
        <w:pStyle w:val="6"/>
        <w:jc w:val="center"/>
        <w:rPr>
          <w:rFonts w:hint="eastAsia" w:ascii="宋体" w:hAnsi="宋体" w:eastAsia="宋体" w:cs="宋体"/>
          <w:color w:val="000000" w:themeColor="text1"/>
          <w:highlight w:val="none"/>
          <w14:textFill>
            <w14:solidFill>
              <w14:schemeClr w14:val="tx1"/>
            </w14:solidFill>
          </w14:textFill>
        </w:rPr>
      </w:pPr>
      <w:bookmarkStart w:id="217" w:name="_Hlt26955054"/>
      <w:bookmarkEnd w:id="217"/>
      <w:bookmarkStart w:id="218" w:name="_Toc534725620"/>
      <w:bookmarkStart w:id="219" w:name="_Toc534816649"/>
      <w:r>
        <w:rPr>
          <w:rFonts w:hint="eastAsia" w:ascii="宋体" w:hAnsi="宋体" w:eastAsia="宋体" w:cs="宋体"/>
          <w:color w:val="000000" w:themeColor="text1"/>
          <w:highlight w:val="none"/>
          <w:lang w:val="en-US" w:eastAsia="zh-CN"/>
          <w14:textFill>
            <w14:solidFill>
              <w14:schemeClr w14:val="tx1"/>
            </w14:solidFill>
          </w14:textFill>
        </w:rPr>
        <w:t>六</w:t>
      </w:r>
      <w:r>
        <w:rPr>
          <w:rFonts w:hint="eastAsia" w:ascii="宋体" w:hAnsi="宋体" w:eastAsia="宋体" w:cs="宋体"/>
          <w:color w:val="000000" w:themeColor="text1"/>
          <w:highlight w:val="none"/>
          <w14:textFill>
            <w14:solidFill>
              <w14:schemeClr w14:val="tx1"/>
            </w14:solidFill>
          </w14:textFill>
        </w:rPr>
        <w:t>、商务条款响应及偏离表</w:t>
      </w:r>
      <w:bookmarkEnd w:id="218"/>
      <w:bookmarkEnd w:id="219"/>
    </w:p>
    <w:tbl>
      <w:tblPr>
        <w:tblStyle w:val="37"/>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38"/>
        <w:gridCol w:w="2502"/>
        <w:gridCol w:w="1837"/>
        <w:gridCol w:w="2982"/>
      </w:tblGrid>
      <w:tr w14:paraId="5D3BF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59584775">
            <w:pPr>
              <w:snapToGrid w:val="0"/>
              <w:spacing w:before="145" w:beforeLines="50"/>
              <w:jc w:val="center"/>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w:t>
            </w:r>
          </w:p>
        </w:tc>
        <w:tc>
          <w:tcPr>
            <w:tcW w:w="2502" w:type="dxa"/>
            <w:tcBorders>
              <w:top w:val="single" w:color="auto" w:sz="4" w:space="0"/>
              <w:left w:val="single" w:color="auto" w:sz="4" w:space="0"/>
              <w:bottom w:val="single" w:color="auto" w:sz="4" w:space="0"/>
              <w:right w:val="single" w:color="auto" w:sz="4" w:space="0"/>
            </w:tcBorders>
            <w:noWrap w:val="0"/>
            <w:vAlign w:val="top"/>
          </w:tcPr>
          <w:p w14:paraId="3BE9EB64">
            <w:pPr>
              <w:snapToGrid w:val="0"/>
              <w:spacing w:before="145" w:beforeLines="50"/>
              <w:jc w:val="center"/>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招标文件要求</w:t>
            </w:r>
          </w:p>
        </w:tc>
        <w:tc>
          <w:tcPr>
            <w:tcW w:w="1837" w:type="dxa"/>
            <w:tcBorders>
              <w:top w:val="single" w:color="auto" w:sz="4" w:space="0"/>
              <w:left w:val="single" w:color="auto" w:sz="4" w:space="0"/>
              <w:bottom w:val="single" w:color="auto" w:sz="4" w:space="0"/>
              <w:right w:val="single" w:color="auto" w:sz="4" w:space="0"/>
            </w:tcBorders>
            <w:noWrap w:val="0"/>
            <w:vAlign w:val="top"/>
          </w:tcPr>
          <w:p w14:paraId="37195C2C">
            <w:pPr>
              <w:snapToGrid w:val="0"/>
              <w:spacing w:before="145" w:beforeLines="50"/>
              <w:jc w:val="center"/>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是否响应</w:t>
            </w:r>
          </w:p>
        </w:tc>
        <w:tc>
          <w:tcPr>
            <w:tcW w:w="2982" w:type="dxa"/>
            <w:tcBorders>
              <w:top w:val="single" w:color="auto" w:sz="4" w:space="0"/>
              <w:left w:val="single" w:color="auto" w:sz="4" w:space="0"/>
              <w:bottom w:val="single" w:color="auto" w:sz="4" w:space="0"/>
              <w:right w:val="single" w:color="auto" w:sz="4" w:space="0"/>
            </w:tcBorders>
            <w:noWrap w:val="0"/>
            <w:vAlign w:val="top"/>
          </w:tcPr>
          <w:p w14:paraId="1323209D">
            <w:pPr>
              <w:snapToGrid w:val="0"/>
              <w:spacing w:before="145" w:beforeLines="50"/>
              <w:jc w:val="center"/>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投标人的承诺或说明</w:t>
            </w:r>
          </w:p>
        </w:tc>
      </w:tr>
      <w:tr w14:paraId="04BCDA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65D4B747">
            <w:pPr>
              <w:snapToGrid w:val="0"/>
              <w:spacing w:before="145" w:beforeLines="50"/>
              <w:jc w:val="center"/>
              <w:rPr>
                <w:rFonts w:hint="eastAsia" w:ascii="宋体" w:hAnsi="宋体" w:eastAsia="宋体" w:cs="宋体"/>
                <w:color w:val="000000" w:themeColor="text1"/>
                <w:sz w:val="24"/>
                <w:szCs w:val="20"/>
                <w:highlight w:val="none"/>
                <w:lang w:val="en-US" w:eastAsia="zh-CN"/>
                <w14:textFill>
                  <w14:solidFill>
                    <w14:schemeClr w14:val="tx1"/>
                  </w14:solidFill>
                </w14:textFill>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09ABE0D1">
            <w:pPr>
              <w:snapToGrid w:val="0"/>
              <w:spacing w:before="145" w:beforeLines="50"/>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6BEAA719">
            <w:pPr>
              <w:snapToGrid w:val="0"/>
              <w:spacing w:before="145" w:beforeLines="50"/>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433F333C">
            <w:pPr>
              <w:snapToGrid w:val="0"/>
              <w:spacing w:before="145" w:beforeLines="50"/>
              <w:jc w:val="center"/>
              <w:rPr>
                <w:rFonts w:hint="eastAsia" w:ascii="宋体" w:hAnsi="宋体" w:eastAsia="宋体" w:cs="宋体"/>
                <w:color w:val="000000" w:themeColor="text1"/>
                <w:sz w:val="24"/>
                <w:szCs w:val="20"/>
                <w:highlight w:val="none"/>
                <w14:textFill>
                  <w14:solidFill>
                    <w14:schemeClr w14:val="tx1"/>
                  </w14:solidFill>
                </w14:textFill>
              </w:rPr>
            </w:pPr>
          </w:p>
        </w:tc>
      </w:tr>
      <w:tr w14:paraId="39F6D1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0EFEBF9B">
            <w:pPr>
              <w:snapToGrid w:val="0"/>
              <w:spacing w:before="145" w:beforeLines="50"/>
              <w:jc w:val="center"/>
              <w:rPr>
                <w:rFonts w:hint="eastAsia" w:ascii="宋体" w:hAnsi="宋体" w:eastAsia="宋体" w:cs="宋体"/>
                <w:color w:val="000000" w:themeColor="text1"/>
                <w:sz w:val="24"/>
                <w:highlight w:val="none"/>
                <w14:textFill>
                  <w14:solidFill>
                    <w14:schemeClr w14:val="tx1"/>
                  </w14:solidFill>
                </w14:textFill>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1A4D6090">
            <w:pPr>
              <w:snapToGrid w:val="0"/>
              <w:spacing w:before="145" w:beforeLines="50"/>
              <w:rPr>
                <w:rFonts w:hint="eastAsia" w:ascii="宋体" w:hAnsi="宋体" w:eastAsia="宋体" w:cs="宋体"/>
                <w:color w:val="000000" w:themeColor="text1"/>
                <w:sz w:val="24"/>
                <w:highlight w:val="none"/>
                <w14:textFill>
                  <w14:solidFill>
                    <w14:schemeClr w14:val="tx1"/>
                  </w14:solidFill>
                </w14:textFill>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535A792B">
            <w:pPr>
              <w:snapToGrid w:val="0"/>
              <w:spacing w:before="145" w:beforeLines="50"/>
              <w:ind w:left="43"/>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105E295D">
            <w:pPr>
              <w:snapToGrid w:val="0"/>
              <w:spacing w:before="145" w:beforeLines="50"/>
              <w:ind w:left="43"/>
              <w:jc w:val="center"/>
              <w:rPr>
                <w:rFonts w:hint="eastAsia" w:ascii="宋体" w:hAnsi="宋体" w:eastAsia="宋体" w:cs="宋体"/>
                <w:color w:val="000000" w:themeColor="text1"/>
                <w:sz w:val="24"/>
                <w:szCs w:val="20"/>
                <w:highlight w:val="none"/>
                <w14:textFill>
                  <w14:solidFill>
                    <w14:schemeClr w14:val="tx1"/>
                  </w14:solidFill>
                </w14:textFill>
              </w:rPr>
            </w:pPr>
          </w:p>
        </w:tc>
      </w:tr>
      <w:tr w14:paraId="32FF9F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1F03682E">
            <w:pPr>
              <w:snapToGrid w:val="0"/>
              <w:spacing w:before="145" w:beforeLines="50"/>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62443E7D">
            <w:pPr>
              <w:snapToGrid w:val="0"/>
              <w:spacing w:before="145" w:beforeLines="50"/>
              <w:rPr>
                <w:rFonts w:hint="eastAsia" w:ascii="宋体" w:hAnsi="宋体" w:eastAsia="宋体" w:cs="宋体"/>
                <w:color w:val="000000" w:themeColor="text1"/>
                <w:sz w:val="24"/>
                <w:szCs w:val="20"/>
                <w:highlight w:val="none"/>
                <w14:textFill>
                  <w14:solidFill>
                    <w14:schemeClr w14:val="tx1"/>
                  </w14:solidFill>
                </w14:textFill>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2F9F56B3">
            <w:pPr>
              <w:snapToGrid w:val="0"/>
              <w:spacing w:before="145" w:beforeLines="50"/>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57243586">
            <w:pPr>
              <w:snapToGrid w:val="0"/>
              <w:spacing w:before="145" w:beforeLines="50"/>
              <w:jc w:val="center"/>
              <w:rPr>
                <w:rFonts w:hint="eastAsia" w:ascii="宋体" w:hAnsi="宋体" w:eastAsia="宋体" w:cs="宋体"/>
                <w:color w:val="000000" w:themeColor="text1"/>
                <w:sz w:val="24"/>
                <w:szCs w:val="20"/>
                <w:highlight w:val="none"/>
                <w14:textFill>
                  <w14:solidFill>
                    <w14:schemeClr w14:val="tx1"/>
                  </w14:solidFill>
                </w14:textFill>
              </w:rPr>
            </w:pPr>
          </w:p>
        </w:tc>
      </w:tr>
      <w:tr w14:paraId="53E077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1CD0B515">
            <w:pPr>
              <w:snapToGrid w:val="0"/>
              <w:spacing w:before="145" w:beforeLines="50"/>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599DB1C1">
            <w:pPr>
              <w:snapToGrid w:val="0"/>
              <w:spacing w:before="145" w:beforeLines="50"/>
              <w:rPr>
                <w:rFonts w:hint="eastAsia" w:ascii="宋体" w:hAnsi="宋体" w:eastAsia="宋体" w:cs="宋体"/>
                <w:color w:val="000000" w:themeColor="text1"/>
                <w:sz w:val="24"/>
                <w:szCs w:val="20"/>
                <w:highlight w:val="none"/>
                <w14:textFill>
                  <w14:solidFill>
                    <w14:schemeClr w14:val="tx1"/>
                  </w14:solidFill>
                </w14:textFill>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761474CB">
            <w:pPr>
              <w:snapToGrid w:val="0"/>
              <w:spacing w:before="145" w:beforeLines="50"/>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2F206876">
            <w:pPr>
              <w:snapToGrid w:val="0"/>
              <w:spacing w:before="145" w:beforeLines="50"/>
              <w:jc w:val="center"/>
              <w:rPr>
                <w:rFonts w:hint="eastAsia" w:ascii="宋体" w:hAnsi="宋体" w:eastAsia="宋体" w:cs="宋体"/>
                <w:color w:val="000000" w:themeColor="text1"/>
                <w:sz w:val="24"/>
                <w:szCs w:val="20"/>
                <w:highlight w:val="none"/>
                <w14:textFill>
                  <w14:solidFill>
                    <w14:schemeClr w14:val="tx1"/>
                  </w14:solidFill>
                </w14:textFill>
              </w:rPr>
            </w:pPr>
          </w:p>
        </w:tc>
      </w:tr>
      <w:tr w14:paraId="15BC6C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cBorders>
            <w:noWrap w:val="0"/>
            <w:vAlign w:val="top"/>
          </w:tcPr>
          <w:p w14:paraId="43D1303D">
            <w:pPr>
              <w:snapToGrid w:val="0"/>
              <w:spacing w:before="145" w:beforeLines="50"/>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4900AB77">
            <w:pPr>
              <w:snapToGrid w:val="0"/>
              <w:spacing w:before="145" w:beforeLines="50"/>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107B3EB7">
            <w:pPr>
              <w:snapToGrid w:val="0"/>
              <w:spacing w:before="145" w:beforeLines="50"/>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547AA91E">
            <w:pPr>
              <w:snapToGrid w:val="0"/>
              <w:spacing w:before="145" w:beforeLines="50"/>
              <w:jc w:val="center"/>
              <w:rPr>
                <w:rFonts w:hint="eastAsia" w:ascii="宋体" w:hAnsi="宋体" w:eastAsia="宋体" w:cs="宋体"/>
                <w:color w:val="000000" w:themeColor="text1"/>
                <w:sz w:val="24"/>
                <w:szCs w:val="20"/>
                <w:highlight w:val="none"/>
                <w14:textFill>
                  <w14:solidFill>
                    <w14:schemeClr w14:val="tx1"/>
                  </w14:solidFill>
                </w14:textFill>
              </w:rPr>
            </w:pPr>
          </w:p>
        </w:tc>
      </w:tr>
      <w:tr w14:paraId="3EEEBF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cBorders>
            <w:noWrap w:val="0"/>
            <w:vAlign w:val="top"/>
          </w:tcPr>
          <w:p w14:paraId="3C1EA338">
            <w:pPr>
              <w:snapToGrid w:val="0"/>
              <w:spacing w:before="145" w:beforeLines="50"/>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2D5F5ECB">
            <w:pPr>
              <w:snapToGrid w:val="0"/>
              <w:spacing w:before="145" w:beforeLines="50"/>
              <w:jc w:val="center"/>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w:t>
            </w:r>
          </w:p>
        </w:tc>
        <w:tc>
          <w:tcPr>
            <w:tcW w:w="1837" w:type="dxa"/>
            <w:tcBorders>
              <w:top w:val="single" w:color="auto" w:sz="4" w:space="0"/>
              <w:left w:val="single" w:color="auto" w:sz="4" w:space="0"/>
              <w:bottom w:val="single" w:color="auto" w:sz="4" w:space="0"/>
              <w:right w:val="single" w:color="auto" w:sz="4" w:space="0"/>
            </w:tcBorders>
            <w:noWrap w:val="0"/>
            <w:vAlign w:val="top"/>
          </w:tcPr>
          <w:p w14:paraId="5B1F0F10">
            <w:pPr>
              <w:snapToGrid w:val="0"/>
              <w:spacing w:before="145" w:beforeLines="50"/>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69D058AC">
            <w:pPr>
              <w:snapToGrid w:val="0"/>
              <w:spacing w:before="145" w:beforeLines="50"/>
              <w:jc w:val="center"/>
              <w:rPr>
                <w:rFonts w:hint="eastAsia" w:ascii="宋体" w:hAnsi="宋体" w:eastAsia="宋体" w:cs="宋体"/>
                <w:color w:val="000000" w:themeColor="text1"/>
                <w:sz w:val="24"/>
                <w:szCs w:val="20"/>
                <w:highlight w:val="none"/>
                <w14:textFill>
                  <w14:solidFill>
                    <w14:schemeClr w14:val="tx1"/>
                  </w14:solidFill>
                </w14:textFill>
              </w:rPr>
            </w:pPr>
          </w:p>
        </w:tc>
      </w:tr>
    </w:tbl>
    <w:p w14:paraId="4E854D70">
      <w:pPr>
        <w:jc w:val="center"/>
        <w:rPr>
          <w:rFonts w:hint="eastAsia" w:ascii="宋体" w:hAnsi="宋体" w:eastAsia="宋体" w:cs="宋体"/>
          <w:color w:val="000000" w:themeColor="text1"/>
          <w:sz w:val="24"/>
          <w:szCs w:val="24"/>
          <w:highlight w:val="none"/>
          <w14:textFill>
            <w14:solidFill>
              <w14:schemeClr w14:val="tx1"/>
            </w14:solidFill>
          </w14:textFill>
        </w:rPr>
      </w:pPr>
    </w:p>
    <w:p w14:paraId="4BFAD978">
      <w:pPr>
        <w:spacing w:line="480" w:lineRule="auto"/>
        <w:rPr>
          <w:rFonts w:hint="eastAsia" w:ascii="宋体" w:hAnsi="宋体" w:eastAsia="宋体" w:cs="宋体"/>
          <w:color w:val="000000" w:themeColor="text1"/>
          <w:sz w:val="24"/>
          <w:highlight w:val="none"/>
          <w14:textFill>
            <w14:solidFill>
              <w14:schemeClr w14:val="tx1"/>
            </w14:solidFill>
          </w14:textFill>
        </w:rPr>
      </w:pPr>
      <w:bookmarkStart w:id="220" w:name="_Hlt24879081"/>
      <w:bookmarkEnd w:id="220"/>
      <w:bookmarkStart w:id="221" w:name="_Hlt26955056"/>
      <w:bookmarkEnd w:id="221"/>
      <w:bookmarkStart w:id="222" w:name="_Hlt26580838"/>
      <w:bookmarkEnd w:id="222"/>
      <w:bookmarkStart w:id="223" w:name="_Hlt26671372"/>
      <w:bookmarkEnd w:id="223"/>
      <w:bookmarkStart w:id="224" w:name="_Hlt26782999"/>
      <w:bookmarkEnd w:id="224"/>
      <w:bookmarkStart w:id="225" w:name="_Hlt26671343"/>
      <w:bookmarkEnd w:id="225"/>
      <w:bookmarkStart w:id="226" w:name="_Hlt26609391"/>
      <w:bookmarkEnd w:id="226"/>
      <w:bookmarkStart w:id="227" w:name="_Hlt26955064"/>
      <w:bookmarkEnd w:id="227"/>
    </w:p>
    <w:p w14:paraId="19B494B7">
      <w:pPr>
        <w:pStyle w:val="8"/>
        <w:ind w:firstLine="0"/>
        <w:rPr>
          <w:rFonts w:hint="eastAsia" w:ascii="宋体" w:hAnsi="宋体" w:eastAsia="宋体" w:cs="宋体"/>
          <w:color w:val="000000" w:themeColor="text1"/>
          <w:sz w:val="24"/>
          <w:highlight w:val="none"/>
          <w14:textFill>
            <w14:solidFill>
              <w14:schemeClr w14:val="tx1"/>
            </w14:solidFill>
          </w14:textFill>
        </w:rPr>
        <w:sectPr>
          <w:pgSz w:w="11906" w:h="16838"/>
          <w:pgMar w:top="1418" w:right="1588" w:bottom="1418" w:left="1365" w:header="851" w:footer="907" w:gutter="0"/>
          <w:cols w:space="720" w:num="1"/>
          <w:titlePg/>
          <w:docGrid w:type="lines" w:linePitch="290" w:charSpace="0"/>
        </w:sectPr>
      </w:pPr>
      <w:bookmarkStart w:id="228" w:name="_Toc462564146"/>
    </w:p>
    <w:bookmarkEnd w:id="228"/>
    <w:p w14:paraId="2C32437B">
      <w:pPr>
        <w:pStyle w:val="6"/>
        <w:jc w:val="center"/>
        <w:rPr>
          <w:rFonts w:hint="eastAsia" w:ascii="宋体" w:hAnsi="宋体" w:eastAsia="宋体" w:cs="宋体"/>
          <w:color w:val="000000" w:themeColor="text1"/>
          <w:sz w:val="24"/>
          <w:szCs w:val="20"/>
          <w:highlight w:val="none"/>
          <w14:textFill>
            <w14:solidFill>
              <w14:schemeClr w14:val="tx1"/>
            </w14:solidFill>
          </w14:textFill>
        </w:rPr>
      </w:pPr>
      <w:bookmarkStart w:id="229" w:name="_格式2__法定代表人授权书"/>
      <w:bookmarkEnd w:id="229"/>
      <w:bookmarkStart w:id="230" w:name="_Toc22356580"/>
      <w:bookmarkStart w:id="231" w:name="_Toc49090577"/>
      <w:bookmarkStart w:id="232" w:name="_Toc513029276"/>
      <w:bookmarkStart w:id="233" w:name="_Toc23828478"/>
      <w:bookmarkStart w:id="234" w:name="_Toc120614283"/>
      <w:bookmarkStart w:id="235" w:name="_Toc460901585"/>
      <w:bookmarkStart w:id="236" w:name="_Toc26554095"/>
      <w:bookmarkStart w:id="237" w:name="_Toc534725621"/>
      <w:bookmarkStart w:id="238" w:name="_Toc534816650"/>
      <w:r>
        <w:rPr>
          <w:rFonts w:hint="eastAsia" w:ascii="宋体" w:hAnsi="宋体" w:eastAsia="宋体" w:cs="宋体"/>
          <w:color w:val="000000" w:themeColor="text1"/>
          <w:highlight w:val="none"/>
          <w:lang w:val="en-US" w:eastAsia="zh-CN"/>
          <w14:textFill>
            <w14:solidFill>
              <w14:schemeClr w14:val="tx1"/>
            </w14:solidFill>
          </w14:textFill>
        </w:rPr>
        <w:t>七</w:t>
      </w:r>
      <w:r>
        <w:rPr>
          <w:rFonts w:hint="eastAsia" w:ascii="宋体" w:hAnsi="宋体" w:eastAsia="宋体" w:cs="宋体"/>
          <w:color w:val="000000" w:themeColor="text1"/>
          <w:highlight w:val="none"/>
          <w14:textFill>
            <w14:solidFill>
              <w14:schemeClr w14:val="tx1"/>
            </w14:solidFill>
          </w14:textFill>
        </w:rPr>
        <w:t>、</w:t>
      </w:r>
      <w:bookmarkEnd w:id="230"/>
      <w:bookmarkEnd w:id="231"/>
      <w:bookmarkEnd w:id="232"/>
      <w:bookmarkEnd w:id="233"/>
      <w:bookmarkEnd w:id="234"/>
      <w:bookmarkEnd w:id="235"/>
      <w:bookmarkEnd w:id="236"/>
      <w:r>
        <w:rPr>
          <w:rFonts w:hint="eastAsia" w:ascii="宋体" w:hAnsi="宋体" w:eastAsia="宋体" w:cs="宋体"/>
          <w:color w:val="000000" w:themeColor="text1"/>
          <w:highlight w:val="none"/>
          <w14:textFill>
            <w14:solidFill>
              <w14:schemeClr w14:val="tx1"/>
            </w14:solidFill>
          </w14:textFill>
        </w:rPr>
        <w:t>开标一览表</w:t>
      </w:r>
      <w:bookmarkEnd w:id="237"/>
      <w:bookmarkEnd w:id="238"/>
    </w:p>
    <w:tbl>
      <w:tblPr>
        <w:tblStyle w:val="37"/>
        <w:tblpPr w:leftFromText="45" w:rightFromText="45" w:vertAnchor="text" w:tblpXSpec="center"/>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29"/>
        <w:gridCol w:w="6035"/>
      </w:tblGrid>
      <w:tr w14:paraId="610D5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tblCellSpacing w:w="0" w:type="dxa"/>
          <w:jc w:val="center"/>
        </w:trPr>
        <w:tc>
          <w:tcPr>
            <w:tcW w:w="2929" w:type="dxa"/>
            <w:noWrap w:val="0"/>
            <w:vAlign w:val="center"/>
          </w:tcPr>
          <w:p w14:paraId="7F349016">
            <w:pPr>
              <w:tabs>
                <w:tab w:val="left" w:pos="142"/>
              </w:tabs>
              <w:spacing w:line="360" w:lineRule="auto"/>
              <w:ind w:left="0" w:leftChars="0"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tc>
        <w:tc>
          <w:tcPr>
            <w:tcW w:w="6035" w:type="dxa"/>
            <w:noWrap w:val="0"/>
            <w:vAlign w:val="center"/>
          </w:tcPr>
          <w:p w14:paraId="5AFA2C39">
            <w:pPr>
              <w:tabs>
                <w:tab w:val="left" w:pos="142"/>
              </w:tabs>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tc>
      </w:tr>
      <w:tr w14:paraId="67E1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4" w:hRule="atLeast"/>
          <w:tblCellSpacing w:w="0" w:type="dxa"/>
          <w:jc w:val="center"/>
        </w:trPr>
        <w:tc>
          <w:tcPr>
            <w:tcW w:w="2929" w:type="dxa"/>
            <w:noWrap w:val="0"/>
            <w:vAlign w:val="center"/>
          </w:tcPr>
          <w:p w14:paraId="6E7AF884">
            <w:pPr>
              <w:tabs>
                <w:tab w:val="left" w:pos="142"/>
              </w:tabs>
              <w:spacing w:line="500" w:lineRule="exact"/>
              <w:ind w:left="0" w:leftChars="0"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p>
        </w:tc>
        <w:tc>
          <w:tcPr>
            <w:tcW w:w="6035" w:type="dxa"/>
            <w:noWrap w:val="0"/>
            <w:vAlign w:val="center"/>
          </w:tcPr>
          <w:p w14:paraId="549134C7">
            <w:pPr>
              <w:tabs>
                <w:tab w:val="left" w:pos="142"/>
              </w:tabs>
              <w:spacing w:line="5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tc>
      </w:tr>
      <w:tr w14:paraId="61C0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8" w:hRule="atLeast"/>
          <w:tblCellSpacing w:w="0" w:type="dxa"/>
          <w:jc w:val="center"/>
        </w:trPr>
        <w:tc>
          <w:tcPr>
            <w:tcW w:w="2929" w:type="dxa"/>
            <w:noWrap w:val="0"/>
            <w:vAlign w:val="center"/>
          </w:tcPr>
          <w:p w14:paraId="784F4FE7">
            <w:pPr>
              <w:tabs>
                <w:tab w:val="left" w:pos="142"/>
              </w:tabs>
              <w:spacing w:line="500" w:lineRule="exact"/>
              <w:ind w:left="0" w:leftChars="0"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报价</w:t>
            </w:r>
          </w:p>
        </w:tc>
        <w:tc>
          <w:tcPr>
            <w:tcW w:w="6035" w:type="dxa"/>
            <w:noWrap w:val="0"/>
            <w:vAlign w:val="center"/>
          </w:tcPr>
          <w:p w14:paraId="71F6A425">
            <w:pPr>
              <w:tabs>
                <w:tab w:val="left" w:pos="142"/>
              </w:tabs>
              <w:spacing w:line="5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元整</w:t>
            </w:r>
          </w:p>
          <w:p w14:paraId="3A6798D4">
            <w:pPr>
              <w:tabs>
                <w:tab w:val="left" w:pos="142"/>
              </w:tabs>
              <w:spacing w:line="5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人民币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大写</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tc>
      </w:tr>
      <w:tr w14:paraId="1679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atLeast"/>
          <w:tblCellSpacing w:w="0" w:type="dxa"/>
          <w:jc w:val="center"/>
        </w:trPr>
        <w:tc>
          <w:tcPr>
            <w:tcW w:w="2929" w:type="dxa"/>
            <w:noWrap w:val="0"/>
            <w:vAlign w:val="center"/>
          </w:tcPr>
          <w:p w14:paraId="40145D87">
            <w:pPr>
              <w:tabs>
                <w:tab w:val="left" w:pos="142"/>
              </w:tabs>
              <w:spacing w:line="500" w:lineRule="exact"/>
              <w:ind w:left="0" w:leftChars="0"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交货期限/</w:t>
            </w:r>
            <w:r>
              <w:rPr>
                <w:rFonts w:hint="eastAsia" w:ascii="宋体" w:hAnsi="宋体" w:eastAsia="宋体" w:cs="宋体"/>
                <w:color w:val="000000" w:themeColor="text1"/>
                <w:sz w:val="24"/>
                <w:szCs w:val="24"/>
                <w:highlight w:val="none"/>
                <w:lang w:val="en-US" w:eastAsia="zh-CN"/>
                <w14:textFill>
                  <w14:solidFill>
                    <w14:schemeClr w14:val="tx1"/>
                  </w14:solidFill>
                </w14:textFill>
              </w:rPr>
              <w:t>服务</w:t>
            </w:r>
            <w:r>
              <w:rPr>
                <w:rFonts w:hint="eastAsia" w:ascii="宋体" w:hAnsi="宋体" w:eastAsia="宋体" w:cs="宋体"/>
                <w:color w:val="000000" w:themeColor="text1"/>
                <w:sz w:val="24"/>
                <w:szCs w:val="24"/>
                <w:highlight w:val="none"/>
                <w14:textFill>
                  <w14:solidFill>
                    <w14:schemeClr w14:val="tx1"/>
                  </w14:solidFill>
                </w14:textFill>
              </w:rPr>
              <w:t>期限</w:t>
            </w:r>
          </w:p>
        </w:tc>
        <w:tc>
          <w:tcPr>
            <w:tcW w:w="6035" w:type="dxa"/>
            <w:noWrap w:val="0"/>
            <w:vAlign w:val="center"/>
          </w:tcPr>
          <w:p w14:paraId="523D98B5">
            <w:pPr>
              <w:tabs>
                <w:tab w:val="left" w:pos="142"/>
              </w:tabs>
              <w:spacing w:line="5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合同签订后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天</w:t>
            </w:r>
          </w:p>
        </w:tc>
      </w:tr>
    </w:tbl>
    <w:p w14:paraId="2E6B50BB">
      <w:pPr>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供应商全称（公章）：        </w:t>
      </w:r>
    </w:p>
    <w:p w14:paraId="1CEC6822">
      <w:pPr>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法定代表人（授权代表）（签字或盖章）：</w:t>
      </w:r>
    </w:p>
    <w:p w14:paraId="47E782F7">
      <w:pPr>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日期：</w:t>
      </w:r>
    </w:p>
    <w:p w14:paraId="263FF566">
      <w:pPr>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w:t>
      </w:r>
    </w:p>
    <w:p w14:paraId="01042103">
      <w:pPr>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w:t>
      </w:r>
      <w:r>
        <w:rPr>
          <w:rFonts w:hint="eastAsia" w:ascii="宋体" w:hAnsi="宋体" w:eastAsia="宋体" w:cs="宋体"/>
          <w:color w:val="000000" w:themeColor="text1"/>
          <w:highlight w:val="none"/>
          <w:lang w:eastAsia="zh-CN"/>
          <w14:textFill>
            <w14:solidFill>
              <w14:schemeClr w14:val="tx1"/>
            </w14:solidFill>
          </w14:textFill>
        </w:rPr>
        <w:t>：</w:t>
      </w:r>
    </w:p>
    <w:p w14:paraId="79F7B5AB">
      <w:pPr>
        <w:bidi w:val="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投标</w:t>
      </w:r>
      <w:r>
        <w:rPr>
          <w:rFonts w:hint="eastAsia" w:ascii="宋体" w:hAnsi="宋体" w:eastAsia="宋体" w:cs="宋体"/>
          <w:color w:val="000000" w:themeColor="text1"/>
          <w:highlight w:val="none"/>
          <w14:textFill>
            <w14:solidFill>
              <w14:schemeClr w14:val="tx1"/>
            </w14:solidFill>
          </w14:textFill>
        </w:rPr>
        <w:t>总报价应包含本项目实施期间的所有含税费用。</w:t>
      </w:r>
    </w:p>
    <w:p w14:paraId="3189DC4E">
      <w:pPr>
        <w:numPr>
          <w:ilvl w:val="0"/>
          <w:numId w:val="6"/>
        </w:numPr>
        <w:ind w:firstLine="480" w:firstLineChars="200"/>
        <w:jc w:val="cente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bookmarkStart w:id="239" w:name="_Toc534816652"/>
      <w:bookmarkStart w:id="240" w:name="_Toc534725623"/>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供应商认为有必要提供的声明及文件资料</w:t>
      </w:r>
    </w:p>
    <w:p w14:paraId="346268EB">
      <w:pPr>
        <w:pStyle w:val="3"/>
        <w:numPr>
          <w:ilvl w:val="0"/>
          <w:numId w:val="0"/>
        </w:numPr>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（格式自拟）</w:t>
      </w:r>
    </w:p>
    <w:p w14:paraId="45B54DFD">
      <w:pPr>
        <w:pStyle w:val="6"/>
        <w:jc w:val="center"/>
        <w:rPr>
          <w:rFonts w:hint="eastAsia" w:ascii="宋体" w:hAnsi="宋体" w:eastAsia="宋体" w:cs="宋体"/>
          <w:color w:val="000000" w:themeColor="text1"/>
          <w:sz w:val="24"/>
          <w:szCs w:val="24"/>
          <w:highlight w:val="none"/>
          <w14:textFill>
            <w14:solidFill>
              <w14:schemeClr w14:val="tx1"/>
            </w14:solidFill>
          </w14:textFill>
        </w:rPr>
      </w:pPr>
    </w:p>
    <w:p w14:paraId="19A5F927">
      <w:pPr>
        <w:rPr>
          <w:rFonts w:hint="eastAsia" w:ascii="宋体" w:hAnsi="宋体" w:eastAsia="宋体" w:cs="宋体"/>
          <w:color w:val="000000" w:themeColor="text1"/>
          <w:sz w:val="24"/>
          <w:szCs w:val="24"/>
          <w:highlight w:val="none"/>
          <w14:textFill>
            <w14:solidFill>
              <w14:schemeClr w14:val="tx1"/>
            </w14:solidFill>
          </w14:textFill>
        </w:rPr>
      </w:pPr>
    </w:p>
    <w:p w14:paraId="639E4AC5">
      <w:pPr>
        <w:pStyle w:val="3"/>
        <w:rPr>
          <w:rFonts w:hint="eastAsia" w:ascii="宋体" w:hAnsi="宋体" w:eastAsia="宋体" w:cs="宋体"/>
          <w:color w:val="000000" w:themeColor="text1"/>
          <w:sz w:val="24"/>
          <w:szCs w:val="24"/>
          <w:highlight w:val="none"/>
          <w14:textFill>
            <w14:solidFill>
              <w14:schemeClr w14:val="tx1"/>
            </w14:solidFill>
          </w14:textFill>
        </w:rPr>
      </w:pPr>
    </w:p>
    <w:p w14:paraId="40D0E644">
      <w:pPr>
        <w:pStyle w:val="3"/>
        <w:rPr>
          <w:rFonts w:hint="eastAsia" w:ascii="宋体" w:hAnsi="宋体" w:eastAsia="宋体" w:cs="宋体"/>
          <w:color w:val="000000" w:themeColor="text1"/>
          <w:sz w:val="24"/>
          <w:szCs w:val="24"/>
          <w:highlight w:val="none"/>
          <w14:textFill>
            <w14:solidFill>
              <w14:schemeClr w14:val="tx1"/>
            </w14:solidFill>
          </w14:textFill>
        </w:rPr>
      </w:pPr>
    </w:p>
    <w:p w14:paraId="460F1D37">
      <w:pPr>
        <w:pStyle w:val="3"/>
        <w:rPr>
          <w:rFonts w:hint="eastAsia" w:ascii="宋体" w:hAnsi="宋体" w:eastAsia="宋体" w:cs="宋体"/>
          <w:color w:val="000000" w:themeColor="text1"/>
          <w:sz w:val="24"/>
          <w:szCs w:val="24"/>
          <w:highlight w:val="none"/>
          <w14:textFill>
            <w14:solidFill>
              <w14:schemeClr w14:val="tx1"/>
            </w14:solidFill>
          </w14:textFill>
        </w:rPr>
      </w:pPr>
    </w:p>
    <w:p w14:paraId="447E9DDF">
      <w:pPr>
        <w:pStyle w:val="3"/>
        <w:rPr>
          <w:rFonts w:hint="eastAsia" w:ascii="宋体" w:hAnsi="宋体" w:eastAsia="宋体" w:cs="宋体"/>
          <w:color w:val="000000" w:themeColor="text1"/>
          <w:sz w:val="24"/>
          <w:szCs w:val="24"/>
          <w:highlight w:val="none"/>
          <w14:textFill>
            <w14:solidFill>
              <w14:schemeClr w14:val="tx1"/>
            </w14:solidFill>
          </w14:textFill>
        </w:rPr>
      </w:pPr>
    </w:p>
    <w:p w14:paraId="3C7D2A21">
      <w:pPr>
        <w:pStyle w:val="3"/>
        <w:rPr>
          <w:rFonts w:hint="eastAsia" w:ascii="宋体" w:hAnsi="宋体" w:eastAsia="宋体" w:cs="宋体"/>
          <w:color w:val="000000" w:themeColor="text1"/>
          <w:sz w:val="24"/>
          <w:szCs w:val="24"/>
          <w:highlight w:val="none"/>
          <w14:textFill>
            <w14:solidFill>
              <w14:schemeClr w14:val="tx1"/>
            </w14:solidFill>
          </w14:textFill>
        </w:rPr>
      </w:pPr>
    </w:p>
    <w:p w14:paraId="1226CF2D">
      <w:pPr>
        <w:pStyle w:val="3"/>
        <w:rPr>
          <w:rFonts w:hint="eastAsia" w:ascii="宋体" w:hAnsi="宋体" w:eastAsia="宋体" w:cs="宋体"/>
          <w:color w:val="000000" w:themeColor="text1"/>
          <w:sz w:val="24"/>
          <w:szCs w:val="24"/>
          <w:highlight w:val="none"/>
          <w14:textFill>
            <w14:solidFill>
              <w14:schemeClr w14:val="tx1"/>
            </w14:solidFill>
          </w14:textFill>
        </w:rPr>
      </w:pPr>
    </w:p>
    <w:p w14:paraId="445E8380">
      <w:pPr>
        <w:pStyle w:val="3"/>
        <w:rPr>
          <w:rFonts w:hint="eastAsia" w:ascii="宋体" w:hAnsi="宋体" w:eastAsia="宋体" w:cs="宋体"/>
          <w:color w:val="000000" w:themeColor="text1"/>
          <w:sz w:val="24"/>
          <w:szCs w:val="24"/>
          <w:highlight w:val="none"/>
          <w14:textFill>
            <w14:solidFill>
              <w14:schemeClr w14:val="tx1"/>
            </w14:solidFill>
          </w14:textFill>
        </w:rPr>
      </w:pPr>
    </w:p>
    <w:p w14:paraId="00C7E31A">
      <w:pPr>
        <w:pStyle w:val="3"/>
        <w:rPr>
          <w:rFonts w:hint="eastAsia" w:ascii="宋体" w:hAnsi="宋体" w:eastAsia="宋体" w:cs="宋体"/>
          <w:color w:val="000000" w:themeColor="text1"/>
          <w:sz w:val="24"/>
          <w:szCs w:val="24"/>
          <w:highlight w:val="none"/>
          <w14:textFill>
            <w14:solidFill>
              <w14:schemeClr w14:val="tx1"/>
            </w14:solidFill>
          </w14:textFill>
        </w:rPr>
      </w:pPr>
    </w:p>
    <w:p w14:paraId="5867566E">
      <w:pPr>
        <w:pStyle w:val="3"/>
        <w:rPr>
          <w:rFonts w:hint="eastAsia" w:ascii="宋体" w:hAnsi="宋体" w:eastAsia="宋体" w:cs="宋体"/>
          <w:color w:val="000000" w:themeColor="text1"/>
          <w:sz w:val="24"/>
          <w:szCs w:val="24"/>
          <w:highlight w:val="none"/>
          <w14:textFill>
            <w14:solidFill>
              <w14:schemeClr w14:val="tx1"/>
            </w14:solidFill>
          </w14:textFill>
        </w:rPr>
      </w:pPr>
    </w:p>
    <w:p w14:paraId="0A2FE292">
      <w:pPr>
        <w:pStyle w:val="3"/>
        <w:rPr>
          <w:rFonts w:hint="eastAsia" w:ascii="宋体" w:hAnsi="宋体" w:eastAsia="宋体" w:cs="宋体"/>
          <w:color w:val="000000" w:themeColor="text1"/>
          <w:sz w:val="24"/>
          <w:szCs w:val="24"/>
          <w:highlight w:val="none"/>
          <w14:textFill>
            <w14:solidFill>
              <w14:schemeClr w14:val="tx1"/>
            </w14:solidFill>
          </w14:textFill>
        </w:rPr>
      </w:pPr>
    </w:p>
    <w:p w14:paraId="3BA4B698">
      <w:pPr>
        <w:pStyle w:val="3"/>
        <w:rPr>
          <w:rFonts w:hint="eastAsia" w:ascii="宋体" w:hAnsi="宋体" w:eastAsia="宋体" w:cs="宋体"/>
          <w:color w:val="000000" w:themeColor="text1"/>
          <w:sz w:val="24"/>
          <w:szCs w:val="24"/>
          <w:highlight w:val="none"/>
          <w14:textFill>
            <w14:solidFill>
              <w14:schemeClr w14:val="tx1"/>
            </w14:solidFill>
          </w14:textFill>
        </w:rPr>
      </w:pPr>
    </w:p>
    <w:p w14:paraId="21551DF0">
      <w:pPr>
        <w:pStyle w:val="3"/>
        <w:rPr>
          <w:rFonts w:hint="eastAsia" w:ascii="宋体" w:hAnsi="宋体" w:eastAsia="宋体" w:cs="宋体"/>
          <w:color w:val="000000" w:themeColor="text1"/>
          <w:sz w:val="24"/>
          <w:szCs w:val="24"/>
          <w:highlight w:val="none"/>
          <w14:textFill>
            <w14:solidFill>
              <w14:schemeClr w14:val="tx1"/>
            </w14:solidFill>
          </w14:textFill>
        </w:rPr>
      </w:pPr>
    </w:p>
    <w:p w14:paraId="4E17ACF0">
      <w:pPr>
        <w:pStyle w:val="3"/>
        <w:rPr>
          <w:rFonts w:hint="eastAsia" w:ascii="宋体" w:hAnsi="宋体" w:eastAsia="宋体" w:cs="宋体"/>
          <w:color w:val="000000" w:themeColor="text1"/>
          <w:sz w:val="24"/>
          <w:szCs w:val="24"/>
          <w:highlight w:val="none"/>
          <w14:textFill>
            <w14:solidFill>
              <w14:schemeClr w14:val="tx1"/>
            </w14:solidFill>
          </w14:textFill>
        </w:rPr>
      </w:pPr>
    </w:p>
    <w:p w14:paraId="12F91A99">
      <w:pPr>
        <w:pStyle w:val="3"/>
        <w:rPr>
          <w:rFonts w:hint="eastAsia" w:ascii="宋体" w:hAnsi="宋体" w:eastAsia="宋体" w:cs="宋体"/>
          <w:color w:val="000000" w:themeColor="text1"/>
          <w:sz w:val="24"/>
          <w:szCs w:val="24"/>
          <w:highlight w:val="none"/>
          <w14:textFill>
            <w14:solidFill>
              <w14:schemeClr w14:val="tx1"/>
            </w14:solidFill>
          </w14:textFill>
        </w:rPr>
      </w:pPr>
    </w:p>
    <w:p w14:paraId="48DC9292">
      <w:pPr>
        <w:pStyle w:val="3"/>
        <w:rPr>
          <w:rFonts w:hint="eastAsia" w:ascii="宋体" w:hAnsi="宋体" w:eastAsia="宋体" w:cs="宋体"/>
          <w:color w:val="000000" w:themeColor="text1"/>
          <w:sz w:val="24"/>
          <w:szCs w:val="24"/>
          <w:highlight w:val="none"/>
          <w14:textFill>
            <w14:solidFill>
              <w14:schemeClr w14:val="tx1"/>
            </w14:solidFill>
          </w14:textFill>
        </w:rPr>
      </w:pPr>
    </w:p>
    <w:p w14:paraId="0D39E0B0">
      <w:pPr>
        <w:pStyle w:val="3"/>
        <w:rPr>
          <w:rFonts w:hint="eastAsia" w:ascii="宋体" w:hAnsi="宋体" w:eastAsia="宋体" w:cs="宋体"/>
          <w:color w:val="000000" w:themeColor="text1"/>
          <w:sz w:val="24"/>
          <w:szCs w:val="24"/>
          <w:highlight w:val="none"/>
          <w14:textFill>
            <w14:solidFill>
              <w14:schemeClr w14:val="tx1"/>
            </w14:solidFill>
          </w14:textFill>
        </w:rPr>
      </w:pPr>
    </w:p>
    <w:p w14:paraId="6C58EB1E">
      <w:pPr>
        <w:pStyle w:val="3"/>
        <w:rPr>
          <w:rFonts w:hint="eastAsia" w:ascii="宋体" w:hAnsi="宋体" w:eastAsia="宋体" w:cs="宋体"/>
          <w:color w:val="000000" w:themeColor="text1"/>
          <w:sz w:val="24"/>
          <w:szCs w:val="24"/>
          <w:highlight w:val="none"/>
          <w14:textFill>
            <w14:solidFill>
              <w14:schemeClr w14:val="tx1"/>
            </w14:solidFill>
          </w14:textFill>
        </w:rPr>
      </w:pPr>
    </w:p>
    <w:p w14:paraId="0EDD8A49">
      <w:pPr>
        <w:pStyle w:val="3"/>
        <w:rPr>
          <w:rFonts w:hint="eastAsia" w:ascii="宋体" w:hAnsi="宋体" w:eastAsia="宋体" w:cs="宋体"/>
          <w:color w:val="000000" w:themeColor="text1"/>
          <w:sz w:val="24"/>
          <w:szCs w:val="24"/>
          <w:highlight w:val="none"/>
          <w14:textFill>
            <w14:solidFill>
              <w14:schemeClr w14:val="tx1"/>
            </w14:solidFill>
          </w14:textFill>
        </w:rPr>
      </w:pPr>
    </w:p>
    <w:p w14:paraId="7050FD99">
      <w:pPr>
        <w:pStyle w:val="3"/>
        <w:rPr>
          <w:rFonts w:hint="eastAsia" w:ascii="宋体" w:hAnsi="宋体" w:eastAsia="宋体" w:cs="宋体"/>
          <w:color w:val="000000" w:themeColor="text1"/>
          <w:sz w:val="24"/>
          <w:szCs w:val="24"/>
          <w:highlight w:val="none"/>
          <w14:textFill>
            <w14:solidFill>
              <w14:schemeClr w14:val="tx1"/>
            </w14:solidFill>
          </w14:textFill>
        </w:rPr>
      </w:pPr>
    </w:p>
    <w:p w14:paraId="04CEA888">
      <w:pPr>
        <w:pStyle w:val="3"/>
        <w:rPr>
          <w:rFonts w:hint="eastAsia" w:ascii="宋体" w:hAnsi="宋体" w:eastAsia="宋体" w:cs="宋体"/>
          <w:color w:val="000000" w:themeColor="text1"/>
          <w:sz w:val="24"/>
          <w:szCs w:val="24"/>
          <w:highlight w:val="none"/>
          <w14:textFill>
            <w14:solidFill>
              <w14:schemeClr w14:val="tx1"/>
            </w14:solidFill>
          </w14:textFill>
        </w:rPr>
      </w:pPr>
    </w:p>
    <w:p w14:paraId="5504A464">
      <w:pPr>
        <w:pStyle w:val="3"/>
        <w:rPr>
          <w:rFonts w:hint="eastAsia" w:ascii="宋体" w:hAnsi="宋体" w:eastAsia="宋体" w:cs="宋体"/>
          <w:color w:val="000000" w:themeColor="text1"/>
          <w:sz w:val="24"/>
          <w:szCs w:val="24"/>
          <w:highlight w:val="none"/>
          <w14:textFill>
            <w14:solidFill>
              <w14:schemeClr w14:val="tx1"/>
            </w14:solidFill>
          </w14:textFill>
        </w:rPr>
      </w:pPr>
    </w:p>
    <w:p w14:paraId="183B8A09">
      <w:pPr>
        <w:pStyle w:val="3"/>
        <w:rPr>
          <w:rFonts w:hint="eastAsia" w:ascii="宋体" w:hAnsi="宋体" w:eastAsia="宋体" w:cs="宋体"/>
          <w:color w:val="000000" w:themeColor="text1"/>
          <w:sz w:val="24"/>
          <w:szCs w:val="24"/>
          <w:highlight w:val="none"/>
          <w14:textFill>
            <w14:solidFill>
              <w14:schemeClr w14:val="tx1"/>
            </w14:solidFill>
          </w14:textFill>
        </w:rPr>
      </w:pPr>
    </w:p>
    <w:p w14:paraId="7283CA72">
      <w:pPr>
        <w:pStyle w:val="3"/>
        <w:rPr>
          <w:rFonts w:hint="eastAsia" w:ascii="宋体" w:hAnsi="宋体" w:eastAsia="宋体" w:cs="宋体"/>
          <w:color w:val="000000" w:themeColor="text1"/>
          <w:sz w:val="24"/>
          <w:szCs w:val="24"/>
          <w:highlight w:val="none"/>
          <w14:textFill>
            <w14:solidFill>
              <w14:schemeClr w14:val="tx1"/>
            </w14:solidFill>
          </w14:textFill>
        </w:rPr>
      </w:pPr>
    </w:p>
    <w:p w14:paraId="1CB20D14">
      <w:pPr>
        <w:pStyle w:val="3"/>
        <w:rPr>
          <w:rFonts w:hint="eastAsia" w:ascii="宋体" w:hAnsi="宋体" w:eastAsia="宋体" w:cs="宋体"/>
          <w:color w:val="000000" w:themeColor="text1"/>
          <w:sz w:val="24"/>
          <w:szCs w:val="24"/>
          <w:highlight w:val="none"/>
          <w14:textFill>
            <w14:solidFill>
              <w14:schemeClr w14:val="tx1"/>
            </w14:solidFill>
          </w14:textFill>
        </w:rPr>
      </w:pPr>
    </w:p>
    <w:p w14:paraId="6C567FF0">
      <w:pPr>
        <w:pStyle w:val="3"/>
        <w:rPr>
          <w:rFonts w:hint="eastAsia" w:ascii="宋体" w:hAnsi="宋体" w:eastAsia="宋体" w:cs="宋体"/>
          <w:color w:val="000000" w:themeColor="text1"/>
          <w:sz w:val="24"/>
          <w:szCs w:val="24"/>
          <w:highlight w:val="none"/>
          <w14:textFill>
            <w14:solidFill>
              <w14:schemeClr w14:val="tx1"/>
            </w14:solidFill>
          </w14:textFill>
        </w:rPr>
      </w:pPr>
    </w:p>
    <w:p w14:paraId="169D5C43">
      <w:pPr>
        <w:pStyle w:val="3"/>
        <w:rPr>
          <w:rFonts w:hint="eastAsia" w:ascii="宋体" w:hAnsi="宋体" w:eastAsia="宋体" w:cs="宋体"/>
          <w:color w:val="000000" w:themeColor="text1"/>
          <w:sz w:val="24"/>
          <w:szCs w:val="24"/>
          <w:highlight w:val="none"/>
          <w14:textFill>
            <w14:solidFill>
              <w14:schemeClr w14:val="tx1"/>
            </w14:solidFill>
          </w14:textFill>
        </w:rPr>
      </w:pPr>
    </w:p>
    <w:p w14:paraId="44A98DBC">
      <w:pPr>
        <w:pStyle w:val="3"/>
        <w:rPr>
          <w:rFonts w:hint="eastAsia" w:ascii="宋体" w:hAnsi="宋体" w:eastAsia="宋体" w:cs="宋体"/>
          <w:color w:val="000000" w:themeColor="text1"/>
          <w:sz w:val="24"/>
          <w:szCs w:val="24"/>
          <w:highlight w:val="none"/>
          <w14:textFill>
            <w14:solidFill>
              <w14:schemeClr w14:val="tx1"/>
            </w14:solidFill>
          </w14:textFill>
        </w:rPr>
      </w:pPr>
    </w:p>
    <w:p w14:paraId="74F45CE4">
      <w:pPr>
        <w:pStyle w:val="3"/>
        <w:rPr>
          <w:rFonts w:hint="eastAsia" w:ascii="宋体" w:hAnsi="宋体" w:eastAsia="宋体" w:cs="宋体"/>
          <w:color w:val="000000" w:themeColor="text1"/>
          <w:sz w:val="24"/>
          <w:szCs w:val="24"/>
          <w:highlight w:val="none"/>
          <w14:textFill>
            <w14:solidFill>
              <w14:schemeClr w14:val="tx1"/>
            </w14:solidFill>
          </w14:textFill>
        </w:rPr>
      </w:pPr>
    </w:p>
    <w:p w14:paraId="406C80DE">
      <w:pPr>
        <w:pStyle w:val="3"/>
        <w:rPr>
          <w:rFonts w:hint="eastAsia" w:ascii="宋体" w:hAnsi="宋体" w:eastAsia="宋体" w:cs="宋体"/>
          <w:color w:val="000000" w:themeColor="text1"/>
          <w:sz w:val="24"/>
          <w:szCs w:val="24"/>
          <w:highlight w:val="none"/>
          <w14:textFill>
            <w14:solidFill>
              <w14:schemeClr w14:val="tx1"/>
            </w14:solidFill>
          </w14:textFill>
        </w:rPr>
      </w:pPr>
    </w:p>
    <w:p w14:paraId="33D8F70D">
      <w:pPr>
        <w:pStyle w:val="3"/>
        <w:rPr>
          <w:rFonts w:hint="eastAsia" w:ascii="宋体" w:hAnsi="宋体" w:eastAsia="宋体" w:cs="宋体"/>
          <w:color w:val="000000" w:themeColor="text1"/>
          <w:sz w:val="24"/>
          <w:szCs w:val="24"/>
          <w:highlight w:val="none"/>
          <w14:textFill>
            <w14:solidFill>
              <w14:schemeClr w14:val="tx1"/>
            </w14:solidFill>
          </w14:textFill>
        </w:rPr>
      </w:pPr>
    </w:p>
    <w:p w14:paraId="06306B66">
      <w:pPr>
        <w:pStyle w:val="3"/>
        <w:rPr>
          <w:rFonts w:hint="eastAsia" w:ascii="宋体" w:hAnsi="宋体" w:eastAsia="宋体" w:cs="宋体"/>
          <w:color w:val="000000" w:themeColor="text1"/>
          <w:sz w:val="24"/>
          <w:szCs w:val="24"/>
          <w:highlight w:val="none"/>
          <w14:textFill>
            <w14:solidFill>
              <w14:schemeClr w14:val="tx1"/>
            </w14:solidFill>
          </w14:textFill>
        </w:rPr>
      </w:pPr>
    </w:p>
    <w:p w14:paraId="740D2148">
      <w:pPr>
        <w:pStyle w:val="3"/>
        <w:rPr>
          <w:rFonts w:hint="eastAsia" w:ascii="宋体" w:hAnsi="宋体" w:eastAsia="宋体" w:cs="宋体"/>
          <w:color w:val="000000" w:themeColor="text1"/>
          <w:sz w:val="24"/>
          <w:szCs w:val="24"/>
          <w:highlight w:val="none"/>
          <w14:textFill>
            <w14:solidFill>
              <w14:schemeClr w14:val="tx1"/>
            </w14:solidFill>
          </w14:textFill>
        </w:rPr>
      </w:pPr>
    </w:p>
    <w:p w14:paraId="4F093C22">
      <w:pPr>
        <w:pStyle w:val="3"/>
        <w:rPr>
          <w:rFonts w:hint="eastAsia" w:ascii="宋体" w:hAnsi="宋体" w:eastAsia="宋体" w:cs="宋体"/>
          <w:color w:val="000000" w:themeColor="text1"/>
          <w:sz w:val="24"/>
          <w:szCs w:val="24"/>
          <w:highlight w:val="none"/>
          <w14:textFill>
            <w14:solidFill>
              <w14:schemeClr w14:val="tx1"/>
            </w14:solidFill>
          </w14:textFill>
        </w:rPr>
      </w:pPr>
    </w:p>
    <w:p w14:paraId="76879AB8">
      <w:pPr>
        <w:pStyle w:val="3"/>
        <w:rPr>
          <w:rFonts w:hint="eastAsia" w:ascii="宋体" w:hAnsi="宋体" w:eastAsia="宋体" w:cs="宋体"/>
          <w:color w:val="000000" w:themeColor="text1"/>
          <w:sz w:val="24"/>
          <w:szCs w:val="24"/>
          <w:highlight w:val="none"/>
          <w14:textFill>
            <w14:solidFill>
              <w14:schemeClr w14:val="tx1"/>
            </w14:solidFill>
          </w14:textFill>
        </w:rPr>
      </w:pPr>
    </w:p>
    <w:p w14:paraId="36EB2E8E">
      <w:pPr>
        <w:pStyle w:val="8"/>
        <w:ind w:firstLine="0"/>
        <w:jc w:val="left"/>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表一</w:t>
      </w:r>
    </w:p>
    <w:p w14:paraId="36665022">
      <w:pPr>
        <w:pStyle w:val="8"/>
        <w:ind w:firstLine="0"/>
        <w:jc w:val="center"/>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具备履行合同所必需的设备和专业技术能力的书面声明</w:t>
      </w:r>
    </w:p>
    <w:p w14:paraId="49AFC5AD">
      <w:pPr>
        <w:pStyle w:val="8"/>
        <w:ind w:firstLine="0"/>
        <w:jc w:val="center"/>
        <w:rPr>
          <w:rFonts w:hint="eastAsia" w:ascii="宋体" w:hAnsi="宋体" w:eastAsia="宋体" w:cs="宋体"/>
          <w:b/>
          <w:bCs/>
          <w:color w:val="000000" w:themeColor="text1"/>
          <w:sz w:val="30"/>
          <w:szCs w:val="30"/>
          <w:highlight w:val="none"/>
          <w14:textFill>
            <w14:solidFill>
              <w14:schemeClr w14:val="tx1"/>
            </w14:solidFill>
          </w14:textFill>
        </w:rPr>
      </w:pPr>
    </w:p>
    <w:p w14:paraId="0D25E180">
      <w:pPr>
        <w:spacing w:before="145" w:beforeLines="50" w:after="145" w:afterLines="50" w:line="300" w:lineRule="auto"/>
        <w:ind w:firstLine="492"/>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我单位郑重声明：我单位具备履行本项采购合同所必需的设备和专业技术能力，为履行本项采购合同我公司具备如下主要设备和主要专业技术能力：</w:t>
      </w:r>
    </w:p>
    <w:p w14:paraId="717158B0">
      <w:pPr>
        <w:spacing w:before="145" w:beforeLines="50" w:after="145" w:afterLines="50" w:line="300" w:lineRule="auto"/>
        <w:ind w:firstLine="492"/>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主要设备有：</w:t>
      </w:r>
      <w:r>
        <w:rPr>
          <w:rFonts w:hint="eastAsia" w:ascii="宋体" w:hAnsi="宋体" w:eastAsia="宋体" w:cs="宋体"/>
          <w:bCs/>
          <w:color w:val="000000" w:themeColor="text1"/>
          <w:sz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w:t>
      </w:r>
    </w:p>
    <w:p w14:paraId="71F89FBB">
      <w:pPr>
        <w:spacing w:before="145" w:beforeLines="50" w:after="145" w:afterLines="50" w:line="300" w:lineRule="auto"/>
        <w:ind w:firstLine="492"/>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主要专业技术能力有：</w:t>
      </w:r>
      <w:r>
        <w:rPr>
          <w:rFonts w:hint="eastAsia" w:ascii="宋体" w:hAnsi="宋体" w:eastAsia="宋体" w:cs="宋体"/>
          <w:bCs/>
          <w:color w:val="000000" w:themeColor="text1"/>
          <w:sz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w:t>
      </w:r>
    </w:p>
    <w:p w14:paraId="1B0B256B">
      <w:pPr>
        <w:pStyle w:val="103"/>
        <w:spacing w:before="145" w:beforeLines="50" w:after="145" w:afterLines="50" w:line="300" w:lineRule="auto"/>
        <w:ind w:left="5760" w:leftChars="2400" w:hanging="720" w:hangingChars="300"/>
        <w:rPr>
          <w:rFonts w:hint="eastAsia"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color w:val="000000" w:themeColor="text1"/>
          <w:kern w:val="2"/>
          <w:szCs w:val="21"/>
          <w:highlight w:val="none"/>
          <w14:textFill>
            <w14:solidFill>
              <w14:schemeClr w14:val="tx1"/>
            </w14:solidFill>
          </w14:textFill>
        </w:rPr>
        <w:t xml:space="preserve">投标人名称（盖章）： </w:t>
      </w:r>
    </w:p>
    <w:p w14:paraId="5471D599">
      <w:pPr>
        <w:spacing w:before="145" w:beforeLines="50" w:after="145" w:afterLines="50" w:line="300" w:lineRule="auto"/>
        <w:ind w:firstLine="5775" w:firstLineChars="275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______年____月____日</w:t>
      </w:r>
    </w:p>
    <w:p w14:paraId="36E85AF5">
      <w:pPr>
        <w:spacing w:before="145" w:beforeLines="50" w:after="145" w:afterLines="50" w:line="300" w:lineRule="auto"/>
        <w:rPr>
          <w:rFonts w:hint="eastAsia" w:ascii="宋体" w:hAnsi="宋体" w:eastAsia="宋体" w:cs="宋体"/>
          <w:bCs/>
          <w:color w:val="000000" w:themeColor="text1"/>
          <w:sz w:val="24"/>
          <w:highlight w:val="none"/>
          <w14:textFill>
            <w14:solidFill>
              <w14:schemeClr w14:val="tx1"/>
            </w14:solidFill>
          </w14:textFill>
        </w:rPr>
      </w:pPr>
    </w:p>
    <w:p w14:paraId="3C561174">
      <w:pPr>
        <w:pStyle w:val="8"/>
        <w:ind w:firstLine="0"/>
        <w:jc w:val="left"/>
        <w:rPr>
          <w:rFonts w:hint="eastAsia" w:ascii="宋体" w:hAnsi="宋体" w:eastAsia="宋体" w:cs="宋体"/>
          <w:b w:val="0"/>
          <w:bCs w:val="0"/>
          <w:color w:val="000000" w:themeColor="text1"/>
          <w:sz w:val="30"/>
          <w:szCs w:val="30"/>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br w:type="page"/>
      </w:r>
      <w:bookmarkStart w:id="241" w:name="_Toc534816644"/>
      <w:bookmarkStart w:id="242" w:name="_Toc534725615"/>
      <w:r>
        <w:rPr>
          <w:rFonts w:hint="eastAsia" w:ascii="宋体" w:hAnsi="宋体" w:eastAsia="宋体" w:cs="宋体"/>
          <w:bCs/>
          <w:color w:val="000000" w:themeColor="text1"/>
          <w:sz w:val="24"/>
          <w:highlight w:val="none"/>
          <w:lang w:val="en-US" w:eastAsia="zh-CN"/>
          <w14:textFill>
            <w14:solidFill>
              <w14:schemeClr w14:val="tx1"/>
            </w14:solidFill>
          </w14:textFill>
        </w:rPr>
        <w:t>表二</w:t>
      </w:r>
    </w:p>
    <w:p w14:paraId="2FE37010">
      <w:pPr>
        <w:spacing w:before="145" w:beforeLines="50" w:after="145" w:afterLines="50" w:line="300" w:lineRule="auto"/>
        <w:rPr>
          <w:rFonts w:hint="eastAsia" w:ascii="宋体" w:hAnsi="宋体" w:eastAsia="宋体" w:cs="宋体"/>
          <w:bCs/>
          <w:color w:val="000000" w:themeColor="text1"/>
          <w:sz w:val="24"/>
          <w:highlight w:val="none"/>
          <w14:textFill>
            <w14:solidFill>
              <w14:schemeClr w14:val="tx1"/>
            </w14:solidFill>
          </w14:textFill>
        </w:rPr>
      </w:pPr>
    </w:p>
    <w:p w14:paraId="2119DF9D">
      <w:pPr>
        <w:spacing w:before="145" w:beforeLines="50" w:after="145" w:afterLines="50" w:line="300" w:lineRule="auto"/>
        <w:jc w:val="center"/>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t>参加政府采购活动前 3 年内在经营活动中没有重大违法记录的</w:t>
      </w:r>
    </w:p>
    <w:p w14:paraId="23209C7B">
      <w:pPr>
        <w:spacing w:before="145" w:beforeLines="50" w:after="145" w:afterLines="50" w:line="300" w:lineRule="auto"/>
        <w:jc w:val="center"/>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t>书面声明</w:t>
      </w:r>
      <w:bookmarkEnd w:id="241"/>
      <w:bookmarkEnd w:id="242"/>
    </w:p>
    <w:p w14:paraId="2CCFD93F">
      <w:pPr>
        <w:pStyle w:val="3"/>
        <w:rPr>
          <w:rFonts w:hint="eastAsia" w:ascii="宋体" w:hAnsi="宋体" w:eastAsia="宋体" w:cs="宋体"/>
          <w:color w:val="000000" w:themeColor="text1"/>
          <w:highlight w:val="none"/>
          <w:lang w:val="en-US" w:eastAsia="zh-CN"/>
          <w14:textFill>
            <w14:solidFill>
              <w14:schemeClr w14:val="tx1"/>
            </w14:solidFill>
          </w14:textFill>
        </w:rPr>
      </w:pPr>
    </w:p>
    <w:p w14:paraId="042C4A41">
      <w:pPr>
        <w:spacing w:before="145" w:beforeLines="50" w:after="145" w:afterLines="50" w:line="30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我单位郑重声明：参加本次政府采购活动前 3 年内，我单位在经营活动中没有因违法经营受到刑事处罚或者责令停产停业、吊销许可证或者执照、较大数额罚款等行政处罚。</w:t>
      </w:r>
    </w:p>
    <w:p w14:paraId="53DCF0D5">
      <w:pPr>
        <w:spacing w:before="145" w:beforeLines="50" w:after="145" w:afterLines="50" w:line="300" w:lineRule="auto"/>
        <w:rPr>
          <w:rFonts w:hint="eastAsia" w:ascii="宋体" w:hAnsi="宋体" w:eastAsia="宋体" w:cs="宋体"/>
          <w:bCs/>
          <w:color w:val="000000" w:themeColor="text1"/>
          <w:sz w:val="24"/>
          <w:highlight w:val="none"/>
          <w14:textFill>
            <w14:solidFill>
              <w14:schemeClr w14:val="tx1"/>
            </w14:solidFill>
          </w14:textFill>
        </w:rPr>
      </w:pPr>
    </w:p>
    <w:p w14:paraId="71125311">
      <w:pPr>
        <w:pStyle w:val="103"/>
        <w:spacing w:before="145" w:beforeLines="50" w:after="145" w:afterLines="50" w:line="300" w:lineRule="auto"/>
        <w:ind w:left="420" w:leftChars="200" w:firstLine="5280" w:firstLineChars="2200"/>
        <w:rPr>
          <w:rFonts w:hint="eastAsia"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 xml:space="preserve">投标人名称（盖章）： </w:t>
      </w:r>
    </w:p>
    <w:p w14:paraId="62D5C9A8">
      <w:pPr>
        <w:spacing w:before="145" w:beforeLines="50" w:after="145" w:afterLines="50" w:line="300" w:lineRule="auto"/>
        <w:ind w:firstLine="5775" w:firstLineChars="275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______年____月____日</w:t>
      </w:r>
    </w:p>
    <w:p w14:paraId="65BE95C7">
      <w:pPr>
        <w:spacing w:before="145" w:beforeLines="50" w:after="145" w:afterLines="50" w:line="300" w:lineRule="auto"/>
        <w:rPr>
          <w:rFonts w:hint="eastAsia" w:ascii="宋体" w:hAnsi="宋体" w:eastAsia="宋体" w:cs="宋体"/>
          <w:bCs/>
          <w:color w:val="000000" w:themeColor="text1"/>
          <w:sz w:val="24"/>
          <w:highlight w:val="none"/>
          <w14:textFill>
            <w14:solidFill>
              <w14:schemeClr w14:val="tx1"/>
            </w14:solidFill>
          </w14:textFill>
        </w:rPr>
      </w:pPr>
    </w:p>
    <w:p w14:paraId="73FA5E3E">
      <w:pPr>
        <w:pStyle w:val="8"/>
        <w:ind w:firstLine="0"/>
        <w:jc w:val="left"/>
        <w:rPr>
          <w:rFonts w:hint="eastAsia" w:ascii="宋体" w:hAnsi="宋体" w:eastAsia="宋体" w:cs="宋体"/>
          <w:b w:val="0"/>
          <w:bCs w:val="0"/>
          <w:color w:val="000000" w:themeColor="text1"/>
          <w:sz w:val="30"/>
          <w:szCs w:val="30"/>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br w:type="page"/>
      </w:r>
      <w:bookmarkStart w:id="243" w:name="_Toc534816645"/>
      <w:bookmarkStart w:id="244" w:name="_Toc534725616"/>
      <w:r>
        <w:rPr>
          <w:rFonts w:hint="eastAsia" w:ascii="宋体" w:hAnsi="宋体" w:eastAsia="宋体" w:cs="宋体"/>
          <w:b w:val="0"/>
          <w:bCs w:val="0"/>
          <w:color w:val="000000" w:themeColor="text1"/>
          <w:sz w:val="30"/>
          <w:szCs w:val="30"/>
          <w:highlight w:val="none"/>
          <w:lang w:val="en-US" w:eastAsia="zh-CN"/>
          <w14:textFill>
            <w14:solidFill>
              <w14:schemeClr w14:val="tx1"/>
            </w14:solidFill>
          </w14:textFill>
        </w:rPr>
        <w:t>表三</w:t>
      </w:r>
    </w:p>
    <w:p w14:paraId="0080FF04">
      <w:pPr>
        <w:spacing w:before="145" w:beforeLines="50" w:after="145" w:afterLines="50" w:line="300" w:lineRule="auto"/>
        <w:jc w:val="center"/>
        <w:rPr>
          <w:rFonts w:hint="eastAsia" w:ascii="宋体" w:hAnsi="宋体" w:eastAsia="宋体" w:cs="宋体"/>
          <w:bCs/>
          <w:color w:val="000000" w:themeColor="text1"/>
          <w:sz w:val="24"/>
          <w:highlight w:val="none"/>
          <w14:textFill>
            <w14:solidFill>
              <w14:schemeClr w14:val="tx1"/>
            </w14:solidFill>
          </w14:textFill>
        </w:rPr>
      </w:pPr>
    </w:p>
    <w:p w14:paraId="00040652">
      <w:pPr>
        <w:spacing w:before="145" w:beforeLines="50" w:after="145" w:afterLines="50" w:line="30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法人授权书</w:t>
      </w:r>
      <w:bookmarkEnd w:id="243"/>
      <w:bookmarkEnd w:id="244"/>
    </w:p>
    <w:p w14:paraId="3E86AC95">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本授权委托书声明：注册于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（供应商地址） </w:t>
      </w:r>
      <w:r>
        <w:rPr>
          <w:rFonts w:hint="eastAsia" w:ascii="宋体" w:hAnsi="宋体" w:eastAsia="宋体" w:cs="宋体"/>
          <w:color w:val="000000" w:themeColor="text1"/>
          <w:sz w:val="24"/>
          <w:szCs w:val="24"/>
          <w:highlight w:val="none"/>
          <w14:textFill>
            <w14:solidFill>
              <w14:schemeClr w14:val="tx1"/>
            </w14:solidFill>
          </w14:textFill>
        </w:rPr>
        <w:t xml:space="preserve"> 的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（供应商名称）    </w:t>
      </w:r>
      <w:r>
        <w:rPr>
          <w:rFonts w:hint="eastAsia" w:ascii="宋体" w:hAnsi="宋体" w:eastAsia="宋体" w:cs="宋体"/>
          <w:color w:val="000000" w:themeColor="text1"/>
          <w:sz w:val="24"/>
          <w:szCs w:val="24"/>
          <w:highlight w:val="none"/>
          <w14:textFill>
            <w14:solidFill>
              <w14:schemeClr w14:val="tx1"/>
            </w14:solidFill>
          </w14:textFill>
        </w:rPr>
        <w:t>在下面签名的（</w:t>
      </w:r>
      <w:r>
        <w:rPr>
          <w:rFonts w:hint="eastAsia" w:ascii="宋体" w:hAnsi="宋体" w:eastAsia="宋体" w:cs="宋体"/>
          <w:color w:val="000000" w:themeColor="text1"/>
          <w:sz w:val="24"/>
          <w:szCs w:val="24"/>
          <w:highlight w:val="none"/>
          <w:u w:val="single"/>
          <w14:textFill>
            <w14:solidFill>
              <w14:schemeClr w14:val="tx1"/>
            </w14:solidFill>
          </w14:textFill>
        </w:rPr>
        <w:t>法定代表人姓名、职务</w:t>
      </w:r>
      <w:r>
        <w:rPr>
          <w:rFonts w:hint="eastAsia" w:ascii="宋体" w:hAnsi="宋体" w:eastAsia="宋体" w:cs="宋体"/>
          <w:color w:val="000000" w:themeColor="text1"/>
          <w:sz w:val="24"/>
          <w:szCs w:val="24"/>
          <w:highlight w:val="none"/>
          <w14:textFill>
            <w14:solidFill>
              <w14:schemeClr w14:val="tx1"/>
            </w14:solidFill>
          </w14:textFill>
        </w:rPr>
        <w:t>），现任我单位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职务，为法定代表人。在此授权（</w:t>
      </w:r>
      <w:r>
        <w:rPr>
          <w:rFonts w:hint="eastAsia" w:ascii="宋体" w:hAnsi="宋体" w:eastAsia="宋体" w:cs="宋体"/>
          <w:color w:val="000000" w:themeColor="text1"/>
          <w:sz w:val="24"/>
          <w:szCs w:val="24"/>
          <w:highlight w:val="none"/>
          <w:u w:val="single"/>
          <w14:textFill>
            <w14:solidFill>
              <w14:schemeClr w14:val="tx1"/>
            </w14:solidFill>
          </w14:textFill>
        </w:rPr>
        <w:t>被授权人姓名、职务</w:t>
      </w:r>
      <w:r>
        <w:rPr>
          <w:rFonts w:hint="eastAsia" w:ascii="宋体" w:hAnsi="宋体" w:eastAsia="宋体" w:cs="宋体"/>
          <w:color w:val="000000" w:themeColor="text1"/>
          <w:sz w:val="24"/>
          <w:szCs w:val="24"/>
          <w:highlight w:val="none"/>
          <w14:textFill>
            <w14:solidFill>
              <w14:schemeClr w14:val="tx1"/>
            </w14:solidFill>
          </w14:textFill>
        </w:rPr>
        <w:t>）作为我公司的合法代理人，就（</w:t>
      </w:r>
      <w:r>
        <w:rPr>
          <w:rFonts w:hint="eastAsia" w:ascii="宋体" w:hAnsi="宋体" w:eastAsia="宋体" w:cs="宋体"/>
          <w:color w:val="000000" w:themeColor="text1"/>
          <w:sz w:val="24"/>
          <w:szCs w:val="24"/>
          <w:highlight w:val="none"/>
          <w:u w:val="single"/>
          <w14:textFill>
            <w14:solidFill>
              <w14:schemeClr w14:val="tx1"/>
            </w14:solidFill>
          </w14:textFill>
        </w:rPr>
        <w:t>采购项目名称、采购项目编号</w:t>
      </w:r>
      <w:r>
        <w:rPr>
          <w:rFonts w:hint="eastAsia" w:ascii="宋体" w:hAnsi="宋体" w:eastAsia="宋体" w:cs="宋体"/>
          <w:color w:val="000000" w:themeColor="text1"/>
          <w:sz w:val="24"/>
          <w:szCs w:val="24"/>
          <w:highlight w:val="none"/>
          <w14:textFill>
            <w14:solidFill>
              <w14:schemeClr w14:val="tx1"/>
            </w14:solidFill>
          </w14:textFill>
        </w:rPr>
        <w:t xml:space="preserve">）采购活动以我公司的名义处理一切与之有关的事务。 </w:t>
      </w:r>
    </w:p>
    <w:p w14:paraId="69C57A31">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被授权人（供应商授权代表）无转委托权限。 </w:t>
      </w:r>
    </w:p>
    <w:p w14:paraId="793B6D31">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page">
                  <wp:posOffset>1252855</wp:posOffset>
                </wp:positionH>
                <wp:positionV relativeFrom="paragraph">
                  <wp:posOffset>662940</wp:posOffset>
                </wp:positionV>
                <wp:extent cx="67310" cy="134620"/>
                <wp:effectExtent l="0" t="0" r="0" b="0"/>
                <wp:wrapNone/>
                <wp:docPr id="1" name="文本框 10"/>
                <wp:cNvGraphicFramePr/>
                <a:graphic xmlns:a="http://schemas.openxmlformats.org/drawingml/2006/main">
                  <a:graphicData uri="http://schemas.microsoft.com/office/word/2010/wordprocessingShape">
                    <wps:wsp>
                      <wps:cNvSpPr txBox="1"/>
                      <wps:spPr>
                        <a:xfrm>
                          <a:off x="0" y="0"/>
                          <a:ext cx="67310" cy="134620"/>
                        </a:xfrm>
                        <a:prstGeom prst="rect">
                          <a:avLst/>
                        </a:prstGeom>
                        <a:noFill/>
                        <a:ln>
                          <a:noFill/>
                        </a:ln>
                      </wps:spPr>
                      <wps:txbx>
                        <w:txbxContent>
                          <w:p w14:paraId="26A55724">
                            <w:pPr>
                              <w:pStyle w:val="3"/>
                              <w:spacing w:line="211" w:lineRule="exact"/>
                            </w:pPr>
                            <w:r>
                              <w:t xml:space="preserve"> </w:t>
                            </w:r>
                          </w:p>
                        </w:txbxContent>
                      </wps:txbx>
                      <wps:bodyPr wrap="square" lIns="0" tIns="0" rIns="0" bIns="0" upright="1"/>
                    </wps:wsp>
                  </a:graphicData>
                </a:graphic>
              </wp:anchor>
            </w:drawing>
          </mc:Choice>
          <mc:Fallback>
            <w:pict>
              <v:shape id="文本框 10" o:spid="_x0000_s1026" o:spt="202" type="#_x0000_t202" style="position:absolute;left:0pt;margin-left:98.65pt;margin-top:52.2pt;height:10.6pt;width:5.3pt;mso-position-horizontal-relative:page;z-index:-251657216;mso-width-relative:page;mso-height-relative:page;" filled="f" stroked="f" coordsize="21600,21600" o:gfxdata="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BFAy+jZAAAACwEAAA8AAAAAAAAAAQAgAAAAIgAAAGRycy9kb3ducmV2&#10;LnhtbFBLAQIUABQAAAAIAIdO4kDUAWR7wgEAAH8DAAAOAAAAAAAAAAEAIAAAACgBAABkcnMvZTJv&#10;RG9jLnhtbFBLBQYAAAAABgAGAFkBAABcBQAAAAA=&#10;">
                <v:fill on="f" focussize="0,0"/>
                <v:stroke on="f"/>
                <v:imagedata o:title=""/>
                <o:lock v:ext="edit" aspectratio="f"/>
                <v:textbox inset="0mm,0mm,0mm,0mm">
                  <w:txbxContent>
                    <w:p w14:paraId="26A55724">
                      <w:pPr>
                        <w:pStyle w:val="3"/>
                        <w:spacing w:line="211" w:lineRule="exact"/>
                      </w:pPr>
                      <w:r>
                        <w:t xml:space="preserve"> </w:t>
                      </w:r>
                    </w:p>
                  </w:txbxContent>
                </v:textbox>
              </v:shape>
            </w:pict>
          </mc:Fallback>
        </mc:AlternateContent>
      </w:r>
      <w:r>
        <w:rPr>
          <w:rFonts w:hint="eastAsia" w:ascii="宋体" w:hAnsi="宋体" w:eastAsia="宋体" w:cs="宋体"/>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2336" behindDoc="1" locked="0" layoutInCell="1" allowOverlap="1">
                <wp:simplePos x="0" y="0"/>
                <wp:positionH relativeFrom="page">
                  <wp:posOffset>3604895</wp:posOffset>
                </wp:positionH>
                <wp:positionV relativeFrom="paragraph">
                  <wp:posOffset>568960</wp:posOffset>
                </wp:positionV>
                <wp:extent cx="2723515" cy="1511300"/>
                <wp:effectExtent l="4445" t="4445" r="13970" b="6350"/>
                <wp:wrapNone/>
                <wp:docPr id="6" name="文本框 11"/>
                <wp:cNvGraphicFramePr/>
                <a:graphic xmlns:a="http://schemas.openxmlformats.org/drawingml/2006/main">
                  <a:graphicData uri="http://schemas.microsoft.com/office/word/2010/wordprocessingShape">
                    <wps:wsp>
                      <wps:cNvSpPr txBox="1"/>
                      <wps:spPr>
                        <a:xfrm>
                          <a:off x="0" y="0"/>
                          <a:ext cx="2723515" cy="1511300"/>
                        </a:xfrm>
                        <a:prstGeom prst="rect">
                          <a:avLst/>
                        </a:prstGeom>
                        <a:noFill/>
                        <a:ln w="9525" cap="flat" cmpd="sng">
                          <a:solidFill>
                            <a:srgbClr val="000000"/>
                          </a:solidFill>
                          <a:prstDash val="solid"/>
                          <a:miter/>
                          <a:headEnd type="none" w="med" len="med"/>
                          <a:tailEnd type="none" w="med" len="med"/>
                        </a:ln>
                      </wps:spPr>
                      <wps:txbx>
                        <w:txbxContent>
                          <w:p w14:paraId="7E42F420">
                            <w:pPr>
                              <w:pStyle w:val="3"/>
                              <w:rPr>
                                <w:sz w:val="20"/>
                              </w:rPr>
                            </w:pPr>
                          </w:p>
                          <w:p w14:paraId="3DE2F53B">
                            <w:pPr>
                              <w:pStyle w:val="3"/>
                              <w:rPr>
                                <w:sz w:val="20"/>
                              </w:rPr>
                            </w:pPr>
                          </w:p>
                          <w:p w14:paraId="2BF72B5B">
                            <w:pPr>
                              <w:pStyle w:val="3"/>
                              <w:spacing w:before="1"/>
                              <w:rPr>
                                <w:sz w:val="16"/>
                              </w:rPr>
                            </w:pPr>
                          </w:p>
                          <w:p w14:paraId="41A57A0B">
                            <w:pPr>
                              <w:pStyle w:val="3"/>
                              <w:spacing w:line="278" w:lineRule="auto"/>
                              <w:ind w:left="1091" w:right="1498" w:firstLine="314"/>
                            </w:pPr>
                            <w:r>
                              <w:rPr>
                                <w:spacing w:val="-1"/>
                              </w:rPr>
                              <w:t xml:space="preserve">法定代表人  </w:t>
                            </w:r>
                            <w:r>
                              <w:rPr>
                                <w:spacing w:val="-5"/>
                              </w:rPr>
                              <w:t>居民身份证复印件</w:t>
                            </w:r>
                          </w:p>
                          <w:p w14:paraId="0C870E7F">
                            <w:pPr>
                              <w:pStyle w:val="3"/>
                              <w:spacing w:before="4"/>
                              <w:rPr>
                                <w:sz w:val="24"/>
                              </w:rPr>
                            </w:pPr>
                          </w:p>
                          <w:p w14:paraId="29EAF77B">
                            <w:pPr>
                              <w:pStyle w:val="3"/>
                              <w:spacing w:before="1"/>
                              <w:ind w:left="1405"/>
                            </w:pPr>
                            <w:r>
                              <w:t>（反面）</w:t>
                            </w:r>
                          </w:p>
                        </w:txbxContent>
                      </wps:txbx>
                      <wps:bodyPr wrap="square" lIns="0" tIns="0" rIns="0" bIns="0" upright="1"/>
                    </wps:wsp>
                  </a:graphicData>
                </a:graphic>
              </wp:anchor>
            </w:drawing>
          </mc:Choice>
          <mc:Fallback>
            <w:pict>
              <v:shape id="文本框 11" o:spid="_x0000_s1026" o:spt="202" type="#_x0000_t202" style="position:absolute;left:0pt;margin-left:283.85pt;margin-top:44.8pt;height:119pt;width:214.45pt;mso-position-horizontal-relative:page;z-index:-251654144;mso-width-relative:page;mso-height-relative:page;" filled="f" stroked="t" coordsize="21600,21600" o:gfxdata="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1UC1l&#10;2gAAAAoBAAAPAAAAAAAAAAEAIAAAACIAAABkcnMvZG93bnJldi54bWxQSwECFAAUAAAACACHTuJA&#10;1sVD0x8CAABBBAAADgAAAAAAAAABACAAAAApAQAAZHJzL2Uyb0RvYy54bWxQSwUGAAAAAAYABgBZ&#10;AQAAugUAAAAA&#10;">
                <v:fill on="f" focussize="0,0"/>
                <v:stroke color="#000000" joinstyle="miter"/>
                <v:imagedata o:title=""/>
                <o:lock v:ext="edit" aspectratio="f"/>
                <v:textbox inset="0mm,0mm,0mm,0mm">
                  <w:txbxContent>
                    <w:p w14:paraId="7E42F420">
                      <w:pPr>
                        <w:pStyle w:val="3"/>
                        <w:rPr>
                          <w:sz w:val="20"/>
                        </w:rPr>
                      </w:pPr>
                    </w:p>
                    <w:p w14:paraId="3DE2F53B">
                      <w:pPr>
                        <w:pStyle w:val="3"/>
                        <w:rPr>
                          <w:sz w:val="20"/>
                        </w:rPr>
                      </w:pPr>
                    </w:p>
                    <w:p w14:paraId="2BF72B5B">
                      <w:pPr>
                        <w:pStyle w:val="3"/>
                        <w:spacing w:before="1"/>
                        <w:rPr>
                          <w:sz w:val="16"/>
                        </w:rPr>
                      </w:pPr>
                    </w:p>
                    <w:p w14:paraId="41A57A0B">
                      <w:pPr>
                        <w:pStyle w:val="3"/>
                        <w:spacing w:line="278" w:lineRule="auto"/>
                        <w:ind w:left="1091" w:right="1498" w:firstLine="314"/>
                      </w:pPr>
                      <w:r>
                        <w:rPr>
                          <w:spacing w:val="-1"/>
                        </w:rPr>
                        <w:t xml:space="preserve">法定代表人  </w:t>
                      </w:r>
                      <w:r>
                        <w:rPr>
                          <w:spacing w:val="-5"/>
                        </w:rPr>
                        <w:t>居民身份证复印件</w:t>
                      </w:r>
                    </w:p>
                    <w:p w14:paraId="0C870E7F">
                      <w:pPr>
                        <w:pStyle w:val="3"/>
                        <w:spacing w:before="4"/>
                        <w:rPr>
                          <w:sz w:val="24"/>
                        </w:rPr>
                      </w:pPr>
                    </w:p>
                    <w:p w14:paraId="29EAF77B">
                      <w:pPr>
                        <w:pStyle w:val="3"/>
                        <w:spacing w:before="1"/>
                        <w:ind w:left="1405"/>
                      </w:pPr>
                      <w:r>
                        <w:t>（反面）</w:t>
                      </w:r>
                    </w:p>
                  </w:txbxContent>
                </v:textbox>
              </v:shape>
            </w:pict>
          </mc:Fallback>
        </mc:AlternateContent>
      </w:r>
      <w:r>
        <w:rPr>
          <w:rFonts w:hint="eastAsia" w:ascii="宋体" w:hAnsi="宋体" w:eastAsia="宋体" w:cs="宋体"/>
          <w:color w:val="000000" w:themeColor="text1"/>
          <w:sz w:val="24"/>
          <w:szCs w:val="24"/>
          <w:highlight w:val="none"/>
          <w14:textFill>
            <w14:solidFill>
              <w14:schemeClr w14:val="tx1"/>
            </w14:solidFill>
          </w14:textFill>
        </w:rPr>
        <w:t>本授权书自法定代表人签字之日起生效，特此声明。</w:t>
      </w:r>
    </w:p>
    <w:p w14:paraId="7CE092EF">
      <w:pPr>
        <w:spacing w:line="4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mc:AlternateContent>
          <mc:Choice Requires="wpg">
            <w:drawing>
              <wp:anchor distT="0" distB="0" distL="114300" distR="114300" simplePos="0" relativeHeight="251661312" behindDoc="1" locked="0" layoutInCell="1" allowOverlap="1">
                <wp:simplePos x="0" y="0"/>
                <wp:positionH relativeFrom="page">
                  <wp:posOffset>789940</wp:posOffset>
                </wp:positionH>
                <wp:positionV relativeFrom="paragraph">
                  <wp:posOffset>274955</wp:posOffset>
                </wp:positionV>
                <wp:extent cx="2724150" cy="1539240"/>
                <wp:effectExtent l="0" t="635" r="7620" b="3810"/>
                <wp:wrapNone/>
                <wp:docPr id="5" name="组合 12"/>
                <wp:cNvGraphicFramePr/>
                <a:graphic xmlns:a="http://schemas.openxmlformats.org/drawingml/2006/main">
                  <a:graphicData uri="http://schemas.microsoft.com/office/word/2010/wordprocessingGroup">
                    <wpg:wgp>
                      <wpg:cNvGrpSpPr/>
                      <wpg:grpSpPr>
                        <a:xfrm>
                          <a:off x="0" y="0"/>
                          <a:ext cx="2724150" cy="1539240"/>
                          <a:chOff x="1214" y="889"/>
                          <a:chExt cx="4290" cy="2769"/>
                        </a:xfrm>
                      </wpg:grpSpPr>
                      <wps:wsp>
                        <wps:cNvPr id="3" name="矩形 13"/>
                        <wps:cNvSpPr/>
                        <wps:spPr>
                          <a:xfrm>
                            <a:off x="1222" y="896"/>
                            <a:ext cx="4275" cy="2754"/>
                          </a:xfrm>
                          <a:prstGeom prst="rect">
                            <a:avLst/>
                          </a:prstGeom>
                          <a:solidFill>
                            <a:srgbClr val="FFFFFF"/>
                          </a:solidFill>
                          <a:ln>
                            <a:noFill/>
                          </a:ln>
                        </wps:spPr>
                        <wps:bodyPr wrap="square" upright="1"/>
                      </wps:wsp>
                      <wps:wsp>
                        <wps:cNvPr id="4" name="文本框 14"/>
                        <wps:cNvSpPr txBox="1"/>
                        <wps:spPr>
                          <a:xfrm>
                            <a:off x="1222" y="896"/>
                            <a:ext cx="4275" cy="2754"/>
                          </a:xfrm>
                          <a:prstGeom prst="rect">
                            <a:avLst/>
                          </a:prstGeom>
                          <a:noFill/>
                          <a:ln w="9525" cap="flat" cmpd="sng">
                            <a:solidFill>
                              <a:srgbClr val="000000"/>
                            </a:solidFill>
                            <a:prstDash val="solid"/>
                            <a:miter/>
                            <a:headEnd type="none" w="med" len="med"/>
                            <a:tailEnd type="none" w="med" len="med"/>
                          </a:ln>
                        </wps:spPr>
                        <wps:txbx>
                          <w:txbxContent>
                            <w:p w14:paraId="0BE4187E">
                              <w:pPr>
                                <w:rPr>
                                  <w:sz w:val="20"/>
                                </w:rPr>
                              </w:pPr>
                            </w:p>
                            <w:p w14:paraId="7079F9EE">
                              <w:pPr>
                                <w:rPr>
                                  <w:sz w:val="20"/>
                                </w:rPr>
                              </w:pPr>
                            </w:p>
                            <w:p w14:paraId="0D104A0E">
                              <w:pPr>
                                <w:spacing w:before="1"/>
                                <w:rPr>
                                  <w:sz w:val="16"/>
                                </w:rPr>
                              </w:pPr>
                            </w:p>
                            <w:p w14:paraId="4D0854A4">
                              <w:pPr>
                                <w:spacing w:line="278" w:lineRule="auto"/>
                                <w:ind w:left="1194" w:right="1380" w:firstLine="314"/>
                                <w:rPr>
                                  <w:sz w:val="21"/>
                                </w:rPr>
                              </w:pPr>
                              <w:r>
                                <w:rPr>
                                  <w:spacing w:val="-1"/>
                                  <w:sz w:val="21"/>
                                </w:rPr>
                                <w:t xml:space="preserve">法定代表人  </w:t>
                              </w:r>
                              <w:r>
                                <w:rPr>
                                  <w:spacing w:val="-5"/>
                                  <w:sz w:val="21"/>
                                </w:rPr>
                                <w:t>居民身份证复印件</w:t>
                              </w:r>
                            </w:p>
                            <w:p w14:paraId="5F596FD1">
                              <w:pPr>
                                <w:spacing w:before="4"/>
                                <w:rPr>
                                  <w:sz w:val="24"/>
                                </w:rPr>
                              </w:pPr>
                            </w:p>
                            <w:p w14:paraId="041505CE">
                              <w:pPr>
                                <w:spacing w:before="1"/>
                                <w:ind w:left="1491" w:right="1888"/>
                                <w:jc w:val="center"/>
                                <w:rPr>
                                  <w:sz w:val="21"/>
                                </w:rPr>
                              </w:pPr>
                              <w:r>
                                <w:rPr>
                                  <w:sz w:val="21"/>
                                </w:rPr>
                                <w:t>（</w:t>
                              </w:r>
                              <w:r>
                                <w:rPr>
                                  <w:spacing w:val="-2"/>
                                  <w:sz w:val="21"/>
                                </w:rPr>
                                <w:t>正面</w:t>
                              </w:r>
                              <w:r>
                                <w:rPr>
                                  <w:sz w:val="21"/>
                                </w:rPr>
                                <w:t>）</w:t>
                              </w:r>
                            </w:p>
                          </w:txbxContent>
                        </wps:txbx>
                        <wps:bodyPr wrap="square" lIns="0" tIns="0" rIns="0" bIns="0" upright="1"/>
                      </wps:wsp>
                    </wpg:wgp>
                  </a:graphicData>
                </a:graphic>
              </wp:anchor>
            </w:drawing>
          </mc:Choice>
          <mc:Fallback>
            <w:pict>
              <v:group id="组合 12" o:spid="_x0000_s1026" o:spt="203" style="position:absolute;left:0pt;margin-left:62.2pt;margin-top:21.65pt;height:121.2pt;width:214.5pt;mso-position-horizontal-relative:page;z-index:-251655168;mso-width-relative:page;mso-height-relative:page;" coordorigin="1214,889" coordsize="4290,2769" o:gfxdata="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ShMiwdkAAAAKAQAADwAAAAAAAAABACAAAAAiAAAAZHJzL2Rvd25yZXYueG1sUEsBAhQAFAAAAAgA&#10;h07iQMWGbXTPAgAAAQcAAA4AAAAAAAAAAQAgAAAAKAEAAGRycy9lMm9Eb2MueG1sUEsFBgAAAAAG&#10;AAYAWQEAAGkGAAAAAA==&#10;">
                <o:lock v:ext="edit" aspectratio="f"/>
                <v:rect id="矩形 13" o:spid="_x0000_s1026" o:spt="1" style="position:absolute;left:1222;top:896;height:2754;width:4275;" fillcolor="#FFFFFF" filled="t" stroked="f" coordsize="21600,21600" o:gfxdata="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0kXOvQAA&#10;ANoAAAAPAAAAAAAAAAEAIAAAACIAAABkcnMvZG93bnJldi54bWxQSwECFAAUAAAACACHTuJAMy8F&#10;njsAAAA5AAAAEAAAAAAAAAABACAAAAAMAQAAZHJzL3NoYXBleG1sLnhtbFBLBQYAAAAABgAGAFsB&#10;AAC2AwAAAAA=&#10;">
                  <v:fill on="t" focussize="0,0"/>
                  <v:stroke on="f"/>
                  <v:imagedata o:title=""/>
                  <o:lock v:ext="edit" aspectratio="f"/>
                </v:rect>
                <v:shape id="文本框 14" o:spid="_x0000_s1026" o:spt="202" type="#_x0000_t202" style="position:absolute;left:1222;top:896;height:2754;width:4275;" filled="f" stroked="t" coordsize="21600,21600" o:gfxdata="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ZjblvQAA&#10;ANoAAAAPAAAAAAAAAAEAIAAAACIAAABkcnMvZG93bnJldi54bWxQSwECFAAUAAAACACHTuJAMy8F&#10;njsAAAA5AAAAEAAAAAAAAAABACAAAAAMAQAAZHJzL3NoYXBleG1sLnhtbFBLBQYAAAAABgAGAFsB&#10;AAC2AwAAAAA=&#10;">
                  <v:fill on="f" focussize="0,0"/>
                  <v:stroke color="#000000" joinstyle="miter"/>
                  <v:imagedata o:title=""/>
                  <o:lock v:ext="edit" aspectratio="f"/>
                  <v:textbox inset="0mm,0mm,0mm,0mm">
                    <w:txbxContent>
                      <w:p w14:paraId="0BE4187E">
                        <w:pPr>
                          <w:rPr>
                            <w:sz w:val="20"/>
                          </w:rPr>
                        </w:pPr>
                      </w:p>
                      <w:p w14:paraId="7079F9EE">
                        <w:pPr>
                          <w:rPr>
                            <w:sz w:val="20"/>
                          </w:rPr>
                        </w:pPr>
                      </w:p>
                      <w:p w14:paraId="0D104A0E">
                        <w:pPr>
                          <w:spacing w:before="1"/>
                          <w:rPr>
                            <w:sz w:val="16"/>
                          </w:rPr>
                        </w:pPr>
                      </w:p>
                      <w:p w14:paraId="4D0854A4">
                        <w:pPr>
                          <w:spacing w:line="278" w:lineRule="auto"/>
                          <w:ind w:left="1194" w:right="1380" w:firstLine="314"/>
                          <w:rPr>
                            <w:sz w:val="21"/>
                          </w:rPr>
                        </w:pPr>
                        <w:r>
                          <w:rPr>
                            <w:spacing w:val="-1"/>
                            <w:sz w:val="21"/>
                          </w:rPr>
                          <w:t xml:space="preserve">法定代表人  </w:t>
                        </w:r>
                        <w:r>
                          <w:rPr>
                            <w:spacing w:val="-5"/>
                            <w:sz w:val="21"/>
                          </w:rPr>
                          <w:t>居民身份证复印件</w:t>
                        </w:r>
                      </w:p>
                      <w:p w14:paraId="5F596FD1">
                        <w:pPr>
                          <w:spacing w:before="4"/>
                          <w:rPr>
                            <w:sz w:val="24"/>
                          </w:rPr>
                        </w:pPr>
                      </w:p>
                      <w:p w14:paraId="041505CE">
                        <w:pPr>
                          <w:spacing w:before="1"/>
                          <w:ind w:left="1491" w:right="1888"/>
                          <w:jc w:val="center"/>
                          <w:rPr>
                            <w:sz w:val="21"/>
                          </w:rPr>
                        </w:pPr>
                        <w:r>
                          <w:rPr>
                            <w:sz w:val="21"/>
                          </w:rPr>
                          <w:t>（</w:t>
                        </w:r>
                        <w:r>
                          <w:rPr>
                            <w:spacing w:val="-2"/>
                            <w:sz w:val="21"/>
                          </w:rPr>
                          <w:t>正面</w:t>
                        </w:r>
                        <w:r>
                          <w:rPr>
                            <w:sz w:val="21"/>
                          </w:rPr>
                          <w:t>）</w:t>
                        </w:r>
                      </w:p>
                    </w:txbxContent>
                  </v:textbox>
                </v:shape>
              </v:group>
            </w:pict>
          </mc:Fallback>
        </mc:AlternateContent>
      </w:r>
      <w:r>
        <w:rPr>
          <w:rFonts w:hint="eastAsia" w:ascii="宋体" w:hAnsi="宋体" w:eastAsia="宋体" w:cs="宋体"/>
          <w:b/>
          <w:bCs/>
          <w:color w:val="000000" w:themeColor="text1"/>
          <w:sz w:val="24"/>
          <w:szCs w:val="24"/>
          <w:highlight w:val="none"/>
          <w14:textFill>
            <w14:solidFill>
              <w14:schemeClr w14:val="tx1"/>
            </w14:solidFill>
          </w14:textFill>
        </w:rPr>
        <w:t>附：法定代表人身份证复印件</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3CA82DB6">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0005558B">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2B6DF542">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2F95B351">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5758B26B">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44C1D353">
      <w:pPr>
        <w:spacing w:line="440" w:lineRule="exact"/>
        <w:rPr>
          <w:rFonts w:hint="eastAsia" w:ascii="宋体" w:hAnsi="宋体" w:eastAsia="宋体" w:cs="宋体"/>
          <w:color w:val="000000" w:themeColor="text1"/>
          <w:sz w:val="24"/>
          <w:szCs w:val="24"/>
          <w:highlight w:val="none"/>
          <w14:textFill>
            <w14:solidFill>
              <w14:schemeClr w14:val="tx1"/>
            </w14:solidFill>
          </w14:textFill>
        </w:rPr>
      </w:pPr>
    </w:p>
    <w:p w14:paraId="16F93FBE">
      <w:pPr>
        <w:spacing w:line="4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mc:AlternateContent>
          <mc:Choice Requires="wpg">
            <w:drawing>
              <wp:anchor distT="0" distB="0" distL="114300" distR="114300" simplePos="0" relativeHeight="251663360" behindDoc="1" locked="0" layoutInCell="1" allowOverlap="1">
                <wp:simplePos x="0" y="0"/>
                <wp:positionH relativeFrom="page">
                  <wp:posOffset>695960</wp:posOffset>
                </wp:positionH>
                <wp:positionV relativeFrom="paragraph">
                  <wp:posOffset>293370</wp:posOffset>
                </wp:positionV>
                <wp:extent cx="2834005" cy="1572260"/>
                <wp:effectExtent l="635" t="635" r="4445" b="3175"/>
                <wp:wrapTopAndBottom/>
                <wp:docPr id="9" name="组合 15"/>
                <wp:cNvGraphicFramePr/>
                <a:graphic xmlns:a="http://schemas.openxmlformats.org/drawingml/2006/main">
                  <a:graphicData uri="http://schemas.microsoft.com/office/word/2010/wordprocessingGroup">
                    <wpg:wgp>
                      <wpg:cNvGrpSpPr/>
                      <wpg:grpSpPr>
                        <a:xfrm>
                          <a:off x="0" y="0"/>
                          <a:ext cx="2834005" cy="1572260"/>
                          <a:chOff x="1097" y="462"/>
                          <a:chExt cx="4463" cy="2790"/>
                        </a:xfrm>
                      </wpg:grpSpPr>
                      <wps:wsp>
                        <wps:cNvPr id="7" name="矩形 16"/>
                        <wps:cNvSpPr/>
                        <wps:spPr>
                          <a:xfrm>
                            <a:off x="1104" y="469"/>
                            <a:ext cx="4448" cy="2775"/>
                          </a:xfrm>
                          <a:prstGeom prst="rect">
                            <a:avLst/>
                          </a:prstGeom>
                          <a:solidFill>
                            <a:srgbClr val="FFFFFF"/>
                          </a:solidFill>
                          <a:ln>
                            <a:noFill/>
                          </a:ln>
                        </wps:spPr>
                        <wps:bodyPr wrap="square" upright="1"/>
                      </wps:wsp>
                      <wps:wsp>
                        <wps:cNvPr id="8" name="文本框 17"/>
                        <wps:cNvSpPr txBox="1"/>
                        <wps:spPr>
                          <a:xfrm>
                            <a:off x="1104" y="469"/>
                            <a:ext cx="4448" cy="2775"/>
                          </a:xfrm>
                          <a:prstGeom prst="rect">
                            <a:avLst/>
                          </a:prstGeom>
                          <a:noFill/>
                          <a:ln w="9525" cap="flat" cmpd="sng">
                            <a:solidFill>
                              <a:srgbClr val="000000"/>
                            </a:solidFill>
                            <a:prstDash val="solid"/>
                            <a:miter/>
                            <a:headEnd type="none" w="med" len="med"/>
                            <a:tailEnd type="none" w="med" len="med"/>
                          </a:ln>
                        </wps:spPr>
                        <wps:txbx>
                          <w:txbxContent>
                            <w:p w14:paraId="142F51D6">
                              <w:pPr>
                                <w:rPr>
                                  <w:rFonts w:ascii="微软雅黑"/>
                                  <w:b/>
                                  <w:sz w:val="20"/>
                                </w:rPr>
                              </w:pPr>
                            </w:p>
                            <w:p w14:paraId="7FAAB65C">
                              <w:pPr>
                                <w:spacing w:before="1"/>
                                <w:rPr>
                                  <w:rFonts w:ascii="微软雅黑"/>
                                  <w:b/>
                                  <w:sz w:val="19"/>
                                </w:rPr>
                              </w:pPr>
                            </w:p>
                            <w:p w14:paraId="554C1DFE">
                              <w:pPr>
                                <w:spacing w:line="278" w:lineRule="auto"/>
                                <w:ind w:left="1166" w:right="1161"/>
                                <w:jc w:val="center"/>
                                <w:rPr>
                                  <w:sz w:val="21"/>
                                </w:rPr>
                              </w:pPr>
                              <w:r>
                                <w:rPr>
                                  <w:sz w:val="21"/>
                                </w:rPr>
                                <w:t>被授权人（授权代表） 居民身份证复印件</w:t>
                              </w:r>
                            </w:p>
                            <w:p w14:paraId="242C8A53">
                              <w:pPr>
                                <w:spacing w:before="16"/>
                                <w:rPr>
                                  <w:rFonts w:ascii="微软雅黑"/>
                                  <w:b/>
                                  <w:sz w:val="16"/>
                                </w:rPr>
                              </w:pPr>
                            </w:p>
                            <w:p w14:paraId="473550E6">
                              <w:pPr>
                                <w:spacing w:before="1"/>
                                <w:ind w:left="1161" w:right="1161"/>
                                <w:jc w:val="center"/>
                                <w:rPr>
                                  <w:sz w:val="21"/>
                                </w:rPr>
                              </w:pPr>
                              <w:r>
                                <w:rPr>
                                  <w:sz w:val="21"/>
                                </w:rPr>
                                <w:t>（正面）</w:t>
                              </w:r>
                            </w:p>
                          </w:txbxContent>
                        </wps:txbx>
                        <wps:bodyPr wrap="square" lIns="0" tIns="0" rIns="0" bIns="0" upright="1"/>
                      </wps:wsp>
                    </wpg:wgp>
                  </a:graphicData>
                </a:graphic>
              </wp:anchor>
            </w:drawing>
          </mc:Choice>
          <mc:Fallback>
            <w:pict>
              <v:group id="组合 15" o:spid="_x0000_s1026" o:spt="203" style="position:absolute;left:0pt;margin-left:54.8pt;margin-top:23.1pt;height:123.8pt;width:223.15pt;mso-position-horizontal-relative:page;mso-wrap-distance-bottom:0pt;mso-wrap-distance-top:0pt;z-index:-251653120;mso-width-relative:page;mso-height-relative:page;" coordorigin="1097,462" coordsize="4463,2790" o:gfxdata="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PbevwnaAAAACgEAAA8AAAAAAAAAAQAgAAAAIgAAAGRycy9kb3ducmV2LnhtbFBLAQIUABQA&#10;AAAIAIdO4kCVYS9F0gIAAAEHAAAOAAAAAAAAAAEAIAAAACkBAABkcnMvZTJvRG9jLnhtbFBLBQYA&#10;AAAABgAGAFkBAABtBgAAAAA=&#10;">
                <o:lock v:ext="edit" aspectratio="f"/>
                <v:rect id="矩形 16" o:spid="_x0000_s1026" o:spt="1" style="position:absolute;left:1104;top:469;height:2775;width:4448;" fillcolor="#FFFFFF" filled="t" stroked="f" coordsize="21600,21600" o:gfxdata="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pQ828AAAA&#10;2gAAAA8AAAAAAAAAAQAgAAAAIgAAAGRycy9kb3ducmV2LnhtbFBLAQIUABQAAAAIAIdO4kAzLwWe&#10;OwAAADkAAAAQAAAAAAAAAAEAIAAAAAsBAABkcnMvc2hhcGV4bWwueG1sUEsFBgAAAAAGAAYAWwEA&#10;ALUDAAAAAA==&#10;">
                  <v:fill on="t" focussize="0,0"/>
                  <v:stroke on="f"/>
                  <v:imagedata o:title=""/>
                  <o:lock v:ext="edit" aspectratio="f"/>
                </v:rect>
                <v:shape id="文本框 17" o:spid="_x0000_s1026" o:spt="202" type="#_x0000_t202" style="position:absolute;left:1104;top:469;height:2775;width:4448;" filled="f" stroked="t" coordsize="21600,21600" o:gfxdata="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Kzzg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142F51D6">
                        <w:pPr>
                          <w:rPr>
                            <w:rFonts w:ascii="微软雅黑"/>
                            <w:b/>
                            <w:sz w:val="20"/>
                          </w:rPr>
                        </w:pPr>
                      </w:p>
                      <w:p w14:paraId="7FAAB65C">
                        <w:pPr>
                          <w:spacing w:before="1"/>
                          <w:rPr>
                            <w:rFonts w:ascii="微软雅黑"/>
                            <w:b/>
                            <w:sz w:val="19"/>
                          </w:rPr>
                        </w:pPr>
                      </w:p>
                      <w:p w14:paraId="554C1DFE">
                        <w:pPr>
                          <w:spacing w:line="278" w:lineRule="auto"/>
                          <w:ind w:left="1166" w:right="1161"/>
                          <w:jc w:val="center"/>
                          <w:rPr>
                            <w:sz w:val="21"/>
                          </w:rPr>
                        </w:pPr>
                        <w:r>
                          <w:rPr>
                            <w:sz w:val="21"/>
                          </w:rPr>
                          <w:t>被授权人（授权代表） 居民身份证复印件</w:t>
                        </w:r>
                      </w:p>
                      <w:p w14:paraId="242C8A53">
                        <w:pPr>
                          <w:spacing w:before="16"/>
                          <w:rPr>
                            <w:rFonts w:ascii="微软雅黑"/>
                            <w:b/>
                            <w:sz w:val="16"/>
                          </w:rPr>
                        </w:pPr>
                      </w:p>
                      <w:p w14:paraId="473550E6">
                        <w:pPr>
                          <w:spacing w:before="1"/>
                          <w:ind w:left="1161" w:right="1161"/>
                          <w:jc w:val="center"/>
                          <w:rPr>
                            <w:sz w:val="21"/>
                          </w:rPr>
                        </w:pPr>
                        <w:r>
                          <w:rPr>
                            <w:sz w:val="21"/>
                          </w:rPr>
                          <w:t>（正面）</w:t>
                        </w:r>
                      </w:p>
                    </w:txbxContent>
                  </v:textbox>
                </v:shape>
                <w10:wrap type="topAndBottom"/>
              </v:group>
            </w:pict>
          </mc:Fallback>
        </mc:AlternateContent>
      </w:r>
      <w:r>
        <w:rPr>
          <w:rFonts w:hint="eastAsia" w:ascii="宋体" w:hAnsi="宋体" w:eastAsia="宋体" w:cs="宋体"/>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4384" behindDoc="1" locked="0" layoutInCell="1" allowOverlap="1">
                <wp:simplePos x="0" y="0"/>
                <wp:positionH relativeFrom="page">
                  <wp:posOffset>3603625</wp:posOffset>
                </wp:positionH>
                <wp:positionV relativeFrom="paragraph">
                  <wp:posOffset>297815</wp:posOffset>
                </wp:positionV>
                <wp:extent cx="2824480" cy="1591310"/>
                <wp:effectExtent l="4445" t="4445" r="10160" b="12700"/>
                <wp:wrapTopAndBottom/>
                <wp:docPr id="10" name="文本框 18"/>
                <wp:cNvGraphicFramePr/>
                <a:graphic xmlns:a="http://schemas.openxmlformats.org/drawingml/2006/main">
                  <a:graphicData uri="http://schemas.microsoft.com/office/word/2010/wordprocessingShape">
                    <wps:wsp>
                      <wps:cNvSpPr txBox="1"/>
                      <wps:spPr>
                        <a:xfrm>
                          <a:off x="0" y="0"/>
                          <a:ext cx="2824480" cy="1591310"/>
                        </a:xfrm>
                        <a:prstGeom prst="rect">
                          <a:avLst/>
                        </a:prstGeom>
                        <a:noFill/>
                        <a:ln w="9525" cap="flat" cmpd="sng">
                          <a:solidFill>
                            <a:srgbClr val="000000"/>
                          </a:solidFill>
                          <a:prstDash val="solid"/>
                          <a:miter/>
                          <a:headEnd type="none" w="med" len="med"/>
                          <a:tailEnd type="none" w="med" len="med"/>
                        </a:ln>
                      </wps:spPr>
                      <wps:txbx>
                        <w:txbxContent>
                          <w:p w14:paraId="1CF0620E">
                            <w:pPr>
                              <w:pStyle w:val="3"/>
                              <w:rPr>
                                <w:rFonts w:ascii="微软雅黑"/>
                                <w:b/>
                                <w:sz w:val="20"/>
                              </w:rPr>
                            </w:pPr>
                          </w:p>
                          <w:p w14:paraId="6D002D8D">
                            <w:pPr>
                              <w:pStyle w:val="3"/>
                              <w:spacing w:before="1"/>
                              <w:rPr>
                                <w:rFonts w:ascii="微软雅黑"/>
                                <w:b/>
                                <w:sz w:val="19"/>
                              </w:rPr>
                            </w:pPr>
                          </w:p>
                          <w:p w14:paraId="72FB7F5A">
                            <w:pPr>
                              <w:pStyle w:val="3"/>
                              <w:spacing w:line="278" w:lineRule="auto"/>
                              <w:ind w:left="1168" w:right="1159"/>
                              <w:jc w:val="center"/>
                            </w:pPr>
                            <w:r>
                              <w:t>被授权人（授权代表） 居民身份证复印件</w:t>
                            </w:r>
                          </w:p>
                          <w:p w14:paraId="6846E9AF">
                            <w:pPr>
                              <w:pStyle w:val="3"/>
                              <w:spacing w:before="16"/>
                              <w:rPr>
                                <w:rFonts w:ascii="微软雅黑"/>
                                <w:b/>
                                <w:sz w:val="16"/>
                              </w:rPr>
                            </w:pPr>
                          </w:p>
                          <w:p w14:paraId="52DB65C2">
                            <w:pPr>
                              <w:pStyle w:val="3"/>
                              <w:spacing w:before="1"/>
                              <w:ind w:left="1165" w:right="1161"/>
                              <w:jc w:val="center"/>
                            </w:pPr>
                            <w:r>
                              <w:t>（反面）</w:t>
                            </w:r>
                          </w:p>
                        </w:txbxContent>
                      </wps:txbx>
                      <wps:bodyPr wrap="square" lIns="0" tIns="0" rIns="0" bIns="0" upright="1"/>
                    </wps:wsp>
                  </a:graphicData>
                </a:graphic>
              </wp:anchor>
            </w:drawing>
          </mc:Choice>
          <mc:Fallback>
            <w:pict>
              <v:shape id="文本框 18" o:spid="_x0000_s1026" o:spt="202" type="#_x0000_t202" style="position:absolute;left:0pt;margin-left:283.75pt;margin-top:23.45pt;height:125.3pt;width:222.4pt;mso-position-horizontal-relative:page;mso-wrap-distance-bottom:0pt;mso-wrap-distance-top:0pt;z-index:-251652096;mso-width-relative:page;mso-height-relative:page;" filled="f" stroked="t" coordsize="21600,21600" o:gfxdata="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ecGnDb&#10;AAAACwEAAA8AAAAAAAAAAQAgAAAAIgAAAGRycy9kb3ducmV2LnhtbFBLAQIUABQAAAAIAIdO4kAj&#10;eSW7HQIAAEIEAAAOAAAAAAAAAAEAIAAAACoBAABkcnMvZTJvRG9jLnhtbFBLBQYAAAAABgAGAFkB&#10;AAC5BQAAAAA=&#10;">
                <v:fill on="f" focussize="0,0"/>
                <v:stroke color="#000000" joinstyle="miter"/>
                <v:imagedata o:title=""/>
                <o:lock v:ext="edit" aspectratio="f"/>
                <v:textbox inset="0mm,0mm,0mm,0mm">
                  <w:txbxContent>
                    <w:p w14:paraId="1CF0620E">
                      <w:pPr>
                        <w:pStyle w:val="3"/>
                        <w:rPr>
                          <w:rFonts w:ascii="微软雅黑"/>
                          <w:b/>
                          <w:sz w:val="20"/>
                        </w:rPr>
                      </w:pPr>
                    </w:p>
                    <w:p w14:paraId="6D002D8D">
                      <w:pPr>
                        <w:pStyle w:val="3"/>
                        <w:spacing w:before="1"/>
                        <w:rPr>
                          <w:rFonts w:ascii="微软雅黑"/>
                          <w:b/>
                          <w:sz w:val="19"/>
                        </w:rPr>
                      </w:pPr>
                    </w:p>
                    <w:p w14:paraId="72FB7F5A">
                      <w:pPr>
                        <w:pStyle w:val="3"/>
                        <w:spacing w:line="278" w:lineRule="auto"/>
                        <w:ind w:left="1168" w:right="1159"/>
                        <w:jc w:val="center"/>
                      </w:pPr>
                      <w:r>
                        <w:t>被授权人（授权代表） 居民身份证复印件</w:t>
                      </w:r>
                    </w:p>
                    <w:p w14:paraId="6846E9AF">
                      <w:pPr>
                        <w:pStyle w:val="3"/>
                        <w:spacing w:before="16"/>
                        <w:rPr>
                          <w:rFonts w:ascii="微软雅黑"/>
                          <w:b/>
                          <w:sz w:val="16"/>
                        </w:rPr>
                      </w:pPr>
                    </w:p>
                    <w:p w14:paraId="52DB65C2">
                      <w:pPr>
                        <w:pStyle w:val="3"/>
                        <w:spacing w:before="1"/>
                        <w:ind w:left="1165" w:right="1161"/>
                        <w:jc w:val="center"/>
                      </w:pPr>
                      <w:r>
                        <w:t>（反面）</w:t>
                      </w:r>
                    </w:p>
                  </w:txbxContent>
                </v:textbox>
                <w10:wrap type="topAndBottom"/>
              </v:shape>
            </w:pict>
          </mc:Fallback>
        </mc:AlternateContent>
      </w:r>
      <w:r>
        <w:rPr>
          <w:rFonts w:hint="eastAsia" w:ascii="宋体" w:hAnsi="宋体" w:eastAsia="宋体" w:cs="宋体"/>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page">
                  <wp:posOffset>718820</wp:posOffset>
                </wp:positionH>
                <wp:positionV relativeFrom="paragraph">
                  <wp:posOffset>360680</wp:posOffset>
                </wp:positionV>
                <wp:extent cx="67310" cy="1620520"/>
                <wp:effectExtent l="0" t="0" r="0" b="0"/>
                <wp:wrapNone/>
                <wp:docPr id="2" name="文本框 19"/>
                <wp:cNvGraphicFramePr/>
                <a:graphic xmlns:a="http://schemas.openxmlformats.org/drawingml/2006/main">
                  <a:graphicData uri="http://schemas.microsoft.com/office/word/2010/wordprocessingShape">
                    <wps:wsp>
                      <wps:cNvSpPr txBox="1"/>
                      <wps:spPr>
                        <a:xfrm>
                          <a:off x="0" y="0"/>
                          <a:ext cx="67310" cy="1620520"/>
                        </a:xfrm>
                        <a:prstGeom prst="rect">
                          <a:avLst/>
                        </a:prstGeom>
                        <a:noFill/>
                        <a:ln>
                          <a:noFill/>
                        </a:ln>
                      </wps:spPr>
                      <wps:txbx>
                        <w:txbxContent>
                          <w:p w14:paraId="5E0377AA">
                            <w:pPr>
                              <w:pStyle w:val="3"/>
                              <w:spacing w:line="241" w:lineRule="exact"/>
                            </w:pPr>
                            <w:r>
                              <w:t xml:space="preserve"> </w:t>
                            </w:r>
                          </w:p>
                          <w:p w14:paraId="7CC9D1F2">
                            <w:pPr>
                              <w:pStyle w:val="3"/>
                              <w:spacing w:before="6"/>
                              <w:rPr>
                                <w:sz w:val="15"/>
                              </w:rPr>
                            </w:pPr>
                          </w:p>
                          <w:p w14:paraId="54FC7D4D">
                            <w:pPr>
                              <w:pStyle w:val="3"/>
                            </w:pPr>
                            <w:r>
                              <w:t xml:space="preserve"> </w:t>
                            </w:r>
                          </w:p>
                          <w:p w14:paraId="0445E26E">
                            <w:pPr>
                              <w:pStyle w:val="3"/>
                              <w:spacing w:before="7"/>
                              <w:rPr>
                                <w:sz w:val="15"/>
                              </w:rPr>
                            </w:pPr>
                          </w:p>
                          <w:p w14:paraId="0053AF92">
                            <w:pPr>
                              <w:pStyle w:val="3"/>
                            </w:pPr>
                            <w:r>
                              <w:t xml:space="preserve"> </w:t>
                            </w:r>
                          </w:p>
                          <w:p w14:paraId="18E2C092">
                            <w:pPr>
                              <w:pStyle w:val="3"/>
                              <w:spacing w:before="7"/>
                              <w:rPr>
                                <w:sz w:val="15"/>
                              </w:rPr>
                            </w:pPr>
                          </w:p>
                          <w:p w14:paraId="5CCF5B9F">
                            <w:pPr>
                              <w:pStyle w:val="3"/>
                            </w:pPr>
                            <w:r>
                              <w:t xml:space="preserve"> </w:t>
                            </w:r>
                          </w:p>
                          <w:p w14:paraId="60EEF583">
                            <w:pPr>
                              <w:pStyle w:val="3"/>
                              <w:spacing w:before="7"/>
                              <w:rPr>
                                <w:sz w:val="15"/>
                              </w:rPr>
                            </w:pPr>
                          </w:p>
                          <w:p w14:paraId="09BAD1DB">
                            <w:pPr>
                              <w:pStyle w:val="3"/>
                            </w:pPr>
                            <w:r>
                              <w:t xml:space="preserve"> </w:t>
                            </w:r>
                          </w:p>
                          <w:p w14:paraId="6397BF09">
                            <w:pPr>
                              <w:pStyle w:val="3"/>
                              <w:spacing w:before="6"/>
                              <w:rPr>
                                <w:sz w:val="15"/>
                              </w:rPr>
                            </w:pPr>
                          </w:p>
                          <w:p w14:paraId="33E834A0">
                            <w:pPr>
                              <w:pStyle w:val="3"/>
                              <w:spacing w:line="240" w:lineRule="exact"/>
                            </w:pPr>
                            <w:r>
                              <w:t xml:space="preserve"> </w:t>
                            </w:r>
                          </w:p>
                        </w:txbxContent>
                      </wps:txbx>
                      <wps:bodyPr wrap="square" lIns="0" tIns="0" rIns="0" bIns="0" upright="1"/>
                    </wps:wsp>
                  </a:graphicData>
                </a:graphic>
              </wp:anchor>
            </w:drawing>
          </mc:Choice>
          <mc:Fallback>
            <w:pict>
              <v:shape id="文本框 19" o:spid="_x0000_s1026" o:spt="202" type="#_x0000_t202" style="position:absolute;left:0pt;margin-left:56.6pt;margin-top:28.4pt;height:127.6pt;width:5.3pt;mso-position-horizontal-relative:page;z-index:-251656192;mso-width-relative:page;mso-height-relative:page;" filled="f" stroked="f" coordsize="21600,21600" o:gfxdata="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nlUMfXAAAACgEAAA8AAAAAAAAAAQAgAAAAIgAAAGRycy9kb3ducmV2&#10;LnhtbFBLAQIUABQAAAAIAIdO4kBJTrBcxAEAAIADAAAOAAAAAAAAAAEAIAAAACYBAABkcnMvZTJv&#10;RG9jLnhtbFBLBQYAAAAABgAGAFkBAABcBQAAAAA=&#10;">
                <v:fill on="f" focussize="0,0"/>
                <v:stroke on="f"/>
                <v:imagedata o:title=""/>
                <o:lock v:ext="edit" aspectratio="f"/>
                <v:textbox inset="0mm,0mm,0mm,0mm">
                  <w:txbxContent>
                    <w:p w14:paraId="5E0377AA">
                      <w:pPr>
                        <w:pStyle w:val="3"/>
                        <w:spacing w:line="241" w:lineRule="exact"/>
                      </w:pPr>
                      <w:r>
                        <w:t xml:space="preserve"> </w:t>
                      </w:r>
                    </w:p>
                    <w:p w14:paraId="7CC9D1F2">
                      <w:pPr>
                        <w:pStyle w:val="3"/>
                        <w:spacing w:before="6"/>
                        <w:rPr>
                          <w:sz w:val="15"/>
                        </w:rPr>
                      </w:pPr>
                    </w:p>
                    <w:p w14:paraId="54FC7D4D">
                      <w:pPr>
                        <w:pStyle w:val="3"/>
                      </w:pPr>
                      <w:r>
                        <w:t xml:space="preserve"> </w:t>
                      </w:r>
                    </w:p>
                    <w:p w14:paraId="0445E26E">
                      <w:pPr>
                        <w:pStyle w:val="3"/>
                        <w:spacing w:before="7"/>
                        <w:rPr>
                          <w:sz w:val="15"/>
                        </w:rPr>
                      </w:pPr>
                    </w:p>
                    <w:p w14:paraId="0053AF92">
                      <w:pPr>
                        <w:pStyle w:val="3"/>
                      </w:pPr>
                      <w:r>
                        <w:t xml:space="preserve"> </w:t>
                      </w:r>
                    </w:p>
                    <w:p w14:paraId="18E2C092">
                      <w:pPr>
                        <w:pStyle w:val="3"/>
                        <w:spacing w:before="7"/>
                        <w:rPr>
                          <w:sz w:val="15"/>
                        </w:rPr>
                      </w:pPr>
                    </w:p>
                    <w:p w14:paraId="5CCF5B9F">
                      <w:pPr>
                        <w:pStyle w:val="3"/>
                      </w:pPr>
                      <w:r>
                        <w:t xml:space="preserve"> </w:t>
                      </w:r>
                    </w:p>
                    <w:p w14:paraId="60EEF583">
                      <w:pPr>
                        <w:pStyle w:val="3"/>
                        <w:spacing w:before="7"/>
                        <w:rPr>
                          <w:sz w:val="15"/>
                        </w:rPr>
                      </w:pPr>
                    </w:p>
                    <w:p w14:paraId="09BAD1DB">
                      <w:pPr>
                        <w:pStyle w:val="3"/>
                      </w:pPr>
                      <w:r>
                        <w:t xml:space="preserve"> </w:t>
                      </w:r>
                    </w:p>
                    <w:p w14:paraId="6397BF09">
                      <w:pPr>
                        <w:pStyle w:val="3"/>
                        <w:spacing w:before="6"/>
                        <w:rPr>
                          <w:sz w:val="15"/>
                        </w:rPr>
                      </w:pPr>
                    </w:p>
                    <w:p w14:paraId="33E834A0">
                      <w:pPr>
                        <w:pStyle w:val="3"/>
                        <w:spacing w:line="240" w:lineRule="exact"/>
                      </w:pPr>
                      <w:r>
                        <w:t xml:space="preserve"> </w:t>
                      </w:r>
                    </w:p>
                  </w:txbxContent>
                </v:textbox>
              </v:shape>
            </w:pict>
          </mc:Fallback>
        </mc:AlternateContent>
      </w:r>
      <w:r>
        <w:rPr>
          <w:rFonts w:hint="eastAsia" w:ascii="宋体" w:hAnsi="宋体" w:eastAsia="宋体" w:cs="宋体"/>
          <w:color w:val="000000" w:themeColor="text1"/>
          <w:sz w:val="24"/>
          <w:szCs w:val="24"/>
          <w:highlight w:val="none"/>
          <w14:textFill>
            <w14:solidFill>
              <w14:schemeClr w14:val="tx1"/>
            </w14:solidFill>
          </w14:textFill>
        </w:rPr>
        <w:t xml:space="preserve">附：被授权代表人身份证复印件 </w:t>
      </w:r>
    </w:p>
    <w:p w14:paraId="3ADDF52E">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D1CD133">
      <w:pPr>
        <w:spacing w:line="440" w:lineRule="exact"/>
        <w:ind w:firstLine="480" w:firstLineChars="200"/>
        <w:rPr>
          <w:rFonts w:hint="eastAsia" w:ascii="宋体" w:hAnsi="宋体" w:eastAsia="宋体" w:cs="宋体"/>
          <w:color w:val="000000" w:themeColor="text1"/>
          <w:sz w:val="24"/>
          <w:szCs w:val="24"/>
          <w:highlight w:val="none"/>
          <w:u w:val="single"/>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法定代表人（签名或盖章）：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职务：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14:textFill>
            <w14:solidFill>
              <w14:schemeClr w14:val="tx1"/>
            </w14:solidFill>
          </w14:textFill>
        </w:rPr>
        <w:t xml:space="preserve">   </w:t>
      </w:r>
    </w:p>
    <w:p w14:paraId="5D201D9D">
      <w:pPr>
        <w:spacing w:line="44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被授权人（签名）：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职务：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D8101A4">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供应商名称（单位盖公章）：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00CFA609">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sectPr>
          <w:headerReference r:id="rId5" w:type="default"/>
          <w:pgSz w:w="11910" w:h="16840"/>
          <w:pgMar w:top="1984" w:right="1531" w:bottom="2098" w:left="1531" w:header="670" w:footer="1041" w:gutter="0"/>
          <w:cols w:space="720" w:num="1"/>
          <w:docGrid w:linePitch="1" w:charSpace="0"/>
        </w:sect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1289E359">
      <w:pPr>
        <w:pStyle w:val="97"/>
        <w:spacing w:before="145" w:beforeLines="50" w:after="145" w:afterLines="50" w:line="300" w:lineRule="auto"/>
        <w:ind w:left="0" w:leftChars="0" w:firstLine="0" w:firstLineChars="0"/>
        <w:rPr>
          <w:rFonts w:hint="eastAsia" w:ascii="宋体" w:hAnsi="宋体" w:eastAsia="宋体" w:cs="宋体"/>
          <w:color w:val="000000" w:themeColor="text1"/>
          <w:sz w:val="24"/>
          <w:szCs w:val="24"/>
          <w:highlight w:val="none"/>
          <w:u w:val="single"/>
          <w14:textFill>
            <w14:solidFill>
              <w14:schemeClr w14:val="tx1"/>
            </w14:solidFill>
          </w14:textFill>
        </w:rPr>
      </w:pPr>
    </w:p>
    <w:p w14:paraId="3CCAE35A">
      <w:pPr>
        <w:pStyle w:val="5"/>
        <w:pageBreakBefore w:val="0"/>
        <w:widowControl w:val="0"/>
        <w:kinsoku/>
        <w:wordWrap/>
        <w:overflowPunct/>
        <w:topLinePunct w:val="0"/>
        <w:autoSpaceDE/>
        <w:autoSpaceDN/>
        <w:bidi w:val="0"/>
        <w:snapToGrid/>
        <w:spacing w:before="145" w:beforeLines="50" w:after="145" w:afterLines="50" w:line="240" w:lineRule="auto"/>
        <w:jc w:val="left"/>
        <w:rPr>
          <w:rFonts w:hint="eastAsia" w:ascii="宋体" w:hAnsi="宋体" w:eastAsia="宋体" w:cs="宋体"/>
          <w:bCs w:val="0"/>
          <w:color w:val="000000" w:themeColor="text1"/>
          <w:sz w:val="32"/>
          <w:szCs w:val="32"/>
          <w:highlight w:val="none"/>
          <w14:textFill>
            <w14:solidFill>
              <w14:schemeClr w14:val="tx1"/>
            </w14:solidFill>
          </w14:textFill>
        </w:rPr>
      </w:pPr>
      <w:bookmarkStart w:id="245" w:name="_Toc534816646"/>
      <w:bookmarkStart w:id="246" w:name="_Toc534725617"/>
      <w:r>
        <w:rPr>
          <w:rFonts w:hint="eastAsia" w:ascii="宋体" w:hAnsi="宋体" w:eastAsia="宋体" w:cs="宋体"/>
          <w:b w:val="0"/>
          <w:bCs w:val="0"/>
          <w:color w:val="000000" w:themeColor="text1"/>
          <w:sz w:val="30"/>
          <w:szCs w:val="30"/>
          <w:highlight w:val="none"/>
          <w:lang w:val="en-US" w:eastAsia="zh-CN"/>
          <w14:textFill>
            <w14:solidFill>
              <w14:schemeClr w14:val="tx1"/>
            </w14:solidFill>
          </w14:textFill>
        </w:rPr>
        <w:t>表四</w:t>
      </w:r>
    </w:p>
    <w:p w14:paraId="0B999340">
      <w:pPr>
        <w:pStyle w:val="5"/>
        <w:pageBreakBefore w:val="0"/>
        <w:widowControl w:val="0"/>
        <w:kinsoku/>
        <w:wordWrap/>
        <w:overflowPunct/>
        <w:topLinePunct w:val="0"/>
        <w:autoSpaceDE/>
        <w:autoSpaceDN/>
        <w:bidi w:val="0"/>
        <w:snapToGrid/>
        <w:spacing w:before="145" w:beforeLines="50" w:after="145" w:afterLines="50" w:line="400" w:lineRule="exact"/>
        <w:ind w:firstLine="3373" w:firstLineChars="1050"/>
        <w:jc w:val="both"/>
        <w:rPr>
          <w:rFonts w:hint="eastAsia" w:ascii="宋体" w:hAnsi="宋体" w:eastAsia="宋体" w:cs="宋体"/>
          <w:bCs w:val="0"/>
          <w:color w:val="000000" w:themeColor="text1"/>
          <w:sz w:val="32"/>
          <w:szCs w:val="32"/>
          <w:highlight w:val="none"/>
          <w14:textFill>
            <w14:solidFill>
              <w14:schemeClr w14:val="tx1"/>
            </w14:solidFill>
          </w14:textFill>
        </w:rPr>
      </w:pPr>
      <w:r>
        <w:rPr>
          <w:rFonts w:hint="eastAsia" w:ascii="宋体" w:hAnsi="宋体" w:eastAsia="宋体" w:cs="宋体"/>
          <w:bCs w:val="0"/>
          <w:color w:val="000000" w:themeColor="text1"/>
          <w:sz w:val="32"/>
          <w:szCs w:val="32"/>
          <w:highlight w:val="none"/>
          <w14:textFill>
            <w14:solidFill>
              <w14:schemeClr w14:val="tx1"/>
            </w14:solidFill>
          </w14:textFill>
        </w:rPr>
        <w:t>投标函格式</w:t>
      </w:r>
      <w:bookmarkEnd w:id="245"/>
      <w:bookmarkEnd w:id="246"/>
    </w:p>
    <w:p w14:paraId="76F5AE0D">
      <w:pPr>
        <w:pStyle w:val="103"/>
        <w:pageBreakBefore w:val="0"/>
        <w:widowControl w:val="0"/>
        <w:kinsoku/>
        <w:wordWrap/>
        <w:overflowPunct/>
        <w:topLinePunct w:val="0"/>
        <w:autoSpaceDE/>
        <w:autoSpaceDN/>
        <w:bidi w:val="0"/>
        <w:snapToGrid/>
        <w:spacing w:before="145" w:beforeLines="50" w:after="145" w:afterLines="50" w:line="400" w:lineRule="exact"/>
        <w:ind w:firstLine="0"/>
        <w:rPr>
          <w:rFonts w:hint="default"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致：新疆维吾尔</w:t>
      </w:r>
      <w:r>
        <w:rPr>
          <w:rFonts w:hint="default" w:ascii="宋体" w:hAnsi="宋体" w:eastAsia="宋体" w:cs="宋体"/>
          <w:color w:val="000000" w:themeColor="text1"/>
          <w:kern w:val="2"/>
          <w:szCs w:val="21"/>
          <w:highlight w:val="none"/>
          <w14:textFill>
            <w14:solidFill>
              <w14:schemeClr w14:val="tx1"/>
            </w14:solidFill>
          </w14:textFill>
        </w:rPr>
        <w:t>自治区公共资源交易中心</w:t>
      </w:r>
    </w:p>
    <w:p w14:paraId="63765550">
      <w:pPr>
        <w:pStyle w:val="103"/>
        <w:pageBreakBefore w:val="0"/>
        <w:widowControl w:val="0"/>
        <w:kinsoku/>
        <w:wordWrap/>
        <w:overflowPunct/>
        <w:topLinePunct w:val="0"/>
        <w:autoSpaceDE/>
        <w:autoSpaceDN/>
        <w:bidi w:val="0"/>
        <w:snapToGrid/>
        <w:spacing w:before="145" w:beforeLines="50" w:after="145" w:afterLines="50" w:line="400" w:lineRule="exact"/>
        <w:ind w:firstLineChars="200"/>
        <w:rPr>
          <w:rFonts w:hint="eastAsia"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根据贵方的GK</w:t>
      </w:r>
      <w:r>
        <w:rPr>
          <w:rFonts w:hint="eastAsia" w:ascii="宋体" w:hAnsi="宋体" w:eastAsia="宋体" w:cs="宋体"/>
          <w:b/>
          <w:color w:val="000000" w:themeColor="text1"/>
          <w:sz w:val="36"/>
          <w:highlight w:val="none"/>
          <w:u w:val="single"/>
          <w14:textFill>
            <w14:solidFill>
              <w14:schemeClr w14:val="tx1"/>
            </w14:solidFill>
          </w14:textFill>
        </w:rPr>
        <w:t xml:space="preserve">            </w:t>
      </w:r>
      <w:r>
        <w:rPr>
          <w:rFonts w:hint="eastAsia" w:ascii="宋体" w:hAnsi="宋体" w:eastAsia="宋体" w:cs="宋体"/>
          <w:color w:val="000000" w:themeColor="text1"/>
          <w:kern w:val="2"/>
          <w:szCs w:val="21"/>
          <w:highlight w:val="none"/>
          <w14:textFill>
            <w14:solidFill>
              <w14:schemeClr w14:val="tx1"/>
            </w14:solidFill>
          </w14:textFill>
        </w:rPr>
        <w:t>号招标文件，正式授权下述签字人_________________</w:t>
      </w:r>
      <w:r>
        <w:rPr>
          <w:rFonts w:hint="eastAsia" w:ascii="宋体" w:hAnsi="宋体" w:eastAsia="宋体" w:cs="宋体"/>
          <w:color w:val="000000" w:themeColor="text1"/>
          <w:kern w:val="2"/>
          <w:szCs w:val="21"/>
          <w:highlight w:val="none"/>
          <w:lang w:eastAsia="zh-CN"/>
          <w14:textFill>
            <w14:solidFill>
              <w14:schemeClr w14:val="tx1"/>
            </w14:solidFill>
          </w14:textFill>
        </w:rPr>
        <w:t>（</w:t>
      </w:r>
      <w:r>
        <w:rPr>
          <w:rFonts w:hint="eastAsia" w:ascii="宋体" w:hAnsi="宋体" w:eastAsia="宋体" w:cs="宋体"/>
          <w:color w:val="000000" w:themeColor="text1"/>
          <w:kern w:val="2"/>
          <w:szCs w:val="21"/>
          <w:highlight w:val="none"/>
          <w14:textFill>
            <w14:solidFill>
              <w14:schemeClr w14:val="tx1"/>
            </w14:solidFill>
          </w14:textFill>
        </w:rPr>
        <w:t>姓名</w:t>
      </w:r>
      <w:r>
        <w:rPr>
          <w:rFonts w:hint="eastAsia" w:ascii="宋体" w:hAnsi="宋体" w:eastAsia="宋体" w:cs="宋体"/>
          <w:color w:val="000000" w:themeColor="text1"/>
          <w:kern w:val="2"/>
          <w:szCs w:val="21"/>
          <w:highlight w:val="none"/>
          <w:lang w:eastAsia="zh-CN"/>
          <w14:textFill>
            <w14:solidFill>
              <w14:schemeClr w14:val="tx1"/>
            </w14:solidFill>
          </w14:textFill>
        </w:rPr>
        <w:t>）</w:t>
      </w:r>
      <w:r>
        <w:rPr>
          <w:rFonts w:hint="eastAsia" w:ascii="宋体" w:hAnsi="宋体" w:eastAsia="宋体" w:cs="宋体"/>
          <w:color w:val="000000" w:themeColor="text1"/>
          <w:kern w:val="2"/>
          <w:szCs w:val="21"/>
          <w:highlight w:val="none"/>
          <w14:textFill>
            <w14:solidFill>
              <w14:schemeClr w14:val="tx1"/>
            </w14:solidFill>
          </w14:textFill>
        </w:rPr>
        <w:t>代表我方______________（投标人的名称），全权处理本次项目投标的有关事宜。</w:t>
      </w:r>
    </w:p>
    <w:p w14:paraId="4FD03D96">
      <w:pPr>
        <w:pStyle w:val="103"/>
        <w:pageBreakBefore w:val="0"/>
        <w:widowControl w:val="0"/>
        <w:kinsoku/>
        <w:wordWrap/>
        <w:overflowPunct/>
        <w:topLinePunct w:val="0"/>
        <w:autoSpaceDE/>
        <w:autoSpaceDN/>
        <w:bidi w:val="0"/>
        <w:snapToGrid/>
        <w:spacing w:before="145" w:beforeLines="50" w:after="145" w:afterLines="50" w:line="400" w:lineRule="exact"/>
        <w:ind w:firstLineChars="200"/>
        <w:rPr>
          <w:rFonts w:hint="eastAsia"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据此函，__________签字人兹宣布同意如下：</w:t>
      </w:r>
    </w:p>
    <w:p w14:paraId="1716BF2A">
      <w:pPr>
        <w:pStyle w:val="103"/>
        <w:pageBreakBefore w:val="0"/>
        <w:widowControl w:val="0"/>
        <w:kinsoku/>
        <w:wordWrap/>
        <w:overflowPunct/>
        <w:topLinePunct w:val="0"/>
        <w:autoSpaceDE/>
        <w:autoSpaceDN/>
        <w:bidi w:val="0"/>
        <w:snapToGrid/>
        <w:spacing w:before="145" w:beforeLines="50" w:after="145" w:afterLines="50" w:line="400" w:lineRule="exact"/>
        <w:rPr>
          <w:rFonts w:hint="eastAsia"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1.按招标文件规定的各项要求，向买方提供所需货物与服务。</w:t>
      </w:r>
    </w:p>
    <w:p w14:paraId="266DB826">
      <w:pPr>
        <w:pStyle w:val="103"/>
        <w:pageBreakBefore w:val="0"/>
        <w:widowControl w:val="0"/>
        <w:kinsoku/>
        <w:wordWrap/>
        <w:overflowPunct/>
        <w:topLinePunct w:val="0"/>
        <w:autoSpaceDE/>
        <w:autoSpaceDN/>
        <w:bidi w:val="0"/>
        <w:snapToGrid/>
        <w:spacing w:before="145" w:beforeLines="50" w:after="145" w:afterLines="50" w:line="400" w:lineRule="exact"/>
        <w:ind w:firstLineChars="200"/>
        <w:rPr>
          <w:rFonts w:hint="eastAsia"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2.我们完全理解贵方不一定将合同授予报价最低的投标人。</w:t>
      </w:r>
    </w:p>
    <w:p w14:paraId="22A8F092">
      <w:pPr>
        <w:pStyle w:val="103"/>
        <w:pageBreakBefore w:val="0"/>
        <w:widowControl w:val="0"/>
        <w:kinsoku/>
        <w:wordWrap/>
        <w:overflowPunct/>
        <w:topLinePunct w:val="0"/>
        <w:autoSpaceDE/>
        <w:autoSpaceDN/>
        <w:bidi w:val="0"/>
        <w:snapToGrid/>
        <w:spacing w:before="145" w:beforeLines="50" w:after="145" w:afterLines="50" w:line="400" w:lineRule="exact"/>
        <w:ind w:firstLineChars="200"/>
        <w:rPr>
          <w:rFonts w:hint="eastAsia"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3.我们已详细审核全部招标文件及其有效补充文件，我们知道必须放弃提出含糊不清或误解问题的权利。</w:t>
      </w:r>
    </w:p>
    <w:p w14:paraId="38D56698">
      <w:pPr>
        <w:pStyle w:val="103"/>
        <w:pageBreakBefore w:val="0"/>
        <w:widowControl w:val="0"/>
        <w:kinsoku/>
        <w:wordWrap/>
        <w:overflowPunct/>
        <w:topLinePunct w:val="0"/>
        <w:autoSpaceDE/>
        <w:autoSpaceDN/>
        <w:bidi w:val="0"/>
        <w:snapToGrid/>
        <w:spacing w:before="145" w:beforeLines="50" w:after="145" w:afterLines="50" w:line="400" w:lineRule="exact"/>
        <w:rPr>
          <w:rFonts w:hint="eastAsia"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4.我们同意从规定的开标时间起遵循本投标文件，并在规定的投标有效期期满之前均具有约束力。</w:t>
      </w:r>
    </w:p>
    <w:p w14:paraId="7B611D92">
      <w:pPr>
        <w:pStyle w:val="103"/>
        <w:pageBreakBefore w:val="0"/>
        <w:widowControl w:val="0"/>
        <w:kinsoku/>
        <w:wordWrap/>
        <w:overflowPunct/>
        <w:topLinePunct w:val="0"/>
        <w:autoSpaceDE/>
        <w:autoSpaceDN/>
        <w:bidi w:val="0"/>
        <w:snapToGrid/>
        <w:spacing w:before="145" w:beforeLines="50" w:after="145" w:afterLines="50" w:line="400" w:lineRule="exact"/>
        <w:rPr>
          <w:rFonts w:hint="eastAsia"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5.如果在开标后规定的投标有效期内撤回投标或中标后拒绝签订合同，我们的投标保证金可不予退还。</w:t>
      </w:r>
    </w:p>
    <w:p w14:paraId="229053A9">
      <w:pPr>
        <w:pStyle w:val="103"/>
        <w:pageBreakBefore w:val="0"/>
        <w:widowControl w:val="0"/>
        <w:kinsoku/>
        <w:wordWrap/>
        <w:overflowPunct/>
        <w:topLinePunct w:val="0"/>
        <w:autoSpaceDE/>
        <w:autoSpaceDN/>
        <w:bidi w:val="0"/>
        <w:snapToGrid/>
        <w:spacing w:before="145" w:beforeLines="50" w:after="145" w:afterLines="50" w:line="400" w:lineRule="exact"/>
        <w:rPr>
          <w:rFonts w:hint="eastAsia"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6.同意向贵方提供贵方可能另外要求的与投标有关的任何证据或资料，并保证我方已提供和将要提供的文件是真实的、准确的。</w:t>
      </w:r>
    </w:p>
    <w:p w14:paraId="6E4BA36C">
      <w:pPr>
        <w:pStyle w:val="103"/>
        <w:pageBreakBefore w:val="0"/>
        <w:widowControl w:val="0"/>
        <w:kinsoku/>
        <w:wordWrap/>
        <w:overflowPunct/>
        <w:topLinePunct w:val="0"/>
        <w:autoSpaceDE/>
        <w:autoSpaceDN/>
        <w:bidi w:val="0"/>
        <w:snapToGrid/>
        <w:spacing w:before="145" w:beforeLines="50" w:after="145" w:afterLines="50" w:line="400" w:lineRule="exact"/>
        <w:rPr>
          <w:rFonts w:hint="eastAsia"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7.一旦我方中标</w:t>
      </w:r>
      <w:r>
        <w:rPr>
          <w:rFonts w:hint="eastAsia" w:ascii="宋体" w:hAnsi="宋体" w:eastAsia="宋体" w:cs="宋体"/>
          <w:color w:val="000000" w:themeColor="text1"/>
          <w:kern w:val="2"/>
          <w:szCs w:val="21"/>
          <w:highlight w:val="none"/>
          <w:lang w:eastAsia="zh-CN"/>
          <w14:textFill>
            <w14:solidFill>
              <w14:schemeClr w14:val="tx1"/>
            </w14:solidFill>
          </w14:textFill>
        </w:rPr>
        <w:t>，</w:t>
      </w:r>
      <w:r>
        <w:rPr>
          <w:rFonts w:hint="eastAsia" w:ascii="宋体" w:hAnsi="宋体" w:eastAsia="宋体" w:cs="宋体"/>
          <w:color w:val="000000" w:themeColor="text1"/>
          <w:kern w:val="2"/>
          <w:szCs w:val="21"/>
          <w:highlight w:val="none"/>
          <w14:textFill>
            <w14:solidFill>
              <w14:schemeClr w14:val="tx1"/>
            </w14:solidFill>
          </w14:textFill>
        </w:rPr>
        <w:t>我方将根据招标文件的规定，严格履行合同的责任和义务</w:t>
      </w:r>
      <w:r>
        <w:rPr>
          <w:rFonts w:hint="eastAsia" w:ascii="宋体" w:hAnsi="宋体" w:eastAsia="宋体" w:cs="宋体"/>
          <w:color w:val="000000" w:themeColor="text1"/>
          <w:kern w:val="2"/>
          <w:szCs w:val="21"/>
          <w:highlight w:val="none"/>
          <w:lang w:eastAsia="zh-CN"/>
          <w14:textFill>
            <w14:solidFill>
              <w14:schemeClr w14:val="tx1"/>
            </w14:solidFill>
          </w14:textFill>
        </w:rPr>
        <w:t>，</w:t>
      </w:r>
      <w:r>
        <w:rPr>
          <w:rFonts w:hint="eastAsia" w:ascii="宋体" w:hAnsi="宋体" w:eastAsia="宋体" w:cs="宋体"/>
          <w:color w:val="000000" w:themeColor="text1"/>
          <w:kern w:val="2"/>
          <w:szCs w:val="21"/>
          <w:highlight w:val="none"/>
          <w14:textFill>
            <w14:solidFill>
              <w14:schemeClr w14:val="tx1"/>
            </w14:solidFill>
          </w14:textFill>
        </w:rPr>
        <w:t>并保证在招标文件规定的时</w:t>
      </w:r>
      <w:r>
        <w:rPr>
          <w:rFonts w:hint="eastAsia" w:ascii="宋体" w:hAnsi="宋体" w:eastAsia="宋体" w:cs="宋体"/>
          <w:color w:val="000000" w:themeColor="text1"/>
          <w:kern w:val="2"/>
          <w:szCs w:val="21"/>
          <w:highlight w:val="none"/>
          <w:lang w:eastAsia="zh-CN"/>
          <w14:textFill>
            <w14:solidFill>
              <w14:schemeClr w14:val="tx1"/>
            </w14:solidFill>
          </w14:textFill>
        </w:rPr>
        <w:t>间内</w:t>
      </w:r>
      <w:r>
        <w:rPr>
          <w:rFonts w:hint="eastAsia" w:ascii="宋体" w:hAnsi="宋体" w:eastAsia="宋体" w:cs="宋体"/>
          <w:color w:val="000000" w:themeColor="text1"/>
          <w:kern w:val="2"/>
          <w:szCs w:val="21"/>
          <w:highlight w:val="none"/>
          <w14:textFill>
            <w14:solidFill>
              <w14:schemeClr w14:val="tx1"/>
            </w14:solidFill>
          </w14:textFill>
        </w:rPr>
        <w:t>完成项目，交付买方验收、使用。</w:t>
      </w:r>
    </w:p>
    <w:p w14:paraId="7E002515">
      <w:pPr>
        <w:pStyle w:val="103"/>
        <w:pageBreakBefore w:val="0"/>
        <w:widowControl w:val="0"/>
        <w:kinsoku/>
        <w:wordWrap/>
        <w:overflowPunct/>
        <w:topLinePunct w:val="0"/>
        <w:autoSpaceDE/>
        <w:autoSpaceDN/>
        <w:bidi w:val="0"/>
        <w:snapToGrid/>
        <w:spacing w:before="145" w:beforeLines="50" w:after="145" w:afterLines="50" w:line="400" w:lineRule="exact"/>
        <w:ind w:left="425" w:firstLine="0"/>
        <w:rPr>
          <w:rFonts w:hint="eastAsia"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8.与本投标有关的正式通讯地址为：</w:t>
      </w:r>
    </w:p>
    <w:p w14:paraId="44F5D04E">
      <w:pPr>
        <w:pageBreakBefore w:val="0"/>
        <w:widowControl w:val="0"/>
        <w:tabs>
          <w:tab w:val="left" w:pos="360"/>
        </w:tabs>
        <w:kinsoku/>
        <w:wordWrap/>
        <w:overflowPunct/>
        <w:topLinePunct w:val="0"/>
        <w:autoSpaceDE/>
        <w:autoSpaceDN/>
        <w:bidi w:val="0"/>
        <w:snapToGrid/>
        <w:spacing w:line="400" w:lineRule="exact"/>
        <w:ind w:firstLine="482"/>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地 址：                         邮 编：</w:t>
      </w:r>
    </w:p>
    <w:p w14:paraId="210EC6BE">
      <w:pPr>
        <w:pageBreakBefore w:val="0"/>
        <w:widowControl w:val="0"/>
        <w:tabs>
          <w:tab w:val="left" w:pos="360"/>
        </w:tabs>
        <w:kinsoku/>
        <w:wordWrap/>
        <w:overflowPunct/>
        <w:topLinePunct w:val="0"/>
        <w:autoSpaceDE/>
        <w:autoSpaceDN/>
        <w:bidi w:val="0"/>
        <w:snapToGrid/>
        <w:spacing w:line="400" w:lineRule="exact"/>
        <w:ind w:firstLine="482"/>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电 话：                         传 真：</w:t>
      </w:r>
    </w:p>
    <w:p w14:paraId="61F207BB">
      <w:pPr>
        <w:pageBreakBefore w:val="0"/>
        <w:widowControl w:val="0"/>
        <w:tabs>
          <w:tab w:val="left" w:pos="360"/>
        </w:tabs>
        <w:kinsoku/>
        <w:wordWrap/>
        <w:overflowPunct/>
        <w:topLinePunct w:val="0"/>
        <w:autoSpaceDE/>
        <w:autoSpaceDN/>
        <w:bidi w:val="0"/>
        <w:snapToGrid/>
        <w:spacing w:line="400" w:lineRule="exact"/>
        <w:ind w:firstLine="482"/>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供应商开户行：                  账 户： </w:t>
      </w:r>
    </w:p>
    <w:p w14:paraId="749B77F8">
      <w:pPr>
        <w:pageBreakBefore w:val="0"/>
        <w:widowControl w:val="0"/>
        <w:tabs>
          <w:tab w:val="left" w:pos="360"/>
        </w:tabs>
        <w:kinsoku/>
        <w:wordWrap/>
        <w:overflowPunct/>
        <w:topLinePunct w:val="0"/>
        <w:autoSpaceDE/>
        <w:autoSpaceDN/>
        <w:bidi w:val="0"/>
        <w:snapToGrid/>
        <w:spacing w:line="400" w:lineRule="exact"/>
        <w:ind w:firstLine="482"/>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授权代表人（签字）：            联系电话：</w:t>
      </w:r>
    </w:p>
    <w:p w14:paraId="2622E75C">
      <w:pPr>
        <w:pageBreakBefore w:val="0"/>
        <w:widowControl w:val="0"/>
        <w:tabs>
          <w:tab w:val="left" w:pos="360"/>
        </w:tabs>
        <w:kinsoku/>
        <w:wordWrap/>
        <w:overflowPunct/>
        <w:topLinePunct w:val="0"/>
        <w:autoSpaceDE/>
        <w:autoSpaceDN/>
        <w:bidi w:val="0"/>
        <w:snapToGrid/>
        <w:spacing w:line="400" w:lineRule="exact"/>
        <w:ind w:firstLine="482"/>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投标人名称（公章）：            </w:t>
      </w:r>
    </w:p>
    <w:p w14:paraId="59F05558">
      <w:pPr>
        <w:pageBreakBefore w:val="0"/>
        <w:widowControl w:val="0"/>
        <w:kinsoku/>
        <w:wordWrap/>
        <w:overflowPunct/>
        <w:topLinePunct w:val="0"/>
        <w:autoSpaceDE/>
        <w:autoSpaceDN/>
        <w:bidi w:val="0"/>
        <w:snapToGrid/>
        <w:spacing w:line="400" w:lineRule="exact"/>
        <w:jc w:val="center"/>
        <w:rPr>
          <w:rFonts w:hint="eastAsia" w:ascii="宋体" w:hAnsi="宋体" w:eastAsia="宋体" w:cs="宋体"/>
          <w:color w:val="000000" w:themeColor="text1"/>
          <w:highlight w:val="none"/>
          <w14:textFill>
            <w14:solidFill>
              <w14:schemeClr w14:val="tx1"/>
            </w14:solidFill>
          </w14:textFill>
        </w:rPr>
        <w:sectPr>
          <w:footerReference r:id="rId7" w:type="first"/>
          <w:footerReference r:id="rId6" w:type="default"/>
          <w:pgSz w:w="11906" w:h="16838"/>
          <w:pgMar w:top="1015" w:right="1196" w:bottom="868" w:left="1259" w:header="851" w:footer="907" w:gutter="0"/>
          <w:cols w:space="720" w:num="1"/>
          <w:titlePg/>
          <w:docGrid w:type="lines" w:linePitch="286" w:charSpace="0"/>
        </w:sectPr>
      </w:pPr>
      <w:r>
        <w:rPr>
          <w:rFonts w:hint="eastAsia" w:ascii="宋体" w:hAnsi="宋体" w:eastAsia="宋体" w:cs="宋体"/>
          <w:color w:val="000000" w:themeColor="text1"/>
          <w:highlight w:val="none"/>
          <w14:textFill>
            <w14:solidFill>
              <w14:schemeClr w14:val="tx1"/>
            </w14:solidFill>
          </w14:textFill>
        </w:rPr>
        <w:t>日 期：________年____月____</w:t>
      </w:r>
    </w:p>
    <w:p w14:paraId="73C923CB">
      <w:pPr>
        <w:spacing w:before="145" w:beforeLines="50" w:after="145" w:afterLines="50" w:line="300" w:lineRule="auto"/>
        <w:ind w:firstLine="300" w:firstLineChars="100"/>
        <w:jc w:val="left"/>
        <w:rPr>
          <w:rFonts w:hint="default" w:ascii="宋体" w:hAnsi="宋体" w:eastAsia="宋体" w:cs="宋体"/>
          <w:b w:val="0"/>
          <w:bCs w:val="0"/>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0"/>
          <w:szCs w:val="30"/>
          <w:highlight w:val="none"/>
          <w:lang w:val="en-US" w:eastAsia="zh-CN" w:bidi="ar-SA"/>
          <w14:textFill>
            <w14:solidFill>
              <w14:schemeClr w14:val="tx1"/>
            </w14:solidFill>
          </w14:textFill>
        </w:rPr>
        <w:t>表五</w:t>
      </w:r>
    </w:p>
    <w:p w14:paraId="1F53ED0A">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000000" w:themeColor="text1"/>
          <w:sz w:val="36"/>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 xml:space="preserve"> </w:t>
      </w:r>
      <w:r>
        <w:rPr>
          <w:rFonts w:hint="eastAsia" w:ascii="宋体" w:hAnsi="宋体" w:eastAsia="宋体" w:cs="宋体"/>
          <w:b/>
          <w:bCs/>
          <w:color w:val="000000" w:themeColor="text1"/>
          <w:sz w:val="36"/>
          <w:highlight w:val="none"/>
          <w14:textFill>
            <w14:solidFill>
              <w14:schemeClr w14:val="tx1"/>
            </w14:solidFill>
          </w14:textFill>
        </w:rPr>
        <w:t>中小企业声明函（货</w:t>
      </w:r>
      <w:r>
        <w:rPr>
          <w:rFonts w:hint="eastAsia" w:ascii="宋体" w:hAnsi="宋体" w:eastAsia="宋体" w:cs="宋体"/>
          <w:b w:val="0"/>
          <w:bCs w:val="0"/>
          <w:color w:val="000000" w:themeColor="text1"/>
          <w:sz w:val="36"/>
          <w:highlight w:val="none"/>
          <w14:textFill>
            <w14:solidFill>
              <w14:schemeClr w14:val="tx1"/>
            </w14:solidFill>
          </w14:textFill>
        </w:rPr>
        <w:t>物）</w:t>
      </w:r>
    </w:p>
    <w:p w14:paraId="699D7D7F">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000000" w:themeColor="text1"/>
          <w:sz w:val="36"/>
          <w:highlight w:val="none"/>
          <w14:textFill>
            <w14:solidFill>
              <w14:schemeClr w14:val="tx1"/>
            </w14:solidFill>
          </w14:textFill>
        </w:rPr>
      </w:pPr>
    </w:p>
    <w:p w14:paraId="2A42C30B">
      <w:pPr>
        <w:spacing w:before="145" w:beforeLines="50" w:after="145" w:afterLines="50" w:line="30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bCs/>
          <w:i/>
          <w:iCs/>
          <w:color w:val="000000" w:themeColor="text1"/>
          <w:sz w:val="24"/>
          <w:highlight w:val="none"/>
          <w:u w:val="single"/>
          <w14:textFill>
            <w14:solidFill>
              <w14:schemeClr w14:val="tx1"/>
            </w14:solidFill>
          </w14:textFill>
        </w:rPr>
        <w:t>单位名称</w:t>
      </w:r>
      <w:r>
        <w:rPr>
          <w:rFonts w:hint="eastAsia" w:ascii="宋体" w:hAnsi="宋体" w:eastAsia="宋体" w:cs="宋体"/>
          <w:bCs/>
          <w:color w:val="000000" w:themeColor="text1"/>
          <w:sz w:val="24"/>
          <w:highlight w:val="none"/>
          <w14:textFill>
            <w14:solidFill>
              <w14:schemeClr w14:val="tx1"/>
            </w14:solidFill>
          </w14:textFill>
        </w:rPr>
        <w:t>）的（</w:t>
      </w:r>
      <w:r>
        <w:rPr>
          <w:rFonts w:hint="eastAsia" w:ascii="宋体" w:hAnsi="宋体" w:eastAsia="宋体" w:cs="宋体"/>
          <w:bCs/>
          <w:i/>
          <w:iCs/>
          <w:color w:val="000000" w:themeColor="text1"/>
          <w:sz w:val="24"/>
          <w:highlight w:val="none"/>
          <w:u w:val="single"/>
          <w14:textFill>
            <w14:solidFill>
              <w14:schemeClr w14:val="tx1"/>
            </w14:solidFill>
          </w14:textFill>
        </w:rPr>
        <w:t>项目名称</w:t>
      </w:r>
      <w:r>
        <w:rPr>
          <w:rFonts w:hint="eastAsia" w:ascii="宋体" w:hAnsi="宋体" w:eastAsia="宋体" w:cs="宋体"/>
          <w:bCs/>
          <w:color w:val="000000" w:themeColor="text1"/>
          <w:sz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2F5DD8AE">
      <w:pPr>
        <w:spacing w:before="145" w:beforeLines="50" w:after="145" w:afterLines="50" w:line="30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1.</w:t>
      </w:r>
      <w:r>
        <w:rPr>
          <w:rFonts w:hint="eastAsia" w:ascii="宋体" w:hAnsi="宋体" w:eastAsia="宋体" w:cs="宋体"/>
          <w:bCs/>
          <w:color w:val="000000" w:themeColor="text1"/>
          <w:sz w:val="24"/>
          <w:highlight w:val="none"/>
          <w14:textFill>
            <w14:solidFill>
              <w14:schemeClr w14:val="tx1"/>
            </w14:solidFill>
          </w14:textFill>
        </w:rPr>
        <w:t>（</w:t>
      </w:r>
      <w:r>
        <w:rPr>
          <w:rFonts w:hint="eastAsia" w:ascii="宋体" w:hAnsi="宋体" w:eastAsia="宋体" w:cs="宋体"/>
          <w:bCs/>
          <w:i/>
          <w:iCs/>
          <w:color w:val="000000" w:themeColor="text1"/>
          <w:sz w:val="24"/>
          <w:highlight w:val="none"/>
          <w:u w:val="single"/>
          <w14:textFill>
            <w14:solidFill>
              <w14:schemeClr w14:val="tx1"/>
            </w14:solidFill>
          </w14:textFill>
        </w:rPr>
        <w:t>标的名称</w:t>
      </w:r>
      <w:r>
        <w:rPr>
          <w:rFonts w:hint="eastAsia" w:ascii="宋体" w:hAnsi="宋体" w:eastAsia="宋体" w:cs="宋体"/>
          <w:bCs/>
          <w:color w:val="000000" w:themeColor="text1"/>
          <w:sz w:val="24"/>
          <w:highlight w:val="none"/>
          <w14:textFill>
            <w14:solidFill>
              <w14:schemeClr w14:val="tx1"/>
            </w14:solidFill>
          </w14:textFill>
        </w:rPr>
        <w:t>） ，属于（</w:t>
      </w:r>
      <w:r>
        <w:rPr>
          <w:rFonts w:hint="eastAsia" w:ascii="宋体" w:hAnsi="宋体" w:eastAsia="宋体" w:cs="宋体"/>
          <w:bCs/>
          <w:i/>
          <w:iCs/>
          <w:color w:val="000000" w:themeColor="text1"/>
          <w:sz w:val="24"/>
          <w:highlight w:val="none"/>
          <w:u w:val="single"/>
          <w14:textFill>
            <w14:solidFill>
              <w14:schemeClr w14:val="tx1"/>
            </w14:solidFill>
          </w14:textFill>
        </w:rPr>
        <w:t>采购文件中明确的所属行业</w:t>
      </w:r>
      <w:r>
        <w:rPr>
          <w:rFonts w:hint="eastAsia" w:ascii="宋体" w:hAnsi="宋体" w:eastAsia="宋体" w:cs="宋体"/>
          <w:bCs/>
          <w:color w:val="000000" w:themeColor="text1"/>
          <w:sz w:val="24"/>
          <w:highlight w:val="none"/>
          <w14:textFill>
            <w14:solidFill>
              <w14:schemeClr w14:val="tx1"/>
            </w14:solidFill>
          </w14:textFill>
        </w:rPr>
        <w:t>）行业；制造商为（</w:t>
      </w:r>
      <w:r>
        <w:rPr>
          <w:rFonts w:hint="eastAsia" w:ascii="宋体" w:hAnsi="宋体" w:eastAsia="宋体" w:cs="宋体"/>
          <w:bCs/>
          <w:i/>
          <w:iCs/>
          <w:color w:val="000000" w:themeColor="text1"/>
          <w:sz w:val="24"/>
          <w:highlight w:val="none"/>
          <w:u w:val="single"/>
          <w14:textFill>
            <w14:solidFill>
              <w14:schemeClr w14:val="tx1"/>
            </w14:solidFill>
          </w14:textFill>
        </w:rPr>
        <w:t>企业名称</w:t>
      </w:r>
      <w:r>
        <w:rPr>
          <w:rFonts w:hint="eastAsia" w:ascii="宋体" w:hAnsi="宋体" w:eastAsia="宋体" w:cs="宋体"/>
          <w:bCs/>
          <w:color w:val="000000" w:themeColor="text1"/>
          <w:sz w:val="24"/>
          <w:highlight w:val="none"/>
          <w14:textFill>
            <w14:solidFill>
              <w14:schemeClr w14:val="tx1"/>
            </w14:solidFill>
          </w14:textFill>
        </w:rPr>
        <w:t>），从业人员</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人，营业收入为</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万元，资产总额为</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万元，属于（</w:t>
      </w:r>
      <w:r>
        <w:rPr>
          <w:rFonts w:hint="eastAsia" w:ascii="宋体" w:hAnsi="宋体" w:eastAsia="宋体" w:cs="宋体"/>
          <w:bCs/>
          <w:i/>
          <w:iCs/>
          <w:color w:val="000000" w:themeColor="text1"/>
          <w:sz w:val="24"/>
          <w:highlight w:val="none"/>
          <w:u w:val="single"/>
          <w14:textFill>
            <w14:solidFill>
              <w14:schemeClr w14:val="tx1"/>
            </w14:solidFill>
          </w14:textFill>
        </w:rPr>
        <w:t>中型企业、小型企业、微型企业</w:t>
      </w:r>
      <w:r>
        <w:rPr>
          <w:rFonts w:hint="eastAsia" w:ascii="宋体" w:hAnsi="宋体" w:eastAsia="宋体" w:cs="宋体"/>
          <w:bCs/>
          <w:color w:val="000000" w:themeColor="text1"/>
          <w:sz w:val="24"/>
          <w:highlight w:val="none"/>
          <w14:textFill>
            <w14:solidFill>
              <w14:schemeClr w14:val="tx1"/>
            </w14:solidFill>
          </w14:textFill>
        </w:rPr>
        <w:t>）；</w:t>
      </w:r>
    </w:p>
    <w:p w14:paraId="532632CF">
      <w:pPr>
        <w:spacing w:before="145" w:beforeLines="50" w:after="145" w:afterLines="50" w:line="30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2.</w:t>
      </w:r>
      <w:r>
        <w:rPr>
          <w:rFonts w:hint="eastAsia" w:ascii="宋体" w:hAnsi="宋体" w:eastAsia="宋体" w:cs="宋体"/>
          <w:bCs/>
          <w:color w:val="000000" w:themeColor="text1"/>
          <w:sz w:val="24"/>
          <w:highlight w:val="none"/>
          <w14:textFill>
            <w14:solidFill>
              <w14:schemeClr w14:val="tx1"/>
            </w14:solidFill>
          </w14:textFill>
        </w:rPr>
        <w:t>（</w:t>
      </w:r>
      <w:r>
        <w:rPr>
          <w:rFonts w:hint="eastAsia" w:ascii="宋体" w:hAnsi="宋体" w:eastAsia="宋体" w:cs="宋体"/>
          <w:bCs/>
          <w:i/>
          <w:iCs/>
          <w:color w:val="000000" w:themeColor="text1"/>
          <w:sz w:val="24"/>
          <w:highlight w:val="none"/>
          <w:u w:val="single"/>
          <w14:textFill>
            <w14:solidFill>
              <w14:schemeClr w14:val="tx1"/>
            </w14:solidFill>
          </w14:textFill>
        </w:rPr>
        <w:t>标的名称</w:t>
      </w:r>
      <w:r>
        <w:rPr>
          <w:rFonts w:hint="eastAsia" w:ascii="宋体" w:hAnsi="宋体" w:eastAsia="宋体" w:cs="宋体"/>
          <w:bCs/>
          <w:color w:val="000000" w:themeColor="text1"/>
          <w:sz w:val="24"/>
          <w:highlight w:val="none"/>
          <w14:textFill>
            <w14:solidFill>
              <w14:schemeClr w14:val="tx1"/>
            </w14:solidFill>
          </w14:textFill>
        </w:rPr>
        <w:t>） ，属于（</w:t>
      </w:r>
      <w:r>
        <w:rPr>
          <w:rFonts w:hint="eastAsia" w:ascii="宋体" w:hAnsi="宋体" w:eastAsia="宋体" w:cs="宋体"/>
          <w:bCs/>
          <w:i/>
          <w:iCs/>
          <w:color w:val="000000" w:themeColor="text1"/>
          <w:sz w:val="24"/>
          <w:highlight w:val="none"/>
          <w:u w:val="single"/>
          <w14:textFill>
            <w14:solidFill>
              <w14:schemeClr w14:val="tx1"/>
            </w14:solidFill>
          </w14:textFill>
        </w:rPr>
        <w:t>采购文件中明确的所属行业</w:t>
      </w:r>
      <w:r>
        <w:rPr>
          <w:rFonts w:hint="eastAsia" w:ascii="宋体" w:hAnsi="宋体" w:eastAsia="宋体" w:cs="宋体"/>
          <w:bCs/>
          <w:color w:val="000000" w:themeColor="text1"/>
          <w:sz w:val="24"/>
          <w:highlight w:val="none"/>
          <w14:textFill>
            <w14:solidFill>
              <w14:schemeClr w14:val="tx1"/>
            </w14:solidFill>
          </w14:textFill>
        </w:rPr>
        <w:t>）行业；制造商为（</w:t>
      </w:r>
      <w:r>
        <w:rPr>
          <w:rFonts w:hint="eastAsia" w:ascii="宋体" w:hAnsi="宋体" w:eastAsia="宋体" w:cs="宋体"/>
          <w:bCs/>
          <w:i/>
          <w:iCs/>
          <w:color w:val="000000" w:themeColor="text1"/>
          <w:sz w:val="24"/>
          <w:highlight w:val="none"/>
          <w:u w:val="single"/>
          <w14:textFill>
            <w14:solidFill>
              <w14:schemeClr w14:val="tx1"/>
            </w14:solidFill>
          </w14:textFill>
        </w:rPr>
        <w:t>企业名称</w:t>
      </w:r>
      <w:r>
        <w:rPr>
          <w:rFonts w:hint="eastAsia" w:ascii="宋体" w:hAnsi="宋体" w:eastAsia="宋体" w:cs="宋体"/>
          <w:bCs/>
          <w:color w:val="000000" w:themeColor="text1"/>
          <w:sz w:val="24"/>
          <w:highlight w:val="none"/>
          <w14:textFill>
            <w14:solidFill>
              <w14:schemeClr w14:val="tx1"/>
            </w14:solidFill>
          </w14:textFill>
        </w:rPr>
        <w:t>），从业人员</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人，营业收入为</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万元，资产总额为</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万元，属于（</w:t>
      </w:r>
      <w:r>
        <w:rPr>
          <w:rFonts w:hint="eastAsia" w:ascii="宋体" w:hAnsi="宋体" w:eastAsia="宋体" w:cs="宋体"/>
          <w:bCs/>
          <w:i/>
          <w:iCs/>
          <w:color w:val="000000" w:themeColor="text1"/>
          <w:sz w:val="24"/>
          <w:highlight w:val="none"/>
          <w:u w:val="single"/>
          <w14:textFill>
            <w14:solidFill>
              <w14:schemeClr w14:val="tx1"/>
            </w14:solidFill>
          </w14:textFill>
        </w:rPr>
        <w:t>中型企业、小型企业、微型企业</w:t>
      </w:r>
      <w:r>
        <w:rPr>
          <w:rFonts w:hint="eastAsia" w:ascii="宋体" w:hAnsi="宋体" w:eastAsia="宋体" w:cs="宋体"/>
          <w:bCs/>
          <w:color w:val="000000" w:themeColor="text1"/>
          <w:sz w:val="24"/>
          <w:highlight w:val="none"/>
          <w14:textFill>
            <w14:solidFill>
              <w14:schemeClr w14:val="tx1"/>
            </w14:solidFill>
          </w14:textFill>
        </w:rPr>
        <w:t>）；</w:t>
      </w:r>
    </w:p>
    <w:p w14:paraId="182842AF">
      <w:pPr>
        <w:spacing w:before="145" w:beforeLines="50" w:after="145" w:afterLines="50" w:line="30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w:t>
      </w:r>
    </w:p>
    <w:p w14:paraId="52E52436">
      <w:pPr>
        <w:spacing w:before="145" w:beforeLines="50" w:after="145" w:afterLines="50" w:line="30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4DF76FD5">
      <w:pPr>
        <w:spacing w:before="145" w:beforeLines="50" w:after="145" w:afterLines="50" w:line="30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本企业对上述声明内容的真实性负责。如有虚假，将依法承担相应责任。</w:t>
      </w:r>
    </w:p>
    <w:p w14:paraId="07FFAE7D">
      <w:pPr>
        <w:spacing w:before="145" w:beforeLines="50" w:after="145" w:afterLines="50" w:line="300" w:lineRule="auto"/>
        <w:rPr>
          <w:rFonts w:hint="eastAsia" w:ascii="宋体" w:hAnsi="宋体" w:eastAsia="宋体" w:cs="宋体"/>
          <w:bCs/>
          <w:color w:val="000000" w:themeColor="text1"/>
          <w:sz w:val="24"/>
          <w:highlight w:val="none"/>
          <w14:textFill>
            <w14:solidFill>
              <w14:schemeClr w14:val="tx1"/>
            </w14:solidFill>
          </w14:textFill>
        </w:rPr>
      </w:pPr>
    </w:p>
    <w:p w14:paraId="120B8A55">
      <w:pPr>
        <w:spacing w:before="145" w:beforeLines="50" w:after="145" w:afterLines="50" w:line="300" w:lineRule="auto"/>
        <w:rPr>
          <w:rFonts w:hint="eastAsia" w:ascii="宋体" w:hAnsi="宋体" w:eastAsia="宋体" w:cs="宋体"/>
          <w:bCs/>
          <w:color w:val="000000" w:themeColor="text1"/>
          <w:sz w:val="24"/>
          <w:highlight w:val="none"/>
          <w14:textFill>
            <w14:solidFill>
              <w14:schemeClr w14:val="tx1"/>
            </w14:solidFill>
          </w14:textFill>
        </w:rPr>
      </w:pPr>
    </w:p>
    <w:p w14:paraId="43DD4631">
      <w:pPr>
        <w:spacing w:before="145" w:beforeLines="50" w:after="145" w:afterLines="50" w:line="300" w:lineRule="auto"/>
        <w:ind w:firstLine="4080" w:firstLineChars="17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企业名称（盖章）：</w:t>
      </w:r>
    </w:p>
    <w:p w14:paraId="6D4C0CA6">
      <w:pPr>
        <w:spacing w:before="145" w:beforeLines="50" w:after="145" w:afterLines="50" w:line="300" w:lineRule="auto"/>
        <w:ind w:firstLine="4080" w:firstLineChars="17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日期：</w:t>
      </w:r>
    </w:p>
    <w:p w14:paraId="11F0BEB4">
      <w:pPr>
        <w:pStyle w:val="17"/>
        <w:rPr>
          <w:rFonts w:hint="eastAsia" w:ascii="宋体" w:hAnsi="宋体" w:eastAsia="宋体" w:cs="宋体"/>
          <w:color w:val="000000" w:themeColor="text1"/>
          <w:highlight w:val="none"/>
          <w14:textFill>
            <w14:solidFill>
              <w14:schemeClr w14:val="tx1"/>
            </w14:solidFill>
          </w14:textFill>
        </w:rPr>
      </w:pPr>
    </w:p>
    <w:p w14:paraId="25804605">
      <w:pPr>
        <w:rPr>
          <w:rFonts w:hint="eastAsia" w:ascii="宋体" w:hAnsi="宋体" w:eastAsia="宋体" w:cs="宋体"/>
          <w:color w:val="000000" w:themeColor="text1"/>
          <w:highlight w:val="none"/>
          <w14:textFill>
            <w14:solidFill>
              <w14:schemeClr w14:val="tx1"/>
            </w14:solidFill>
          </w14:textFill>
        </w:rPr>
      </w:pPr>
    </w:p>
    <w:p w14:paraId="3F5C666B">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000000" w:themeColor="text1"/>
          <w:sz w:val="18"/>
          <w:highlight w:val="none"/>
          <w14:textFill>
            <w14:solidFill>
              <w14:schemeClr w14:val="tx1"/>
            </w14:solidFill>
          </w14:textFill>
        </w:rPr>
      </w:pPr>
      <w:r>
        <w:rPr>
          <w:rFonts w:hint="eastAsia" w:ascii="宋体" w:hAnsi="宋体" w:eastAsia="宋体" w:cs="宋体"/>
          <w:b/>
          <w:bCs/>
          <w:color w:val="000000" w:themeColor="text1"/>
          <w:sz w:val="18"/>
          <w:highlight w:val="none"/>
          <w:lang w:val="en-US" w:eastAsia="zh-CN"/>
          <w14:textFill>
            <w14:solidFill>
              <w14:schemeClr w14:val="tx1"/>
            </w14:solidFill>
          </w14:textFill>
        </w:rPr>
        <w:t>备注：1、</w:t>
      </w:r>
      <w:r>
        <w:rPr>
          <w:rFonts w:hint="eastAsia" w:ascii="宋体" w:hAnsi="宋体" w:eastAsia="宋体" w:cs="宋体"/>
          <w:b/>
          <w:bCs/>
          <w:color w:val="000000" w:themeColor="text1"/>
          <w:sz w:val="18"/>
          <w:highlight w:val="none"/>
          <w14:textFill>
            <w14:solidFill>
              <w14:schemeClr w14:val="tx1"/>
            </w14:solidFill>
          </w14:textFill>
        </w:rPr>
        <w:t>从业人员、营业收入、资产总额填报上一年度数据，无上一年度数据的新成立企业可不填报。</w:t>
      </w:r>
    </w:p>
    <w:p w14:paraId="23968432">
      <w:pPr>
        <w:keepNext w:val="0"/>
        <w:keepLines w:val="0"/>
        <w:pageBreakBefore w:val="0"/>
        <w:widowControl/>
        <w:numPr>
          <w:ilvl w:val="0"/>
          <w:numId w:val="7"/>
        </w:numPr>
        <w:kinsoku/>
        <w:wordWrap/>
        <w:overflowPunct/>
        <w:topLinePunct w:val="0"/>
        <w:autoSpaceDE/>
        <w:autoSpaceDN/>
        <w:bidi w:val="0"/>
        <w:adjustRightInd/>
        <w:snapToGrid/>
        <w:spacing w:line="400" w:lineRule="exact"/>
        <w:ind w:firstLine="542" w:firstLineChars="300"/>
        <w:jc w:val="both"/>
        <w:textAlignment w:val="auto"/>
        <w:rPr>
          <w:rFonts w:hint="eastAsia" w:ascii="宋体" w:hAnsi="宋体" w:eastAsia="宋体" w:cs="宋体"/>
          <w:b/>
          <w:bCs/>
          <w:color w:val="000000" w:themeColor="text1"/>
          <w:sz w:val="18"/>
          <w:szCs w:val="22"/>
          <w:highlight w:val="none"/>
          <w:lang w:val="en-US" w:eastAsia="zh-CN"/>
          <w14:textFill>
            <w14:solidFill>
              <w14:schemeClr w14:val="tx1"/>
            </w14:solidFill>
          </w14:textFill>
        </w:rPr>
      </w:pPr>
      <w:r>
        <w:rPr>
          <w:rFonts w:hint="eastAsia" w:ascii="宋体" w:hAnsi="宋体" w:eastAsia="宋体" w:cs="宋体"/>
          <w:b/>
          <w:bCs/>
          <w:color w:val="000000" w:themeColor="text1"/>
          <w:sz w:val="18"/>
          <w:szCs w:val="22"/>
          <w:highlight w:val="none"/>
          <w:lang w:val="en-US" w:eastAsia="zh-CN"/>
          <w14:textFill>
            <w14:solidFill>
              <w14:schemeClr w14:val="tx1"/>
            </w14:solidFill>
          </w14:textFill>
        </w:rPr>
        <w:t>投标人为中小企业时需提供本声明函，并完整填写从业人员、营业收入、资产总额等内容，否则评审时不能享受相应的价格扣除。</w:t>
      </w:r>
    </w:p>
    <w:p w14:paraId="38B3D9EB">
      <w:pPr>
        <w:pStyle w:val="17"/>
        <w:widowControl w:val="0"/>
        <w:numPr>
          <w:ilvl w:val="0"/>
          <w:numId w:val="0"/>
        </w:numPr>
        <w:jc w:val="both"/>
        <w:rPr>
          <w:rFonts w:hint="eastAsia" w:ascii="宋体" w:hAnsi="宋体" w:eastAsia="宋体" w:cs="宋体"/>
          <w:color w:val="000000" w:themeColor="text1"/>
          <w:highlight w:val="none"/>
          <w:lang w:val="en-US" w:eastAsia="zh-CN"/>
          <w14:textFill>
            <w14:solidFill>
              <w14:schemeClr w14:val="tx1"/>
            </w14:solidFill>
          </w14:textFill>
        </w:rPr>
      </w:pPr>
    </w:p>
    <w:p w14:paraId="751F5BC8">
      <w:pPr>
        <w:rPr>
          <w:rFonts w:hint="eastAsia" w:ascii="宋体" w:hAnsi="宋体" w:eastAsia="宋体" w:cs="宋体"/>
          <w:color w:val="000000" w:themeColor="text1"/>
          <w:highlight w:val="none"/>
          <w:lang w:val="en-US" w:eastAsia="zh-CN"/>
          <w14:textFill>
            <w14:solidFill>
              <w14:schemeClr w14:val="tx1"/>
            </w14:solidFill>
          </w14:textFill>
        </w:rPr>
      </w:pPr>
    </w:p>
    <w:p w14:paraId="1DDBF73A">
      <w:pPr>
        <w:pStyle w:val="17"/>
        <w:rPr>
          <w:rFonts w:hint="eastAsia" w:ascii="宋体" w:hAnsi="宋体" w:eastAsia="宋体" w:cs="宋体"/>
          <w:color w:val="000000" w:themeColor="text1"/>
          <w:highlight w:val="none"/>
          <w:lang w:val="en-US" w:eastAsia="zh-CN"/>
          <w14:textFill>
            <w14:solidFill>
              <w14:schemeClr w14:val="tx1"/>
            </w14:solidFill>
          </w14:textFill>
        </w:rPr>
      </w:pPr>
    </w:p>
    <w:p w14:paraId="43C9BF9D">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b/>
          <w:bCs/>
          <w:color w:val="000000" w:themeColor="text1"/>
          <w:sz w:val="36"/>
          <w:szCs w:val="22"/>
          <w:highlight w:val="none"/>
          <w:lang w:val="en-US" w:eastAsia="zh-CN"/>
          <w14:textFill>
            <w14:solidFill>
              <w14:schemeClr w14:val="tx1"/>
            </w14:solidFill>
          </w14:textFill>
        </w:rPr>
      </w:pPr>
      <w:r>
        <w:rPr>
          <w:rFonts w:hint="eastAsia" w:ascii="宋体" w:hAnsi="宋体" w:eastAsia="宋体" w:cs="宋体"/>
          <w:b/>
          <w:bCs/>
          <w:color w:val="000000" w:themeColor="text1"/>
          <w:sz w:val="36"/>
          <w:szCs w:val="22"/>
          <w:highlight w:val="none"/>
          <w14:textFill>
            <w14:solidFill>
              <w14:schemeClr w14:val="tx1"/>
            </w14:solidFill>
          </w14:textFill>
        </w:rPr>
        <w:br w:type="page"/>
      </w:r>
      <w:r>
        <w:rPr>
          <w:rFonts w:hint="eastAsia" w:ascii="宋体" w:hAnsi="宋体" w:eastAsia="宋体" w:cs="宋体"/>
          <w:b w:val="0"/>
          <w:bCs w:val="0"/>
          <w:color w:val="000000" w:themeColor="text1"/>
          <w:kern w:val="2"/>
          <w:sz w:val="30"/>
          <w:szCs w:val="30"/>
          <w:highlight w:val="none"/>
          <w:lang w:val="en-US" w:eastAsia="zh-CN" w:bidi="ar-SA"/>
          <w14:textFill>
            <w14:solidFill>
              <w14:schemeClr w14:val="tx1"/>
            </w14:solidFill>
          </w14:textFill>
        </w:rPr>
        <w:t>表六</w:t>
      </w:r>
    </w:p>
    <w:p w14:paraId="4A985E00">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000000" w:themeColor="text1"/>
          <w:sz w:val="36"/>
          <w:szCs w:val="22"/>
          <w:highlight w:val="none"/>
          <w14:textFill>
            <w14:solidFill>
              <w14:schemeClr w14:val="tx1"/>
            </w14:solidFill>
          </w14:textFill>
        </w:rPr>
      </w:pPr>
      <w:r>
        <w:rPr>
          <w:rFonts w:hint="eastAsia" w:ascii="宋体" w:hAnsi="宋体" w:eastAsia="宋体" w:cs="宋体"/>
          <w:b/>
          <w:bCs/>
          <w:color w:val="000000" w:themeColor="text1"/>
          <w:sz w:val="36"/>
          <w:szCs w:val="22"/>
          <w:highlight w:val="none"/>
          <w14:textFill>
            <w14:solidFill>
              <w14:schemeClr w14:val="tx1"/>
            </w14:solidFill>
          </w14:textFill>
        </w:rPr>
        <w:t>中小企业声明函（工程、服务）</w:t>
      </w:r>
    </w:p>
    <w:p w14:paraId="78DBF896">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000000" w:themeColor="text1"/>
          <w:sz w:val="36"/>
          <w:szCs w:val="22"/>
          <w:highlight w:val="none"/>
          <w14:textFill>
            <w14:solidFill>
              <w14:schemeClr w14:val="tx1"/>
            </w14:solidFill>
          </w14:textFill>
        </w:rPr>
      </w:pPr>
    </w:p>
    <w:p w14:paraId="1D663C41">
      <w:pPr>
        <w:spacing w:before="145" w:beforeLines="50" w:after="145" w:afterLines="50" w:line="30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bCs/>
          <w:i/>
          <w:iCs/>
          <w:color w:val="000000" w:themeColor="text1"/>
          <w:sz w:val="24"/>
          <w:highlight w:val="none"/>
          <w:u w:val="single"/>
          <w14:textFill>
            <w14:solidFill>
              <w14:schemeClr w14:val="tx1"/>
            </w14:solidFill>
          </w14:textFill>
        </w:rPr>
        <w:t>单位名称</w:t>
      </w:r>
      <w:r>
        <w:rPr>
          <w:rFonts w:hint="eastAsia" w:ascii="宋体" w:hAnsi="宋体" w:eastAsia="宋体" w:cs="宋体"/>
          <w:bCs/>
          <w:color w:val="000000" w:themeColor="text1"/>
          <w:sz w:val="24"/>
          <w:highlight w:val="none"/>
          <w14:textFill>
            <w14:solidFill>
              <w14:schemeClr w14:val="tx1"/>
            </w14:solidFill>
          </w14:textFill>
        </w:rPr>
        <w:t>）的（</w:t>
      </w:r>
      <w:r>
        <w:rPr>
          <w:rFonts w:hint="eastAsia" w:ascii="宋体" w:hAnsi="宋体" w:eastAsia="宋体" w:cs="宋体"/>
          <w:bCs/>
          <w:i/>
          <w:iCs/>
          <w:color w:val="000000" w:themeColor="text1"/>
          <w:sz w:val="24"/>
          <w:highlight w:val="none"/>
          <w:u w:val="single"/>
          <w14:textFill>
            <w14:solidFill>
              <w14:schemeClr w14:val="tx1"/>
            </w14:solidFill>
          </w14:textFill>
        </w:rPr>
        <w:t>项目名称</w:t>
      </w:r>
      <w:r>
        <w:rPr>
          <w:rFonts w:hint="eastAsia" w:ascii="宋体" w:hAnsi="宋体" w:eastAsia="宋体" w:cs="宋体"/>
          <w:bCs/>
          <w:color w:val="000000" w:themeColor="text1"/>
          <w:sz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465B7F19">
      <w:pPr>
        <w:spacing w:before="145" w:beforeLines="50" w:after="145" w:afterLines="50" w:line="30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 （</w:t>
      </w:r>
      <w:r>
        <w:rPr>
          <w:rFonts w:hint="eastAsia" w:ascii="宋体" w:hAnsi="宋体" w:eastAsia="宋体" w:cs="宋体"/>
          <w:bCs/>
          <w:i/>
          <w:iCs/>
          <w:color w:val="000000" w:themeColor="text1"/>
          <w:sz w:val="24"/>
          <w:highlight w:val="none"/>
          <w:u w:val="single"/>
          <w14:textFill>
            <w14:solidFill>
              <w14:schemeClr w14:val="tx1"/>
            </w14:solidFill>
          </w14:textFill>
        </w:rPr>
        <w:t>标的名称</w:t>
      </w:r>
      <w:r>
        <w:rPr>
          <w:rFonts w:hint="eastAsia" w:ascii="宋体" w:hAnsi="宋体" w:eastAsia="宋体" w:cs="宋体"/>
          <w:bCs/>
          <w:color w:val="000000" w:themeColor="text1"/>
          <w:sz w:val="24"/>
          <w:highlight w:val="none"/>
          <w14:textFill>
            <w14:solidFill>
              <w14:schemeClr w14:val="tx1"/>
            </w14:solidFill>
          </w14:textFill>
        </w:rPr>
        <w:t>） ，属于（</w:t>
      </w:r>
      <w:r>
        <w:rPr>
          <w:rFonts w:hint="eastAsia" w:ascii="宋体" w:hAnsi="宋体" w:eastAsia="宋体" w:cs="宋体"/>
          <w:bCs/>
          <w:i/>
          <w:iCs/>
          <w:color w:val="000000" w:themeColor="text1"/>
          <w:sz w:val="24"/>
          <w:highlight w:val="none"/>
          <w:u w:val="single"/>
          <w14:textFill>
            <w14:solidFill>
              <w14:schemeClr w14:val="tx1"/>
            </w14:solidFill>
          </w14:textFill>
        </w:rPr>
        <w:t>采购文件中明确的所属行业</w:t>
      </w:r>
      <w:r>
        <w:rPr>
          <w:rFonts w:hint="eastAsia" w:ascii="宋体" w:hAnsi="宋体" w:eastAsia="宋体" w:cs="宋体"/>
          <w:bCs/>
          <w:color w:val="000000" w:themeColor="text1"/>
          <w:sz w:val="24"/>
          <w:highlight w:val="none"/>
          <w14:textFill>
            <w14:solidFill>
              <w14:schemeClr w14:val="tx1"/>
            </w14:solidFill>
          </w14:textFill>
        </w:rPr>
        <w:t>）；承建（承接）企业为（</w:t>
      </w:r>
      <w:r>
        <w:rPr>
          <w:rFonts w:hint="eastAsia" w:ascii="宋体" w:hAnsi="宋体" w:eastAsia="宋体" w:cs="宋体"/>
          <w:bCs/>
          <w:i/>
          <w:iCs/>
          <w:color w:val="000000" w:themeColor="text1"/>
          <w:sz w:val="24"/>
          <w:highlight w:val="none"/>
          <w:u w:val="single"/>
          <w14:textFill>
            <w14:solidFill>
              <w14:schemeClr w14:val="tx1"/>
            </w14:solidFill>
          </w14:textFill>
        </w:rPr>
        <w:t>企业名称</w:t>
      </w:r>
      <w:r>
        <w:rPr>
          <w:rFonts w:hint="eastAsia" w:ascii="宋体" w:hAnsi="宋体" w:eastAsia="宋体" w:cs="宋体"/>
          <w:bCs/>
          <w:color w:val="000000" w:themeColor="text1"/>
          <w:sz w:val="24"/>
          <w:highlight w:val="none"/>
          <w14:textFill>
            <w14:solidFill>
              <w14:schemeClr w14:val="tx1"/>
            </w14:solidFill>
          </w14:textFill>
        </w:rPr>
        <w:t>），从业人员</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人，营业收入为</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万元，资产总额为</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万元，属于（</w:t>
      </w:r>
      <w:r>
        <w:rPr>
          <w:rFonts w:hint="eastAsia" w:ascii="宋体" w:hAnsi="宋体" w:eastAsia="宋体" w:cs="宋体"/>
          <w:bCs/>
          <w:i/>
          <w:iCs/>
          <w:color w:val="000000" w:themeColor="text1"/>
          <w:sz w:val="24"/>
          <w:highlight w:val="none"/>
          <w:u w:val="single"/>
          <w14:textFill>
            <w14:solidFill>
              <w14:schemeClr w14:val="tx1"/>
            </w14:solidFill>
          </w14:textFill>
        </w:rPr>
        <w:t>中型企业、小型企业、微型企业</w:t>
      </w:r>
      <w:r>
        <w:rPr>
          <w:rFonts w:hint="eastAsia" w:ascii="宋体" w:hAnsi="宋体" w:eastAsia="宋体" w:cs="宋体"/>
          <w:bCs/>
          <w:color w:val="000000" w:themeColor="text1"/>
          <w:sz w:val="24"/>
          <w:highlight w:val="none"/>
          <w14:textFill>
            <w14:solidFill>
              <w14:schemeClr w14:val="tx1"/>
            </w14:solidFill>
          </w14:textFill>
        </w:rPr>
        <w:t>）；</w:t>
      </w:r>
    </w:p>
    <w:p w14:paraId="015E5562">
      <w:pPr>
        <w:spacing w:before="145" w:beforeLines="50" w:after="145" w:afterLines="50" w:line="30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 （</w:t>
      </w:r>
      <w:r>
        <w:rPr>
          <w:rFonts w:hint="eastAsia" w:ascii="宋体" w:hAnsi="宋体" w:eastAsia="宋体" w:cs="宋体"/>
          <w:bCs/>
          <w:i/>
          <w:iCs/>
          <w:color w:val="000000" w:themeColor="text1"/>
          <w:sz w:val="24"/>
          <w:highlight w:val="none"/>
          <w:u w:val="single"/>
          <w14:textFill>
            <w14:solidFill>
              <w14:schemeClr w14:val="tx1"/>
            </w14:solidFill>
          </w14:textFill>
        </w:rPr>
        <w:t>标的名称</w:t>
      </w:r>
      <w:r>
        <w:rPr>
          <w:rFonts w:hint="eastAsia" w:ascii="宋体" w:hAnsi="宋体" w:eastAsia="宋体" w:cs="宋体"/>
          <w:bCs/>
          <w:color w:val="000000" w:themeColor="text1"/>
          <w:sz w:val="24"/>
          <w:highlight w:val="none"/>
          <w14:textFill>
            <w14:solidFill>
              <w14:schemeClr w14:val="tx1"/>
            </w14:solidFill>
          </w14:textFill>
        </w:rPr>
        <w:t>） ，属于（</w:t>
      </w:r>
      <w:r>
        <w:rPr>
          <w:rFonts w:hint="eastAsia" w:ascii="宋体" w:hAnsi="宋体" w:eastAsia="宋体" w:cs="宋体"/>
          <w:bCs/>
          <w:i/>
          <w:iCs/>
          <w:color w:val="000000" w:themeColor="text1"/>
          <w:sz w:val="24"/>
          <w:highlight w:val="none"/>
          <w:u w:val="single"/>
          <w14:textFill>
            <w14:solidFill>
              <w14:schemeClr w14:val="tx1"/>
            </w14:solidFill>
          </w14:textFill>
        </w:rPr>
        <w:t>采购文件中明确的所属行业</w:t>
      </w:r>
      <w:r>
        <w:rPr>
          <w:rFonts w:hint="eastAsia" w:ascii="宋体" w:hAnsi="宋体" w:eastAsia="宋体" w:cs="宋体"/>
          <w:bCs/>
          <w:color w:val="000000" w:themeColor="text1"/>
          <w:sz w:val="24"/>
          <w:highlight w:val="none"/>
          <w14:textFill>
            <w14:solidFill>
              <w14:schemeClr w14:val="tx1"/>
            </w14:solidFill>
          </w14:textFill>
        </w:rPr>
        <w:t>）；承建（承接）企业为（</w:t>
      </w:r>
      <w:r>
        <w:rPr>
          <w:rFonts w:hint="eastAsia" w:ascii="宋体" w:hAnsi="宋体" w:eastAsia="宋体" w:cs="宋体"/>
          <w:bCs/>
          <w:i/>
          <w:iCs/>
          <w:color w:val="000000" w:themeColor="text1"/>
          <w:sz w:val="24"/>
          <w:highlight w:val="none"/>
          <w:u w:val="single"/>
          <w14:textFill>
            <w14:solidFill>
              <w14:schemeClr w14:val="tx1"/>
            </w14:solidFill>
          </w14:textFill>
        </w:rPr>
        <w:t>企业名称</w:t>
      </w:r>
      <w:r>
        <w:rPr>
          <w:rFonts w:hint="eastAsia" w:ascii="宋体" w:hAnsi="宋体" w:eastAsia="宋体" w:cs="宋体"/>
          <w:bCs/>
          <w:color w:val="000000" w:themeColor="text1"/>
          <w:sz w:val="24"/>
          <w:highlight w:val="none"/>
          <w14:textFill>
            <w14:solidFill>
              <w14:schemeClr w14:val="tx1"/>
            </w14:solidFill>
          </w14:textFill>
        </w:rPr>
        <w:t>），从业人员</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人，营业收入为</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万元，资产总额为</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万元，属于（</w:t>
      </w:r>
      <w:r>
        <w:rPr>
          <w:rFonts w:hint="eastAsia" w:ascii="宋体" w:hAnsi="宋体" w:eastAsia="宋体" w:cs="宋体"/>
          <w:bCs/>
          <w:i/>
          <w:iCs/>
          <w:color w:val="000000" w:themeColor="text1"/>
          <w:sz w:val="24"/>
          <w:highlight w:val="none"/>
          <w:u w:val="single"/>
          <w14:textFill>
            <w14:solidFill>
              <w14:schemeClr w14:val="tx1"/>
            </w14:solidFill>
          </w14:textFill>
        </w:rPr>
        <w:t>中型企业、小型企业、微型企业</w:t>
      </w:r>
      <w:r>
        <w:rPr>
          <w:rFonts w:hint="eastAsia" w:ascii="宋体" w:hAnsi="宋体" w:eastAsia="宋体" w:cs="宋体"/>
          <w:bCs/>
          <w:color w:val="000000" w:themeColor="text1"/>
          <w:sz w:val="24"/>
          <w:highlight w:val="none"/>
          <w14:textFill>
            <w14:solidFill>
              <w14:schemeClr w14:val="tx1"/>
            </w14:solidFill>
          </w14:textFill>
        </w:rPr>
        <w:t>）；</w:t>
      </w:r>
    </w:p>
    <w:p w14:paraId="4823F47E">
      <w:pPr>
        <w:spacing w:before="145" w:beforeLines="50" w:after="145" w:afterLines="50" w:line="30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w:t>
      </w:r>
    </w:p>
    <w:p w14:paraId="609F9DF2">
      <w:pPr>
        <w:spacing w:before="145" w:beforeLines="50" w:after="145" w:afterLines="50" w:line="30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049167A0">
      <w:pPr>
        <w:spacing w:before="145" w:beforeLines="50" w:after="145" w:afterLines="50" w:line="30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本企业对上述声明内容的真实性负责。如有虚假，将依法承担相应责任。</w:t>
      </w:r>
    </w:p>
    <w:p w14:paraId="0432851A">
      <w:pPr>
        <w:spacing w:before="145" w:beforeLines="50" w:after="145" w:afterLines="50" w:line="300" w:lineRule="auto"/>
        <w:rPr>
          <w:rFonts w:hint="eastAsia" w:ascii="宋体" w:hAnsi="宋体" w:eastAsia="宋体" w:cs="宋体"/>
          <w:bCs/>
          <w:color w:val="000000" w:themeColor="text1"/>
          <w:sz w:val="24"/>
          <w:highlight w:val="none"/>
          <w14:textFill>
            <w14:solidFill>
              <w14:schemeClr w14:val="tx1"/>
            </w14:solidFill>
          </w14:textFill>
        </w:rPr>
      </w:pPr>
    </w:p>
    <w:p w14:paraId="04A9B726">
      <w:pPr>
        <w:spacing w:before="145" w:beforeLines="50" w:after="145" w:afterLines="50" w:line="300" w:lineRule="auto"/>
        <w:rPr>
          <w:rFonts w:hint="eastAsia" w:ascii="宋体" w:hAnsi="宋体" w:eastAsia="宋体" w:cs="宋体"/>
          <w:bCs/>
          <w:color w:val="000000" w:themeColor="text1"/>
          <w:sz w:val="24"/>
          <w:highlight w:val="none"/>
          <w14:textFill>
            <w14:solidFill>
              <w14:schemeClr w14:val="tx1"/>
            </w14:solidFill>
          </w14:textFill>
        </w:rPr>
      </w:pPr>
    </w:p>
    <w:p w14:paraId="7D395D33">
      <w:pPr>
        <w:spacing w:before="145" w:beforeLines="50" w:after="145" w:afterLines="50" w:line="300" w:lineRule="auto"/>
        <w:ind w:firstLine="4320" w:firstLineChars="18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企业名称（盖章）：</w:t>
      </w:r>
    </w:p>
    <w:p w14:paraId="5CF73C20">
      <w:pPr>
        <w:spacing w:before="145" w:beforeLines="50" w:after="145" w:afterLines="50" w:line="300" w:lineRule="auto"/>
        <w:ind w:firstLine="4320" w:firstLineChars="18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日期：</w:t>
      </w:r>
    </w:p>
    <w:p w14:paraId="4C7FF07E">
      <w:pPr>
        <w:pStyle w:val="17"/>
        <w:ind w:left="0" w:leftChars="0" w:firstLine="0" w:firstLineChars="0"/>
        <w:rPr>
          <w:rFonts w:hint="eastAsia" w:ascii="宋体" w:hAnsi="宋体" w:eastAsia="宋体" w:cs="宋体"/>
          <w:color w:val="000000" w:themeColor="text1"/>
          <w:highlight w:val="none"/>
          <w:lang w:val="en-US" w:eastAsia="zh-CN"/>
          <w14:textFill>
            <w14:solidFill>
              <w14:schemeClr w14:val="tx1"/>
            </w14:solidFill>
          </w14:textFill>
        </w:rPr>
      </w:pPr>
    </w:p>
    <w:p w14:paraId="12C2475F">
      <w:pPr>
        <w:rPr>
          <w:rFonts w:hint="eastAsia" w:ascii="宋体" w:hAnsi="宋体" w:eastAsia="宋体" w:cs="宋体"/>
          <w:color w:val="000000" w:themeColor="text1"/>
          <w:highlight w:val="none"/>
          <w:lang w:val="en-US" w:eastAsia="zh-CN"/>
          <w14:textFill>
            <w14:solidFill>
              <w14:schemeClr w14:val="tx1"/>
            </w14:solidFill>
          </w14:textFill>
        </w:rPr>
      </w:pPr>
    </w:p>
    <w:p w14:paraId="13D45D40">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000000" w:themeColor="text1"/>
          <w:sz w:val="18"/>
          <w:highlight w:val="none"/>
          <w14:textFill>
            <w14:solidFill>
              <w14:schemeClr w14:val="tx1"/>
            </w14:solidFill>
          </w14:textFill>
        </w:rPr>
      </w:pPr>
      <w:r>
        <w:rPr>
          <w:rFonts w:hint="eastAsia" w:ascii="宋体" w:hAnsi="宋体" w:eastAsia="宋体" w:cs="宋体"/>
          <w:b/>
          <w:bCs/>
          <w:color w:val="000000" w:themeColor="text1"/>
          <w:sz w:val="18"/>
          <w:highlight w:val="none"/>
          <w:lang w:val="en-US" w:eastAsia="zh-CN"/>
          <w14:textFill>
            <w14:solidFill>
              <w14:schemeClr w14:val="tx1"/>
            </w14:solidFill>
          </w14:textFill>
        </w:rPr>
        <w:t>备注：1、</w:t>
      </w:r>
      <w:r>
        <w:rPr>
          <w:rFonts w:hint="eastAsia" w:ascii="宋体" w:hAnsi="宋体" w:eastAsia="宋体" w:cs="宋体"/>
          <w:b/>
          <w:bCs/>
          <w:color w:val="000000" w:themeColor="text1"/>
          <w:sz w:val="18"/>
          <w:highlight w:val="none"/>
          <w14:textFill>
            <w14:solidFill>
              <w14:schemeClr w14:val="tx1"/>
            </w14:solidFill>
          </w14:textFill>
        </w:rPr>
        <w:t>从业人员、营业收入、资产总额填报上一年度数据，无上一年度数据的新成立企业可不填报。</w:t>
      </w:r>
    </w:p>
    <w:p w14:paraId="62B37B5C">
      <w:pPr>
        <w:keepNext w:val="0"/>
        <w:keepLines w:val="0"/>
        <w:pageBreakBefore w:val="0"/>
        <w:widowControl/>
        <w:kinsoku/>
        <w:wordWrap/>
        <w:overflowPunct/>
        <w:topLinePunct w:val="0"/>
        <w:autoSpaceDE/>
        <w:autoSpaceDN/>
        <w:bidi w:val="0"/>
        <w:adjustRightInd/>
        <w:snapToGrid/>
        <w:spacing w:line="400" w:lineRule="exact"/>
        <w:ind w:firstLine="542" w:firstLineChars="300"/>
        <w:jc w:val="both"/>
        <w:textAlignment w:val="auto"/>
        <w:rPr>
          <w:rFonts w:hint="eastAsia" w:ascii="宋体" w:hAnsi="宋体" w:eastAsia="宋体" w:cs="宋体"/>
          <w:b/>
          <w:bCs/>
          <w:color w:val="000000" w:themeColor="text1"/>
          <w:sz w:val="18"/>
          <w:szCs w:val="22"/>
          <w:highlight w:val="none"/>
          <w:lang w:val="en-US" w:eastAsia="zh-CN"/>
          <w14:textFill>
            <w14:solidFill>
              <w14:schemeClr w14:val="tx1"/>
            </w14:solidFill>
          </w14:textFill>
        </w:rPr>
      </w:pPr>
      <w:r>
        <w:rPr>
          <w:rFonts w:hint="eastAsia" w:ascii="宋体" w:hAnsi="宋体" w:eastAsia="宋体" w:cs="宋体"/>
          <w:b/>
          <w:bCs/>
          <w:color w:val="000000" w:themeColor="text1"/>
          <w:sz w:val="18"/>
          <w:szCs w:val="22"/>
          <w:highlight w:val="none"/>
          <w:lang w:val="en-US" w:eastAsia="zh-CN"/>
          <w14:textFill>
            <w14:solidFill>
              <w14:schemeClr w14:val="tx1"/>
            </w14:solidFill>
          </w14:textFill>
        </w:rPr>
        <w:t>2.投标人为中小企业时需提供本声明函，并完整填写从业人员、营业收入、资产总额等内容，否则评审时不能享受相应的价格扣除。</w:t>
      </w:r>
    </w:p>
    <w:p w14:paraId="5F33DADE">
      <w:pPr>
        <w:keepNext w:val="0"/>
        <w:keepLines w:val="0"/>
        <w:pageBreakBefore w:val="0"/>
        <w:widowControl/>
        <w:kinsoku/>
        <w:wordWrap/>
        <w:overflowPunct/>
        <w:topLinePunct w:val="0"/>
        <w:autoSpaceDE/>
        <w:autoSpaceDN/>
        <w:bidi w:val="0"/>
        <w:adjustRightInd/>
        <w:snapToGrid/>
        <w:spacing w:line="400" w:lineRule="exact"/>
        <w:ind w:firstLine="542" w:firstLineChars="300"/>
        <w:jc w:val="both"/>
        <w:textAlignment w:val="auto"/>
        <w:rPr>
          <w:rFonts w:hint="eastAsia" w:ascii="宋体" w:hAnsi="宋体" w:eastAsia="宋体" w:cs="宋体"/>
          <w:b/>
          <w:bCs/>
          <w:color w:val="000000" w:themeColor="text1"/>
          <w:sz w:val="18"/>
          <w:szCs w:val="22"/>
          <w:highlight w:val="none"/>
          <w:lang w:val="en-US" w:eastAsia="zh-CN"/>
          <w14:textFill>
            <w14:solidFill>
              <w14:schemeClr w14:val="tx1"/>
            </w14:solidFill>
          </w14:textFill>
        </w:rPr>
      </w:pPr>
    </w:p>
    <w:p w14:paraId="70BC05D2">
      <w:pPr>
        <w:spacing w:before="145" w:beforeLines="50" w:after="145" w:afterLines="50" w:line="300" w:lineRule="auto"/>
        <w:rPr>
          <w:rFonts w:hint="eastAsia" w:ascii="宋体" w:hAnsi="宋体" w:eastAsia="宋体" w:cs="宋体"/>
          <w:bCs/>
          <w:color w:val="000000" w:themeColor="text1"/>
          <w:sz w:val="24"/>
          <w:highlight w:val="none"/>
          <w14:textFill>
            <w14:solidFill>
              <w14:schemeClr w14:val="tx1"/>
            </w14:solidFill>
          </w14:textFill>
        </w:rPr>
      </w:pPr>
    </w:p>
    <w:p w14:paraId="4E649C0D">
      <w:pPr>
        <w:pStyle w:val="17"/>
        <w:rPr>
          <w:rFonts w:hint="eastAsia" w:ascii="宋体" w:hAnsi="宋体" w:eastAsia="宋体" w:cs="宋体"/>
          <w:bCs/>
          <w:color w:val="000000" w:themeColor="text1"/>
          <w:sz w:val="24"/>
          <w:highlight w:val="none"/>
          <w14:textFill>
            <w14:solidFill>
              <w14:schemeClr w14:val="tx1"/>
            </w14:solidFill>
          </w14:textFill>
        </w:rPr>
      </w:pPr>
    </w:p>
    <w:p w14:paraId="45455ACA">
      <w:pPr>
        <w:rPr>
          <w:rFonts w:hint="eastAsia" w:ascii="宋体" w:hAnsi="宋体" w:eastAsia="宋体" w:cs="宋体"/>
          <w:bCs/>
          <w:color w:val="000000" w:themeColor="text1"/>
          <w:sz w:val="24"/>
          <w:highlight w:val="none"/>
          <w14:textFill>
            <w14:solidFill>
              <w14:schemeClr w14:val="tx1"/>
            </w14:solidFill>
          </w14:textFill>
        </w:rPr>
      </w:pPr>
    </w:p>
    <w:p w14:paraId="158B0DD2">
      <w:pPr>
        <w:pStyle w:val="17"/>
        <w:rPr>
          <w:rFonts w:hint="eastAsia" w:ascii="宋体" w:hAnsi="宋体" w:eastAsia="宋体" w:cs="宋体"/>
          <w:color w:val="000000" w:themeColor="text1"/>
          <w:highlight w:val="none"/>
          <w14:textFill>
            <w14:solidFill>
              <w14:schemeClr w14:val="tx1"/>
            </w14:solidFill>
          </w14:textFill>
        </w:rPr>
      </w:pPr>
    </w:p>
    <w:p w14:paraId="13FF5213">
      <w:pPr>
        <w:spacing w:before="145" w:beforeLines="50" w:after="145" w:afterLines="50" w:line="300" w:lineRule="auto"/>
        <w:ind w:firstLine="300" w:firstLineChars="100"/>
        <w:jc w:val="left"/>
        <w:rPr>
          <w:rFonts w:hint="default" w:ascii="宋体" w:hAnsi="宋体" w:eastAsia="宋体" w:cs="宋体"/>
          <w:b w:val="0"/>
          <w:bCs w:val="0"/>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0"/>
          <w:szCs w:val="30"/>
          <w:highlight w:val="none"/>
          <w:lang w:val="en-US" w:eastAsia="zh-CN" w:bidi="ar-SA"/>
          <w14:textFill>
            <w14:solidFill>
              <w14:schemeClr w14:val="tx1"/>
            </w14:solidFill>
          </w14:textFill>
        </w:rPr>
        <w:t xml:space="preserve"> 表七</w:t>
      </w:r>
    </w:p>
    <w:p w14:paraId="48B4DCC0">
      <w:pPr>
        <w:spacing w:before="145" w:beforeLines="50" w:after="145" w:afterLines="50" w:line="300" w:lineRule="auto"/>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残疾人福利性单位声明函</w:t>
      </w:r>
    </w:p>
    <w:p w14:paraId="59EBD11E">
      <w:pPr>
        <w:spacing w:before="145" w:beforeLines="50" w:after="145" w:afterLines="50" w:line="300" w:lineRule="auto"/>
        <w:ind w:firstLine="624" w:firstLineChars="200"/>
        <w:rPr>
          <w:rFonts w:hint="eastAsia" w:ascii="宋体" w:hAnsi="宋体" w:eastAsia="宋体" w:cs="宋体"/>
          <w:color w:val="000000" w:themeColor="text1"/>
          <w:spacing w:val="6"/>
          <w:sz w:val="30"/>
          <w:szCs w:val="30"/>
          <w:highlight w:val="none"/>
          <w14:textFill>
            <w14:solidFill>
              <w14:schemeClr w14:val="tx1"/>
            </w14:solidFill>
          </w14:textFill>
        </w:rPr>
      </w:pPr>
    </w:p>
    <w:p w14:paraId="18678534">
      <w:pPr>
        <w:spacing w:before="145" w:beforeLines="50" w:after="145" w:afterLines="50" w:line="30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 w:val="24"/>
          <w:highlight w:val="none"/>
          <w:lang w:eastAsia="zh-CN"/>
          <w14:textFill>
            <w14:solidFill>
              <w14:schemeClr w14:val="tx1"/>
            </w14:solidFill>
          </w14:textFill>
        </w:rPr>
        <w:t>〔2017〕141号</w:t>
      </w:r>
      <w:r>
        <w:rPr>
          <w:rFonts w:hint="eastAsia" w:ascii="宋体" w:hAnsi="宋体" w:eastAsia="宋体" w:cs="宋体"/>
          <w:color w:val="000000" w:themeColor="text1"/>
          <w:sz w:val="24"/>
          <w:highlight w:val="none"/>
          <w14:textFill>
            <w14:solidFill>
              <w14:schemeClr w14:val="tx1"/>
            </w14:solidFill>
          </w14:textFill>
        </w:rPr>
        <w:t>）的规定，本单位为符合条件的残疾人福利性单位，且本单位参加______单位的采购文件编号为______的</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项目采购活动提供本单位制造的服务或产品（由本单位承担工程/提供服务），或者提供其他残疾人福利性单位制造的服务或产品（不包括使用非残疾人福利性单位注册商标的服务或产品）。</w:t>
      </w:r>
    </w:p>
    <w:p w14:paraId="1F58C031">
      <w:pPr>
        <w:spacing w:before="145" w:beforeLines="50" w:after="145" w:afterLines="50" w:line="30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本单位在本次政府采购活动中提供的残疾人福利单位产品报价合计为人民币（大写）</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圆整（￥：     ）。</w:t>
      </w:r>
    </w:p>
    <w:p w14:paraId="14A6F6FB">
      <w:pPr>
        <w:spacing w:before="145" w:beforeLines="50" w:after="145" w:afterLines="50" w:line="30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本单位对上述声明的真实性负责。如有虚假，将依法承担相应责任。</w:t>
      </w:r>
    </w:p>
    <w:p w14:paraId="1D6C71D1">
      <w:pPr>
        <w:spacing w:before="145" w:beforeLines="50" w:after="145" w:afterLines="50" w:line="30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1CE3B76B">
      <w:pPr>
        <w:spacing w:before="145" w:beforeLines="50" w:after="145" w:afterLines="50" w:line="30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（备注：1、供应商如不提供此声明函，价格将不做相应扣除。2、中标供应商为残疾人福利单位的，此声明函将随中标结果同时公告，接受社会监督）</w:t>
      </w:r>
    </w:p>
    <w:p w14:paraId="6459A2D8">
      <w:pPr>
        <w:spacing w:before="145" w:beforeLines="50" w:after="145" w:afterLines="50" w:line="300" w:lineRule="auto"/>
        <w:ind w:firstLine="624" w:firstLineChars="200"/>
        <w:rPr>
          <w:rFonts w:hint="eastAsia" w:ascii="宋体" w:hAnsi="宋体" w:eastAsia="宋体" w:cs="宋体"/>
          <w:color w:val="000000" w:themeColor="text1"/>
          <w:spacing w:val="6"/>
          <w:sz w:val="30"/>
          <w:szCs w:val="30"/>
          <w:highlight w:val="none"/>
          <w14:textFill>
            <w14:solidFill>
              <w14:schemeClr w14:val="tx1"/>
            </w14:solidFill>
          </w14:textFill>
        </w:rPr>
      </w:pPr>
    </w:p>
    <w:p w14:paraId="68A505F1">
      <w:pPr>
        <w:tabs>
          <w:tab w:val="left" w:pos="4860"/>
        </w:tabs>
        <w:spacing w:before="145" w:beforeLines="50" w:after="145" w:afterLines="50" w:line="300" w:lineRule="auto"/>
        <w:ind w:right="1560" w:firstLine="624" w:firstLineChars="20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6"/>
          <w:sz w:val="30"/>
          <w:szCs w:val="30"/>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供应商全称（盖章）：</w:t>
      </w:r>
    </w:p>
    <w:p w14:paraId="10FF4A22">
      <w:pPr>
        <w:tabs>
          <w:tab w:val="left" w:pos="4860"/>
        </w:tabs>
        <w:spacing w:before="145" w:beforeLines="50" w:after="145" w:afterLines="50" w:line="300" w:lineRule="auto"/>
        <w:ind w:right="1560" w:firstLine="480" w:firstLineChars="20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日  期：</w:t>
      </w:r>
    </w:p>
    <w:p w14:paraId="4C7229CE">
      <w:pPr>
        <w:spacing w:before="145" w:beforeLines="50" w:after="145" w:afterLines="50" w:line="30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（备注：投标人如未提供此声明函，价格将不做相应扣除，但投标不会被拒绝；如未如实声明，需承担相应法律责任。）</w:t>
      </w:r>
    </w:p>
    <w:p w14:paraId="6B48F7EA">
      <w:pPr>
        <w:pStyle w:val="3"/>
        <w:rPr>
          <w:rFonts w:hint="eastAsia" w:ascii="宋体" w:hAnsi="宋体" w:eastAsia="宋体" w:cs="宋体"/>
          <w:color w:val="000000" w:themeColor="text1"/>
          <w:sz w:val="24"/>
          <w:szCs w:val="24"/>
          <w:highlight w:val="none"/>
          <w:lang w:eastAsia="zh-CN"/>
          <w14:textFill>
            <w14:solidFill>
              <w14:schemeClr w14:val="tx1"/>
            </w14:solidFill>
          </w14:textFill>
        </w:rPr>
      </w:pPr>
    </w:p>
    <w:p w14:paraId="507A2905">
      <w:pPr>
        <w:pStyle w:val="3"/>
        <w:rPr>
          <w:rFonts w:hint="eastAsia" w:ascii="宋体" w:hAnsi="宋体" w:eastAsia="宋体" w:cs="宋体"/>
          <w:color w:val="000000" w:themeColor="text1"/>
          <w:sz w:val="24"/>
          <w:szCs w:val="24"/>
          <w:highlight w:val="none"/>
          <w:lang w:eastAsia="zh-CN"/>
          <w14:textFill>
            <w14:solidFill>
              <w14:schemeClr w14:val="tx1"/>
            </w14:solidFill>
          </w14:textFill>
        </w:rPr>
      </w:pPr>
    </w:p>
    <w:p w14:paraId="42982268">
      <w:pPr>
        <w:pStyle w:val="3"/>
        <w:rPr>
          <w:rFonts w:hint="eastAsia" w:ascii="宋体" w:hAnsi="宋体" w:eastAsia="宋体" w:cs="宋体"/>
          <w:color w:val="000000" w:themeColor="text1"/>
          <w:sz w:val="24"/>
          <w:szCs w:val="24"/>
          <w:highlight w:val="none"/>
          <w:lang w:eastAsia="zh-CN"/>
          <w14:textFill>
            <w14:solidFill>
              <w14:schemeClr w14:val="tx1"/>
            </w14:solidFill>
          </w14:textFill>
        </w:rPr>
      </w:pPr>
    </w:p>
    <w:p w14:paraId="5832053F">
      <w:pPr>
        <w:pStyle w:val="3"/>
        <w:rPr>
          <w:rFonts w:hint="eastAsia" w:ascii="宋体" w:hAnsi="宋体" w:eastAsia="宋体" w:cs="宋体"/>
          <w:color w:val="000000" w:themeColor="text1"/>
          <w:sz w:val="24"/>
          <w:szCs w:val="24"/>
          <w:highlight w:val="none"/>
          <w14:textFill>
            <w14:solidFill>
              <w14:schemeClr w14:val="tx1"/>
            </w14:solidFill>
          </w14:textFill>
        </w:rPr>
      </w:pPr>
    </w:p>
    <w:p w14:paraId="4B8F0516">
      <w:pPr>
        <w:pStyle w:val="3"/>
        <w:rPr>
          <w:rFonts w:hint="eastAsia" w:ascii="宋体" w:hAnsi="宋体" w:eastAsia="宋体" w:cs="宋体"/>
          <w:color w:val="000000" w:themeColor="text1"/>
          <w:sz w:val="24"/>
          <w:szCs w:val="24"/>
          <w:highlight w:val="none"/>
          <w14:textFill>
            <w14:solidFill>
              <w14:schemeClr w14:val="tx1"/>
            </w14:solidFill>
          </w14:textFill>
        </w:rPr>
      </w:pPr>
    </w:p>
    <w:p w14:paraId="1217B082">
      <w:pPr>
        <w:pStyle w:val="3"/>
        <w:rPr>
          <w:rFonts w:hint="eastAsia" w:ascii="宋体" w:hAnsi="宋体" w:eastAsia="宋体" w:cs="宋体"/>
          <w:color w:val="000000" w:themeColor="text1"/>
          <w:sz w:val="24"/>
          <w:szCs w:val="24"/>
          <w:highlight w:val="none"/>
          <w14:textFill>
            <w14:solidFill>
              <w14:schemeClr w14:val="tx1"/>
            </w14:solidFill>
          </w14:textFill>
        </w:rPr>
      </w:pPr>
    </w:p>
    <w:p w14:paraId="7A201C82">
      <w:pPr>
        <w:pStyle w:val="3"/>
        <w:rPr>
          <w:rFonts w:hint="eastAsia" w:ascii="宋体" w:hAnsi="宋体" w:eastAsia="宋体" w:cs="宋体"/>
          <w:color w:val="000000" w:themeColor="text1"/>
          <w:sz w:val="24"/>
          <w:szCs w:val="24"/>
          <w:highlight w:val="none"/>
          <w14:textFill>
            <w14:solidFill>
              <w14:schemeClr w14:val="tx1"/>
            </w14:solidFill>
          </w14:textFill>
        </w:rPr>
      </w:pPr>
    </w:p>
    <w:p w14:paraId="25B7A49B">
      <w:pPr>
        <w:pStyle w:val="3"/>
        <w:rPr>
          <w:rFonts w:hint="eastAsia" w:ascii="宋体" w:hAnsi="宋体" w:eastAsia="宋体" w:cs="宋体"/>
          <w:color w:val="000000" w:themeColor="text1"/>
          <w:sz w:val="24"/>
          <w:szCs w:val="24"/>
          <w:highlight w:val="none"/>
          <w14:textFill>
            <w14:solidFill>
              <w14:schemeClr w14:val="tx1"/>
            </w14:solidFill>
          </w14:textFill>
        </w:rPr>
      </w:pPr>
    </w:p>
    <w:p w14:paraId="1016BF49">
      <w:pPr>
        <w:pStyle w:val="3"/>
        <w:rPr>
          <w:rFonts w:hint="eastAsia" w:ascii="宋体" w:hAnsi="宋体" w:eastAsia="宋体" w:cs="宋体"/>
          <w:color w:val="000000" w:themeColor="text1"/>
          <w:sz w:val="24"/>
          <w:szCs w:val="24"/>
          <w:highlight w:val="none"/>
          <w14:textFill>
            <w14:solidFill>
              <w14:schemeClr w14:val="tx1"/>
            </w14:solidFill>
          </w14:textFill>
        </w:rPr>
      </w:pPr>
    </w:p>
    <w:bookmarkEnd w:id="239"/>
    <w:bookmarkEnd w:id="240"/>
    <w:p w14:paraId="14F98072">
      <w:pPr>
        <w:jc w:val="left"/>
        <w:rPr>
          <w:rFonts w:hint="eastAsia" w:ascii="宋体" w:hAnsi="宋体" w:eastAsia="宋体" w:cs="宋体"/>
          <w:b w:val="0"/>
          <w:bCs w:val="0"/>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0"/>
          <w:szCs w:val="30"/>
          <w:highlight w:val="none"/>
          <w:lang w:val="en-US" w:eastAsia="zh-CN" w:bidi="ar-SA"/>
          <w14:textFill>
            <w14:solidFill>
              <w14:schemeClr w14:val="tx1"/>
            </w14:solidFill>
          </w14:textFill>
        </w:rPr>
        <w:t>表八</w:t>
      </w:r>
    </w:p>
    <w:p w14:paraId="57E3D3AA">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center"/>
        <w:rPr>
          <w:rFonts w:hint="eastAsia" w:ascii="宋体" w:hAnsi="宋体" w:eastAsia="微软雅黑" w:cs="宋体"/>
          <w:i w:val="0"/>
          <w:iCs w:val="0"/>
          <w:caps w:val="0"/>
          <w:color w:val="000000" w:themeColor="text1"/>
          <w:spacing w:val="0"/>
          <w:sz w:val="21"/>
          <w:szCs w:val="21"/>
          <w:highlight w:val="none"/>
          <w:lang w:val="en-US" w:eastAsia="zh-CN"/>
          <w14:textFill>
            <w14:solidFill>
              <w14:schemeClr w14:val="tx1"/>
            </w14:solidFill>
          </w14:textFill>
        </w:rPr>
      </w:pPr>
      <w:r>
        <w:rPr>
          <w:rFonts w:ascii="微软雅黑" w:hAnsi="微软雅黑" w:eastAsia="微软雅黑" w:cs="微软雅黑"/>
          <w:i w:val="0"/>
          <w:iCs w:val="0"/>
          <w:caps w:val="0"/>
          <w:color w:val="000000" w:themeColor="text1"/>
          <w:spacing w:val="0"/>
          <w:sz w:val="43"/>
          <w:szCs w:val="43"/>
          <w:highlight w:val="none"/>
          <w:shd w:val="clear" w:color="auto" w:fill="FFFFFF"/>
          <w14:textFill>
            <w14:solidFill>
              <w14:schemeClr w14:val="tx1"/>
            </w14:solidFill>
          </w14:textFill>
        </w:rPr>
        <w:t>质疑函</w:t>
      </w:r>
      <w:r>
        <w:rPr>
          <w:rFonts w:hint="eastAsia" w:ascii="微软雅黑" w:hAnsi="微软雅黑" w:eastAsia="微软雅黑" w:cs="微软雅黑"/>
          <w:i w:val="0"/>
          <w:iCs w:val="0"/>
          <w:caps w:val="0"/>
          <w:color w:val="000000" w:themeColor="text1"/>
          <w:spacing w:val="0"/>
          <w:sz w:val="43"/>
          <w:szCs w:val="43"/>
          <w:highlight w:val="none"/>
          <w:shd w:val="clear" w:color="auto" w:fill="FFFFFF"/>
          <w:lang w:val="en-US" w:eastAsia="zh-CN"/>
          <w14:textFill>
            <w14:solidFill>
              <w14:schemeClr w14:val="tx1"/>
            </w14:solidFill>
          </w14:textFill>
        </w:rPr>
        <w:t>范本</w:t>
      </w:r>
    </w:p>
    <w:tbl>
      <w:tblPr>
        <w:tblStyle w:val="3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13"/>
        <w:gridCol w:w="1238"/>
        <w:gridCol w:w="724"/>
        <w:gridCol w:w="1358"/>
        <w:gridCol w:w="1761"/>
        <w:gridCol w:w="935"/>
        <w:gridCol w:w="1687"/>
      </w:tblGrid>
      <w:tr w14:paraId="4D273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1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F673659">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质疑项目</w:t>
            </w:r>
          </w:p>
          <w:p w14:paraId="5F7926FB">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基本情况</w:t>
            </w:r>
          </w:p>
        </w:tc>
        <w:tc>
          <w:tcPr>
            <w:tcW w:w="123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188EB51">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项目名称</w:t>
            </w:r>
          </w:p>
        </w:tc>
        <w:tc>
          <w:tcPr>
            <w:tcW w:w="208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F1321C1">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269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C8E1081">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1687"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57790D4">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r>
      <w:tr w14:paraId="469E8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7BA0D26">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123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C63A1A9">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项目编号</w:t>
            </w:r>
          </w:p>
        </w:tc>
        <w:tc>
          <w:tcPr>
            <w:tcW w:w="208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7D30BCD">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269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A764F41">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包  号</w:t>
            </w:r>
          </w:p>
        </w:tc>
        <w:tc>
          <w:tcPr>
            <w:tcW w:w="1687"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CD78A9B">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r>
      <w:tr w14:paraId="03EBA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D6C3F1F">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123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B7159F9">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采购人名称</w:t>
            </w:r>
          </w:p>
        </w:tc>
        <w:tc>
          <w:tcPr>
            <w:tcW w:w="6465"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D569C57">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r>
      <w:tr w14:paraId="1C811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6EE60CE">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123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E1B8B01">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采购公告时间</w:t>
            </w:r>
          </w:p>
        </w:tc>
        <w:tc>
          <w:tcPr>
            <w:tcW w:w="208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08D6A20">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年</w:t>
            </w: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月</w:t>
            </w: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日</w:t>
            </w:r>
          </w:p>
        </w:tc>
        <w:tc>
          <w:tcPr>
            <w:tcW w:w="269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35E6BEB">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中标（成交）公告时间</w:t>
            </w:r>
          </w:p>
        </w:tc>
        <w:tc>
          <w:tcPr>
            <w:tcW w:w="1687"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BA0FE9C">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年</w:t>
            </w: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月</w:t>
            </w: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日</w:t>
            </w:r>
          </w:p>
        </w:tc>
      </w:tr>
      <w:tr w14:paraId="4E97F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969BC96">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123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94ED44F">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更正公告时间</w:t>
            </w:r>
          </w:p>
          <w:p w14:paraId="00BE5D5B">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（包含采购文件和采购结果更正公告）</w:t>
            </w:r>
          </w:p>
        </w:tc>
        <w:tc>
          <w:tcPr>
            <w:tcW w:w="208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4EE8800">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年</w:t>
            </w: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月</w:t>
            </w: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日</w:t>
            </w:r>
          </w:p>
        </w:tc>
        <w:tc>
          <w:tcPr>
            <w:tcW w:w="269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026058A">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终止公告时间（包含废标和采购任务取消）</w:t>
            </w:r>
          </w:p>
        </w:tc>
        <w:tc>
          <w:tcPr>
            <w:tcW w:w="1687"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4D58D77">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年</w:t>
            </w: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月</w:t>
            </w: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日</w:t>
            </w:r>
          </w:p>
        </w:tc>
      </w:tr>
      <w:tr w14:paraId="6E754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1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6A01898">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质疑供应商基本信息</w:t>
            </w:r>
          </w:p>
        </w:tc>
        <w:tc>
          <w:tcPr>
            <w:tcW w:w="123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B20668D">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单位名称</w:t>
            </w:r>
          </w:p>
        </w:tc>
        <w:tc>
          <w:tcPr>
            <w:tcW w:w="6465"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F5FC01F">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r>
      <w:tr w14:paraId="6D0A5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2FCA6E2">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123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18BAF2E">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地址</w:t>
            </w:r>
          </w:p>
        </w:tc>
        <w:tc>
          <w:tcPr>
            <w:tcW w:w="208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8A000BA">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269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3188C2A">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邮编</w:t>
            </w:r>
          </w:p>
        </w:tc>
        <w:tc>
          <w:tcPr>
            <w:tcW w:w="1687"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36F4867">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r>
      <w:tr w14:paraId="444A8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A2FEDA2">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123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00B898A">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联系人</w:t>
            </w:r>
          </w:p>
        </w:tc>
        <w:tc>
          <w:tcPr>
            <w:tcW w:w="208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0F0D82A">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269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363FE1D">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联系电话</w:t>
            </w:r>
          </w:p>
        </w:tc>
        <w:tc>
          <w:tcPr>
            <w:tcW w:w="1687"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2D6DF87">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r>
      <w:tr w14:paraId="410ED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5B723B3">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123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D6D1475">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授权代表</w:t>
            </w:r>
          </w:p>
        </w:tc>
        <w:tc>
          <w:tcPr>
            <w:tcW w:w="208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10D3A75">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269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F9C1173">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联系电话</w:t>
            </w:r>
          </w:p>
        </w:tc>
        <w:tc>
          <w:tcPr>
            <w:tcW w:w="1687"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DC857D7">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r>
      <w:tr w14:paraId="26FA2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1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4BF40A1">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质疑事项及相关请求（纸张不够另附）</w:t>
            </w:r>
          </w:p>
        </w:tc>
        <w:tc>
          <w:tcPr>
            <w:tcW w:w="123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DC1DE30">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分    类</w:t>
            </w:r>
          </w:p>
        </w:tc>
        <w:tc>
          <w:tcPr>
            <w:tcW w:w="6465"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13A7DF61">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 采购文件 □ 采购过程 □ 中标或成交结果</w:t>
            </w:r>
          </w:p>
        </w:tc>
      </w:tr>
      <w:tr w14:paraId="21461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25"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508BC7C">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7703" w:type="dxa"/>
            <w:gridSpan w:val="6"/>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015D6C1E">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请逐条列明质疑事项、事实依据和法律依据，并提供必要的证明材料。</w:t>
            </w:r>
          </w:p>
          <w:p w14:paraId="2DF4685E">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质疑事项</w:t>
            </w:r>
            <w: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t>1</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w:t>
            </w:r>
          </w:p>
          <w:p w14:paraId="37D4FA1F">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事实依据：</w:t>
            </w:r>
          </w:p>
          <w:p w14:paraId="3A937727">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法律依据：</w:t>
            </w:r>
          </w:p>
          <w:p w14:paraId="4FF0ED05">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相关请求：</w:t>
            </w:r>
          </w:p>
          <w:p w14:paraId="6CBCE08B">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质疑事项</w:t>
            </w:r>
            <w: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t>2</w:t>
            </w:r>
          </w:p>
          <w:p w14:paraId="6E9B2150">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highlight w:val="none"/>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t>……</w:t>
            </w:r>
          </w:p>
        </w:tc>
      </w:tr>
      <w:tr w14:paraId="66A94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35" w:hRule="atLeast"/>
        </w:trPr>
        <w:tc>
          <w:tcPr>
            <w:tcW w:w="81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2FE85DF">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签字</w:t>
            </w:r>
          </w:p>
          <w:p w14:paraId="172C859C">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或盖人名章</w:t>
            </w:r>
          </w:p>
        </w:tc>
        <w:tc>
          <w:tcPr>
            <w:tcW w:w="1962" w:type="dxa"/>
            <w:gridSpan w:val="2"/>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56D5A08">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311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82AD5AE">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公章</w:t>
            </w:r>
          </w:p>
        </w:tc>
        <w:tc>
          <w:tcPr>
            <w:tcW w:w="262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674594F2">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r>
      <w:tr w14:paraId="2628C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B192CA0">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1962" w:type="dxa"/>
            <w:gridSpan w:val="2"/>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BCC2421">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311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B8F63BD">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日期</w:t>
            </w:r>
          </w:p>
        </w:tc>
        <w:tc>
          <w:tcPr>
            <w:tcW w:w="262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FF11114">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r>
      <w:tr w14:paraId="6E88F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8516" w:type="dxa"/>
            <w:gridSpan w:val="7"/>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CB7DF21">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质疑函制作说明：</w:t>
            </w:r>
          </w:p>
          <w:p w14:paraId="66B62CAE">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1.</w:t>
            </w:r>
            <w:r>
              <w:rPr>
                <w:rFonts w:hint="default"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供应商提出质疑时，应提交质疑函和必要的证明材料</w:t>
            </w:r>
            <w:r>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t>或有效线索</w:t>
            </w:r>
            <w:r>
              <w:rPr>
                <w:rFonts w:hint="default"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；质疑函存在《</w:t>
            </w:r>
            <w:r>
              <w:rPr>
                <w:rFonts w:hint="default"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t>自治区公共资源交易中心</w:t>
            </w: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公共资源交易质疑异议投诉举报处理实施细则</w:t>
            </w:r>
            <w:r>
              <w:rPr>
                <w:rFonts w:hint="default"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》（新政资内发〔202</w:t>
            </w: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2</w:t>
            </w:r>
            <w:r>
              <w:rPr>
                <w:rFonts w:hint="default"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w:t>
            </w: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12</w:t>
            </w:r>
            <w:r>
              <w:rPr>
                <w:rFonts w:hint="default"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号）第十</w:t>
            </w: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四</w:t>
            </w:r>
            <w:r>
              <w:rPr>
                <w:rFonts w:hint="default"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条所列情形的，</w:t>
            </w: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交易</w:t>
            </w:r>
            <w:r>
              <w:rPr>
                <w:rFonts w:hint="default"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中心不予受理。</w:t>
            </w:r>
          </w:p>
          <w:p w14:paraId="208D93C3">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firstLine="420" w:firstLineChars="200"/>
              <w:jc w:val="both"/>
              <w:textAlignment w:val="auto"/>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2.</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质疑函的质疑事项应具体、明确，并有必要的事实依据和法律依据</w:t>
            </w:r>
            <w:r>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t>。</w:t>
            </w:r>
          </w:p>
          <w:p w14:paraId="15C13870">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3.</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质疑函的质疑请求应与质疑事项相关。</w:t>
            </w:r>
          </w:p>
          <w:p w14:paraId="4EEB6AB9">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4</w:t>
            </w:r>
            <w:r>
              <w:rPr>
                <w:rFonts w:hint="eastAsia"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w:t>
            </w:r>
            <w:r>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t>一份质疑函只能针对一个项目提出质疑，且针对同一</w:t>
            </w: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交易</w:t>
            </w:r>
            <w:r>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t>程序环节的质疑应当一次性提出。</w:t>
            </w:r>
            <w:r>
              <w:rPr>
                <w:rFonts w:hint="eastAsia"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质疑对一个项目的不同包提出质疑的</w:t>
            </w:r>
            <w:r>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t>，</w:t>
            </w:r>
            <w:r>
              <w:rPr>
                <w:rFonts w:hint="eastAsia"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应当将各包质疑事项集中在一份质疑函中提出</w:t>
            </w:r>
            <w:r>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t>，</w:t>
            </w: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并在</w:t>
            </w:r>
            <w:r>
              <w:rPr>
                <w:rFonts w:hint="eastAsia"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质疑函中列明具体分包号。</w:t>
            </w:r>
          </w:p>
          <w:p w14:paraId="5A04C33F">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5</w:t>
            </w:r>
            <w:r>
              <w:rPr>
                <w:rFonts w:hint="eastAsia"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质疑供应商若委托代理人进行质疑的，质疑函应按要求列明</w:t>
            </w:r>
            <w:r>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t>“</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授权代表”的有关内容，并在附件中提交由质疑供应商签署的授权委托书。授权委托书应载明代理人的姓名或者名称、代理事项、具体权限、期限和相关事项。</w:t>
            </w:r>
          </w:p>
          <w:p w14:paraId="20F9E9FD">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pPr>
            <w:r>
              <w:rPr>
                <w:rFonts w:hint="eastAsia" w:eastAsia="宋体" w:cs="宋体"/>
                <w:i w:val="0"/>
                <w:iCs w:val="0"/>
                <w:caps w:val="0"/>
                <w:color w:val="000000" w:themeColor="text1"/>
                <w:spacing w:val="0"/>
                <w:sz w:val="21"/>
                <w:szCs w:val="21"/>
                <w:highlight w:val="none"/>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t>.</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质疑供应商为自然人的，质疑函应由本人签字</w:t>
            </w:r>
            <w:r>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t>，</w:t>
            </w: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提供本人及代理人身份证复印件，并在复印件上签字</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；质疑供应商为法人或者其他组织的，质疑函应由法定代表人、主要负责人，或者其授权代表签字或者盖章，并加盖公章</w:t>
            </w:r>
            <w:r>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t>，</w:t>
            </w: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同时提供法人证书（营业执照）复印件、代理人身份证复印件并加盖法人公章</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w:t>
            </w:r>
          </w:p>
          <w:p w14:paraId="06A44DB9">
            <w:pPr>
              <w:widowControl/>
              <w:spacing w:line="400" w:lineRule="exact"/>
              <w:ind w:firstLine="422" w:firstLineChars="200"/>
              <w:jc w:val="left"/>
              <w:rPr>
                <w:rFonts w:hint="default"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pPr>
            <w:r>
              <w:rPr>
                <w:rFonts w:hint="eastAsia" w:ascii="方正仿宋简体" w:hAnsi="方正仿宋简体" w:eastAsia="方正仿宋简体" w:cs="方正仿宋简体"/>
                <w:b/>
                <w:bCs/>
                <w:i w:val="0"/>
                <w:iCs w:val="0"/>
                <w:caps w:val="0"/>
                <w:color w:val="000000" w:themeColor="text1"/>
                <w:spacing w:val="0"/>
                <w:kern w:val="0"/>
                <w:sz w:val="21"/>
                <w:szCs w:val="21"/>
                <w:highlight w:val="none"/>
                <w:lang w:val="en-US" w:eastAsia="zh-CN" w:bidi="ar-SA"/>
                <w14:textFill>
                  <w14:solidFill>
                    <w14:schemeClr w14:val="tx1"/>
                  </w14:solidFill>
                </w14:textFill>
              </w:rPr>
              <w:t>7.质疑函份数要求：一式四份</w:t>
            </w:r>
            <w:r>
              <w:rPr>
                <w:rFonts w:hint="eastAsia" w:ascii="方正仿宋简体" w:hAnsi="方正仿宋简体" w:eastAsia="方正仿宋简体" w:cs="方正仿宋简体"/>
                <w:i w:val="0"/>
                <w:iCs w:val="0"/>
                <w:caps w:val="0"/>
                <w:color w:val="000000" w:themeColor="text1"/>
                <w:spacing w:val="0"/>
                <w:kern w:val="0"/>
                <w:sz w:val="21"/>
                <w:szCs w:val="21"/>
                <w:highlight w:val="none"/>
                <w:lang w:val="en-US" w:eastAsia="zh-CN" w:bidi="ar-SA"/>
                <w14:textFill>
                  <w14:solidFill>
                    <w14:schemeClr w14:val="tx1"/>
                  </w14:solidFill>
                </w14:textFill>
              </w:rPr>
              <w:t>。</w:t>
            </w:r>
          </w:p>
        </w:tc>
      </w:tr>
    </w:tbl>
    <w:p w14:paraId="3F202DAD">
      <w:pPr>
        <w:pStyle w:val="17"/>
        <w:ind w:left="0" w:leftChars="0" w:firstLine="0" w:firstLineChars="0"/>
        <w:rPr>
          <w:rFonts w:hint="default"/>
          <w:color w:val="000000" w:themeColor="text1"/>
          <w:highlight w:val="none"/>
          <w:lang w:eastAsia="zh-CN"/>
          <w14:textFill>
            <w14:solidFill>
              <w14:schemeClr w14:val="tx1"/>
            </w14:solidFill>
          </w14:textFill>
        </w:rPr>
      </w:pPr>
      <w:r>
        <w:rPr>
          <w:rFonts w:hint="default"/>
          <w:color w:val="000000" w:themeColor="text1"/>
          <w:highlight w:val="none"/>
          <w:lang w:eastAsia="zh-CN"/>
          <w14:textFill>
            <w14:solidFill>
              <w14:schemeClr w14:val="tx1"/>
            </w14:solidFill>
          </w14:textFill>
        </w:rPr>
        <w:t>（和财政部的范本比较，有缺项，缺少获取招标文件时间）</w:t>
      </w:r>
    </w:p>
    <w:p w14:paraId="19074650">
      <w:pPr>
        <w:rPr>
          <w:rFonts w:hint="default"/>
          <w:color w:val="000000" w:themeColor="text1"/>
          <w:highlight w:val="none"/>
          <w:lang w:eastAsia="zh-CN"/>
          <w14:textFill>
            <w14:solidFill>
              <w14:schemeClr w14:val="tx1"/>
            </w14:solidFill>
          </w14:textFill>
        </w:rPr>
      </w:pPr>
    </w:p>
    <w:p w14:paraId="1292385E">
      <w:pPr>
        <w:rPr>
          <w:rFonts w:hint="default"/>
          <w:color w:val="000000" w:themeColor="text1"/>
          <w:highlight w:val="none"/>
          <w:lang w:eastAsia="zh-CN"/>
          <w14:textFill>
            <w14:solidFill>
              <w14:schemeClr w14:val="tx1"/>
            </w14:solidFill>
          </w14:textFill>
        </w:rPr>
      </w:pPr>
    </w:p>
    <w:p w14:paraId="55508CA7">
      <w:pPr>
        <w:rPr>
          <w:rFonts w:hint="default"/>
          <w:color w:val="000000" w:themeColor="text1"/>
          <w:highlight w:val="none"/>
          <w:lang w:eastAsia="zh-CN"/>
          <w14:textFill>
            <w14:solidFill>
              <w14:schemeClr w14:val="tx1"/>
            </w14:solidFill>
          </w14:textFill>
        </w:rPr>
      </w:pPr>
    </w:p>
    <w:p w14:paraId="45631A3B">
      <w:pPr>
        <w:rPr>
          <w:rFonts w:hint="default"/>
          <w:color w:val="000000" w:themeColor="text1"/>
          <w:highlight w:val="none"/>
          <w:lang w:eastAsia="zh-CN"/>
          <w14:textFill>
            <w14:solidFill>
              <w14:schemeClr w14:val="tx1"/>
            </w14:solidFill>
          </w14:textFill>
        </w:rPr>
      </w:pPr>
    </w:p>
    <w:p w14:paraId="66C56803">
      <w:pPr>
        <w:rPr>
          <w:rFonts w:hint="default"/>
          <w:color w:val="000000" w:themeColor="text1"/>
          <w:highlight w:val="none"/>
          <w:lang w:eastAsia="zh-CN"/>
          <w14:textFill>
            <w14:solidFill>
              <w14:schemeClr w14:val="tx1"/>
            </w14:solidFill>
          </w14:textFill>
        </w:rPr>
      </w:pPr>
    </w:p>
    <w:p w14:paraId="5C655E27">
      <w:pPr>
        <w:rPr>
          <w:rFonts w:hint="default"/>
          <w:color w:val="000000" w:themeColor="text1"/>
          <w:highlight w:val="none"/>
          <w:lang w:eastAsia="zh-CN"/>
          <w14:textFill>
            <w14:solidFill>
              <w14:schemeClr w14:val="tx1"/>
            </w14:solidFill>
          </w14:textFill>
        </w:rPr>
      </w:pPr>
    </w:p>
    <w:p w14:paraId="180B330F">
      <w:pPr>
        <w:rPr>
          <w:rFonts w:hint="default"/>
          <w:color w:val="000000" w:themeColor="text1"/>
          <w:highlight w:val="none"/>
          <w:lang w:eastAsia="zh-CN"/>
          <w14:textFill>
            <w14:solidFill>
              <w14:schemeClr w14:val="tx1"/>
            </w14:solidFill>
          </w14:textFill>
        </w:rPr>
      </w:pPr>
    </w:p>
    <w:p w14:paraId="47D9B9D7">
      <w:pPr>
        <w:rPr>
          <w:rFonts w:hint="default"/>
          <w:color w:val="000000" w:themeColor="text1"/>
          <w:highlight w:val="none"/>
          <w:lang w:eastAsia="zh-CN"/>
          <w14:textFill>
            <w14:solidFill>
              <w14:schemeClr w14:val="tx1"/>
            </w14:solidFill>
          </w14:textFill>
        </w:rPr>
      </w:pPr>
    </w:p>
    <w:p w14:paraId="62D21C6A">
      <w:pPr>
        <w:rPr>
          <w:rFonts w:hint="default"/>
          <w:color w:val="000000" w:themeColor="text1"/>
          <w:highlight w:val="none"/>
          <w:lang w:eastAsia="zh-CN"/>
          <w14:textFill>
            <w14:solidFill>
              <w14:schemeClr w14:val="tx1"/>
            </w14:solidFill>
          </w14:textFill>
        </w:rPr>
      </w:pPr>
    </w:p>
    <w:p w14:paraId="175524F0">
      <w:pPr>
        <w:rPr>
          <w:rFonts w:hint="default"/>
          <w:color w:val="000000" w:themeColor="text1"/>
          <w:highlight w:val="none"/>
          <w:lang w:eastAsia="zh-CN"/>
          <w14:textFill>
            <w14:solidFill>
              <w14:schemeClr w14:val="tx1"/>
            </w14:solidFill>
          </w14:textFill>
        </w:rPr>
      </w:pPr>
    </w:p>
    <w:p w14:paraId="3C405BFE">
      <w:pPr>
        <w:rPr>
          <w:rFonts w:hint="default"/>
          <w:color w:val="000000" w:themeColor="text1"/>
          <w:highlight w:val="none"/>
          <w:lang w:eastAsia="zh-CN"/>
          <w14:textFill>
            <w14:solidFill>
              <w14:schemeClr w14:val="tx1"/>
            </w14:solidFill>
          </w14:textFill>
        </w:rPr>
      </w:pPr>
    </w:p>
    <w:p w14:paraId="2106E997">
      <w:pPr>
        <w:rPr>
          <w:rFonts w:hint="default"/>
          <w:color w:val="000000" w:themeColor="text1"/>
          <w:highlight w:val="none"/>
          <w:lang w:eastAsia="zh-CN"/>
          <w14:textFill>
            <w14:solidFill>
              <w14:schemeClr w14:val="tx1"/>
            </w14:solidFill>
          </w14:textFill>
        </w:rPr>
      </w:pPr>
    </w:p>
    <w:p w14:paraId="18E9D4F9">
      <w:pPr>
        <w:rPr>
          <w:rFonts w:hint="default"/>
          <w:color w:val="000000" w:themeColor="text1"/>
          <w:highlight w:val="none"/>
          <w:lang w:eastAsia="zh-CN"/>
          <w14:textFill>
            <w14:solidFill>
              <w14:schemeClr w14:val="tx1"/>
            </w14:solidFill>
          </w14:textFill>
        </w:rPr>
      </w:pPr>
    </w:p>
    <w:p w14:paraId="784D2BDC">
      <w:pPr>
        <w:rPr>
          <w:rFonts w:hint="default"/>
          <w:color w:val="000000" w:themeColor="text1"/>
          <w:highlight w:val="none"/>
          <w:lang w:eastAsia="zh-CN"/>
          <w14:textFill>
            <w14:solidFill>
              <w14:schemeClr w14:val="tx1"/>
            </w14:solidFill>
          </w14:textFill>
        </w:rPr>
      </w:pPr>
    </w:p>
    <w:p w14:paraId="1C21A721">
      <w:pPr>
        <w:rPr>
          <w:rFonts w:hint="default"/>
          <w:color w:val="000000" w:themeColor="text1"/>
          <w:highlight w:val="none"/>
          <w:lang w:eastAsia="zh-CN"/>
          <w14:textFill>
            <w14:solidFill>
              <w14:schemeClr w14:val="tx1"/>
            </w14:solidFill>
          </w14:textFill>
        </w:rPr>
      </w:pPr>
    </w:p>
    <w:p w14:paraId="0C562F96">
      <w:pPr>
        <w:rPr>
          <w:rFonts w:hint="default"/>
          <w:color w:val="000000" w:themeColor="text1"/>
          <w:highlight w:val="none"/>
          <w:lang w:eastAsia="zh-CN"/>
          <w14:textFill>
            <w14:solidFill>
              <w14:schemeClr w14:val="tx1"/>
            </w14:solidFill>
          </w14:textFill>
        </w:rPr>
      </w:pPr>
    </w:p>
    <w:p w14:paraId="14E39206">
      <w:pPr>
        <w:rPr>
          <w:rFonts w:hint="default"/>
          <w:color w:val="000000" w:themeColor="text1"/>
          <w:highlight w:val="none"/>
          <w:lang w:eastAsia="zh-CN"/>
          <w14:textFill>
            <w14:solidFill>
              <w14:schemeClr w14:val="tx1"/>
            </w14:solidFill>
          </w14:textFill>
        </w:rPr>
      </w:pPr>
    </w:p>
    <w:p w14:paraId="210F9356">
      <w:pPr>
        <w:rPr>
          <w:rFonts w:hint="default"/>
          <w:color w:val="000000" w:themeColor="text1"/>
          <w:highlight w:val="none"/>
          <w:lang w:eastAsia="zh-CN"/>
          <w14:textFill>
            <w14:solidFill>
              <w14:schemeClr w14:val="tx1"/>
            </w14:solidFill>
          </w14:textFill>
        </w:rPr>
      </w:pPr>
    </w:p>
    <w:p w14:paraId="3C970F42">
      <w:pPr>
        <w:rPr>
          <w:rFonts w:hint="default"/>
          <w:color w:val="000000" w:themeColor="text1"/>
          <w:highlight w:val="none"/>
          <w:lang w:eastAsia="zh-CN"/>
          <w14:textFill>
            <w14:solidFill>
              <w14:schemeClr w14:val="tx1"/>
            </w14:solidFill>
          </w14:textFill>
        </w:rPr>
      </w:pPr>
    </w:p>
    <w:p w14:paraId="7DBA7607">
      <w:pPr>
        <w:rPr>
          <w:rFonts w:hint="default"/>
          <w:color w:val="000000" w:themeColor="text1"/>
          <w:highlight w:val="none"/>
          <w:lang w:eastAsia="zh-CN"/>
          <w14:textFill>
            <w14:solidFill>
              <w14:schemeClr w14:val="tx1"/>
            </w14:solidFill>
          </w14:textFill>
        </w:rPr>
      </w:pPr>
    </w:p>
    <w:p w14:paraId="0F465C93">
      <w:pPr>
        <w:rPr>
          <w:rFonts w:hint="default"/>
          <w:color w:val="000000" w:themeColor="text1"/>
          <w:highlight w:val="none"/>
          <w:lang w:eastAsia="zh-CN"/>
          <w14:textFill>
            <w14:solidFill>
              <w14:schemeClr w14:val="tx1"/>
            </w14:solidFill>
          </w14:textFill>
        </w:rPr>
      </w:pPr>
    </w:p>
    <w:p w14:paraId="01CC7B65">
      <w:pPr>
        <w:rPr>
          <w:rFonts w:hint="default"/>
          <w:color w:val="000000" w:themeColor="text1"/>
          <w:highlight w:val="none"/>
          <w:lang w:eastAsia="zh-CN"/>
          <w14:textFill>
            <w14:solidFill>
              <w14:schemeClr w14:val="tx1"/>
            </w14:solidFill>
          </w14:textFill>
        </w:rPr>
      </w:pPr>
    </w:p>
    <w:p w14:paraId="1399900E">
      <w:pPr>
        <w:rPr>
          <w:rFonts w:hint="default"/>
          <w:color w:val="000000" w:themeColor="text1"/>
          <w:highlight w:val="none"/>
          <w:lang w:eastAsia="zh-CN"/>
          <w14:textFill>
            <w14:solidFill>
              <w14:schemeClr w14:val="tx1"/>
            </w14:solidFill>
          </w14:textFill>
        </w:rPr>
      </w:pPr>
    </w:p>
    <w:p w14:paraId="0B24ACD8">
      <w:pPr>
        <w:rPr>
          <w:rFonts w:hint="default"/>
          <w:color w:val="000000" w:themeColor="text1"/>
          <w:highlight w:val="none"/>
          <w:lang w:eastAsia="zh-CN"/>
          <w14:textFill>
            <w14:solidFill>
              <w14:schemeClr w14:val="tx1"/>
            </w14:solidFill>
          </w14:textFill>
        </w:rPr>
      </w:pPr>
    </w:p>
    <w:p w14:paraId="689164EB">
      <w:pPr>
        <w:rPr>
          <w:rFonts w:hint="default"/>
          <w:color w:val="000000" w:themeColor="text1"/>
          <w:highlight w:val="none"/>
          <w:lang w:eastAsia="zh-CN"/>
          <w14:textFill>
            <w14:solidFill>
              <w14:schemeClr w14:val="tx1"/>
            </w14:solidFill>
          </w14:textFill>
        </w:rPr>
      </w:pPr>
    </w:p>
    <w:p w14:paraId="35D4F7E9">
      <w:pPr>
        <w:rPr>
          <w:rFonts w:hint="default"/>
          <w:color w:val="000000" w:themeColor="text1"/>
          <w:highlight w:val="none"/>
          <w:lang w:eastAsia="zh-CN"/>
          <w14:textFill>
            <w14:solidFill>
              <w14:schemeClr w14:val="tx1"/>
            </w14:solidFill>
          </w14:textFill>
        </w:rPr>
      </w:pPr>
    </w:p>
    <w:p w14:paraId="6676C8EB">
      <w:pPr>
        <w:jc w:val="left"/>
        <w:rPr>
          <w:rFonts w:hint="eastAsia" w:ascii="宋体" w:hAnsi="宋体" w:eastAsia="宋体" w:cs="宋体"/>
          <w:b w:val="0"/>
          <w:bCs w:val="0"/>
          <w:color w:val="000000" w:themeColor="text1"/>
          <w:kern w:val="2"/>
          <w:sz w:val="30"/>
          <w:szCs w:val="30"/>
          <w:highlight w:val="none"/>
          <w:lang w:val="en-US" w:eastAsia="zh-CN" w:bidi="ar-SA"/>
          <w14:textFill>
            <w14:solidFill>
              <w14:schemeClr w14:val="tx1"/>
            </w14:solidFill>
          </w14:textFill>
        </w:rPr>
      </w:pPr>
    </w:p>
    <w:p w14:paraId="182F78BB">
      <w:pPr>
        <w:jc w:val="left"/>
        <w:rPr>
          <w:rFonts w:hint="default" w:ascii="宋体" w:hAnsi="宋体" w:eastAsia="宋体" w:cs="宋体"/>
          <w:b w:val="0"/>
          <w:bCs w:val="0"/>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0"/>
          <w:szCs w:val="30"/>
          <w:highlight w:val="none"/>
          <w:lang w:val="en-US" w:eastAsia="zh-CN" w:bidi="ar-SA"/>
          <w14:textFill>
            <w14:solidFill>
              <w14:schemeClr w14:val="tx1"/>
            </w14:solidFill>
          </w14:textFill>
        </w:rPr>
        <w:t>表九</w:t>
      </w:r>
    </w:p>
    <w:p w14:paraId="7A894C5A">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rPr>
          <w:rFonts w:hint="eastAsia" w:ascii="宋体" w:hAnsi="宋体" w:eastAsia="宋体" w:cs="宋体"/>
          <w:i w:val="0"/>
          <w:iCs w:val="0"/>
          <w:caps w:val="0"/>
          <w:color w:val="000000" w:themeColor="text1"/>
          <w:spacing w:val="0"/>
          <w:sz w:val="24"/>
          <w:szCs w:val="24"/>
          <w:highlight w:val="none"/>
          <w:u w:val="none"/>
          <w14:textFill>
            <w14:solidFill>
              <w14:schemeClr w14:val="tx1"/>
            </w14:solidFill>
          </w14:textFill>
        </w:rPr>
      </w:pPr>
    </w:p>
    <w:p w14:paraId="0DDF89FC">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Style w:val="39"/>
          <w:rFonts w:hint="eastAsia" w:ascii="宋体" w:hAnsi="宋体" w:eastAsia="宋体" w:cs="宋体"/>
          <w:i w:val="0"/>
          <w:iCs w:val="0"/>
          <w:caps w:val="0"/>
          <w:color w:val="000000" w:themeColor="text1"/>
          <w:spacing w:val="0"/>
          <w:sz w:val="32"/>
          <w:szCs w:val="32"/>
          <w:highlight w:val="none"/>
          <w:u w:val="none"/>
          <w:lang w:val="en-US" w:eastAsia="zh-CN"/>
          <w14:textFill>
            <w14:solidFill>
              <w14:schemeClr w14:val="tx1"/>
            </w14:solidFill>
          </w14:textFill>
        </w:rPr>
      </w:pPr>
      <w:r>
        <w:rPr>
          <w:rStyle w:val="39"/>
          <w:rFonts w:hint="eastAsia" w:ascii="宋体" w:hAnsi="宋体" w:eastAsia="宋体" w:cs="宋体"/>
          <w:i w:val="0"/>
          <w:iCs w:val="0"/>
          <w:caps w:val="0"/>
          <w:color w:val="000000" w:themeColor="text1"/>
          <w:spacing w:val="0"/>
          <w:sz w:val="32"/>
          <w:szCs w:val="32"/>
          <w:highlight w:val="none"/>
          <w:u w:val="none"/>
          <w:lang w:val="en-US" w:eastAsia="zh-CN"/>
          <w14:textFill>
            <w14:solidFill>
              <w14:schemeClr w14:val="tx1"/>
            </w14:solidFill>
          </w14:textFill>
        </w:rPr>
        <w:t>关于符合本国产品标准的声明函</w:t>
      </w:r>
    </w:p>
    <w:p w14:paraId="7BD4C91D">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方正魏碑_GBK" w:hAnsi="方正魏碑_GBK" w:eastAsia="方正魏碑_GBK" w:cs="方正魏碑_GBK"/>
          <w:i w:val="0"/>
          <w:iCs w:val="0"/>
          <w:caps w:val="0"/>
          <w:color w:val="000000" w:themeColor="text1"/>
          <w:spacing w:val="0"/>
          <w:sz w:val="24"/>
          <w:szCs w:val="24"/>
          <w:highlight w:val="none"/>
          <w14:textFill>
            <w14:solidFill>
              <w14:schemeClr w14:val="tx1"/>
            </w14:solidFill>
          </w14:textFill>
        </w:rPr>
      </w:pPr>
      <w:r>
        <w:rPr>
          <w:rFonts w:hint="eastAsia" w:ascii="方正魏碑_GBK" w:hAnsi="方正魏碑_GBK" w:eastAsia="方正魏碑_GBK" w:cs="方正魏碑_GBK"/>
          <w:i w:val="0"/>
          <w:iCs w:val="0"/>
          <w:caps w:val="0"/>
          <w:color w:val="000000" w:themeColor="text1"/>
          <w:spacing w:val="0"/>
          <w:sz w:val="24"/>
          <w:szCs w:val="24"/>
          <w:highlight w:val="none"/>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1EE059B3">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000000" w:themeColor="text1"/>
          <w:spacing w:val="0"/>
          <w:sz w:val="24"/>
          <w:szCs w:val="24"/>
          <w:highlight w:val="none"/>
          <w14:textFill>
            <w14:solidFill>
              <w14:schemeClr w14:val="tx1"/>
            </w14:solidFill>
          </w14:textFill>
        </w:rPr>
      </w:pP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1.</w:t>
      </w:r>
      <w:r>
        <w:rPr>
          <w:rStyle w:val="42"/>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14:textFill>
            <w14:solidFill>
              <w14:schemeClr w14:val="tx1"/>
            </w14:solidFill>
          </w14:textFill>
        </w:rPr>
        <w:t>（产品名称1）</w:t>
      </w:r>
      <w:r>
        <w:rPr>
          <w:rStyle w:val="42"/>
          <w:rFonts w:hint="eastAsia" w:ascii="方正魏碑_GBK" w:hAnsi="方正魏碑_GBK" w:eastAsia="方正魏碑_GBK" w:cs="方正魏碑_GBK"/>
          <w:i w:val="0"/>
          <w:iCs w:val="0"/>
          <w:caps w:val="0"/>
          <w:color w:val="000000" w:themeColor="text1"/>
          <w:spacing w:val="0"/>
          <w:sz w:val="24"/>
          <w:szCs w:val="24"/>
          <w:highlight w:val="none"/>
          <w:u w:val="none"/>
          <w:shd w:val="clear" w:color="auto" w:fill="FFFFFF"/>
          <w:vertAlign w:val="superscript"/>
          <w14:textFill>
            <w14:solidFill>
              <w14:schemeClr w14:val="tx1"/>
            </w14:solidFill>
          </w14:textFill>
        </w:rPr>
        <w:t>1</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，生产厂为</w:t>
      </w:r>
      <w:r>
        <w:rPr>
          <w:rStyle w:val="42"/>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14:textFill>
            <w14:solidFill>
              <w14:schemeClr w14:val="tx1"/>
            </w14:solidFill>
          </w14:textFill>
        </w:rPr>
        <w:t>（厂名）</w:t>
      </w:r>
      <w:r>
        <w:rPr>
          <w:rStyle w:val="42"/>
          <w:rFonts w:hint="eastAsia" w:ascii="方正魏碑_GBK" w:hAnsi="方正魏碑_GBK" w:eastAsia="方正魏碑_GBK" w:cs="方正魏碑_GBK"/>
          <w:i w:val="0"/>
          <w:iCs w:val="0"/>
          <w:caps w:val="0"/>
          <w:color w:val="000000" w:themeColor="text1"/>
          <w:spacing w:val="0"/>
          <w:sz w:val="24"/>
          <w:szCs w:val="24"/>
          <w:highlight w:val="none"/>
          <w:u w:val="none"/>
          <w:shd w:val="clear" w:color="auto" w:fill="FFFFFF"/>
          <w:vertAlign w:val="superscript"/>
          <w14:textFill>
            <w14:solidFill>
              <w14:schemeClr w14:val="tx1"/>
            </w14:solidFill>
          </w14:textFill>
        </w:rPr>
        <w:t>2</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，厂址为</w:t>
      </w:r>
      <w:r>
        <w:rPr>
          <w:rStyle w:val="42"/>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14:textFill>
            <w14:solidFill>
              <w14:schemeClr w14:val="tx1"/>
            </w14:solidFill>
          </w14:textFill>
        </w:rPr>
        <w:t>（生产厂址）</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w:t>
      </w:r>
      <w:r>
        <w:rPr>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42"/>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的中国境内生产的组件成本占比≥</w:t>
      </w:r>
      <w:r>
        <w:rPr>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42"/>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42"/>
          <w:rFonts w:hint="eastAsia" w:ascii="方正魏碑_GBK" w:hAnsi="方正魏碑_GBK" w:eastAsia="方正魏碑_GBK" w:cs="方正魏碑_GBK"/>
          <w:i w:val="0"/>
          <w:iCs w:val="0"/>
          <w:caps w:val="0"/>
          <w:color w:val="000000" w:themeColor="text1"/>
          <w:spacing w:val="0"/>
          <w:sz w:val="24"/>
          <w:szCs w:val="24"/>
          <w:highlight w:val="none"/>
          <w:u w:val="none"/>
          <w:shd w:val="clear" w:color="auto" w:fill="FFFFFF"/>
          <w:vertAlign w:val="superscript"/>
          <w14:textFill>
            <w14:solidFill>
              <w14:schemeClr w14:val="tx1"/>
            </w14:solidFill>
          </w14:textFill>
        </w:rPr>
        <w:t>3</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w:t>
      </w:r>
      <w:r>
        <w:rPr>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42"/>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的</w:t>
      </w:r>
      <w:r>
        <w:rPr>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42"/>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42"/>
          <w:rFonts w:hint="eastAsia" w:ascii="方正魏碑_GBK" w:hAnsi="方正魏碑_GBK" w:eastAsia="方正魏碑_GBK" w:cs="方正魏碑_GBK"/>
          <w:i w:val="0"/>
          <w:iCs w:val="0"/>
          <w:caps w:val="0"/>
          <w:color w:val="000000" w:themeColor="text1"/>
          <w:spacing w:val="0"/>
          <w:sz w:val="24"/>
          <w:szCs w:val="24"/>
          <w:highlight w:val="none"/>
          <w:u w:val="none"/>
          <w:shd w:val="clear" w:color="auto" w:fill="FFFFFF"/>
          <w:vertAlign w:val="superscript"/>
          <w14:textFill>
            <w14:solidFill>
              <w14:schemeClr w14:val="tx1"/>
            </w14:solidFill>
          </w14:textFill>
        </w:rPr>
        <w:t>4</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在中国境内生产。</w:t>
      </w:r>
      <w:r>
        <w:rPr>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42"/>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的</w:t>
      </w:r>
      <w:r>
        <w:rPr>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42"/>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42"/>
          <w:rFonts w:hint="eastAsia" w:ascii="方正魏碑_GBK" w:hAnsi="方正魏碑_GBK" w:eastAsia="方正魏碑_GBK" w:cs="方正魏碑_GBK"/>
          <w:i w:val="0"/>
          <w:iCs w:val="0"/>
          <w:caps w:val="0"/>
          <w:color w:val="000000" w:themeColor="text1"/>
          <w:spacing w:val="0"/>
          <w:sz w:val="24"/>
          <w:szCs w:val="24"/>
          <w:highlight w:val="none"/>
          <w:u w:val="none"/>
          <w:shd w:val="clear" w:color="auto" w:fill="FFFFFF"/>
          <w:vertAlign w:val="superscript"/>
          <w14:textFill>
            <w14:solidFill>
              <w14:schemeClr w14:val="tx1"/>
            </w14:solidFill>
          </w14:textFill>
        </w:rPr>
        <w:t>5</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在中国境内完成。</w:t>
      </w:r>
    </w:p>
    <w:p w14:paraId="04C241F5">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000000" w:themeColor="text1"/>
          <w:spacing w:val="0"/>
          <w:sz w:val="24"/>
          <w:szCs w:val="24"/>
          <w:highlight w:val="none"/>
          <w14:textFill>
            <w14:solidFill>
              <w14:schemeClr w14:val="tx1"/>
            </w14:solidFill>
          </w14:textFill>
        </w:rPr>
      </w:pP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lang w:val="en-US" w:eastAsia="zh-CN"/>
          <w14:textFill>
            <w14:solidFill>
              <w14:schemeClr w14:val="tx1"/>
            </w14:solidFill>
          </w14:textFill>
        </w:rPr>
        <w:t>2</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w:t>
      </w:r>
      <w:r>
        <w:rPr>
          <w:rStyle w:val="42"/>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14:textFill>
            <w14:solidFill>
              <w14:schemeClr w14:val="tx1"/>
            </w14:solidFill>
          </w14:textFill>
        </w:rPr>
        <w:t>（产品名称</w:t>
      </w:r>
      <w:r>
        <w:rPr>
          <w:rStyle w:val="42"/>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2</w:t>
      </w:r>
      <w:r>
        <w:rPr>
          <w:rStyle w:val="42"/>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14:textFill>
            <w14:solidFill>
              <w14:schemeClr w14:val="tx1"/>
            </w14:solidFill>
          </w14:textFill>
        </w:rPr>
        <w:t>）</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，生产厂为</w:t>
      </w:r>
      <w:r>
        <w:rPr>
          <w:rStyle w:val="42"/>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14:textFill>
            <w14:solidFill>
              <w14:schemeClr w14:val="tx1"/>
            </w14:solidFill>
          </w14:textFill>
        </w:rPr>
        <w:t>（厂名）</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，厂址为</w:t>
      </w:r>
      <w:r>
        <w:rPr>
          <w:rStyle w:val="42"/>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14:textFill>
            <w14:solidFill>
              <w14:schemeClr w14:val="tx1"/>
            </w14:solidFill>
          </w14:textFill>
        </w:rPr>
        <w:t>（生产厂址）</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w:t>
      </w:r>
      <w:r>
        <w:rPr>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42"/>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的中国境内生产的组件成本占比≥</w:t>
      </w:r>
      <w:r>
        <w:rPr>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42"/>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w:t>
      </w:r>
      <w:r>
        <w:rPr>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42"/>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的</w:t>
      </w:r>
      <w:r>
        <w:rPr>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42"/>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在中国境内生产。</w:t>
      </w:r>
      <w:r>
        <w:rPr>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42"/>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的</w:t>
      </w:r>
      <w:r>
        <w:rPr>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42"/>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在中国境内完成。</w:t>
      </w:r>
    </w:p>
    <w:p w14:paraId="09509BAD">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000000" w:themeColor="text1"/>
          <w:spacing w:val="0"/>
          <w:sz w:val="24"/>
          <w:szCs w:val="24"/>
          <w:highlight w:val="none"/>
          <w14:textFill>
            <w14:solidFill>
              <w14:schemeClr w14:val="tx1"/>
            </w14:solidFill>
          </w14:textFill>
        </w:rPr>
      </w:pP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w:t>
      </w:r>
    </w:p>
    <w:p w14:paraId="366BDAF5">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000000" w:themeColor="text1"/>
          <w:spacing w:val="0"/>
          <w:sz w:val="24"/>
          <w:szCs w:val="24"/>
          <w:highlight w:val="none"/>
          <w14:textFill>
            <w14:solidFill>
              <w14:schemeClr w14:val="tx1"/>
            </w14:solidFill>
          </w14:textFill>
        </w:rPr>
      </w:pP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本公司（单位）对上述声明内容的真实性负责。如有虚假，愿承担相应法律责任。</w:t>
      </w:r>
    </w:p>
    <w:p w14:paraId="6F1BAD26">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textAlignment w:val="auto"/>
        <w:rPr>
          <w:rFonts w:hint="eastAsia" w:ascii="方正魏碑_GBK" w:hAnsi="方正魏碑_GBK" w:eastAsia="方正魏碑_GBK" w:cs="方正魏碑_GBK"/>
          <w:i w:val="0"/>
          <w:iCs w:val="0"/>
          <w:caps w:val="0"/>
          <w:color w:val="000000" w:themeColor="text1"/>
          <w:spacing w:val="0"/>
          <w:sz w:val="24"/>
          <w:szCs w:val="24"/>
          <w:highlight w:val="none"/>
          <w14:textFill>
            <w14:solidFill>
              <w14:schemeClr w14:val="tx1"/>
            </w14:solidFill>
          </w14:textFill>
        </w:rPr>
      </w:pPr>
    </w:p>
    <w:p w14:paraId="1F86BC11">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jc w:val="right"/>
        <w:textAlignment w:val="auto"/>
        <w:rPr>
          <w:rFonts w:hint="eastAsia" w:ascii="方正魏碑_GBK" w:hAnsi="方正魏碑_GBK" w:eastAsia="方正魏碑_GBK" w:cs="方正魏碑_GBK"/>
          <w:i w:val="0"/>
          <w:iCs w:val="0"/>
          <w:caps w:val="0"/>
          <w:color w:val="000000" w:themeColor="text1"/>
          <w:spacing w:val="0"/>
          <w:sz w:val="24"/>
          <w:szCs w:val="24"/>
          <w:highlight w:val="none"/>
          <w14:textFill>
            <w14:solidFill>
              <w14:schemeClr w14:val="tx1"/>
            </w14:solidFill>
          </w14:textFill>
        </w:rPr>
      </w:pP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lang w:val="en-US" w:eastAsia="zh-CN"/>
          <w14:textFill>
            <w14:solidFill>
              <w14:schemeClr w14:val="tx1"/>
            </w14:solidFill>
          </w14:textFill>
        </w:rPr>
        <w:t xml:space="preserve">    </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公司（单位）名称（</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lang w:eastAsia="zh-CN"/>
          <w14:textFill>
            <w14:solidFill>
              <w14:schemeClr w14:val="tx1"/>
            </w14:solidFill>
          </w14:textFill>
        </w:rPr>
        <w:t>加盖</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lang w:val="en-US" w:eastAsia="zh-CN"/>
          <w14:textFill>
            <w14:solidFill>
              <w14:schemeClr w14:val="tx1"/>
            </w14:solidFill>
          </w14:textFill>
        </w:rPr>
        <w:t>CA电子公章</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　        </w:t>
      </w:r>
    </w:p>
    <w:p w14:paraId="519EB5C2">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right"/>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lang w:val="en-US" w:eastAsia="zh-CN"/>
          <w14:textFill>
            <w14:solidFill>
              <w14:schemeClr w14:val="tx1"/>
            </w14:solidFill>
          </w14:textFill>
        </w:rPr>
        <w:t xml:space="preserve">         </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日期：　     年　  月　  日       </w:t>
      </w:r>
    </w:p>
    <w:p w14:paraId="5397FD16">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left"/>
        <w:rPr>
          <w:rFonts w:hint="eastAsia" w:ascii="宋体" w:hAnsi="宋体" w:eastAsia="宋体" w:cs="宋体"/>
          <w:i w:val="0"/>
          <w:iCs w:val="0"/>
          <w:caps w:val="0"/>
          <w:color w:val="000000" w:themeColor="text1"/>
          <w:spacing w:val="0"/>
          <w:sz w:val="24"/>
          <w:szCs w:val="24"/>
          <w:highlight w:val="none"/>
          <w:u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u w:val="none"/>
          <w14:textFill>
            <w14:solidFill>
              <w14:schemeClr w14:val="tx1"/>
            </w14:solidFill>
          </w14:textFill>
        </w:rPr>
        <w:t>__________________</w:t>
      </w:r>
    </w:p>
    <w:p w14:paraId="2882D99E">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000000" w:themeColor="text1"/>
          <w:spacing w:val="0"/>
          <w:sz w:val="24"/>
          <w:szCs w:val="24"/>
          <w:highlight w:val="none"/>
          <w:u w:val="none"/>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u w:val="none"/>
          <w14:textFill>
            <w14:solidFill>
              <w14:schemeClr w14:val="tx1"/>
            </w14:solidFill>
          </w14:textFill>
        </w:rPr>
        <w:t>1.产品如有型号，请在“产品名称”栏一并填写。</w:t>
      </w:r>
    </w:p>
    <w:p w14:paraId="218C73C0">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000000" w:themeColor="text1"/>
          <w:spacing w:val="0"/>
          <w:sz w:val="24"/>
          <w:szCs w:val="24"/>
          <w:highlight w:val="none"/>
          <w:u w:val="none"/>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u w:val="none"/>
          <w14:textFill>
            <w14:solidFill>
              <w14:schemeClr w14:val="tx1"/>
            </w14:solidFill>
          </w14:textFill>
        </w:rPr>
        <w:t>2.生产厂名与厂址应与生产厂营业执照载明的相关信息保持一致。</w:t>
      </w:r>
    </w:p>
    <w:p w14:paraId="01CCF659">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000000" w:themeColor="text1"/>
          <w:spacing w:val="0"/>
          <w:sz w:val="24"/>
          <w:szCs w:val="24"/>
          <w:highlight w:val="none"/>
          <w:u w:val="none"/>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u w:val="none"/>
          <w14:textFill>
            <w14:solidFill>
              <w14:schemeClr w14:val="tx1"/>
            </w14:solidFill>
          </w14:textFill>
        </w:rPr>
        <w:t>3.该产品的中国境内生产的组件成本占比相关要求实施前，“规定比例”栏可不填，下同。</w:t>
      </w:r>
    </w:p>
    <w:p w14:paraId="77A120C2">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000000" w:themeColor="text1"/>
          <w:spacing w:val="0"/>
          <w:sz w:val="24"/>
          <w:szCs w:val="24"/>
          <w:highlight w:val="none"/>
          <w:u w:val="none"/>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u w:val="none"/>
          <w14:textFill>
            <w14:solidFill>
              <w14:schemeClr w14:val="tx1"/>
            </w14:solidFill>
          </w14:textFill>
        </w:rPr>
        <w:t>4.该产品的关键组件要求实施前，“关键组件”栏可不填，下同。</w:t>
      </w:r>
    </w:p>
    <w:p w14:paraId="438E69BA">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000000" w:themeColor="text1"/>
          <w:spacing w:val="0"/>
          <w:sz w:val="24"/>
          <w:szCs w:val="24"/>
          <w:highlight w:val="none"/>
          <w:u w:val="none"/>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u w:val="none"/>
          <w14:textFill>
            <w14:solidFill>
              <w14:schemeClr w14:val="tx1"/>
            </w14:solidFill>
          </w14:textFill>
        </w:rPr>
        <w:t>5.该产品的关键工序要求实施前，“关键工序”栏可不填，下同。</w:t>
      </w:r>
    </w:p>
    <w:p w14:paraId="76CEB4BF">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000000" w:themeColor="text1"/>
          <w:spacing w:val="0"/>
          <w:sz w:val="24"/>
          <w:szCs w:val="24"/>
          <w:highlight w:val="none"/>
          <w:u w:val="none"/>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u w:val="none"/>
          <w:lang w:val="en-US" w:eastAsia="zh-CN"/>
          <w14:textFill>
            <w14:solidFill>
              <w14:schemeClr w14:val="tx1"/>
            </w14:solidFill>
          </w14:textFill>
        </w:rPr>
        <w:t>6.《声明函》中标注“  /  ”的地方无需填写。</w:t>
      </w:r>
    </w:p>
    <w:p w14:paraId="009949E7">
      <w:pPr>
        <w:rPr>
          <w:rFonts w:hint="eastAsia" w:ascii="宋体" w:hAnsi="宋体" w:eastAsia="宋体" w:cs="宋体"/>
          <w:color w:val="000000" w:themeColor="text1"/>
          <w:sz w:val="24"/>
          <w:szCs w:val="24"/>
          <w:highlight w:val="none"/>
          <w14:textFill>
            <w14:solidFill>
              <w14:schemeClr w14:val="tx1"/>
            </w14:solidFill>
          </w14:textFill>
        </w:rPr>
      </w:pPr>
    </w:p>
    <w:p w14:paraId="08B8DDF2">
      <w:pPr>
        <w:pStyle w:val="103"/>
        <w:spacing w:line="0" w:lineRule="atLeast"/>
        <w:ind w:left="0" w:leftChars="0" w:firstLine="440" w:firstLineChars="200"/>
        <w:rPr>
          <w:rFonts w:hint="eastAsia" w:ascii="宋体" w:hAnsi="宋体" w:eastAsia="宋体" w:cs="宋体"/>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2"/>
          <w:szCs w:val="22"/>
          <w:highlight w:val="none"/>
          <w:lang w:val="en-US" w:eastAsia="zh-CN"/>
          <w14:textFill>
            <w14:solidFill>
              <w14:schemeClr w14:val="tx1"/>
            </w14:solidFill>
          </w14:textFill>
        </w:rPr>
        <w:t>注：本国产品标准适⽤于货物，包括政府采购货物项⽬和服务项⽬中涉及的货物。适⽤本国产品标准的货物具体是指《政府采购品⽬分类⽬录》中的货物类产品，但不包括其中的房屋和构筑物，⽂物和陈列品，图书和档案，特种动植物，农林牧渔业产品，矿与矿物，电⼒、城市燃⽓、蒸汽和热⽔、⽔，⾷品、饮料和烟草原料，⽆形资产。</w:t>
      </w:r>
    </w:p>
    <w:p w14:paraId="78179644">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C6EC4E0-B466-43BC-9603-213DD52EC3E1}"/>
  </w:font>
  <w:font w:name="黑体">
    <w:panose1 w:val="02010609060101010101"/>
    <w:charset w:val="86"/>
    <w:family w:val="auto"/>
    <w:pitch w:val="default"/>
    <w:sig w:usb0="800002BF" w:usb1="38CF7CFA" w:usb2="00000016" w:usb3="00000000" w:csb0="00040001" w:csb1="00000000"/>
    <w:embedRegular r:id="rId2" w:fontKey="{AEA0E23F-5538-448A-956A-4CDD6DEC71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278B471-3F88-495F-8379-D033634A9C31}"/>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仿宋简体">
    <w:panose1 w:val="02000000000000000000"/>
    <w:charset w:val="86"/>
    <w:family w:val="auto"/>
    <w:pitch w:val="default"/>
    <w:sig w:usb0="A00002BF" w:usb1="184F6CFA" w:usb2="00000012" w:usb3="00000000" w:csb0="00040001" w:csb1="00000000"/>
    <w:embedRegular r:id="rId4" w:fontKey="{BF701817-3B52-4402-949B-CB9B69ADAAEF}"/>
  </w:font>
  <w:font w:name="方正黑体_GBK">
    <w:altName w:val="微软雅黑"/>
    <w:panose1 w:val="02000000000000000000"/>
    <w:charset w:val="86"/>
    <w:family w:val="script"/>
    <w:pitch w:val="default"/>
    <w:sig w:usb0="00000000" w:usb1="00000000" w:usb2="00082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font>
  <w:font w:name="Helvetica Neue">
    <w:altName w:val="Times New Roman"/>
    <w:panose1 w:val="02000503000000020004"/>
    <w:charset w:val="00"/>
    <w:family w:val="auto"/>
    <w:pitch w:val="default"/>
    <w:sig w:usb0="00000000" w:usb1="00000000" w:usb2="00000010" w:usb3="00000000" w:csb0="00000000" w:csb1="00000000"/>
  </w:font>
  <w:font w:name="Tahoma">
    <w:panose1 w:val="020B0604030504040204"/>
    <w:charset w:val="00"/>
    <w:family w:val="swiss"/>
    <w:pitch w:val="default"/>
    <w:sig w:usb0="E1002EFF" w:usb1="C000605B" w:usb2="00000029" w:usb3="00000000" w:csb0="200101FF" w:csb1="20280000"/>
  </w:font>
  <w:font w:name="方正魏碑_GBK">
    <w:panose1 w:val="02000000000000000000"/>
    <w:charset w:val="86"/>
    <w:family w:val="auto"/>
    <w:pitch w:val="default"/>
    <w:sig w:usb0="A00002BF" w:usb1="38CF7CFA" w:usb2="00082016" w:usb3="00000000" w:csb0="00040001" w:csb1="00000000"/>
    <w:embedRegular r:id="rId5" w:fontKey="{371A5FA8-97C8-4E9D-AABD-58A7512C7DB2}"/>
  </w:font>
  <w:font w:name="WPSEMBED8">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embedRegular r:id="rId6" w:fontKey="{1BD8572B-F9E5-49D9-95CF-E77FD197B2F9}"/>
  </w:font>
  <w:font w:name="WPSEMBED9">
    <w:panose1 w:val="02000000000000000000"/>
    <w:charset w:val="86"/>
    <w:family w:val="auto"/>
    <w:pitch w:val="default"/>
    <w:sig w:usb0="A00002BF" w:usb1="38CF7CFA"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KSOF8080F95D">
    <w:panose1 w:val="020B0503020204020204"/>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E816CA0F">
    <w:panose1 w:val="020206030504050203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13CBE">
    <w:pPr>
      <w:pStyle w:val="26"/>
      <w:jc w:val="center"/>
    </w:pPr>
    <w:r>
      <w:fldChar w:fldCharType="begin"/>
    </w:r>
    <w:r>
      <w:instrText xml:space="preserve"> PAGE   \* MERGEFORMAT </w:instrText>
    </w:r>
    <w:r>
      <w:fldChar w:fldCharType="separate"/>
    </w:r>
    <w:r>
      <w:rPr>
        <w:lang w:val="zh-CN"/>
      </w:rPr>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86513">
    <w:pPr>
      <w:pStyle w:val="26"/>
      <w:tabs>
        <w:tab w:val="center" w:pos="4140"/>
        <w:tab w:val="right" w:pos="8300"/>
      </w:tabs>
      <w:jc w:val="center"/>
    </w:pPr>
    <w:r>
      <w:fldChar w:fldCharType="begin"/>
    </w:r>
    <w:r>
      <w:instrText xml:space="preserve"> PAGE   \* MERGEFORMAT </w:instrText>
    </w:r>
    <w:r>
      <w:fldChar w:fldCharType="separate"/>
    </w:r>
    <w:r>
      <w:rPr>
        <w:lang w:val="zh-CN"/>
      </w:rPr>
      <w:t>25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14FA1">
    <w:pPr>
      <w:widowControl w:val="0"/>
      <w:tabs>
        <w:tab w:val="center" w:pos="4153"/>
        <w:tab w:val="right" w:pos="8306"/>
      </w:tabs>
      <w:snapToGrid w:val="0"/>
      <w:spacing w:line="360" w:lineRule="auto"/>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60CD88">
                          <w:pPr>
                            <w:snapToGrid w:val="0"/>
                            <w:rPr>
                              <w:rFonts w:hint="eastAsia" w:ascii="Times New Roman" w:hAnsi="Times New Roman" w:eastAsia="宋体" w:cs="Times New Roman"/>
                              <w:sz w:val="18"/>
                            </w:rPr>
                          </w:pPr>
                          <w:r>
                            <w:rPr>
                              <w:rFonts w:hint="eastAsia" w:ascii="Times New Roman" w:hAnsi="Times New Roman" w:eastAsia="宋体" w:cs="Times New Roman"/>
                              <w:sz w:val="18"/>
                            </w:rPr>
                            <w:fldChar w:fldCharType="begin"/>
                          </w:r>
                          <w:r>
                            <w:rPr>
                              <w:rFonts w:hint="eastAsia" w:ascii="Times New Roman" w:hAnsi="Times New Roman" w:eastAsia="宋体" w:cs="Times New Roman"/>
                              <w:sz w:val="18"/>
                            </w:rPr>
                            <w:instrText xml:space="preserve"> PAGE  \* MERGEFORMAT </w:instrText>
                          </w:r>
                          <w:r>
                            <w:rPr>
                              <w:rFonts w:hint="eastAsia" w:ascii="Times New Roman" w:hAnsi="Times New Roman" w:eastAsia="宋体" w:cs="Times New Roman"/>
                              <w:sz w:val="18"/>
                            </w:rPr>
                            <w:fldChar w:fldCharType="separate"/>
                          </w:r>
                          <w:r>
                            <w:rPr>
                              <w:rFonts w:ascii="Times New Roman" w:hAnsi="Times New Roman" w:eastAsia="宋体" w:cs="Times New Roman"/>
                              <w:sz w:val="18"/>
                            </w:rPr>
                            <w:t>40</w:t>
                          </w:r>
                          <w:r>
                            <w:rPr>
                              <w:rFonts w:hint="eastAsia" w:ascii="Times New Roman" w:hAnsi="Times New Roman" w:eastAsia="宋体" w:cs="Times New Roman"/>
                              <w:sz w:val="1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MkZVMcBAACa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wE2pKHLc48cuP75efvy+/vpE6&#10;6zMEaDDtPmBiGt/6EXMXP6Az0x5VtPmLhAjGUd3zVV05JiLyo3W9XlcYEhhbLojPHp6HCOmd9JZk&#10;o6URx1dU5acPkKbUJSVXc/5OG1NGaNxfDsTMHpZ7n3rMVhr340xo77sz8hlw8i11uOiUmPcOhc1L&#10;shhxMfaLcQxRH/qyRbkehDfHhE2U3nKFCXYujCMr7Ob1yjvx+F6yHn6p7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hMkZVMcBAACaAwAADgAAAAAAAAABACAAAAAeAQAAZHJzL2Uyb0RvYy54&#10;bWxQSwUGAAAAAAYABgBZAQAAVwUAAAAA&#10;">
              <v:fill on="f" focussize="0,0"/>
              <v:stroke on="f"/>
              <v:imagedata o:title=""/>
              <o:lock v:ext="edit" aspectratio="f"/>
              <v:textbox inset="0mm,0mm,0mm,0mm" style="mso-fit-shape-to-text:t;">
                <w:txbxContent>
                  <w:p w14:paraId="5660CD88">
                    <w:pPr>
                      <w:snapToGrid w:val="0"/>
                      <w:rPr>
                        <w:rFonts w:hint="eastAsia" w:ascii="Times New Roman" w:hAnsi="Times New Roman" w:eastAsia="宋体" w:cs="Times New Roman"/>
                        <w:sz w:val="18"/>
                      </w:rPr>
                    </w:pPr>
                    <w:r>
                      <w:rPr>
                        <w:rFonts w:hint="eastAsia" w:ascii="Times New Roman" w:hAnsi="Times New Roman" w:eastAsia="宋体" w:cs="Times New Roman"/>
                        <w:sz w:val="18"/>
                      </w:rPr>
                      <w:fldChar w:fldCharType="begin"/>
                    </w:r>
                    <w:r>
                      <w:rPr>
                        <w:rFonts w:hint="eastAsia" w:ascii="Times New Roman" w:hAnsi="Times New Roman" w:eastAsia="宋体" w:cs="Times New Roman"/>
                        <w:sz w:val="18"/>
                      </w:rPr>
                      <w:instrText xml:space="preserve"> PAGE  \* MERGEFORMAT </w:instrText>
                    </w:r>
                    <w:r>
                      <w:rPr>
                        <w:rFonts w:hint="eastAsia" w:ascii="Times New Roman" w:hAnsi="Times New Roman" w:eastAsia="宋体" w:cs="Times New Roman"/>
                        <w:sz w:val="18"/>
                      </w:rPr>
                      <w:fldChar w:fldCharType="separate"/>
                    </w:r>
                    <w:r>
                      <w:rPr>
                        <w:rFonts w:ascii="Times New Roman" w:hAnsi="Times New Roman" w:eastAsia="宋体" w:cs="Times New Roman"/>
                        <w:sz w:val="18"/>
                      </w:rPr>
                      <w:t>40</w:t>
                    </w:r>
                    <w:r>
                      <w:rPr>
                        <w:rFonts w:hint="eastAsia" w:ascii="Times New Roman" w:hAnsi="Times New Roman" w:eastAsia="宋体" w:cs="Times New Roman"/>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90BE0">
    <w:pPr>
      <w:widowControl w:val="0"/>
      <w:tabs>
        <w:tab w:val="center" w:pos="4153"/>
        <w:tab w:val="right" w:pos="8306"/>
      </w:tabs>
      <w:snapToGrid w:val="0"/>
      <w:spacing w:line="360" w:lineRule="auto"/>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1434A1">
                          <w:pPr>
                            <w:snapToGrid w:val="0"/>
                            <w:rPr>
                              <w:rFonts w:hint="eastAsia" w:ascii="Times New Roman" w:hAnsi="Times New Roman" w:eastAsia="宋体" w:cs="Times New Roman"/>
                              <w:sz w:val="18"/>
                            </w:rPr>
                          </w:pPr>
                          <w:r>
                            <w:rPr>
                              <w:rFonts w:hint="eastAsia" w:ascii="Times New Roman" w:hAnsi="Times New Roman" w:eastAsia="宋体" w:cs="Times New Roman"/>
                              <w:sz w:val="18"/>
                            </w:rPr>
                            <w:fldChar w:fldCharType="begin"/>
                          </w:r>
                          <w:r>
                            <w:rPr>
                              <w:rFonts w:hint="eastAsia" w:ascii="Times New Roman" w:hAnsi="Times New Roman" w:eastAsia="宋体" w:cs="Times New Roman"/>
                              <w:sz w:val="18"/>
                            </w:rPr>
                            <w:instrText xml:space="preserve"> PAGE  \* MERGEFORMAT </w:instrText>
                          </w:r>
                          <w:r>
                            <w:rPr>
                              <w:rFonts w:hint="eastAsia" w:ascii="Times New Roman" w:hAnsi="Times New Roman" w:eastAsia="宋体" w:cs="Times New Roman"/>
                              <w:sz w:val="18"/>
                            </w:rPr>
                            <w:fldChar w:fldCharType="separate"/>
                          </w:r>
                          <w:r>
                            <w:rPr>
                              <w:rFonts w:ascii="Times New Roman" w:hAnsi="Times New Roman" w:eastAsia="宋体" w:cs="Times New Roman"/>
                              <w:sz w:val="18"/>
                            </w:rPr>
                            <w:t>17</w:t>
                          </w:r>
                          <w:r>
                            <w:rPr>
                              <w:rFonts w:hint="eastAsia" w:ascii="Times New Roman" w:hAnsi="Times New Roman" w:eastAsia="宋体" w:cs="Times New Roman"/>
                              <w:sz w:val="1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iUIVcg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XhNieMWJ375/u3y49fl51ey&#10;zPr0AWpMewiYmIY7P2Du7Ad0ZtqDijZ/kRDBOKp7vqorh0REfrRerdcVhgTG5gvis8fnIUJ6K70l&#10;2WhoxPEVVfnpPaQxdU7J1Zy/18aUERr3lwMxs4fl3sces5WG/TAR2vv2jHx6nHxDHS46JeadQ2Hz&#10;ksxGnI39bBxD1IeubFGuB+H2mLCJ0luuMMJOhXFkhd20Xnkn/ryXrMdfa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YlCFXIAQAAmgMAAA4AAAAAAAAAAQAgAAAAHgEAAGRycy9lMm9Eb2Mu&#10;eG1sUEsFBgAAAAAGAAYAWQEAAFgFAAAAAA==&#10;">
              <v:fill on="f" focussize="0,0"/>
              <v:stroke on="f"/>
              <v:imagedata o:title=""/>
              <o:lock v:ext="edit" aspectratio="f"/>
              <v:textbox inset="0mm,0mm,0mm,0mm" style="mso-fit-shape-to-text:t;">
                <w:txbxContent>
                  <w:p w14:paraId="791434A1">
                    <w:pPr>
                      <w:snapToGrid w:val="0"/>
                      <w:rPr>
                        <w:rFonts w:hint="eastAsia" w:ascii="Times New Roman" w:hAnsi="Times New Roman" w:eastAsia="宋体" w:cs="Times New Roman"/>
                        <w:sz w:val="18"/>
                      </w:rPr>
                    </w:pPr>
                    <w:r>
                      <w:rPr>
                        <w:rFonts w:hint="eastAsia" w:ascii="Times New Roman" w:hAnsi="Times New Roman" w:eastAsia="宋体" w:cs="Times New Roman"/>
                        <w:sz w:val="18"/>
                      </w:rPr>
                      <w:fldChar w:fldCharType="begin"/>
                    </w:r>
                    <w:r>
                      <w:rPr>
                        <w:rFonts w:hint="eastAsia" w:ascii="Times New Roman" w:hAnsi="Times New Roman" w:eastAsia="宋体" w:cs="Times New Roman"/>
                        <w:sz w:val="18"/>
                      </w:rPr>
                      <w:instrText xml:space="preserve"> PAGE  \* MERGEFORMAT </w:instrText>
                    </w:r>
                    <w:r>
                      <w:rPr>
                        <w:rFonts w:hint="eastAsia" w:ascii="Times New Roman" w:hAnsi="Times New Roman" w:eastAsia="宋体" w:cs="Times New Roman"/>
                        <w:sz w:val="18"/>
                      </w:rPr>
                      <w:fldChar w:fldCharType="separate"/>
                    </w:r>
                    <w:r>
                      <w:rPr>
                        <w:rFonts w:ascii="Times New Roman" w:hAnsi="Times New Roman" w:eastAsia="宋体" w:cs="Times New Roman"/>
                        <w:sz w:val="18"/>
                      </w:rPr>
                      <w:t>17</w:t>
                    </w:r>
                    <w:r>
                      <w:rPr>
                        <w:rFonts w:hint="eastAsia" w:ascii="Times New Roman" w:hAnsi="Times New Roman" w:eastAsia="宋体" w:cs="Times New Roman"/>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E1BF9">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11" name="文本框 1025"/>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261849E8"/>
                      </w:txbxContent>
                    </wps:txbx>
                    <wps:bodyPr wrap="square" lIns="0" tIns="0" rIns="0" bIns="0" upright="1"/>
                  </wps:wsp>
                </a:graphicData>
              </a:graphic>
            </wp:anchor>
          </w:drawing>
        </mc:Choice>
        <mc:Fallback>
          <w:pict>
            <v:shape id="文本框 1025" o:spid="_x0000_s1026" o:spt="202" type="#_x0000_t202" style="position:absolute;left:0pt;margin-left:76.9pt;margin-top:35.4pt;height:12.6pt;width:107.15pt;mso-position-horizontal-relative:page;mso-position-vertical-relative:page;z-index:-251657216;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dqHs52AAAAAkBAAAPAAAAAAAAAAEAIAAAACIAAABkcnMvZG93&#10;bnJldi54bWxQSwECFAAUAAAACACHTuJAH9RyIccBAACEAwAADgAAAAAAAAABACAAAAAnAQAAZHJz&#10;L2Uyb0RvYy54bWxQSwUGAAAAAAYABgBZAQAAYAUAAAAA&#10;">
              <v:fill on="f" focussize="0,0"/>
              <v:stroke on="f"/>
              <v:imagedata o:title=""/>
              <o:lock v:ext="edit" aspectratio="f"/>
              <v:textbox inset="0mm,0mm,0mm,0mm">
                <w:txbxContent>
                  <w:p w14:paraId="261849E8"/>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73B8E"/>
    <w:multiLevelType w:val="singleLevel"/>
    <w:tmpl w:val="80973B8E"/>
    <w:lvl w:ilvl="0" w:tentative="0">
      <w:start w:val="2"/>
      <w:numFmt w:val="decimal"/>
      <w:suff w:val="nothing"/>
      <w:lvlText w:val="%1、"/>
      <w:lvlJc w:val="left"/>
    </w:lvl>
  </w:abstractNum>
  <w:abstractNum w:abstractNumId="1">
    <w:nsid w:val="00000004"/>
    <w:multiLevelType w:val="singleLevel"/>
    <w:tmpl w:val="00000004"/>
    <w:lvl w:ilvl="0" w:tentative="0">
      <w:start w:val="8"/>
      <w:numFmt w:val="chineseCounting"/>
      <w:suff w:val="nothing"/>
      <w:lvlText w:val="%1、"/>
      <w:lvlJc w:val="left"/>
      <w:rPr>
        <w:rFonts w:hint="eastAsia"/>
      </w:rPr>
    </w:lvl>
  </w:abstractNum>
  <w:abstractNum w:abstractNumId="2">
    <w:nsid w:val="06784D56"/>
    <w:multiLevelType w:val="singleLevel"/>
    <w:tmpl w:val="06784D56"/>
    <w:lvl w:ilvl="0" w:tentative="0">
      <w:start w:val="1"/>
      <w:numFmt w:val="upperLetter"/>
      <w:pStyle w:val="112"/>
      <w:lvlText w:val="附录%1."/>
      <w:lvlJc w:val="left"/>
      <w:pPr>
        <w:tabs>
          <w:tab w:val="left" w:pos="907"/>
        </w:tabs>
        <w:ind w:left="907" w:hanging="907"/>
      </w:pPr>
      <w:rPr>
        <w:rFonts w:hint="eastAsia"/>
      </w:rPr>
    </w:lvl>
  </w:abstractNum>
  <w:abstractNum w:abstractNumId="3">
    <w:nsid w:val="420C153B"/>
    <w:multiLevelType w:val="multilevel"/>
    <w:tmpl w:val="420C153B"/>
    <w:lvl w:ilvl="0" w:tentative="0">
      <w:start w:val="1"/>
      <w:numFmt w:val="decimal"/>
      <w:pStyle w:val="11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4C0C1BFB"/>
    <w:multiLevelType w:val="singleLevel"/>
    <w:tmpl w:val="4C0C1BFB"/>
    <w:lvl w:ilvl="0" w:tentative="0">
      <w:start w:val="1"/>
      <w:numFmt w:val="decimal"/>
      <w:pStyle w:val="101"/>
      <w:lvlText w:val="（%1）"/>
      <w:lvlJc w:val="left"/>
      <w:pPr>
        <w:tabs>
          <w:tab w:val="left" w:pos="810"/>
        </w:tabs>
        <w:ind w:left="810" w:hanging="810"/>
      </w:pPr>
      <w:rPr>
        <w:rFonts w:hint="eastAsia"/>
      </w:rPr>
    </w:lvl>
  </w:abstractNum>
  <w:abstractNum w:abstractNumId="5">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10"/>
      <w:suff w:val="nothing"/>
      <w:lvlText w:val=""/>
      <w:lvlJc w:val="left"/>
      <w:pPr>
        <w:ind w:left="0" w:firstLine="0"/>
      </w:pPr>
      <w:rPr>
        <w:rFonts w:hint="eastAsia"/>
      </w:rPr>
    </w:lvl>
    <w:lvl w:ilvl="6" w:tentative="0">
      <w:start w:val="1"/>
      <w:numFmt w:val="none"/>
      <w:pStyle w:val="11"/>
      <w:suff w:val="nothing"/>
      <w:lvlText w:val=""/>
      <w:lvlJc w:val="left"/>
      <w:pPr>
        <w:ind w:left="0" w:firstLine="0"/>
      </w:pPr>
      <w:rPr>
        <w:rFonts w:hint="eastAsia"/>
      </w:rPr>
    </w:lvl>
    <w:lvl w:ilvl="7" w:tentative="0">
      <w:start w:val="1"/>
      <w:numFmt w:val="none"/>
      <w:pStyle w:val="12"/>
      <w:suff w:val="nothing"/>
      <w:lvlText w:val=""/>
      <w:lvlJc w:val="left"/>
      <w:pPr>
        <w:ind w:left="0" w:firstLine="0"/>
      </w:pPr>
      <w:rPr>
        <w:rFonts w:hint="eastAsia"/>
      </w:rPr>
    </w:lvl>
    <w:lvl w:ilvl="8" w:tentative="0">
      <w:start w:val="1"/>
      <w:numFmt w:val="none"/>
      <w:pStyle w:val="13"/>
      <w:suff w:val="nothing"/>
      <w:lvlText w:val=""/>
      <w:lvlJc w:val="left"/>
      <w:pPr>
        <w:ind w:left="0" w:firstLine="0"/>
      </w:pPr>
      <w:rPr>
        <w:rFonts w:hint="eastAsia"/>
      </w:rPr>
    </w:lvl>
  </w:abstractNum>
  <w:abstractNum w:abstractNumId="6">
    <w:nsid w:val="77791287"/>
    <w:multiLevelType w:val="singleLevel"/>
    <w:tmpl w:val="77791287"/>
    <w:lvl w:ilvl="0" w:tentative="0">
      <w:start w:val="2"/>
      <w:numFmt w:val="decimal"/>
      <w:lvlText w:val="%1."/>
      <w:lvlJc w:val="left"/>
      <w:pPr>
        <w:tabs>
          <w:tab w:val="left" w:pos="312"/>
        </w:tabs>
      </w:pPr>
    </w:lvl>
  </w:abstractNum>
  <w:num w:numId="1">
    <w:abstractNumId w:val="5"/>
  </w:num>
  <w:num w:numId="2">
    <w:abstractNumId w:val="4"/>
  </w:num>
  <w:num w:numId="3">
    <w:abstractNumId w:val="2"/>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xYWE4YjJhYmM1MjkwMzFhYWVjNzVkMmU4ZDU1MTQifQ=="/>
    <w:docVar w:name="KSO_WPS_MARK_KEY" w:val="2f38e132-a224-40d6-847b-768eec3bc93a"/>
  </w:docVars>
  <w:rsids>
    <w:rsidRoot w:val="00D37234"/>
    <w:rsid w:val="00000B50"/>
    <w:rsid w:val="000012AD"/>
    <w:rsid w:val="00002023"/>
    <w:rsid w:val="000021C3"/>
    <w:rsid w:val="00002A41"/>
    <w:rsid w:val="00003038"/>
    <w:rsid w:val="000036FB"/>
    <w:rsid w:val="00003E3B"/>
    <w:rsid w:val="000040E6"/>
    <w:rsid w:val="0000553F"/>
    <w:rsid w:val="00006327"/>
    <w:rsid w:val="00006E32"/>
    <w:rsid w:val="00007678"/>
    <w:rsid w:val="00010521"/>
    <w:rsid w:val="00010E39"/>
    <w:rsid w:val="00010EC6"/>
    <w:rsid w:val="00011619"/>
    <w:rsid w:val="00011FF2"/>
    <w:rsid w:val="00012BC2"/>
    <w:rsid w:val="0001340E"/>
    <w:rsid w:val="000134F1"/>
    <w:rsid w:val="000144A3"/>
    <w:rsid w:val="00015CBB"/>
    <w:rsid w:val="000178E0"/>
    <w:rsid w:val="00017D33"/>
    <w:rsid w:val="00020624"/>
    <w:rsid w:val="000214BA"/>
    <w:rsid w:val="000217F4"/>
    <w:rsid w:val="00023805"/>
    <w:rsid w:val="000254B1"/>
    <w:rsid w:val="0002607A"/>
    <w:rsid w:val="00026720"/>
    <w:rsid w:val="000269AE"/>
    <w:rsid w:val="0002771F"/>
    <w:rsid w:val="000300C7"/>
    <w:rsid w:val="00031135"/>
    <w:rsid w:val="000313D5"/>
    <w:rsid w:val="00031400"/>
    <w:rsid w:val="00033D51"/>
    <w:rsid w:val="00034EE1"/>
    <w:rsid w:val="00035B84"/>
    <w:rsid w:val="00035DB5"/>
    <w:rsid w:val="00035FD3"/>
    <w:rsid w:val="00036464"/>
    <w:rsid w:val="000368D5"/>
    <w:rsid w:val="00041C0C"/>
    <w:rsid w:val="00045FCC"/>
    <w:rsid w:val="0004682D"/>
    <w:rsid w:val="0004737D"/>
    <w:rsid w:val="00050598"/>
    <w:rsid w:val="000527CA"/>
    <w:rsid w:val="00052F6E"/>
    <w:rsid w:val="000533AB"/>
    <w:rsid w:val="00054001"/>
    <w:rsid w:val="00055613"/>
    <w:rsid w:val="00055942"/>
    <w:rsid w:val="00055E74"/>
    <w:rsid w:val="0006136C"/>
    <w:rsid w:val="00063CEE"/>
    <w:rsid w:val="00063F19"/>
    <w:rsid w:val="00064391"/>
    <w:rsid w:val="0006639D"/>
    <w:rsid w:val="000664B9"/>
    <w:rsid w:val="0006714F"/>
    <w:rsid w:val="00071811"/>
    <w:rsid w:val="00071CEE"/>
    <w:rsid w:val="0007307E"/>
    <w:rsid w:val="00073596"/>
    <w:rsid w:val="00075DBF"/>
    <w:rsid w:val="000760C9"/>
    <w:rsid w:val="00076D7B"/>
    <w:rsid w:val="00076DB5"/>
    <w:rsid w:val="0007732F"/>
    <w:rsid w:val="00077725"/>
    <w:rsid w:val="00083A9A"/>
    <w:rsid w:val="00083F9C"/>
    <w:rsid w:val="00084F92"/>
    <w:rsid w:val="00087583"/>
    <w:rsid w:val="00091368"/>
    <w:rsid w:val="00091374"/>
    <w:rsid w:val="0009190E"/>
    <w:rsid w:val="000920C7"/>
    <w:rsid w:val="00094CF9"/>
    <w:rsid w:val="0009585A"/>
    <w:rsid w:val="00095E05"/>
    <w:rsid w:val="00097697"/>
    <w:rsid w:val="000A437C"/>
    <w:rsid w:val="000B09F2"/>
    <w:rsid w:val="000B0F3D"/>
    <w:rsid w:val="000B111A"/>
    <w:rsid w:val="000B1318"/>
    <w:rsid w:val="000B2104"/>
    <w:rsid w:val="000C095E"/>
    <w:rsid w:val="000C0CB7"/>
    <w:rsid w:val="000C26EA"/>
    <w:rsid w:val="000C33FA"/>
    <w:rsid w:val="000C4195"/>
    <w:rsid w:val="000C42B7"/>
    <w:rsid w:val="000C5411"/>
    <w:rsid w:val="000C54F2"/>
    <w:rsid w:val="000C676C"/>
    <w:rsid w:val="000C77A1"/>
    <w:rsid w:val="000D0BBA"/>
    <w:rsid w:val="000D2400"/>
    <w:rsid w:val="000D26C1"/>
    <w:rsid w:val="000D26D8"/>
    <w:rsid w:val="000D3EE4"/>
    <w:rsid w:val="000D4D2B"/>
    <w:rsid w:val="000E0173"/>
    <w:rsid w:val="000E0F51"/>
    <w:rsid w:val="000E157E"/>
    <w:rsid w:val="000E1A22"/>
    <w:rsid w:val="000E321A"/>
    <w:rsid w:val="000E5078"/>
    <w:rsid w:val="000F0EB5"/>
    <w:rsid w:val="000F1316"/>
    <w:rsid w:val="000F3923"/>
    <w:rsid w:val="000F4D9E"/>
    <w:rsid w:val="000F5CDE"/>
    <w:rsid w:val="000F5E8A"/>
    <w:rsid w:val="000F7537"/>
    <w:rsid w:val="000F79EE"/>
    <w:rsid w:val="00100053"/>
    <w:rsid w:val="00100A5E"/>
    <w:rsid w:val="00101DB7"/>
    <w:rsid w:val="00102619"/>
    <w:rsid w:val="00102D5E"/>
    <w:rsid w:val="00103454"/>
    <w:rsid w:val="00105903"/>
    <w:rsid w:val="001061A4"/>
    <w:rsid w:val="00107440"/>
    <w:rsid w:val="00107CDA"/>
    <w:rsid w:val="001101E9"/>
    <w:rsid w:val="00111226"/>
    <w:rsid w:val="00111F3D"/>
    <w:rsid w:val="00114CA6"/>
    <w:rsid w:val="001160D7"/>
    <w:rsid w:val="00120A69"/>
    <w:rsid w:val="00121CC9"/>
    <w:rsid w:val="00124CD5"/>
    <w:rsid w:val="001252B0"/>
    <w:rsid w:val="001256AE"/>
    <w:rsid w:val="00127A72"/>
    <w:rsid w:val="00127C63"/>
    <w:rsid w:val="00131277"/>
    <w:rsid w:val="00131881"/>
    <w:rsid w:val="00131A58"/>
    <w:rsid w:val="001333E9"/>
    <w:rsid w:val="0013433C"/>
    <w:rsid w:val="0013477E"/>
    <w:rsid w:val="00134831"/>
    <w:rsid w:val="001372D8"/>
    <w:rsid w:val="00140DFA"/>
    <w:rsid w:val="00141F88"/>
    <w:rsid w:val="0014204A"/>
    <w:rsid w:val="0014483C"/>
    <w:rsid w:val="00146F7C"/>
    <w:rsid w:val="0014735C"/>
    <w:rsid w:val="001477FB"/>
    <w:rsid w:val="001510B7"/>
    <w:rsid w:val="0015158B"/>
    <w:rsid w:val="00152FA5"/>
    <w:rsid w:val="001541B9"/>
    <w:rsid w:val="001544A4"/>
    <w:rsid w:val="0015497E"/>
    <w:rsid w:val="00154CA1"/>
    <w:rsid w:val="001551BF"/>
    <w:rsid w:val="00157E5B"/>
    <w:rsid w:val="00160AE5"/>
    <w:rsid w:val="001613A6"/>
    <w:rsid w:val="001637D2"/>
    <w:rsid w:val="0016437E"/>
    <w:rsid w:val="00164C69"/>
    <w:rsid w:val="00166EFF"/>
    <w:rsid w:val="00170A2D"/>
    <w:rsid w:val="00171360"/>
    <w:rsid w:val="00171D87"/>
    <w:rsid w:val="001749B6"/>
    <w:rsid w:val="00174A31"/>
    <w:rsid w:val="0017505E"/>
    <w:rsid w:val="00176950"/>
    <w:rsid w:val="0018156A"/>
    <w:rsid w:val="00182E37"/>
    <w:rsid w:val="00183EB5"/>
    <w:rsid w:val="00187B49"/>
    <w:rsid w:val="00187C1F"/>
    <w:rsid w:val="00187DC4"/>
    <w:rsid w:val="0019076F"/>
    <w:rsid w:val="00193274"/>
    <w:rsid w:val="00193DAC"/>
    <w:rsid w:val="00194202"/>
    <w:rsid w:val="001946FF"/>
    <w:rsid w:val="00194F22"/>
    <w:rsid w:val="001953B0"/>
    <w:rsid w:val="00195808"/>
    <w:rsid w:val="00195A83"/>
    <w:rsid w:val="001A07C4"/>
    <w:rsid w:val="001A1033"/>
    <w:rsid w:val="001A187D"/>
    <w:rsid w:val="001A18C0"/>
    <w:rsid w:val="001A1D99"/>
    <w:rsid w:val="001A26B5"/>
    <w:rsid w:val="001A304A"/>
    <w:rsid w:val="001A3BFA"/>
    <w:rsid w:val="001A57FF"/>
    <w:rsid w:val="001A6C7F"/>
    <w:rsid w:val="001A7BA0"/>
    <w:rsid w:val="001A7F3C"/>
    <w:rsid w:val="001B2822"/>
    <w:rsid w:val="001B34C4"/>
    <w:rsid w:val="001B37C7"/>
    <w:rsid w:val="001B4172"/>
    <w:rsid w:val="001B52A8"/>
    <w:rsid w:val="001B5378"/>
    <w:rsid w:val="001B6B93"/>
    <w:rsid w:val="001B79B5"/>
    <w:rsid w:val="001C0231"/>
    <w:rsid w:val="001C02D6"/>
    <w:rsid w:val="001C1947"/>
    <w:rsid w:val="001C21EF"/>
    <w:rsid w:val="001C2404"/>
    <w:rsid w:val="001C2454"/>
    <w:rsid w:val="001C29F7"/>
    <w:rsid w:val="001C3136"/>
    <w:rsid w:val="001C37D3"/>
    <w:rsid w:val="001C6670"/>
    <w:rsid w:val="001C69AD"/>
    <w:rsid w:val="001D03CD"/>
    <w:rsid w:val="001D0B04"/>
    <w:rsid w:val="001D0EA3"/>
    <w:rsid w:val="001D1087"/>
    <w:rsid w:val="001D1E13"/>
    <w:rsid w:val="001D3DF4"/>
    <w:rsid w:val="001D4B6D"/>
    <w:rsid w:val="001D4C79"/>
    <w:rsid w:val="001D5588"/>
    <w:rsid w:val="001D6F14"/>
    <w:rsid w:val="001E1785"/>
    <w:rsid w:val="001E19C0"/>
    <w:rsid w:val="001E2A27"/>
    <w:rsid w:val="001E482F"/>
    <w:rsid w:val="001E48AF"/>
    <w:rsid w:val="001E6CFD"/>
    <w:rsid w:val="001F2054"/>
    <w:rsid w:val="001F35A1"/>
    <w:rsid w:val="001F4946"/>
    <w:rsid w:val="001F4B41"/>
    <w:rsid w:val="001F58DB"/>
    <w:rsid w:val="001F6423"/>
    <w:rsid w:val="001F64B1"/>
    <w:rsid w:val="001F6652"/>
    <w:rsid w:val="001F66B6"/>
    <w:rsid w:val="00200726"/>
    <w:rsid w:val="00201570"/>
    <w:rsid w:val="00201AAD"/>
    <w:rsid w:val="002026FD"/>
    <w:rsid w:val="002029A0"/>
    <w:rsid w:val="00203FDB"/>
    <w:rsid w:val="00204B0E"/>
    <w:rsid w:val="00207854"/>
    <w:rsid w:val="00211160"/>
    <w:rsid w:val="002114C5"/>
    <w:rsid w:val="0021150E"/>
    <w:rsid w:val="00211D84"/>
    <w:rsid w:val="002129B4"/>
    <w:rsid w:val="00213305"/>
    <w:rsid w:val="00213554"/>
    <w:rsid w:val="002135F1"/>
    <w:rsid w:val="00213952"/>
    <w:rsid w:val="0021413E"/>
    <w:rsid w:val="002150AA"/>
    <w:rsid w:val="00215D7A"/>
    <w:rsid w:val="0021681C"/>
    <w:rsid w:val="00216D78"/>
    <w:rsid w:val="0022068B"/>
    <w:rsid w:val="00224BF6"/>
    <w:rsid w:val="00224D56"/>
    <w:rsid w:val="002250E1"/>
    <w:rsid w:val="0022514B"/>
    <w:rsid w:val="002251B2"/>
    <w:rsid w:val="00225592"/>
    <w:rsid w:val="00227982"/>
    <w:rsid w:val="00227BB6"/>
    <w:rsid w:val="00227C43"/>
    <w:rsid w:val="0023202D"/>
    <w:rsid w:val="00232077"/>
    <w:rsid w:val="002331F2"/>
    <w:rsid w:val="00235603"/>
    <w:rsid w:val="002369AF"/>
    <w:rsid w:val="00241187"/>
    <w:rsid w:val="00241203"/>
    <w:rsid w:val="00241671"/>
    <w:rsid w:val="00243079"/>
    <w:rsid w:val="00243975"/>
    <w:rsid w:val="002447BD"/>
    <w:rsid w:val="00246130"/>
    <w:rsid w:val="00246C19"/>
    <w:rsid w:val="002479CA"/>
    <w:rsid w:val="00250987"/>
    <w:rsid w:val="00252722"/>
    <w:rsid w:val="002537B2"/>
    <w:rsid w:val="00253E7E"/>
    <w:rsid w:val="00254207"/>
    <w:rsid w:val="00255C8D"/>
    <w:rsid w:val="00255FEB"/>
    <w:rsid w:val="00261A7E"/>
    <w:rsid w:val="002640B2"/>
    <w:rsid w:val="00264902"/>
    <w:rsid w:val="00264FAC"/>
    <w:rsid w:val="002657FF"/>
    <w:rsid w:val="00267D06"/>
    <w:rsid w:val="00267D13"/>
    <w:rsid w:val="002702B6"/>
    <w:rsid w:val="00270609"/>
    <w:rsid w:val="00270858"/>
    <w:rsid w:val="00270E78"/>
    <w:rsid w:val="00270EEE"/>
    <w:rsid w:val="00270F7A"/>
    <w:rsid w:val="0027159B"/>
    <w:rsid w:val="002750C2"/>
    <w:rsid w:val="00275F24"/>
    <w:rsid w:val="0027611E"/>
    <w:rsid w:val="00276467"/>
    <w:rsid w:val="002767AF"/>
    <w:rsid w:val="00276C85"/>
    <w:rsid w:val="002773BE"/>
    <w:rsid w:val="00280CC5"/>
    <w:rsid w:val="00280F98"/>
    <w:rsid w:val="00280F9F"/>
    <w:rsid w:val="00281B22"/>
    <w:rsid w:val="00282FDE"/>
    <w:rsid w:val="0028368D"/>
    <w:rsid w:val="00284F56"/>
    <w:rsid w:val="0028524A"/>
    <w:rsid w:val="0028532D"/>
    <w:rsid w:val="00286E46"/>
    <w:rsid w:val="00287A23"/>
    <w:rsid w:val="0029224A"/>
    <w:rsid w:val="0029269B"/>
    <w:rsid w:val="00293ED7"/>
    <w:rsid w:val="00296412"/>
    <w:rsid w:val="00296520"/>
    <w:rsid w:val="00296EE7"/>
    <w:rsid w:val="00297C93"/>
    <w:rsid w:val="002A1B0C"/>
    <w:rsid w:val="002A35C8"/>
    <w:rsid w:val="002A67A6"/>
    <w:rsid w:val="002A693A"/>
    <w:rsid w:val="002A7962"/>
    <w:rsid w:val="002B084C"/>
    <w:rsid w:val="002B11E6"/>
    <w:rsid w:val="002B1B75"/>
    <w:rsid w:val="002B2BAF"/>
    <w:rsid w:val="002B3E53"/>
    <w:rsid w:val="002B6716"/>
    <w:rsid w:val="002B70EF"/>
    <w:rsid w:val="002C00C1"/>
    <w:rsid w:val="002C067B"/>
    <w:rsid w:val="002C2466"/>
    <w:rsid w:val="002C29A7"/>
    <w:rsid w:val="002C37EC"/>
    <w:rsid w:val="002C3863"/>
    <w:rsid w:val="002C4418"/>
    <w:rsid w:val="002C75A7"/>
    <w:rsid w:val="002D046F"/>
    <w:rsid w:val="002D15D0"/>
    <w:rsid w:val="002D3E1D"/>
    <w:rsid w:val="002D4138"/>
    <w:rsid w:val="002D44AA"/>
    <w:rsid w:val="002D703B"/>
    <w:rsid w:val="002D78A6"/>
    <w:rsid w:val="002D7B1C"/>
    <w:rsid w:val="002D7F6F"/>
    <w:rsid w:val="002E0200"/>
    <w:rsid w:val="002E0576"/>
    <w:rsid w:val="002E1397"/>
    <w:rsid w:val="002E192A"/>
    <w:rsid w:val="002E2B69"/>
    <w:rsid w:val="002E3028"/>
    <w:rsid w:val="002E4A67"/>
    <w:rsid w:val="002E4B77"/>
    <w:rsid w:val="002E4D8D"/>
    <w:rsid w:val="002E761A"/>
    <w:rsid w:val="002E7638"/>
    <w:rsid w:val="002E7FEC"/>
    <w:rsid w:val="002F080F"/>
    <w:rsid w:val="002F0B59"/>
    <w:rsid w:val="002F0E29"/>
    <w:rsid w:val="002F2018"/>
    <w:rsid w:val="002F3C42"/>
    <w:rsid w:val="002F3DAA"/>
    <w:rsid w:val="002F45B0"/>
    <w:rsid w:val="002F4C80"/>
    <w:rsid w:val="002F56BB"/>
    <w:rsid w:val="002F5748"/>
    <w:rsid w:val="002F57C5"/>
    <w:rsid w:val="002F5A9D"/>
    <w:rsid w:val="002F7C78"/>
    <w:rsid w:val="002F7F15"/>
    <w:rsid w:val="00300F2D"/>
    <w:rsid w:val="00301D55"/>
    <w:rsid w:val="00302002"/>
    <w:rsid w:val="00303AB3"/>
    <w:rsid w:val="00303E18"/>
    <w:rsid w:val="003062C7"/>
    <w:rsid w:val="003065CE"/>
    <w:rsid w:val="003077D7"/>
    <w:rsid w:val="00310052"/>
    <w:rsid w:val="00310924"/>
    <w:rsid w:val="003119DF"/>
    <w:rsid w:val="00315D25"/>
    <w:rsid w:val="00316838"/>
    <w:rsid w:val="00316C0E"/>
    <w:rsid w:val="003176F0"/>
    <w:rsid w:val="00317A43"/>
    <w:rsid w:val="00317CA3"/>
    <w:rsid w:val="00320A43"/>
    <w:rsid w:val="00320F55"/>
    <w:rsid w:val="00321DA1"/>
    <w:rsid w:val="003238EE"/>
    <w:rsid w:val="003306B9"/>
    <w:rsid w:val="003320F3"/>
    <w:rsid w:val="0033584E"/>
    <w:rsid w:val="00336151"/>
    <w:rsid w:val="0033681E"/>
    <w:rsid w:val="003375A1"/>
    <w:rsid w:val="0034142F"/>
    <w:rsid w:val="00341757"/>
    <w:rsid w:val="00342DCC"/>
    <w:rsid w:val="00343BB6"/>
    <w:rsid w:val="00344805"/>
    <w:rsid w:val="00344B6D"/>
    <w:rsid w:val="0034542F"/>
    <w:rsid w:val="003458F9"/>
    <w:rsid w:val="0034648C"/>
    <w:rsid w:val="0034699A"/>
    <w:rsid w:val="00346D70"/>
    <w:rsid w:val="00347AB6"/>
    <w:rsid w:val="00350189"/>
    <w:rsid w:val="003508CE"/>
    <w:rsid w:val="00351988"/>
    <w:rsid w:val="00351C56"/>
    <w:rsid w:val="00352EFB"/>
    <w:rsid w:val="003543A9"/>
    <w:rsid w:val="00356239"/>
    <w:rsid w:val="003570D2"/>
    <w:rsid w:val="00357549"/>
    <w:rsid w:val="00357F4D"/>
    <w:rsid w:val="00361201"/>
    <w:rsid w:val="00362C38"/>
    <w:rsid w:val="00363EC7"/>
    <w:rsid w:val="003646CC"/>
    <w:rsid w:val="00364EDB"/>
    <w:rsid w:val="0036776C"/>
    <w:rsid w:val="003715B6"/>
    <w:rsid w:val="00372D3E"/>
    <w:rsid w:val="00373601"/>
    <w:rsid w:val="00373708"/>
    <w:rsid w:val="00373911"/>
    <w:rsid w:val="00375F18"/>
    <w:rsid w:val="0037721C"/>
    <w:rsid w:val="00377CC7"/>
    <w:rsid w:val="00381306"/>
    <w:rsid w:val="0038282F"/>
    <w:rsid w:val="00382FB7"/>
    <w:rsid w:val="00384933"/>
    <w:rsid w:val="003849D4"/>
    <w:rsid w:val="00385B86"/>
    <w:rsid w:val="00386ACE"/>
    <w:rsid w:val="00387097"/>
    <w:rsid w:val="003872C9"/>
    <w:rsid w:val="003919D8"/>
    <w:rsid w:val="00391DF3"/>
    <w:rsid w:val="003931D2"/>
    <w:rsid w:val="00393A1F"/>
    <w:rsid w:val="00394D4B"/>
    <w:rsid w:val="0039611D"/>
    <w:rsid w:val="00396C2C"/>
    <w:rsid w:val="003A0F75"/>
    <w:rsid w:val="003A201F"/>
    <w:rsid w:val="003A2A26"/>
    <w:rsid w:val="003A359F"/>
    <w:rsid w:val="003A3E40"/>
    <w:rsid w:val="003A543B"/>
    <w:rsid w:val="003A6696"/>
    <w:rsid w:val="003A787B"/>
    <w:rsid w:val="003B1B8D"/>
    <w:rsid w:val="003B2DBA"/>
    <w:rsid w:val="003B3157"/>
    <w:rsid w:val="003B4334"/>
    <w:rsid w:val="003B43AD"/>
    <w:rsid w:val="003B515E"/>
    <w:rsid w:val="003B529D"/>
    <w:rsid w:val="003B5AD2"/>
    <w:rsid w:val="003B5EF0"/>
    <w:rsid w:val="003B7727"/>
    <w:rsid w:val="003C0167"/>
    <w:rsid w:val="003C1167"/>
    <w:rsid w:val="003C1CD0"/>
    <w:rsid w:val="003C2871"/>
    <w:rsid w:val="003C2A6D"/>
    <w:rsid w:val="003C351A"/>
    <w:rsid w:val="003C3C93"/>
    <w:rsid w:val="003C45FD"/>
    <w:rsid w:val="003C4D5A"/>
    <w:rsid w:val="003C56E8"/>
    <w:rsid w:val="003C5C27"/>
    <w:rsid w:val="003C70E2"/>
    <w:rsid w:val="003D2469"/>
    <w:rsid w:val="003D3B66"/>
    <w:rsid w:val="003E1622"/>
    <w:rsid w:val="003E18FC"/>
    <w:rsid w:val="003E1E7B"/>
    <w:rsid w:val="003E2237"/>
    <w:rsid w:val="003E264C"/>
    <w:rsid w:val="003E2E2E"/>
    <w:rsid w:val="003E3E53"/>
    <w:rsid w:val="003E4E2B"/>
    <w:rsid w:val="003F0211"/>
    <w:rsid w:val="003F121A"/>
    <w:rsid w:val="003F4303"/>
    <w:rsid w:val="003F4C69"/>
    <w:rsid w:val="003F518D"/>
    <w:rsid w:val="003F55F6"/>
    <w:rsid w:val="003F5F28"/>
    <w:rsid w:val="003F7404"/>
    <w:rsid w:val="00401CB7"/>
    <w:rsid w:val="00401E65"/>
    <w:rsid w:val="0040243C"/>
    <w:rsid w:val="00402F1F"/>
    <w:rsid w:val="00407C08"/>
    <w:rsid w:val="00411EE8"/>
    <w:rsid w:val="004132F7"/>
    <w:rsid w:val="00413748"/>
    <w:rsid w:val="004152A0"/>
    <w:rsid w:val="004177AB"/>
    <w:rsid w:val="00417D89"/>
    <w:rsid w:val="00417DE5"/>
    <w:rsid w:val="00420F30"/>
    <w:rsid w:val="0042107D"/>
    <w:rsid w:val="004222A6"/>
    <w:rsid w:val="00422896"/>
    <w:rsid w:val="00423863"/>
    <w:rsid w:val="0042394B"/>
    <w:rsid w:val="00424246"/>
    <w:rsid w:val="0042442B"/>
    <w:rsid w:val="00425878"/>
    <w:rsid w:val="00425AED"/>
    <w:rsid w:val="00426093"/>
    <w:rsid w:val="004263B3"/>
    <w:rsid w:val="004266DB"/>
    <w:rsid w:val="00426987"/>
    <w:rsid w:val="0043085D"/>
    <w:rsid w:val="00430CEA"/>
    <w:rsid w:val="0043137F"/>
    <w:rsid w:val="00432B25"/>
    <w:rsid w:val="00433E58"/>
    <w:rsid w:val="004342CE"/>
    <w:rsid w:val="004365F0"/>
    <w:rsid w:val="004372D1"/>
    <w:rsid w:val="00440B79"/>
    <w:rsid w:val="00441C99"/>
    <w:rsid w:val="00442013"/>
    <w:rsid w:val="0044504A"/>
    <w:rsid w:val="00445DD0"/>
    <w:rsid w:val="0044618B"/>
    <w:rsid w:val="00446944"/>
    <w:rsid w:val="004472F6"/>
    <w:rsid w:val="004474F1"/>
    <w:rsid w:val="0044786A"/>
    <w:rsid w:val="00451285"/>
    <w:rsid w:val="00451C2C"/>
    <w:rsid w:val="00455551"/>
    <w:rsid w:val="0046004A"/>
    <w:rsid w:val="00460782"/>
    <w:rsid w:val="00461077"/>
    <w:rsid w:val="004613FD"/>
    <w:rsid w:val="00461967"/>
    <w:rsid w:val="00461A67"/>
    <w:rsid w:val="00461A96"/>
    <w:rsid w:val="004629B0"/>
    <w:rsid w:val="004639B1"/>
    <w:rsid w:val="00463AFA"/>
    <w:rsid w:val="004710C4"/>
    <w:rsid w:val="0047189B"/>
    <w:rsid w:val="0047253D"/>
    <w:rsid w:val="00472CBE"/>
    <w:rsid w:val="00473367"/>
    <w:rsid w:val="0047381F"/>
    <w:rsid w:val="00473C95"/>
    <w:rsid w:val="00476ACD"/>
    <w:rsid w:val="0047734E"/>
    <w:rsid w:val="00477ADD"/>
    <w:rsid w:val="00480325"/>
    <w:rsid w:val="004803B5"/>
    <w:rsid w:val="00480999"/>
    <w:rsid w:val="00480DC5"/>
    <w:rsid w:val="00482632"/>
    <w:rsid w:val="00482709"/>
    <w:rsid w:val="00482710"/>
    <w:rsid w:val="00482774"/>
    <w:rsid w:val="004839E9"/>
    <w:rsid w:val="00484112"/>
    <w:rsid w:val="00484166"/>
    <w:rsid w:val="00484277"/>
    <w:rsid w:val="0048538E"/>
    <w:rsid w:val="00486582"/>
    <w:rsid w:val="00486E6C"/>
    <w:rsid w:val="00486FDA"/>
    <w:rsid w:val="00487BD0"/>
    <w:rsid w:val="00487C85"/>
    <w:rsid w:val="00490194"/>
    <w:rsid w:val="00491209"/>
    <w:rsid w:val="004917D5"/>
    <w:rsid w:val="00491927"/>
    <w:rsid w:val="0049277B"/>
    <w:rsid w:val="00492C84"/>
    <w:rsid w:val="0049420D"/>
    <w:rsid w:val="00495FD5"/>
    <w:rsid w:val="004A00A9"/>
    <w:rsid w:val="004A147C"/>
    <w:rsid w:val="004A1507"/>
    <w:rsid w:val="004A16D9"/>
    <w:rsid w:val="004A1865"/>
    <w:rsid w:val="004A21EF"/>
    <w:rsid w:val="004A2DA5"/>
    <w:rsid w:val="004A3762"/>
    <w:rsid w:val="004B19C1"/>
    <w:rsid w:val="004B246E"/>
    <w:rsid w:val="004B4AF9"/>
    <w:rsid w:val="004B4CC3"/>
    <w:rsid w:val="004B6D38"/>
    <w:rsid w:val="004B6DC9"/>
    <w:rsid w:val="004B6FBF"/>
    <w:rsid w:val="004C35DD"/>
    <w:rsid w:val="004C44BC"/>
    <w:rsid w:val="004C64CB"/>
    <w:rsid w:val="004C6900"/>
    <w:rsid w:val="004C6B7A"/>
    <w:rsid w:val="004C70CE"/>
    <w:rsid w:val="004C774A"/>
    <w:rsid w:val="004D10CE"/>
    <w:rsid w:val="004D1DAE"/>
    <w:rsid w:val="004D20D8"/>
    <w:rsid w:val="004D3D3B"/>
    <w:rsid w:val="004D4416"/>
    <w:rsid w:val="004D5A75"/>
    <w:rsid w:val="004E1641"/>
    <w:rsid w:val="004E1780"/>
    <w:rsid w:val="004E2B96"/>
    <w:rsid w:val="004E4069"/>
    <w:rsid w:val="004E42B6"/>
    <w:rsid w:val="004E59D5"/>
    <w:rsid w:val="004F02F0"/>
    <w:rsid w:val="004F05EC"/>
    <w:rsid w:val="004F0B8C"/>
    <w:rsid w:val="004F1130"/>
    <w:rsid w:val="004F2D73"/>
    <w:rsid w:val="004F2FEF"/>
    <w:rsid w:val="004F3277"/>
    <w:rsid w:val="004F543A"/>
    <w:rsid w:val="004F5614"/>
    <w:rsid w:val="004F5FE8"/>
    <w:rsid w:val="004F6692"/>
    <w:rsid w:val="005000AE"/>
    <w:rsid w:val="00500F24"/>
    <w:rsid w:val="0050144C"/>
    <w:rsid w:val="00502618"/>
    <w:rsid w:val="00503D2C"/>
    <w:rsid w:val="00504875"/>
    <w:rsid w:val="005056C0"/>
    <w:rsid w:val="005069E2"/>
    <w:rsid w:val="00506DCB"/>
    <w:rsid w:val="005109EA"/>
    <w:rsid w:val="00512587"/>
    <w:rsid w:val="005130CC"/>
    <w:rsid w:val="00513312"/>
    <w:rsid w:val="005140BE"/>
    <w:rsid w:val="0051457B"/>
    <w:rsid w:val="0051588C"/>
    <w:rsid w:val="00516F0A"/>
    <w:rsid w:val="00517791"/>
    <w:rsid w:val="0052372F"/>
    <w:rsid w:val="005241ED"/>
    <w:rsid w:val="00524999"/>
    <w:rsid w:val="00524D32"/>
    <w:rsid w:val="00525ABC"/>
    <w:rsid w:val="005274DB"/>
    <w:rsid w:val="0052786A"/>
    <w:rsid w:val="00531126"/>
    <w:rsid w:val="00531461"/>
    <w:rsid w:val="00532144"/>
    <w:rsid w:val="00532583"/>
    <w:rsid w:val="005329C7"/>
    <w:rsid w:val="00533C4E"/>
    <w:rsid w:val="0053652A"/>
    <w:rsid w:val="005370DA"/>
    <w:rsid w:val="00541234"/>
    <w:rsid w:val="005413F9"/>
    <w:rsid w:val="00541D72"/>
    <w:rsid w:val="00542948"/>
    <w:rsid w:val="00544C26"/>
    <w:rsid w:val="0054560C"/>
    <w:rsid w:val="0054695F"/>
    <w:rsid w:val="00550E5A"/>
    <w:rsid w:val="00551CC7"/>
    <w:rsid w:val="00551FA0"/>
    <w:rsid w:val="0055360D"/>
    <w:rsid w:val="00555955"/>
    <w:rsid w:val="00557558"/>
    <w:rsid w:val="0056019B"/>
    <w:rsid w:val="00560D0C"/>
    <w:rsid w:val="00561076"/>
    <w:rsid w:val="0056140C"/>
    <w:rsid w:val="00562990"/>
    <w:rsid w:val="00562D2C"/>
    <w:rsid w:val="00563224"/>
    <w:rsid w:val="0056324E"/>
    <w:rsid w:val="005644FD"/>
    <w:rsid w:val="00564883"/>
    <w:rsid w:val="00564F7B"/>
    <w:rsid w:val="00564F9A"/>
    <w:rsid w:val="00570226"/>
    <w:rsid w:val="00571918"/>
    <w:rsid w:val="0057213D"/>
    <w:rsid w:val="00573D5C"/>
    <w:rsid w:val="00574032"/>
    <w:rsid w:val="0057530D"/>
    <w:rsid w:val="00576232"/>
    <w:rsid w:val="0057660D"/>
    <w:rsid w:val="00580612"/>
    <w:rsid w:val="00580814"/>
    <w:rsid w:val="005815BE"/>
    <w:rsid w:val="00581985"/>
    <w:rsid w:val="00581A36"/>
    <w:rsid w:val="00581CC3"/>
    <w:rsid w:val="00583D3B"/>
    <w:rsid w:val="00584298"/>
    <w:rsid w:val="005862F7"/>
    <w:rsid w:val="00587127"/>
    <w:rsid w:val="005879B9"/>
    <w:rsid w:val="00587EC6"/>
    <w:rsid w:val="00590EE1"/>
    <w:rsid w:val="00594C98"/>
    <w:rsid w:val="005957FD"/>
    <w:rsid w:val="00595D5A"/>
    <w:rsid w:val="00597277"/>
    <w:rsid w:val="005A1802"/>
    <w:rsid w:val="005A1FD8"/>
    <w:rsid w:val="005A4622"/>
    <w:rsid w:val="005A4DAF"/>
    <w:rsid w:val="005B0562"/>
    <w:rsid w:val="005B0D40"/>
    <w:rsid w:val="005B0D5A"/>
    <w:rsid w:val="005B1A8B"/>
    <w:rsid w:val="005B20EB"/>
    <w:rsid w:val="005B2186"/>
    <w:rsid w:val="005B2208"/>
    <w:rsid w:val="005B25E7"/>
    <w:rsid w:val="005B284F"/>
    <w:rsid w:val="005B3EE0"/>
    <w:rsid w:val="005B3F4A"/>
    <w:rsid w:val="005B41AD"/>
    <w:rsid w:val="005B520E"/>
    <w:rsid w:val="005B7AAD"/>
    <w:rsid w:val="005C2806"/>
    <w:rsid w:val="005C2941"/>
    <w:rsid w:val="005C3EAF"/>
    <w:rsid w:val="005C6801"/>
    <w:rsid w:val="005C7620"/>
    <w:rsid w:val="005D0135"/>
    <w:rsid w:val="005D197A"/>
    <w:rsid w:val="005D27E4"/>
    <w:rsid w:val="005D34D5"/>
    <w:rsid w:val="005D452A"/>
    <w:rsid w:val="005D59C2"/>
    <w:rsid w:val="005D6C2B"/>
    <w:rsid w:val="005D7200"/>
    <w:rsid w:val="005D76DA"/>
    <w:rsid w:val="005E22B7"/>
    <w:rsid w:val="005E232E"/>
    <w:rsid w:val="005E30F4"/>
    <w:rsid w:val="005E42AF"/>
    <w:rsid w:val="005E6055"/>
    <w:rsid w:val="005E79EF"/>
    <w:rsid w:val="005E7D55"/>
    <w:rsid w:val="005F0CA7"/>
    <w:rsid w:val="005F2B86"/>
    <w:rsid w:val="005F34E4"/>
    <w:rsid w:val="005F4E1F"/>
    <w:rsid w:val="005F50AA"/>
    <w:rsid w:val="005F5C57"/>
    <w:rsid w:val="005F6E74"/>
    <w:rsid w:val="005F7393"/>
    <w:rsid w:val="00601800"/>
    <w:rsid w:val="006026CF"/>
    <w:rsid w:val="006037E7"/>
    <w:rsid w:val="00604122"/>
    <w:rsid w:val="00604EE1"/>
    <w:rsid w:val="0060514E"/>
    <w:rsid w:val="00605499"/>
    <w:rsid w:val="00606153"/>
    <w:rsid w:val="00607BDE"/>
    <w:rsid w:val="00610478"/>
    <w:rsid w:val="00611B7B"/>
    <w:rsid w:val="006125F6"/>
    <w:rsid w:val="00612E09"/>
    <w:rsid w:val="00613BD4"/>
    <w:rsid w:val="00613EC9"/>
    <w:rsid w:val="00615C60"/>
    <w:rsid w:val="00616B9A"/>
    <w:rsid w:val="00620798"/>
    <w:rsid w:val="00620A02"/>
    <w:rsid w:val="00620FB8"/>
    <w:rsid w:val="0062161E"/>
    <w:rsid w:val="00622100"/>
    <w:rsid w:val="00622BBE"/>
    <w:rsid w:val="006233F1"/>
    <w:rsid w:val="006235A4"/>
    <w:rsid w:val="0063168A"/>
    <w:rsid w:val="006327CA"/>
    <w:rsid w:val="006334DB"/>
    <w:rsid w:val="0063359A"/>
    <w:rsid w:val="0063389F"/>
    <w:rsid w:val="0063484A"/>
    <w:rsid w:val="006366D3"/>
    <w:rsid w:val="00636D68"/>
    <w:rsid w:val="0063764D"/>
    <w:rsid w:val="00637F29"/>
    <w:rsid w:val="00640A52"/>
    <w:rsid w:val="006414AE"/>
    <w:rsid w:val="00641D5B"/>
    <w:rsid w:val="00642C5D"/>
    <w:rsid w:val="00643113"/>
    <w:rsid w:val="00643235"/>
    <w:rsid w:val="006444FB"/>
    <w:rsid w:val="00644F9E"/>
    <w:rsid w:val="00645A43"/>
    <w:rsid w:val="00646E6B"/>
    <w:rsid w:val="006470D3"/>
    <w:rsid w:val="00647B5F"/>
    <w:rsid w:val="00647FFD"/>
    <w:rsid w:val="00652D1E"/>
    <w:rsid w:val="0065333B"/>
    <w:rsid w:val="00656E91"/>
    <w:rsid w:val="006625D5"/>
    <w:rsid w:val="00663AA2"/>
    <w:rsid w:val="006666E7"/>
    <w:rsid w:val="006669B9"/>
    <w:rsid w:val="00666D45"/>
    <w:rsid w:val="0067155D"/>
    <w:rsid w:val="00671D55"/>
    <w:rsid w:val="00672174"/>
    <w:rsid w:val="00672511"/>
    <w:rsid w:val="006727DB"/>
    <w:rsid w:val="00672AC0"/>
    <w:rsid w:val="0067457D"/>
    <w:rsid w:val="006751C3"/>
    <w:rsid w:val="00677215"/>
    <w:rsid w:val="00677D3C"/>
    <w:rsid w:val="006806A0"/>
    <w:rsid w:val="00680FBF"/>
    <w:rsid w:val="00680FD5"/>
    <w:rsid w:val="00681E02"/>
    <w:rsid w:val="00681F60"/>
    <w:rsid w:val="006821F1"/>
    <w:rsid w:val="0068231F"/>
    <w:rsid w:val="00683881"/>
    <w:rsid w:val="00684443"/>
    <w:rsid w:val="0068608D"/>
    <w:rsid w:val="00686C3E"/>
    <w:rsid w:val="00691E5A"/>
    <w:rsid w:val="00692790"/>
    <w:rsid w:val="006932A6"/>
    <w:rsid w:val="006952FE"/>
    <w:rsid w:val="0069530B"/>
    <w:rsid w:val="006965B4"/>
    <w:rsid w:val="00697F18"/>
    <w:rsid w:val="006A0DFB"/>
    <w:rsid w:val="006A2053"/>
    <w:rsid w:val="006A20A7"/>
    <w:rsid w:val="006A2213"/>
    <w:rsid w:val="006A3B05"/>
    <w:rsid w:val="006A530E"/>
    <w:rsid w:val="006A7659"/>
    <w:rsid w:val="006A7E1D"/>
    <w:rsid w:val="006B014A"/>
    <w:rsid w:val="006B2E16"/>
    <w:rsid w:val="006B301E"/>
    <w:rsid w:val="006B39DB"/>
    <w:rsid w:val="006C010E"/>
    <w:rsid w:val="006C24A6"/>
    <w:rsid w:val="006C29A8"/>
    <w:rsid w:val="006C3D35"/>
    <w:rsid w:val="006C6406"/>
    <w:rsid w:val="006D1BFF"/>
    <w:rsid w:val="006D2BBC"/>
    <w:rsid w:val="006D2E1F"/>
    <w:rsid w:val="006D2F88"/>
    <w:rsid w:val="006D2FBF"/>
    <w:rsid w:val="006D3A19"/>
    <w:rsid w:val="006D577B"/>
    <w:rsid w:val="006D5D29"/>
    <w:rsid w:val="006D5E0C"/>
    <w:rsid w:val="006D6BB0"/>
    <w:rsid w:val="006D6D4D"/>
    <w:rsid w:val="006E1B1C"/>
    <w:rsid w:val="006E1E98"/>
    <w:rsid w:val="006E2AB6"/>
    <w:rsid w:val="006E311E"/>
    <w:rsid w:val="006E48D6"/>
    <w:rsid w:val="006E62B8"/>
    <w:rsid w:val="006E74AB"/>
    <w:rsid w:val="006F0737"/>
    <w:rsid w:val="006F0BB9"/>
    <w:rsid w:val="006F109E"/>
    <w:rsid w:val="006F2BF0"/>
    <w:rsid w:val="006F4417"/>
    <w:rsid w:val="006F4A43"/>
    <w:rsid w:val="006F60F7"/>
    <w:rsid w:val="006F7BDC"/>
    <w:rsid w:val="007000A4"/>
    <w:rsid w:val="00702618"/>
    <w:rsid w:val="00703E9E"/>
    <w:rsid w:val="00704E67"/>
    <w:rsid w:val="00705115"/>
    <w:rsid w:val="0070651C"/>
    <w:rsid w:val="00711C3B"/>
    <w:rsid w:val="00711E18"/>
    <w:rsid w:val="00713FFA"/>
    <w:rsid w:val="0071427C"/>
    <w:rsid w:val="007146F7"/>
    <w:rsid w:val="0071631E"/>
    <w:rsid w:val="00716632"/>
    <w:rsid w:val="00716702"/>
    <w:rsid w:val="00720115"/>
    <w:rsid w:val="00721665"/>
    <w:rsid w:val="00721700"/>
    <w:rsid w:val="00722A7B"/>
    <w:rsid w:val="00725A32"/>
    <w:rsid w:val="00726C14"/>
    <w:rsid w:val="007277F0"/>
    <w:rsid w:val="00727A7D"/>
    <w:rsid w:val="00727D39"/>
    <w:rsid w:val="00730977"/>
    <w:rsid w:val="00733908"/>
    <w:rsid w:val="00734542"/>
    <w:rsid w:val="00734AA6"/>
    <w:rsid w:val="00735288"/>
    <w:rsid w:val="00737EBA"/>
    <w:rsid w:val="00740C8C"/>
    <w:rsid w:val="0074531B"/>
    <w:rsid w:val="0074572F"/>
    <w:rsid w:val="00747662"/>
    <w:rsid w:val="007501AF"/>
    <w:rsid w:val="00751574"/>
    <w:rsid w:val="007515CC"/>
    <w:rsid w:val="0075297E"/>
    <w:rsid w:val="00752B83"/>
    <w:rsid w:val="00753568"/>
    <w:rsid w:val="00753D56"/>
    <w:rsid w:val="00755371"/>
    <w:rsid w:val="00760F7A"/>
    <w:rsid w:val="00761783"/>
    <w:rsid w:val="00761DEC"/>
    <w:rsid w:val="00762CE9"/>
    <w:rsid w:val="007638CF"/>
    <w:rsid w:val="0076480E"/>
    <w:rsid w:val="00766A0D"/>
    <w:rsid w:val="0076701E"/>
    <w:rsid w:val="00767FBB"/>
    <w:rsid w:val="007721EB"/>
    <w:rsid w:val="007727D8"/>
    <w:rsid w:val="00774164"/>
    <w:rsid w:val="00775A41"/>
    <w:rsid w:val="00777D52"/>
    <w:rsid w:val="00780CDB"/>
    <w:rsid w:val="0078474D"/>
    <w:rsid w:val="00785A40"/>
    <w:rsid w:val="007902B4"/>
    <w:rsid w:val="00790661"/>
    <w:rsid w:val="00791230"/>
    <w:rsid w:val="00791649"/>
    <w:rsid w:val="00794260"/>
    <w:rsid w:val="00794C51"/>
    <w:rsid w:val="007952DF"/>
    <w:rsid w:val="00795557"/>
    <w:rsid w:val="00795A57"/>
    <w:rsid w:val="007A08E7"/>
    <w:rsid w:val="007A383E"/>
    <w:rsid w:val="007A7A18"/>
    <w:rsid w:val="007B0DCE"/>
    <w:rsid w:val="007B14B1"/>
    <w:rsid w:val="007B16DD"/>
    <w:rsid w:val="007B7ABF"/>
    <w:rsid w:val="007C1569"/>
    <w:rsid w:val="007D1506"/>
    <w:rsid w:val="007D3F39"/>
    <w:rsid w:val="007D40E2"/>
    <w:rsid w:val="007D490C"/>
    <w:rsid w:val="007D512D"/>
    <w:rsid w:val="007D5132"/>
    <w:rsid w:val="007D5221"/>
    <w:rsid w:val="007D6351"/>
    <w:rsid w:val="007D68FB"/>
    <w:rsid w:val="007E1466"/>
    <w:rsid w:val="007E2571"/>
    <w:rsid w:val="007E4A08"/>
    <w:rsid w:val="007E4FAB"/>
    <w:rsid w:val="007E5A1C"/>
    <w:rsid w:val="007E5CFD"/>
    <w:rsid w:val="007E7CC0"/>
    <w:rsid w:val="007E7E9F"/>
    <w:rsid w:val="007F2020"/>
    <w:rsid w:val="007F4C3B"/>
    <w:rsid w:val="007F53E2"/>
    <w:rsid w:val="007F561B"/>
    <w:rsid w:val="007F5749"/>
    <w:rsid w:val="007F6F33"/>
    <w:rsid w:val="00800BAC"/>
    <w:rsid w:val="00801272"/>
    <w:rsid w:val="0080467D"/>
    <w:rsid w:val="00804EF2"/>
    <w:rsid w:val="00805C95"/>
    <w:rsid w:val="00806153"/>
    <w:rsid w:val="008063C6"/>
    <w:rsid w:val="008063CB"/>
    <w:rsid w:val="00810100"/>
    <w:rsid w:val="008109B0"/>
    <w:rsid w:val="00810C91"/>
    <w:rsid w:val="008125CA"/>
    <w:rsid w:val="00815852"/>
    <w:rsid w:val="008158EF"/>
    <w:rsid w:val="00816EE6"/>
    <w:rsid w:val="00817A74"/>
    <w:rsid w:val="008205C9"/>
    <w:rsid w:val="00820D79"/>
    <w:rsid w:val="00821091"/>
    <w:rsid w:val="008210D4"/>
    <w:rsid w:val="00821AEF"/>
    <w:rsid w:val="00821FA6"/>
    <w:rsid w:val="00822573"/>
    <w:rsid w:val="00822AC8"/>
    <w:rsid w:val="00822B35"/>
    <w:rsid w:val="00823272"/>
    <w:rsid w:val="008232BD"/>
    <w:rsid w:val="00826134"/>
    <w:rsid w:val="008263E2"/>
    <w:rsid w:val="0082688C"/>
    <w:rsid w:val="00831B06"/>
    <w:rsid w:val="00832016"/>
    <w:rsid w:val="00832E5D"/>
    <w:rsid w:val="00833452"/>
    <w:rsid w:val="0083356B"/>
    <w:rsid w:val="008338D8"/>
    <w:rsid w:val="008355D4"/>
    <w:rsid w:val="008370C1"/>
    <w:rsid w:val="008407E2"/>
    <w:rsid w:val="00840E99"/>
    <w:rsid w:val="00843EED"/>
    <w:rsid w:val="0084407C"/>
    <w:rsid w:val="00845A4C"/>
    <w:rsid w:val="0084647B"/>
    <w:rsid w:val="0084796E"/>
    <w:rsid w:val="00850B80"/>
    <w:rsid w:val="008516E1"/>
    <w:rsid w:val="00851E51"/>
    <w:rsid w:val="008520C9"/>
    <w:rsid w:val="00852B78"/>
    <w:rsid w:val="008539C7"/>
    <w:rsid w:val="00853F4B"/>
    <w:rsid w:val="008547DC"/>
    <w:rsid w:val="00854976"/>
    <w:rsid w:val="00854A2D"/>
    <w:rsid w:val="00855555"/>
    <w:rsid w:val="008568AC"/>
    <w:rsid w:val="00860742"/>
    <w:rsid w:val="00861F00"/>
    <w:rsid w:val="008621BC"/>
    <w:rsid w:val="0086232B"/>
    <w:rsid w:val="00863D85"/>
    <w:rsid w:val="0086712E"/>
    <w:rsid w:val="00867241"/>
    <w:rsid w:val="00870AAD"/>
    <w:rsid w:val="008715E0"/>
    <w:rsid w:val="008742ED"/>
    <w:rsid w:val="00875931"/>
    <w:rsid w:val="00876248"/>
    <w:rsid w:val="0087713C"/>
    <w:rsid w:val="0087740E"/>
    <w:rsid w:val="00880A8D"/>
    <w:rsid w:val="00885FC4"/>
    <w:rsid w:val="00887E94"/>
    <w:rsid w:val="00892DC1"/>
    <w:rsid w:val="00894558"/>
    <w:rsid w:val="00897341"/>
    <w:rsid w:val="008A067E"/>
    <w:rsid w:val="008A0C4A"/>
    <w:rsid w:val="008A1810"/>
    <w:rsid w:val="008A212F"/>
    <w:rsid w:val="008A21EC"/>
    <w:rsid w:val="008A291B"/>
    <w:rsid w:val="008A318E"/>
    <w:rsid w:val="008A5B65"/>
    <w:rsid w:val="008A70C8"/>
    <w:rsid w:val="008A793D"/>
    <w:rsid w:val="008A7B56"/>
    <w:rsid w:val="008B0885"/>
    <w:rsid w:val="008B383A"/>
    <w:rsid w:val="008B4097"/>
    <w:rsid w:val="008B45DD"/>
    <w:rsid w:val="008C0EFC"/>
    <w:rsid w:val="008C2A57"/>
    <w:rsid w:val="008C399B"/>
    <w:rsid w:val="008C4171"/>
    <w:rsid w:val="008C675A"/>
    <w:rsid w:val="008C70A7"/>
    <w:rsid w:val="008C7766"/>
    <w:rsid w:val="008D0021"/>
    <w:rsid w:val="008D199A"/>
    <w:rsid w:val="008D29E2"/>
    <w:rsid w:val="008D4366"/>
    <w:rsid w:val="008D7C24"/>
    <w:rsid w:val="008E206E"/>
    <w:rsid w:val="008E22E9"/>
    <w:rsid w:val="008E296A"/>
    <w:rsid w:val="008E35A7"/>
    <w:rsid w:val="008E3E12"/>
    <w:rsid w:val="008E4BC0"/>
    <w:rsid w:val="008E538F"/>
    <w:rsid w:val="008E5B0E"/>
    <w:rsid w:val="008E5E3A"/>
    <w:rsid w:val="008E72FC"/>
    <w:rsid w:val="008F00AF"/>
    <w:rsid w:val="008F01A8"/>
    <w:rsid w:val="008F1CB9"/>
    <w:rsid w:val="008F2197"/>
    <w:rsid w:val="008F3B99"/>
    <w:rsid w:val="008F445F"/>
    <w:rsid w:val="008F5128"/>
    <w:rsid w:val="008F5184"/>
    <w:rsid w:val="008F5D65"/>
    <w:rsid w:val="008F628A"/>
    <w:rsid w:val="008F67D0"/>
    <w:rsid w:val="008F6BC2"/>
    <w:rsid w:val="008F6F05"/>
    <w:rsid w:val="00902139"/>
    <w:rsid w:val="00902860"/>
    <w:rsid w:val="00902D61"/>
    <w:rsid w:val="00910D58"/>
    <w:rsid w:val="00912C3E"/>
    <w:rsid w:val="0091343D"/>
    <w:rsid w:val="00914FB1"/>
    <w:rsid w:val="00917A79"/>
    <w:rsid w:val="0092024E"/>
    <w:rsid w:val="00920842"/>
    <w:rsid w:val="00921D77"/>
    <w:rsid w:val="0092428A"/>
    <w:rsid w:val="009249B4"/>
    <w:rsid w:val="0092501C"/>
    <w:rsid w:val="00926627"/>
    <w:rsid w:val="00927FE6"/>
    <w:rsid w:val="009316D2"/>
    <w:rsid w:val="009319C3"/>
    <w:rsid w:val="00931CE7"/>
    <w:rsid w:val="009334EE"/>
    <w:rsid w:val="00935971"/>
    <w:rsid w:val="009364DE"/>
    <w:rsid w:val="00937108"/>
    <w:rsid w:val="00937B24"/>
    <w:rsid w:val="00941790"/>
    <w:rsid w:val="009438EB"/>
    <w:rsid w:val="00943A59"/>
    <w:rsid w:val="00943F44"/>
    <w:rsid w:val="00945114"/>
    <w:rsid w:val="00945370"/>
    <w:rsid w:val="00945D69"/>
    <w:rsid w:val="00946ABA"/>
    <w:rsid w:val="00946C15"/>
    <w:rsid w:val="00947663"/>
    <w:rsid w:val="00947E99"/>
    <w:rsid w:val="00950FB3"/>
    <w:rsid w:val="0095174A"/>
    <w:rsid w:val="009525C3"/>
    <w:rsid w:val="00953BBB"/>
    <w:rsid w:val="00954BFE"/>
    <w:rsid w:val="00954E69"/>
    <w:rsid w:val="00955155"/>
    <w:rsid w:val="00956694"/>
    <w:rsid w:val="009625D4"/>
    <w:rsid w:val="0096362C"/>
    <w:rsid w:val="009668C2"/>
    <w:rsid w:val="00971E52"/>
    <w:rsid w:val="00971FF7"/>
    <w:rsid w:val="00972AF9"/>
    <w:rsid w:val="00973F66"/>
    <w:rsid w:val="00975A18"/>
    <w:rsid w:val="00976359"/>
    <w:rsid w:val="009800AA"/>
    <w:rsid w:val="009803F5"/>
    <w:rsid w:val="0098223A"/>
    <w:rsid w:val="00982397"/>
    <w:rsid w:val="009824A4"/>
    <w:rsid w:val="009828F8"/>
    <w:rsid w:val="009835BB"/>
    <w:rsid w:val="00983904"/>
    <w:rsid w:val="00983B24"/>
    <w:rsid w:val="0098642B"/>
    <w:rsid w:val="00987188"/>
    <w:rsid w:val="00987369"/>
    <w:rsid w:val="00987EEB"/>
    <w:rsid w:val="00990672"/>
    <w:rsid w:val="00992680"/>
    <w:rsid w:val="009928B8"/>
    <w:rsid w:val="00992D59"/>
    <w:rsid w:val="00994812"/>
    <w:rsid w:val="009948ED"/>
    <w:rsid w:val="00995AF3"/>
    <w:rsid w:val="00995B1C"/>
    <w:rsid w:val="009A0DED"/>
    <w:rsid w:val="009A0FE1"/>
    <w:rsid w:val="009A1207"/>
    <w:rsid w:val="009A12CC"/>
    <w:rsid w:val="009A1E6A"/>
    <w:rsid w:val="009A2E1F"/>
    <w:rsid w:val="009A322D"/>
    <w:rsid w:val="009A4021"/>
    <w:rsid w:val="009A5A12"/>
    <w:rsid w:val="009A5E63"/>
    <w:rsid w:val="009A6718"/>
    <w:rsid w:val="009A6D5C"/>
    <w:rsid w:val="009B00F8"/>
    <w:rsid w:val="009B0EBA"/>
    <w:rsid w:val="009B2512"/>
    <w:rsid w:val="009B3EF7"/>
    <w:rsid w:val="009B4072"/>
    <w:rsid w:val="009B4657"/>
    <w:rsid w:val="009B5096"/>
    <w:rsid w:val="009B79E5"/>
    <w:rsid w:val="009B7E34"/>
    <w:rsid w:val="009B7FEF"/>
    <w:rsid w:val="009C2B21"/>
    <w:rsid w:val="009C3CC4"/>
    <w:rsid w:val="009C57D2"/>
    <w:rsid w:val="009C6D07"/>
    <w:rsid w:val="009C7CC2"/>
    <w:rsid w:val="009D4EA6"/>
    <w:rsid w:val="009D4EB3"/>
    <w:rsid w:val="009D6298"/>
    <w:rsid w:val="009D7D5C"/>
    <w:rsid w:val="009D7F85"/>
    <w:rsid w:val="009E1A2F"/>
    <w:rsid w:val="009E50F7"/>
    <w:rsid w:val="009E7800"/>
    <w:rsid w:val="009F3B3B"/>
    <w:rsid w:val="009F512E"/>
    <w:rsid w:val="009F7CB7"/>
    <w:rsid w:val="00A019F4"/>
    <w:rsid w:val="00A01BA0"/>
    <w:rsid w:val="00A02040"/>
    <w:rsid w:val="00A0357B"/>
    <w:rsid w:val="00A037B8"/>
    <w:rsid w:val="00A03C0A"/>
    <w:rsid w:val="00A03DE2"/>
    <w:rsid w:val="00A045F4"/>
    <w:rsid w:val="00A05F20"/>
    <w:rsid w:val="00A11095"/>
    <w:rsid w:val="00A122DF"/>
    <w:rsid w:val="00A12542"/>
    <w:rsid w:val="00A13BEA"/>
    <w:rsid w:val="00A14171"/>
    <w:rsid w:val="00A15232"/>
    <w:rsid w:val="00A15EDE"/>
    <w:rsid w:val="00A16B79"/>
    <w:rsid w:val="00A16E24"/>
    <w:rsid w:val="00A22C11"/>
    <w:rsid w:val="00A25378"/>
    <w:rsid w:val="00A269BE"/>
    <w:rsid w:val="00A26F02"/>
    <w:rsid w:val="00A27013"/>
    <w:rsid w:val="00A2716D"/>
    <w:rsid w:val="00A27EDD"/>
    <w:rsid w:val="00A31625"/>
    <w:rsid w:val="00A33A76"/>
    <w:rsid w:val="00A33BAB"/>
    <w:rsid w:val="00A34A44"/>
    <w:rsid w:val="00A35926"/>
    <w:rsid w:val="00A35BA2"/>
    <w:rsid w:val="00A35C68"/>
    <w:rsid w:val="00A37278"/>
    <w:rsid w:val="00A37D8B"/>
    <w:rsid w:val="00A40BCD"/>
    <w:rsid w:val="00A411A3"/>
    <w:rsid w:val="00A42DA7"/>
    <w:rsid w:val="00A438A7"/>
    <w:rsid w:val="00A447C7"/>
    <w:rsid w:val="00A467C8"/>
    <w:rsid w:val="00A51444"/>
    <w:rsid w:val="00A51E42"/>
    <w:rsid w:val="00A52F13"/>
    <w:rsid w:val="00A5322E"/>
    <w:rsid w:val="00A53677"/>
    <w:rsid w:val="00A548B5"/>
    <w:rsid w:val="00A56003"/>
    <w:rsid w:val="00A56D55"/>
    <w:rsid w:val="00A57F20"/>
    <w:rsid w:val="00A60262"/>
    <w:rsid w:val="00A60265"/>
    <w:rsid w:val="00A60532"/>
    <w:rsid w:val="00A6109B"/>
    <w:rsid w:val="00A63987"/>
    <w:rsid w:val="00A70CA8"/>
    <w:rsid w:val="00A71E75"/>
    <w:rsid w:val="00A73799"/>
    <w:rsid w:val="00A74DBB"/>
    <w:rsid w:val="00A765DF"/>
    <w:rsid w:val="00A77FB3"/>
    <w:rsid w:val="00A808DD"/>
    <w:rsid w:val="00A820A8"/>
    <w:rsid w:val="00A821B5"/>
    <w:rsid w:val="00A869AC"/>
    <w:rsid w:val="00A86C3B"/>
    <w:rsid w:val="00A90235"/>
    <w:rsid w:val="00A902F6"/>
    <w:rsid w:val="00A90CBF"/>
    <w:rsid w:val="00A90E4D"/>
    <w:rsid w:val="00A91B7E"/>
    <w:rsid w:val="00A954C6"/>
    <w:rsid w:val="00AA0091"/>
    <w:rsid w:val="00AA00AD"/>
    <w:rsid w:val="00AA04CD"/>
    <w:rsid w:val="00AA0888"/>
    <w:rsid w:val="00AA12D7"/>
    <w:rsid w:val="00AA1BDD"/>
    <w:rsid w:val="00AA45A7"/>
    <w:rsid w:val="00AA46B9"/>
    <w:rsid w:val="00AA4F80"/>
    <w:rsid w:val="00AA575E"/>
    <w:rsid w:val="00AA5ADD"/>
    <w:rsid w:val="00AA5D39"/>
    <w:rsid w:val="00AB0265"/>
    <w:rsid w:val="00AB03C2"/>
    <w:rsid w:val="00AB1105"/>
    <w:rsid w:val="00AB2564"/>
    <w:rsid w:val="00AB3BA3"/>
    <w:rsid w:val="00AB490F"/>
    <w:rsid w:val="00AB547D"/>
    <w:rsid w:val="00AC0042"/>
    <w:rsid w:val="00AC01B5"/>
    <w:rsid w:val="00AC0CA1"/>
    <w:rsid w:val="00AC13F4"/>
    <w:rsid w:val="00AC25D1"/>
    <w:rsid w:val="00AC3044"/>
    <w:rsid w:val="00AC3EAF"/>
    <w:rsid w:val="00AC613F"/>
    <w:rsid w:val="00AC6560"/>
    <w:rsid w:val="00AC7A12"/>
    <w:rsid w:val="00AD107E"/>
    <w:rsid w:val="00AD1611"/>
    <w:rsid w:val="00AD26BE"/>
    <w:rsid w:val="00AD3297"/>
    <w:rsid w:val="00AD3405"/>
    <w:rsid w:val="00AD394E"/>
    <w:rsid w:val="00AD5653"/>
    <w:rsid w:val="00AE24D0"/>
    <w:rsid w:val="00AE666E"/>
    <w:rsid w:val="00AE6D69"/>
    <w:rsid w:val="00AE705F"/>
    <w:rsid w:val="00AE71A1"/>
    <w:rsid w:val="00AF2825"/>
    <w:rsid w:val="00AF2E9A"/>
    <w:rsid w:val="00AF3FB7"/>
    <w:rsid w:val="00AF4183"/>
    <w:rsid w:val="00AF4DC6"/>
    <w:rsid w:val="00AF4DEC"/>
    <w:rsid w:val="00AF4FF8"/>
    <w:rsid w:val="00AF50B7"/>
    <w:rsid w:val="00AF6367"/>
    <w:rsid w:val="00B00498"/>
    <w:rsid w:val="00B00823"/>
    <w:rsid w:val="00B01606"/>
    <w:rsid w:val="00B0452E"/>
    <w:rsid w:val="00B0458E"/>
    <w:rsid w:val="00B05012"/>
    <w:rsid w:val="00B05BB3"/>
    <w:rsid w:val="00B10DDB"/>
    <w:rsid w:val="00B10F04"/>
    <w:rsid w:val="00B1130A"/>
    <w:rsid w:val="00B11DC0"/>
    <w:rsid w:val="00B12AF7"/>
    <w:rsid w:val="00B12BDA"/>
    <w:rsid w:val="00B13827"/>
    <w:rsid w:val="00B150B3"/>
    <w:rsid w:val="00B15380"/>
    <w:rsid w:val="00B175A0"/>
    <w:rsid w:val="00B214D3"/>
    <w:rsid w:val="00B23BD4"/>
    <w:rsid w:val="00B2406E"/>
    <w:rsid w:val="00B25B24"/>
    <w:rsid w:val="00B27108"/>
    <w:rsid w:val="00B3037F"/>
    <w:rsid w:val="00B30769"/>
    <w:rsid w:val="00B319DD"/>
    <w:rsid w:val="00B329B6"/>
    <w:rsid w:val="00B3349F"/>
    <w:rsid w:val="00B33DCE"/>
    <w:rsid w:val="00B34013"/>
    <w:rsid w:val="00B34F8F"/>
    <w:rsid w:val="00B353E9"/>
    <w:rsid w:val="00B37542"/>
    <w:rsid w:val="00B4071D"/>
    <w:rsid w:val="00B41D59"/>
    <w:rsid w:val="00B42AC5"/>
    <w:rsid w:val="00B43284"/>
    <w:rsid w:val="00B43C1B"/>
    <w:rsid w:val="00B444B6"/>
    <w:rsid w:val="00B44752"/>
    <w:rsid w:val="00B447B4"/>
    <w:rsid w:val="00B45596"/>
    <w:rsid w:val="00B45AEE"/>
    <w:rsid w:val="00B465BD"/>
    <w:rsid w:val="00B469E5"/>
    <w:rsid w:val="00B471A4"/>
    <w:rsid w:val="00B47BD3"/>
    <w:rsid w:val="00B500DB"/>
    <w:rsid w:val="00B5089C"/>
    <w:rsid w:val="00B51AA4"/>
    <w:rsid w:val="00B54EFD"/>
    <w:rsid w:val="00B555CE"/>
    <w:rsid w:val="00B55836"/>
    <w:rsid w:val="00B55870"/>
    <w:rsid w:val="00B5651F"/>
    <w:rsid w:val="00B56C7F"/>
    <w:rsid w:val="00B579E5"/>
    <w:rsid w:val="00B60ECC"/>
    <w:rsid w:val="00B62EA8"/>
    <w:rsid w:val="00B63002"/>
    <w:rsid w:val="00B6479C"/>
    <w:rsid w:val="00B64F87"/>
    <w:rsid w:val="00B64FE3"/>
    <w:rsid w:val="00B653BB"/>
    <w:rsid w:val="00B65AD5"/>
    <w:rsid w:val="00B66533"/>
    <w:rsid w:val="00B66B50"/>
    <w:rsid w:val="00B6704D"/>
    <w:rsid w:val="00B71427"/>
    <w:rsid w:val="00B71AD4"/>
    <w:rsid w:val="00B72829"/>
    <w:rsid w:val="00B72948"/>
    <w:rsid w:val="00B73520"/>
    <w:rsid w:val="00B7368F"/>
    <w:rsid w:val="00B745FB"/>
    <w:rsid w:val="00B76488"/>
    <w:rsid w:val="00B764B0"/>
    <w:rsid w:val="00B77D12"/>
    <w:rsid w:val="00B8043E"/>
    <w:rsid w:val="00B80864"/>
    <w:rsid w:val="00B817CF"/>
    <w:rsid w:val="00B8269F"/>
    <w:rsid w:val="00B83201"/>
    <w:rsid w:val="00B8338B"/>
    <w:rsid w:val="00B83C43"/>
    <w:rsid w:val="00B83E72"/>
    <w:rsid w:val="00B851FB"/>
    <w:rsid w:val="00B908E7"/>
    <w:rsid w:val="00B93186"/>
    <w:rsid w:val="00B9472A"/>
    <w:rsid w:val="00B94780"/>
    <w:rsid w:val="00B974E5"/>
    <w:rsid w:val="00BA0A43"/>
    <w:rsid w:val="00BA1DC6"/>
    <w:rsid w:val="00BA2102"/>
    <w:rsid w:val="00BA4D63"/>
    <w:rsid w:val="00BB0257"/>
    <w:rsid w:val="00BB02DB"/>
    <w:rsid w:val="00BB19B7"/>
    <w:rsid w:val="00BB32B8"/>
    <w:rsid w:val="00BB4322"/>
    <w:rsid w:val="00BB5B80"/>
    <w:rsid w:val="00BB60B8"/>
    <w:rsid w:val="00BC039A"/>
    <w:rsid w:val="00BC085E"/>
    <w:rsid w:val="00BC5FDF"/>
    <w:rsid w:val="00BC634D"/>
    <w:rsid w:val="00BC7FE9"/>
    <w:rsid w:val="00BD20CF"/>
    <w:rsid w:val="00BD3E0D"/>
    <w:rsid w:val="00BD4529"/>
    <w:rsid w:val="00BD4CA2"/>
    <w:rsid w:val="00BD4E96"/>
    <w:rsid w:val="00BD589C"/>
    <w:rsid w:val="00BD7706"/>
    <w:rsid w:val="00BD77B5"/>
    <w:rsid w:val="00BE095B"/>
    <w:rsid w:val="00BE22B6"/>
    <w:rsid w:val="00BE4C09"/>
    <w:rsid w:val="00BE4D08"/>
    <w:rsid w:val="00BE4FC8"/>
    <w:rsid w:val="00BE5551"/>
    <w:rsid w:val="00BE5DB0"/>
    <w:rsid w:val="00BE7F6A"/>
    <w:rsid w:val="00BF063B"/>
    <w:rsid w:val="00BF08F0"/>
    <w:rsid w:val="00BF195B"/>
    <w:rsid w:val="00BF22AD"/>
    <w:rsid w:val="00BF2B03"/>
    <w:rsid w:val="00BF2D29"/>
    <w:rsid w:val="00BF32B7"/>
    <w:rsid w:val="00BF3DA2"/>
    <w:rsid w:val="00BF4F27"/>
    <w:rsid w:val="00BF6C8C"/>
    <w:rsid w:val="00BF6D0B"/>
    <w:rsid w:val="00BF7E18"/>
    <w:rsid w:val="00C00C3B"/>
    <w:rsid w:val="00C0268E"/>
    <w:rsid w:val="00C0358B"/>
    <w:rsid w:val="00C0449D"/>
    <w:rsid w:val="00C064A7"/>
    <w:rsid w:val="00C07E6C"/>
    <w:rsid w:val="00C102D6"/>
    <w:rsid w:val="00C103E2"/>
    <w:rsid w:val="00C110AA"/>
    <w:rsid w:val="00C11385"/>
    <w:rsid w:val="00C11843"/>
    <w:rsid w:val="00C11AF0"/>
    <w:rsid w:val="00C11EC4"/>
    <w:rsid w:val="00C1217A"/>
    <w:rsid w:val="00C12ED0"/>
    <w:rsid w:val="00C13613"/>
    <w:rsid w:val="00C16CA0"/>
    <w:rsid w:val="00C2149B"/>
    <w:rsid w:val="00C22419"/>
    <w:rsid w:val="00C245D1"/>
    <w:rsid w:val="00C262BA"/>
    <w:rsid w:val="00C2791D"/>
    <w:rsid w:val="00C27D64"/>
    <w:rsid w:val="00C30E16"/>
    <w:rsid w:val="00C35E83"/>
    <w:rsid w:val="00C36115"/>
    <w:rsid w:val="00C410A8"/>
    <w:rsid w:val="00C41C1F"/>
    <w:rsid w:val="00C4245A"/>
    <w:rsid w:val="00C42A53"/>
    <w:rsid w:val="00C44C80"/>
    <w:rsid w:val="00C45335"/>
    <w:rsid w:val="00C52130"/>
    <w:rsid w:val="00C52361"/>
    <w:rsid w:val="00C524ED"/>
    <w:rsid w:val="00C52A0B"/>
    <w:rsid w:val="00C57489"/>
    <w:rsid w:val="00C604BD"/>
    <w:rsid w:val="00C61872"/>
    <w:rsid w:val="00C631D2"/>
    <w:rsid w:val="00C63E2A"/>
    <w:rsid w:val="00C6614D"/>
    <w:rsid w:val="00C66FE8"/>
    <w:rsid w:val="00C67F47"/>
    <w:rsid w:val="00C70B7F"/>
    <w:rsid w:val="00C71983"/>
    <w:rsid w:val="00C721B6"/>
    <w:rsid w:val="00C7234D"/>
    <w:rsid w:val="00C737A6"/>
    <w:rsid w:val="00C74171"/>
    <w:rsid w:val="00C74338"/>
    <w:rsid w:val="00C74C4D"/>
    <w:rsid w:val="00C77337"/>
    <w:rsid w:val="00C801A7"/>
    <w:rsid w:val="00C8036D"/>
    <w:rsid w:val="00C80A33"/>
    <w:rsid w:val="00C80DCA"/>
    <w:rsid w:val="00C81771"/>
    <w:rsid w:val="00C8411E"/>
    <w:rsid w:val="00C84E9B"/>
    <w:rsid w:val="00C86851"/>
    <w:rsid w:val="00C86BF0"/>
    <w:rsid w:val="00C926A4"/>
    <w:rsid w:val="00C92B56"/>
    <w:rsid w:val="00C930DF"/>
    <w:rsid w:val="00C9461A"/>
    <w:rsid w:val="00C94F87"/>
    <w:rsid w:val="00C969D1"/>
    <w:rsid w:val="00C97927"/>
    <w:rsid w:val="00C97A9F"/>
    <w:rsid w:val="00CA0D6F"/>
    <w:rsid w:val="00CA1D21"/>
    <w:rsid w:val="00CA3342"/>
    <w:rsid w:val="00CA33F8"/>
    <w:rsid w:val="00CA3A65"/>
    <w:rsid w:val="00CA735A"/>
    <w:rsid w:val="00CB04A4"/>
    <w:rsid w:val="00CB2002"/>
    <w:rsid w:val="00CB28E7"/>
    <w:rsid w:val="00CB2B77"/>
    <w:rsid w:val="00CB2DEE"/>
    <w:rsid w:val="00CB5475"/>
    <w:rsid w:val="00CB54F4"/>
    <w:rsid w:val="00CB649B"/>
    <w:rsid w:val="00CB6718"/>
    <w:rsid w:val="00CB6BBB"/>
    <w:rsid w:val="00CC0807"/>
    <w:rsid w:val="00CC0852"/>
    <w:rsid w:val="00CC09C8"/>
    <w:rsid w:val="00CC0DF1"/>
    <w:rsid w:val="00CC1E5D"/>
    <w:rsid w:val="00CC257A"/>
    <w:rsid w:val="00CC3662"/>
    <w:rsid w:val="00CC48AC"/>
    <w:rsid w:val="00CC4CA4"/>
    <w:rsid w:val="00CC513F"/>
    <w:rsid w:val="00CC6809"/>
    <w:rsid w:val="00CD17D5"/>
    <w:rsid w:val="00CD3B53"/>
    <w:rsid w:val="00CD5B08"/>
    <w:rsid w:val="00CD76A5"/>
    <w:rsid w:val="00CE08E1"/>
    <w:rsid w:val="00CE114E"/>
    <w:rsid w:val="00CE3355"/>
    <w:rsid w:val="00CE4370"/>
    <w:rsid w:val="00CE43FB"/>
    <w:rsid w:val="00CE55F3"/>
    <w:rsid w:val="00CE660C"/>
    <w:rsid w:val="00CE66EA"/>
    <w:rsid w:val="00CE720B"/>
    <w:rsid w:val="00CE7445"/>
    <w:rsid w:val="00CE7C56"/>
    <w:rsid w:val="00CE7E94"/>
    <w:rsid w:val="00CE7ED3"/>
    <w:rsid w:val="00CF170D"/>
    <w:rsid w:val="00CF2BB7"/>
    <w:rsid w:val="00CF3F63"/>
    <w:rsid w:val="00CF60E0"/>
    <w:rsid w:val="00CF716B"/>
    <w:rsid w:val="00D00673"/>
    <w:rsid w:val="00D00AA2"/>
    <w:rsid w:val="00D0198A"/>
    <w:rsid w:val="00D03AF1"/>
    <w:rsid w:val="00D04237"/>
    <w:rsid w:val="00D0437F"/>
    <w:rsid w:val="00D06750"/>
    <w:rsid w:val="00D06C89"/>
    <w:rsid w:val="00D06FC1"/>
    <w:rsid w:val="00D106B9"/>
    <w:rsid w:val="00D14B38"/>
    <w:rsid w:val="00D14C64"/>
    <w:rsid w:val="00D16B57"/>
    <w:rsid w:val="00D16B59"/>
    <w:rsid w:val="00D21203"/>
    <w:rsid w:val="00D224A3"/>
    <w:rsid w:val="00D226E5"/>
    <w:rsid w:val="00D23717"/>
    <w:rsid w:val="00D23D3B"/>
    <w:rsid w:val="00D25C8B"/>
    <w:rsid w:val="00D25D12"/>
    <w:rsid w:val="00D27188"/>
    <w:rsid w:val="00D27859"/>
    <w:rsid w:val="00D30EF4"/>
    <w:rsid w:val="00D31430"/>
    <w:rsid w:val="00D3376E"/>
    <w:rsid w:val="00D33ACB"/>
    <w:rsid w:val="00D363FD"/>
    <w:rsid w:val="00D37234"/>
    <w:rsid w:val="00D37FE6"/>
    <w:rsid w:val="00D4096C"/>
    <w:rsid w:val="00D40EB1"/>
    <w:rsid w:val="00D416E3"/>
    <w:rsid w:val="00D41EDC"/>
    <w:rsid w:val="00D41F7E"/>
    <w:rsid w:val="00D428A0"/>
    <w:rsid w:val="00D43564"/>
    <w:rsid w:val="00D43750"/>
    <w:rsid w:val="00D43C45"/>
    <w:rsid w:val="00D44AF3"/>
    <w:rsid w:val="00D47001"/>
    <w:rsid w:val="00D5001E"/>
    <w:rsid w:val="00D504EE"/>
    <w:rsid w:val="00D51894"/>
    <w:rsid w:val="00D51AFA"/>
    <w:rsid w:val="00D51B3B"/>
    <w:rsid w:val="00D52153"/>
    <w:rsid w:val="00D5327B"/>
    <w:rsid w:val="00D5379A"/>
    <w:rsid w:val="00D55BDB"/>
    <w:rsid w:val="00D565C9"/>
    <w:rsid w:val="00D57629"/>
    <w:rsid w:val="00D60878"/>
    <w:rsid w:val="00D60ECA"/>
    <w:rsid w:val="00D64531"/>
    <w:rsid w:val="00D647E8"/>
    <w:rsid w:val="00D64944"/>
    <w:rsid w:val="00D67710"/>
    <w:rsid w:val="00D72FEF"/>
    <w:rsid w:val="00D74984"/>
    <w:rsid w:val="00D775DD"/>
    <w:rsid w:val="00D775EF"/>
    <w:rsid w:val="00D77E69"/>
    <w:rsid w:val="00D803E8"/>
    <w:rsid w:val="00D805DB"/>
    <w:rsid w:val="00D819E2"/>
    <w:rsid w:val="00D822F1"/>
    <w:rsid w:val="00D824F4"/>
    <w:rsid w:val="00D8372F"/>
    <w:rsid w:val="00D90332"/>
    <w:rsid w:val="00D9073B"/>
    <w:rsid w:val="00D90A41"/>
    <w:rsid w:val="00D92988"/>
    <w:rsid w:val="00D9377B"/>
    <w:rsid w:val="00D94EAB"/>
    <w:rsid w:val="00D96031"/>
    <w:rsid w:val="00D96ABC"/>
    <w:rsid w:val="00D97067"/>
    <w:rsid w:val="00D9727A"/>
    <w:rsid w:val="00D97622"/>
    <w:rsid w:val="00DA003A"/>
    <w:rsid w:val="00DA2415"/>
    <w:rsid w:val="00DA27AF"/>
    <w:rsid w:val="00DA3A59"/>
    <w:rsid w:val="00DA3CED"/>
    <w:rsid w:val="00DA421F"/>
    <w:rsid w:val="00DA5D20"/>
    <w:rsid w:val="00DA615F"/>
    <w:rsid w:val="00DA6586"/>
    <w:rsid w:val="00DA66CE"/>
    <w:rsid w:val="00DA6B93"/>
    <w:rsid w:val="00DB3AA4"/>
    <w:rsid w:val="00DB50FF"/>
    <w:rsid w:val="00DB5495"/>
    <w:rsid w:val="00DB5C36"/>
    <w:rsid w:val="00DB7367"/>
    <w:rsid w:val="00DC0208"/>
    <w:rsid w:val="00DC09F8"/>
    <w:rsid w:val="00DC195D"/>
    <w:rsid w:val="00DC25D6"/>
    <w:rsid w:val="00DC2612"/>
    <w:rsid w:val="00DC3351"/>
    <w:rsid w:val="00DC3C3D"/>
    <w:rsid w:val="00DC4761"/>
    <w:rsid w:val="00DC4E10"/>
    <w:rsid w:val="00DC54A5"/>
    <w:rsid w:val="00DC55B3"/>
    <w:rsid w:val="00DC5853"/>
    <w:rsid w:val="00DC5DCA"/>
    <w:rsid w:val="00DC79F4"/>
    <w:rsid w:val="00DD16BB"/>
    <w:rsid w:val="00DD32B0"/>
    <w:rsid w:val="00DD341D"/>
    <w:rsid w:val="00DD45D1"/>
    <w:rsid w:val="00DD4895"/>
    <w:rsid w:val="00DE106B"/>
    <w:rsid w:val="00DE2F57"/>
    <w:rsid w:val="00DE496D"/>
    <w:rsid w:val="00DE4D98"/>
    <w:rsid w:val="00DE515C"/>
    <w:rsid w:val="00DE5BB1"/>
    <w:rsid w:val="00DE60C5"/>
    <w:rsid w:val="00DF073F"/>
    <w:rsid w:val="00DF28B5"/>
    <w:rsid w:val="00DF2D4B"/>
    <w:rsid w:val="00DF3107"/>
    <w:rsid w:val="00DF3E3C"/>
    <w:rsid w:val="00DF3E6E"/>
    <w:rsid w:val="00DF47D8"/>
    <w:rsid w:val="00DF4C89"/>
    <w:rsid w:val="00DF617D"/>
    <w:rsid w:val="00E0089B"/>
    <w:rsid w:val="00E01093"/>
    <w:rsid w:val="00E0185C"/>
    <w:rsid w:val="00E02A6B"/>
    <w:rsid w:val="00E02E0E"/>
    <w:rsid w:val="00E030E1"/>
    <w:rsid w:val="00E033BE"/>
    <w:rsid w:val="00E042A2"/>
    <w:rsid w:val="00E04CB5"/>
    <w:rsid w:val="00E06D95"/>
    <w:rsid w:val="00E075CF"/>
    <w:rsid w:val="00E10563"/>
    <w:rsid w:val="00E10819"/>
    <w:rsid w:val="00E10FD4"/>
    <w:rsid w:val="00E118A4"/>
    <w:rsid w:val="00E11C4A"/>
    <w:rsid w:val="00E12F28"/>
    <w:rsid w:val="00E13183"/>
    <w:rsid w:val="00E1445A"/>
    <w:rsid w:val="00E1696F"/>
    <w:rsid w:val="00E17F27"/>
    <w:rsid w:val="00E20A8B"/>
    <w:rsid w:val="00E2125F"/>
    <w:rsid w:val="00E21D8C"/>
    <w:rsid w:val="00E22B48"/>
    <w:rsid w:val="00E233FF"/>
    <w:rsid w:val="00E25019"/>
    <w:rsid w:val="00E2511A"/>
    <w:rsid w:val="00E27092"/>
    <w:rsid w:val="00E32577"/>
    <w:rsid w:val="00E33FBD"/>
    <w:rsid w:val="00E35C21"/>
    <w:rsid w:val="00E360F0"/>
    <w:rsid w:val="00E36B2F"/>
    <w:rsid w:val="00E370FB"/>
    <w:rsid w:val="00E37BDE"/>
    <w:rsid w:val="00E42A0C"/>
    <w:rsid w:val="00E4613C"/>
    <w:rsid w:val="00E4629B"/>
    <w:rsid w:val="00E46AC4"/>
    <w:rsid w:val="00E478EE"/>
    <w:rsid w:val="00E51CE6"/>
    <w:rsid w:val="00E5230E"/>
    <w:rsid w:val="00E52D43"/>
    <w:rsid w:val="00E5526A"/>
    <w:rsid w:val="00E5551B"/>
    <w:rsid w:val="00E55610"/>
    <w:rsid w:val="00E562AB"/>
    <w:rsid w:val="00E56C8B"/>
    <w:rsid w:val="00E601A3"/>
    <w:rsid w:val="00E60794"/>
    <w:rsid w:val="00E60E34"/>
    <w:rsid w:val="00E613FD"/>
    <w:rsid w:val="00E61B17"/>
    <w:rsid w:val="00E6227E"/>
    <w:rsid w:val="00E62669"/>
    <w:rsid w:val="00E638F7"/>
    <w:rsid w:val="00E65370"/>
    <w:rsid w:val="00E65BF4"/>
    <w:rsid w:val="00E663BB"/>
    <w:rsid w:val="00E664A2"/>
    <w:rsid w:val="00E669BF"/>
    <w:rsid w:val="00E72582"/>
    <w:rsid w:val="00E72F5C"/>
    <w:rsid w:val="00E738D5"/>
    <w:rsid w:val="00E747B3"/>
    <w:rsid w:val="00E74A51"/>
    <w:rsid w:val="00E75210"/>
    <w:rsid w:val="00E800B0"/>
    <w:rsid w:val="00E81067"/>
    <w:rsid w:val="00E82405"/>
    <w:rsid w:val="00E83644"/>
    <w:rsid w:val="00E83C7C"/>
    <w:rsid w:val="00E83CC4"/>
    <w:rsid w:val="00E84EF4"/>
    <w:rsid w:val="00E86820"/>
    <w:rsid w:val="00E87244"/>
    <w:rsid w:val="00E873DB"/>
    <w:rsid w:val="00E875C5"/>
    <w:rsid w:val="00E9045F"/>
    <w:rsid w:val="00E90599"/>
    <w:rsid w:val="00E906F2"/>
    <w:rsid w:val="00E911E7"/>
    <w:rsid w:val="00E91CB2"/>
    <w:rsid w:val="00E93979"/>
    <w:rsid w:val="00E94FF5"/>
    <w:rsid w:val="00E96E22"/>
    <w:rsid w:val="00E97752"/>
    <w:rsid w:val="00E97C51"/>
    <w:rsid w:val="00E97D4D"/>
    <w:rsid w:val="00EA0150"/>
    <w:rsid w:val="00EA3015"/>
    <w:rsid w:val="00EA33D9"/>
    <w:rsid w:val="00EA3579"/>
    <w:rsid w:val="00EA3B91"/>
    <w:rsid w:val="00EA3FFB"/>
    <w:rsid w:val="00EA49EF"/>
    <w:rsid w:val="00EA4A0F"/>
    <w:rsid w:val="00EA6769"/>
    <w:rsid w:val="00EA6BFD"/>
    <w:rsid w:val="00EB18C1"/>
    <w:rsid w:val="00EB3D0A"/>
    <w:rsid w:val="00EB3DA1"/>
    <w:rsid w:val="00EB3ED3"/>
    <w:rsid w:val="00EB44E2"/>
    <w:rsid w:val="00EB514D"/>
    <w:rsid w:val="00EB6AB1"/>
    <w:rsid w:val="00EB6E10"/>
    <w:rsid w:val="00EC021F"/>
    <w:rsid w:val="00EC0C4E"/>
    <w:rsid w:val="00EC21F9"/>
    <w:rsid w:val="00EC44AB"/>
    <w:rsid w:val="00EC4A1F"/>
    <w:rsid w:val="00EC4CA9"/>
    <w:rsid w:val="00EC6204"/>
    <w:rsid w:val="00EC720C"/>
    <w:rsid w:val="00EC7C03"/>
    <w:rsid w:val="00ED0230"/>
    <w:rsid w:val="00ED2C73"/>
    <w:rsid w:val="00ED2D71"/>
    <w:rsid w:val="00ED3DCD"/>
    <w:rsid w:val="00ED58B2"/>
    <w:rsid w:val="00ED5A1C"/>
    <w:rsid w:val="00ED6A6E"/>
    <w:rsid w:val="00ED7FA7"/>
    <w:rsid w:val="00EE0555"/>
    <w:rsid w:val="00EE3ED6"/>
    <w:rsid w:val="00EE5504"/>
    <w:rsid w:val="00EE5BE5"/>
    <w:rsid w:val="00EE6C71"/>
    <w:rsid w:val="00EE7B20"/>
    <w:rsid w:val="00EF0017"/>
    <w:rsid w:val="00EF2464"/>
    <w:rsid w:val="00EF2999"/>
    <w:rsid w:val="00EF4A01"/>
    <w:rsid w:val="00EF6956"/>
    <w:rsid w:val="00F02034"/>
    <w:rsid w:val="00F02CAC"/>
    <w:rsid w:val="00F044BE"/>
    <w:rsid w:val="00F05B56"/>
    <w:rsid w:val="00F0624B"/>
    <w:rsid w:val="00F0711A"/>
    <w:rsid w:val="00F10334"/>
    <w:rsid w:val="00F1056F"/>
    <w:rsid w:val="00F11686"/>
    <w:rsid w:val="00F11EC8"/>
    <w:rsid w:val="00F12B32"/>
    <w:rsid w:val="00F1330A"/>
    <w:rsid w:val="00F14F0B"/>
    <w:rsid w:val="00F150FA"/>
    <w:rsid w:val="00F15826"/>
    <w:rsid w:val="00F160C7"/>
    <w:rsid w:val="00F20A51"/>
    <w:rsid w:val="00F2131E"/>
    <w:rsid w:val="00F23C3B"/>
    <w:rsid w:val="00F26400"/>
    <w:rsid w:val="00F30066"/>
    <w:rsid w:val="00F31969"/>
    <w:rsid w:val="00F32880"/>
    <w:rsid w:val="00F334FF"/>
    <w:rsid w:val="00F33A69"/>
    <w:rsid w:val="00F370C1"/>
    <w:rsid w:val="00F40D6E"/>
    <w:rsid w:val="00F41914"/>
    <w:rsid w:val="00F41AF6"/>
    <w:rsid w:val="00F42CDE"/>
    <w:rsid w:val="00F4475E"/>
    <w:rsid w:val="00F44C48"/>
    <w:rsid w:val="00F44C84"/>
    <w:rsid w:val="00F44EF3"/>
    <w:rsid w:val="00F4581C"/>
    <w:rsid w:val="00F524CD"/>
    <w:rsid w:val="00F53CA2"/>
    <w:rsid w:val="00F5401C"/>
    <w:rsid w:val="00F542CA"/>
    <w:rsid w:val="00F5466F"/>
    <w:rsid w:val="00F54DCB"/>
    <w:rsid w:val="00F56116"/>
    <w:rsid w:val="00F56661"/>
    <w:rsid w:val="00F60457"/>
    <w:rsid w:val="00F60F9B"/>
    <w:rsid w:val="00F61917"/>
    <w:rsid w:val="00F61E5E"/>
    <w:rsid w:val="00F62167"/>
    <w:rsid w:val="00F6234C"/>
    <w:rsid w:val="00F62CC1"/>
    <w:rsid w:val="00F6339C"/>
    <w:rsid w:val="00F636A8"/>
    <w:rsid w:val="00F63B77"/>
    <w:rsid w:val="00F64DDC"/>
    <w:rsid w:val="00F653D7"/>
    <w:rsid w:val="00F6609A"/>
    <w:rsid w:val="00F66557"/>
    <w:rsid w:val="00F71770"/>
    <w:rsid w:val="00F717A5"/>
    <w:rsid w:val="00F7304D"/>
    <w:rsid w:val="00F73C1D"/>
    <w:rsid w:val="00F748DD"/>
    <w:rsid w:val="00F753A9"/>
    <w:rsid w:val="00F75E96"/>
    <w:rsid w:val="00F766B8"/>
    <w:rsid w:val="00F77FA4"/>
    <w:rsid w:val="00F829A0"/>
    <w:rsid w:val="00F830BF"/>
    <w:rsid w:val="00F8496D"/>
    <w:rsid w:val="00F855DC"/>
    <w:rsid w:val="00F90B9C"/>
    <w:rsid w:val="00F91316"/>
    <w:rsid w:val="00F91828"/>
    <w:rsid w:val="00F91D71"/>
    <w:rsid w:val="00F91DD2"/>
    <w:rsid w:val="00F93137"/>
    <w:rsid w:val="00F94F34"/>
    <w:rsid w:val="00F94F3F"/>
    <w:rsid w:val="00F9567C"/>
    <w:rsid w:val="00F95967"/>
    <w:rsid w:val="00F9605D"/>
    <w:rsid w:val="00F96BC7"/>
    <w:rsid w:val="00FA09E1"/>
    <w:rsid w:val="00FA15BA"/>
    <w:rsid w:val="00FA2C0E"/>
    <w:rsid w:val="00FA3E08"/>
    <w:rsid w:val="00FA4D54"/>
    <w:rsid w:val="00FA5745"/>
    <w:rsid w:val="00FA67C1"/>
    <w:rsid w:val="00FA7FE2"/>
    <w:rsid w:val="00FB1683"/>
    <w:rsid w:val="00FB391B"/>
    <w:rsid w:val="00FB402B"/>
    <w:rsid w:val="00FB40CB"/>
    <w:rsid w:val="00FB457A"/>
    <w:rsid w:val="00FB4E25"/>
    <w:rsid w:val="00FB6E24"/>
    <w:rsid w:val="00FB772E"/>
    <w:rsid w:val="00FB7D25"/>
    <w:rsid w:val="00FC0F2D"/>
    <w:rsid w:val="00FC0F9E"/>
    <w:rsid w:val="00FC188D"/>
    <w:rsid w:val="00FC3D7F"/>
    <w:rsid w:val="00FC4BB2"/>
    <w:rsid w:val="00FC796E"/>
    <w:rsid w:val="00FD104A"/>
    <w:rsid w:val="00FD207C"/>
    <w:rsid w:val="00FD2B77"/>
    <w:rsid w:val="00FD3E2A"/>
    <w:rsid w:val="00FD5311"/>
    <w:rsid w:val="00FD54C6"/>
    <w:rsid w:val="00FF03A7"/>
    <w:rsid w:val="00FF2FAE"/>
    <w:rsid w:val="00FF38FA"/>
    <w:rsid w:val="00FF5B2A"/>
    <w:rsid w:val="00FF60DA"/>
    <w:rsid w:val="00FF74FF"/>
    <w:rsid w:val="00FF76BA"/>
    <w:rsid w:val="01A821C6"/>
    <w:rsid w:val="01AC09D8"/>
    <w:rsid w:val="01BF2F59"/>
    <w:rsid w:val="024D1B8C"/>
    <w:rsid w:val="02777BFD"/>
    <w:rsid w:val="027E3A68"/>
    <w:rsid w:val="028736CF"/>
    <w:rsid w:val="02C7188D"/>
    <w:rsid w:val="034C08D5"/>
    <w:rsid w:val="03E80CD8"/>
    <w:rsid w:val="03FF0E88"/>
    <w:rsid w:val="05117844"/>
    <w:rsid w:val="05C36EDA"/>
    <w:rsid w:val="064540CD"/>
    <w:rsid w:val="068332D3"/>
    <w:rsid w:val="0828314D"/>
    <w:rsid w:val="08CB0729"/>
    <w:rsid w:val="093A7652"/>
    <w:rsid w:val="095010D6"/>
    <w:rsid w:val="09FA3203"/>
    <w:rsid w:val="0A934B74"/>
    <w:rsid w:val="0A9D666F"/>
    <w:rsid w:val="0AA215B5"/>
    <w:rsid w:val="0AD01B19"/>
    <w:rsid w:val="0AE83ED5"/>
    <w:rsid w:val="10083054"/>
    <w:rsid w:val="10573A8F"/>
    <w:rsid w:val="110B3FFF"/>
    <w:rsid w:val="115E5924"/>
    <w:rsid w:val="11CE51FB"/>
    <w:rsid w:val="144162BD"/>
    <w:rsid w:val="14462ED1"/>
    <w:rsid w:val="1470631C"/>
    <w:rsid w:val="155F3BF4"/>
    <w:rsid w:val="16531828"/>
    <w:rsid w:val="177A0705"/>
    <w:rsid w:val="17A767B1"/>
    <w:rsid w:val="17C84600"/>
    <w:rsid w:val="1804799B"/>
    <w:rsid w:val="18558201"/>
    <w:rsid w:val="18771EED"/>
    <w:rsid w:val="19443A11"/>
    <w:rsid w:val="19AE4336"/>
    <w:rsid w:val="1A024CD3"/>
    <w:rsid w:val="1A995CA7"/>
    <w:rsid w:val="1B03267A"/>
    <w:rsid w:val="1B354543"/>
    <w:rsid w:val="1B741F43"/>
    <w:rsid w:val="1C555234"/>
    <w:rsid w:val="1C790771"/>
    <w:rsid w:val="1CDA72AF"/>
    <w:rsid w:val="1CF6760F"/>
    <w:rsid w:val="1CF7415D"/>
    <w:rsid w:val="1DA457C4"/>
    <w:rsid w:val="1DE94EE3"/>
    <w:rsid w:val="1EB1403F"/>
    <w:rsid w:val="1EBA1BB5"/>
    <w:rsid w:val="1F66463E"/>
    <w:rsid w:val="1F7FBC21"/>
    <w:rsid w:val="1F9D3F36"/>
    <w:rsid w:val="1F9F0F4B"/>
    <w:rsid w:val="1FB53F46"/>
    <w:rsid w:val="1FFD7467"/>
    <w:rsid w:val="21865B28"/>
    <w:rsid w:val="21B12047"/>
    <w:rsid w:val="21CD07B3"/>
    <w:rsid w:val="21FEA69F"/>
    <w:rsid w:val="229E06C1"/>
    <w:rsid w:val="22C5665C"/>
    <w:rsid w:val="23192159"/>
    <w:rsid w:val="23A2562F"/>
    <w:rsid w:val="23EADFBD"/>
    <w:rsid w:val="24D54F61"/>
    <w:rsid w:val="24D9609E"/>
    <w:rsid w:val="24F77329"/>
    <w:rsid w:val="25F621DC"/>
    <w:rsid w:val="26B46396"/>
    <w:rsid w:val="273FB37E"/>
    <w:rsid w:val="2758525B"/>
    <w:rsid w:val="276227A2"/>
    <w:rsid w:val="27BF7757"/>
    <w:rsid w:val="28952832"/>
    <w:rsid w:val="28D1189C"/>
    <w:rsid w:val="2980420F"/>
    <w:rsid w:val="299E6CD5"/>
    <w:rsid w:val="2A6FD67B"/>
    <w:rsid w:val="2AD22322"/>
    <w:rsid w:val="2AF740B1"/>
    <w:rsid w:val="2B1F34A3"/>
    <w:rsid w:val="2B4D1886"/>
    <w:rsid w:val="2B4F5ADE"/>
    <w:rsid w:val="2B577D1D"/>
    <w:rsid w:val="2B8D373E"/>
    <w:rsid w:val="2BBFB279"/>
    <w:rsid w:val="2CC87124"/>
    <w:rsid w:val="2D276489"/>
    <w:rsid w:val="2D2D77E4"/>
    <w:rsid w:val="2E873713"/>
    <w:rsid w:val="2E9238C2"/>
    <w:rsid w:val="2EC610AD"/>
    <w:rsid w:val="2EDBA795"/>
    <w:rsid w:val="2EFB6E3F"/>
    <w:rsid w:val="2F514B1D"/>
    <w:rsid w:val="2FB992CA"/>
    <w:rsid w:val="2FFF3724"/>
    <w:rsid w:val="30032C00"/>
    <w:rsid w:val="30D51E0F"/>
    <w:rsid w:val="30DF36A5"/>
    <w:rsid w:val="30FC6374"/>
    <w:rsid w:val="317E3544"/>
    <w:rsid w:val="31DB1534"/>
    <w:rsid w:val="31EB454A"/>
    <w:rsid w:val="321B0941"/>
    <w:rsid w:val="32C5561F"/>
    <w:rsid w:val="32F90AEB"/>
    <w:rsid w:val="332A1496"/>
    <w:rsid w:val="34EB7F3D"/>
    <w:rsid w:val="35280DC0"/>
    <w:rsid w:val="35790E71"/>
    <w:rsid w:val="358F7419"/>
    <w:rsid w:val="36B129D7"/>
    <w:rsid w:val="37210F39"/>
    <w:rsid w:val="376585A9"/>
    <w:rsid w:val="377FEBD2"/>
    <w:rsid w:val="379F0E51"/>
    <w:rsid w:val="37BB3C75"/>
    <w:rsid w:val="37E7D136"/>
    <w:rsid w:val="37EF1884"/>
    <w:rsid w:val="381643C5"/>
    <w:rsid w:val="38827D5B"/>
    <w:rsid w:val="38B06E8F"/>
    <w:rsid w:val="393022D9"/>
    <w:rsid w:val="396761A8"/>
    <w:rsid w:val="39B7A80E"/>
    <w:rsid w:val="3A1546EF"/>
    <w:rsid w:val="3A663AD8"/>
    <w:rsid w:val="3A7FFDEA"/>
    <w:rsid w:val="3ACC7081"/>
    <w:rsid w:val="3AE66DAF"/>
    <w:rsid w:val="3B602E8C"/>
    <w:rsid w:val="3CC2593E"/>
    <w:rsid w:val="3CFA79B0"/>
    <w:rsid w:val="3CFC2A22"/>
    <w:rsid w:val="3DBDBCC1"/>
    <w:rsid w:val="3E25F058"/>
    <w:rsid w:val="3E5F26C8"/>
    <w:rsid w:val="3E6B648F"/>
    <w:rsid w:val="3E71771E"/>
    <w:rsid w:val="3EEB7EA3"/>
    <w:rsid w:val="3EFFB450"/>
    <w:rsid w:val="3F193E51"/>
    <w:rsid w:val="3F1B3678"/>
    <w:rsid w:val="3F295418"/>
    <w:rsid w:val="3F430914"/>
    <w:rsid w:val="3F67785D"/>
    <w:rsid w:val="3F7BE35A"/>
    <w:rsid w:val="3F95703D"/>
    <w:rsid w:val="3F9BD25E"/>
    <w:rsid w:val="3FA353DB"/>
    <w:rsid w:val="3FA9675D"/>
    <w:rsid w:val="3FBF5B32"/>
    <w:rsid w:val="3FD30848"/>
    <w:rsid w:val="3FE5F616"/>
    <w:rsid w:val="3FE661BE"/>
    <w:rsid w:val="3FE9A94D"/>
    <w:rsid w:val="3FF3BE20"/>
    <w:rsid w:val="3FFDE705"/>
    <w:rsid w:val="4095442A"/>
    <w:rsid w:val="41CD352D"/>
    <w:rsid w:val="42366F99"/>
    <w:rsid w:val="42674C56"/>
    <w:rsid w:val="428C13F3"/>
    <w:rsid w:val="435116AE"/>
    <w:rsid w:val="43522677"/>
    <w:rsid w:val="43696E36"/>
    <w:rsid w:val="43EC292D"/>
    <w:rsid w:val="443F6639"/>
    <w:rsid w:val="446D6344"/>
    <w:rsid w:val="449057FB"/>
    <w:rsid w:val="44DC2DC4"/>
    <w:rsid w:val="44F7B008"/>
    <w:rsid w:val="451D4B80"/>
    <w:rsid w:val="455C78A7"/>
    <w:rsid w:val="456B2E28"/>
    <w:rsid w:val="45BBB141"/>
    <w:rsid w:val="45CFE2F5"/>
    <w:rsid w:val="46773C9E"/>
    <w:rsid w:val="471B24E8"/>
    <w:rsid w:val="47FF1E09"/>
    <w:rsid w:val="48802209"/>
    <w:rsid w:val="48AA7564"/>
    <w:rsid w:val="490C29F9"/>
    <w:rsid w:val="492822E2"/>
    <w:rsid w:val="4949465C"/>
    <w:rsid w:val="4ABF7871"/>
    <w:rsid w:val="4AEF24ED"/>
    <w:rsid w:val="4B386A50"/>
    <w:rsid w:val="4B8D668D"/>
    <w:rsid w:val="4BB79C62"/>
    <w:rsid w:val="4C5956F7"/>
    <w:rsid w:val="4DB26136"/>
    <w:rsid w:val="4E2B1A39"/>
    <w:rsid w:val="4E34712A"/>
    <w:rsid w:val="4E39211D"/>
    <w:rsid w:val="4EF850BF"/>
    <w:rsid w:val="4EFE032C"/>
    <w:rsid w:val="4EFF1A30"/>
    <w:rsid w:val="4F5E4005"/>
    <w:rsid w:val="4F9B48E0"/>
    <w:rsid w:val="4FEB0D80"/>
    <w:rsid w:val="4FEF07EF"/>
    <w:rsid w:val="4FEFBD83"/>
    <w:rsid w:val="5103623F"/>
    <w:rsid w:val="512A7418"/>
    <w:rsid w:val="51933865"/>
    <w:rsid w:val="53D55AFF"/>
    <w:rsid w:val="54F872D7"/>
    <w:rsid w:val="566B6CBC"/>
    <w:rsid w:val="56C0141E"/>
    <w:rsid w:val="56C02E94"/>
    <w:rsid w:val="56DF96AD"/>
    <w:rsid w:val="56E5BDAA"/>
    <w:rsid w:val="56FE4A3D"/>
    <w:rsid w:val="570B65B3"/>
    <w:rsid w:val="57239ACE"/>
    <w:rsid w:val="577E202E"/>
    <w:rsid w:val="57DFFD01"/>
    <w:rsid w:val="57FD0217"/>
    <w:rsid w:val="57FDAC49"/>
    <w:rsid w:val="57FF427C"/>
    <w:rsid w:val="584B05BD"/>
    <w:rsid w:val="590A0EB4"/>
    <w:rsid w:val="59292A0E"/>
    <w:rsid w:val="59A35D4E"/>
    <w:rsid w:val="5A146DDA"/>
    <w:rsid w:val="5A515D37"/>
    <w:rsid w:val="5B5600E3"/>
    <w:rsid w:val="5B69FD30"/>
    <w:rsid w:val="5B6D1CB3"/>
    <w:rsid w:val="5B6F8607"/>
    <w:rsid w:val="5BA97C79"/>
    <w:rsid w:val="5C9764DA"/>
    <w:rsid w:val="5CDD3D02"/>
    <w:rsid w:val="5CEFE6AB"/>
    <w:rsid w:val="5D1A1EB1"/>
    <w:rsid w:val="5D6F7EB7"/>
    <w:rsid w:val="5D7BA7F3"/>
    <w:rsid w:val="5D7DBE38"/>
    <w:rsid w:val="5DB6ABFC"/>
    <w:rsid w:val="5DBF4AA7"/>
    <w:rsid w:val="5DFD311B"/>
    <w:rsid w:val="5E4B0A93"/>
    <w:rsid w:val="5EE98CFC"/>
    <w:rsid w:val="5EF39890"/>
    <w:rsid w:val="5EFD2F47"/>
    <w:rsid w:val="5F5106CC"/>
    <w:rsid w:val="5F738AF3"/>
    <w:rsid w:val="5F7E1979"/>
    <w:rsid w:val="5FAFC956"/>
    <w:rsid w:val="5FB5B2C3"/>
    <w:rsid w:val="5FB73F3B"/>
    <w:rsid w:val="5FB76242"/>
    <w:rsid w:val="5FBA630A"/>
    <w:rsid w:val="5FBBCA1D"/>
    <w:rsid w:val="5FBC40DB"/>
    <w:rsid w:val="5FBCF0FF"/>
    <w:rsid w:val="5FD749C4"/>
    <w:rsid w:val="5FDD3ABD"/>
    <w:rsid w:val="5FEB1D72"/>
    <w:rsid w:val="5FEC6175"/>
    <w:rsid w:val="5FF75608"/>
    <w:rsid w:val="5FFE473E"/>
    <w:rsid w:val="5FFF875E"/>
    <w:rsid w:val="605F560C"/>
    <w:rsid w:val="60C411EB"/>
    <w:rsid w:val="60FE83AB"/>
    <w:rsid w:val="617E4166"/>
    <w:rsid w:val="62215392"/>
    <w:rsid w:val="62AF124F"/>
    <w:rsid w:val="62FFD87A"/>
    <w:rsid w:val="635C4C57"/>
    <w:rsid w:val="63B97525"/>
    <w:rsid w:val="63DD789F"/>
    <w:rsid w:val="64026854"/>
    <w:rsid w:val="64936238"/>
    <w:rsid w:val="64A20355"/>
    <w:rsid w:val="65152432"/>
    <w:rsid w:val="65821F26"/>
    <w:rsid w:val="65BFEC6B"/>
    <w:rsid w:val="65C631CA"/>
    <w:rsid w:val="664B598B"/>
    <w:rsid w:val="66910E93"/>
    <w:rsid w:val="66F18387"/>
    <w:rsid w:val="66F92F5F"/>
    <w:rsid w:val="674039B8"/>
    <w:rsid w:val="6750388A"/>
    <w:rsid w:val="67BD58F0"/>
    <w:rsid w:val="67D5557E"/>
    <w:rsid w:val="68460ACC"/>
    <w:rsid w:val="696811F7"/>
    <w:rsid w:val="69B00E16"/>
    <w:rsid w:val="69FDAD5F"/>
    <w:rsid w:val="69FF6CF4"/>
    <w:rsid w:val="6A222AE4"/>
    <w:rsid w:val="6A4D4AF3"/>
    <w:rsid w:val="6AB704B5"/>
    <w:rsid w:val="6AF96C79"/>
    <w:rsid w:val="6B60244A"/>
    <w:rsid w:val="6BBD5DA2"/>
    <w:rsid w:val="6BBF664C"/>
    <w:rsid w:val="6BC14183"/>
    <w:rsid w:val="6C056342"/>
    <w:rsid w:val="6C75571D"/>
    <w:rsid w:val="6C9D977C"/>
    <w:rsid w:val="6D19409E"/>
    <w:rsid w:val="6D6BBA98"/>
    <w:rsid w:val="6D7512A3"/>
    <w:rsid w:val="6D7D0105"/>
    <w:rsid w:val="6D7E55BA"/>
    <w:rsid w:val="6DDEB173"/>
    <w:rsid w:val="6DEFAD1D"/>
    <w:rsid w:val="6DFABA9A"/>
    <w:rsid w:val="6DFDA3CF"/>
    <w:rsid w:val="6E3F3AEF"/>
    <w:rsid w:val="6E521F00"/>
    <w:rsid w:val="6E816EBD"/>
    <w:rsid w:val="6EAFC2E8"/>
    <w:rsid w:val="6EC6456A"/>
    <w:rsid w:val="6EDA7810"/>
    <w:rsid w:val="6EEF2328"/>
    <w:rsid w:val="6EFB0352"/>
    <w:rsid w:val="6EFF2976"/>
    <w:rsid w:val="6F428D04"/>
    <w:rsid w:val="6F59436A"/>
    <w:rsid w:val="6F7B4824"/>
    <w:rsid w:val="6F7ED022"/>
    <w:rsid w:val="6F7F51C0"/>
    <w:rsid w:val="6F881695"/>
    <w:rsid w:val="6FAF1E19"/>
    <w:rsid w:val="6FAF6818"/>
    <w:rsid w:val="6FB5013A"/>
    <w:rsid w:val="6FBF5D34"/>
    <w:rsid w:val="6FBF6FDD"/>
    <w:rsid w:val="6FD9DD5A"/>
    <w:rsid w:val="6FE82E39"/>
    <w:rsid w:val="6FE83720"/>
    <w:rsid w:val="6FEFF857"/>
    <w:rsid w:val="6FF742B0"/>
    <w:rsid w:val="6FF7A238"/>
    <w:rsid w:val="6FFA5BBD"/>
    <w:rsid w:val="6FFF640F"/>
    <w:rsid w:val="70E25AD6"/>
    <w:rsid w:val="70FCC3EA"/>
    <w:rsid w:val="71706C3A"/>
    <w:rsid w:val="7244598E"/>
    <w:rsid w:val="72991CEA"/>
    <w:rsid w:val="72A4631E"/>
    <w:rsid w:val="731D44F3"/>
    <w:rsid w:val="737A7C1F"/>
    <w:rsid w:val="73CC5B9E"/>
    <w:rsid w:val="73D02943"/>
    <w:rsid w:val="73DCE624"/>
    <w:rsid w:val="73FCC772"/>
    <w:rsid w:val="7468576C"/>
    <w:rsid w:val="74717A94"/>
    <w:rsid w:val="749C2C08"/>
    <w:rsid w:val="753FB67E"/>
    <w:rsid w:val="75417957"/>
    <w:rsid w:val="757DA7EB"/>
    <w:rsid w:val="757E80C2"/>
    <w:rsid w:val="75876F5E"/>
    <w:rsid w:val="75ED1591"/>
    <w:rsid w:val="76DB13A6"/>
    <w:rsid w:val="76FB9164"/>
    <w:rsid w:val="76FF2C66"/>
    <w:rsid w:val="771FC93B"/>
    <w:rsid w:val="773C4F6C"/>
    <w:rsid w:val="77601172"/>
    <w:rsid w:val="776D0CDF"/>
    <w:rsid w:val="7771C033"/>
    <w:rsid w:val="77E77AD9"/>
    <w:rsid w:val="77EEBF16"/>
    <w:rsid w:val="77FD02CB"/>
    <w:rsid w:val="77FEBCD5"/>
    <w:rsid w:val="77FEC78E"/>
    <w:rsid w:val="77FF41F9"/>
    <w:rsid w:val="787E5467"/>
    <w:rsid w:val="78941008"/>
    <w:rsid w:val="78D21BB9"/>
    <w:rsid w:val="78E20029"/>
    <w:rsid w:val="78FD65D5"/>
    <w:rsid w:val="796E48EA"/>
    <w:rsid w:val="798F1A84"/>
    <w:rsid w:val="79B02B75"/>
    <w:rsid w:val="79D155B6"/>
    <w:rsid w:val="79DE5763"/>
    <w:rsid w:val="79FF9797"/>
    <w:rsid w:val="7A7D0D77"/>
    <w:rsid w:val="7AA339B1"/>
    <w:rsid w:val="7AA634A2"/>
    <w:rsid w:val="7B374734"/>
    <w:rsid w:val="7B7F94D8"/>
    <w:rsid w:val="7B800415"/>
    <w:rsid w:val="7BB9301A"/>
    <w:rsid w:val="7BBE70D0"/>
    <w:rsid w:val="7BDFE076"/>
    <w:rsid w:val="7BE098BF"/>
    <w:rsid w:val="7BE7CD54"/>
    <w:rsid w:val="7BEB50EF"/>
    <w:rsid w:val="7BF40907"/>
    <w:rsid w:val="7BF5D96C"/>
    <w:rsid w:val="7BFE0A54"/>
    <w:rsid w:val="7C2D596D"/>
    <w:rsid w:val="7C4FA8A5"/>
    <w:rsid w:val="7CB26385"/>
    <w:rsid w:val="7CCB1FB4"/>
    <w:rsid w:val="7CF12629"/>
    <w:rsid w:val="7D2B327C"/>
    <w:rsid w:val="7D39D26B"/>
    <w:rsid w:val="7D960536"/>
    <w:rsid w:val="7D9B7F99"/>
    <w:rsid w:val="7DC60FDF"/>
    <w:rsid w:val="7DDB9467"/>
    <w:rsid w:val="7DDC20B3"/>
    <w:rsid w:val="7DFBBA6D"/>
    <w:rsid w:val="7DFF31EA"/>
    <w:rsid w:val="7DFFFCB7"/>
    <w:rsid w:val="7E046E0B"/>
    <w:rsid w:val="7E3B63D0"/>
    <w:rsid w:val="7E7A7AD0"/>
    <w:rsid w:val="7EB22415"/>
    <w:rsid w:val="7EB50157"/>
    <w:rsid w:val="7EBE5E4E"/>
    <w:rsid w:val="7EBE8F1F"/>
    <w:rsid w:val="7ECB4A7D"/>
    <w:rsid w:val="7EEDB6B1"/>
    <w:rsid w:val="7EEF0A5C"/>
    <w:rsid w:val="7EEF577A"/>
    <w:rsid w:val="7EFFC6CE"/>
    <w:rsid w:val="7F1FC642"/>
    <w:rsid w:val="7F475C11"/>
    <w:rsid w:val="7F5E1A5B"/>
    <w:rsid w:val="7F5E637F"/>
    <w:rsid w:val="7F5F2086"/>
    <w:rsid w:val="7F6F4205"/>
    <w:rsid w:val="7F727385"/>
    <w:rsid w:val="7F75512B"/>
    <w:rsid w:val="7F7D6026"/>
    <w:rsid w:val="7F7FFD9B"/>
    <w:rsid w:val="7F937F7C"/>
    <w:rsid w:val="7F9F2BAD"/>
    <w:rsid w:val="7FA8336E"/>
    <w:rsid w:val="7FBD1D6D"/>
    <w:rsid w:val="7FBF5261"/>
    <w:rsid w:val="7FCB7395"/>
    <w:rsid w:val="7FCF2BF2"/>
    <w:rsid w:val="7FDD8DB9"/>
    <w:rsid w:val="7FF791DD"/>
    <w:rsid w:val="7FFB5C7D"/>
    <w:rsid w:val="7FFC06C3"/>
    <w:rsid w:val="7FFF55BF"/>
    <w:rsid w:val="7FFFA522"/>
    <w:rsid w:val="7FFFB9BD"/>
    <w:rsid w:val="87FD9882"/>
    <w:rsid w:val="8B7F7B2C"/>
    <w:rsid w:val="8BFF7566"/>
    <w:rsid w:val="8FCD7155"/>
    <w:rsid w:val="96BB3F4C"/>
    <w:rsid w:val="976B2C03"/>
    <w:rsid w:val="97FCEE24"/>
    <w:rsid w:val="97FFE629"/>
    <w:rsid w:val="9BD6644F"/>
    <w:rsid w:val="9DFA3C63"/>
    <w:rsid w:val="9E4F150F"/>
    <w:rsid w:val="9FAFAE10"/>
    <w:rsid w:val="9FBF9D14"/>
    <w:rsid w:val="9FF64A7A"/>
    <w:rsid w:val="A3EDEA07"/>
    <w:rsid w:val="A9BEEF50"/>
    <w:rsid w:val="ABBF50EF"/>
    <w:rsid w:val="AF767B92"/>
    <w:rsid w:val="AFF309DD"/>
    <w:rsid w:val="B3EB0FE9"/>
    <w:rsid w:val="B4DFFA34"/>
    <w:rsid w:val="B6FFB49D"/>
    <w:rsid w:val="B77F19D3"/>
    <w:rsid w:val="B7B7761A"/>
    <w:rsid w:val="B92D6482"/>
    <w:rsid w:val="B98F735C"/>
    <w:rsid w:val="BEFA7B34"/>
    <w:rsid w:val="BEFF8BA3"/>
    <w:rsid w:val="BEFFE31D"/>
    <w:rsid w:val="BF1606AE"/>
    <w:rsid w:val="BF3F914A"/>
    <w:rsid w:val="BF67B77D"/>
    <w:rsid w:val="BF75FE1F"/>
    <w:rsid w:val="BF77F075"/>
    <w:rsid w:val="BF7A3F54"/>
    <w:rsid w:val="BFC72626"/>
    <w:rsid w:val="BFE7F3D6"/>
    <w:rsid w:val="BFF7C769"/>
    <w:rsid w:val="BFFA14AA"/>
    <w:rsid w:val="BFFA6124"/>
    <w:rsid w:val="BFFFAD16"/>
    <w:rsid w:val="C5AAAFD1"/>
    <w:rsid w:val="C5DB4061"/>
    <w:rsid w:val="C5F723DA"/>
    <w:rsid w:val="CA7FCAD5"/>
    <w:rsid w:val="CB3999F8"/>
    <w:rsid w:val="CB9A4C0C"/>
    <w:rsid w:val="CBDFCD60"/>
    <w:rsid w:val="CDFFE1F9"/>
    <w:rsid w:val="CE7D1656"/>
    <w:rsid w:val="CEF352EF"/>
    <w:rsid w:val="CF351676"/>
    <w:rsid w:val="D75DE4DA"/>
    <w:rsid w:val="D7777039"/>
    <w:rsid w:val="D77D7038"/>
    <w:rsid w:val="D7B719C7"/>
    <w:rsid w:val="D7BF91C3"/>
    <w:rsid w:val="D7F36F9D"/>
    <w:rsid w:val="D7FCC828"/>
    <w:rsid w:val="DB7934C6"/>
    <w:rsid w:val="DBFB0C07"/>
    <w:rsid w:val="DDFF5E0C"/>
    <w:rsid w:val="DF2E8D78"/>
    <w:rsid w:val="DF6E69CF"/>
    <w:rsid w:val="DF6ED1DC"/>
    <w:rsid w:val="DF8FFFA5"/>
    <w:rsid w:val="DFBF799A"/>
    <w:rsid w:val="DFD91F4F"/>
    <w:rsid w:val="DFD9C2FD"/>
    <w:rsid w:val="DFDBD429"/>
    <w:rsid w:val="DFE9A02B"/>
    <w:rsid w:val="DFEFA717"/>
    <w:rsid w:val="DFFB4C13"/>
    <w:rsid w:val="DFFD9791"/>
    <w:rsid w:val="E397B603"/>
    <w:rsid w:val="E3F72B15"/>
    <w:rsid w:val="E3FF75D4"/>
    <w:rsid w:val="E5BF3D79"/>
    <w:rsid w:val="E6BBD6C8"/>
    <w:rsid w:val="E7BF6C92"/>
    <w:rsid w:val="E7EC13A4"/>
    <w:rsid w:val="E7F6F2E0"/>
    <w:rsid w:val="E7FF4BCD"/>
    <w:rsid w:val="E86C4AB9"/>
    <w:rsid w:val="E97B2AD8"/>
    <w:rsid w:val="EBA3FBBF"/>
    <w:rsid w:val="EBF46102"/>
    <w:rsid w:val="ECF7CD4E"/>
    <w:rsid w:val="ED7C43D2"/>
    <w:rsid w:val="ED86F4FF"/>
    <w:rsid w:val="EDBBAF82"/>
    <w:rsid w:val="EDFA49FD"/>
    <w:rsid w:val="EEBFA9F0"/>
    <w:rsid w:val="EF6FDCA3"/>
    <w:rsid w:val="EFEFCE7E"/>
    <w:rsid w:val="EFF1C047"/>
    <w:rsid w:val="EFFD763E"/>
    <w:rsid w:val="EFFF1F57"/>
    <w:rsid w:val="F18739E9"/>
    <w:rsid w:val="F19B38E3"/>
    <w:rsid w:val="F2FD1C54"/>
    <w:rsid w:val="F3B717EC"/>
    <w:rsid w:val="F3FC0DF2"/>
    <w:rsid w:val="F5BDAEFE"/>
    <w:rsid w:val="F5EF898E"/>
    <w:rsid w:val="F5FBD12F"/>
    <w:rsid w:val="F64382B7"/>
    <w:rsid w:val="F6BF865B"/>
    <w:rsid w:val="F6DD04A4"/>
    <w:rsid w:val="F6DF104B"/>
    <w:rsid w:val="F6DFD3AB"/>
    <w:rsid w:val="F6F8860C"/>
    <w:rsid w:val="F6FE13CF"/>
    <w:rsid w:val="F6FE7F23"/>
    <w:rsid w:val="F7772BE1"/>
    <w:rsid w:val="F7ABF972"/>
    <w:rsid w:val="F7EB0086"/>
    <w:rsid w:val="F7EB3D90"/>
    <w:rsid w:val="F7FF8C66"/>
    <w:rsid w:val="F7FFD1D4"/>
    <w:rsid w:val="F9EF2B78"/>
    <w:rsid w:val="F9FB4855"/>
    <w:rsid w:val="FA7DAFCD"/>
    <w:rsid w:val="FAFD6085"/>
    <w:rsid w:val="FB7AFF76"/>
    <w:rsid w:val="FBB7B6E3"/>
    <w:rsid w:val="FBDF917D"/>
    <w:rsid w:val="FBF772A9"/>
    <w:rsid w:val="FBFD0515"/>
    <w:rsid w:val="FCAB19CF"/>
    <w:rsid w:val="FCFD71B0"/>
    <w:rsid w:val="FD5FC4D6"/>
    <w:rsid w:val="FD75B2F0"/>
    <w:rsid w:val="FDB8D757"/>
    <w:rsid w:val="FDBB0414"/>
    <w:rsid w:val="FDDC602C"/>
    <w:rsid w:val="FDE996F1"/>
    <w:rsid w:val="FDFF031D"/>
    <w:rsid w:val="FE3AFEAC"/>
    <w:rsid w:val="FEA9C9CC"/>
    <w:rsid w:val="FEB7579F"/>
    <w:rsid w:val="FEF705E8"/>
    <w:rsid w:val="FEF71547"/>
    <w:rsid w:val="FEFA9B3C"/>
    <w:rsid w:val="FEFDF0B4"/>
    <w:rsid w:val="FF0B65FC"/>
    <w:rsid w:val="FF5A9025"/>
    <w:rsid w:val="FF666921"/>
    <w:rsid w:val="FF773818"/>
    <w:rsid w:val="FF7F0055"/>
    <w:rsid w:val="FF7F9B07"/>
    <w:rsid w:val="FFC3A089"/>
    <w:rsid w:val="FFC7ACBA"/>
    <w:rsid w:val="FFC853E1"/>
    <w:rsid w:val="FFCE5279"/>
    <w:rsid w:val="FFD724DC"/>
    <w:rsid w:val="FFDB6DE5"/>
    <w:rsid w:val="FFDF4A86"/>
    <w:rsid w:val="FFE72453"/>
    <w:rsid w:val="FFEAA7F4"/>
    <w:rsid w:val="FFEB4E27"/>
    <w:rsid w:val="FFEBDAD9"/>
    <w:rsid w:val="FFEBFAA7"/>
    <w:rsid w:val="FFEC0F6A"/>
    <w:rsid w:val="FFEEA247"/>
    <w:rsid w:val="FFEEE88E"/>
    <w:rsid w:val="FFFAC987"/>
    <w:rsid w:val="FFFBF6EA"/>
    <w:rsid w:val="FFFC5758"/>
    <w:rsid w:val="FFFF72F3"/>
    <w:rsid w:val="FFFF9979"/>
    <w:rsid w:val="FFFFEBC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45"/>
    <w:qFormat/>
    <w:uiPriority w:val="0"/>
    <w:pPr>
      <w:keepNext/>
      <w:jc w:val="center"/>
      <w:outlineLvl w:val="0"/>
    </w:pPr>
    <w:rPr>
      <w:rFonts w:ascii="楷体_GB2312" w:eastAsia="楷体_GB2312"/>
      <w:sz w:val="28"/>
      <w:szCs w:val="28"/>
    </w:rPr>
  </w:style>
  <w:style w:type="paragraph" w:styleId="5">
    <w:name w:val="heading 2"/>
    <w:basedOn w:val="1"/>
    <w:next w:val="1"/>
    <w:link w:val="46"/>
    <w:qFormat/>
    <w:uiPriority w:val="0"/>
    <w:pPr>
      <w:keepNext/>
      <w:keepLines/>
      <w:spacing w:before="260" w:after="260" w:line="416" w:lineRule="auto"/>
      <w:jc w:val="center"/>
      <w:outlineLvl w:val="1"/>
    </w:pPr>
    <w:rPr>
      <w:rFonts w:ascii="Arial" w:hAnsi="Arial" w:eastAsia="黑体" w:cs="Arial"/>
      <w:b/>
      <w:bCs/>
      <w:sz w:val="44"/>
      <w:szCs w:val="44"/>
    </w:rPr>
  </w:style>
  <w:style w:type="paragraph" w:styleId="6">
    <w:name w:val="heading 3"/>
    <w:basedOn w:val="1"/>
    <w:next w:val="1"/>
    <w:link w:val="47"/>
    <w:qFormat/>
    <w:uiPriority w:val="0"/>
    <w:pPr>
      <w:keepNext/>
      <w:keepLines/>
      <w:spacing w:before="260" w:after="260" w:line="416" w:lineRule="auto"/>
      <w:outlineLvl w:val="2"/>
    </w:pPr>
    <w:rPr>
      <w:b/>
      <w:bCs/>
      <w:sz w:val="32"/>
      <w:szCs w:val="32"/>
    </w:rPr>
  </w:style>
  <w:style w:type="paragraph" w:styleId="7">
    <w:name w:val="heading 4"/>
    <w:basedOn w:val="1"/>
    <w:next w:val="8"/>
    <w:link w:val="48"/>
    <w:qFormat/>
    <w:uiPriority w:val="0"/>
    <w:pPr>
      <w:keepNext/>
      <w:keepLines/>
      <w:ind w:firstLine="420" w:firstLineChars="150"/>
      <w:outlineLvl w:val="3"/>
    </w:pPr>
    <w:rPr>
      <w:rFonts w:ascii="Arial" w:hAnsi="Arial" w:cs="Arial"/>
      <w:b/>
      <w:sz w:val="28"/>
      <w:szCs w:val="28"/>
    </w:rPr>
  </w:style>
  <w:style w:type="paragraph" w:styleId="9">
    <w:name w:val="heading 5"/>
    <w:basedOn w:val="1"/>
    <w:next w:val="8"/>
    <w:link w:val="50"/>
    <w:qFormat/>
    <w:uiPriority w:val="0"/>
    <w:pPr>
      <w:keepNext/>
      <w:autoSpaceDE w:val="0"/>
      <w:autoSpaceDN w:val="0"/>
      <w:adjustRightInd w:val="0"/>
      <w:outlineLvl w:val="4"/>
    </w:pPr>
    <w:rPr>
      <w:rFonts w:ascii="宋体"/>
      <w:color w:val="000000"/>
      <w:kern w:val="0"/>
      <w:sz w:val="28"/>
      <w:szCs w:val="28"/>
    </w:rPr>
  </w:style>
  <w:style w:type="paragraph" w:styleId="10">
    <w:name w:val="heading 6"/>
    <w:basedOn w:val="1"/>
    <w:next w:val="1"/>
    <w:link w:val="5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11">
    <w:name w:val="heading 7"/>
    <w:basedOn w:val="1"/>
    <w:next w:val="1"/>
    <w:link w:val="52"/>
    <w:qFormat/>
    <w:uiPriority w:val="0"/>
    <w:pPr>
      <w:keepNext/>
      <w:keepLines/>
      <w:numPr>
        <w:ilvl w:val="6"/>
        <w:numId w:val="1"/>
      </w:numPr>
      <w:spacing w:before="240" w:after="64" w:line="320" w:lineRule="auto"/>
      <w:outlineLvl w:val="6"/>
    </w:pPr>
    <w:rPr>
      <w:b/>
      <w:bCs/>
      <w:sz w:val="24"/>
      <w:szCs w:val="24"/>
    </w:rPr>
  </w:style>
  <w:style w:type="paragraph" w:styleId="12">
    <w:name w:val="heading 8"/>
    <w:basedOn w:val="1"/>
    <w:next w:val="1"/>
    <w:link w:val="53"/>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3">
    <w:name w:val="heading 9"/>
    <w:basedOn w:val="1"/>
    <w:next w:val="1"/>
    <w:link w:val="54"/>
    <w:qFormat/>
    <w:uiPriority w:val="0"/>
    <w:pPr>
      <w:keepNext/>
      <w:keepLines/>
      <w:numPr>
        <w:ilvl w:val="8"/>
        <w:numId w:val="1"/>
      </w:numPr>
      <w:spacing w:before="240" w:after="64" w:line="320" w:lineRule="auto"/>
      <w:outlineLvl w:val="8"/>
    </w:pPr>
    <w:rPr>
      <w:rFonts w:ascii="Arial" w:hAnsi="Arial" w:eastAsia="黑体"/>
    </w:rPr>
  </w:style>
  <w:style w:type="character" w:default="1" w:styleId="38">
    <w:name w:val="Default Paragraph Font"/>
    <w:semiHidden/>
    <w:qFormat/>
    <w:uiPriority w:val="0"/>
  </w:style>
  <w:style w:type="table" w:default="1" w:styleId="3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link w:val="68"/>
    <w:qFormat/>
    <w:uiPriority w:val="0"/>
    <w:pPr>
      <w:spacing w:line="360" w:lineRule="auto"/>
      <w:ind w:firstLine="200" w:firstLineChars="200"/>
    </w:pPr>
    <w:rPr>
      <w:rFonts w:ascii="仿宋_GB2312" w:eastAsia="仿宋_GB2312"/>
      <w:sz w:val="30"/>
      <w:szCs w:val="30"/>
    </w:rPr>
  </w:style>
  <w:style w:type="paragraph" w:styleId="3">
    <w:name w:val="Body Text"/>
    <w:basedOn w:val="1"/>
    <w:next w:val="2"/>
    <w:link w:val="57"/>
    <w:qFormat/>
    <w:uiPriority w:val="0"/>
    <w:rPr>
      <w:rFonts w:ascii="楷体_GB2312" w:hAnsi="Arial" w:eastAsia="楷体_GB2312"/>
      <w:sz w:val="28"/>
      <w:szCs w:val="28"/>
    </w:rPr>
  </w:style>
  <w:style w:type="paragraph" w:styleId="8">
    <w:name w:val="Normal Indent"/>
    <w:basedOn w:val="1"/>
    <w:link w:val="49"/>
    <w:qFormat/>
    <w:uiPriority w:val="0"/>
    <w:pPr>
      <w:ind w:firstLine="420"/>
    </w:pPr>
  </w:style>
  <w:style w:type="paragraph" w:styleId="14">
    <w:name w:val="List 3"/>
    <w:basedOn w:val="1"/>
    <w:qFormat/>
    <w:uiPriority w:val="0"/>
    <w:pPr>
      <w:ind w:left="100" w:leftChars="400" w:hanging="200" w:hangingChars="200"/>
    </w:pPr>
  </w:style>
  <w:style w:type="paragraph" w:styleId="15">
    <w:name w:val="Document Map"/>
    <w:basedOn w:val="1"/>
    <w:link w:val="55"/>
    <w:semiHidden/>
    <w:qFormat/>
    <w:uiPriority w:val="0"/>
    <w:pPr>
      <w:shd w:val="clear" w:color="auto" w:fill="000080"/>
    </w:pPr>
  </w:style>
  <w:style w:type="paragraph" w:styleId="16">
    <w:name w:val="annotation text"/>
    <w:basedOn w:val="1"/>
    <w:semiHidden/>
    <w:qFormat/>
    <w:uiPriority w:val="0"/>
    <w:pPr>
      <w:jc w:val="left"/>
    </w:pPr>
  </w:style>
  <w:style w:type="paragraph" w:styleId="17">
    <w:name w:val="index 6"/>
    <w:basedOn w:val="1"/>
    <w:next w:val="1"/>
    <w:qFormat/>
    <w:uiPriority w:val="99"/>
    <w:pPr>
      <w:ind w:left="2100"/>
    </w:pPr>
  </w:style>
  <w:style w:type="paragraph" w:styleId="18">
    <w:name w:val="Body Text 3"/>
    <w:basedOn w:val="1"/>
    <w:link w:val="56"/>
    <w:qFormat/>
    <w:uiPriority w:val="0"/>
    <w:rPr>
      <w:rFonts w:ascii="仿宋_GB2312" w:hAnsi="Arial" w:eastAsia="仿宋_GB2312"/>
      <w:sz w:val="32"/>
      <w:szCs w:val="32"/>
    </w:rPr>
  </w:style>
  <w:style w:type="paragraph" w:styleId="19">
    <w:name w:val="Body Text Indent"/>
    <w:basedOn w:val="1"/>
    <w:link w:val="58"/>
    <w:qFormat/>
    <w:uiPriority w:val="0"/>
    <w:pPr>
      <w:ind w:firstLine="645"/>
    </w:pPr>
    <w:rPr>
      <w:rFonts w:ascii="楷体_GB2312" w:eastAsia="楷体_GB2312"/>
      <w:sz w:val="32"/>
      <w:szCs w:val="32"/>
    </w:rPr>
  </w:style>
  <w:style w:type="paragraph" w:styleId="20">
    <w:name w:val="List 2"/>
    <w:basedOn w:val="1"/>
    <w:qFormat/>
    <w:uiPriority w:val="0"/>
    <w:pPr>
      <w:ind w:left="100" w:leftChars="200" w:hanging="200" w:hangingChars="200"/>
    </w:pPr>
  </w:style>
  <w:style w:type="paragraph" w:styleId="21">
    <w:name w:val="toc 3"/>
    <w:basedOn w:val="1"/>
    <w:next w:val="1"/>
    <w:qFormat/>
    <w:uiPriority w:val="39"/>
    <w:pPr>
      <w:ind w:left="840" w:leftChars="400"/>
    </w:pPr>
  </w:style>
  <w:style w:type="paragraph" w:styleId="22">
    <w:name w:val="Plain Text"/>
    <w:basedOn w:val="1"/>
    <w:link w:val="59"/>
    <w:qFormat/>
    <w:uiPriority w:val="0"/>
    <w:rPr>
      <w:rFonts w:ascii="宋体" w:hAnsi="Courier New" w:cs="Courier New"/>
    </w:rPr>
  </w:style>
  <w:style w:type="paragraph" w:styleId="23">
    <w:name w:val="Date"/>
    <w:basedOn w:val="1"/>
    <w:next w:val="1"/>
    <w:link w:val="60"/>
    <w:qFormat/>
    <w:uiPriority w:val="0"/>
    <w:rPr>
      <w:sz w:val="24"/>
      <w:szCs w:val="24"/>
    </w:rPr>
  </w:style>
  <w:style w:type="paragraph" w:styleId="24">
    <w:name w:val="Body Text Indent 2"/>
    <w:basedOn w:val="1"/>
    <w:link w:val="61"/>
    <w:qFormat/>
    <w:uiPriority w:val="0"/>
    <w:pPr>
      <w:ind w:left="630" w:firstLine="645"/>
    </w:pPr>
    <w:rPr>
      <w:rFonts w:ascii="Arial" w:hAnsi="Arial" w:eastAsia="仿宋_GB2312" w:cs="Arial"/>
      <w:sz w:val="32"/>
      <w:szCs w:val="32"/>
    </w:rPr>
  </w:style>
  <w:style w:type="paragraph" w:styleId="25">
    <w:name w:val="Balloon Text"/>
    <w:basedOn w:val="1"/>
    <w:link w:val="62"/>
    <w:semiHidden/>
    <w:qFormat/>
    <w:uiPriority w:val="0"/>
    <w:rPr>
      <w:sz w:val="18"/>
      <w:szCs w:val="18"/>
    </w:rPr>
  </w:style>
  <w:style w:type="paragraph" w:styleId="26">
    <w:name w:val="footer"/>
    <w:basedOn w:val="1"/>
    <w:link w:val="63"/>
    <w:qFormat/>
    <w:uiPriority w:val="0"/>
    <w:pPr>
      <w:tabs>
        <w:tab w:val="center" w:pos="4153"/>
        <w:tab w:val="right" w:pos="8306"/>
      </w:tabs>
      <w:snapToGrid w:val="0"/>
      <w:jc w:val="left"/>
    </w:pPr>
    <w:rPr>
      <w:sz w:val="18"/>
      <w:szCs w:val="18"/>
    </w:rPr>
  </w:style>
  <w:style w:type="paragraph" w:styleId="27">
    <w:name w:val="header"/>
    <w:basedOn w:val="1"/>
    <w:link w:val="64"/>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unhideWhenUsed/>
    <w:qFormat/>
    <w:uiPriority w:val="39"/>
    <w:pPr>
      <w:widowControl/>
      <w:spacing w:after="100" w:line="259" w:lineRule="auto"/>
      <w:jc w:val="left"/>
    </w:pPr>
    <w:rPr>
      <w:rFonts w:ascii="Calibri" w:hAnsi="Calibri" w:eastAsia="宋体"/>
      <w:kern w:val="0"/>
      <w:sz w:val="22"/>
      <w:szCs w:val="22"/>
    </w:rPr>
  </w:style>
  <w:style w:type="paragraph" w:styleId="29">
    <w:name w:val="List"/>
    <w:basedOn w:val="1"/>
    <w:qFormat/>
    <w:uiPriority w:val="0"/>
    <w:pPr>
      <w:ind w:left="200" w:hanging="200" w:hangingChars="200"/>
    </w:pPr>
  </w:style>
  <w:style w:type="paragraph" w:styleId="30">
    <w:name w:val="footnote text"/>
    <w:basedOn w:val="1"/>
    <w:qFormat/>
    <w:uiPriority w:val="0"/>
    <w:pPr>
      <w:snapToGrid w:val="0"/>
      <w:jc w:val="left"/>
    </w:pPr>
    <w:rPr>
      <w:sz w:val="18"/>
    </w:rPr>
  </w:style>
  <w:style w:type="paragraph" w:styleId="31">
    <w:name w:val="Body Text Indent 3"/>
    <w:basedOn w:val="1"/>
    <w:link w:val="65"/>
    <w:qFormat/>
    <w:uiPriority w:val="0"/>
    <w:pPr>
      <w:ind w:left="645" w:firstLine="645"/>
    </w:pPr>
    <w:rPr>
      <w:rFonts w:ascii="Arial" w:hAnsi="Arial" w:eastAsia="仿宋_GB2312" w:cs="Arial"/>
      <w:color w:val="FFFF00"/>
      <w:sz w:val="32"/>
      <w:szCs w:val="32"/>
    </w:rPr>
  </w:style>
  <w:style w:type="paragraph" w:styleId="32">
    <w:name w:val="toc 2"/>
    <w:basedOn w:val="1"/>
    <w:next w:val="1"/>
    <w:qFormat/>
    <w:uiPriority w:val="39"/>
    <w:pPr>
      <w:ind w:left="210"/>
      <w:jc w:val="left"/>
    </w:pPr>
    <w:rPr>
      <w:smallCaps/>
      <w:szCs w:val="24"/>
    </w:rPr>
  </w:style>
  <w:style w:type="paragraph" w:styleId="33">
    <w:name w:val="Body Text 2"/>
    <w:basedOn w:val="1"/>
    <w:link w:val="66"/>
    <w:qFormat/>
    <w:uiPriority w:val="0"/>
    <w:pPr>
      <w:widowControl/>
      <w:jc w:val="center"/>
    </w:pPr>
    <w:rPr>
      <w:rFonts w:ascii="楷体_GB2312" w:eastAsia="楷体_GB2312"/>
      <w:sz w:val="28"/>
      <w:szCs w:val="28"/>
    </w:rPr>
  </w:style>
  <w:style w:type="paragraph" w:styleId="3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5">
    <w:name w:val="annotation subject"/>
    <w:basedOn w:val="16"/>
    <w:next w:val="16"/>
    <w:link w:val="67"/>
    <w:semiHidden/>
    <w:qFormat/>
    <w:uiPriority w:val="0"/>
    <w:rPr>
      <w:b/>
      <w:bCs/>
    </w:rPr>
  </w:style>
  <w:style w:type="paragraph" w:styleId="36">
    <w:name w:val="Body Text First Indent 2"/>
    <w:basedOn w:val="19"/>
    <w:link w:val="69"/>
    <w:qFormat/>
    <w:uiPriority w:val="0"/>
    <w:pPr>
      <w:spacing w:line="360" w:lineRule="auto"/>
      <w:ind w:firstLine="420" w:firstLineChars="200"/>
    </w:pPr>
    <w:rPr>
      <w:rFonts w:ascii="宋体" w:hAnsi="宋体" w:eastAsia="宋体"/>
      <w:sz w:val="21"/>
      <w:szCs w:val="20"/>
    </w:rPr>
  </w:style>
  <w:style w:type="character" w:styleId="39">
    <w:name w:val="Strong"/>
    <w:basedOn w:val="38"/>
    <w:qFormat/>
    <w:uiPriority w:val="0"/>
    <w:rPr>
      <w:b/>
      <w:bCs/>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Emphasis"/>
    <w:basedOn w:val="38"/>
    <w:qFormat/>
    <w:uiPriority w:val="0"/>
    <w:rPr>
      <w:i/>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customStyle="1" w:styleId="45">
    <w:name w:val="标题 1 Char"/>
    <w:link w:val="4"/>
    <w:qFormat/>
    <w:uiPriority w:val="0"/>
    <w:rPr>
      <w:rFonts w:ascii="楷体_GB2312" w:eastAsia="楷体_GB2312"/>
      <w:kern w:val="2"/>
      <w:sz w:val="28"/>
      <w:szCs w:val="28"/>
      <w:lang w:val="en-US" w:eastAsia="zh-CN" w:bidi="ar-SA"/>
    </w:rPr>
  </w:style>
  <w:style w:type="character" w:customStyle="1" w:styleId="46">
    <w:name w:val="标题 2 Char"/>
    <w:link w:val="5"/>
    <w:qFormat/>
    <w:uiPriority w:val="0"/>
    <w:rPr>
      <w:rFonts w:ascii="Arial" w:hAnsi="Arial" w:eastAsia="黑体" w:cs="Arial"/>
      <w:b/>
      <w:bCs/>
      <w:kern w:val="2"/>
      <w:sz w:val="44"/>
      <w:szCs w:val="44"/>
      <w:lang w:val="en-US" w:eastAsia="zh-CN" w:bidi="ar-SA"/>
    </w:rPr>
  </w:style>
  <w:style w:type="character" w:customStyle="1" w:styleId="47">
    <w:name w:val="标题 3 Char"/>
    <w:link w:val="6"/>
    <w:qFormat/>
    <w:uiPriority w:val="0"/>
    <w:rPr>
      <w:rFonts w:eastAsia="宋体"/>
      <w:b/>
      <w:bCs/>
      <w:kern w:val="2"/>
      <w:sz w:val="32"/>
      <w:szCs w:val="32"/>
      <w:lang w:val="en-US" w:eastAsia="zh-CN" w:bidi="ar-SA"/>
    </w:rPr>
  </w:style>
  <w:style w:type="character" w:customStyle="1" w:styleId="48">
    <w:name w:val="标题 4 Char"/>
    <w:link w:val="7"/>
    <w:qFormat/>
    <w:uiPriority w:val="0"/>
    <w:rPr>
      <w:rFonts w:ascii="Arial" w:hAnsi="Arial" w:eastAsia="宋体" w:cs="Arial"/>
      <w:b/>
      <w:kern w:val="2"/>
      <w:sz w:val="28"/>
      <w:szCs w:val="28"/>
      <w:lang w:val="en-US" w:eastAsia="zh-CN" w:bidi="ar-SA"/>
    </w:rPr>
  </w:style>
  <w:style w:type="character" w:customStyle="1" w:styleId="49">
    <w:name w:val="正文缩进 Char1"/>
    <w:link w:val="8"/>
    <w:qFormat/>
    <w:uiPriority w:val="0"/>
    <w:rPr>
      <w:rFonts w:eastAsia="宋体"/>
      <w:kern w:val="2"/>
      <w:sz w:val="21"/>
      <w:szCs w:val="21"/>
      <w:lang w:bidi="ar-SA"/>
    </w:rPr>
  </w:style>
  <w:style w:type="character" w:customStyle="1" w:styleId="50">
    <w:name w:val="标题 5 Char"/>
    <w:link w:val="9"/>
    <w:qFormat/>
    <w:uiPriority w:val="0"/>
    <w:rPr>
      <w:rFonts w:ascii="宋体" w:eastAsia="宋体"/>
      <w:color w:val="000000"/>
      <w:sz w:val="28"/>
      <w:szCs w:val="28"/>
      <w:lang w:val="en-US" w:eastAsia="zh-CN" w:bidi="ar-SA"/>
    </w:rPr>
  </w:style>
  <w:style w:type="character" w:customStyle="1" w:styleId="51">
    <w:name w:val="标题 6 Char"/>
    <w:link w:val="10"/>
    <w:qFormat/>
    <w:uiPriority w:val="0"/>
    <w:rPr>
      <w:rFonts w:ascii="Arial" w:hAnsi="Arial" w:eastAsia="黑体"/>
      <w:b/>
      <w:bCs/>
      <w:kern w:val="2"/>
      <w:sz w:val="24"/>
      <w:szCs w:val="24"/>
      <w:lang w:val="en-US" w:eastAsia="zh-CN" w:bidi="ar-SA"/>
    </w:rPr>
  </w:style>
  <w:style w:type="character" w:customStyle="1" w:styleId="52">
    <w:name w:val="标题 7 Char"/>
    <w:link w:val="11"/>
    <w:qFormat/>
    <w:uiPriority w:val="0"/>
    <w:rPr>
      <w:rFonts w:eastAsia="宋体"/>
      <w:b/>
      <w:bCs/>
      <w:kern w:val="2"/>
      <w:sz w:val="24"/>
      <w:szCs w:val="24"/>
      <w:lang w:val="en-US" w:eastAsia="zh-CN" w:bidi="ar-SA"/>
    </w:rPr>
  </w:style>
  <w:style w:type="character" w:customStyle="1" w:styleId="53">
    <w:name w:val="标题 8 Char"/>
    <w:link w:val="12"/>
    <w:qFormat/>
    <w:uiPriority w:val="0"/>
    <w:rPr>
      <w:rFonts w:ascii="Arial" w:hAnsi="Arial" w:eastAsia="黑体"/>
      <w:kern w:val="2"/>
      <w:sz w:val="24"/>
      <w:szCs w:val="24"/>
      <w:lang w:val="en-US" w:eastAsia="zh-CN" w:bidi="ar-SA"/>
    </w:rPr>
  </w:style>
  <w:style w:type="character" w:customStyle="1" w:styleId="54">
    <w:name w:val="标题 9 Char"/>
    <w:link w:val="13"/>
    <w:qFormat/>
    <w:uiPriority w:val="0"/>
    <w:rPr>
      <w:rFonts w:ascii="Arial" w:hAnsi="Arial" w:eastAsia="黑体"/>
      <w:kern w:val="2"/>
      <w:sz w:val="21"/>
      <w:szCs w:val="21"/>
      <w:lang w:val="en-US" w:eastAsia="zh-CN" w:bidi="ar-SA"/>
    </w:rPr>
  </w:style>
  <w:style w:type="character" w:customStyle="1" w:styleId="55">
    <w:name w:val="文档结构图 Char"/>
    <w:link w:val="15"/>
    <w:semiHidden/>
    <w:qFormat/>
    <w:uiPriority w:val="0"/>
    <w:rPr>
      <w:rFonts w:eastAsia="宋体"/>
      <w:kern w:val="2"/>
      <w:sz w:val="21"/>
      <w:szCs w:val="21"/>
      <w:lang w:bidi="ar-SA"/>
    </w:rPr>
  </w:style>
  <w:style w:type="character" w:customStyle="1" w:styleId="56">
    <w:name w:val="正文文本 3 Char"/>
    <w:link w:val="18"/>
    <w:qFormat/>
    <w:uiPriority w:val="0"/>
    <w:rPr>
      <w:rFonts w:ascii="仿宋_GB2312" w:hAnsi="Arial" w:eastAsia="仿宋_GB2312"/>
      <w:kern w:val="2"/>
      <w:sz w:val="32"/>
      <w:szCs w:val="32"/>
      <w:lang w:val="en-US" w:eastAsia="zh-CN" w:bidi="ar-SA"/>
    </w:rPr>
  </w:style>
  <w:style w:type="character" w:customStyle="1" w:styleId="57">
    <w:name w:val="正文文本 Char"/>
    <w:link w:val="3"/>
    <w:qFormat/>
    <w:uiPriority w:val="0"/>
    <w:rPr>
      <w:rFonts w:ascii="楷体_GB2312" w:hAnsi="Arial" w:eastAsia="楷体_GB2312"/>
      <w:kern w:val="2"/>
      <w:sz w:val="28"/>
      <w:szCs w:val="28"/>
      <w:lang w:val="en-US" w:eastAsia="zh-CN" w:bidi="ar-SA"/>
    </w:rPr>
  </w:style>
  <w:style w:type="character" w:customStyle="1" w:styleId="58">
    <w:name w:val="正文文本缩进 Char"/>
    <w:link w:val="19"/>
    <w:qFormat/>
    <w:uiPriority w:val="0"/>
    <w:rPr>
      <w:rFonts w:ascii="楷体_GB2312" w:eastAsia="楷体_GB2312"/>
      <w:kern w:val="2"/>
      <w:sz w:val="32"/>
      <w:szCs w:val="32"/>
      <w:lang w:val="en-US" w:eastAsia="zh-CN" w:bidi="ar-SA"/>
    </w:rPr>
  </w:style>
  <w:style w:type="character" w:customStyle="1" w:styleId="59">
    <w:name w:val="纯文本 Char"/>
    <w:link w:val="22"/>
    <w:qFormat/>
    <w:uiPriority w:val="0"/>
    <w:rPr>
      <w:rFonts w:ascii="宋体" w:hAnsi="Courier New" w:eastAsia="宋体" w:cs="Courier New"/>
      <w:kern w:val="2"/>
      <w:sz w:val="21"/>
      <w:szCs w:val="21"/>
      <w:lang w:val="en-US" w:eastAsia="zh-CN" w:bidi="ar-SA"/>
    </w:rPr>
  </w:style>
  <w:style w:type="character" w:customStyle="1" w:styleId="60">
    <w:name w:val="日期 Char"/>
    <w:link w:val="23"/>
    <w:qFormat/>
    <w:uiPriority w:val="0"/>
    <w:rPr>
      <w:rFonts w:eastAsia="宋体"/>
      <w:kern w:val="2"/>
      <w:sz w:val="24"/>
      <w:szCs w:val="24"/>
      <w:lang w:val="en-US" w:eastAsia="zh-CN" w:bidi="ar-SA"/>
    </w:rPr>
  </w:style>
  <w:style w:type="character" w:customStyle="1" w:styleId="61">
    <w:name w:val="正文文本缩进 2 Char"/>
    <w:link w:val="24"/>
    <w:qFormat/>
    <w:uiPriority w:val="0"/>
    <w:rPr>
      <w:rFonts w:ascii="Arial" w:hAnsi="Arial" w:eastAsia="仿宋_GB2312" w:cs="Arial"/>
      <w:kern w:val="2"/>
      <w:sz w:val="32"/>
      <w:szCs w:val="32"/>
      <w:lang w:val="en-US" w:eastAsia="zh-CN" w:bidi="ar-SA"/>
    </w:rPr>
  </w:style>
  <w:style w:type="character" w:customStyle="1" w:styleId="62">
    <w:name w:val="批注框文本 Char"/>
    <w:link w:val="25"/>
    <w:semiHidden/>
    <w:qFormat/>
    <w:uiPriority w:val="0"/>
    <w:rPr>
      <w:rFonts w:eastAsia="宋体"/>
      <w:kern w:val="2"/>
      <w:sz w:val="18"/>
      <w:szCs w:val="18"/>
      <w:lang w:val="en-US" w:eastAsia="zh-CN" w:bidi="ar-SA"/>
    </w:rPr>
  </w:style>
  <w:style w:type="character" w:customStyle="1" w:styleId="63">
    <w:name w:val="页脚 Char"/>
    <w:link w:val="26"/>
    <w:qFormat/>
    <w:uiPriority w:val="0"/>
    <w:rPr>
      <w:rFonts w:eastAsia="宋体"/>
      <w:kern w:val="2"/>
      <w:sz w:val="18"/>
      <w:szCs w:val="18"/>
      <w:lang w:bidi="ar-SA"/>
    </w:rPr>
  </w:style>
  <w:style w:type="character" w:customStyle="1" w:styleId="64">
    <w:name w:val="页眉 Char"/>
    <w:link w:val="27"/>
    <w:qFormat/>
    <w:uiPriority w:val="0"/>
    <w:rPr>
      <w:rFonts w:eastAsia="宋体"/>
      <w:kern w:val="2"/>
      <w:sz w:val="18"/>
      <w:szCs w:val="18"/>
      <w:lang w:val="en-US" w:eastAsia="zh-CN" w:bidi="ar-SA"/>
    </w:rPr>
  </w:style>
  <w:style w:type="character" w:customStyle="1" w:styleId="65">
    <w:name w:val="正文文本缩进 3 Char"/>
    <w:link w:val="31"/>
    <w:qFormat/>
    <w:uiPriority w:val="0"/>
    <w:rPr>
      <w:rFonts w:ascii="Arial" w:hAnsi="Arial" w:eastAsia="仿宋_GB2312" w:cs="Arial"/>
      <w:color w:val="FFFF00"/>
      <w:kern w:val="2"/>
      <w:sz w:val="32"/>
      <w:szCs w:val="32"/>
      <w:lang w:val="en-US" w:eastAsia="zh-CN" w:bidi="ar-SA"/>
    </w:rPr>
  </w:style>
  <w:style w:type="character" w:customStyle="1" w:styleId="66">
    <w:name w:val="正文文本 2 Char"/>
    <w:link w:val="33"/>
    <w:qFormat/>
    <w:uiPriority w:val="0"/>
    <w:rPr>
      <w:rFonts w:ascii="楷体_GB2312" w:eastAsia="楷体_GB2312"/>
      <w:kern w:val="2"/>
      <w:sz w:val="28"/>
      <w:szCs w:val="28"/>
      <w:lang w:val="en-US" w:eastAsia="zh-CN" w:bidi="ar-SA"/>
    </w:rPr>
  </w:style>
  <w:style w:type="character" w:customStyle="1" w:styleId="67">
    <w:name w:val="批注主题 Char"/>
    <w:link w:val="35"/>
    <w:semiHidden/>
    <w:qFormat/>
    <w:uiPriority w:val="0"/>
    <w:rPr>
      <w:rFonts w:eastAsia="宋体"/>
      <w:b/>
      <w:bCs/>
      <w:kern w:val="2"/>
      <w:sz w:val="21"/>
      <w:szCs w:val="21"/>
      <w:lang w:val="en-US" w:eastAsia="zh-CN" w:bidi="ar-SA"/>
    </w:rPr>
  </w:style>
  <w:style w:type="character" w:customStyle="1" w:styleId="68">
    <w:name w:val="正文首行缩进 Char1"/>
    <w:link w:val="2"/>
    <w:qFormat/>
    <w:uiPriority w:val="0"/>
    <w:rPr>
      <w:rFonts w:ascii="仿宋_GB2312" w:eastAsia="仿宋_GB2312"/>
      <w:kern w:val="2"/>
      <w:sz w:val="30"/>
      <w:szCs w:val="30"/>
      <w:lang w:val="en-US" w:eastAsia="zh-CN" w:bidi="ar-SA"/>
    </w:rPr>
  </w:style>
  <w:style w:type="character" w:customStyle="1" w:styleId="69">
    <w:name w:val="正文首行缩进 2 Char"/>
    <w:link w:val="36"/>
    <w:qFormat/>
    <w:uiPriority w:val="0"/>
    <w:rPr>
      <w:rFonts w:ascii="宋体" w:hAnsi="宋体" w:eastAsia="宋体"/>
      <w:kern w:val="2"/>
      <w:sz w:val="21"/>
      <w:lang w:val="en-US" w:eastAsia="zh-CN" w:bidi="ar-SA"/>
    </w:rPr>
  </w:style>
  <w:style w:type="character" w:customStyle="1" w:styleId="70">
    <w:name w:val="font51"/>
    <w:basedOn w:val="38"/>
    <w:qFormat/>
    <w:uiPriority w:val="0"/>
    <w:rPr>
      <w:rFonts w:hint="eastAsia" w:ascii="宋体" w:hAnsi="宋体" w:eastAsia="宋体" w:cs="宋体"/>
      <w:color w:val="000000"/>
      <w:sz w:val="24"/>
      <w:szCs w:val="24"/>
      <w:u w:val="none"/>
    </w:rPr>
  </w:style>
  <w:style w:type="character" w:customStyle="1" w:styleId="71">
    <w:name w:val="font5 Char"/>
    <w:qFormat/>
    <w:uiPriority w:val="0"/>
    <w:rPr>
      <w:rFonts w:ascii="宋体" w:hAnsi="宋体" w:eastAsia="宋体"/>
      <w:sz w:val="28"/>
      <w:szCs w:val="28"/>
      <w:lang w:val="en-US" w:eastAsia="zh-CN" w:bidi="ar-SA"/>
    </w:rPr>
  </w:style>
  <w:style w:type="character" w:customStyle="1" w:styleId="72">
    <w:name w:val="font71"/>
    <w:basedOn w:val="38"/>
    <w:qFormat/>
    <w:uiPriority w:val="0"/>
    <w:rPr>
      <w:rFonts w:hint="eastAsia" w:ascii="楷体_GB2312" w:eastAsia="楷体_GB2312" w:cs="楷体_GB2312"/>
      <w:color w:val="000000"/>
      <w:sz w:val="24"/>
      <w:szCs w:val="24"/>
      <w:u w:val="none"/>
    </w:rPr>
  </w:style>
  <w:style w:type="character" w:customStyle="1" w:styleId="73">
    <w:name w:val="正文格式 Char"/>
    <w:link w:val="74"/>
    <w:qFormat/>
    <w:uiPriority w:val="0"/>
    <w:rPr>
      <w:rFonts w:eastAsia="仿宋_GB2312"/>
      <w:sz w:val="28"/>
      <w:lang w:bidi="ar-SA"/>
    </w:rPr>
  </w:style>
  <w:style w:type="paragraph" w:customStyle="1" w:styleId="74">
    <w:name w:val="正文格式"/>
    <w:basedOn w:val="1"/>
    <w:link w:val="73"/>
    <w:qFormat/>
    <w:uiPriority w:val="0"/>
    <w:pPr>
      <w:widowControl/>
      <w:adjustRightInd w:val="0"/>
      <w:snapToGrid w:val="0"/>
      <w:spacing w:before="100" w:beforeAutospacing="1" w:line="360" w:lineRule="auto"/>
      <w:ind w:firstLine="200" w:firstLineChars="200"/>
      <w:textAlignment w:val="baseline"/>
    </w:pPr>
    <w:rPr>
      <w:rFonts w:eastAsia="仿宋_GB2312"/>
      <w:kern w:val="0"/>
      <w:sz w:val="28"/>
      <w:szCs w:val="20"/>
    </w:rPr>
  </w:style>
  <w:style w:type="character" w:customStyle="1" w:styleId="75">
    <w:name w:val="font61"/>
    <w:basedOn w:val="38"/>
    <w:qFormat/>
    <w:uiPriority w:val="0"/>
    <w:rPr>
      <w:rFonts w:hint="eastAsia" w:ascii="黑体" w:hAnsi="宋体" w:eastAsia="黑体" w:cs="黑体"/>
      <w:color w:val="000000"/>
      <w:sz w:val="24"/>
      <w:szCs w:val="24"/>
      <w:u w:val="none"/>
    </w:rPr>
  </w:style>
  <w:style w:type="character" w:customStyle="1" w:styleId="76">
    <w:name w:val=" Char Char6"/>
    <w:qFormat/>
    <w:uiPriority w:val="0"/>
    <w:rPr>
      <w:rFonts w:ascii="Times New Roman" w:hAnsi="Times New Roman" w:eastAsia="宋体" w:cs="Times New Roman"/>
      <w:sz w:val="18"/>
      <w:szCs w:val="18"/>
    </w:rPr>
  </w:style>
  <w:style w:type="character" w:customStyle="1" w:styleId="77">
    <w:name w:val=" Char Char2"/>
    <w:qFormat/>
    <w:uiPriority w:val="0"/>
    <w:rPr>
      <w:rFonts w:ascii="Times New Roman" w:hAnsi="Times New Roman" w:eastAsia="宋体" w:cs="Times New Roman"/>
      <w:szCs w:val="21"/>
    </w:rPr>
  </w:style>
  <w:style w:type="character" w:customStyle="1" w:styleId="78">
    <w:name w:val="font41"/>
    <w:basedOn w:val="38"/>
    <w:qFormat/>
    <w:uiPriority w:val="0"/>
    <w:rPr>
      <w:rFonts w:hint="eastAsia" w:ascii="黑体" w:hAnsi="宋体" w:eastAsia="黑体" w:cs="黑体"/>
      <w:color w:val="000000"/>
      <w:sz w:val="40"/>
      <w:szCs w:val="40"/>
      <w:u w:val="none"/>
    </w:rPr>
  </w:style>
  <w:style w:type="character" w:customStyle="1" w:styleId="79">
    <w:name w:val="font31"/>
    <w:basedOn w:val="38"/>
    <w:qFormat/>
    <w:uiPriority w:val="0"/>
    <w:rPr>
      <w:rFonts w:hint="eastAsia" w:ascii="黑体" w:hAnsi="宋体" w:eastAsia="黑体" w:cs="黑体"/>
      <w:color w:val="000000"/>
      <w:sz w:val="44"/>
      <w:szCs w:val="44"/>
      <w:u w:val="none"/>
    </w:rPr>
  </w:style>
  <w:style w:type="character" w:customStyle="1" w:styleId="80">
    <w:name w:val="正文缩进 Char"/>
    <w:qFormat/>
    <w:uiPriority w:val="0"/>
    <w:rPr>
      <w:kern w:val="2"/>
      <w:sz w:val="21"/>
      <w:szCs w:val="21"/>
    </w:rPr>
  </w:style>
  <w:style w:type="character" w:customStyle="1" w:styleId="81">
    <w:name w:val="正文首行缩进（qhb） Char"/>
    <w:link w:val="82"/>
    <w:qFormat/>
    <w:uiPriority w:val="0"/>
    <w:rPr>
      <w:rFonts w:ascii="Arial" w:hAnsi="Arial"/>
      <w:sz w:val="24"/>
      <w:szCs w:val="21"/>
    </w:rPr>
  </w:style>
  <w:style w:type="paragraph" w:customStyle="1" w:styleId="82">
    <w:name w:val="正文首行缩进（qhb）"/>
    <w:basedOn w:val="1"/>
    <w:link w:val="81"/>
    <w:qFormat/>
    <w:uiPriority w:val="0"/>
    <w:pPr>
      <w:widowControl/>
      <w:spacing w:after="50" w:line="360" w:lineRule="auto"/>
      <w:ind w:firstLine="200" w:firstLineChars="200"/>
      <w:jc w:val="left"/>
    </w:pPr>
    <w:rPr>
      <w:rFonts w:ascii="Arial" w:hAnsi="Arial"/>
      <w:kern w:val="0"/>
      <w:sz w:val="24"/>
    </w:rPr>
  </w:style>
  <w:style w:type="character" w:customStyle="1" w:styleId="83">
    <w:name w:val="二级目录 Char"/>
    <w:link w:val="84"/>
    <w:qFormat/>
    <w:uiPriority w:val="0"/>
    <w:rPr>
      <w:rFonts w:eastAsia="Times New Roman"/>
      <w:b/>
      <w:kern w:val="2"/>
      <w:sz w:val="30"/>
      <w:szCs w:val="28"/>
      <w:lang w:val="en-US" w:eastAsia="zh-CN" w:bidi="ar-SA"/>
    </w:rPr>
  </w:style>
  <w:style w:type="paragraph" w:customStyle="1" w:styleId="84">
    <w:name w:val="二级目录"/>
    <w:next w:val="1"/>
    <w:link w:val="83"/>
    <w:qFormat/>
    <w:uiPriority w:val="0"/>
    <w:pPr>
      <w:tabs>
        <w:tab w:val="left" w:pos="907"/>
        <w:tab w:val="left" w:pos="1145"/>
      </w:tabs>
      <w:ind w:left="907" w:hanging="907"/>
      <w:outlineLvl w:val="1"/>
    </w:pPr>
    <w:rPr>
      <w:rFonts w:ascii="Times New Roman" w:hAnsi="Times New Roman" w:eastAsia="Times New Roman" w:cs="Times New Roman"/>
      <w:b/>
      <w:kern w:val="2"/>
      <w:sz w:val="30"/>
      <w:szCs w:val="28"/>
      <w:lang w:val="en-US" w:eastAsia="zh-CN" w:bidi="ar-SA"/>
    </w:rPr>
  </w:style>
  <w:style w:type="character" w:customStyle="1" w:styleId="85">
    <w:name w:val="列出段落 Char"/>
    <w:link w:val="86"/>
    <w:qFormat/>
    <w:locked/>
    <w:uiPriority w:val="0"/>
    <w:rPr>
      <w:rFonts w:ascii="Calibri" w:hAnsi="Calibri"/>
      <w:sz w:val="24"/>
      <w:szCs w:val="24"/>
      <w:lang w:eastAsia="en-US" w:bidi="en-US"/>
    </w:rPr>
  </w:style>
  <w:style w:type="paragraph" w:customStyle="1" w:styleId="86">
    <w:name w:val="列出段落1"/>
    <w:basedOn w:val="1"/>
    <w:link w:val="85"/>
    <w:qFormat/>
    <w:uiPriority w:val="0"/>
    <w:pPr>
      <w:widowControl/>
      <w:ind w:left="720"/>
      <w:contextualSpacing/>
      <w:jc w:val="left"/>
    </w:pPr>
    <w:rPr>
      <w:kern w:val="0"/>
      <w:sz w:val="24"/>
      <w:szCs w:val="24"/>
      <w:lang w:eastAsia="en-US" w:bidi="en-US"/>
    </w:rPr>
  </w:style>
  <w:style w:type="character" w:customStyle="1" w:styleId="87">
    <w:name w:val="正文首行缩进 Char"/>
    <w:qFormat/>
    <w:uiPriority w:val="0"/>
    <w:rPr>
      <w:rFonts w:ascii="仿宋_GB2312" w:hAnsi="Times New Roman" w:eastAsia="仿宋_GB2312" w:cs="Times New Roman"/>
      <w:kern w:val="2"/>
      <w:sz w:val="30"/>
      <w:szCs w:val="30"/>
    </w:rPr>
  </w:style>
  <w:style w:type="paragraph" w:customStyle="1" w:styleId="8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9">
    <w:name w:val="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0">
    <w:name w:val="_Style 3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1">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92">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93">
    <w:name w:val="Char2 Char1 Char"/>
    <w:basedOn w:val="1"/>
    <w:qFormat/>
    <w:uiPriority w:val="0"/>
    <w:pPr>
      <w:tabs>
        <w:tab w:val="left" w:pos="360"/>
      </w:tabs>
    </w:pPr>
    <w:rPr>
      <w:rFonts w:eastAsia="方正仿宋简体"/>
      <w:sz w:val="24"/>
      <w:szCs w:val="32"/>
    </w:rPr>
  </w:style>
  <w:style w:type="paragraph" w:customStyle="1" w:styleId="94">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95">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96">
    <w:name w:val="_Style 95"/>
    <w:basedOn w:val="4"/>
    <w:next w:val="1"/>
    <w:qFormat/>
    <w:uiPriority w:val="39"/>
    <w:pPr>
      <w:keepLines/>
      <w:widowControl/>
      <w:spacing w:before="480" w:line="276" w:lineRule="auto"/>
      <w:jc w:val="left"/>
      <w:outlineLvl w:val="9"/>
    </w:pPr>
    <w:rPr>
      <w:rFonts w:ascii="Cambria" w:hAnsi="Cambria" w:eastAsia="宋体"/>
      <w:b/>
      <w:bCs/>
      <w:color w:val="365F91"/>
      <w:kern w:val="0"/>
    </w:rPr>
  </w:style>
  <w:style w:type="paragraph" w:customStyle="1" w:styleId="97">
    <w:name w:val="Char"/>
    <w:basedOn w:val="1"/>
    <w:qFormat/>
    <w:uiPriority w:val="0"/>
    <w:pPr>
      <w:tabs>
        <w:tab w:val="left" w:pos="360"/>
      </w:tabs>
      <w:ind w:firstLine="200" w:firstLineChars="200"/>
    </w:pPr>
    <w:rPr>
      <w:sz w:val="28"/>
      <w:szCs w:val="30"/>
    </w:rPr>
  </w:style>
  <w:style w:type="paragraph" w:customStyle="1" w:styleId="98">
    <w:name w:val="Char Char Char Char Char Char Char Char Char Char"/>
    <w:basedOn w:val="1"/>
    <w:qFormat/>
    <w:uiPriority w:val="0"/>
    <w:pPr>
      <w:adjustRightInd w:val="0"/>
      <w:spacing w:line="360" w:lineRule="auto"/>
    </w:pPr>
    <w:rPr>
      <w:kern w:val="0"/>
      <w:sz w:val="24"/>
      <w:szCs w:val="20"/>
    </w:rPr>
  </w:style>
  <w:style w:type="paragraph" w:customStyle="1" w:styleId="99">
    <w:name w:val="List Paragraph1"/>
    <w:basedOn w:val="1"/>
    <w:qFormat/>
    <w:uiPriority w:val="99"/>
    <w:pPr>
      <w:ind w:firstLine="420" w:firstLineChars="200"/>
    </w:pPr>
  </w:style>
  <w:style w:type="paragraph" w:customStyle="1" w:styleId="100">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01">
    <w:name w:val="列表内容"/>
    <w:basedOn w:val="1"/>
    <w:next w:val="1"/>
    <w:qFormat/>
    <w:uiPriority w:val="0"/>
    <w:pPr>
      <w:widowControl/>
      <w:numPr>
        <w:ilvl w:val="0"/>
        <w:numId w:val="2"/>
      </w:numPr>
      <w:tabs>
        <w:tab w:val="left" w:pos="840"/>
      </w:tabs>
      <w:jc w:val="left"/>
    </w:pPr>
    <w:rPr>
      <w:kern w:val="0"/>
      <w:sz w:val="18"/>
      <w:szCs w:val="24"/>
    </w:rPr>
  </w:style>
  <w:style w:type="paragraph" w:customStyle="1" w:styleId="102">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kern w:val="0"/>
      <w:sz w:val="26"/>
      <w:szCs w:val="26"/>
      <w:lang w:val="en-US" w:eastAsia="zh-CN" w:bidi="ar"/>
    </w:rPr>
  </w:style>
  <w:style w:type="paragraph" w:customStyle="1" w:styleId="103">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04">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5">
    <w:name w:val="Char1"/>
    <w:basedOn w:val="1"/>
    <w:qFormat/>
    <w:uiPriority w:val="0"/>
    <w:pPr>
      <w:tabs>
        <w:tab w:val="left" w:pos="360"/>
      </w:tabs>
      <w:ind w:firstLine="200" w:firstLineChars="200"/>
    </w:pPr>
    <w:rPr>
      <w:sz w:val="28"/>
      <w:szCs w:val="30"/>
    </w:rPr>
  </w:style>
  <w:style w:type="paragraph" w:customStyle="1" w:styleId="106">
    <w:name w:val="附录1"/>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107">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08">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109">
    <w:name w:val="Char Char Char Char"/>
    <w:basedOn w:val="15"/>
    <w:qFormat/>
    <w:uiPriority w:val="0"/>
    <w:pPr>
      <w:adjustRightInd w:val="0"/>
      <w:snapToGrid w:val="0"/>
      <w:spacing w:line="360" w:lineRule="auto"/>
    </w:pPr>
    <w:rPr>
      <w:rFonts w:ascii="Tahoma" w:hAnsi="Tahoma"/>
      <w:sz w:val="24"/>
      <w:szCs w:val="24"/>
    </w:rPr>
  </w:style>
  <w:style w:type="paragraph" w:customStyle="1" w:styleId="110">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11">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112">
    <w:name w:val="font5"/>
    <w:basedOn w:val="1"/>
    <w:qFormat/>
    <w:uiPriority w:val="0"/>
    <w:pPr>
      <w:widowControl/>
      <w:numPr>
        <w:ilvl w:val="0"/>
        <w:numId w:val="3"/>
      </w:numPr>
      <w:tabs>
        <w:tab w:val="clear" w:pos="907"/>
      </w:tabs>
      <w:spacing w:before="100" w:beforeAutospacing="1" w:after="100" w:afterAutospacing="1"/>
      <w:ind w:left="0" w:firstLine="0"/>
      <w:jc w:val="left"/>
    </w:pPr>
    <w:rPr>
      <w:rFonts w:hint="eastAsia" w:ascii="宋体" w:hAnsi="宋体"/>
      <w:kern w:val="0"/>
      <w:sz w:val="28"/>
      <w:szCs w:val="28"/>
    </w:rPr>
  </w:style>
  <w:style w:type="paragraph" w:customStyle="1" w:styleId="113">
    <w:name w:val="_Style 4"/>
    <w:basedOn w:val="15"/>
    <w:qFormat/>
    <w:uiPriority w:val="0"/>
    <w:pPr>
      <w:shd w:val="clear" w:color="auto" w:fill="auto"/>
      <w:spacing w:line="360" w:lineRule="auto"/>
      <w:jc w:val="left"/>
    </w:pPr>
    <w:rPr>
      <w:kern w:val="0"/>
      <w:sz w:val="20"/>
      <w:szCs w:val="20"/>
    </w:rPr>
  </w:style>
  <w:style w:type="paragraph" w:customStyle="1" w:styleId="114">
    <w:name w:val="文档正文"/>
    <w:basedOn w:val="8"/>
    <w:qFormat/>
    <w:uiPriority w:val="0"/>
    <w:pPr>
      <w:spacing w:line="480" w:lineRule="atLeast"/>
      <w:textAlignment w:val="baseline"/>
    </w:pPr>
    <w:rPr>
      <w:kern w:val="0"/>
      <w:sz w:val="24"/>
    </w:rPr>
  </w:style>
  <w:style w:type="paragraph" w:customStyle="1" w:styleId="11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16">
    <w:name w:val="font7"/>
    <w:basedOn w:val="1"/>
    <w:qFormat/>
    <w:uiPriority w:val="0"/>
    <w:pPr>
      <w:widowControl/>
      <w:numPr>
        <w:ilvl w:val="0"/>
        <w:numId w:val="4"/>
      </w:numPr>
      <w:tabs>
        <w:tab w:val="clear" w:pos="709"/>
      </w:tabs>
      <w:spacing w:before="100" w:beforeAutospacing="1" w:after="100" w:afterAutospacing="1"/>
      <w:ind w:left="0" w:firstLine="0"/>
      <w:jc w:val="left"/>
    </w:pPr>
    <w:rPr>
      <w:rFonts w:hint="eastAsia" w:ascii="宋体" w:hAnsi="宋体"/>
      <w:kern w:val="0"/>
      <w:sz w:val="18"/>
      <w:szCs w:val="18"/>
    </w:rPr>
  </w:style>
  <w:style w:type="paragraph" w:customStyle="1" w:styleId="117">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18">
    <w:name w:val="正文 A"/>
    <w:qFormat/>
    <w:uiPriority w:val="0"/>
    <w:pPr>
      <w:widowControl w:val="0"/>
      <w:jc w:val="both"/>
    </w:pPr>
    <w:rPr>
      <w:rFonts w:ascii="Times New Roman" w:hAnsi="Arial Unicode MS" w:eastAsia="Arial Unicode MS" w:cs="Arial Unicode MS"/>
      <w:color w:val="000000"/>
      <w:kern w:val="2"/>
      <w:sz w:val="21"/>
      <w:szCs w:val="21"/>
      <w:u w:val="none" w:color="000000"/>
      <w:lang w:val="en-US" w:eastAsia="zh-CN" w:bidi="ar-SA"/>
    </w:rPr>
  </w:style>
  <w:style w:type="paragraph" w:customStyle="1" w:styleId="119">
    <w:name w:val="table_1stline"/>
    <w:basedOn w:val="1"/>
    <w:qFormat/>
    <w:uiPriority w:val="0"/>
    <w:pPr>
      <w:widowControl/>
      <w:spacing w:before="120"/>
      <w:jc w:val="left"/>
    </w:pPr>
    <w:rPr>
      <w:bCs/>
      <w:kern w:val="0"/>
      <w:sz w:val="20"/>
      <w:szCs w:val="20"/>
      <w:lang w:val="de-DE" w:eastAsia="de-DE"/>
    </w:rPr>
  </w:style>
  <w:style w:type="paragraph" w:customStyle="1" w:styleId="120">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21">
    <w:name w:val=" Char"/>
    <w:basedOn w:val="15"/>
    <w:qFormat/>
    <w:uiPriority w:val="0"/>
    <w:rPr>
      <w:rFonts w:ascii="Tahoma" w:hAnsi="Tahoma"/>
      <w:sz w:val="24"/>
      <w:szCs w:val="24"/>
    </w:rPr>
  </w:style>
  <w:style w:type="paragraph" w:styleId="122">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123">
    <w:name w:val="4"/>
    <w:basedOn w:val="1"/>
    <w:next w:val="31"/>
    <w:qFormat/>
    <w:uiPriority w:val="0"/>
    <w:pPr>
      <w:spacing w:line="360" w:lineRule="auto"/>
      <w:ind w:firstLine="420"/>
    </w:pPr>
    <w:rPr>
      <w:color w:val="FF0000"/>
      <w:sz w:val="24"/>
      <w:szCs w:val="24"/>
    </w:rPr>
  </w:style>
  <w:style w:type="paragraph" w:customStyle="1" w:styleId="124">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5">
    <w:name w:val="Char Char Char Char1"/>
    <w:basedOn w:val="15"/>
    <w:qFormat/>
    <w:uiPriority w:val="0"/>
    <w:pPr>
      <w:adjustRightInd w:val="0"/>
      <w:snapToGrid w:val="0"/>
      <w:spacing w:line="360" w:lineRule="auto"/>
    </w:pPr>
    <w:rPr>
      <w:rFonts w:ascii="Tahoma" w:hAnsi="Tahoma"/>
      <w:kern w:val="0"/>
      <w:sz w:val="24"/>
      <w:szCs w:val="24"/>
    </w:rPr>
  </w:style>
  <w:style w:type="paragraph" w:customStyle="1" w:styleId="126">
    <w:name w:val="table_lines"/>
    <w:basedOn w:val="1"/>
    <w:qFormat/>
    <w:uiPriority w:val="0"/>
    <w:pPr>
      <w:widowControl/>
      <w:jc w:val="left"/>
    </w:pPr>
    <w:rPr>
      <w:kern w:val="0"/>
      <w:sz w:val="20"/>
      <w:szCs w:val="20"/>
      <w:lang w:val="de-DE" w:eastAsia="de-DE"/>
    </w:rPr>
  </w:style>
  <w:style w:type="paragraph" w:customStyle="1" w:styleId="127">
    <w:name w:val=" Char Char Char Char"/>
    <w:basedOn w:val="15"/>
    <w:qFormat/>
    <w:uiPriority w:val="0"/>
    <w:pPr>
      <w:adjustRightInd w:val="0"/>
      <w:snapToGrid w:val="0"/>
      <w:spacing w:line="360" w:lineRule="auto"/>
    </w:pPr>
    <w:rPr>
      <w:rFonts w:ascii="Tahoma" w:hAnsi="Tahoma"/>
      <w:sz w:val="24"/>
      <w:szCs w:val="24"/>
    </w:rPr>
  </w:style>
  <w:style w:type="paragraph" w:customStyle="1" w:styleId="128">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29">
    <w:name w:val="Body Text(ch)"/>
    <w:basedOn w:val="1"/>
    <w:next w:val="3"/>
    <w:qFormat/>
    <w:uiPriority w:val="0"/>
    <w:pPr>
      <w:spacing w:after="120"/>
    </w:pPr>
    <w:rPr>
      <w:rFonts w:ascii="宋体" w:hAnsi="Arial"/>
      <w:bCs/>
      <w:iCs/>
      <w:szCs w:val="24"/>
    </w:rPr>
  </w:style>
  <w:style w:type="table" w:customStyle="1" w:styleId="130">
    <w:name w:val="网格型1"/>
    <w:basedOn w:val="3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14300</Words>
  <Characters>15729</Characters>
  <Lines>170</Lines>
  <Paragraphs>48</Paragraphs>
  <TotalTime>7</TotalTime>
  <ScaleCrop>false</ScaleCrop>
  <LinksUpToDate>false</LinksUpToDate>
  <CharactersWithSpaces>16323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2019-01-23T17:13:00Z</dcterms:created>
  <dc:creator>yinjian</dc:creator>
  <cp:lastModifiedBy>ZJL</cp:lastModifiedBy>
  <cp:lastPrinted>2021-04-12T12:48:00Z</cp:lastPrinted>
  <dcterms:modified xsi:type="dcterms:W3CDTF">2026-04-16T08:01:45Z</dcterms:modified>
  <dc:title>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6AAC94ED29BD4575B83C6B52C5A9447D_13</vt:lpwstr>
  </property>
  <property fmtid="{D5CDD505-2E9C-101B-9397-08002B2CF9AE}" pid="4" name="KSOTemplateDocerSaveRecord">
    <vt:lpwstr>eyJoZGlkIjoiM2JjZjM2Zjk0Y2FmNWRkODMwOTNlNjJkNTI2ZjkzYzUiLCJ1c2VySWQiOiI2MDc2NTk1NzIifQ==</vt:lpwstr>
  </property>
</Properties>
</file>