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4416E">
      <w:pPr>
        <w:adjustRightInd/>
        <w:spacing w:line="360" w:lineRule="auto"/>
        <w:jc w:val="center"/>
        <w:rPr>
          <w:rFonts w:ascii="宋体" w:hAnsi="宋体" w:cs="宋体"/>
          <w:b/>
          <w:color w:val="000000" w:themeColor="text1"/>
          <w:sz w:val="48"/>
          <w:szCs w:val="48"/>
          <w:highlight w:val="none"/>
          <w14:textFill>
            <w14:solidFill>
              <w14:schemeClr w14:val="tx1"/>
            </w14:solidFill>
          </w14:textFill>
        </w:rPr>
      </w:pPr>
    </w:p>
    <w:p w14:paraId="18613F71">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bookmarkStart w:id="0" w:name="_Toc4543"/>
    </w:p>
    <w:bookmarkEnd w:id="0"/>
    <w:p w14:paraId="73DA3664">
      <w:pPr>
        <w:adjustRightInd/>
        <w:spacing w:line="360" w:lineRule="auto"/>
        <w:jc w:val="center"/>
        <w:rPr>
          <w:rFonts w:hint="eastAsia" w:ascii="宋体" w:hAnsi="宋体" w:cs="宋体"/>
          <w:color w:val="000000" w:themeColor="text1"/>
          <w:sz w:val="48"/>
          <w:szCs w:val="48"/>
          <w:highlight w:val="none"/>
          <w:lang w:val="en-US" w:eastAsia="zh-CN"/>
          <w14:textFill>
            <w14:solidFill>
              <w14:schemeClr w14:val="tx1"/>
            </w14:solidFill>
          </w14:textFill>
        </w:rPr>
      </w:pPr>
      <w:r>
        <w:rPr>
          <w:rFonts w:hint="eastAsia" w:ascii="宋体" w:hAnsi="宋体" w:cs="宋体"/>
          <w:color w:val="000000" w:themeColor="text1"/>
          <w:sz w:val="48"/>
          <w:szCs w:val="48"/>
          <w:highlight w:val="none"/>
          <w:lang w:val="en-US" w:eastAsia="zh-CN"/>
          <w14:textFill>
            <w14:solidFill>
              <w14:schemeClr w14:val="tx1"/>
            </w14:solidFill>
          </w14:textFill>
        </w:rPr>
        <w:t>宁波市北仑区人民医院</w:t>
      </w:r>
    </w:p>
    <w:p w14:paraId="252F401B">
      <w:pPr>
        <w:adjustRightInd/>
        <w:spacing w:line="360" w:lineRule="auto"/>
        <w:jc w:val="center"/>
        <w:rPr>
          <w:rFonts w:hint="eastAsia" w:ascii="宋体" w:hAnsi="宋体" w:cs="宋体"/>
          <w:color w:val="000000" w:themeColor="text1"/>
          <w:sz w:val="48"/>
          <w:szCs w:val="48"/>
          <w:highlight w:val="none"/>
          <w:lang w:val="en-US" w:eastAsia="zh-CN"/>
          <w14:textFill>
            <w14:solidFill>
              <w14:schemeClr w14:val="tx1"/>
            </w14:solidFill>
          </w14:textFill>
        </w:rPr>
      </w:pPr>
      <w:r>
        <w:rPr>
          <w:rFonts w:hint="eastAsia" w:ascii="宋体" w:hAnsi="宋体" w:cs="宋体"/>
          <w:color w:val="000000" w:themeColor="text1"/>
          <w:sz w:val="48"/>
          <w:szCs w:val="48"/>
          <w:highlight w:val="none"/>
          <w:lang w:val="en-US" w:eastAsia="zh-CN"/>
          <w14:textFill>
            <w14:solidFill>
              <w14:schemeClr w14:val="tx1"/>
            </w14:solidFill>
          </w14:textFill>
        </w:rPr>
        <w:t>成本核算管理系统采购项目</w:t>
      </w:r>
    </w:p>
    <w:p w14:paraId="1F5B159B">
      <w:pPr>
        <w:adjustRightInd/>
        <w:spacing w:line="360" w:lineRule="auto"/>
        <w:jc w:val="center"/>
        <w:rPr>
          <w:rFonts w:ascii="宋体" w:hAnsi="宋体" w:cs="宋体"/>
          <w:color w:val="000000" w:themeColor="text1"/>
          <w:sz w:val="48"/>
          <w:szCs w:val="48"/>
          <w:highlight w:val="none"/>
          <w14:textFill>
            <w14:solidFill>
              <w14:schemeClr w14:val="tx1"/>
            </w14:solidFill>
          </w14:textFill>
        </w:rPr>
      </w:pPr>
      <w:r>
        <w:rPr>
          <w:rFonts w:hint="eastAsia" w:ascii="宋体" w:hAnsi="宋体" w:cs="宋体"/>
          <w:color w:val="000000" w:themeColor="text1"/>
          <w:sz w:val="48"/>
          <w:szCs w:val="48"/>
          <w:highlight w:val="none"/>
          <w14:textFill>
            <w14:solidFill>
              <w14:schemeClr w14:val="tx1"/>
            </w14:solidFill>
          </w14:textFill>
        </w:rPr>
        <w:t xml:space="preserve">招标文件 </w:t>
      </w:r>
    </w:p>
    <w:p w14:paraId="426D7ADB">
      <w:pPr>
        <w:adjustRightInd/>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（电子招投标）</w:t>
      </w:r>
    </w:p>
    <w:p w14:paraId="7013E7B2">
      <w:pPr>
        <w:snapToGrid w:val="0"/>
        <w:spacing w:line="360" w:lineRule="auto"/>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eastAsia="zh-CN"/>
          <w14:textFill>
            <w14:solidFill>
              <w14:schemeClr w14:val="tx1"/>
            </w14:solidFill>
          </w14:textFill>
        </w:rPr>
        <w:t>CBNB-20261133-BL019G</w:t>
      </w:r>
    </w:p>
    <w:p w14:paraId="460F1764">
      <w:pPr>
        <w:adjustRightInd/>
        <w:spacing w:line="360" w:lineRule="auto"/>
        <w:rPr>
          <w:rFonts w:ascii="宋体" w:hAnsi="宋体" w:cs="宋体"/>
          <w:color w:val="000000" w:themeColor="text1"/>
          <w:sz w:val="28"/>
          <w:szCs w:val="20"/>
          <w:highlight w:val="none"/>
          <w14:textFill>
            <w14:solidFill>
              <w14:schemeClr w14:val="tx1"/>
            </w14:solidFill>
          </w14:textFill>
        </w:rPr>
      </w:pPr>
    </w:p>
    <w:p w14:paraId="3E121780">
      <w:pPr>
        <w:spacing w:line="360" w:lineRule="auto"/>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 xml:space="preserve"> </w:t>
      </w:r>
    </w:p>
    <w:p w14:paraId="182F2576">
      <w:pPr>
        <w:spacing w:line="360" w:lineRule="auto"/>
        <w:jc w:val="center"/>
        <w:rPr>
          <w:rFonts w:ascii="宋体" w:hAnsi="宋体" w:cs="宋体"/>
          <w:b/>
          <w:color w:val="000000" w:themeColor="text1"/>
          <w:sz w:val="44"/>
          <w:szCs w:val="44"/>
          <w:highlight w:val="none"/>
          <w14:textFill>
            <w14:solidFill>
              <w14:schemeClr w14:val="tx1"/>
            </w14:solidFill>
          </w14:textFill>
        </w:rPr>
      </w:pPr>
    </w:p>
    <w:p w14:paraId="7CA35577">
      <w:pPr>
        <w:spacing w:line="360" w:lineRule="auto"/>
        <w:jc w:val="center"/>
        <w:rPr>
          <w:rFonts w:ascii="宋体" w:hAnsi="宋体" w:cs="宋体"/>
          <w:color w:val="000000" w:themeColor="text1"/>
          <w:sz w:val="24"/>
          <w:highlight w:val="none"/>
          <w14:textFill>
            <w14:solidFill>
              <w14:schemeClr w14:val="tx1"/>
            </w14:solidFill>
          </w14:textFill>
        </w:rPr>
      </w:pPr>
    </w:p>
    <w:p w14:paraId="0011B125">
      <w:pPr>
        <w:spacing w:line="360" w:lineRule="auto"/>
        <w:jc w:val="center"/>
        <w:rPr>
          <w:rFonts w:ascii="宋体" w:hAnsi="宋体" w:cs="宋体"/>
          <w:color w:val="000000" w:themeColor="text1"/>
          <w:sz w:val="24"/>
          <w:highlight w:val="none"/>
          <w14:textFill>
            <w14:solidFill>
              <w14:schemeClr w14:val="tx1"/>
            </w14:solidFill>
          </w14:textFill>
        </w:rPr>
      </w:pPr>
    </w:p>
    <w:p w14:paraId="79061DED">
      <w:pPr>
        <w:spacing w:line="360" w:lineRule="auto"/>
        <w:rPr>
          <w:rFonts w:ascii="宋体" w:hAnsi="宋体" w:cs="宋体"/>
          <w:color w:val="000000" w:themeColor="text1"/>
          <w:sz w:val="32"/>
          <w:szCs w:val="32"/>
          <w:highlight w:val="none"/>
          <w14:textFill>
            <w14:solidFill>
              <w14:schemeClr w14:val="tx1"/>
            </w14:solidFill>
          </w14:textFill>
        </w:rPr>
      </w:pPr>
    </w:p>
    <w:p w14:paraId="16B94DD7">
      <w:pPr>
        <w:pStyle w:val="63"/>
        <w:ind w:firstLine="640"/>
        <w:rPr>
          <w:rFonts w:cs="宋体"/>
          <w:color w:val="000000" w:themeColor="text1"/>
          <w:sz w:val="32"/>
          <w:szCs w:val="32"/>
          <w:highlight w:val="none"/>
          <w14:textFill>
            <w14:solidFill>
              <w14:schemeClr w14:val="tx1"/>
            </w14:solidFill>
          </w14:textFill>
        </w:rPr>
      </w:pPr>
    </w:p>
    <w:p w14:paraId="5C699C65">
      <w:pPr>
        <w:rPr>
          <w:color w:val="000000" w:themeColor="text1"/>
          <w:highlight w:val="none"/>
          <w14:textFill>
            <w14:solidFill>
              <w14:schemeClr w14:val="tx1"/>
            </w14:solidFill>
          </w14:textFill>
        </w:rPr>
      </w:pPr>
    </w:p>
    <w:p w14:paraId="2E7D071F">
      <w:pPr>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07E0D912">
      <w:pPr>
        <w:spacing w:line="360" w:lineRule="auto"/>
        <w:jc w:val="center"/>
        <w:rPr>
          <w:rFonts w:hint="eastAsia" w:ascii="宋体" w:hAnsi="宋体" w:cs="宋体"/>
          <w:bCs/>
          <w:color w:val="000000" w:themeColor="text1"/>
          <w:sz w:val="32"/>
          <w:szCs w:val="32"/>
          <w:highlight w:val="none"/>
          <w14:textFill>
            <w14:solidFill>
              <w14:schemeClr w14:val="tx1"/>
            </w14:solidFill>
          </w14:textFill>
        </w:rPr>
      </w:pPr>
    </w:p>
    <w:p w14:paraId="57B00221">
      <w:pPr>
        <w:spacing w:line="360" w:lineRule="auto"/>
        <w:jc w:val="center"/>
        <w:rPr>
          <w:rFonts w:hint="default" w:ascii="宋体" w:hAnsi="宋体" w:eastAsia="宋体" w:cs="宋体"/>
          <w:bCs/>
          <w:color w:val="000000" w:themeColor="text1"/>
          <w:sz w:val="32"/>
          <w:szCs w:val="32"/>
          <w:highlight w:val="none"/>
          <w:lang w:val="en-US" w:eastAsia="zh-CN"/>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采购人：</w:t>
      </w:r>
      <w:r>
        <w:rPr>
          <w:rFonts w:hint="eastAsia" w:ascii="宋体" w:hAnsi="宋体" w:cs="宋体"/>
          <w:bCs/>
          <w:color w:val="000000" w:themeColor="text1"/>
          <w:sz w:val="32"/>
          <w:szCs w:val="32"/>
          <w:highlight w:val="none"/>
          <w:lang w:eastAsia="zh-CN"/>
          <w14:textFill>
            <w14:solidFill>
              <w14:schemeClr w14:val="tx1"/>
            </w14:solidFill>
          </w14:textFill>
        </w:rPr>
        <w:t>宁波市北仑区</w:t>
      </w:r>
      <w:r>
        <w:rPr>
          <w:rFonts w:hint="eastAsia" w:ascii="宋体" w:hAnsi="宋体" w:cs="宋体"/>
          <w:bCs/>
          <w:color w:val="000000" w:themeColor="text1"/>
          <w:sz w:val="32"/>
          <w:szCs w:val="32"/>
          <w:highlight w:val="none"/>
          <w:lang w:val="en-US" w:eastAsia="zh-CN"/>
          <w14:textFill>
            <w14:solidFill>
              <w14:schemeClr w14:val="tx1"/>
            </w14:solidFill>
          </w14:textFill>
        </w:rPr>
        <w:t>人民医院</w:t>
      </w:r>
    </w:p>
    <w:p w14:paraId="13F8E243">
      <w:pPr>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    </w:t>
      </w:r>
      <w:bookmarkStart w:id="1" w:name="_Toc2466"/>
      <w:r>
        <w:rPr>
          <w:rFonts w:hint="eastAsia" w:ascii="宋体" w:hAnsi="宋体" w:cs="宋体"/>
          <w:bCs/>
          <w:color w:val="000000" w:themeColor="text1"/>
          <w:sz w:val="32"/>
          <w:szCs w:val="32"/>
          <w:highlight w:val="none"/>
          <w14:textFill>
            <w14:solidFill>
              <w14:schemeClr w14:val="tx1"/>
            </w14:solidFill>
          </w14:textFill>
        </w:rPr>
        <w:t>采购代理机构：宁波中基国际招标有限公司</w:t>
      </w:r>
      <w:bookmarkEnd w:id="1"/>
    </w:p>
    <w:p w14:paraId="71B9816E">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202</w:t>
      </w:r>
      <w:r>
        <w:rPr>
          <w:rFonts w:hint="eastAsia" w:ascii="宋体" w:hAnsi="宋体" w:cs="宋体"/>
          <w:bCs/>
          <w:color w:val="000000" w:themeColor="text1"/>
          <w:sz w:val="32"/>
          <w:szCs w:val="32"/>
          <w:highlight w:val="none"/>
          <w:lang w:val="en-US" w:eastAsia="zh-CN"/>
          <w14:textFill>
            <w14:solidFill>
              <w14:schemeClr w14:val="tx1"/>
            </w14:solidFill>
          </w14:textFill>
        </w:rPr>
        <w:t>6</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val="en-US" w:eastAsia="zh-CN"/>
          <w14:textFill>
            <w14:solidFill>
              <w14:schemeClr w14:val="tx1"/>
            </w14:solidFill>
          </w14:textFill>
        </w:rPr>
        <w:t>4</w:t>
      </w:r>
      <w:r>
        <w:rPr>
          <w:rFonts w:hint="eastAsia" w:ascii="宋体" w:hAnsi="宋体" w:cs="宋体"/>
          <w:bCs/>
          <w:color w:val="000000" w:themeColor="text1"/>
          <w:sz w:val="32"/>
          <w:szCs w:val="32"/>
          <w:highlight w:val="none"/>
          <w14:textFill>
            <w14:solidFill>
              <w14:schemeClr w14:val="tx1"/>
            </w14:solidFill>
          </w14:textFill>
        </w:rPr>
        <w:t>月</w:t>
      </w:r>
    </w:p>
    <w:p w14:paraId="1B2D927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2" w:name="_Hlt67893495"/>
      <w:bookmarkEnd w:id="2"/>
    </w:p>
    <w:p w14:paraId="25540553">
      <w:pPr>
        <w:spacing w:line="360" w:lineRule="auto"/>
        <w:rPr>
          <w:rFonts w:ascii="宋体" w:hAnsi="宋体" w:cs="宋体"/>
          <w:color w:val="000000" w:themeColor="text1"/>
          <w:sz w:val="32"/>
          <w:szCs w:val="32"/>
          <w:highlight w:val="none"/>
          <w14:textFill>
            <w14:solidFill>
              <w14:schemeClr w14:val="tx1"/>
            </w14:solidFill>
          </w14:textFill>
        </w:rPr>
      </w:pPr>
    </w:p>
    <w:p w14:paraId="47320A39">
      <w:pPr>
        <w:jc w:val="center"/>
        <w:rPr>
          <w:rFonts w:ascii="宋体" w:hAnsi="宋体"/>
          <w:color w:val="000000" w:themeColor="text1"/>
          <w:sz w:val="48"/>
          <w:szCs w:val="48"/>
          <w:highlight w:val="none"/>
          <w14:textFill>
            <w14:solidFill>
              <w14:schemeClr w14:val="tx1"/>
            </w14:solidFill>
          </w14:textFill>
        </w:rPr>
      </w:pPr>
      <w:r>
        <w:rPr>
          <w:rFonts w:ascii="宋体" w:hAnsi="宋体"/>
          <w:color w:val="000000" w:themeColor="text1"/>
          <w:sz w:val="48"/>
          <w:szCs w:val="48"/>
          <w:highlight w:val="none"/>
          <w14:textFill>
            <w14:solidFill>
              <w14:schemeClr w14:val="tx1"/>
            </w14:solidFill>
          </w14:textFill>
        </w:rPr>
        <w:t>目</w:t>
      </w:r>
      <w:r>
        <w:rPr>
          <w:rFonts w:hint="eastAsia" w:ascii="宋体" w:hAnsi="宋体"/>
          <w:color w:val="000000" w:themeColor="text1"/>
          <w:sz w:val="48"/>
          <w:szCs w:val="48"/>
          <w:highlight w:val="none"/>
          <w14:textFill>
            <w14:solidFill>
              <w14:schemeClr w14:val="tx1"/>
            </w14:solidFill>
          </w14:textFill>
        </w:rPr>
        <w:t xml:space="preserve">  </w:t>
      </w:r>
      <w:r>
        <w:rPr>
          <w:rFonts w:ascii="宋体" w:hAnsi="宋体"/>
          <w:color w:val="000000" w:themeColor="text1"/>
          <w:sz w:val="48"/>
          <w:szCs w:val="48"/>
          <w:highlight w:val="none"/>
          <w14:textFill>
            <w14:solidFill>
              <w14:schemeClr w14:val="tx1"/>
            </w14:solidFill>
          </w14:textFill>
        </w:rPr>
        <w:t>录</w:t>
      </w:r>
    </w:p>
    <w:p w14:paraId="2DFB40A9">
      <w:pPr>
        <w:pStyle w:val="63"/>
        <w:ind w:firstLine="960"/>
        <w:rPr>
          <w:color w:val="000000" w:themeColor="text1"/>
          <w:sz w:val="48"/>
          <w:szCs w:val="48"/>
          <w:highlight w:val="none"/>
          <w14:textFill>
            <w14:solidFill>
              <w14:schemeClr w14:val="tx1"/>
            </w14:solidFill>
          </w14:textFill>
        </w:rPr>
      </w:pPr>
    </w:p>
    <w:p w14:paraId="44B122FA">
      <w:pPr>
        <w:rPr>
          <w:color w:val="000000" w:themeColor="text1"/>
          <w:highlight w:val="none"/>
          <w14:textFill>
            <w14:solidFill>
              <w14:schemeClr w14:val="tx1"/>
            </w14:solidFill>
          </w14:textFill>
        </w:rPr>
      </w:pPr>
    </w:p>
    <w:p w14:paraId="03F7FDB4">
      <w:pPr>
        <w:pStyle w:val="44"/>
        <w:tabs>
          <w:tab w:val="right" w:leader="dot" w:pos="9070"/>
        </w:tabs>
        <w:spacing w:line="600" w:lineRule="exac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"_Toc32263"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第一部分 招标公告</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_Toc32263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619156F1">
      <w:pPr>
        <w:pStyle w:val="44"/>
        <w:tabs>
          <w:tab w:val="right" w:leader="dot" w:pos="9070"/>
        </w:tabs>
        <w:spacing w:line="600" w:lineRule="exact"/>
        <w:rPr>
          <w:rFonts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"_Toc1745"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第二部分 投标人须知</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_Toc1745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5B3950C9">
      <w:pPr>
        <w:pStyle w:val="44"/>
        <w:tabs>
          <w:tab w:val="right" w:leader="dot" w:pos="9070"/>
        </w:tabs>
        <w:spacing w:line="60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"_Toc9424"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第三部分 采购需求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6</w:t>
      </w:r>
    </w:p>
    <w:p w14:paraId="185EC257">
      <w:pPr>
        <w:pStyle w:val="44"/>
        <w:tabs>
          <w:tab w:val="right" w:leader="dot" w:pos="9070"/>
        </w:tabs>
        <w:spacing w:line="60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"_Toc22578"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第四部分 评标办法</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_Toc22578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6</w:t>
      </w:r>
    </w:p>
    <w:p w14:paraId="405CF7C6">
      <w:pPr>
        <w:pStyle w:val="44"/>
        <w:tabs>
          <w:tab w:val="right" w:leader="dot" w:pos="9070"/>
        </w:tabs>
        <w:spacing w:line="600" w:lineRule="exact"/>
        <w:rPr>
          <w:rFonts w:ascii="宋体" w:hAnsi="宋体" w:cs="宋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"_Toc12957"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第五部分 拟签订的合同文本</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_Toc12957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63</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14:paraId="1631B42B">
      <w:pPr>
        <w:pStyle w:val="44"/>
        <w:tabs>
          <w:tab w:val="right" w:leader="dot" w:pos="9070"/>
        </w:tabs>
        <w:spacing w:line="600" w:lineRule="exact"/>
        <w:rPr>
          <w:rFonts w:hint="default" w:ascii="宋体" w:hAnsi="宋体" w:eastAsia="宋体" w:cs="宋体"/>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"_Toc12182"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第六部分 应提交的有关格式范例</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lang w:val="en-US" w:eastAsia="zh-CN"/>
          <w14:textFill>
            <w14:solidFill>
              <w14:schemeClr w14:val="tx1"/>
            </w14:solidFill>
          </w14:textFill>
        </w:rPr>
        <w:t>71</w:t>
      </w:r>
    </w:p>
    <w:p w14:paraId="76340D43">
      <w:pPr>
        <w:spacing w:line="600" w:lineRule="exact"/>
        <w:rPr>
          <w:color w:val="000000" w:themeColor="text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p w14:paraId="7A59D26A">
      <w:pPr>
        <w:spacing w:line="360" w:lineRule="auto"/>
        <w:ind w:firstLine="549" w:firstLineChars="229"/>
        <w:rPr>
          <w:rFonts w:ascii="宋体" w:hAnsi="宋体" w:cs="宋体"/>
          <w:color w:val="000000" w:themeColor="text1"/>
          <w:sz w:val="24"/>
          <w:highlight w:val="none"/>
          <w14:textFill>
            <w14:solidFill>
              <w14:schemeClr w14:val="tx1"/>
            </w14:solidFill>
          </w14:textFill>
        </w:rPr>
      </w:pPr>
      <w:bookmarkStart w:id="3" w:name="_Hlt91233176"/>
      <w:bookmarkEnd w:id="3"/>
      <w:bookmarkStart w:id="4" w:name="_Toc91899869"/>
    </w:p>
    <w:p w14:paraId="08613BD1">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BA9EB3C">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A9BF8BC">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74FBEF9">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142789BE">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372952A">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CBC325D">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DFDFBB0">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5072B0D">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41A3314">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EE9BA20">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68BDC84E">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4B519CF7">
      <w:pPr>
        <w:spacing w:line="360" w:lineRule="auto"/>
        <w:rPr>
          <w:rFonts w:ascii="宋体" w:hAnsi="宋体" w:cs="宋体"/>
          <w:color w:val="000000" w:themeColor="text1"/>
          <w:sz w:val="24"/>
          <w:highlight w:val="none"/>
          <w14:textFill>
            <w14:solidFill>
              <w14:schemeClr w14:val="tx1"/>
            </w14:solidFill>
          </w14:textFill>
        </w:rPr>
      </w:pPr>
    </w:p>
    <w:p w14:paraId="378E3509">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5" w:name="第一部分"/>
      <w:r>
        <w:rPr>
          <w:rFonts w:hint="eastAsia" w:ascii="宋体" w:hAnsi="宋体" w:cs="宋体"/>
          <w:b/>
          <w:color w:val="000000" w:themeColor="text1"/>
          <w:sz w:val="36"/>
          <w:szCs w:val="36"/>
          <w:highlight w:val="none"/>
          <w14:textFill>
            <w14:solidFill>
              <w14:schemeClr w14:val="tx1"/>
            </w14:solidFill>
          </w14:textFill>
        </w:rPr>
        <w:br w:type="page"/>
      </w:r>
      <w:bookmarkEnd w:id="4"/>
      <w:bookmarkEnd w:id="5"/>
      <w:bookmarkStart w:id="6" w:name="_Hlt74729822"/>
      <w:bookmarkEnd w:id="6"/>
      <w:bookmarkStart w:id="7" w:name="_Hlt74728647"/>
      <w:bookmarkEnd w:id="7"/>
      <w:bookmarkStart w:id="8" w:name="_Hlt74649545"/>
      <w:bookmarkEnd w:id="8"/>
      <w:bookmarkStart w:id="9" w:name="_Hlt74707423"/>
      <w:bookmarkEnd w:id="9"/>
      <w:bookmarkStart w:id="10" w:name="_Toc32263"/>
      <w:bookmarkStart w:id="11" w:name="_Toc15656"/>
      <w:bookmarkStart w:id="12" w:name="第二部分"/>
      <w:bookmarkStart w:id="13" w:name="_Toc91899870"/>
      <w:bookmarkStart w:id="14" w:name="_Toc91899871"/>
      <w:r>
        <w:rPr>
          <w:rStyle w:val="285"/>
          <w:rFonts w:hint="eastAsia"/>
          <w:color w:val="000000" w:themeColor="text1"/>
          <w:highlight w:val="none"/>
          <w14:textFill>
            <w14:solidFill>
              <w14:schemeClr w14:val="tx1"/>
            </w14:solidFill>
          </w14:textFill>
        </w:rPr>
        <w:t>第一部分 招标公告</w:t>
      </w:r>
      <w:bookmarkEnd w:id="10"/>
      <w:bookmarkEnd w:id="11"/>
    </w:p>
    <w:p w14:paraId="33908464">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p>
    <w:p w14:paraId="62157E76">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宁波市北仑区人民医院成本核算管理系统采购项目</w:t>
      </w:r>
      <w:r>
        <w:rPr>
          <w:rFonts w:hint="eastAsia" w:asciiTheme="minorEastAsia" w:hAnsiTheme="minorEastAsia" w:eastAsiaTheme="minorEastAsia"/>
          <w:color w:val="000000" w:themeColor="text1"/>
          <w:sz w:val="24"/>
          <w:highlight w:val="none"/>
          <w14:textFill>
            <w14:solidFill>
              <w14:schemeClr w14:val="tx1"/>
            </w14:solidFill>
          </w14:textFill>
        </w:rPr>
        <w:t>招标项目的潜在投标人应在政采云平台（</w:t>
      </w:r>
      <w:r>
        <w:rPr>
          <w:rFonts w:asciiTheme="minorEastAsia" w:hAnsiTheme="minorEastAsia" w:eastAsiaTheme="minorEastAsia"/>
          <w:color w:val="000000" w:themeColor="text1"/>
          <w:sz w:val="24"/>
          <w:highlight w:val="none"/>
          <w14:textFill>
            <w14:solidFill>
              <w14:schemeClr w14:val="tx1"/>
            </w14:solidFill>
          </w14:textFill>
        </w:rPr>
        <w:t>https://www.zcygov.cn/）获取（下载）招标文件，并于</w:t>
      </w:r>
      <w:r>
        <w:rPr>
          <w:rFonts w:hint="eastAsia"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21日13</w:t>
      </w:r>
      <w:r>
        <w:rPr>
          <w:rFonts w:hint="eastAsia" w:asciiTheme="minorEastAsia" w:hAnsiTheme="minorEastAsia" w:eastAsiaTheme="minorEastAsia"/>
          <w:color w:val="000000" w:themeColor="text1"/>
          <w:sz w:val="24"/>
          <w:highlight w:val="none"/>
          <w14:textFill>
            <w14:solidFill>
              <w14:schemeClr w14:val="tx1"/>
            </w14:solidFill>
          </w14:textFill>
        </w:rPr>
        <w:t>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30</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w:t>
      </w:r>
      <w:r>
        <w:rPr>
          <w:rFonts w:hint="eastAsia" w:asciiTheme="minorEastAsia" w:hAnsiTheme="minorEastAsia" w:eastAsiaTheme="minorEastAsia"/>
          <w:color w:val="000000" w:themeColor="text1"/>
          <w:sz w:val="24"/>
          <w:highlight w:val="none"/>
          <w14:textFill>
            <w14:solidFill>
              <w14:schemeClr w14:val="tx1"/>
            </w14:solidFill>
          </w14:textFill>
        </w:rPr>
        <w:t>递交（上传）投标文件。</w:t>
      </w:r>
    </w:p>
    <w:p w14:paraId="46182A7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一、项目基本情况                                            </w:t>
      </w:r>
    </w:p>
    <w:p w14:paraId="00AFBCCC">
      <w:pPr>
        <w:spacing w:line="360" w:lineRule="auto"/>
        <w:outlineLvl w:val="1"/>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bookmarkStart w:id="15" w:name="_Toc23734"/>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b w:val="0"/>
          <w:bCs/>
          <w:color w:val="000000" w:themeColor="text1"/>
          <w:sz w:val="24"/>
          <w:highlight w:val="none"/>
          <w:lang w:eastAsia="zh-CN"/>
          <w14:textFill>
            <w14:solidFill>
              <w14:schemeClr w14:val="tx1"/>
            </w14:solidFill>
          </w14:textFill>
        </w:rPr>
        <w:t>CBNB-20261133-BL019G</w:t>
      </w:r>
      <w:r>
        <w:rPr>
          <w:rFonts w:hint="eastAsia" w:ascii="宋体" w:hAnsi="宋体" w:cs="宋体"/>
          <w:b w:val="0"/>
          <w:bCs/>
          <w:color w:val="000000" w:themeColor="text1"/>
          <w:sz w:val="24"/>
          <w:highlight w:val="none"/>
          <w14:textFill>
            <w14:solidFill>
              <w14:schemeClr w14:val="tx1"/>
            </w14:solidFill>
          </w14:textFill>
        </w:rPr>
        <w:t> </w:t>
      </w:r>
      <w:bookmarkEnd w:id="15"/>
    </w:p>
    <w:p w14:paraId="5B95004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项目名称：</w:t>
      </w:r>
      <w:r>
        <w:rPr>
          <w:rFonts w:hint="eastAsia" w:ascii="宋体" w:hAnsi="宋体" w:cs="宋体"/>
          <w:b w:val="0"/>
          <w:bCs/>
          <w:color w:val="000000" w:themeColor="text1"/>
          <w:sz w:val="24"/>
          <w:highlight w:val="none"/>
          <w:lang w:val="en-US" w:eastAsia="zh-CN"/>
          <w14:textFill>
            <w14:solidFill>
              <w14:schemeClr w14:val="tx1"/>
            </w14:solidFill>
          </w14:textFill>
        </w:rPr>
        <w:t>宁波市北仑区人民医院成本核算管理系统采购项目</w:t>
      </w:r>
    </w:p>
    <w:p w14:paraId="4C10794D">
      <w:pPr>
        <w:spacing w:line="360" w:lineRule="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 xml:space="preserve"> 预算金额（元）：</w:t>
      </w:r>
      <w:r>
        <w:rPr>
          <w:rFonts w:hint="eastAsia" w:ascii="宋体" w:hAnsi="宋体" w:cs="宋体"/>
          <w:b w:val="0"/>
          <w:bCs w:val="0"/>
          <w:color w:val="000000" w:themeColor="text1"/>
          <w:sz w:val="24"/>
          <w:highlight w:val="none"/>
          <w:lang w:val="en-US" w:eastAsia="zh-CN"/>
          <w14:textFill>
            <w14:solidFill>
              <w14:schemeClr w14:val="tx1"/>
            </w14:solidFill>
          </w14:textFill>
        </w:rPr>
        <w:t>80</w:t>
      </w:r>
      <w:r>
        <w:rPr>
          <w:rFonts w:hint="eastAsia" w:ascii="宋体" w:hAnsi="宋体" w:cs="宋体"/>
          <w:b w:val="0"/>
          <w:bCs w:val="0"/>
          <w:color w:val="000000" w:themeColor="text1"/>
          <w:sz w:val="24"/>
          <w:highlight w:val="none"/>
          <w14:textFill>
            <w14:solidFill>
              <w14:schemeClr w14:val="tx1"/>
            </w14:solidFill>
          </w14:textFill>
        </w:rPr>
        <w:t>0,000.00</w:t>
      </w:r>
    </w:p>
    <w:p w14:paraId="3694283B">
      <w:pPr>
        <w:spacing w:line="360" w:lineRule="auto"/>
        <w:ind w:firstLine="480"/>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最高限价（元）：</w:t>
      </w:r>
      <w:r>
        <w:rPr>
          <w:rFonts w:hint="eastAsia" w:ascii="宋体" w:hAnsi="宋体" w:cs="宋体"/>
          <w:b w:val="0"/>
          <w:bCs w:val="0"/>
          <w:color w:val="000000" w:themeColor="text1"/>
          <w:sz w:val="24"/>
          <w:highlight w:val="none"/>
          <w:lang w:val="en-US" w:eastAsia="zh-CN"/>
          <w14:textFill>
            <w14:solidFill>
              <w14:schemeClr w14:val="tx1"/>
            </w14:solidFill>
          </w14:textFill>
        </w:rPr>
        <w:t>80</w:t>
      </w:r>
      <w:r>
        <w:rPr>
          <w:rFonts w:hint="eastAsia" w:ascii="宋体" w:hAnsi="宋体" w:cs="宋体"/>
          <w:b w:val="0"/>
          <w:bCs w:val="0"/>
          <w:color w:val="000000" w:themeColor="text1"/>
          <w:sz w:val="24"/>
          <w:highlight w:val="none"/>
          <w14:textFill>
            <w14:solidFill>
              <w14:schemeClr w14:val="tx1"/>
            </w14:solidFill>
          </w14:textFill>
        </w:rPr>
        <w:t>0,000.00</w:t>
      </w:r>
    </w:p>
    <w:p w14:paraId="53FA1EDD">
      <w:pPr>
        <w:pStyle w:val="62"/>
        <w:rPr>
          <w:b/>
          <w:bCs/>
          <w:color w:val="000000" w:themeColor="text1"/>
          <w:highlight w:val="none"/>
          <w:lang w:val="en-US"/>
          <w14:textFill>
            <w14:solidFill>
              <w14:schemeClr w14:val="tx1"/>
            </w14:solidFill>
          </w14:textFill>
        </w:rPr>
      </w:pPr>
      <w:r>
        <w:rPr>
          <w:rFonts w:hint="eastAsia" w:hAnsi="宋体" w:cs="宋体"/>
          <w:b/>
          <w:bCs/>
          <w:color w:val="000000" w:themeColor="text1"/>
          <w:highlight w:val="none"/>
          <w:lang w:val="en-US"/>
          <w14:textFill>
            <w14:solidFill>
              <w14:schemeClr w14:val="tx1"/>
            </w14:solidFill>
          </w14:textFill>
        </w:rPr>
        <w:t>采购需求：</w:t>
      </w:r>
    </w:p>
    <w:p w14:paraId="1CE37C36">
      <w:pPr>
        <w:snapToGrid w:val="0"/>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标项名称:</w:t>
      </w:r>
      <w:r>
        <w:rPr>
          <w:rFonts w:hint="eastAsia" w:ascii="宋体" w:hAnsi="宋体" w:cs="宋体"/>
          <w:b w:val="0"/>
          <w:bCs/>
          <w:color w:val="000000" w:themeColor="text1"/>
          <w:sz w:val="24"/>
          <w:highlight w:val="none"/>
          <w:lang w:val="en-US" w:eastAsia="zh-CN"/>
          <w14:textFill>
            <w14:solidFill>
              <w14:schemeClr w14:val="tx1"/>
            </w14:solidFill>
          </w14:textFill>
        </w:rPr>
        <w:t>成本核算管理系统</w:t>
      </w:r>
    </w:p>
    <w:p w14:paraId="3A760815">
      <w:pPr>
        <w:snapToGrid w:val="0"/>
        <w:spacing w:line="360" w:lineRule="auto"/>
        <w:ind w:firstLine="480" w:firstLineChars="200"/>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数量:</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1项</w:t>
      </w:r>
    </w:p>
    <w:p w14:paraId="1784F59F">
      <w:pPr>
        <w:snapToGrid w:val="0"/>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预算金额（元）:</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80</w:t>
      </w:r>
      <w:r>
        <w:rPr>
          <w:rFonts w:hint="eastAsia" w:ascii="宋体" w:hAnsi="宋体" w:cs="宋体"/>
          <w:b w:val="0"/>
          <w:bCs w:val="0"/>
          <w:color w:val="000000" w:themeColor="text1"/>
          <w:sz w:val="24"/>
          <w:highlight w:val="none"/>
          <w14:textFill>
            <w14:solidFill>
              <w14:schemeClr w14:val="tx1"/>
            </w14:solidFill>
          </w14:textFill>
        </w:rPr>
        <w:t>0,000.00</w:t>
      </w:r>
    </w:p>
    <w:p w14:paraId="251C4854">
      <w:pPr>
        <w:pStyle w:val="63"/>
        <w:adjustRightInd w:val="0"/>
        <w:snapToGrid w:val="0"/>
        <w:spacing w:after="0" w:line="360" w:lineRule="auto"/>
        <w:ind w:left="0" w:leftChars="0" w:firstLine="48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简要规格描述或项目基本概况介绍、用途：具体以招标文件第三部分采购需求为准。</w:t>
      </w:r>
    </w:p>
    <w:p w14:paraId="0C799AB6">
      <w:pPr>
        <w:pStyle w:val="5"/>
        <w:spacing w:line="360" w:lineRule="auto"/>
        <w:ind w:firstLine="480"/>
        <w:rPr>
          <w:rFonts w:hint="eastAsia" w:asciiTheme="minorEastAsia" w:hAnsiTheme="minorEastAsia" w:eastAsiaTheme="minorEastAsia"/>
          <w:snapToGrid/>
          <w:color w:val="000000" w:themeColor="text1"/>
          <w:kern w:val="2"/>
          <w:sz w:val="24"/>
          <w:szCs w:val="24"/>
          <w:highlight w:val="none"/>
          <w:lang w:val="en-US" w:eastAsia="zh-CN"/>
          <w14:textFill>
            <w14:solidFill>
              <w14:schemeClr w14:val="tx1"/>
            </w14:solidFill>
          </w14:textFill>
        </w:rPr>
      </w:pP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备注：</w:t>
      </w:r>
      <w:r>
        <w:rPr>
          <w:rFonts w:hint="eastAsia" w:asciiTheme="minorEastAsia" w:hAnsiTheme="minorEastAsia" w:eastAsiaTheme="minorEastAsia"/>
          <w:snapToGrid/>
          <w:color w:val="000000" w:themeColor="text1"/>
          <w:kern w:val="2"/>
          <w:sz w:val="24"/>
          <w:szCs w:val="24"/>
          <w:highlight w:val="none"/>
          <w:lang w:val="en-US" w:eastAsia="zh-CN"/>
          <w14:textFill>
            <w14:solidFill>
              <w14:schemeClr w14:val="tx1"/>
            </w14:solidFill>
          </w14:textFill>
        </w:rPr>
        <w:t>/</w:t>
      </w:r>
    </w:p>
    <w:p w14:paraId="002166EA">
      <w:pPr>
        <w:pStyle w:val="133"/>
        <w:snapToGrid w:val="0"/>
        <w:spacing w:before="0"/>
        <w:ind w:firstLine="480"/>
        <w:outlineLvl w:val="2"/>
        <w:rPr>
          <w:rFonts w:ascii="宋体" w:hAnsi="宋体" w:cs="宋体"/>
          <w:color w:val="000000" w:themeColor="text1"/>
          <w:highlight w:val="none"/>
          <w14:textFill>
            <w14:solidFill>
              <w14:schemeClr w14:val="tx1"/>
            </w14:solidFill>
          </w14:textFill>
        </w:rPr>
      </w:pPr>
      <w:bookmarkStart w:id="16" w:name="_Toc27797"/>
      <w:r>
        <w:rPr>
          <w:rFonts w:hint="eastAsia" w:ascii="宋体" w:hAnsi="宋体" w:cs="宋体"/>
          <w:bCs/>
          <w:color w:val="000000" w:themeColor="text1"/>
          <w:highlight w:val="none"/>
          <w14:textFill>
            <w14:solidFill>
              <w14:schemeClr w14:val="tx1"/>
            </w14:solidFill>
          </w14:textFill>
        </w:rPr>
        <w:t>合同履约期限：</w:t>
      </w:r>
      <w:bookmarkEnd w:id="16"/>
      <w:r>
        <w:rPr>
          <w:rFonts w:hint="eastAsia" w:ascii="宋体" w:hAnsi="宋体" w:cs="宋体"/>
          <w:bCs/>
          <w:color w:val="000000" w:themeColor="text1"/>
          <w:szCs w:val="21"/>
          <w:highlight w:val="none"/>
          <w14:textFill>
            <w14:solidFill>
              <w14:schemeClr w14:val="tx1"/>
            </w14:solidFill>
          </w14:textFill>
        </w:rPr>
        <w:t>自合同签订生效后开始至双方合同义务完全履行后截止。</w:t>
      </w:r>
      <w:r>
        <w:rPr>
          <w:rFonts w:hint="eastAsia" w:ascii="宋体" w:hAnsi="宋体" w:cs="宋体"/>
          <w:b/>
          <w:color w:val="000000" w:themeColor="text1"/>
          <w:highlight w:val="none"/>
          <w14:textFill>
            <w14:solidFill>
              <w14:schemeClr w14:val="tx1"/>
            </w14:solidFill>
          </w14:textFill>
        </w:rPr>
        <w:t xml:space="preserve"> </w:t>
      </w:r>
    </w:p>
    <w:p w14:paraId="7F7D8257">
      <w:pPr>
        <w:pStyle w:val="5"/>
        <w:spacing w:line="360" w:lineRule="auto"/>
        <w:ind w:firstLine="480"/>
        <w:rPr>
          <w:rFonts w:hAnsi="宋体" w:cs="宋体"/>
          <w:color w:val="000000" w:themeColor="text1"/>
          <w:kern w:val="0"/>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本项目接受联合体投标。</w:t>
      </w:r>
    </w:p>
    <w:p w14:paraId="45E1A9DF">
      <w:pPr>
        <w:spacing w:line="360" w:lineRule="auto"/>
        <w:outlineLvl w:val="1"/>
        <w:rPr>
          <w:rFonts w:ascii="宋体" w:hAnsi="宋体" w:cs="宋体"/>
          <w:b/>
          <w:color w:val="000000" w:themeColor="text1"/>
          <w:sz w:val="24"/>
          <w:highlight w:val="none"/>
          <w14:textFill>
            <w14:solidFill>
              <w14:schemeClr w14:val="tx1"/>
            </w14:solidFill>
          </w14:textFill>
        </w:rPr>
      </w:pPr>
      <w:bookmarkStart w:id="17" w:name="_Toc23184"/>
      <w:r>
        <w:rPr>
          <w:rFonts w:hint="eastAsia" w:ascii="宋体" w:hAnsi="宋体" w:cs="宋体"/>
          <w:b/>
          <w:color w:val="000000" w:themeColor="text1"/>
          <w:sz w:val="24"/>
          <w:highlight w:val="none"/>
          <w14:textFill>
            <w14:solidFill>
              <w14:schemeClr w14:val="tx1"/>
            </w14:solidFill>
          </w14:textFill>
        </w:rPr>
        <w:t>二、</w:t>
      </w:r>
      <w:bookmarkStart w:id="18" w:name="_Hlk101132948"/>
      <w:r>
        <w:rPr>
          <w:rFonts w:hint="eastAsia" w:ascii="宋体" w:hAnsi="宋体" w:cs="宋体"/>
          <w:b/>
          <w:color w:val="000000" w:themeColor="text1"/>
          <w:sz w:val="24"/>
          <w:highlight w:val="none"/>
          <w14:textFill>
            <w14:solidFill>
              <w14:schemeClr w14:val="tx1"/>
            </w14:solidFill>
          </w14:textFill>
        </w:rPr>
        <w:t>申请人的资格要求</w:t>
      </w:r>
      <w:bookmarkEnd w:id="18"/>
      <w:r>
        <w:rPr>
          <w:rFonts w:hint="eastAsia" w:ascii="宋体" w:hAnsi="宋体" w:cs="宋体"/>
          <w:b/>
          <w:color w:val="000000" w:themeColor="text1"/>
          <w:sz w:val="24"/>
          <w:highlight w:val="none"/>
          <w14:textFill>
            <w14:solidFill>
              <w14:schemeClr w14:val="tx1"/>
            </w14:solidFill>
          </w14:textFill>
        </w:rPr>
        <w:t>：</w:t>
      </w:r>
      <w:bookmarkEnd w:id="17"/>
    </w:p>
    <w:p w14:paraId="55FB62D0">
      <w:pPr>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w:t>
      </w:r>
      <w:r>
        <w:rPr>
          <w:rFonts w:hint="eastAsia" w:ascii="宋体" w:hAnsi="宋体" w:cs="宋体"/>
          <w:color w:val="000000" w:themeColor="text1"/>
          <w:sz w:val="24"/>
          <w:highlight w:val="none"/>
          <w14:textFill>
            <w14:solidFill>
              <w14:schemeClr w14:val="tx1"/>
            </w14:solidFill>
          </w14:textFill>
        </w:rPr>
        <w:t>重大税收违法失信主体</w:t>
      </w:r>
      <w:r>
        <w:rPr>
          <w:rFonts w:hint="eastAsia" w:ascii="宋体" w:hAnsi="宋体" w:cs="宋体"/>
          <w:snapToGrid w:val="0"/>
          <w:color w:val="000000" w:themeColor="text1"/>
          <w:kern w:val="28"/>
          <w:sz w:val="24"/>
          <w:szCs w:val="20"/>
          <w:highlight w:val="none"/>
          <w14:textFill>
            <w14:solidFill>
              <w14:schemeClr w14:val="tx1"/>
            </w14:solidFill>
          </w14:textFill>
        </w:rPr>
        <w:t>、政府采购严重违法失信行为记录名单；</w:t>
      </w:r>
    </w:p>
    <w:p w14:paraId="05DCA13C">
      <w:pPr>
        <w:spacing w:line="360" w:lineRule="auto"/>
        <w:ind w:firstLine="480" w:firstLineChars="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2.落实政府采购政策需满足的资格要求：</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本项目</w:t>
      </w:r>
      <w:r>
        <w:rPr>
          <w:rFonts w:hint="eastAsia" w:ascii="宋体" w:hAnsi="宋体" w:eastAsia="宋体" w:cs="宋体"/>
          <w:snapToGrid w:val="0"/>
          <w:color w:val="000000" w:themeColor="text1"/>
          <w:kern w:val="28"/>
          <w:sz w:val="24"/>
          <w:szCs w:val="20"/>
          <w:highlight w:val="none"/>
          <w14:textFill>
            <w14:solidFill>
              <w14:schemeClr w14:val="tx1"/>
            </w14:solidFill>
          </w14:textFill>
        </w:rPr>
        <w:t>属于专门面向中小企业采购的项目，服务全部由符合政策要求的中小企业承接，提供中小企业声明函</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w:t>
      </w:r>
    </w:p>
    <w:p w14:paraId="0FD777FC">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r>
        <w:rPr>
          <w:rFonts w:hint="eastAsia" w:ascii="宋体" w:hAnsi="宋体" w:cs="宋体"/>
          <w:color w:val="000000" w:themeColor="text1"/>
          <w:sz w:val="24"/>
          <w:highlight w:val="none"/>
          <w:lang w:val="en-US" w:eastAsia="zh-CN"/>
          <w14:textFill>
            <w14:solidFill>
              <w14:schemeClr w14:val="tx1"/>
            </w14:solidFill>
          </w14:textFill>
        </w:rPr>
        <w:t>无；</w:t>
      </w:r>
    </w:p>
    <w:p w14:paraId="45CFAB60">
      <w:pPr>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Start w:id="19" w:name="_Toc15435"/>
    </w:p>
    <w:p w14:paraId="400C5C30">
      <w:pPr>
        <w:spacing w:line="360" w:lineRule="auto"/>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三、获取招标文件</w:t>
      </w:r>
      <w:bookmarkEnd w:id="19"/>
      <w:r>
        <w:rPr>
          <w:rFonts w:hint="eastAsia" w:ascii="宋体" w:hAnsi="宋体" w:cs="宋体"/>
          <w:b/>
          <w:color w:val="000000" w:themeColor="text1"/>
          <w:sz w:val="24"/>
          <w:highlight w:val="none"/>
          <w14:textFill>
            <w14:solidFill>
              <w14:schemeClr w14:val="tx1"/>
            </w14:solidFill>
          </w14:textFill>
        </w:rPr>
        <w:t xml:space="preserve"> </w:t>
      </w:r>
    </w:p>
    <w:p w14:paraId="3418F873">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时间：</w:t>
      </w:r>
      <w:r>
        <w:rPr>
          <w:rFonts w:hint="eastAsia" w:ascii="宋体" w:hAnsi="宋体" w:cs="宋体"/>
          <w:bCs/>
          <w:color w:val="000000" w:themeColor="text1"/>
          <w:sz w:val="24"/>
          <w:highlight w:val="none"/>
          <w:u w:val="single"/>
          <w:lang w:val="en-US" w:eastAsia="zh-CN"/>
          <w14:textFill>
            <w14:solidFill>
              <w14:schemeClr w14:val="tx1"/>
            </w14:solidFill>
          </w14:textFill>
        </w:rPr>
        <w:t>2026年4月1日</w:t>
      </w:r>
      <w:r>
        <w:rPr>
          <w:rFonts w:hint="eastAsia" w:ascii="宋体" w:hAnsi="宋体" w:cs="宋体"/>
          <w:bCs/>
          <w:color w:val="000000" w:themeColor="text1"/>
          <w:sz w:val="24"/>
          <w:highlight w:val="none"/>
          <w14:textFill>
            <w14:solidFill>
              <w14:schemeClr w14:val="tx1"/>
            </w14:solidFill>
          </w14:textFill>
        </w:rPr>
        <w:t>至</w:t>
      </w:r>
      <w:r>
        <w:rPr>
          <w:rFonts w:hint="eastAsia" w:ascii="宋体" w:hAnsi="宋体" w:cs="宋体"/>
          <w:bCs/>
          <w:color w:val="000000" w:themeColor="text1"/>
          <w:sz w:val="24"/>
          <w:highlight w:val="none"/>
          <w:u w:val="single"/>
          <w14:textFill>
            <w14:solidFill>
              <w14:schemeClr w14:val="tx1"/>
            </w14:solidFill>
          </w14:textFill>
        </w:rPr>
        <w:t>2026年</w:t>
      </w:r>
      <w:r>
        <w:rPr>
          <w:rFonts w:hint="eastAsia" w:ascii="宋体" w:hAnsi="宋体" w:cs="宋体"/>
          <w:bCs/>
          <w:color w:val="000000" w:themeColor="text1"/>
          <w:sz w:val="24"/>
          <w:highlight w:val="none"/>
          <w:u w:val="single"/>
          <w:lang w:val="en-US" w:eastAsia="zh-CN"/>
          <w14:textFill>
            <w14:solidFill>
              <w14:schemeClr w14:val="tx1"/>
            </w14:solidFill>
          </w14:textFill>
        </w:rPr>
        <w:t>4</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9</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14:textFill>
            <w14:solidFill>
              <w14:schemeClr w14:val="tx1"/>
            </w14:solidFill>
          </w14:textFill>
        </w:rPr>
        <w:t>，每天上</w:t>
      </w:r>
      <w:bookmarkStart w:id="486" w:name="_GoBack"/>
      <w:bookmarkEnd w:id="486"/>
      <w:r>
        <w:rPr>
          <w:rFonts w:hint="eastAsia" w:ascii="宋体" w:hAnsi="宋体" w:cs="宋体"/>
          <w:bCs/>
          <w:color w:val="000000" w:themeColor="text1"/>
          <w:sz w:val="24"/>
          <w:highlight w:val="none"/>
          <w14:textFill>
            <w14:solidFill>
              <w14:schemeClr w14:val="tx1"/>
            </w14:solidFill>
          </w14:textFill>
        </w:rPr>
        <w:t>午00:00至12:00 ，下午12:00至23:59（北京时间，线上获取法定节假日均可）</w:t>
      </w:r>
    </w:p>
    <w:p w14:paraId="716326D6">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地点（网址）：政采云平台（https://www.zcygov.cn/） </w:t>
      </w:r>
    </w:p>
    <w:p w14:paraId="304CD7C4">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方式：供应商登录政采云平台https://www.zcygov.cn/在线申请获取采购文件（进入“项目采购”应用，在获取采购文件菜单中选择项目，申请获取采购文件）。 </w:t>
      </w:r>
    </w:p>
    <w:p w14:paraId="462031E0">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售价（元）：0 </w:t>
      </w:r>
      <w:r>
        <w:rPr>
          <w:rFonts w:hint="eastAsia" w:ascii="宋体" w:hAnsi="宋体" w:cs="宋体"/>
          <w:bCs/>
          <w:color w:val="000000" w:themeColor="text1"/>
          <w:sz w:val="24"/>
          <w:highlight w:val="none"/>
          <w14:textFill>
            <w14:solidFill>
              <w14:schemeClr w14:val="tx1"/>
            </w14:solidFill>
          </w14:textFill>
        </w:rPr>
        <w:tab/>
      </w:r>
    </w:p>
    <w:p w14:paraId="2EF672BE">
      <w:pPr>
        <w:spacing w:line="360" w:lineRule="auto"/>
        <w:outlineLvl w:val="1"/>
        <w:rPr>
          <w:rFonts w:ascii="宋体" w:hAnsi="宋体" w:cs="宋体"/>
          <w:b/>
          <w:color w:val="000000" w:themeColor="text1"/>
          <w:sz w:val="24"/>
          <w:highlight w:val="none"/>
          <w14:textFill>
            <w14:solidFill>
              <w14:schemeClr w14:val="tx1"/>
            </w14:solidFill>
          </w14:textFill>
        </w:rPr>
      </w:pPr>
      <w:bookmarkStart w:id="20" w:name="_Toc18115"/>
      <w:r>
        <w:rPr>
          <w:rFonts w:hint="eastAsia" w:ascii="宋体" w:hAnsi="宋体" w:cs="宋体"/>
          <w:b/>
          <w:color w:val="000000" w:themeColor="text1"/>
          <w:sz w:val="24"/>
          <w:highlight w:val="none"/>
          <w14:textFill>
            <w14:solidFill>
              <w14:schemeClr w14:val="tx1"/>
            </w14:solidFill>
          </w14:textFill>
        </w:rPr>
        <w:t>四、提交投标文件截止时间、开标时间和地点</w:t>
      </w:r>
      <w:bookmarkEnd w:id="20"/>
    </w:p>
    <w:p w14:paraId="63339F49">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提交投标文件截止时间：</w:t>
      </w:r>
      <w:r>
        <w:rPr>
          <w:rFonts w:hint="eastAsia" w:ascii="宋体" w:hAnsi="宋体" w:cs="宋体"/>
          <w:bCs/>
          <w:color w:val="000000" w:themeColor="text1"/>
          <w:sz w:val="24"/>
          <w:highlight w:val="none"/>
          <w:u w:val="single"/>
          <w14:textFill>
            <w14:solidFill>
              <w14:schemeClr w14:val="tx1"/>
            </w14:solidFill>
          </w14:textFill>
        </w:rPr>
        <w:t>2026年</w:t>
      </w:r>
      <w:r>
        <w:rPr>
          <w:rFonts w:hint="eastAsia" w:ascii="宋体" w:hAnsi="宋体" w:cs="宋体"/>
          <w:bCs/>
          <w:color w:val="000000" w:themeColor="text1"/>
          <w:sz w:val="24"/>
          <w:highlight w:val="none"/>
          <w:u w:val="single"/>
          <w:lang w:val="en-US" w:eastAsia="zh-CN"/>
          <w14:textFill>
            <w14:solidFill>
              <w14:schemeClr w14:val="tx1"/>
            </w14:solidFill>
          </w14:textFill>
        </w:rPr>
        <w:t>4</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21</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13</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2EC97875">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投标地点（网址）：政采云平台（https://www.zcygov.cn/） </w:t>
      </w:r>
    </w:p>
    <w:p w14:paraId="72AEADEE">
      <w:pPr>
        <w:spacing w:line="360" w:lineRule="auto"/>
        <w:ind w:firstLine="480"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r>
        <w:rPr>
          <w:rFonts w:hint="eastAsia" w:ascii="宋体" w:hAnsi="宋体" w:cs="宋体"/>
          <w:bCs/>
          <w:color w:val="000000" w:themeColor="text1"/>
          <w:sz w:val="24"/>
          <w:highlight w:val="none"/>
          <w:u w:val="single"/>
          <w14:textFill>
            <w14:solidFill>
              <w14:schemeClr w14:val="tx1"/>
            </w14:solidFill>
          </w14:textFill>
        </w:rPr>
        <w:t>2026年</w:t>
      </w:r>
      <w:r>
        <w:rPr>
          <w:rFonts w:hint="eastAsia" w:ascii="宋体" w:hAnsi="宋体" w:cs="宋体"/>
          <w:bCs/>
          <w:color w:val="000000" w:themeColor="text1"/>
          <w:sz w:val="24"/>
          <w:highlight w:val="none"/>
          <w:u w:val="single"/>
          <w:lang w:val="en-US" w:eastAsia="zh-CN"/>
          <w14:textFill>
            <w14:solidFill>
              <w14:schemeClr w14:val="tx1"/>
            </w14:solidFill>
          </w14:textFill>
        </w:rPr>
        <w:t>4</w:t>
      </w:r>
      <w:r>
        <w:rPr>
          <w:rFonts w:hint="eastAsia" w:ascii="宋体" w:hAnsi="宋体" w:cs="宋体"/>
          <w:bCs/>
          <w:color w:val="000000" w:themeColor="text1"/>
          <w:sz w:val="24"/>
          <w:highlight w:val="none"/>
          <w:u w:val="single"/>
          <w14:textFill>
            <w14:solidFill>
              <w14:schemeClr w14:val="tx1"/>
            </w14:solidFill>
          </w14:textFill>
        </w:rPr>
        <w:t>月</w:t>
      </w:r>
      <w:r>
        <w:rPr>
          <w:rFonts w:hint="eastAsia" w:ascii="宋体" w:hAnsi="宋体" w:cs="宋体"/>
          <w:bCs/>
          <w:color w:val="000000" w:themeColor="text1"/>
          <w:sz w:val="24"/>
          <w:highlight w:val="none"/>
          <w:u w:val="single"/>
          <w:lang w:val="en-US" w:eastAsia="zh-CN"/>
          <w14:textFill>
            <w14:solidFill>
              <w14:schemeClr w14:val="tx1"/>
            </w14:solidFill>
          </w14:textFill>
        </w:rPr>
        <w:t>21</w:t>
      </w:r>
      <w:r>
        <w:rPr>
          <w:rFonts w:hint="eastAsia" w:ascii="宋体" w:hAnsi="宋体" w:cs="宋体"/>
          <w:bCs/>
          <w:color w:val="000000" w:themeColor="text1"/>
          <w:sz w:val="24"/>
          <w:highlight w:val="none"/>
          <w:u w:val="single"/>
          <w14:textFill>
            <w14:solidFill>
              <w14:schemeClr w14:val="tx1"/>
            </w14:solidFill>
          </w14:textFill>
        </w:rPr>
        <w:t>日</w:t>
      </w:r>
      <w:r>
        <w:rPr>
          <w:rFonts w:hint="eastAsia" w:ascii="宋体" w:hAnsi="宋体" w:cs="宋体"/>
          <w:bCs/>
          <w:color w:val="000000" w:themeColor="text1"/>
          <w:sz w:val="24"/>
          <w:highlight w:val="none"/>
          <w:u w:val="single"/>
          <w:lang w:val="en-US" w:eastAsia="zh-CN"/>
          <w14:textFill>
            <w14:solidFill>
              <w14:schemeClr w14:val="tx1"/>
            </w14:solidFill>
          </w14:textFill>
        </w:rPr>
        <w:t>13</w:t>
      </w:r>
      <w:r>
        <w:rPr>
          <w:rFonts w:hint="eastAsia" w:ascii="宋体" w:hAnsi="宋体" w:cs="宋体"/>
          <w:bCs/>
          <w:color w:val="000000" w:themeColor="text1"/>
          <w:sz w:val="24"/>
          <w:highlight w:val="none"/>
          <w:u w:val="single"/>
          <w14:textFill>
            <w14:solidFill>
              <w14:schemeClr w14:val="tx1"/>
            </w14:solidFill>
          </w14:textFill>
        </w:rPr>
        <w:t>点</w:t>
      </w:r>
      <w:r>
        <w:rPr>
          <w:rFonts w:hint="eastAsia" w:ascii="宋体" w:hAnsi="宋体" w:cs="宋体"/>
          <w:bCs/>
          <w:color w:val="000000" w:themeColor="text1"/>
          <w:sz w:val="24"/>
          <w:highlight w:val="none"/>
          <w:u w:val="single"/>
          <w:lang w:val="en-US" w:eastAsia="zh-CN"/>
          <w14:textFill>
            <w14:solidFill>
              <w14:schemeClr w14:val="tx1"/>
            </w14:solidFill>
          </w14:textFill>
        </w:rPr>
        <w:t>30</w:t>
      </w:r>
      <w:r>
        <w:rPr>
          <w:rFonts w:hint="eastAsia" w:ascii="宋体" w:hAnsi="宋体" w:cs="宋体"/>
          <w:bCs/>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6F039FBE">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开标地点（网址）：政采云平台（https://www.zcygov.cn/）</w:t>
      </w:r>
    </w:p>
    <w:p w14:paraId="1A2CEAFA">
      <w:pPr>
        <w:spacing w:line="360" w:lineRule="auto"/>
        <w:outlineLvl w:val="1"/>
        <w:rPr>
          <w:rFonts w:ascii="宋体" w:hAnsi="宋体" w:cs="宋体"/>
          <w:color w:val="000000" w:themeColor="text1"/>
          <w:sz w:val="24"/>
          <w:highlight w:val="none"/>
          <w14:textFill>
            <w14:solidFill>
              <w14:schemeClr w14:val="tx1"/>
            </w14:solidFill>
          </w14:textFill>
        </w:rPr>
      </w:pPr>
      <w:bookmarkStart w:id="21" w:name="_Toc16463"/>
      <w:r>
        <w:rPr>
          <w:rFonts w:hint="eastAsia" w:ascii="宋体" w:hAnsi="宋体" w:cs="宋体"/>
          <w:b/>
          <w:color w:val="000000" w:themeColor="text1"/>
          <w:sz w:val="24"/>
          <w:highlight w:val="none"/>
          <w14:textFill>
            <w14:solidFill>
              <w14:schemeClr w14:val="tx1"/>
            </w14:solidFill>
          </w14:textFill>
        </w:rPr>
        <w:t>五、公告期限</w:t>
      </w:r>
      <w:bookmarkEnd w:id="21"/>
      <w:r>
        <w:rPr>
          <w:rFonts w:hint="eastAsia" w:ascii="宋体" w:hAnsi="宋体" w:cs="宋体"/>
          <w:b/>
          <w:color w:val="000000" w:themeColor="text1"/>
          <w:sz w:val="24"/>
          <w:highlight w:val="none"/>
          <w14:textFill>
            <w14:solidFill>
              <w14:schemeClr w14:val="tx1"/>
            </w14:solidFill>
          </w14:textFill>
        </w:rPr>
        <w:t xml:space="preserve"> </w:t>
      </w:r>
    </w:p>
    <w:p w14:paraId="1197B2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14:paraId="7330EA8A">
      <w:pPr>
        <w:spacing w:line="360" w:lineRule="auto"/>
        <w:outlineLvl w:val="1"/>
        <w:rPr>
          <w:rFonts w:ascii="宋体" w:hAnsi="宋体" w:cs="宋体"/>
          <w:b/>
          <w:color w:val="000000" w:themeColor="text1"/>
          <w:sz w:val="24"/>
          <w:highlight w:val="none"/>
          <w14:textFill>
            <w14:solidFill>
              <w14:schemeClr w14:val="tx1"/>
            </w14:solidFill>
          </w14:textFill>
        </w:rPr>
      </w:pPr>
      <w:bookmarkStart w:id="22" w:name="_Toc20735"/>
      <w:r>
        <w:rPr>
          <w:rFonts w:hint="eastAsia" w:ascii="宋体" w:hAnsi="宋体" w:cs="宋体"/>
          <w:b/>
          <w:color w:val="000000" w:themeColor="text1"/>
          <w:sz w:val="24"/>
          <w:highlight w:val="none"/>
          <w14:textFill>
            <w14:solidFill>
              <w14:schemeClr w14:val="tx1"/>
            </w14:solidFill>
          </w14:textFill>
        </w:rPr>
        <w:t>六、其他补充事宜</w:t>
      </w:r>
      <w:bookmarkEnd w:id="22"/>
    </w:p>
    <w:p w14:paraId="7F01231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7377EB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2.其他事项：</w:t>
      </w:r>
    </w:p>
    <w:p w14:paraId="118EC74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（1）需要落实的政府采购政策：包括节约资源、保护环境、支持创新、促进中小企业发展等。详见招标文件的第二部分总则。</w:t>
      </w:r>
    </w:p>
    <w:p w14:paraId="127E993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寄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92DBEB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（3）招标文件公告期限与招标公告的公告期限一致。</w:t>
      </w:r>
    </w:p>
    <w:p w14:paraId="08A36B53">
      <w:pPr>
        <w:spacing w:line="360" w:lineRule="auto"/>
        <w:outlineLvl w:val="1"/>
        <w:rPr>
          <w:rFonts w:ascii="宋体" w:hAnsi="宋体" w:cs="宋体"/>
          <w:b/>
          <w:color w:val="000000" w:themeColor="text1"/>
          <w:sz w:val="24"/>
          <w:highlight w:val="none"/>
          <w14:textFill>
            <w14:solidFill>
              <w14:schemeClr w14:val="tx1"/>
            </w14:solidFill>
          </w14:textFill>
        </w:rPr>
      </w:pPr>
      <w:bookmarkStart w:id="23" w:name="_Toc3685"/>
      <w:r>
        <w:rPr>
          <w:rFonts w:hint="eastAsia" w:ascii="宋体" w:hAnsi="宋体" w:cs="宋体"/>
          <w:b/>
          <w:color w:val="000000" w:themeColor="text1"/>
          <w:sz w:val="24"/>
          <w:highlight w:val="none"/>
          <w14:textFill>
            <w14:solidFill>
              <w14:schemeClr w14:val="tx1"/>
            </w14:solidFill>
          </w14:textFill>
        </w:rPr>
        <w:t>七、对本次采购提出询问、质疑、投诉，请按以下方式联系</w:t>
      </w:r>
      <w:bookmarkEnd w:id="23"/>
    </w:p>
    <w:p w14:paraId="4FD0CBCC">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3BC4ACC8">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名称：宁波市北仑区人民医院　</w:t>
      </w:r>
    </w:p>
    <w:p w14:paraId="645B7592">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地址：宁波市北仑区庐山东路1288号  　　</w:t>
      </w:r>
    </w:p>
    <w:p w14:paraId="263FEB75">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14:paraId="4CF11C1F">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项目联系人（询问）：</w:t>
      </w:r>
      <w:r>
        <w:rPr>
          <w:rFonts w:hint="eastAsia" w:ascii="宋体" w:hAnsi="宋体" w:eastAsia="宋体" w:cs="宋体"/>
          <w:color w:val="000000" w:themeColor="text1"/>
          <w:sz w:val="24"/>
          <w:highlight w:val="none"/>
          <w:lang w:val="en-US" w:eastAsia="zh-CN"/>
          <w14:textFill>
            <w14:solidFill>
              <w14:schemeClr w14:val="tx1"/>
            </w14:solidFill>
          </w14:textFill>
        </w:rPr>
        <w:t>贺</w:t>
      </w:r>
      <w:r>
        <w:rPr>
          <w:rFonts w:hint="eastAsia" w:ascii="宋体" w:hAnsi="宋体" w:eastAsia="宋体" w:cs="宋体"/>
          <w:color w:val="000000" w:themeColor="text1"/>
          <w:sz w:val="24"/>
          <w:highlight w:val="none"/>
          <w14:textFill>
            <w14:solidFill>
              <w14:schemeClr w14:val="tx1"/>
            </w14:solidFill>
          </w14:textFill>
        </w:rPr>
        <w:t>老师</w:t>
      </w:r>
    </w:p>
    <w:p w14:paraId="5ECDDD64">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项目联系方式（询问）：0574-86776022</w:t>
      </w:r>
    </w:p>
    <w:p w14:paraId="1E59C5B8">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质疑联系人：邬老师</w:t>
      </w:r>
    </w:p>
    <w:p w14:paraId="21ECBBDE">
      <w:pPr>
        <w:spacing w:line="360" w:lineRule="auto"/>
        <w:ind w:firstLine="48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质疑联系方式：0574-86776022</w:t>
      </w:r>
    </w:p>
    <w:p w14:paraId="40EC08FF">
      <w:pPr>
        <w:pStyle w:val="83"/>
        <w:rPr>
          <w:color w:val="000000" w:themeColor="text1"/>
          <w:highlight w:val="none"/>
          <w14:textFill>
            <w14:solidFill>
              <w14:schemeClr w14:val="tx1"/>
            </w14:solidFill>
          </w14:textFill>
        </w:rPr>
      </w:pPr>
    </w:p>
    <w:p w14:paraId="6E22C3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            </w:t>
      </w:r>
    </w:p>
    <w:p w14:paraId="583F4E5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名称：宁波中基国际招标有限公司             </w:t>
      </w:r>
    </w:p>
    <w:p w14:paraId="0B464A5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地址：宁波市鄞州区天童南路666号中基大厦19楼             </w:t>
      </w:r>
    </w:p>
    <w:p w14:paraId="1D552D3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w:t>
      </w:r>
    </w:p>
    <w:p w14:paraId="03F83B5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项目联系人（询问）：王鸯鸯、戚鸿涛</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徐承</w:t>
      </w:r>
      <w:r>
        <w:rPr>
          <w:rFonts w:hint="eastAsia" w:ascii="宋体" w:hAnsi="宋体" w:eastAsia="宋体" w:cs="宋体"/>
          <w:color w:val="000000" w:themeColor="text1"/>
          <w:sz w:val="24"/>
          <w:highlight w:val="none"/>
          <w14:textFill>
            <w14:solidFill>
              <w14:schemeClr w14:val="tx1"/>
            </w14:solidFill>
          </w14:textFill>
        </w:rPr>
        <w:t>               </w:t>
      </w:r>
    </w:p>
    <w:p w14:paraId="640ADDDC">
      <w:pPr>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项目联系方式（询问）：0574-88090157</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87425387</w:t>
      </w:r>
    </w:p>
    <w:p w14:paraId="04D607F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张亮</w:t>
      </w:r>
      <w:r>
        <w:rPr>
          <w:rFonts w:hint="eastAsia" w:ascii="宋体" w:hAnsi="宋体" w:cs="宋体"/>
          <w:color w:val="000000" w:themeColor="text1"/>
          <w:sz w:val="24"/>
          <w:highlight w:val="none"/>
          <w14:textFill>
            <w14:solidFill>
              <w14:schemeClr w14:val="tx1"/>
            </w14:solidFill>
          </w14:textFill>
        </w:rPr>
        <w:t>             </w:t>
      </w:r>
    </w:p>
    <w:p w14:paraId="379C2C70">
      <w:pPr>
        <w:spacing w:line="360" w:lineRule="auto"/>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质疑联系方式：0574-</w:t>
      </w:r>
      <w:r>
        <w:rPr>
          <w:rFonts w:hint="eastAsia" w:ascii="宋体" w:hAnsi="宋体" w:cs="宋体"/>
          <w:color w:val="000000" w:themeColor="text1"/>
          <w:sz w:val="24"/>
          <w:highlight w:val="none"/>
          <w:lang w:val="en-US" w:eastAsia="zh-CN"/>
          <w14:textFill>
            <w14:solidFill>
              <w14:schemeClr w14:val="tx1"/>
            </w14:solidFill>
          </w14:textFill>
        </w:rPr>
        <w:t>88090213</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　　　     </w:t>
      </w:r>
    </w:p>
    <w:p w14:paraId="11D337AC">
      <w:pPr>
        <w:spacing w:line="360" w:lineRule="auto"/>
        <w:ind w:left="630" w:leftChars="200" w:hanging="210" w:hanging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BB1DD5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3.同级政府采购监督管理部门            </w:t>
      </w:r>
    </w:p>
    <w:p w14:paraId="17C9F94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lang w:val="en"/>
          <w14:textFill>
            <w14:solidFill>
              <w14:schemeClr w14:val="tx1"/>
            </w14:solidFill>
          </w14:textFill>
        </w:rPr>
        <w:t>北仑区财政局政府采购办公室</w:t>
      </w:r>
    </w:p>
    <w:p w14:paraId="0E7BF33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地址：宁波市</w:t>
      </w:r>
      <w:r>
        <w:rPr>
          <w:rFonts w:hint="eastAsia" w:ascii="宋体" w:hAnsi="宋体" w:cs="宋体"/>
          <w:color w:val="000000" w:themeColor="text1"/>
          <w:sz w:val="24"/>
          <w:highlight w:val="none"/>
          <w:lang w:val="en"/>
          <w14:textFill>
            <w14:solidFill>
              <w14:schemeClr w14:val="tx1"/>
            </w14:solidFill>
          </w14:textFill>
        </w:rPr>
        <w:t>北仑区长江路1166号</w:t>
      </w:r>
    </w:p>
    <w:p w14:paraId="72B216F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p>
    <w:p w14:paraId="77D1917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 ：严老师</w:t>
      </w:r>
    </w:p>
    <w:p w14:paraId="3DBC1918">
      <w:pPr>
        <w:spacing w:line="360" w:lineRule="auto"/>
        <w:ind w:firstLine="480" w:firstLineChars="200"/>
        <w:rPr>
          <w:rFonts w:ascii="宋体" w:hAnsi="宋体" w:cs="宋体"/>
          <w:color w:val="000000" w:themeColor="text1"/>
          <w:sz w:val="24"/>
          <w:highlight w:val="none"/>
          <w:lang w:val="e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监督投诉电话：</w:t>
      </w:r>
      <w:r>
        <w:rPr>
          <w:rFonts w:hint="eastAsia" w:ascii="宋体" w:hAnsi="宋体" w:cs="宋体"/>
          <w:color w:val="000000" w:themeColor="text1"/>
          <w:sz w:val="24"/>
          <w:highlight w:val="none"/>
          <w:lang w:val="en"/>
          <w14:textFill>
            <w14:solidFill>
              <w14:schemeClr w14:val="tx1"/>
            </w14:solidFill>
          </w14:textFill>
        </w:rPr>
        <w:t>0574-89383756</w:t>
      </w:r>
    </w:p>
    <w:p w14:paraId="0C9C8A4B">
      <w:pPr>
        <w:pStyle w:val="62"/>
        <w:rPr>
          <w:color w:val="000000" w:themeColor="text1"/>
          <w:sz w:val="21"/>
          <w:szCs w:val="21"/>
          <w:highlight w:val="none"/>
          <w14:textFill>
            <w14:solidFill>
              <w14:schemeClr w14:val="tx1"/>
            </w14:solidFill>
          </w14:textFill>
        </w:rPr>
      </w:pPr>
    </w:p>
    <w:p w14:paraId="340EDE7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若对项目采购电子交易系统操作有疑问，可登录政采云（https://www.zcygov.cn/），点击右侧咨询小采，获取采小蜜智能服务管家帮助，或拨打政采云服务热线95763获取热线服务帮助。</w:t>
      </w:r>
    </w:p>
    <w:p w14:paraId="483B684A">
      <w:pPr>
        <w:spacing w:line="360" w:lineRule="auto"/>
        <w:ind w:firstLine="420" w:firstLineChars="200"/>
        <w:rPr>
          <w:rFonts w:hAnsi="宋体" w:cs="宋体"/>
          <w:b/>
          <w:color w:val="000000" w:themeColor="text1"/>
          <w:sz w:val="36"/>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CA问题联系电话（人工）：汇信CA 400-888-4636；天谷CA 400-087-8198。</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r>
        <w:rPr>
          <w:rFonts w:hAnsi="宋体" w:cs="宋体"/>
          <w:b/>
          <w:color w:val="000000" w:themeColor="text1"/>
          <w:sz w:val="36"/>
          <w:szCs w:val="20"/>
          <w:highlight w:val="none"/>
          <w14:textFill>
            <w14:solidFill>
              <w14:schemeClr w14:val="tx1"/>
            </w14:solidFill>
          </w14:textFill>
        </w:rPr>
        <w:t xml:space="preserve"> </w:t>
      </w:r>
    </w:p>
    <w:p w14:paraId="6F3442EB">
      <w:pPr>
        <w:pStyle w:val="3"/>
        <w:rPr>
          <w:rFonts w:ascii="宋体"/>
          <w:snapToGrid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3EEAED8">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24" w:name="_Toc1745"/>
      <w:bookmarkStart w:id="25" w:name="_Toc31038"/>
      <w:r>
        <w:rPr>
          <w:rFonts w:hint="eastAsia" w:ascii="宋体" w:hAnsi="宋体" w:cs="宋体"/>
          <w:b/>
          <w:color w:val="000000" w:themeColor="text1"/>
          <w:sz w:val="36"/>
          <w:szCs w:val="20"/>
          <w:highlight w:val="none"/>
          <w14:textFill>
            <w14:solidFill>
              <w14:schemeClr w14:val="tx1"/>
            </w14:solidFill>
          </w14:textFill>
        </w:rPr>
        <w:t>第二部分</w:t>
      </w:r>
      <w:bookmarkEnd w:id="12"/>
      <w:r>
        <w:rPr>
          <w:rFonts w:hint="eastAsia" w:ascii="宋体" w:hAnsi="宋体" w:cs="宋体"/>
          <w:b/>
          <w:color w:val="000000" w:themeColor="text1"/>
          <w:sz w:val="36"/>
          <w:szCs w:val="20"/>
          <w:highlight w:val="none"/>
          <w14:textFill>
            <w14:solidFill>
              <w14:schemeClr w14:val="tx1"/>
            </w14:solidFill>
          </w14:textFill>
        </w:rPr>
        <w:t xml:space="preserve"> 投标人须知</w:t>
      </w:r>
      <w:bookmarkEnd w:id="13"/>
      <w:bookmarkEnd w:id="24"/>
      <w:bookmarkEnd w:id="25"/>
    </w:p>
    <w:p w14:paraId="1319F2E1">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bookmarkStart w:id="26" w:name="_Toc17934"/>
      <w:r>
        <w:rPr>
          <w:rFonts w:hint="eastAsia" w:ascii="宋体" w:hAnsi="宋体" w:cs="宋体"/>
          <w:b/>
          <w:color w:val="000000" w:themeColor="text1"/>
          <w:sz w:val="32"/>
          <w:szCs w:val="20"/>
          <w:highlight w:val="none"/>
          <w14:textFill>
            <w14:solidFill>
              <w14:schemeClr w14:val="tx1"/>
            </w14:solidFill>
          </w14:textFill>
        </w:rPr>
        <w:t>前附表</w:t>
      </w:r>
      <w:bookmarkEnd w:id="26"/>
    </w:p>
    <w:tbl>
      <w:tblPr>
        <w:tblStyle w:val="64"/>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39"/>
        <w:gridCol w:w="2325"/>
        <w:gridCol w:w="7018"/>
      </w:tblGrid>
      <w:tr w14:paraId="1A95B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839" w:type="dxa"/>
            <w:tcBorders>
              <w:top w:val="single" w:color="auto" w:sz="4" w:space="0"/>
              <w:left w:val="single" w:color="auto" w:sz="4" w:space="0"/>
              <w:bottom w:val="single" w:color="auto" w:sz="4" w:space="0"/>
              <w:right w:val="single" w:color="auto" w:sz="4" w:space="0"/>
            </w:tcBorders>
          </w:tcPr>
          <w:p w14:paraId="64AE688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325" w:type="dxa"/>
            <w:tcBorders>
              <w:top w:val="single" w:color="000000" w:sz="8" w:space="0"/>
              <w:left w:val="single" w:color="auto" w:sz="4" w:space="0"/>
              <w:bottom w:val="single" w:color="000000" w:sz="8" w:space="0"/>
              <w:right w:val="single" w:color="000000" w:sz="8" w:space="0"/>
            </w:tcBorders>
            <w:vAlign w:val="center"/>
          </w:tcPr>
          <w:p w14:paraId="516F647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事项</w:t>
            </w:r>
          </w:p>
        </w:tc>
        <w:tc>
          <w:tcPr>
            <w:tcW w:w="7018" w:type="dxa"/>
            <w:tcBorders>
              <w:top w:val="single" w:color="000000" w:sz="8" w:space="0"/>
              <w:left w:val="single" w:color="000000" w:sz="2" w:space="0"/>
              <w:bottom w:val="single" w:color="000000" w:sz="8" w:space="0"/>
              <w:right w:val="single" w:color="000000" w:sz="8" w:space="0"/>
            </w:tcBorders>
            <w:vAlign w:val="center"/>
          </w:tcPr>
          <w:p w14:paraId="2735300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本项目的特别规定</w:t>
            </w:r>
          </w:p>
        </w:tc>
      </w:tr>
      <w:tr w14:paraId="35A19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38"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387BA478">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w:t>
            </w:r>
          </w:p>
        </w:tc>
        <w:tc>
          <w:tcPr>
            <w:tcW w:w="2325" w:type="dxa"/>
            <w:tcBorders>
              <w:top w:val="single" w:color="000000" w:sz="8" w:space="0"/>
              <w:left w:val="single" w:color="auto" w:sz="4" w:space="0"/>
              <w:bottom w:val="single" w:color="000000" w:sz="8" w:space="0"/>
              <w:right w:val="single" w:color="000000" w:sz="8" w:space="0"/>
            </w:tcBorders>
            <w:vAlign w:val="center"/>
          </w:tcPr>
          <w:p w14:paraId="49973421">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项目属性与核心产品</w:t>
            </w:r>
          </w:p>
        </w:tc>
        <w:tc>
          <w:tcPr>
            <w:tcW w:w="7018" w:type="dxa"/>
            <w:tcBorders>
              <w:top w:val="single" w:color="000000" w:sz="8" w:space="0"/>
              <w:left w:val="single" w:color="000000" w:sz="2" w:space="0"/>
              <w:bottom w:val="single" w:color="000000" w:sz="8" w:space="0"/>
              <w:right w:val="single" w:color="000000" w:sz="8" w:space="0"/>
            </w:tcBorders>
            <w:vAlign w:val="center"/>
          </w:tcPr>
          <w:p w14:paraId="7D6BE92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服务类</w:t>
            </w:r>
          </w:p>
        </w:tc>
      </w:tr>
      <w:tr w14:paraId="0CFE9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264A1453">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w:t>
            </w:r>
          </w:p>
        </w:tc>
        <w:tc>
          <w:tcPr>
            <w:tcW w:w="2325" w:type="dxa"/>
            <w:tcBorders>
              <w:top w:val="single" w:color="000000" w:sz="8" w:space="0"/>
              <w:left w:val="single" w:color="auto" w:sz="4" w:space="0"/>
              <w:bottom w:val="single" w:color="000000" w:sz="8" w:space="0"/>
              <w:right w:val="single" w:color="000000" w:sz="8" w:space="0"/>
            </w:tcBorders>
            <w:vAlign w:val="center"/>
          </w:tcPr>
          <w:p w14:paraId="6ACA91B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采购标的及其对应的中小企业划分标准所属行业</w:t>
            </w:r>
          </w:p>
        </w:tc>
        <w:tc>
          <w:tcPr>
            <w:tcW w:w="7018" w:type="dxa"/>
            <w:tcBorders>
              <w:top w:val="single" w:color="000000" w:sz="8" w:space="0"/>
              <w:left w:val="single" w:color="000000" w:sz="2" w:space="0"/>
              <w:bottom w:val="single" w:color="000000" w:sz="8" w:space="0"/>
              <w:right w:val="single" w:color="000000" w:sz="8" w:space="0"/>
            </w:tcBorders>
            <w:vAlign w:val="center"/>
          </w:tcPr>
          <w:p w14:paraId="76D539D3">
            <w:pPr>
              <w:numPr>
                <w:ilvl w:val="0"/>
                <w:numId w:val="0"/>
              </w:numPr>
              <w:snapToGrid w:val="0"/>
              <w:spacing w:line="360" w:lineRule="auto"/>
              <w:rPr>
                <w:rFonts w:hint="default" w:ascii="宋体" w:hAnsi="宋体" w:eastAsia="宋体" w:cs="宋体"/>
                <w:b/>
                <w:bCs/>
                <w:color w:val="000000" w:themeColor="text1"/>
                <w:kern w:val="28"/>
                <w:sz w:val="24"/>
                <w:highlight w:val="none"/>
                <w:lang w:val="en-US" w:eastAsia="zh-CN"/>
                <w14:textFill>
                  <w14:solidFill>
                    <w14:schemeClr w14:val="tx1"/>
                  </w14:solidFill>
                </w14:textFill>
              </w:rPr>
            </w:pPr>
            <w:r>
              <w:rPr>
                <w:rFonts w:hint="eastAsia" w:ascii="宋体" w:hAnsi="宋体" w:cs="宋体"/>
                <w:b/>
                <w:bCs/>
                <w:color w:val="000000" w:themeColor="text1"/>
                <w:kern w:val="28"/>
                <w:sz w:val="24"/>
                <w:highlight w:val="none"/>
                <w:lang w:val="en-US" w:eastAsia="zh-CN"/>
                <w14:textFill>
                  <w14:solidFill>
                    <w14:schemeClr w14:val="tx1"/>
                  </w14:solidFill>
                </w14:textFill>
              </w:rPr>
              <w:t>本项目为专门面向中小企业采购。</w:t>
            </w:r>
          </w:p>
          <w:p w14:paraId="2C8C6D40">
            <w:pPr>
              <w:numPr>
                <w:ilvl w:val="0"/>
                <w:numId w:val="0"/>
              </w:numPr>
              <w:snapToGrid w:val="0"/>
              <w:spacing w:line="360" w:lineRule="auto"/>
              <w:rPr>
                <w:rFonts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标的</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sz w:val="24"/>
                <w:highlight w:val="none"/>
                <w:u w:val="single"/>
                <w:lang w:eastAsia="zh-CN"/>
                <w14:textFill>
                  <w14:solidFill>
                    <w14:schemeClr w14:val="tx1"/>
                  </w14:solidFill>
                </w14:textFill>
              </w:rPr>
              <w:t>成本核算管理系统</w:t>
            </w:r>
            <w:r>
              <w:rPr>
                <w:rFonts w:hint="eastAsia" w:ascii="宋体" w:hAnsi="宋体" w:cs="宋体"/>
                <w:bCs/>
                <w:color w:val="000000" w:themeColor="text1"/>
                <w:sz w:val="24"/>
                <w:highlight w:val="none"/>
                <w:u w:val="none"/>
                <w:lang w:val="en-US"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single"/>
                <w:lang w:val="en-US" w:eastAsia="zh-CN"/>
                <w14:textFill>
                  <w14:solidFill>
                    <w14:schemeClr w14:val="tx1"/>
                  </w14:solidFill>
                </w14:textFill>
              </w:rPr>
              <w:t>软件和信息技术服务业</w:t>
            </w:r>
            <w:r>
              <w:rPr>
                <w:rFonts w:hint="eastAsia" w:ascii="宋体" w:hAnsi="宋体" w:cs="宋体"/>
                <w:color w:val="000000" w:themeColor="text1"/>
                <w:kern w:val="0"/>
                <w:sz w:val="24"/>
                <w:highlight w:val="none"/>
                <w14:textFill>
                  <w14:solidFill>
                    <w14:schemeClr w14:val="tx1"/>
                  </w14:solidFill>
                </w14:textFill>
              </w:rPr>
              <w:t>；</w:t>
            </w:r>
            <w:bookmarkStart w:id="27" w:name="_Toc15395"/>
          </w:p>
          <w:p w14:paraId="1F67D41B">
            <w:pPr>
              <w:snapToGrid w:val="0"/>
              <w:spacing w:line="360" w:lineRule="auto"/>
              <w:rPr>
                <w:rFonts w:hint="eastAsia" w:ascii="宋体" w:hAnsi="宋体" w:cs="宋体"/>
                <w:color w:val="000000" w:themeColor="text1"/>
                <w:kern w:val="28"/>
                <w:sz w:val="24"/>
                <w:highlight w:val="none"/>
                <w14:textFill>
                  <w14:solidFill>
                    <w14:schemeClr w14:val="tx1"/>
                  </w14:solidFill>
                </w14:textFill>
              </w:rPr>
            </w:pPr>
            <w:r>
              <w:rPr>
                <w:rFonts w:hint="eastAsia" w:ascii="宋体" w:hAnsi="宋体" w:cs="宋体"/>
                <w:color w:val="000000" w:themeColor="text1"/>
                <w:kern w:val="28"/>
                <w:sz w:val="24"/>
                <w:highlight w:val="none"/>
                <w14:textFill>
                  <w14:solidFill>
                    <w14:schemeClr w14:val="tx1"/>
                  </w14:solidFill>
                </w14:textFill>
              </w:rPr>
              <w:t>备注：《关于印发中小企业划型标准规定的通知》（工信</w:t>
            </w:r>
            <w:bookmarkEnd w:id="27"/>
            <w:bookmarkStart w:id="28" w:name="_Toc11782"/>
            <w:r>
              <w:rPr>
                <w:rFonts w:hint="eastAsia" w:ascii="宋体" w:hAnsi="宋体" w:cs="宋体"/>
                <w:color w:val="000000" w:themeColor="text1"/>
                <w:kern w:val="28"/>
                <w:sz w:val="24"/>
                <w:highlight w:val="none"/>
                <w14:textFill>
                  <w14:solidFill>
                    <w14:schemeClr w14:val="tx1"/>
                  </w14:solidFill>
                </w14:textFill>
              </w:rPr>
              <w:t>部联企业〔2011〕300）：</w:t>
            </w:r>
            <w:bookmarkEnd w:id="28"/>
          </w:p>
          <w:p w14:paraId="1AAF8114">
            <w:pPr>
              <w:snapToGrid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bCs/>
                <w:color w:val="000000" w:themeColor="text1"/>
                <w:kern w:val="28"/>
                <w:sz w:val="24"/>
                <w:highlight w:val="none"/>
                <w:lang w:val="en-US" w:eastAsia="zh-CN"/>
                <w14:textFill>
                  <w14:solidFill>
                    <w14:schemeClr w14:val="tx1"/>
                  </w14:solidFill>
                </w14:textFill>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EA7D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0"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3231C1A3">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w:t>
            </w:r>
          </w:p>
        </w:tc>
        <w:tc>
          <w:tcPr>
            <w:tcW w:w="2325" w:type="dxa"/>
            <w:tcBorders>
              <w:top w:val="single" w:color="000000" w:sz="8" w:space="0"/>
              <w:left w:val="single" w:color="auto" w:sz="4" w:space="0"/>
              <w:bottom w:val="single" w:color="000000" w:sz="8" w:space="0"/>
              <w:right w:val="single" w:color="000000" w:sz="8" w:space="0"/>
            </w:tcBorders>
            <w:vAlign w:val="center"/>
          </w:tcPr>
          <w:p w14:paraId="1A5080E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是否允许</w:t>
            </w:r>
          </w:p>
          <w:p w14:paraId="1313931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采购进口产品</w:t>
            </w:r>
          </w:p>
        </w:tc>
        <w:tc>
          <w:tcPr>
            <w:tcW w:w="7018" w:type="dxa"/>
            <w:tcBorders>
              <w:top w:val="single" w:color="000000" w:sz="8" w:space="0"/>
              <w:left w:val="single" w:color="000000" w:sz="2" w:space="0"/>
              <w:bottom w:val="single" w:color="000000" w:sz="8" w:space="0"/>
              <w:right w:val="single" w:color="000000" w:sz="8" w:space="0"/>
            </w:tcBorders>
            <w:vAlign w:val="center"/>
          </w:tcPr>
          <w:p w14:paraId="77920072">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14:paraId="20570418">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w:t>
            </w:r>
          </w:p>
        </w:tc>
      </w:tr>
      <w:tr w14:paraId="2DDA4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30"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0B76425E">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p>
        </w:tc>
        <w:tc>
          <w:tcPr>
            <w:tcW w:w="2325" w:type="dxa"/>
            <w:tcBorders>
              <w:top w:val="single" w:color="000000" w:sz="8" w:space="0"/>
              <w:left w:val="single" w:color="auto" w:sz="4" w:space="0"/>
              <w:bottom w:val="single" w:color="000000" w:sz="8" w:space="0"/>
              <w:right w:val="single" w:color="000000" w:sz="8" w:space="0"/>
            </w:tcBorders>
            <w:vAlign w:val="center"/>
          </w:tcPr>
          <w:p w14:paraId="02711E71">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分包</w:t>
            </w:r>
          </w:p>
        </w:tc>
        <w:tc>
          <w:tcPr>
            <w:tcW w:w="7018" w:type="dxa"/>
            <w:tcBorders>
              <w:top w:val="single" w:color="000000" w:sz="8" w:space="0"/>
              <w:left w:val="single" w:color="000000" w:sz="2" w:space="0"/>
              <w:bottom w:val="single" w:color="000000" w:sz="8" w:space="0"/>
              <w:right w:val="single" w:color="000000" w:sz="8" w:space="0"/>
            </w:tcBorders>
            <w:vAlign w:val="center"/>
          </w:tcPr>
          <w:p w14:paraId="3989ED3F">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728692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sz w:val="24"/>
                <w:highlight w:val="none"/>
                <w14:textFill>
                  <w14:solidFill>
                    <w14:schemeClr w14:val="tx1"/>
                  </w14:solidFill>
                </w14:textFill>
              </w:rPr>
              <w:t>同意将非主体、非关键性的工作分包。</w:t>
            </w:r>
          </w:p>
          <w:p w14:paraId="42D45202">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76331357"/>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tc>
      </w:tr>
      <w:tr w14:paraId="0D1FB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35" w:hRule="atLeast"/>
          <w:tblHeader/>
          <w:jc w:val="center"/>
        </w:trPr>
        <w:tc>
          <w:tcPr>
            <w:tcW w:w="839" w:type="dxa"/>
            <w:tcBorders>
              <w:top w:val="single" w:color="auto" w:sz="4" w:space="0"/>
              <w:left w:val="single" w:color="auto" w:sz="4" w:space="0"/>
              <w:bottom w:val="single" w:color="auto" w:sz="4" w:space="0"/>
              <w:right w:val="single" w:color="auto" w:sz="4" w:space="0"/>
            </w:tcBorders>
          </w:tcPr>
          <w:p w14:paraId="62DEACC2">
            <w:pPr>
              <w:snapToGrid w:val="0"/>
              <w:spacing w:line="360" w:lineRule="auto"/>
              <w:jc w:val="center"/>
              <w:rPr>
                <w:rFonts w:ascii="宋体" w:hAnsi="宋体" w:cs="宋体"/>
                <w:b/>
                <w:bCs/>
                <w:color w:val="000000" w:themeColor="text1"/>
                <w:sz w:val="24"/>
                <w:highlight w:val="none"/>
                <w14:textFill>
                  <w14:solidFill>
                    <w14:schemeClr w14:val="tx1"/>
                  </w14:solidFill>
                </w14:textFill>
              </w:rPr>
            </w:pPr>
          </w:p>
          <w:p w14:paraId="56BADC76">
            <w:pPr>
              <w:snapToGrid w:val="0"/>
              <w:spacing w:line="360" w:lineRule="auto"/>
              <w:jc w:val="center"/>
              <w:rPr>
                <w:rFonts w:ascii="宋体" w:hAnsi="宋体" w:cs="宋体"/>
                <w:b/>
                <w:bCs/>
                <w:color w:val="000000" w:themeColor="text1"/>
                <w:sz w:val="24"/>
                <w:highlight w:val="none"/>
                <w14:textFill>
                  <w14:solidFill>
                    <w14:schemeClr w14:val="tx1"/>
                  </w14:solidFill>
                </w14:textFill>
              </w:rPr>
            </w:pPr>
          </w:p>
          <w:p w14:paraId="02D5494C">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p>
        </w:tc>
        <w:tc>
          <w:tcPr>
            <w:tcW w:w="2325" w:type="dxa"/>
            <w:tcBorders>
              <w:top w:val="single" w:color="000000" w:sz="8" w:space="0"/>
              <w:left w:val="single" w:color="auto" w:sz="4" w:space="0"/>
              <w:bottom w:val="single" w:color="000000" w:sz="8" w:space="0"/>
              <w:right w:val="single" w:color="000000" w:sz="8" w:space="0"/>
            </w:tcBorders>
            <w:vAlign w:val="center"/>
          </w:tcPr>
          <w:p w14:paraId="29AAEA4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开标前答疑会</w:t>
            </w:r>
          </w:p>
          <w:p w14:paraId="58181AA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或现场考察</w:t>
            </w:r>
          </w:p>
        </w:tc>
        <w:tc>
          <w:tcPr>
            <w:tcW w:w="7018" w:type="dxa"/>
            <w:tcBorders>
              <w:top w:val="single" w:color="000000" w:sz="8" w:space="0"/>
              <w:left w:val="single" w:color="000000" w:sz="2" w:space="0"/>
              <w:bottom w:val="single" w:color="000000" w:sz="8" w:space="0"/>
              <w:right w:val="single" w:color="000000" w:sz="8" w:space="0"/>
            </w:tcBorders>
            <w:vAlign w:val="center"/>
          </w:tcPr>
          <w:p w14:paraId="02620410">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0598C75E">
            <w:pPr>
              <w:spacing w:line="360" w:lineRule="auto"/>
              <w:rPr>
                <w:rFonts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szCs w:val="20"/>
                <w:highlight w:val="none"/>
                <w14:textFill>
                  <w14:solidFill>
                    <w14:schemeClr w14:val="tx1"/>
                  </w14:solidFill>
                </w14:textFill>
              </w:rPr>
              <w:t>。</w:t>
            </w:r>
          </w:p>
        </w:tc>
      </w:tr>
      <w:tr w14:paraId="114C6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1181BA25">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w:t>
            </w:r>
          </w:p>
        </w:tc>
        <w:tc>
          <w:tcPr>
            <w:tcW w:w="2325" w:type="dxa"/>
            <w:tcBorders>
              <w:top w:val="single" w:color="000000" w:sz="8" w:space="0"/>
              <w:left w:val="single" w:color="auto" w:sz="4" w:space="0"/>
              <w:bottom w:val="single" w:color="000000" w:sz="8" w:space="0"/>
              <w:right w:val="single" w:color="000000" w:sz="8" w:space="0"/>
            </w:tcBorders>
            <w:vAlign w:val="center"/>
          </w:tcPr>
          <w:p w14:paraId="5D36088E">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样品提供</w:t>
            </w:r>
          </w:p>
        </w:tc>
        <w:tc>
          <w:tcPr>
            <w:tcW w:w="7018" w:type="dxa"/>
            <w:tcBorders>
              <w:top w:val="single" w:color="000000" w:sz="8" w:space="0"/>
              <w:left w:val="single" w:color="000000" w:sz="2" w:space="0"/>
              <w:bottom w:val="single" w:color="000000" w:sz="8" w:space="0"/>
              <w:right w:val="single" w:color="000000" w:sz="8" w:space="0"/>
            </w:tcBorders>
            <w:vAlign w:val="center"/>
          </w:tcPr>
          <w:p w14:paraId="54EB0D41">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63994648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不要求提供。</w:t>
            </w:r>
          </w:p>
          <w:p w14:paraId="63B6F644">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683198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B要求提供，</w:t>
            </w:r>
          </w:p>
          <w:p w14:paraId="70354C90">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snapToGrid w:val="0"/>
                <w:color w:val="000000" w:themeColor="text1"/>
                <w:kern w:val="28"/>
                <w:sz w:val="24"/>
                <w:highlight w:val="none"/>
                <w14:textFill>
                  <w14:solidFill>
                    <w14:schemeClr w14:val="tx1"/>
                  </w14:solidFill>
                </w14:textFill>
              </w:rPr>
              <w:t>样品：</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010E8ED8">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snapToGrid w:val="0"/>
                <w:color w:val="000000" w:themeColor="text1"/>
                <w:kern w:val="28"/>
                <w:sz w:val="24"/>
                <w:highlight w:val="none"/>
                <w14:textFill>
                  <w14:solidFill>
                    <w14:schemeClr w14:val="tx1"/>
                  </w14:solidFill>
                </w14:textFill>
              </w:rPr>
              <w:t>样品制作的标准和要求：</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2DBDD849">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：详见</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w:t>
            </w:r>
          </w:p>
          <w:p w14:paraId="31D2F12B">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73C11E2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7D7A656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891AA5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（7）制作、运输、安装和保管样品所发生的一切费用由投标人自理。</w:t>
            </w:r>
          </w:p>
        </w:tc>
      </w:tr>
      <w:tr w14:paraId="6D435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14:paraId="15F9D1F8">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7</w:t>
            </w:r>
          </w:p>
        </w:tc>
        <w:tc>
          <w:tcPr>
            <w:tcW w:w="2325" w:type="dxa"/>
            <w:tcBorders>
              <w:top w:val="single" w:color="000000" w:sz="8" w:space="0"/>
              <w:left w:val="single" w:color="auto" w:sz="4" w:space="0"/>
              <w:bottom w:val="single" w:color="000000" w:sz="8" w:space="0"/>
              <w:right w:val="single" w:color="000000" w:sz="8" w:space="0"/>
            </w:tcBorders>
            <w:vAlign w:val="center"/>
          </w:tcPr>
          <w:p w14:paraId="34DEB814">
            <w:pPr>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方案讲解演示</w:t>
            </w:r>
          </w:p>
        </w:tc>
        <w:tc>
          <w:tcPr>
            <w:tcW w:w="7018" w:type="dxa"/>
            <w:tcBorders>
              <w:top w:val="single" w:color="000000" w:sz="8" w:space="0"/>
              <w:left w:val="single" w:color="000000" w:sz="2" w:space="0"/>
              <w:bottom w:val="single" w:color="000000" w:sz="8" w:space="0"/>
              <w:right w:val="single" w:color="000000" w:sz="8" w:space="0"/>
            </w:tcBorders>
            <w:vAlign w:val="center"/>
          </w:tcPr>
          <w:p w14:paraId="4529B40E">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85934854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5478C99E">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174071719"/>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p>
          <w:p w14:paraId="2FAB77F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（1）在评标时安排每个投标人进行方案讲解演示。每个投标人时间不超过</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分钟，讲解次序以投标文件解密时间先后次序为准，讲解演示人员不超过</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人。讲解演示结束后按要求解答评标委员会提问。</w:t>
            </w:r>
          </w:p>
          <w:p w14:paraId="0F1E77F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（2）方案讲解演示可选择以下其中一种方式：</w:t>
            </w:r>
          </w:p>
          <w:p w14:paraId="42C2F98E">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方式一：政采云平台在线讲解演示。政采云平台在线讲解需投标人根据政采云平台操作要求做好准备工作，提前完善软硬件配置环境。</w:t>
            </w:r>
          </w:p>
          <w:p w14:paraId="38F63E7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方式二：评标现场讲解演示。现场讲解地点为</w:t>
            </w: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，讲解演示所用电脑等设备由投标人自备。现场讲解演示人员进场时提供讲解人员名单（加盖公章或授权代表签名）及身份证明，否则不得讲解演示。</w:t>
            </w:r>
          </w:p>
          <w:p w14:paraId="70035E28">
            <w:pPr>
              <w:pStyle w:val="23"/>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注：因投标人自身原因导致无法演示或者演示效果不理想的，责任自负。因平台原因导致本项目方案讲解演示环节无法顺利开展，按照《浙江省政府采购项目电子交易管理暂行办法》相关规定执行。</w:t>
            </w:r>
          </w:p>
        </w:tc>
      </w:tr>
      <w:tr w14:paraId="5EC5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839" w:type="dxa"/>
            <w:vMerge w:val="restart"/>
            <w:tcBorders>
              <w:top w:val="single" w:color="auto" w:sz="4" w:space="0"/>
              <w:left w:val="single" w:color="auto" w:sz="4" w:space="0"/>
              <w:right w:val="single" w:color="auto" w:sz="4" w:space="0"/>
            </w:tcBorders>
          </w:tcPr>
          <w:p w14:paraId="38DB4731">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1F9B9018">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7E45ED24">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8</w:t>
            </w:r>
          </w:p>
        </w:tc>
        <w:tc>
          <w:tcPr>
            <w:tcW w:w="2325" w:type="dxa"/>
            <w:vMerge w:val="restart"/>
            <w:tcBorders>
              <w:top w:val="single" w:color="000000" w:sz="8" w:space="0"/>
              <w:left w:val="single" w:color="auto" w:sz="4" w:space="0"/>
              <w:right w:val="single" w:color="000000" w:sz="8" w:space="0"/>
            </w:tcBorders>
            <w:vAlign w:val="center"/>
          </w:tcPr>
          <w:p w14:paraId="4965E54C">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投标人应当提供的资格、资信证明文件</w:t>
            </w:r>
          </w:p>
        </w:tc>
        <w:tc>
          <w:tcPr>
            <w:tcW w:w="7018" w:type="dxa"/>
            <w:tcBorders>
              <w:top w:val="single" w:color="000000" w:sz="8" w:space="0"/>
              <w:left w:val="single" w:color="000000" w:sz="2" w:space="0"/>
              <w:bottom w:val="single" w:color="auto" w:sz="4" w:space="0"/>
              <w:right w:val="single" w:color="000000" w:sz="8" w:space="0"/>
            </w:tcBorders>
            <w:vAlign w:val="center"/>
          </w:tcPr>
          <w:p w14:paraId="7C6143F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（1）资格证明文件：见招标文件第二部分11.1。</w:t>
            </w:r>
          </w:p>
          <w:p w14:paraId="405D9E2F">
            <w:pPr>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14:paraId="296A1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1" w:hRule="atLeast"/>
          <w:tblHeader/>
          <w:jc w:val="center"/>
        </w:trPr>
        <w:tc>
          <w:tcPr>
            <w:tcW w:w="839" w:type="dxa"/>
            <w:vMerge w:val="continue"/>
            <w:tcBorders>
              <w:left w:val="single" w:color="auto" w:sz="4" w:space="0"/>
              <w:bottom w:val="single" w:color="auto" w:sz="4" w:space="0"/>
              <w:right w:val="single" w:color="auto" w:sz="4" w:space="0"/>
            </w:tcBorders>
          </w:tcPr>
          <w:p w14:paraId="0CACAD5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325" w:type="dxa"/>
            <w:vMerge w:val="continue"/>
            <w:tcBorders>
              <w:left w:val="single" w:color="auto" w:sz="4" w:space="0"/>
              <w:bottom w:val="single" w:color="000000" w:sz="8" w:space="0"/>
              <w:right w:val="single" w:color="000000" w:sz="8" w:space="0"/>
            </w:tcBorders>
            <w:vAlign w:val="center"/>
          </w:tcPr>
          <w:p w14:paraId="21398AFE">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7018" w:type="dxa"/>
            <w:tcBorders>
              <w:top w:val="single" w:color="auto" w:sz="4" w:space="0"/>
              <w:left w:val="single" w:color="000000" w:sz="2" w:space="0"/>
              <w:bottom w:val="single" w:color="000000" w:sz="8" w:space="0"/>
              <w:right w:val="single" w:color="000000" w:sz="8" w:space="0"/>
            </w:tcBorders>
            <w:vAlign w:val="center"/>
          </w:tcPr>
          <w:p w14:paraId="2B8EF23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（2）资信证明文件：根据招标文件第四部分评标标准提供。</w:t>
            </w:r>
          </w:p>
        </w:tc>
      </w:tr>
      <w:tr w14:paraId="3A4CA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839" w:type="dxa"/>
            <w:tcBorders>
              <w:top w:val="single" w:color="auto" w:sz="4" w:space="0"/>
              <w:left w:val="single" w:color="000000" w:sz="8" w:space="0"/>
              <w:bottom w:val="single" w:color="auto" w:sz="4" w:space="0"/>
              <w:right w:val="single" w:color="000000" w:sz="2" w:space="0"/>
            </w:tcBorders>
          </w:tcPr>
          <w:p w14:paraId="52456B77">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52824E51">
            <w:pPr>
              <w:snapToGrid w:val="0"/>
              <w:spacing w:line="360" w:lineRule="auto"/>
              <w:jc w:val="center"/>
              <w:rPr>
                <w:rFonts w:ascii="宋体" w:hAnsi="宋体" w:cs="宋体"/>
                <w:color w:val="000000" w:themeColor="text1"/>
                <w:sz w:val="24"/>
                <w:highlight w:val="none"/>
                <w14:textFill>
                  <w14:solidFill>
                    <w14:schemeClr w14:val="tx1"/>
                  </w14:solidFill>
                </w14:textFill>
              </w:rPr>
            </w:pPr>
          </w:p>
          <w:p w14:paraId="33E9AAA2">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9</w:t>
            </w:r>
          </w:p>
        </w:tc>
        <w:tc>
          <w:tcPr>
            <w:tcW w:w="2325" w:type="dxa"/>
            <w:tcBorders>
              <w:top w:val="single" w:color="000000" w:sz="8" w:space="0"/>
              <w:left w:val="single" w:color="000000" w:sz="2" w:space="0"/>
              <w:bottom w:val="single" w:color="000000" w:sz="8" w:space="0"/>
              <w:right w:val="single" w:color="000000" w:sz="8" w:space="0"/>
            </w:tcBorders>
            <w:vAlign w:val="center"/>
          </w:tcPr>
          <w:p w14:paraId="02971D8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节能产品、</w:t>
            </w:r>
          </w:p>
          <w:p w14:paraId="196A472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环境标志产品</w:t>
            </w:r>
          </w:p>
        </w:tc>
        <w:tc>
          <w:tcPr>
            <w:tcW w:w="7018" w:type="dxa"/>
            <w:tcBorders>
              <w:top w:val="single" w:color="000000" w:sz="8" w:space="0"/>
              <w:left w:val="single" w:color="000000" w:sz="2" w:space="0"/>
              <w:bottom w:val="single" w:color="000000" w:sz="8" w:space="0"/>
              <w:right w:val="single" w:color="000000" w:sz="8" w:space="0"/>
            </w:tcBorders>
            <w:vAlign w:val="center"/>
          </w:tcPr>
          <w:p w14:paraId="7697F97A">
            <w:pPr>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23C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839" w:type="dxa"/>
            <w:tcBorders>
              <w:top w:val="single" w:color="auto" w:sz="4" w:space="0"/>
              <w:left w:val="single" w:color="000000" w:sz="8" w:space="0"/>
              <w:bottom w:val="single" w:color="auto" w:sz="4" w:space="0"/>
              <w:right w:val="single" w:color="000000" w:sz="2" w:space="0"/>
            </w:tcBorders>
            <w:vAlign w:val="center"/>
          </w:tcPr>
          <w:p w14:paraId="004C4F9E">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10</w:t>
            </w:r>
          </w:p>
        </w:tc>
        <w:tc>
          <w:tcPr>
            <w:tcW w:w="2325" w:type="dxa"/>
            <w:tcBorders>
              <w:top w:val="single" w:color="000000" w:sz="8" w:space="0"/>
              <w:left w:val="single" w:color="000000" w:sz="2" w:space="0"/>
              <w:bottom w:val="single" w:color="000000" w:sz="8" w:space="0"/>
              <w:right w:val="single" w:color="000000" w:sz="8" w:space="0"/>
            </w:tcBorders>
            <w:vAlign w:val="center"/>
          </w:tcPr>
          <w:p w14:paraId="2CA68F0B">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报价要求</w:t>
            </w:r>
          </w:p>
        </w:tc>
        <w:tc>
          <w:tcPr>
            <w:tcW w:w="7018" w:type="dxa"/>
            <w:tcBorders>
              <w:top w:val="single" w:color="000000" w:sz="8" w:space="0"/>
              <w:left w:val="single" w:color="000000" w:sz="2" w:space="0"/>
              <w:bottom w:val="single" w:color="000000" w:sz="8" w:space="0"/>
              <w:right w:val="single" w:color="000000" w:sz="8" w:space="0"/>
            </w:tcBorders>
            <w:vAlign w:val="center"/>
          </w:tcPr>
          <w:p w14:paraId="1FDD7240">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lang w:val="zh-CN"/>
                <w14:textFill>
                  <w14:solidFill>
                    <w14:schemeClr w14:val="tx1"/>
                  </w14:solidFill>
                </w14:textFill>
              </w:rPr>
              <w:t>有关本项目实施所需的所有费用（含税费）均计入报价。</w:t>
            </w:r>
            <w:r>
              <w:rPr>
                <w:rFonts w:hint="eastAsia" w:ascii="宋体" w:hAnsi="宋体" w:cs="宋体"/>
                <w:b/>
                <w:bCs/>
                <w:color w:val="000000" w:themeColor="text1"/>
                <w:kern w:val="0"/>
                <w:sz w:val="24"/>
                <w:highlight w:val="none"/>
                <w:lang w:val="zh-CN"/>
                <w14:textFill>
                  <w14:solidFill>
                    <w14:schemeClr w14:val="tx1"/>
                  </w14:solidFill>
                </w14:textFill>
              </w:rPr>
              <w:t>投标文件</w:t>
            </w:r>
            <w:r>
              <w:rPr>
                <w:rFonts w:hint="eastAsia" w:ascii="宋体" w:hAnsi="宋体" w:cs="宋体"/>
                <w:b/>
                <w:bCs/>
                <w:color w:val="000000" w:themeColor="text1"/>
                <w:sz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000000" w:themeColor="text1"/>
                <w:kern w:val="0"/>
                <w:sz w:val="24"/>
                <w:highlight w:val="none"/>
                <w:lang w:val="zh-CN"/>
                <w14:textFill>
                  <w14:solidFill>
                    <w14:schemeClr w14:val="tx1"/>
                  </w14:solidFill>
                </w14:textFill>
              </w:rPr>
              <w:t>投标文件中价格全部采用人民币报价。招标文件未列明，而投标人认为必需的费用也需列入报价。</w:t>
            </w:r>
          </w:p>
          <w:p w14:paraId="04344116">
            <w:pPr>
              <w:snapToGrid w:val="0"/>
              <w:spacing w:line="360" w:lineRule="auto"/>
              <w:jc w:val="left"/>
              <w:rPr>
                <w:rFonts w:hint="default" w:ascii="宋体" w:hAnsi="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2、本项目的投标报价包括完成本项目工作内容所需的一切费用，包括但不限于完成本项目的全部内容：包括需求调研、测试、实施部署、培训、质保期内的维护、税金、政策性文件规定及合同包含的所有风险、责任等各项应有的费用。即一直到项目质保期结束，采购人不再另行支付费用。</w:t>
            </w:r>
          </w:p>
          <w:p w14:paraId="46919C5A">
            <w:pPr>
              <w:snapToGrid w:val="0"/>
              <w:spacing w:line="360" w:lineRule="auto"/>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3、</w:t>
            </w:r>
            <w:r>
              <w:rPr>
                <w:rFonts w:hint="eastAsia" w:ascii="宋体" w:hAnsi="宋体" w:cs="宋体"/>
                <w:b/>
                <w:color w:val="000000" w:themeColor="text1"/>
                <w:kern w:val="0"/>
                <w:sz w:val="24"/>
                <w:highlight w:val="none"/>
                <w:lang w:val="zh-CN"/>
                <w14:textFill>
                  <w14:solidFill>
                    <w14:schemeClr w14:val="tx1"/>
                  </w14:solidFill>
                </w14:textFill>
              </w:rPr>
              <w:t>投标报价出现下列情形的，投标无效：</w:t>
            </w:r>
          </w:p>
          <w:p w14:paraId="128B06DB">
            <w:pPr>
              <w:snapToGrid w:val="0"/>
              <w:spacing w:line="360" w:lineRule="auto"/>
              <w:jc w:val="left"/>
              <w:rPr>
                <w:rFonts w:ascii="宋体" w:hAnsi="宋体" w:cs="宋体"/>
                <w:b w:val="0"/>
                <w:bCs/>
                <w:color w:val="000000" w:themeColor="text1"/>
                <w:kern w:val="0"/>
                <w:sz w:val="24"/>
                <w:highlight w:val="none"/>
                <w:lang w:val="zh-CN"/>
                <w14:textFill>
                  <w14:solidFill>
                    <w14:schemeClr w14:val="tx1"/>
                  </w14:solidFill>
                </w14:textFill>
              </w:rPr>
            </w:pPr>
            <w:r>
              <w:rPr>
                <w:rFonts w:hint="eastAsia" w:ascii="宋体" w:hAnsi="宋体" w:cs="宋体"/>
                <w:b w:val="0"/>
                <w:bCs/>
                <w:color w:val="000000" w:themeColor="text1"/>
                <w:kern w:val="0"/>
                <w:sz w:val="24"/>
                <w:highlight w:val="none"/>
                <w:lang w:val="zh-CN"/>
                <w14:textFill>
                  <w14:solidFill>
                    <w14:schemeClr w14:val="tx1"/>
                  </w14:solidFill>
                </w14:textFill>
              </w:rPr>
              <w:t>①投标文件出现不是唯一的、有选择性投标报价的；</w:t>
            </w:r>
          </w:p>
          <w:p w14:paraId="4A4F0D66">
            <w:pPr>
              <w:snapToGrid w:val="0"/>
              <w:spacing w:line="360" w:lineRule="auto"/>
              <w:jc w:val="left"/>
              <w:rPr>
                <w:rFonts w:ascii="宋体" w:hAnsi="宋体" w:cs="宋体"/>
                <w:b w:val="0"/>
                <w:bCs/>
                <w:color w:val="000000" w:themeColor="text1"/>
                <w:kern w:val="0"/>
                <w:sz w:val="24"/>
                <w:highlight w:val="none"/>
                <w:lang w:val="zh-CN"/>
                <w14:textFill>
                  <w14:solidFill>
                    <w14:schemeClr w14:val="tx1"/>
                  </w14:solidFill>
                </w14:textFill>
              </w:rPr>
            </w:pPr>
            <w:r>
              <w:rPr>
                <w:rFonts w:hint="eastAsia" w:ascii="宋体" w:hAnsi="宋体" w:cs="宋体"/>
                <w:b w:val="0"/>
                <w:bCs/>
                <w:color w:val="000000" w:themeColor="text1"/>
                <w:kern w:val="0"/>
                <w:sz w:val="24"/>
                <w:highlight w:val="none"/>
                <w:lang w:val="zh-CN"/>
                <w14:textFill>
                  <w14:solidFill>
                    <w14:schemeClr w14:val="tx1"/>
                  </w14:solidFill>
                </w14:textFill>
              </w:rPr>
              <w:t>②投标报价超过招标文件中规定的预算金额或者最高限价的；</w:t>
            </w:r>
          </w:p>
          <w:p w14:paraId="1B5FAB48">
            <w:pPr>
              <w:spacing w:line="360" w:lineRule="auto"/>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highlight w:val="none"/>
                <w14:textFill>
                  <w14:solidFill>
                    <w14:schemeClr w14:val="tx1"/>
                  </w14:solidFill>
                </w14:textFill>
              </w:rPr>
              <w:t>③</w:t>
            </w:r>
            <w:r>
              <w:rPr>
                <w:rFonts w:hint="eastAsia" w:ascii="宋体" w:hAnsi="宋体" w:cs="宋体"/>
                <w:b w:val="0"/>
                <w:bCs/>
                <w:color w:val="000000" w:themeColor="text1"/>
                <w:kern w:val="0"/>
                <w:sz w:val="24"/>
                <w:highlight w:val="none"/>
                <w:lang w:val="en-US" w:eastAsia="zh-CN"/>
                <w14:textFill>
                  <w14:solidFill>
                    <w14:schemeClr w14:val="tx1"/>
                  </w14:solidFill>
                </w14:textFill>
              </w:rPr>
              <w:t>评标委员会启动异常低价投标审查程序后，投标人不能提供书面说明、证明材料，或者提供的书面说明、证明材料不能证明其报价合理性的</w:t>
            </w:r>
            <w:r>
              <w:rPr>
                <w:rFonts w:hint="eastAsia" w:ascii="宋体" w:hAnsi="宋体" w:cs="宋体"/>
                <w:b w:val="0"/>
                <w:bCs/>
                <w:color w:val="000000" w:themeColor="text1"/>
                <w:kern w:val="0"/>
                <w:sz w:val="24"/>
                <w:highlight w:val="none"/>
                <w14:textFill>
                  <w14:solidFill>
                    <w14:schemeClr w14:val="tx1"/>
                  </w14:solidFill>
                </w14:textFill>
              </w:rPr>
              <w:t>；</w:t>
            </w:r>
          </w:p>
          <w:p w14:paraId="7450880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highlight w:val="none"/>
                <w14:textFill>
                  <w14:solidFill>
                    <w14:schemeClr w14:val="tx1"/>
                  </w14:solidFill>
                </w14:textFill>
              </w:rPr>
              <w:t>④投标人对根据修正原则修正后的报价不确认的</w:t>
            </w:r>
            <w:r>
              <w:rPr>
                <w:rFonts w:hint="eastAsia" w:ascii="宋体" w:hAnsi="宋体" w:cs="宋体"/>
                <w:b w:val="0"/>
                <w:bCs/>
                <w:color w:val="000000" w:themeColor="text1"/>
                <w:sz w:val="24"/>
                <w:highlight w:val="none"/>
                <w14:textFill>
                  <w14:solidFill>
                    <w14:schemeClr w14:val="tx1"/>
                  </w14:solidFill>
                </w14:textFill>
              </w:rPr>
              <w:t>。</w:t>
            </w:r>
          </w:p>
        </w:tc>
      </w:tr>
      <w:tr w14:paraId="4EF69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018" w:hRule="atLeast"/>
          <w:tblHeader/>
          <w:jc w:val="center"/>
        </w:trPr>
        <w:tc>
          <w:tcPr>
            <w:tcW w:w="839" w:type="dxa"/>
            <w:tcBorders>
              <w:top w:val="single" w:color="auto" w:sz="4" w:space="0"/>
              <w:left w:val="single" w:color="000000" w:sz="8" w:space="0"/>
              <w:right w:val="single" w:color="000000" w:sz="2" w:space="0"/>
            </w:tcBorders>
            <w:vAlign w:val="center"/>
          </w:tcPr>
          <w:p w14:paraId="028E6790">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w:t>
            </w:r>
          </w:p>
        </w:tc>
        <w:tc>
          <w:tcPr>
            <w:tcW w:w="2325" w:type="dxa"/>
            <w:tcBorders>
              <w:top w:val="single" w:color="000000" w:sz="8" w:space="0"/>
              <w:left w:val="single" w:color="000000" w:sz="2" w:space="0"/>
              <w:right w:val="single" w:color="000000" w:sz="8" w:space="0"/>
            </w:tcBorders>
            <w:vAlign w:val="center"/>
          </w:tcPr>
          <w:p w14:paraId="413E653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中小企业信用融资</w:t>
            </w:r>
          </w:p>
        </w:tc>
        <w:tc>
          <w:tcPr>
            <w:tcW w:w="7018" w:type="dxa"/>
            <w:tcBorders>
              <w:top w:val="single" w:color="000000" w:sz="8" w:space="0"/>
              <w:left w:val="single" w:color="000000" w:sz="2" w:space="0"/>
              <w:right w:val="single" w:color="000000" w:sz="8" w:space="0"/>
            </w:tcBorders>
            <w:vAlign w:val="center"/>
          </w:tcPr>
          <w:p w14:paraId="5B39126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2E0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839" w:type="dxa"/>
            <w:tcBorders>
              <w:top w:val="single" w:color="auto" w:sz="4" w:space="0"/>
              <w:left w:val="single" w:color="000000" w:sz="8" w:space="0"/>
              <w:bottom w:val="single" w:color="auto" w:sz="4" w:space="0"/>
              <w:right w:val="single" w:color="000000" w:sz="2" w:space="0"/>
            </w:tcBorders>
            <w:vAlign w:val="center"/>
          </w:tcPr>
          <w:p w14:paraId="2645768D">
            <w:pPr>
              <w:snapToGrid w:val="0"/>
              <w:spacing w:line="360" w:lineRule="auto"/>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12</w:t>
            </w:r>
          </w:p>
        </w:tc>
        <w:tc>
          <w:tcPr>
            <w:tcW w:w="2325" w:type="dxa"/>
            <w:tcBorders>
              <w:top w:val="single" w:color="000000" w:sz="8" w:space="0"/>
              <w:left w:val="single" w:color="000000" w:sz="2" w:space="0"/>
              <w:bottom w:val="single" w:color="000000" w:sz="8" w:space="0"/>
              <w:right w:val="single" w:color="000000" w:sz="8" w:space="0"/>
            </w:tcBorders>
            <w:vAlign w:val="center"/>
          </w:tcPr>
          <w:p w14:paraId="0F2FFCE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备份投标文件送达地点和签收人员 </w:t>
            </w:r>
          </w:p>
        </w:tc>
        <w:tc>
          <w:tcPr>
            <w:tcW w:w="7018" w:type="dxa"/>
            <w:tcBorders>
              <w:top w:val="single" w:color="000000" w:sz="8" w:space="0"/>
              <w:left w:val="single" w:color="000000" w:sz="2" w:space="0"/>
              <w:bottom w:val="single" w:color="000000" w:sz="8" w:space="0"/>
              <w:right w:val="single" w:color="000000" w:sz="8" w:space="0"/>
            </w:tcBorders>
            <w:vAlign w:val="center"/>
          </w:tcPr>
          <w:p w14:paraId="16C577DA">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（1）供应商如提供备份投标文件的，可采用邮寄方式或直接提交方式递交备份投标文件，供应商需将以U盘存储的</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密封递交，逾期送达或未密封将予以拒收。</w:t>
            </w:r>
          </w:p>
          <w:p w14:paraId="42B98CB2">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（2）采用邮寄方式递交</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，需按以下要求递交：</w:t>
            </w:r>
          </w:p>
          <w:p w14:paraId="391F569F">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供应商应在开标前一日17：00（含）前将</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邮寄至规定地点，邮寄地址为：宁波市鄞州区天童南路666号中基大厦19楼业务一部，收件人：</w:t>
            </w:r>
            <w:r>
              <w:rPr>
                <w:rFonts w:hint="eastAsia" w:ascii="宋体" w:hAnsi="宋体" w:cs="宋体"/>
                <w:snapToGrid w:val="0"/>
                <w:color w:val="000000" w:themeColor="text1"/>
                <w:kern w:val="28"/>
                <w:sz w:val="24"/>
                <w:highlight w:val="none"/>
                <w:lang w:val="en-US" w:eastAsia="zh-CN"/>
                <w14:textFill>
                  <w14:solidFill>
                    <w14:schemeClr w14:val="tx1"/>
                  </w14:solidFill>
                </w14:textFill>
              </w:rPr>
              <w:t>戚鸿涛</w:t>
            </w:r>
            <w:r>
              <w:rPr>
                <w:rFonts w:hint="eastAsia" w:ascii="宋体" w:hAnsi="宋体" w:cs="宋体"/>
                <w:snapToGrid w:val="0"/>
                <w:color w:val="000000" w:themeColor="text1"/>
                <w:kern w:val="28"/>
                <w:sz w:val="24"/>
                <w:highlight w:val="none"/>
                <w14:textFill>
                  <w14:solidFill>
                    <w14:schemeClr w14:val="tx1"/>
                  </w14:solidFill>
                </w14:textFill>
              </w:rPr>
              <w:t>，联系方式：0574-</w:t>
            </w:r>
            <w:r>
              <w:rPr>
                <w:rFonts w:hint="eastAsia" w:ascii="宋体" w:hAnsi="宋体" w:cs="宋体"/>
                <w:snapToGrid w:val="0"/>
                <w:color w:val="000000" w:themeColor="text1"/>
                <w:kern w:val="28"/>
                <w:sz w:val="24"/>
                <w:highlight w:val="none"/>
                <w:lang w:val="en-US" w:eastAsia="zh-CN"/>
                <w14:textFill>
                  <w14:solidFill>
                    <w14:schemeClr w14:val="tx1"/>
                  </w14:solidFill>
                </w14:textFill>
              </w:rPr>
              <w:t>87425273</w:t>
            </w:r>
            <w:r>
              <w:rPr>
                <w:rFonts w:hint="eastAsia" w:ascii="宋体" w:hAnsi="宋体" w:cs="宋体"/>
                <w:snapToGrid w:val="0"/>
                <w:color w:val="000000" w:themeColor="text1"/>
                <w:kern w:val="28"/>
                <w:sz w:val="24"/>
                <w:highlight w:val="none"/>
                <w14:textFill>
                  <w14:solidFill>
                    <w14:schemeClr w14:val="tx1"/>
                  </w14:solidFill>
                </w14:textFill>
              </w:rPr>
              <w:t>。由采购代理工作人员进行签收，各供应商自行考虑邮寄在途时间，邮寄过程中无论何种因素导致</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未按时递交的后果，均由供应商自行负责。</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递交时间以采购代理实际收到</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w:t>
            </w:r>
            <w:r>
              <w:rPr>
                <w:rFonts w:hint="eastAsia" w:ascii="宋体" w:hAnsi="宋体" w:cs="宋体"/>
                <w:snapToGrid w:val="0"/>
                <w:color w:val="000000" w:themeColor="text1"/>
                <w:kern w:val="28"/>
                <w:sz w:val="24"/>
                <w:highlight w:val="none"/>
                <w:lang w:val="en-US" w:eastAsia="zh-CN"/>
                <w14:textFill>
                  <w14:solidFill>
                    <w14:schemeClr w14:val="tx1"/>
                  </w14:solidFill>
                </w14:textFill>
              </w:rPr>
              <w:t>文件</w:t>
            </w:r>
            <w:r>
              <w:rPr>
                <w:rFonts w:hint="eastAsia" w:ascii="宋体" w:hAnsi="宋体" w:cs="宋体"/>
                <w:snapToGrid w:val="0"/>
                <w:color w:val="000000" w:themeColor="text1"/>
                <w:kern w:val="28"/>
                <w:sz w:val="24"/>
                <w:highlight w:val="none"/>
                <w14:textFill>
                  <w14:solidFill>
                    <w14:schemeClr w14:val="tx1"/>
                  </w14:solidFill>
                </w14:textFill>
              </w:rPr>
              <w:t>的时间为准。</w:t>
            </w:r>
          </w:p>
          <w:p w14:paraId="019A98BC">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（3）采用直接提交方式递交</w:t>
            </w:r>
            <w:r>
              <w:rPr>
                <w:rFonts w:hint="eastAsia" w:ascii="宋体" w:hAnsi="宋体" w:cs="宋体"/>
                <w:snapToGrid w:val="0"/>
                <w:color w:val="000000" w:themeColor="text1"/>
                <w:kern w:val="28"/>
                <w:sz w:val="24"/>
                <w:highlight w:val="none"/>
                <w:lang w:eastAsia="zh-CN"/>
                <w14:textFill>
                  <w14:solidFill>
                    <w14:schemeClr w14:val="tx1"/>
                  </w14:solidFill>
                </w14:textFill>
              </w:rPr>
              <w:t>备份投标文件</w:t>
            </w:r>
            <w:r>
              <w:rPr>
                <w:rFonts w:hint="eastAsia" w:ascii="宋体" w:hAnsi="宋体" w:cs="宋体"/>
                <w:snapToGrid w:val="0"/>
                <w:color w:val="000000" w:themeColor="text1"/>
                <w:kern w:val="28"/>
                <w:sz w:val="24"/>
                <w:highlight w:val="none"/>
                <w14:textFill>
                  <w14:solidFill>
                    <w14:schemeClr w14:val="tx1"/>
                  </w14:solidFill>
                </w14:textFill>
              </w:rPr>
              <w:t>，需按以下要求递交：在开标日当天投标截止时间前将备份投标文件送至</w:t>
            </w:r>
            <w:r>
              <w:rPr>
                <w:rFonts w:hint="eastAsia" w:ascii="宋体" w:hAnsi="宋体" w:cs="宋体"/>
                <w:snapToGrid w:val="0"/>
                <w:color w:val="000000" w:themeColor="text1"/>
                <w:kern w:val="28"/>
                <w:sz w:val="24"/>
                <w:highlight w:val="none"/>
                <w:u w:val="single"/>
                <w14:textFill>
                  <w14:solidFill>
                    <w14:schemeClr w14:val="tx1"/>
                  </w14:solidFill>
                </w14:textFill>
              </w:rPr>
              <w:t xml:space="preserve"> 北仑区（开发区）公共资源交易中心评标室（宁波市北仑区长江路1166号行政服务中心三楼）  </w:t>
            </w:r>
            <w:r>
              <w:rPr>
                <w:rFonts w:hint="eastAsia" w:ascii="宋体" w:hAnsi="宋体" w:cs="宋体"/>
                <w:snapToGrid w:val="0"/>
                <w:color w:val="000000" w:themeColor="text1"/>
                <w:kern w:val="28"/>
                <w:sz w:val="24"/>
                <w:highlight w:val="none"/>
                <w14:textFill>
                  <w14:solidFill>
                    <w14:schemeClr w14:val="tx1"/>
                  </w14:solidFill>
                </w14:textFill>
              </w:rPr>
              <w:t xml:space="preserve">。       </w:t>
            </w:r>
          </w:p>
          <w:p w14:paraId="3C395975">
            <w:pPr>
              <w:spacing w:line="360" w:lineRule="auto"/>
              <w:rPr>
                <w:color w:val="000000" w:themeColor="text1"/>
                <w:highlight w:val="none"/>
                <w14:textFill>
                  <w14:solidFill>
                    <w14:schemeClr w14:val="tx1"/>
                  </w14:solidFill>
                </w14:textFill>
              </w:rPr>
            </w:pPr>
            <w:r>
              <w:rPr>
                <w:rFonts w:hint="eastAsia" w:ascii="宋体" w:hAnsi="宋体" w:cs="宋体"/>
                <w:b/>
                <w:bCs/>
                <w:snapToGrid w:val="0"/>
                <w:color w:val="000000" w:themeColor="text1"/>
                <w:kern w:val="28"/>
                <w:sz w:val="24"/>
                <w:highlight w:val="none"/>
                <w14:textFill>
                  <w14:solidFill>
                    <w14:schemeClr w14:val="tx1"/>
                  </w14:solidFill>
                </w14:textFill>
              </w:rPr>
              <w:t>采购人、采购代理机构不强制投标人提交备份投标文件。</w:t>
            </w:r>
          </w:p>
        </w:tc>
      </w:tr>
      <w:tr w14:paraId="73DAA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9" w:hRule="atLeast"/>
          <w:tblHeader/>
          <w:jc w:val="center"/>
        </w:trPr>
        <w:tc>
          <w:tcPr>
            <w:tcW w:w="839" w:type="dxa"/>
            <w:vMerge w:val="restart"/>
            <w:tcBorders>
              <w:top w:val="single" w:color="auto" w:sz="4" w:space="0"/>
              <w:left w:val="single" w:color="000000" w:sz="8" w:space="0"/>
              <w:right w:val="single" w:color="000000" w:sz="2" w:space="0"/>
            </w:tcBorders>
            <w:vAlign w:val="center"/>
          </w:tcPr>
          <w:p w14:paraId="09373A9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13</w:t>
            </w:r>
          </w:p>
        </w:tc>
        <w:tc>
          <w:tcPr>
            <w:tcW w:w="2325" w:type="dxa"/>
            <w:vMerge w:val="restart"/>
            <w:tcBorders>
              <w:top w:val="single" w:color="000000" w:sz="8" w:space="0"/>
              <w:left w:val="single" w:color="000000" w:sz="2" w:space="0"/>
              <w:right w:val="single" w:color="000000" w:sz="8" w:space="0"/>
            </w:tcBorders>
            <w:vAlign w:val="center"/>
          </w:tcPr>
          <w:p w14:paraId="1830A295">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24"/>
                <w:highlight w:val="none"/>
                <w14:textFill>
                  <w14:solidFill>
                    <w14:schemeClr w14:val="tx1"/>
                  </w14:solidFill>
                </w14:textFill>
              </w:rPr>
              <w:t>特别说明</w:t>
            </w:r>
          </w:p>
        </w:tc>
        <w:tc>
          <w:tcPr>
            <w:tcW w:w="7018" w:type="dxa"/>
            <w:tcBorders>
              <w:top w:val="single" w:color="000000" w:sz="8" w:space="0"/>
              <w:left w:val="single" w:color="000000" w:sz="2" w:space="0"/>
              <w:bottom w:val="single" w:color="000000" w:sz="8" w:space="0"/>
              <w:right w:val="single" w:color="000000" w:sz="8" w:space="0"/>
            </w:tcBorders>
            <w:vAlign w:val="center"/>
          </w:tcPr>
          <w:p w14:paraId="0D223D56">
            <w:pPr>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47458204"/>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w:t>
            </w:r>
          </w:p>
        </w:tc>
      </w:tr>
      <w:tr w14:paraId="4A3D4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839" w:type="dxa"/>
            <w:vMerge w:val="continue"/>
            <w:tcBorders>
              <w:left w:val="single" w:color="000000" w:sz="8" w:space="0"/>
              <w:bottom w:val="single" w:color="auto" w:sz="4" w:space="0"/>
              <w:right w:val="single" w:color="000000" w:sz="2" w:space="0"/>
            </w:tcBorders>
          </w:tcPr>
          <w:p w14:paraId="266E792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325" w:type="dxa"/>
            <w:vMerge w:val="continue"/>
            <w:tcBorders>
              <w:left w:val="single" w:color="000000" w:sz="2" w:space="0"/>
              <w:bottom w:val="single" w:color="000000" w:sz="8" w:space="0"/>
              <w:right w:val="single" w:color="000000" w:sz="8" w:space="0"/>
            </w:tcBorders>
            <w:vAlign w:val="center"/>
          </w:tcPr>
          <w:p w14:paraId="48F48FA9">
            <w:pPr>
              <w:snapToGrid w:val="0"/>
              <w:spacing w:line="360" w:lineRule="auto"/>
              <w:jc w:val="center"/>
              <w:rPr>
                <w:rFonts w:ascii="宋体" w:hAnsi="宋体" w:cs="宋体"/>
                <w:b/>
                <w:color w:val="000000" w:themeColor="text1"/>
                <w:sz w:val="24"/>
                <w:highlight w:val="none"/>
                <w14:textFill>
                  <w14:solidFill>
                    <w14:schemeClr w14:val="tx1"/>
                  </w14:solidFill>
                </w14:textFill>
              </w:rPr>
            </w:pPr>
          </w:p>
        </w:tc>
        <w:tc>
          <w:tcPr>
            <w:tcW w:w="7018" w:type="dxa"/>
            <w:tcBorders>
              <w:top w:val="single" w:color="000000" w:sz="8" w:space="0"/>
              <w:left w:val="single" w:color="000000" w:sz="2" w:space="0"/>
              <w:bottom w:val="single" w:color="000000" w:sz="8" w:space="0"/>
              <w:right w:val="single" w:color="000000" w:sz="8" w:space="0"/>
            </w:tcBorders>
            <w:vAlign w:val="center"/>
          </w:tcPr>
          <w:p w14:paraId="1B591627">
            <w:pPr>
              <w:snapToGrid w:val="0"/>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hint="eastAsia" w:ascii="MS Gothic" w:hAnsi="MS Gothic" w:eastAsia="MS Mincho" w:cs="MS Mincho"/>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w:t>
            </w:r>
          </w:p>
          <w:p w14:paraId="78E2772A">
            <w:pPr>
              <w:snapToGrid w:val="0"/>
              <w:spacing w:line="360" w:lineRule="auto"/>
              <w:rPr>
                <w:rFonts w:ascii="宋体" w:hAnsi="宋体" w:cs="宋体"/>
                <w:snapToGrid w:val="0"/>
                <w:color w:val="000000" w:themeColor="text1"/>
                <w:kern w:val="28"/>
                <w:sz w:val="24"/>
                <w:highlight w:val="none"/>
                <w14:textFill>
                  <w14:solidFill>
                    <w14:schemeClr w14:val="tx1"/>
                  </w14:solidFill>
                </w14:textFill>
              </w:rPr>
            </w:pPr>
            <w:sdt>
              <w:sdtPr>
                <w:rPr>
                  <w:rFonts w:hint="eastAsia" w:cs="Arial" w:asciiTheme="minorEastAsia" w:hAnsiTheme="minorEastAsia" w:eastAsiaTheme="minorEastAsia"/>
                  <w:color w:val="000000" w:themeColor="text1"/>
                  <w:kern w:val="0"/>
                  <w:sz w:val="24"/>
                  <w:highlight w:val="none"/>
                  <w14:textFill>
                    <w14:solidFill>
                      <w14:schemeClr w14:val="tx1"/>
                    </w14:solidFill>
                  </w14:textFill>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000000" w:themeColor="text1"/>
                  <w:kern w:val="0"/>
                  <w:sz w:val="24"/>
                  <w:highlight w:val="none"/>
                  <w14:textFill>
                    <w14:solidFill>
                      <w14:schemeClr w14:val="tx1"/>
                    </w14:solidFill>
                  </w14:textFill>
                </w:rPr>
              </w:sdtEndPr>
              <w:sdtContent>
                <w:r>
                  <w:rPr>
                    <w:rFonts w:ascii="Wingdings" w:hAnsi="Wingdings" w:cs="Arial" w:eastAsiaTheme="minorEastAsia"/>
                    <w:color w:val="000000" w:themeColor="text1"/>
                    <w:kern w:val="0"/>
                    <w:sz w:val="24"/>
                    <w:highlight w:val="none"/>
                    <w14:textFill>
                      <w14:solidFill>
                        <w14:schemeClr w14:val="tx1"/>
                      </w14:solidFill>
                    </w14:textFill>
                  </w:rPr>
                  <w:t></w:t>
                </w:r>
              </w:sdtContent>
            </w:sdt>
            <w:r>
              <w:rPr>
                <w:rFonts w:hint="eastAsia" w:ascii="宋体" w:hAnsi="宋体" w:cs="宋体"/>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4DF56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839" w:type="dxa"/>
            <w:tcBorders>
              <w:top w:val="single" w:color="auto" w:sz="4" w:space="0"/>
              <w:left w:val="single" w:color="000000" w:sz="8" w:space="0"/>
              <w:bottom w:val="single" w:color="auto" w:sz="4" w:space="0"/>
              <w:right w:val="single" w:color="000000" w:sz="2" w:space="0"/>
            </w:tcBorders>
            <w:vAlign w:val="center"/>
          </w:tcPr>
          <w:p w14:paraId="3DFD0AF6">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w:t>
            </w:r>
          </w:p>
        </w:tc>
        <w:tc>
          <w:tcPr>
            <w:tcW w:w="2325" w:type="dxa"/>
            <w:tcBorders>
              <w:top w:val="single" w:color="000000" w:sz="8" w:space="0"/>
              <w:left w:val="single" w:color="000000" w:sz="2" w:space="0"/>
              <w:bottom w:val="single" w:color="000000" w:sz="8" w:space="0"/>
              <w:right w:val="single" w:color="000000" w:sz="8" w:space="0"/>
            </w:tcBorders>
            <w:vAlign w:val="center"/>
          </w:tcPr>
          <w:p w14:paraId="7D8172A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采购代理服务费</w:t>
            </w:r>
          </w:p>
        </w:tc>
        <w:tc>
          <w:tcPr>
            <w:tcW w:w="7018" w:type="dxa"/>
            <w:tcBorders>
              <w:top w:val="single" w:color="000000" w:sz="8" w:space="0"/>
              <w:left w:val="single" w:color="000000" w:sz="2" w:space="0"/>
              <w:bottom w:val="single" w:color="000000" w:sz="8" w:space="0"/>
              <w:right w:val="single" w:color="000000" w:sz="8" w:space="0"/>
            </w:tcBorders>
            <w:vAlign w:val="center"/>
          </w:tcPr>
          <w:p w14:paraId="4CFF7FA6">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（1）收取方式：</w:t>
            </w:r>
            <w:r>
              <w:rPr>
                <w:rFonts w:hint="eastAsia" w:ascii="宋体" w:hAnsi="宋体" w:cs="宋体"/>
                <w:snapToGrid w:val="0"/>
                <w:color w:val="000000" w:themeColor="text1"/>
                <w:kern w:val="28"/>
                <w:sz w:val="24"/>
                <w:highlight w:val="none"/>
                <w:lang w:val="en-US" w:eastAsia="zh-CN"/>
                <w14:textFill>
                  <w14:solidFill>
                    <w14:schemeClr w14:val="tx1"/>
                  </w14:solidFill>
                </w14:textFill>
              </w:rPr>
              <w:t>中标</w:t>
            </w:r>
            <w:r>
              <w:rPr>
                <w:rFonts w:hint="eastAsia" w:ascii="宋体" w:hAnsi="宋体" w:cs="宋体"/>
                <w:snapToGrid w:val="0"/>
                <w:color w:val="000000" w:themeColor="text1"/>
                <w:kern w:val="28"/>
                <w:sz w:val="24"/>
                <w:highlight w:val="none"/>
                <w14:textFill>
                  <w14:solidFill>
                    <w14:schemeClr w14:val="tx1"/>
                  </w14:solidFill>
                </w14:textFill>
              </w:rPr>
              <w:t>供应商应当自中标结果公告发布之日起5个工作日内一次性向采购代理机构支付代理服务费。</w:t>
            </w:r>
          </w:p>
          <w:p w14:paraId="7D2531E6">
            <w:pPr>
              <w:spacing w:line="360" w:lineRule="auto"/>
              <w:rPr>
                <w:rFonts w:hint="default" w:ascii="宋体" w:hAnsi="宋体" w:eastAsia="宋体" w:cs="宋体"/>
                <w:snapToGrid w:val="0"/>
                <w:color w:val="000000" w:themeColor="text1"/>
                <w:kern w:val="28"/>
                <w:sz w:val="24"/>
                <w:highlight w:val="none"/>
                <w:lang w:val="en-US" w:eastAsia="zh-CN"/>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（2）采购代理服务费用收取标准：本项目代理公司参照宁波市招标（采购）代理服务收费标准中</w:t>
            </w:r>
            <w:r>
              <w:rPr>
                <w:rFonts w:hint="eastAsia" w:ascii="宋体" w:hAnsi="宋体" w:cs="宋体"/>
                <w:snapToGrid w:val="0"/>
                <w:color w:val="000000" w:themeColor="text1"/>
                <w:kern w:val="28"/>
                <w:sz w:val="24"/>
                <w:highlight w:val="none"/>
                <w:lang w:val="en-US" w:eastAsia="zh-CN"/>
                <w14:textFill>
                  <w14:solidFill>
                    <w14:schemeClr w14:val="tx1"/>
                  </w14:solidFill>
                </w14:textFill>
              </w:rPr>
              <w:t>服务</w:t>
            </w:r>
            <w:r>
              <w:rPr>
                <w:rFonts w:hint="eastAsia" w:ascii="宋体" w:hAnsi="宋体" w:cs="宋体"/>
                <w:snapToGrid w:val="0"/>
                <w:color w:val="000000" w:themeColor="text1"/>
                <w:kern w:val="28"/>
                <w:sz w:val="24"/>
                <w:highlight w:val="none"/>
                <w14:textFill>
                  <w14:solidFill>
                    <w14:schemeClr w14:val="tx1"/>
                  </w14:solidFill>
                </w14:textFill>
              </w:rPr>
              <w:t>招标费率下浮20%</w:t>
            </w: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14:textFill>
                  <w14:solidFill>
                    <w14:schemeClr w14:val="tx1"/>
                  </w14:solidFill>
                </w14:textFill>
              </w:rPr>
              <w:t>以中标通知书确定的中标</w:t>
            </w:r>
            <w:r>
              <w:rPr>
                <w:rFonts w:hint="eastAsia" w:ascii="宋体" w:hAnsi="宋体" w:cs="宋体"/>
                <w:snapToGrid w:val="0"/>
                <w:color w:val="000000" w:themeColor="text1"/>
                <w:kern w:val="28"/>
                <w:sz w:val="24"/>
                <w:highlight w:val="none"/>
                <w:lang w:val="en-US" w:eastAsia="zh-CN"/>
                <w14:textFill>
                  <w14:solidFill>
                    <w14:schemeClr w14:val="tx1"/>
                  </w14:solidFill>
                </w14:textFill>
              </w:rPr>
              <w:t>金额</w:t>
            </w:r>
            <w:r>
              <w:rPr>
                <w:rFonts w:hint="eastAsia" w:ascii="宋体" w:hAnsi="宋体" w:cs="宋体"/>
                <w:snapToGrid w:val="0"/>
                <w:color w:val="000000" w:themeColor="text1"/>
                <w:kern w:val="28"/>
                <w:sz w:val="24"/>
                <w:highlight w:val="none"/>
                <w14:textFill>
                  <w14:solidFill>
                    <w14:schemeClr w14:val="tx1"/>
                  </w14:solidFill>
                </w14:textFill>
              </w:rPr>
              <w:t>为基准，按差额定率累进法计算后向中标人收取采购代理服务费</w:t>
            </w:r>
            <w:r>
              <w:rPr>
                <w:rFonts w:hint="eastAsia" w:ascii="宋体" w:hAnsi="宋体" w:cs="宋体"/>
                <w:snapToGrid w:val="0"/>
                <w:color w:val="000000" w:themeColor="text1"/>
                <w:kern w:val="28"/>
                <w:sz w:val="24"/>
                <w:highlight w:val="none"/>
                <w:lang w:eastAsia="zh-CN"/>
                <w14:textFill>
                  <w14:solidFill>
                    <w14:schemeClr w14:val="tx1"/>
                  </w14:solidFill>
                </w14:textFill>
              </w:rPr>
              <w:t>；</w:t>
            </w:r>
            <w:r>
              <w:rPr>
                <w:rFonts w:hint="eastAsia" w:ascii="宋体" w:hAnsi="宋体" w:cs="宋体"/>
                <w:snapToGrid w:val="0"/>
                <w:color w:val="000000" w:themeColor="text1"/>
                <w:kern w:val="28"/>
                <w:sz w:val="24"/>
                <w:highlight w:val="none"/>
                <w:lang w:val="en-US" w:eastAsia="zh-CN"/>
                <w14:textFill>
                  <w14:solidFill>
                    <w14:schemeClr w14:val="tx1"/>
                  </w14:solidFill>
                </w14:textFill>
              </w:rPr>
              <w:t>不足4000元的按4000元计取。</w:t>
            </w:r>
          </w:p>
          <w:p w14:paraId="1E92134C">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66675</wp:posOffset>
                  </wp:positionH>
                  <wp:positionV relativeFrom="paragraph">
                    <wp:posOffset>4445</wp:posOffset>
                  </wp:positionV>
                  <wp:extent cx="4122420" cy="2228850"/>
                  <wp:effectExtent l="0" t="0" r="1143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4122420" cy="2228850"/>
                          </a:xfrm>
                          <a:prstGeom prst="rect">
                            <a:avLst/>
                          </a:prstGeom>
                          <a:noFill/>
                          <a:ln>
                            <a:noFill/>
                          </a:ln>
                        </pic:spPr>
                      </pic:pic>
                    </a:graphicData>
                  </a:graphic>
                </wp:anchor>
              </w:drawing>
            </w:r>
          </w:p>
          <w:p w14:paraId="6196CD65">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（3）支付形式及账号：</w:t>
            </w:r>
          </w:p>
          <w:p w14:paraId="3DD954A7">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①代理服务费缴纳形式：汇票/电汇/现金</w:t>
            </w:r>
          </w:p>
          <w:p w14:paraId="1EDA2CD9">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②代理服务费汇入以下账户 ：</w:t>
            </w:r>
          </w:p>
          <w:p w14:paraId="2D006325">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收款单位（户名）：宁波中基国际招标有限公司</w:t>
            </w:r>
          </w:p>
          <w:p w14:paraId="20BFA403">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开户：宁波银行科技支行</w:t>
            </w:r>
          </w:p>
          <w:p w14:paraId="7FE4F9E1">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账号：31010122000005488</w:t>
            </w:r>
          </w:p>
          <w:p w14:paraId="6D9F7F8B">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（4）支付流程：中标供应商按照中标结果公告确定金额支付至采购代理机构账户后将汇款底单、开票信息和发票邮寄地址发送至</w:t>
            </w:r>
            <w:r>
              <w:rPr>
                <w:rFonts w:hint="eastAsia" w:ascii="宋体" w:hAnsi="宋体" w:cs="宋体"/>
                <w:snapToGrid w:val="0"/>
                <w:color w:val="000000" w:themeColor="text1"/>
                <w:kern w:val="28"/>
                <w:sz w:val="24"/>
                <w:highlight w:val="none"/>
                <w:u w:val="single"/>
                <w14:textFill>
                  <w14:solidFill>
                    <w14:schemeClr w14:val="tx1"/>
                  </w14:solidFill>
                </w14:textFill>
              </w:rPr>
              <w:t xml:space="preserve"> </w:t>
            </w:r>
            <w:r>
              <w:rPr>
                <w:rFonts w:hint="eastAsia" w:ascii="宋体" w:hAnsi="宋体" w:cs="宋体"/>
                <w:snapToGrid w:val="0"/>
                <w:color w:val="000000" w:themeColor="text1"/>
                <w:kern w:val="28"/>
                <w:sz w:val="24"/>
                <w:highlight w:val="none"/>
                <w:u w:val="single"/>
                <w:lang w:val="en-US" w:eastAsia="zh-CN"/>
                <w14:textFill>
                  <w14:solidFill>
                    <w14:schemeClr w14:val="tx1"/>
                  </w14:solidFill>
                </w14:textFill>
              </w:rPr>
              <w:t>719126619</w:t>
            </w:r>
            <w:r>
              <w:rPr>
                <w:rFonts w:hint="eastAsia" w:ascii="宋体" w:hAnsi="宋体" w:cs="宋体"/>
                <w:snapToGrid w:val="0"/>
                <w:color w:val="000000" w:themeColor="text1"/>
                <w:kern w:val="28"/>
                <w:sz w:val="24"/>
                <w:highlight w:val="none"/>
                <w:u w:val="single"/>
                <w14:textFill>
                  <w14:solidFill>
                    <w14:schemeClr w14:val="tx1"/>
                  </w14:solidFill>
                </w14:textFill>
              </w:rPr>
              <w:t>@qq.com</w:t>
            </w:r>
            <w:r>
              <w:rPr>
                <w:rFonts w:hint="eastAsia" w:ascii="宋体" w:hAnsi="宋体" w:cs="宋体"/>
                <w:snapToGrid w:val="0"/>
                <w:color w:val="000000" w:themeColor="text1"/>
                <w:kern w:val="28"/>
                <w:sz w:val="24"/>
                <w:highlight w:val="none"/>
                <w14:textFill>
                  <w14:solidFill>
                    <w14:schemeClr w14:val="tx1"/>
                  </w14:solidFill>
                </w14:textFill>
              </w:rPr>
              <w:t>，采购代理机构在收到邮件后开具发票。</w:t>
            </w:r>
          </w:p>
        </w:tc>
      </w:tr>
      <w:tr w14:paraId="2760B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jc w:val="center"/>
        </w:trPr>
        <w:tc>
          <w:tcPr>
            <w:tcW w:w="839" w:type="dxa"/>
            <w:tcBorders>
              <w:top w:val="single" w:color="auto" w:sz="4" w:space="0"/>
              <w:left w:val="single" w:color="000000" w:sz="8" w:space="0"/>
              <w:right w:val="single" w:color="000000" w:sz="2" w:space="0"/>
            </w:tcBorders>
            <w:vAlign w:val="center"/>
          </w:tcPr>
          <w:p w14:paraId="240691FB">
            <w:pPr>
              <w:snapToGrid w:val="0"/>
              <w:spacing w:line="360" w:lineRule="auto"/>
              <w:jc w:val="center"/>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15</w:t>
            </w:r>
          </w:p>
        </w:tc>
        <w:tc>
          <w:tcPr>
            <w:tcW w:w="2325" w:type="dxa"/>
            <w:tcBorders>
              <w:top w:val="single" w:color="000000" w:sz="8" w:space="0"/>
              <w:left w:val="single" w:color="000000" w:sz="2" w:space="0"/>
              <w:right w:val="single" w:color="000000" w:sz="8" w:space="0"/>
            </w:tcBorders>
            <w:vAlign w:val="center"/>
          </w:tcPr>
          <w:p w14:paraId="778E65AD">
            <w:pPr>
              <w:snapToGrid w:val="0"/>
              <w:spacing w:line="360" w:lineRule="auto"/>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其他</w:t>
            </w:r>
          </w:p>
        </w:tc>
        <w:tc>
          <w:tcPr>
            <w:tcW w:w="7018" w:type="dxa"/>
            <w:tcBorders>
              <w:top w:val="single" w:color="000000" w:sz="8" w:space="0"/>
              <w:left w:val="single" w:color="000000" w:sz="2" w:space="0"/>
              <w:bottom w:val="single" w:color="000000" w:sz="8" w:space="0"/>
              <w:right w:val="single" w:color="000000" w:sz="8" w:space="0"/>
            </w:tcBorders>
            <w:vAlign w:val="center"/>
          </w:tcPr>
          <w:p w14:paraId="43AC0E90">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关于分公司投标：除银行、保险、石油石化、电力、电信、移动、联通等行业外不允许分公司参与本项目投标。银行、保险、石油石化、电力、电信、移动、联通等行业分公司投标的：</w:t>
            </w:r>
          </w:p>
          <w:p w14:paraId="788C463F">
            <w:pPr>
              <w:spacing w:line="360" w:lineRule="auto"/>
              <w:rPr>
                <w:rFonts w:hint="eastAsia"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（1）需提供具有法人资格的总公司的营业执照及授权书，授权书须加盖总公司公章。</w:t>
            </w:r>
          </w:p>
          <w:p w14:paraId="07037165">
            <w:pPr>
              <w:spacing w:line="360" w:lineRule="auto"/>
              <w:rPr>
                <w:rFonts w:hint="eastAsia" w:ascii="宋体" w:hAnsi="宋体" w:eastAsia="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（2）已由总公司授权的，总公司取得的相关资质证书对分公司有效</w:t>
            </w:r>
            <w:r>
              <w:rPr>
                <w:rFonts w:hint="eastAsia" w:ascii="宋体" w:hAnsi="宋体" w:cs="宋体"/>
                <w:snapToGrid w:val="0"/>
                <w:color w:val="000000" w:themeColor="text1"/>
                <w:kern w:val="28"/>
                <w:sz w:val="24"/>
                <w:highlight w:val="none"/>
                <w:lang w:eastAsia="zh-CN"/>
                <w14:textFill>
                  <w14:solidFill>
                    <w14:schemeClr w14:val="tx1"/>
                  </w14:solidFill>
                </w14:textFill>
              </w:rPr>
              <w:t>。</w:t>
            </w:r>
          </w:p>
        </w:tc>
      </w:tr>
    </w:tbl>
    <w:p w14:paraId="06DDD352">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bookmarkEnd w:id="14"/>
    <w:p w14:paraId="144BF375">
      <w:pPr>
        <w:rPr>
          <w:rFonts w:ascii="宋体" w:hAnsi="宋体" w:cs="宋体"/>
          <w:b/>
          <w:color w:val="000000" w:themeColor="text1"/>
          <w:sz w:val="32"/>
          <w:szCs w:val="20"/>
          <w:highlight w:val="none"/>
          <w14:textFill>
            <w14:solidFill>
              <w14:schemeClr w14:val="tx1"/>
            </w14:solidFill>
          </w14:textFill>
        </w:rPr>
      </w:pPr>
      <w:bookmarkStart w:id="29" w:name="_Toc164416483"/>
      <w:bookmarkStart w:id="30" w:name="第三部分"/>
      <w:r>
        <w:rPr>
          <w:rFonts w:hint="eastAsia" w:ascii="宋体" w:hAnsi="宋体" w:cs="宋体"/>
          <w:b/>
          <w:color w:val="000000" w:themeColor="text1"/>
          <w:sz w:val="32"/>
          <w:szCs w:val="20"/>
          <w:highlight w:val="none"/>
          <w14:textFill>
            <w14:solidFill>
              <w14:schemeClr w14:val="tx1"/>
            </w14:solidFill>
          </w14:textFill>
        </w:rPr>
        <w:br w:type="page"/>
      </w:r>
    </w:p>
    <w:p w14:paraId="4A3A1C66">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bookmarkStart w:id="31" w:name="_Toc19896"/>
      <w:r>
        <w:rPr>
          <w:rFonts w:hint="eastAsia" w:ascii="宋体" w:hAnsi="宋体" w:cs="宋体"/>
          <w:b/>
          <w:color w:val="000000" w:themeColor="text1"/>
          <w:sz w:val="32"/>
          <w:szCs w:val="20"/>
          <w:highlight w:val="none"/>
          <w14:textFill>
            <w14:solidFill>
              <w14:schemeClr w14:val="tx1"/>
            </w14:solidFill>
          </w14:textFill>
        </w:rPr>
        <w:t>一、总则</w:t>
      </w:r>
      <w:bookmarkEnd w:id="31"/>
    </w:p>
    <w:p w14:paraId="5754BBF4">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bookmarkStart w:id="32" w:name="_Toc4803"/>
      <w:r>
        <w:rPr>
          <w:rFonts w:hint="eastAsia" w:ascii="宋体" w:hAnsi="宋体" w:cs="宋体"/>
          <w:b/>
          <w:color w:val="000000" w:themeColor="text1"/>
          <w:sz w:val="24"/>
          <w:highlight w:val="none"/>
          <w14:textFill>
            <w14:solidFill>
              <w14:schemeClr w14:val="tx1"/>
            </w14:solidFill>
          </w14:textFill>
        </w:rPr>
        <w:t>1. 适用范围</w:t>
      </w:r>
      <w:bookmarkEnd w:id="32"/>
    </w:p>
    <w:p w14:paraId="2EA74A99">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608C6987">
      <w:pPr>
        <w:snapToGrid w:val="0"/>
        <w:spacing w:line="360" w:lineRule="auto"/>
        <w:ind w:firstLine="361" w:firstLineChars="150"/>
        <w:jc w:val="left"/>
        <w:outlineLvl w:val="1"/>
        <w:rPr>
          <w:rFonts w:ascii="宋体" w:hAnsi="宋体" w:cs="宋体"/>
          <w:b/>
          <w:color w:val="000000" w:themeColor="text1"/>
          <w:sz w:val="24"/>
          <w:highlight w:val="none"/>
          <w14:textFill>
            <w14:solidFill>
              <w14:schemeClr w14:val="tx1"/>
            </w14:solidFill>
          </w14:textFill>
        </w:rPr>
      </w:pPr>
      <w:bookmarkStart w:id="33" w:name="_Toc17533"/>
      <w:r>
        <w:rPr>
          <w:rFonts w:hint="eastAsia" w:ascii="宋体" w:hAnsi="宋体" w:cs="宋体"/>
          <w:b/>
          <w:color w:val="000000" w:themeColor="text1"/>
          <w:sz w:val="24"/>
          <w:highlight w:val="none"/>
          <w14:textFill>
            <w14:solidFill>
              <w14:schemeClr w14:val="tx1"/>
            </w14:solidFill>
          </w14:textFill>
        </w:rPr>
        <w:t>2.定义</w:t>
      </w:r>
      <w:bookmarkEnd w:id="33"/>
    </w:p>
    <w:p w14:paraId="1E4277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“采购人”系指招标公告中载明的本项目的采购人。</w:t>
      </w:r>
    </w:p>
    <w:p w14:paraId="292E093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“采购代理机构”系指招标公告中载明的本项目的采购代理机构。</w:t>
      </w:r>
    </w:p>
    <w:p w14:paraId="4E3024D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“投标人”系指响应招标、参加投标竞争的法人、其他组织或者自然人。</w:t>
      </w:r>
    </w:p>
    <w:p w14:paraId="7BF58EC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14:paraId="078B686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电子签章”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6CC868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2.6“电子交易平台”系指本项目政府采购活动所依托的政府采购云平台（https://www.zcygov.cn/）。</w:t>
      </w:r>
    </w:p>
    <w:p w14:paraId="2C3D9D3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 “</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系指实质性要求条款，“</w:t>
      </w:r>
      <w:sdt>
        <w:sdtPr>
          <w:rPr>
            <w:rFonts w:hint="eastAsia" w:ascii="宋体" w:hAnsi="宋体" w:cs="宋体"/>
            <w:color w:val="000000" w:themeColor="text1"/>
            <w:kern w:val="0"/>
            <w:sz w:val="24"/>
            <w:highlight w:val="none"/>
            <w14:textFill>
              <w14:solidFill>
                <w14:schemeClr w14:val="tx1"/>
              </w14:solidFill>
            </w14:textFill>
          </w:rPr>
          <w:id w:val="512970236"/>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系指适用本项目的要求，“</w:t>
      </w:r>
      <w:sdt>
        <w:sdtPr>
          <w:rPr>
            <w:rFonts w:hint="eastAsia" w:ascii="宋体" w:hAnsi="宋体" w:cs="宋体"/>
            <w:color w:val="000000" w:themeColor="text1"/>
            <w:kern w:val="0"/>
            <w:sz w:val="24"/>
            <w:highlight w:val="none"/>
            <w14:textFill>
              <w14:solidFill>
                <w14:schemeClr w14:val="tx1"/>
              </w14:solidFill>
            </w14:textFill>
          </w:rPr>
          <w:id w:val="40488885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 系指不适用本项目的要求。</w:t>
      </w:r>
    </w:p>
    <w:p w14:paraId="499C93EA">
      <w:pPr>
        <w:spacing w:line="360" w:lineRule="auto"/>
        <w:ind w:firstLine="241"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采购项目需要落实的政府采购政策</w:t>
      </w:r>
    </w:p>
    <w:p w14:paraId="3B5CA0F1">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79195714">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 支持绿色发展</w:t>
      </w:r>
    </w:p>
    <w:p w14:paraId="497950F3">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2A74FF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4" w:name="_Hlk107568539"/>
    </w:p>
    <w:p w14:paraId="1217743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 鼓励供应商在参加政府采购过程中开展绿色设计、选择绿色材料、打造绿色制造工艺、开展绿色运输、做好废弃产品回收处理，实现产品全周期的绿色环保。</w:t>
      </w:r>
      <w:bookmarkEnd w:id="34"/>
    </w:p>
    <w:p w14:paraId="0E3171F3">
      <w:pPr>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3.3支持中小企业发展</w:t>
      </w:r>
    </w:p>
    <w:p w14:paraId="1CC1016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FF1C13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5579396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ascii="宋体" w:hAnsi="宋体" w:cs="宋体"/>
          <w:bCs/>
          <w:color w:val="000000" w:themeColor="text1"/>
          <w:sz w:val="24"/>
          <w:highlight w:val="none"/>
          <w14:textFill>
            <w14:solidFill>
              <w14:schemeClr w14:val="tx1"/>
            </w14:solidFill>
          </w14:textFill>
        </w:rPr>
        <w:t>3.3.2</w:t>
      </w:r>
      <w:r>
        <w:rPr>
          <w:rFonts w:hint="eastAsia" w:ascii="宋体" w:hAnsi="宋体" w:cs="宋体"/>
          <w:color w:val="000000" w:themeColor="text1"/>
          <w:kern w:val="0"/>
          <w:sz w:val="24"/>
          <w:highlight w:val="none"/>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1C00CC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557F6A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AA398C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61F8677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B39A35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3.3.6</w:t>
      </w:r>
      <w:r>
        <w:rPr>
          <w:rFonts w:hint="eastAsia" w:ascii="宋体" w:hAnsi="宋体" w:cs="宋体"/>
          <w:color w:val="000000" w:themeColor="text1"/>
          <w:sz w:val="24"/>
          <w:highlight w:val="none"/>
          <w:lang w:val="en"/>
          <w14:textFill>
            <w14:solidFill>
              <w14:schemeClr w14:val="tx1"/>
            </w14:solidFill>
          </w14:textFill>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000000" w:themeColor="text1"/>
          <w:sz w:val="24"/>
          <w:highlight w:val="none"/>
          <w14:textFill>
            <w14:solidFill>
              <w14:schemeClr w14:val="tx1"/>
            </w14:solidFill>
          </w14:textFill>
        </w:rPr>
        <w:t>。</w:t>
      </w:r>
    </w:p>
    <w:p w14:paraId="3285E5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14:paraId="776C45A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3.4支持创新发展</w:t>
      </w:r>
    </w:p>
    <w:p w14:paraId="317FDB1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3.4.1对省级以上主管部门认定的首台套产品，自纳入《省推广应用指导目录》起三年内参加政府采购活动，视同已具备相应销售业绩，业绩分为满分。</w:t>
      </w:r>
    </w:p>
    <w:p w14:paraId="7C4CFF4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3.5平等对待内外资企业和符合条件的破产重整企业</w:t>
      </w:r>
    </w:p>
    <w:p w14:paraId="09906720">
      <w:pPr>
        <w:spacing w:line="360" w:lineRule="auto"/>
        <w:ind w:firstLine="480" w:firstLineChars="200"/>
        <w:rPr>
          <w:b/>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宋体" w:hAnsi="宋体" w:cs="宋体"/>
          <w:color w:val="000000" w:themeColor="text1"/>
          <w:sz w:val="24"/>
          <w:highlight w:val="none"/>
          <w14:textFill>
            <w14:solidFill>
              <w14:schemeClr w14:val="tx1"/>
            </w14:solidFill>
          </w14:textFill>
        </w:rPr>
        <w:cr/>
      </w:r>
      <w:r>
        <w:rPr>
          <w:rFonts w:hint="eastAsia" w:ascii="宋体" w:hAnsi="宋体" w:cs="宋体"/>
          <w:b/>
          <w:color w:val="000000" w:themeColor="text1"/>
          <w:sz w:val="24"/>
          <w:highlight w:val="none"/>
          <w14:textFill>
            <w14:solidFill>
              <w14:schemeClr w14:val="tx1"/>
            </w14:solidFill>
          </w14:textFill>
        </w:rPr>
        <w:t>4. 询问、质疑、投诉</w:t>
      </w:r>
    </w:p>
    <w:p w14:paraId="2FE5E81A">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4.1在线询问、质疑、投诉</w:t>
      </w:r>
    </w:p>
    <w:p w14:paraId="78B64AE0">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根据《浙江省财政厅关于进一步促进政府采购公平竞争打造最优营商环境的通知》（浙财采监</w:t>
      </w:r>
      <w:r>
        <w:rPr>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2021</w:t>
      </w:r>
      <w:r>
        <w:rPr>
          <w:color w:val="000000" w:themeColor="text1"/>
          <w:highlight w:val="none"/>
          <w14:textFill>
            <w14:solidFill>
              <w14:schemeClr w14:val="tx1"/>
            </w14:solidFill>
          </w14:textFill>
        </w:rPr>
        <w:t>〕</w:t>
      </w:r>
      <w:r>
        <w:rPr>
          <w:rFonts w:hint="eastAsia"/>
          <w:color w:val="000000" w:themeColor="text1"/>
          <w:highlight w:val="none"/>
          <w:lang w:val="zh-CN"/>
          <w14:textFill>
            <w14:solidFill>
              <w14:schemeClr w14:val="tx1"/>
            </w14:solidFill>
          </w14:textFill>
        </w:rPr>
        <w:t>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01E4863">
      <w:pPr>
        <w:autoSpaceDE w:val="0"/>
        <w:autoSpaceDN w:val="0"/>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4.2供应商询问</w:t>
      </w:r>
    </w:p>
    <w:p w14:paraId="6E0D0A96">
      <w:pPr>
        <w:autoSpaceDE w:val="0"/>
        <w:autoSpaceDN w:val="0"/>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FF714F">
      <w:pPr>
        <w:tabs>
          <w:tab w:val="left" w:pos="2622"/>
        </w:tabs>
        <w:autoSpaceDE w:val="0"/>
        <w:autoSpaceDN w:val="0"/>
        <w:spacing w:line="360" w:lineRule="auto"/>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4.3供应商质疑</w:t>
      </w:r>
      <w:r>
        <w:rPr>
          <w:rFonts w:hint="eastAsia" w:ascii="宋体" w:hAnsi="宋体" w:cs="宋体"/>
          <w:color w:val="000000" w:themeColor="text1"/>
          <w:kern w:val="0"/>
          <w:sz w:val="24"/>
          <w:highlight w:val="none"/>
          <w:lang w:val="zh-CN"/>
          <w14:textFill>
            <w14:solidFill>
              <w14:schemeClr w14:val="tx1"/>
            </w14:solidFill>
          </w14:textFill>
        </w:rPr>
        <w:tab/>
      </w:r>
    </w:p>
    <w:p w14:paraId="194A9D14">
      <w:pPr>
        <w:pStyle w:val="973"/>
        <w:spacing w:line="360" w:lineRule="auto"/>
        <w:ind w:firstLine="480"/>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4.3.1</w:t>
      </w:r>
      <w:r>
        <w:rPr>
          <w:rFonts w:hint="eastAsia" w:ascii="宋体" w:hAnsi="宋体" w:eastAsia="宋体" w:cs="宋体"/>
          <w:color w:val="000000" w:themeColor="text1"/>
          <w:sz w:val="24"/>
          <w:szCs w:val="24"/>
          <w:highlight w:val="none"/>
          <w:lang w:val="zh-CN"/>
          <w14:textFill>
            <w14:solidFill>
              <w14:schemeClr w14:val="tx1"/>
            </w14:solidFill>
          </w14:textFill>
        </w:rPr>
        <w:t>供应商认为采购文件、采购过程、中标或者成交结果使自己的权益受到损害的，可以在知道或者应知其权益受到损害之日起七个工作日内向采购人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采购代理机构提出质疑。为有效保护供应商合法权益和提高采购效率，鼓励供应商发现自己的权益受到损害后尽早提出质疑。</w:t>
      </w:r>
      <w:r>
        <w:rPr>
          <w:rFonts w:hint="eastAsia" w:ascii="宋体" w:hAnsi="宋体" w:eastAsia="宋体" w:cs="宋体"/>
          <w:b/>
          <w:bCs/>
          <w:color w:val="000000" w:themeColor="text1"/>
          <w:sz w:val="24"/>
          <w:szCs w:val="24"/>
          <w:highlight w:val="none"/>
          <w:lang w:val="zh-CN"/>
          <w14:textFill>
            <w14:solidFill>
              <w14:schemeClr w14:val="tx1"/>
            </w14:solidFill>
          </w14:textFill>
        </w:rPr>
        <w:t>供应商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b/>
          <w:bCs/>
          <w:color w:val="000000" w:themeColor="text1"/>
          <w:sz w:val="24"/>
          <w:szCs w:val="24"/>
          <w:highlight w:val="none"/>
          <w:lang w:val="zh-CN"/>
          <w14:textFill>
            <w14:solidFill>
              <w14:schemeClr w14:val="tx1"/>
            </w14:solidFill>
          </w14:textFill>
        </w:rPr>
        <w:t>在法定质疑期内一次性提出针对同一采购程序环节的质疑。</w:t>
      </w:r>
    </w:p>
    <w:p w14:paraId="2A1FC5FE">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4.3.2</w:t>
      </w:r>
      <w:r>
        <w:rPr>
          <w:rFonts w:hint="eastAsia" w:ascii="宋体" w:hAnsi="宋体" w:eastAsia="宋体" w:cs="宋体"/>
          <w:color w:val="000000" w:themeColor="text1"/>
          <w:sz w:val="24"/>
          <w:szCs w:val="24"/>
          <w:highlight w:val="none"/>
          <w:lang w:val="zh-CN"/>
          <w14:textFill>
            <w14:solidFill>
              <w14:schemeClr w14:val="tx1"/>
            </w14:solidFill>
          </w14:textFill>
        </w:rPr>
        <w:t>供应商知道或者应知其权益受到损害之日，是指：</w:t>
      </w:r>
    </w:p>
    <w:p w14:paraId="0D691F54">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对可以质疑的采购文件提出质疑的，为获取采购文件之日；获取采购文件时采购公告期限已届满的，为采购公告期限届满之日；</w:t>
      </w:r>
    </w:p>
    <w:p w14:paraId="68D4D6E8">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对采购过程中开标、资格审查、符合性审查和评审等环节提出质疑的，为各采购程序环节结束之日；</w:t>
      </w:r>
    </w:p>
    <w:p w14:paraId="2733E466">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对中标或者成交结果提出质疑的，为中标或者成交结果公告期限届满之日；</w:t>
      </w:r>
    </w:p>
    <w:p w14:paraId="286727A3">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采购文件、采购过程、中标或者成交结果发生澄清、修改、更正的，对经澄清、修改、更正的部分内容提出质疑的，为通知送达供应商之日或者澄清公告、更正公告发布之日。</w:t>
      </w:r>
    </w:p>
    <w:p w14:paraId="18DB4BE7">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.3.3提出质疑的供应商（以下简称质疑供应商）应当是参与所质疑项目（采购包）采购活动的供应商。潜在供应商已依法获取其可质疑的采购文件的，可以对该采购文件提出质疑。</w:t>
      </w:r>
    </w:p>
    <w:p w14:paraId="64CFA82D">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项目设立、项目预算、采购方式、组织形式、进口产品核准、采购需求调查过程、专门面向中小企业采购、合同履约等不属于可质疑事项。</w:t>
      </w:r>
    </w:p>
    <w:p w14:paraId="3EFBDCD9">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.3.4供应商提出质疑应当有明确的请求和必要的证明材料。</w:t>
      </w:r>
      <w:r>
        <w:rPr>
          <w:rFonts w:hint="eastAsia" w:hAnsi="宋体" w:cs="宋体"/>
          <w:color w:val="000000" w:themeColor="text1"/>
          <w:sz w:val="24"/>
          <w:highlight w:val="none"/>
          <w14:textFill>
            <w14:solidFill>
              <w14:schemeClr w14:val="tx1"/>
            </w14:solidFill>
          </w14:textFill>
        </w:rPr>
        <w:t>质疑函应当包括下列内容：</w:t>
      </w:r>
    </w:p>
    <w:p w14:paraId="7503B5D6">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1）</w:t>
      </w:r>
      <w:r>
        <w:rPr>
          <w:rFonts w:hint="eastAsia" w:hAnsi="宋体" w:cs="宋体"/>
          <w:color w:val="000000" w:themeColor="text1"/>
          <w:kern w:val="0"/>
          <w:sz w:val="24"/>
          <w:highlight w:val="none"/>
          <w:lang w:val="zh-CN"/>
          <w14:textFill>
            <w14:solidFill>
              <w14:schemeClr w14:val="tx1"/>
            </w14:solidFill>
          </w14:textFill>
        </w:rPr>
        <w:t>供应商的姓名或者名称、地址、邮编、联系人及联系电话；</w:t>
      </w:r>
    </w:p>
    <w:p w14:paraId="7E5B5CEE">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2）</w:t>
      </w:r>
      <w:r>
        <w:rPr>
          <w:rFonts w:hint="eastAsia" w:hAnsi="宋体" w:cs="宋体"/>
          <w:color w:val="000000" w:themeColor="text1"/>
          <w:kern w:val="0"/>
          <w:sz w:val="24"/>
          <w:highlight w:val="none"/>
          <w:lang w:val="zh-CN"/>
          <w14:textFill>
            <w14:solidFill>
              <w14:schemeClr w14:val="tx1"/>
            </w14:solidFill>
          </w14:textFill>
        </w:rPr>
        <w:t>质疑项目的名称、编号；</w:t>
      </w:r>
    </w:p>
    <w:p w14:paraId="2AE16E5D">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3）</w:t>
      </w:r>
      <w:r>
        <w:rPr>
          <w:rFonts w:hint="eastAsia" w:hAnsi="宋体" w:cs="宋体"/>
          <w:color w:val="000000" w:themeColor="text1"/>
          <w:kern w:val="0"/>
          <w:sz w:val="24"/>
          <w:highlight w:val="none"/>
          <w:lang w:val="zh-CN"/>
          <w14:textFill>
            <w14:solidFill>
              <w14:schemeClr w14:val="tx1"/>
            </w14:solidFill>
          </w14:textFill>
        </w:rPr>
        <w:t>具体、明确的质疑事项和与质疑事项相关的请求；</w:t>
      </w:r>
    </w:p>
    <w:p w14:paraId="5FD9EA5D">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4）</w:t>
      </w:r>
      <w:r>
        <w:rPr>
          <w:rFonts w:hint="eastAsia" w:hAnsi="宋体" w:cs="宋体"/>
          <w:color w:val="000000" w:themeColor="text1"/>
          <w:kern w:val="0"/>
          <w:sz w:val="24"/>
          <w:highlight w:val="none"/>
          <w:lang w:val="zh-CN"/>
          <w14:textFill>
            <w14:solidFill>
              <w14:schemeClr w14:val="tx1"/>
            </w14:solidFill>
          </w14:textFill>
        </w:rPr>
        <w:t>事实依据；</w:t>
      </w:r>
    </w:p>
    <w:p w14:paraId="43C20DA3">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5）</w:t>
      </w:r>
      <w:r>
        <w:rPr>
          <w:rFonts w:hint="eastAsia" w:hAnsi="宋体" w:cs="宋体"/>
          <w:color w:val="000000" w:themeColor="text1"/>
          <w:kern w:val="0"/>
          <w:sz w:val="24"/>
          <w:highlight w:val="none"/>
          <w:lang w:val="zh-CN"/>
          <w14:textFill>
            <w14:solidFill>
              <w14:schemeClr w14:val="tx1"/>
            </w14:solidFill>
          </w14:textFill>
        </w:rPr>
        <w:t>必要的法律依据；</w:t>
      </w:r>
    </w:p>
    <w:p w14:paraId="5270FF17">
      <w:pPr>
        <w:pStyle w:val="32"/>
        <w:spacing w:line="360" w:lineRule="auto"/>
        <w:ind w:firstLine="480" w:firstLineChars="200"/>
        <w:rPr>
          <w:rFonts w:hint="eastAsia" w:hAnsi="宋体" w:cs="宋体"/>
          <w:color w:val="000000" w:themeColor="text1"/>
          <w:kern w:val="0"/>
          <w:sz w:val="24"/>
          <w:highlight w:val="none"/>
          <w:lang w:val="zh-CN"/>
          <w14:textFill>
            <w14:solidFill>
              <w14:schemeClr w14:val="tx1"/>
            </w14:solidFill>
          </w14:textFill>
        </w:rPr>
      </w:pPr>
      <w:r>
        <w:rPr>
          <w:rFonts w:hint="eastAsia" w:hAnsi="宋体" w:cs="宋体"/>
          <w:color w:val="000000" w:themeColor="text1"/>
          <w:kern w:val="0"/>
          <w:sz w:val="24"/>
          <w:highlight w:val="none"/>
          <w:lang w:val="zh-CN"/>
          <w14:textFill>
            <w14:solidFill>
              <w14:schemeClr w14:val="tx1"/>
            </w14:solidFill>
          </w14:textFill>
        </w:rPr>
        <w:t>（</w:t>
      </w:r>
      <w:r>
        <w:rPr>
          <w:rFonts w:hint="eastAsia" w:hAnsi="宋体" w:cs="宋体"/>
          <w:color w:val="000000" w:themeColor="text1"/>
          <w:kern w:val="0"/>
          <w:sz w:val="24"/>
          <w:highlight w:val="none"/>
          <w14:textFill>
            <w14:solidFill>
              <w14:schemeClr w14:val="tx1"/>
            </w14:solidFill>
          </w14:textFill>
        </w:rPr>
        <w:t>6）</w:t>
      </w:r>
      <w:r>
        <w:rPr>
          <w:rFonts w:hint="eastAsia" w:hAnsi="宋体" w:cs="宋体"/>
          <w:color w:val="000000" w:themeColor="text1"/>
          <w:kern w:val="0"/>
          <w:sz w:val="24"/>
          <w:highlight w:val="none"/>
          <w:lang w:val="zh-CN"/>
          <w14:textFill>
            <w14:solidFill>
              <w14:schemeClr w14:val="tx1"/>
            </w14:solidFill>
          </w14:textFill>
        </w:rPr>
        <w:t>提出质疑的日期。</w:t>
      </w:r>
    </w:p>
    <w:p w14:paraId="426C3E05">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供应商为自然人的，应当由本人签字；供应商为法人或者其他组织的，应当由法定代表人、主要负责人，或者其授权代表签字或者盖章，并加盖公章。以联合体形式参加政府采购活动的，其投诉应当由组成联合体的所有供应商共同提出。</w:t>
      </w:r>
    </w:p>
    <w:p w14:paraId="6F721C50">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供应商提出质疑使用财政部制定的质疑函范本，该范本可在浙江政府采购网下载专区下载。</w:t>
      </w:r>
    </w:p>
    <w:p w14:paraId="753C095C">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或者</w:t>
      </w:r>
      <w:r>
        <w:rPr>
          <w:rFonts w:hint="eastAsia" w:ascii="宋体" w:hAnsi="宋体" w:eastAsia="宋体" w:cs="宋体"/>
          <w:color w:val="000000" w:themeColor="text1"/>
          <w:sz w:val="24"/>
          <w:szCs w:val="24"/>
          <w:highlight w:val="none"/>
          <w:lang w:val="zh-CN"/>
          <w14:textFill>
            <w14:solidFill>
              <w14:schemeClr w14:val="tx1"/>
            </w14:solidFill>
          </w14:textFill>
        </w:rPr>
        <w:t>采购代理机构应向质疑供应商出具签收回执，注明接收日期。</w:t>
      </w:r>
    </w:p>
    <w:p w14:paraId="5F324FD0">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zh-CN"/>
          <w14:textFill>
            <w14:solidFill>
              <w14:schemeClr w14:val="tx1"/>
            </w14:solidFill>
          </w14:textFill>
        </w:rPr>
        <w:t>供应商提交的质疑函缺少具体明确的质疑事项、事实依据、必要的法律依据、与质疑事项相关的请求、签章等内容的，采购人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或者</w:t>
      </w:r>
      <w:r>
        <w:rPr>
          <w:rFonts w:hint="eastAsia" w:ascii="宋体" w:hAnsi="宋体" w:eastAsia="宋体" w:cs="宋体"/>
          <w:color w:val="000000" w:themeColor="text1"/>
          <w:sz w:val="24"/>
          <w:szCs w:val="24"/>
          <w:highlight w:val="none"/>
          <w:lang w:val="zh-CN"/>
          <w14:textFill>
            <w14:solidFill>
              <w14:schemeClr w14:val="tx1"/>
            </w14:solidFill>
          </w14:textFill>
        </w:rPr>
        <w:t>采购代理机构可通知其在法定质疑期内补充、完善。质疑供应商在法定质疑期内未按要求补充、完善的，自行承担不利后果。</w:t>
      </w:r>
    </w:p>
    <w:p w14:paraId="5EF839C8">
      <w:pPr>
        <w:pStyle w:val="973"/>
        <w:spacing w:line="360" w:lineRule="auto"/>
        <w:ind w:firstLine="48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或者</w:t>
      </w:r>
      <w:r>
        <w:rPr>
          <w:rFonts w:hint="eastAsia" w:ascii="宋体" w:hAnsi="宋体" w:eastAsia="宋体" w:cs="宋体"/>
          <w:color w:val="000000" w:themeColor="text1"/>
          <w:sz w:val="24"/>
          <w:szCs w:val="24"/>
          <w:highlight w:val="none"/>
          <w:lang w:val="zh-CN"/>
          <w14:textFill>
            <w14:solidFill>
              <w14:schemeClr w14:val="tx1"/>
            </w14:solidFill>
          </w14:textFill>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4E1963E5">
      <w:pPr>
        <w:pStyle w:val="888"/>
        <w:shd w:val="clear" w:color="auto" w:fill="FFFFFF"/>
        <w:snapToGrid w:val="0"/>
        <w:spacing w:before="0" w:beforeAutospacing="0" w:after="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供应商有下列情形之一的，质疑事项不予处理，由采购人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或</w:t>
      </w:r>
      <w:r>
        <w:rPr>
          <w:rFonts w:hint="eastAsia" w:cs="宋体"/>
          <w:b/>
          <w:bCs/>
          <w:color w:val="000000" w:themeColor="text1"/>
          <w:sz w:val="24"/>
          <w:szCs w:val="24"/>
          <w:highlight w:val="none"/>
          <w:lang w:val="en-US" w:eastAsia="zh-CN"/>
          <w14:textFill>
            <w14:solidFill>
              <w14:schemeClr w14:val="tx1"/>
            </w14:solidFill>
          </w14:textFill>
        </w:rPr>
        <w:t>者</w:t>
      </w:r>
      <w:r>
        <w:rPr>
          <w:rFonts w:hint="eastAsia"/>
          <w:color w:val="000000" w:themeColor="text1"/>
          <w:highlight w:val="none"/>
          <w14:textFill>
            <w14:solidFill>
              <w14:schemeClr w14:val="tx1"/>
            </w14:solidFill>
          </w14:textFill>
        </w:rPr>
        <w:t>采购代理机构收到质疑函后七个工作日内书面通知质疑供应商：</w:t>
      </w:r>
    </w:p>
    <w:p w14:paraId="624702CE">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bookmarkStart w:id="35" w:name="OLE_LINK3"/>
      <w:r>
        <w:rPr>
          <w:rFonts w:hint="eastAsia"/>
          <w:color w:val="000000" w:themeColor="text1"/>
          <w:highlight w:val="none"/>
          <w14:textFill>
            <w14:solidFill>
              <w14:schemeClr w14:val="tx1"/>
            </w14:solidFill>
          </w14:textFill>
        </w:rPr>
        <w:t>（1）</w:t>
      </w:r>
      <w:bookmarkEnd w:id="35"/>
      <w:r>
        <w:rPr>
          <w:rFonts w:hint="eastAsia"/>
          <w:color w:val="000000" w:themeColor="text1"/>
          <w:highlight w:val="none"/>
          <w14:textFill>
            <w14:solidFill>
              <w14:schemeClr w14:val="tx1"/>
            </w14:solidFill>
          </w14:textFill>
        </w:rPr>
        <w:t>潜在供应商未提供依法获取采购文件证据材料，对采购文件提出质疑的；</w:t>
      </w:r>
    </w:p>
    <w:p w14:paraId="1794F7DA">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）供应商未按采购人、采购代理机构要求提供项目设置的特定资格条件证明材料，对特定资格条件以外的采购文件内容提出质疑的；</w:t>
      </w:r>
    </w:p>
    <w:p w14:paraId="52480FD5">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（3）未提交投标文件，对采购过程、采购结果提出质疑的；</w:t>
      </w:r>
    </w:p>
    <w:p w14:paraId="5B825E45">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（4）未通过资格审查，对评审过程、采购结果提出质疑的；</w:t>
      </w:r>
    </w:p>
    <w:p w14:paraId="050EE933">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（5）未通过符合性审查，对符合性审查后的评审活动、采购结果提出质疑的；</w:t>
      </w:r>
    </w:p>
    <w:p w14:paraId="5897671D">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（6）未通过采购文件规定的方式提出质疑的；</w:t>
      </w:r>
    </w:p>
    <w:p w14:paraId="4AF5DF3D">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（7）提出质疑时间已超出法定质疑期的；</w:t>
      </w:r>
    </w:p>
    <w:p w14:paraId="4CE73625">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（8）采购文件要求供应商在法定质疑期内一次性提出针对同一采购程序环节质疑，再次提出质疑的；</w:t>
      </w:r>
    </w:p>
    <w:p w14:paraId="1FEB4CB2">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（9）质疑函未按采购人、采购代理机构要求补充完善签署、盖章、联系方式、提交合法有效的授权委托书的；</w:t>
      </w:r>
    </w:p>
    <w:p w14:paraId="7D69B166">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（10）质疑供应商未按照采购人、采购代理机构要求提供属于潜在供应商或其合法权益受到损害的事实依据的；</w:t>
      </w:r>
    </w:p>
    <w:p w14:paraId="2CE8FC6B">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（11）以联合体形式参加政府采购活动，联合体成员未共同提出质疑的；</w:t>
      </w:r>
    </w:p>
    <w:p w14:paraId="37218D05">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（12）法律法规或省级以上财政部门规定的其他情形。</w:t>
      </w:r>
    </w:p>
    <w:p w14:paraId="6D22EB86">
      <w:pPr>
        <w:pStyle w:val="888"/>
        <w:shd w:val="clear" w:color="auto" w:fill="FFFFFF"/>
        <w:snapToGrid w:val="0"/>
        <w:spacing w:after="240" w:afterAutospacing="0" w:line="360" w:lineRule="auto"/>
        <w:ind w:firstLine="480" w:firstLineChars="200"/>
        <w:contextualSpacing/>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4.4供应商投诉</w:t>
      </w:r>
    </w:p>
    <w:p w14:paraId="0C8C286E">
      <w:pPr>
        <w:pStyle w:val="888"/>
        <w:shd w:val="clear" w:color="auto" w:fill="FFFFFF"/>
        <w:snapToGrid w:val="0"/>
        <w:spacing w:before="0" w:beforeAutospacing="0" w:after="0" w:afterAutospacing="0" w:line="360" w:lineRule="auto"/>
        <w:ind w:firstLine="480" w:firstLineChars="2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36BAE5D4">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w:t>
      </w:r>
      <w:r>
        <w:rPr>
          <w:rFonts w:hint="eastAsia"/>
          <w:color w:val="000000" w:themeColor="text1"/>
          <w:highlight w:val="none"/>
          <w:lang w:val="zh-CN"/>
          <w14:textFill>
            <w14:solidFill>
              <w14:schemeClr w14:val="tx1"/>
            </w14:solidFill>
          </w14:textFill>
        </w:rPr>
        <w:t>2</w:t>
      </w:r>
      <w:r>
        <w:rPr>
          <w:rFonts w:hint="eastAsia"/>
          <w:color w:val="000000" w:themeColor="text1"/>
          <w:highlight w:val="none"/>
          <w14:textFill>
            <w14:solidFill>
              <w14:schemeClr w14:val="tx1"/>
            </w14:solidFill>
          </w14:textFill>
        </w:rPr>
        <w:t>供应商投诉的事项不得超出已质疑事项的范围，基于质疑答复内容提出的投诉事项除外。</w:t>
      </w:r>
    </w:p>
    <w:p w14:paraId="7C9EB862">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4.4.3供应商投诉应当有明确的请求和必要的证明材料。</w:t>
      </w:r>
    </w:p>
    <w:p w14:paraId="791B1457">
      <w:pPr>
        <w:pStyle w:val="888"/>
        <w:shd w:val="clear" w:color="auto" w:fill="FFFFFF"/>
        <w:snapToGrid w:val="0"/>
        <w:spacing w:after="240" w:afterAutospacing="0" w:line="360" w:lineRule="auto"/>
        <w:ind w:firstLine="4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 以联合体形式参加政府采购活动的，其投诉应当由组成联合体的所有供应商共同提出。</w:t>
      </w:r>
    </w:p>
    <w:p w14:paraId="0A471E7C">
      <w:pPr>
        <w:pStyle w:val="888"/>
        <w:shd w:val="clear" w:color="auto" w:fill="FFFFFF"/>
        <w:snapToGrid w:val="0"/>
        <w:spacing w:after="240" w:afterAutospacing="0" w:line="360" w:lineRule="auto"/>
        <w:ind w:firstLine="480" w:firstLineChars="200"/>
        <w:contextualSpacing/>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4.4.5投诉材料</w:t>
      </w:r>
      <w:r>
        <w:rPr>
          <w:rFonts w:hint="eastAsia" w:hAnsi="Courier New"/>
          <w:color w:val="000000" w:themeColor="text1"/>
          <w:highlight w:val="none"/>
          <w14:textFill>
            <w14:solidFill>
              <w14:schemeClr w14:val="tx1"/>
            </w14:solidFill>
          </w14:textFill>
        </w:rPr>
        <w:t>寄送</w:t>
      </w:r>
      <w:r>
        <w:rPr>
          <w:rFonts w:hint="eastAsia"/>
          <w:color w:val="000000" w:themeColor="text1"/>
          <w:highlight w:val="none"/>
          <w14:textFill>
            <w14:solidFill>
              <w14:schemeClr w14:val="tx1"/>
            </w14:solidFill>
          </w14:textFill>
        </w:rPr>
        <w:t>相关信息详见《第一部分  招标公告》。</w:t>
      </w:r>
    </w:p>
    <w:p w14:paraId="6E210E39">
      <w:pPr>
        <w:pStyle w:val="888"/>
        <w:shd w:val="clear" w:color="auto" w:fill="FFFFFF"/>
        <w:snapToGrid w:val="0"/>
        <w:spacing w:after="240" w:afterAutospacing="0" w:line="360" w:lineRule="auto"/>
        <w:ind w:firstLine="480" w:firstLineChars="200"/>
        <w:contextualSpacing/>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投诉书</w:t>
      </w:r>
      <w:r>
        <w:rPr>
          <w:rFonts w:hint="eastAsia" w:ascii="宋体" w:hAnsi="宋体" w:eastAsia="宋体" w:cs="宋体"/>
          <w:color w:val="000000" w:themeColor="text1"/>
          <w:highlight w:val="none"/>
          <w:lang w:val="zh-CN"/>
          <w14:textFill>
            <w14:solidFill>
              <w14:schemeClr w14:val="tx1"/>
            </w14:solidFill>
          </w14:textFill>
        </w:rPr>
        <w:t>使用财政部制定的</w:t>
      </w:r>
      <w:r>
        <w:rPr>
          <w:rFonts w:hint="eastAsia" w:ascii="宋体" w:hAnsi="宋体" w:eastAsia="宋体" w:cs="宋体"/>
          <w:color w:val="000000" w:themeColor="text1"/>
          <w:highlight w:val="none"/>
          <w14:textFill>
            <w14:solidFill>
              <w14:schemeClr w14:val="tx1"/>
            </w14:solidFill>
          </w14:textFill>
        </w:rPr>
        <w:t>投诉书</w:t>
      </w:r>
      <w:r>
        <w:rPr>
          <w:rFonts w:hint="eastAsia" w:ascii="宋体" w:hAnsi="宋体" w:eastAsia="宋体" w:cs="宋体"/>
          <w:color w:val="000000" w:themeColor="text1"/>
          <w:highlight w:val="none"/>
          <w:lang w:val="zh-CN"/>
          <w14:textFill>
            <w14:solidFill>
              <w14:schemeClr w14:val="tx1"/>
            </w14:solidFill>
          </w14:textFill>
        </w:rPr>
        <w:t>范本，该范本可在浙江政府采购网下载专区下载。</w:t>
      </w:r>
    </w:p>
    <w:p w14:paraId="7FA3473D">
      <w:pPr>
        <w:pStyle w:val="133"/>
        <w:snapToGrid w:val="0"/>
        <w:spacing w:before="0"/>
        <w:ind w:firstLine="360"/>
        <w:rPr>
          <w:rFonts w:ascii="宋体" w:hAnsi="宋体" w:cs="宋体"/>
          <w:color w:val="000000" w:themeColor="text1"/>
          <w:sz w:val="18"/>
          <w:szCs w:val="18"/>
          <w:highlight w:val="none"/>
          <w14:textFill>
            <w14:solidFill>
              <w14:schemeClr w14:val="tx1"/>
            </w14:solidFill>
          </w14:textFill>
        </w:rPr>
      </w:pPr>
    </w:p>
    <w:p w14:paraId="535C149B">
      <w:pPr>
        <w:adjustRightInd/>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 xml:space="preserve">      </w:t>
      </w:r>
      <w:bookmarkStart w:id="36" w:name="_Toc20717"/>
      <w:r>
        <w:rPr>
          <w:rFonts w:hint="eastAsia" w:ascii="宋体" w:hAnsi="宋体" w:cs="宋体"/>
          <w:b/>
          <w:color w:val="000000" w:themeColor="text1"/>
          <w:sz w:val="32"/>
          <w:szCs w:val="20"/>
          <w:highlight w:val="none"/>
          <w14:textFill>
            <w14:solidFill>
              <w14:schemeClr w14:val="tx1"/>
            </w14:solidFill>
          </w14:textFill>
        </w:rPr>
        <w:t>二、招标文件的构成、澄清、修改</w:t>
      </w:r>
      <w:bookmarkEnd w:id="36"/>
    </w:p>
    <w:p w14:paraId="4F021950">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5．招标文件的构成</w:t>
      </w:r>
    </w:p>
    <w:p w14:paraId="712563AF">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 招标文件包括下列文件及附件：</w:t>
      </w:r>
    </w:p>
    <w:p w14:paraId="5F5643CE">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5.1.1招标公告；</w:t>
      </w:r>
    </w:p>
    <w:p w14:paraId="4DEBAFD3">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5.1.2投标人须知；</w:t>
      </w:r>
    </w:p>
    <w:p w14:paraId="0CF350EE">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5.1.3采购需求；</w:t>
      </w:r>
    </w:p>
    <w:p w14:paraId="59E98FDB">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5.1.4评标办法；</w:t>
      </w:r>
    </w:p>
    <w:p w14:paraId="0BF1C20B">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5.1.5拟签订的合同文本；</w:t>
      </w:r>
    </w:p>
    <w:p w14:paraId="5DAF0F5F">
      <w:pPr>
        <w:pStyle w:val="32"/>
        <w:tabs>
          <w:tab w:val="left" w:pos="840"/>
        </w:tabs>
        <w:spacing w:line="360" w:lineRule="auto"/>
        <w:ind w:firstLine="960" w:firstLineChars="4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5.1.6</w:t>
      </w:r>
      <w:r>
        <w:rPr>
          <w:rFonts w:hint="eastAsia" w:hAnsi="宋体" w:cs="宋体"/>
          <w:color w:val="000000" w:themeColor="text1"/>
          <w:sz w:val="24"/>
          <w:szCs w:val="24"/>
          <w:highlight w:val="none"/>
          <w14:textFill>
            <w14:solidFill>
              <w14:schemeClr w14:val="tx1"/>
            </w14:solidFill>
          </w14:textFill>
        </w:rPr>
        <w:t>应提交的有关格式范例。</w:t>
      </w:r>
    </w:p>
    <w:p w14:paraId="22386EA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5.2与本项目有关的</w:t>
      </w:r>
      <w:r>
        <w:rPr>
          <w:rFonts w:hint="eastAsia" w:ascii="宋体" w:hAnsi="宋体" w:cs="宋体"/>
          <w:bCs/>
          <w:color w:val="000000" w:themeColor="text1"/>
          <w:sz w:val="24"/>
          <w:highlight w:val="none"/>
          <w14:textFill>
            <w14:solidFill>
              <w14:schemeClr w14:val="tx1"/>
            </w14:solidFill>
          </w14:textFill>
        </w:rPr>
        <w:t>澄清或者修改的内容为招标文件的组成部分</w:t>
      </w:r>
      <w:r>
        <w:rPr>
          <w:rFonts w:hint="eastAsia" w:ascii="宋体" w:hAnsi="宋体" w:cs="宋体"/>
          <w:color w:val="000000" w:themeColor="text1"/>
          <w:sz w:val="24"/>
          <w:highlight w:val="none"/>
          <w14:textFill>
            <w14:solidFill>
              <w14:schemeClr w14:val="tx1"/>
            </w14:solidFill>
          </w14:textFill>
        </w:rPr>
        <w:t>。</w:t>
      </w:r>
    </w:p>
    <w:p w14:paraId="59FC6FD0">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6. 招标文件的澄清、修改</w:t>
      </w:r>
    </w:p>
    <w:p w14:paraId="0B0B6616">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6.1已获取招标文件的潜在投标人，若有问题需要澄清，应于投标截止时间前，以书面形式向采购代理机构提出。</w:t>
      </w:r>
    </w:p>
    <w:p w14:paraId="329353B8">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233E482">
      <w:pPr>
        <w:pStyle w:val="23"/>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14:paraId="15F21F27">
      <w:pPr>
        <w:adjustRightInd/>
        <w:spacing w:line="360" w:lineRule="auto"/>
        <w:jc w:val="center"/>
        <w:outlineLvl w:val="1"/>
        <w:rPr>
          <w:rFonts w:ascii="宋体" w:hAnsi="宋体" w:cs="宋体"/>
          <w:b/>
          <w:color w:val="000000" w:themeColor="text1"/>
          <w:sz w:val="30"/>
          <w:szCs w:val="20"/>
          <w:highlight w:val="none"/>
          <w14:textFill>
            <w14:solidFill>
              <w14:schemeClr w14:val="tx1"/>
            </w14:solidFill>
          </w14:textFill>
        </w:rPr>
      </w:pPr>
      <w:bookmarkStart w:id="37" w:name="_Toc6708"/>
      <w:r>
        <w:rPr>
          <w:rFonts w:hint="eastAsia" w:ascii="宋体" w:hAnsi="宋体" w:cs="宋体"/>
          <w:b/>
          <w:color w:val="000000" w:themeColor="text1"/>
          <w:sz w:val="30"/>
          <w:szCs w:val="20"/>
          <w:highlight w:val="none"/>
          <w14:textFill>
            <w14:solidFill>
              <w14:schemeClr w14:val="tx1"/>
            </w14:solidFill>
          </w14:textFill>
        </w:rPr>
        <w:t>三、投标</w:t>
      </w:r>
      <w:bookmarkEnd w:id="37"/>
    </w:p>
    <w:p w14:paraId="58D473CE">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7. 招标文件的获取</w:t>
      </w:r>
    </w:p>
    <w:p w14:paraId="5EE20C73">
      <w:pPr>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14:paraId="6FDDE017">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8.开标前答疑会或现场考察</w:t>
      </w:r>
    </w:p>
    <w:p w14:paraId="1EB1105D">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078AAC50">
      <w:pPr>
        <w:pStyle w:val="32"/>
        <w:spacing w:line="360" w:lineRule="auto"/>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kern w:val="28"/>
          <w:sz w:val="24"/>
          <w:szCs w:val="24"/>
          <w:highlight w:val="none"/>
          <w14:textFill>
            <w14:solidFill>
              <w14:schemeClr w14:val="tx1"/>
            </w14:solidFill>
          </w14:textFill>
        </w:rPr>
        <w:t>9.投标保证金</w:t>
      </w:r>
    </w:p>
    <w:p w14:paraId="7FF4DBFF">
      <w:pPr>
        <w:pStyle w:val="5"/>
        <w:spacing w:line="360" w:lineRule="auto"/>
        <w:ind w:firstLine="470" w:firstLineChars="196"/>
        <w:rPr>
          <w:rFonts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本项目不需缴纳投标保证金。</w:t>
      </w:r>
    </w:p>
    <w:p w14:paraId="29453726">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10. 投标文件的语言</w:t>
      </w:r>
    </w:p>
    <w:p w14:paraId="1E208C11">
      <w:pPr>
        <w:autoSpaceDE w:val="0"/>
        <w:autoSpaceDN w:val="0"/>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投标文件及投标人与采购有关的来往通知、函件和文件均应使用中文。</w:t>
      </w:r>
    </w:p>
    <w:p w14:paraId="063233F7">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11. 投标文件的组成</w:t>
      </w:r>
    </w:p>
    <w:p w14:paraId="713802FA">
      <w:pPr>
        <w:snapToGrid w:val="0"/>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11.1</w:t>
      </w:r>
      <w:r>
        <w:rPr>
          <w:rFonts w:hint="eastAsia" w:ascii="宋体" w:hAnsi="宋体" w:cs="宋体"/>
          <w:b/>
          <w:color w:val="000000" w:themeColor="text1"/>
          <w:sz w:val="24"/>
          <w:highlight w:val="none"/>
          <w14:textFill>
            <w14:solidFill>
              <w14:schemeClr w14:val="tx1"/>
            </w14:solidFill>
          </w14:textFill>
        </w:rPr>
        <w:t>资格文件</w:t>
      </w:r>
      <w:r>
        <w:rPr>
          <w:rFonts w:hint="eastAsia" w:ascii="宋体" w:hAnsi="宋体" w:cs="宋体"/>
          <w:color w:val="000000" w:themeColor="text1"/>
          <w:sz w:val="24"/>
          <w:highlight w:val="none"/>
          <w14:textFill>
            <w14:solidFill>
              <w14:schemeClr w14:val="tx1"/>
            </w14:solidFill>
          </w14:textFill>
        </w:rPr>
        <w:t>：</w:t>
      </w:r>
    </w:p>
    <w:p w14:paraId="10BF48A7">
      <w:pPr>
        <w:snapToGrid w:val="0"/>
        <w:spacing w:line="360" w:lineRule="auto"/>
        <w:ind w:left="479" w:leftChars="228"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11.1.1</w:t>
      </w:r>
      <w:r>
        <w:rPr>
          <w:rFonts w:hint="eastAsia" w:ascii="宋体" w:hAnsi="宋体" w:eastAsia="宋体" w:cs="宋体"/>
          <w:color w:val="000000" w:themeColor="text1"/>
          <w:sz w:val="24"/>
          <w:highlight w:val="none"/>
          <w14:textFill>
            <w14:solidFill>
              <w14:schemeClr w14:val="tx1"/>
            </w14:solidFill>
          </w14:textFill>
        </w:rPr>
        <w:t>营业执照等证明材料</w:t>
      </w:r>
      <w:r>
        <w:rPr>
          <w:rFonts w:hint="eastAsia" w:ascii="宋体" w:hAnsi="宋体" w:cs="宋体"/>
          <w:color w:val="000000" w:themeColor="text1"/>
          <w:sz w:val="24"/>
          <w:highlight w:val="none"/>
          <w14:textFill>
            <w14:solidFill>
              <w14:schemeClr w14:val="tx1"/>
            </w14:solidFill>
          </w14:textFill>
        </w:rPr>
        <w:t>；</w:t>
      </w:r>
    </w:p>
    <w:p w14:paraId="03BA5787">
      <w:pPr>
        <w:snapToGrid w:val="0"/>
        <w:spacing w:line="360" w:lineRule="auto"/>
        <w:ind w:firstLine="960" w:firstLineChars="4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注：法人或者其他组织投标的须提供营业执照（或事业法人登记证或其他登记证明材料）扫描件，自然人投标的提供身份证明扫描件</w:t>
      </w:r>
      <w:r>
        <w:rPr>
          <w:rFonts w:hint="eastAsia" w:ascii="宋体" w:hAnsi="宋体" w:eastAsia="宋体" w:cs="宋体"/>
          <w:color w:val="000000" w:themeColor="text1"/>
          <w:sz w:val="24"/>
          <w:highlight w:val="none"/>
          <w:lang w:eastAsia="zh-CN"/>
          <w14:textFill>
            <w14:solidFill>
              <w14:schemeClr w14:val="tx1"/>
            </w14:solidFill>
          </w14:textFill>
        </w:rPr>
        <w:t>。</w:t>
      </w:r>
    </w:p>
    <w:p w14:paraId="307E3209">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11.1.2符合参加政府采购活动应当具备的一般条件的承诺函；</w:t>
      </w:r>
    </w:p>
    <w:p w14:paraId="06AB78C9">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w:t>
      </w:r>
      <w:bookmarkStart w:id="38" w:name="_Hlk101259339"/>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End w:id="38"/>
      <w:r>
        <w:rPr>
          <w:rFonts w:hint="eastAsia" w:ascii="宋体" w:hAnsi="宋体" w:cs="宋体"/>
          <w:snapToGrid w:val="0"/>
          <w:color w:val="000000" w:themeColor="text1"/>
          <w:kern w:val="28"/>
          <w:sz w:val="24"/>
          <w:szCs w:val="20"/>
          <w:highlight w:val="none"/>
          <w14:textFill>
            <w14:solidFill>
              <w14:schemeClr w14:val="tx1"/>
            </w14:solidFill>
          </w14:textFill>
        </w:rPr>
        <w:t>（如适用)；</w:t>
      </w:r>
    </w:p>
    <w:p w14:paraId="0DCB3618">
      <w:pPr>
        <w:snapToGrid w:val="0"/>
        <w:spacing w:line="360" w:lineRule="auto"/>
        <w:ind w:firstLine="960" w:firstLineChars="40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11.1.4落实政府采购政策需满足的资格要求</w:t>
      </w:r>
      <w:r>
        <w:rPr>
          <w:rFonts w:hint="eastAsia" w:ascii="宋体" w:hAnsi="宋体" w:eastAsia="宋体" w:cs="宋体"/>
          <w:color w:val="000000" w:themeColor="text1"/>
          <w:sz w:val="24"/>
          <w:highlight w:val="none"/>
          <w:lang w:val="en-US"/>
          <w14:textFill>
            <w14:solidFill>
              <w14:schemeClr w14:val="tx1"/>
            </w14:solidFill>
          </w14:textFill>
        </w:rPr>
        <w:t>（提供以下资料之一）</w:t>
      </w:r>
      <w:r>
        <w:rPr>
          <w:rFonts w:hint="eastAsia" w:ascii="宋体" w:hAnsi="宋体" w:cs="宋体"/>
          <w:color w:val="000000" w:themeColor="text1"/>
          <w:sz w:val="24"/>
          <w:highlight w:val="none"/>
          <w:lang w:eastAsia="zh-CN"/>
          <w14:textFill>
            <w14:solidFill>
              <w14:schemeClr w14:val="tx1"/>
            </w14:solidFill>
          </w14:textFill>
        </w:rPr>
        <w:t>：</w:t>
      </w:r>
    </w:p>
    <w:p w14:paraId="6553DB4C">
      <w:pPr>
        <w:snapToGrid w:val="0"/>
        <w:spacing w:line="360" w:lineRule="auto"/>
        <w:ind w:left="479" w:leftChars="228" w:firstLine="480" w:firstLineChars="20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11.1.4-1中小企业声明函（如有）；</w:t>
      </w:r>
    </w:p>
    <w:p w14:paraId="4F8EA40B">
      <w:pPr>
        <w:snapToGrid w:val="0"/>
        <w:spacing w:line="360" w:lineRule="auto"/>
        <w:ind w:left="479" w:leftChars="228" w:firstLine="480" w:firstLineChars="200"/>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11.1.4-2残疾人福利性单位声明函(如有）；</w:t>
      </w:r>
    </w:p>
    <w:p w14:paraId="5F4E5F79">
      <w:pPr>
        <w:snapToGrid w:val="0"/>
        <w:spacing w:line="360" w:lineRule="auto"/>
        <w:ind w:firstLine="960" w:firstLineChars="4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11.1.4-3由省级以上监狱管理局、戒毒管理局（含新疆生产建设兵团）出具的属于监狱企业的证明文件（如有）</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36308527">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11.1.5本项目的特定资</w:t>
      </w:r>
      <w:r>
        <w:rPr>
          <w:rFonts w:hint="eastAsia" w:ascii="宋体" w:hAnsi="宋体" w:eastAsia="宋体" w:cs="宋体"/>
          <w:color w:val="000000" w:themeColor="text1"/>
          <w:sz w:val="24"/>
          <w:highlight w:val="none"/>
          <w14:textFill>
            <w14:solidFill>
              <w14:schemeClr w14:val="tx1"/>
            </w14:solidFill>
          </w14:textFill>
        </w:rPr>
        <w:t>格要求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无。</w:t>
      </w:r>
    </w:p>
    <w:p w14:paraId="5EA67A89">
      <w:pPr>
        <w:pStyle w:val="23"/>
        <w:rPr>
          <w:rFonts w:ascii="宋体" w:hAnsi="宋体" w:cs="宋体"/>
          <w:b/>
          <w:bCs/>
          <w:color w:val="000000" w:themeColor="text1"/>
          <w:sz w:val="24"/>
          <w:highlight w:val="none"/>
          <w:lang w:val="zh-CN"/>
          <w14:textFill>
            <w14:solidFill>
              <w14:schemeClr w14:val="tx1"/>
            </w14:solidFill>
          </w14:textFill>
        </w:rPr>
      </w:pPr>
      <w:r>
        <w:rPr>
          <w:rFonts w:hint="eastAsia" w:hAnsi="宋体" w:cs="宋体"/>
          <w:color w:val="000000" w:themeColor="text1"/>
          <w:highlight w:val="none"/>
          <w:lang w:val="en-US"/>
          <w14:textFill>
            <w14:solidFill>
              <w14:schemeClr w14:val="tx1"/>
            </w14:solidFill>
          </w14:textFill>
        </w:rPr>
        <w:t xml:space="preserve">        11.1.6</w:t>
      </w:r>
      <w:r>
        <w:rPr>
          <w:rFonts w:hint="eastAsia" w:hAnsi="宋体"/>
          <w:color w:val="000000" w:themeColor="text1"/>
          <w:kern w:val="0"/>
          <w:highlight w:val="none"/>
          <w14:textFill>
            <w14:solidFill>
              <w14:schemeClr w14:val="tx1"/>
            </w14:solidFill>
          </w14:textFill>
        </w:rPr>
        <w:t>业务专用章使用说明函（如适用）。</w:t>
      </w:r>
    </w:p>
    <w:p w14:paraId="4CF36F4D">
      <w:pPr>
        <w:snapToGrid w:val="0"/>
        <w:spacing w:line="360" w:lineRule="auto"/>
        <w:ind w:firstLine="482" w:firstLineChars="200"/>
        <w:rPr>
          <w:rFonts w:ascii="宋体" w:hAnsi="宋体" w:cs="宋体"/>
          <w:b/>
          <w:bCs/>
          <w:color w:val="000000" w:themeColor="text1"/>
          <w:sz w:val="24"/>
          <w:highlight w:val="none"/>
          <w:lang w:val="zh-CN"/>
          <w14:textFill>
            <w14:solidFill>
              <w14:schemeClr w14:val="tx1"/>
            </w14:solidFill>
          </w14:textFill>
        </w:rPr>
      </w:pPr>
      <w:r>
        <w:rPr>
          <w:rFonts w:hint="eastAsia" w:ascii="宋体" w:hAnsi="宋体" w:cs="宋体"/>
          <w:b/>
          <w:bCs/>
          <w:color w:val="000000" w:themeColor="text1"/>
          <w:sz w:val="24"/>
          <w:highlight w:val="none"/>
          <w:lang w:val="zh-CN"/>
          <w14:textFill>
            <w14:solidFill>
              <w14:schemeClr w14:val="tx1"/>
            </w14:solidFill>
          </w14:textFill>
        </w:rPr>
        <w:t>11.</w:t>
      </w:r>
      <w:r>
        <w:rPr>
          <w:rFonts w:hint="eastAsia" w:ascii="宋体" w:hAnsi="宋体" w:cs="宋体"/>
          <w:b/>
          <w:bCs/>
          <w:color w:val="000000" w:themeColor="text1"/>
          <w:sz w:val="24"/>
          <w:highlight w:val="none"/>
          <w14:textFill>
            <w14:solidFill>
              <w14:schemeClr w14:val="tx1"/>
            </w14:solidFill>
          </w14:textFill>
        </w:rPr>
        <w:t>2</w:t>
      </w:r>
      <w:r>
        <w:rPr>
          <w:rFonts w:hint="eastAsia" w:ascii="宋体" w:hAnsi="宋体" w:cs="宋体"/>
          <w:b/>
          <w:bCs/>
          <w:color w:val="000000" w:themeColor="text1"/>
          <w:sz w:val="24"/>
          <w:highlight w:val="none"/>
          <w:lang w:val="zh-CN"/>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商务技术</w:t>
      </w:r>
      <w:r>
        <w:rPr>
          <w:rFonts w:hint="eastAsia" w:ascii="宋体" w:hAnsi="宋体" w:cs="宋体"/>
          <w:b/>
          <w:bCs/>
          <w:color w:val="000000" w:themeColor="text1"/>
          <w:sz w:val="24"/>
          <w:highlight w:val="none"/>
          <w:lang w:val="zh-CN"/>
          <w14:textFill>
            <w14:solidFill>
              <w14:schemeClr w14:val="tx1"/>
            </w14:solidFill>
          </w14:textFill>
        </w:rPr>
        <w:t>文件：</w:t>
      </w:r>
    </w:p>
    <w:p w14:paraId="4606CD73">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11.2.1投标函</w:t>
      </w:r>
    </w:p>
    <w:p w14:paraId="18BA569B">
      <w:pPr>
        <w:snapToGrid w:val="0"/>
        <w:spacing w:line="360" w:lineRule="auto"/>
        <w:ind w:left="958" w:leftChars="456"/>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11.2.2授权委托书或法定代表人（单位负责人、自然人本人）身份证明</w:t>
      </w:r>
      <w:r>
        <w:rPr>
          <w:rFonts w:hint="eastAsia" w:ascii="宋体" w:hAnsi="宋体" w:cs="宋体"/>
          <w:color w:val="000000" w:themeColor="text1"/>
          <w:highlight w:val="none"/>
          <w14:textFill>
            <w14:solidFill>
              <w14:schemeClr w14:val="tx1"/>
            </w14:solidFill>
          </w14:textFill>
        </w:rPr>
        <w:t>；</w:t>
      </w:r>
    </w:p>
    <w:p w14:paraId="21BBF2FD">
      <w:pPr>
        <w:snapToGrid w:val="0"/>
        <w:spacing w:line="360" w:lineRule="auto"/>
        <w:ind w:left="958" w:leftChars="45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11.2.3分包意向协议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如</w:t>
      </w:r>
      <w:r>
        <w:rPr>
          <w:rFonts w:hint="eastAsia" w:ascii="宋体" w:hAnsi="宋体" w:cs="宋体"/>
          <w:snapToGrid w:val="0"/>
          <w:color w:val="000000" w:themeColor="text1"/>
          <w:kern w:val="28"/>
          <w:sz w:val="24"/>
          <w:szCs w:val="20"/>
          <w:highlight w:val="none"/>
          <w14:textFill>
            <w14:solidFill>
              <w14:schemeClr w14:val="tx1"/>
            </w14:solidFill>
          </w14:textFill>
        </w:rPr>
        <w:t>适用)</w:t>
      </w:r>
    </w:p>
    <w:p w14:paraId="24A50224">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11.2.4符合性审查资料</w:t>
      </w:r>
    </w:p>
    <w:p w14:paraId="33164A6D">
      <w:pPr>
        <w:snapToGrid w:val="0"/>
        <w:spacing w:line="360" w:lineRule="auto"/>
        <w:ind w:firstLine="960" w:firstLineChars="4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hint="eastAsia" w:ascii="宋体" w:hAnsi="宋体" w:cs="宋体"/>
          <w:color w:val="000000" w:themeColor="text1"/>
          <w:sz w:val="24"/>
          <w:highlight w:val="none"/>
          <w:lang w:val="zh-CN"/>
          <w14:textFill>
            <w14:solidFill>
              <w14:schemeClr w14:val="tx1"/>
            </w14:solidFill>
          </w14:textFill>
        </w:rPr>
        <w:t>.5政府采购供应商廉洁自律承诺书</w:t>
      </w:r>
    </w:p>
    <w:p w14:paraId="30142B4F">
      <w:pPr>
        <w:snapToGrid w:val="0"/>
        <w:spacing w:line="360" w:lineRule="auto"/>
        <w:ind w:firstLine="960" w:firstLineChars="4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val="zh-CN"/>
          <w14:textFill>
            <w14:solidFill>
              <w14:schemeClr w14:val="tx1"/>
            </w14:solidFill>
          </w14:textFill>
        </w:rPr>
        <w:t>商务</w:t>
      </w:r>
      <w:r>
        <w:rPr>
          <w:rFonts w:hint="eastAsia" w:ascii="宋体" w:hAnsi="宋体" w:cs="宋体"/>
          <w:color w:val="000000" w:themeColor="text1"/>
          <w:sz w:val="24"/>
          <w:highlight w:val="none"/>
          <w:lang w:val="en-US" w:eastAsia="zh-CN"/>
          <w14:textFill>
            <w14:solidFill>
              <w14:schemeClr w14:val="tx1"/>
            </w14:solidFill>
          </w14:textFill>
        </w:rPr>
        <w:t>及服务</w:t>
      </w:r>
      <w:r>
        <w:rPr>
          <w:rFonts w:hint="eastAsia" w:ascii="宋体" w:hAnsi="宋体" w:cs="宋体"/>
          <w:color w:val="000000" w:themeColor="text1"/>
          <w:sz w:val="24"/>
          <w:highlight w:val="none"/>
          <w:lang w:val="zh-CN"/>
          <w14:textFill>
            <w14:solidFill>
              <w14:schemeClr w14:val="tx1"/>
            </w14:solidFill>
          </w14:textFill>
        </w:rPr>
        <w:t>偏离表</w:t>
      </w:r>
    </w:p>
    <w:p w14:paraId="724017A2">
      <w:pPr>
        <w:snapToGrid w:val="0"/>
        <w:spacing w:line="360" w:lineRule="auto"/>
        <w:ind w:firstLine="960" w:firstLineChars="4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val="zh-CN"/>
          <w14:textFill>
            <w14:solidFill>
              <w14:schemeClr w14:val="tx1"/>
            </w14:solidFill>
          </w14:textFill>
        </w:rPr>
        <w:t>评</w:t>
      </w:r>
      <w:r>
        <w:rPr>
          <w:rFonts w:hint="eastAsia" w:ascii="宋体" w:hAnsi="宋体" w:cs="宋体"/>
          <w:color w:val="000000" w:themeColor="text1"/>
          <w:sz w:val="24"/>
          <w:highlight w:val="none"/>
          <w:lang w:val="en-US"/>
          <w14:textFill>
            <w14:solidFill>
              <w14:schemeClr w14:val="tx1"/>
            </w14:solidFill>
          </w14:textFill>
        </w:rPr>
        <w:t>标标准相应的商务技术资料；</w:t>
      </w:r>
    </w:p>
    <w:p w14:paraId="4FC90E9D">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-1）</w:t>
      </w:r>
      <w:r>
        <w:rPr>
          <w:rFonts w:hint="eastAsia" w:ascii="宋体" w:hAnsi="宋体" w:eastAsia="宋体" w:cs="宋体"/>
          <w:color w:val="000000" w:themeColor="text1"/>
          <w:sz w:val="24"/>
          <w:highlight w:val="none"/>
          <w:lang w:val="en-US"/>
          <w14:textFill>
            <w14:solidFill>
              <w14:schemeClr w14:val="tx1"/>
            </w14:solidFill>
          </w14:textFill>
        </w:rPr>
        <w:t>项目需求及现状分析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50AE88D">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-2）重点难点分析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22965EA">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-3）重点难点</w:t>
      </w:r>
      <w:r>
        <w:rPr>
          <w:rFonts w:hint="eastAsia" w:ascii="宋体" w:hAnsi="宋体" w:eastAsia="宋体" w:cs="宋体"/>
          <w:color w:val="000000" w:themeColor="text1"/>
          <w:sz w:val="24"/>
          <w:highlight w:val="none"/>
          <w:lang w:val="en-US" w:eastAsia="zh-CN"/>
          <w14:textFill>
            <w14:solidFill>
              <w14:schemeClr w14:val="tx1"/>
            </w14:solidFill>
          </w14:textFill>
        </w:rPr>
        <w:t>解决方案；</w:t>
      </w:r>
    </w:p>
    <w:p w14:paraId="6C78DC97">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项目实施</w:t>
      </w:r>
      <w:r>
        <w:rPr>
          <w:rFonts w:hint="eastAsia" w:ascii="宋体" w:hAnsi="宋体" w:eastAsia="宋体" w:cs="宋体"/>
          <w:color w:val="000000" w:themeColor="text1"/>
          <w:sz w:val="24"/>
          <w:highlight w:val="none"/>
          <w:lang w:val="zh-CN" w:eastAsia="zh-CN"/>
          <w14:textFill>
            <w14:solidFill>
              <w14:schemeClr w14:val="tx1"/>
            </w14:solidFill>
          </w14:textFill>
        </w:rPr>
        <w:t>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1625DE1">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zh-CN" w:eastAsia="zh-CN"/>
          <w14:textFill>
            <w14:solidFill>
              <w14:schemeClr w14:val="tx1"/>
            </w14:solidFill>
          </w14:textFill>
        </w:rPr>
        <w:t>）拟派实施团队</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EEC847F">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质量保证措施</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B9A21A5">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）验收方案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FD00195">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保密方案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0B5A0E9">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文档管理方案；</w:t>
      </w:r>
    </w:p>
    <w:p w14:paraId="43A0AB2B">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技术支持方案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958396E">
      <w:pPr>
        <w:snapToGrid w:val="0"/>
        <w:spacing w:line="360" w:lineRule="auto"/>
        <w:ind w:firstLine="960" w:firstLineChars="4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zh-CN" w:eastAsia="zh-CN"/>
          <w14:textFill>
            <w14:solidFill>
              <w14:schemeClr w14:val="tx1"/>
            </w14:solidFill>
          </w14:textFill>
        </w:rPr>
        <w:t>）业绩一览表</w:t>
      </w:r>
      <w:r>
        <w:rPr>
          <w:rFonts w:hint="eastAsia" w:ascii="宋体" w:hAnsi="宋体" w:cs="宋体"/>
          <w:color w:val="000000" w:themeColor="text1"/>
          <w:sz w:val="24"/>
          <w:highlight w:val="none"/>
          <w:lang w:val="en-US" w:eastAsia="zh-CN"/>
          <w14:textFill>
            <w14:solidFill>
              <w14:schemeClr w14:val="tx1"/>
            </w14:solidFill>
          </w14:textFill>
        </w:rPr>
        <w:t>及合同扫描件（如有）</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D23072C">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zh-CN" w:eastAsia="zh-CN"/>
          <w14:textFill>
            <w14:solidFill>
              <w14:schemeClr w14:val="tx1"/>
            </w14:solidFill>
          </w14:textFill>
        </w:rPr>
        <w:t>）有效的认证证书复印件（扫描件）及国家认证认可监督管理委员会官网（http://www.cnca.gov.cn/）查询截图（查询结果须为有效）并加盖投标人公章</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如有</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C63DCEA">
      <w:pPr>
        <w:snapToGrid w:val="0"/>
        <w:spacing w:line="360" w:lineRule="auto"/>
        <w:ind w:firstLine="960" w:firstLineChars="4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（11.2.</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lang w:val="zh-CN" w:eastAsia="zh-CN"/>
          <w14:textFill>
            <w14:solidFill>
              <w14:schemeClr w14:val="tx1"/>
            </w14:solidFill>
          </w14:textFill>
        </w:rPr>
        <w:t>）软件著作权证书扫描件加盖投标人公章</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如有</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62231C1">
      <w:pPr>
        <w:snapToGrid w:val="0"/>
        <w:spacing w:line="360" w:lineRule="auto"/>
        <w:ind w:firstLine="482" w:firstLineChars="200"/>
        <w:rPr>
          <w:rFonts w:ascii="宋体" w:hAnsi="宋体" w:cs="宋体"/>
          <w:color w:val="000000" w:themeColor="text1"/>
          <w:sz w:val="24"/>
          <w:highlight w:val="none"/>
          <w:u w:val="single"/>
          <w:lang w:val="zh-CN"/>
          <w14:textFill>
            <w14:solidFill>
              <w14:schemeClr w14:val="tx1"/>
            </w14:solidFill>
          </w14:textFill>
        </w:rPr>
      </w:pPr>
      <w:r>
        <w:rPr>
          <w:rFonts w:hint="eastAsia" w:ascii="宋体" w:hAnsi="宋体" w:cs="宋体"/>
          <w:b/>
          <w:bCs/>
          <w:color w:val="000000" w:themeColor="text1"/>
          <w:kern w:val="0"/>
          <w:sz w:val="24"/>
          <w:highlight w:val="none"/>
          <w:lang w:val="zh-CN"/>
          <w14:textFill>
            <w14:solidFill>
              <w14:schemeClr w14:val="tx1"/>
            </w14:solidFill>
          </w14:textFill>
        </w:rPr>
        <w:t>11.</w:t>
      </w:r>
      <w:r>
        <w:rPr>
          <w:rFonts w:hint="eastAsia" w:ascii="宋体" w:hAnsi="宋体" w:cs="宋体"/>
          <w:b/>
          <w:bCs/>
          <w:color w:val="000000" w:themeColor="text1"/>
          <w:kern w:val="0"/>
          <w:sz w:val="24"/>
          <w:highlight w:val="non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报价文件：</w:t>
      </w:r>
      <w:r>
        <w:rPr>
          <w:rFonts w:hint="eastAsia" w:ascii="宋体" w:hAnsi="宋体" w:cs="宋体"/>
          <w:color w:val="000000" w:themeColor="text1"/>
          <w:sz w:val="24"/>
          <w:highlight w:val="none"/>
          <w14:textFill>
            <w14:solidFill>
              <w14:schemeClr w14:val="tx1"/>
            </w14:solidFill>
          </w14:textFill>
        </w:rPr>
        <w:t xml:space="preserve"> </w:t>
      </w:r>
    </w:p>
    <w:p w14:paraId="00085D01">
      <w:pPr>
        <w:snapToGrid w:val="0"/>
        <w:spacing w:line="360"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11.3.1开标一览表；</w:t>
      </w:r>
    </w:p>
    <w:p w14:paraId="378B1BEF">
      <w:pPr>
        <w:snapToGrid w:val="0"/>
        <w:spacing w:line="360" w:lineRule="auto"/>
        <w:ind w:firstLine="720"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11.3.2投标报价明细表</w:t>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w:t>
      </w:r>
    </w:p>
    <w:p w14:paraId="3C838761">
      <w:pPr>
        <w:spacing w:line="360" w:lineRule="auto"/>
        <w:ind w:firstLine="723"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24AED868">
      <w:pPr>
        <w:spacing w:line="360" w:lineRule="auto"/>
        <w:ind w:firstLine="723"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14:paraId="20DB5722">
      <w:pPr>
        <w:spacing w:line="360" w:lineRule="auto"/>
        <w:ind w:firstLine="723" w:firstLineChars="300"/>
        <w:rPr>
          <w:rFonts w:ascii="宋体" w:hAnsi="宋体" w:cs="宋体"/>
          <w:b/>
          <w:color w:val="000000" w:themeColor="text1"/>
          <w:sz w:val="24"/>
          <w:szCs w:val="21"/>
          <w:highlight w:val="none"/>
          <w14:textFill>
            <w14:solidFill>
              <w14:schemeClr w14:val="tx1"/>
            </w14:solidFill>
          </w14:textFill>
        </w:rPr>
      </w:pPr>
      <w:r>
        <w:rPr>
          <w:rFonts w:hint="eastAsia"/>
          <w:b/>
          <w:color w:val="000000" w:themeColor="text1"/>
          <w:sz w:val="24"/>
          <w:highlight w:val="none"/>
          <w:shd w:val="clear" w:color="auto" w:fill="FFFFFF"/>
          <w14:textFill>
            <w14:solidFill>
              <w14:schemeClr w14:val="tx1"/>
            </w14:solidFill>
          </w14:textFill>
        </w:rPr>
        <w:t>投标人应对投标文件中材料的真实性、合法性负责。投标人可事先在公开官网查询、核对相关证书和报告内容，确保投标文件资料准确无误。</w:t>
      </w:r>
    </w:p>
    <w:p w14:paraId="1315032F">
      <w:pPr>
        <w:snapToGrid w:val="0"/>
        <w:spacing w:line="360" w:lineRule="auto"/>
        <w:rPr>
          <w:rFonts w:ascii="宋体" w:hAnsi="宋体" w:cs="宋体"/>
          <w:b/>
          <w:color w:val="000000" w:themeColor="text1"/>
          <w:sz w:val="24"/>
          <w:highlight w:val="none"/>
          <w14:textFill>
            <w14:solidFill>
              <w14:schemeClr w14:val="tx1"/>
            </w14:solidFill>
          </w14:textFill>
        </w:rPr>
      </w:pPr>
      <w:bookmarkStart w:id="39" w:name="_Toc14413"/>
      <w:r>
        <w:rPr>
          <w:rFonts w:hint="eastAsia" w:ascii="宋体" w:hAnsi="宋体" w:cs="宋体"/>
          <w:b/>
          <w:color w:val="000000" w:themeColor="text1"/>
          <w:sz w:val="24"/>
          <w:highlight w:val="none"/>
          <w14:textFill>
            <w14:solidFill>
              <w14:schemeClr w14:val="tx1"/>
            </w14:solidFill>
          </w14:textFill>
        </w:rPr>
        <w:t>12</w:t>
      </w:r>
      <w:r>
        <w:rPr>
          <w:rFonts w:hint="eastAsia" w:ascii="宋体" w:hAnsi="宋体" w:cs="宋体"/>
          <w:b/>
          <w:color w:val="000000" w:themeColor="text1"/>
          <w:sz w:val="24"/>
          <w:highlight w:val="none"/>
          <w:lang w:val="zh-CN"/>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投标文件的编制</w:t>
      </w:r>
      <w:bookmarkEnd w:id="39"/>
    </w:p>
    <w:p w14:paraId="28A5C055">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32CBDE8">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334FDFD7">
      <w:pPr>
        <w:spacing w:line="360" w:lineRule="auto"/>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3BB9F236">
      <w:pPr>
        <w:snapToGrid w:val="0"/>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13.投标文件的签署、盖章</w:t>
      </w:r>
    </w:p>
    <w:p w14:paraId="4C616B4B">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13.1投标文件按照招标文件第六部分格式要</w:t>
      </w:r>
      <w:r>
        <w:rPr>
          <w:rFonts w:hint="eastAsia" w:ascii="宋体" w:hAnsi="宋体" w:cs="宋体"/>
          <w:color w:val="000000" w:themeColor="text1"/>
          <w:highlight w:val="none"/>
          <w14:textFill>
            <w14:solidFill>
              <w14:schemeClr w14:val="tx1"/>
            </w14:solidFill>
          </w14:textFill>
        </w:rPr>
        <w:t>求进行签署、盖章。</w:t>
      </w:r>
    </w:p>
    <w:p w14:paraId="14CAE303">
      <w:pPr>
        <w:pStyle w:val="133"/>
        <w:snapToGrid w:val="0"/>
        <w:spacing w:before="0"/>
        <w:ind w:firstLine="480"/>
        <w:rPr>
          <w:rFonts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投标人的投标文件未按照招标文件要求签署、盖章的，其投标无效</w:t>
      </w:r>
      <w:r>
        <w:rPr>
          <w:rFonts w:hint="eastAsia" w:ascii="宋体" w:hAnsi="宋体" w:cs="宋体"/>
          <w:color w:val="000000" w:themeColor="text1"/>
          <w:szCs w:val="24"/>
          <w:highlight w:val="none"/>
          <w14:textFill>
            <w14:solidFill>
              <w14:schemeClr w14:val="tx1"/>
            </w14:solidFill>
          </w14:textFill>
        </w:rPr>
        <w:t>。</w:t>
      </w:r>
    </w:p>
    <w:p w14:paraId="4EA8FEE3">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13.2为确保网上操作合法、有效和安全，投标人应当在投标截止时间前完成在“政府采购云平台”的身份认证，确保在电子投标过程中能够对相关数据电文进行加密和使用电子签章。</w:t>
      </w:r>
    </w:p>
    <w:p w14:paraId="14B73292">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13.3招标文件对投标文件签署、盖章的要求适用于电子签章。</w:t>
      </w:r>
    </w:p>
    <w:p w14:paraId="1450312F">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14. 投标文件的提交、补充、修改、撤回</w:t>
      </w:r>
    </w:p>
    <w:p w14:paraId="2BF9DA29">
      <w:pPr>
        <w:pStyle w:val="133"/>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8A86F06">
      <w:pPr>
        <w:pStyle w:val="133"/>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047E5F9B">
      <w:pPr>
        <w:pStyle w:val="133"/>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7C868DD8">
      <w:pPr>
        <w:pStyle w:val="32"/>
        <w:spacing w:line="360" w:lineRule="auto"/>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15.备份投标文件</w:t>
      </w:r>
    </w:p>
    <w:p w14:paraId="6ACF6B2F">
      <w:pPr>
        <w:pStyle w:val="32"/>
        <w:spacing w:line="360" w:lineRule="auto"/>
        <w:ind w:firstLine="360" w:firstLineChars="15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15.1投标人在电子交易平台传输递交投标文件后，还可以在投标截止时间前直接提交或者以邮寄方式递交备份投标文件1份，</w:t>
      </w:r>
      <w:r>
        <w:rPr>
          <w:rFonts w:hint="eastAsia" w:hAnsi="宋体" w:cs="宋体"/>
          <w:b/>
          <w:color w:val="000000" w:themeColor="text1"/>
          <w:sz w:val="24"/>
          <w:szCs w:val="24"/>
          <w:highlight w:val="none"/>
          <w14:textFill>
            <w14:solidFill>
              <w14:schemeClr w14:val="tx1"/>
            </w14:solidFill>
          </w14:textFill>
        </w:rPr>
        <w:t>但采购人、采购代理机构不强制投标人提交备份投标文件。</w:t>
      </w:r>
    </w:p>
    <w:p w14:paraId="3D82E5CD">
      <w:pPr>
        <w:pStyle w:val="32"/>
        <w:spacing w:line="360" w:lineRule="auto"/>
        <w:ind w:firstLine="480" w:firstLineChars="200"/>
        <w:rPr>
          <w:rFonts w:hAnsi="宋体" w:cs="宋体"/>
          <w:b/>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15.2备份投标文件须在“政采云投标客户端”制作生成，并储存在</w:t>
      </w:r>
      <w:r>
        <w:rPr>
          <w:rFonts w:hint="eastAsia" w:hAnsi="宋体" w:cs="宋体"/>
          <w:color w:val="000000" w:themeColor="text1"/>
          <w:kern w:val="28"/>
          <w:sz w:val="24"/>
          <w:highlight w:val="none"/>
          <w14:textFill>
            <w14:solidFill>
              <w14:schemeClr w14:val="tx1"/>
            </w14:solidFill>
          </w14:textFill>
        </w:rPr>
        <w:t>U盘存储</w:t>
      </w:r>
      <w:r>
        <w:rPr>
          <w:rFonts w:hint="eastAsia" w:hAnsi="宋体" w:cs="宋体"/>
          <w:color w:val="000000" w:themeColor="text1"/>
          <w:sz w:val="24"/>
          <w:highlight w:val="none"/>
          <w14:textFill>
            <w14:solidFill>
              <w14:schemeClr w14:val="tx1"/>
            </w14:solidFill>
          </w14:textFill>
        </w:rPr>
        <w:t>介质</w:t>
      </w:r>
      <w:r>
        <w:rPr>
          <w:rFonts w:hint="eastAsia" w:hAnsi="宋体" w:cs="宋体"/>
          <w:color w:val="000000" w:themeColor="text1"/>
          <w:sz w:val="24"/>
          <w:szCs w:val="24"/>
          <w:highlight w:val="none"/>
          <w14:textFill>
            <w14:solidFill>
              <w14:schemeClr w14:val="tx1"/>
            </w14:solidFill>
          </w14:textFill>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000000" w:themeColor="text1"/>
          <w:sz w:val="24"/>
          <w:highlight w:val="none"/>
          <w14:textFill>
            <w14:solidFill>
              <w14:schemeClr w14:val="tx1"/>
            </w14:solidFill>
          </w14:textFill>
        </w:rPr>
        <w:t>不符合上述制作、</w:t>
      </w:r>
      <w:r>
        <w:rPr>
          <w:rFonts w:hint="eastAsia" w:hAnsi="宋体" w:cs="宋体"/>
          <w:b/>
          <w:color w:val="000000" w:themeColor="text1"/>
          <w:sz w:val="24"/>
          <w:szCs w:val="24"/>
          <w:highlight w:val="none"/>
          <w14:textFill>
            <w14:solidFill>
              <w14:schemeClr w14:val="tx1"/>
            </w14:solidFill>
          </w14:textFill>
        </w:rPr>
        <w:t>存储、密封规定的备份投标文件将被视为无效或者被拒绝接收。</w:t>
      </w:r>
    </w:p>
    <w:p w14:paraId="41C43AA1">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15.3直接提交备份投标文件的，投标人应于投标截止时间前在招标文件第二部分投标人须知前附表载明地点将备份投标文件提交给采购代理机构，采购代理机构将拒绝接受逾期送达的备份投标文件。</w:t>
      </w:r>
    </w:p>
    <w:p w14:paraId="49042D85">
      <w:pPr>
        <w:pStyle w:val="32"/>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15.4以邮寄方式递交备份投标文件的，投标人应先将备份投标文件按要求密封和标记，再进行邮件外包装后邮寄。备份投标文件须在招标文件第二部分投标人须知前附表规定截止时间之前送达到规定的地点</w:t>
      </w:r>
      <w:r>
        <w:rPr>
          <w:rFonts w:hint="eastAsia" w:hAnsi="宋体" w:cs="宋体"/>
          <w:snapToGrid/>
          <w:color w:val="000000" w:themeColor="text1"/>
          <w:sz w:val="24"/>
          <w:szCs w:val="24"/>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送达时间以签收人签收时间为准。采购代理机构将拒绝接受逾期送达的备份投标文件。邮寄过程中，电子备份投标文件发生泄露、遗失、损坏或延期送达等情况的，由投标人自行负责。</w:t>
      </w:r>
    </w:p>
    <w:p w14:paraId="74D4F003">
      <w:pPr>
        <w:pStyle w:val="32"/>
        <w:spacing w:line="360" w:lineRule="auto"/>
        <w:ind w:firstLine="479" w:firstLineChars="199"/>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15.5投标人仅提交备份投标文件，未在电子交易平台传输递交投标文件的，投标无效。</w:t>
      </w:r>
    </w:p>
    <w:p w14:paraId="64E99E3F">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16.投标文件的无效处理</w:t>
      </w:r>
    </w:p>
    <w:p w14:paraId="3D471565">
      <w:pPr>
        <w:pStyle w:val="24"/>
        <w:spacing w:line="360" w:lineRule="auto"/>
        <w:ind w:firstLine="360" w:firstLineChars="15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有招标文件第四部分</w:t>
      </w:r>
      <w:r>
        <w:rPr>
          <w:rFonts w:cs="宋体"/>
          <w:color w:val="000000" w:themeColor="text1"/>
          <w:highlight w:val="none"/>
          <w14:textFill>
            <w14:solidFill>
              <w14:schemeClr w14:val="tx1"/>
            </w14:solidFill>
          </w14:textFill>
        </w:rPr>
        <w:t>4.2规定</w:t>
      </w:r>
      <w:r>
        <w:rPr>
          <w:rFonts w:hint="eastAsia" w:cs="宋体"/>
          <w:color w:val="000000" w:themeColor="text1"/>
          <w:szCs w:val="21"/>
          <w:highlight w:val="none"/>
          <w14:textFill>
            <w14:solidFill>
              <w14:schemeClr w14:val="tx1"/>
            </w14:solidFill>
          </w14:textFill>
        </w:rPr>
        <w:t>的情形之一的，投标无效：</w:t>
      </w:r>
    </w:p>
    <w:p w14:paraId="11D89001">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17.投标有效期</w:t>
      </w:r>
    </w:p>
    <w:p w14:paraId="3E58033F">
      <w:pPr>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17.1投标有效期为从提交投标文件的截止之日起90天。</w:t>
      </w:r>
    </w:p>
    <w:p w14:paraId="1AC5BF9A">
      <w:pPr>
        <w:spacing w:line="360" w:lineRule="auto"/>
        <w:ind w:firstLine="420" w:firstLineChars="200"/>
        <w:rPr>
          <w:rFonts w:ascii="宋体" w:hAnsi="宋体" w:cs="宋体"/>
          <w:b/>
          <w:color w:val="000000" w:themeColor="text1"/>
          <w:sz w:val="24"/>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
          <w:color w:val="000000" w:themeColor="text1"/>
          <w:sz w:val="24"/>
          <w:szCs w:val="20"/>
          <w:highlight w:val="none"/>
          <w14:textFill>
            <w14:solidFill>
              <w14:schemeClr w14:val="tx1"/>
            </w14:solidFill>
          </w14:textFill>
        </w:rPr>
        <w:t>投标人的投标文件中承</w:t>
      </w:r>
      <w:r>
        <w:rPr>
          <w:rFonts w:hint="eastAsia" w:ascii="宋体" w:hAnsi="宋体" w:cs="宋体"/>
          <w:b/>
          <w:color w:val="000000" w:themeColor="text1"/>
          <w:sz w:val="24"/>
          <w:szCs w:val="21"/>
          <w:highlight w:val="none"/>
          <w14:textFill>
            <w14:solidFill>
              <w14:schemeClr w14:val="tx1"/>
            </w14:solidFill>
          </w14:textFill>
        </w:rPr>
        <w:t>诺的投标有效期少于招标文件中载明的投标有效期的，投标无效。</w:t>
      </w:r>
    </w:p>
    <w:p w14:paraId="792A66D7">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17.2投标文件合格投递后，自投标截止日期起，在投标有效期内有效。</w:t>
      </w:r>
    </w:p>
    <w:p w14:paraId="00CD2574">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3AF334C6">
      <w:pPr>
        <w:pStyle w:val="133"/>
        <w:spacing w:before="0"/>
        <w:ind w:firstLine="643"/>
        <w:rPr>
          <w:rFonts w:ascii="宋体" w:hAnsi="宋体" w:cs="宋体"/>
          <w:b/>
          <w:color w:val="000000" w:themeColor="text1"/>
          <w:sz w:val="32"/>
          <w:highlight w:val="none"/>
          <w14:textFill>
            <w14:solidFill>
              <w14:schemeClr w14:val="tx1"/>
            </w14:solidFill>
          </w14:textFill>
        </w:rPr>
      </w:pPr>
    </w:p>
    <w:p w14:paraId="0FDA61AE">
      <w:pPr>
        <w:pStyle w:val="133"/>
        <w:spacing w:before="0"/>
        <w:ind w:firstLine="1928" w:firstLineChars="600"/>
        <w:outlineLvl w:val="1"/>
        <w:rPr>
          <w:rFonts w:ascii="宋体" w:hAnsi="宋体" w:cs="宋体"/>
          <w:b/>
          <w:color w:val="000000" w:themeColor="text1"/>
          <w:sz w:val="32"/>
          <w:highlight w:val="none"/>
          <w14:textFill>
            <w14:solidFill>
              <w14:schemeClr w14:val="tx1"/>
            </w14:solidFill>
          </w14:textFill>
        </w:rPr>
      </w:pPr>
      <w:bookmarkStart w:id="40" w:name="_Toc24357"/>
      <w:r>
        <w:rPr>
          <w:rFonts w:hint="eastAsia" w:ascii="宋体" w:hAnsi="宋体" w:cs="宋体"/>
          <w:b/>
          <w:color w:val="000000" w:themeColor="text1"/>
          <w:sz w:val="32"/>
          <w:highlight w:val="none"/>
          <w14:textFill>
            <w14:solidFill>
              <w14:schemeClr w14:val="tx1"/>
            </w14:solidFill>
          </w14:textFill>
        </w:rPr>
        <w:t>四、开标、资格审查与信用信息查询</w:t>
      </w:r>
      <w:bookmarkEnd w:id="40"/>
    </w:p>
    <w:p w14:paraId="0534DA33">
      <w:pPr>
        <w:pStyle w:val="557"/>
        <w:spacing w:before="0" w:line="360" w:lineRule="auto"/>
        <w:ind w:left="0" w:firstLine="241"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18.开标</w:t>
      </w:r>
      <w:r>
        <w:rPr>
          <w:rFonts w:hint="eastAsia" w:ascii="宋体" w:hAnsi="宋体" w:cs="宋体"/>
          <w:color w:val="000000" w:themeColor="text1"/>
          <w:sz w:val="24"/>
          <w:highlight w:val="none"/>
          <w14:textFill>
            <w14:solidFill>
              <w14:schemeClr w14:val="tx1"/>
            </w14:solidFill>
          </w14:textFill>
        </w:rPr>
        <w:t xml:space="preserve"> </w:t>
      </w:r>
    </w:p>
    <w:p w14:paraId="7E052840">
      <w:pPr>
        <w:pStyle w:val="557"/>
        <w:spacing w:before="0" w:line="360" w:lineRule="auto"/>
        <w:ind w:left="0"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09509665">
      <w:pPr>
        <w:pStyle w:val="557"/>
        <w:spacing w:before="0" w:line="360" w:lineRule="auto"/>
        <w:ind w:left="0" w:firstLine="240" w:firstLineChars="1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5CCD0F15">
      <w:pPr>
        <w:pStyle w:val="557"/>
        <w:spacing w:before="0" w:line="360" w:lineRule="auto"/>
        <w:ind w:left="0" w:firstLine="241" w:firstLineChars="100"/>
        <w:contextualSpacing/>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18.3投标</w:t>
      </w:r>
      <w:r>
        <w:rPr>
          <w:rFonts w:hint="eastAsia" w:ascii="宋体" w:hAnsi="宋体" w:cs="宋体"/>
          <w:b/>
          <w:color w:val="000000" w:themeColor="text1"/>
          <w:sz w:val="24"/>
          <w:highlight w:val="none"/>
          <w14:textFill>
            <w14:solidFill>
              <w14:schemeClr w14:val="tx1"/>
            </w14:solidFill>
          </w14:textFill>
        </w:rPr>
        <w:t>文件未按时解密，投标人提供了备份投标文件的，以备份投标文件作为依据，否则视为投标文件撤回。投标文件已按时解密的，备份投标文件自动失效。</w:t>
      </w:r>
    </w:p>
    <w:p w14:paraId="59A9785C">
      <w:pPr>
        <w:widowControl/>
        <w:snapToGrid w:val="0"/>
        <w:spacing w:line="360" w:lineRule="auto"/>
        <w:jc w:val="left"/>
        <w:rPr>
          <w:rFonts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24"/>
          <w:szCs w:val="20"/>
          <w:highlight w:val="none"/>
          <w14:textFill>
            <w14:solidFill>
              <w14:schemeClr w14:val="tx1"/>
            </w14:solidFill>
          </w14:textFill>
        </w:rPr>
        <w:t>19.资格审查</w:t>
      </w:r>
    </w:p>
    <w:p w14:paraId="4F91358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19.1</w:t>
      </w:r>
      <w:r>
        <w:rPr>
          <w:rFonts w:hint="eastAsia" w:ascii="宋体" w:hAnsi="宋体" w:cs="宋体"/>
          <w:color w:val="000000" w:themeColor="text1"/>
          <w:sz w:val="24"/>
          <w:highlight w:val="none"/>
          <w14:textFill>
            <w14:solidFill>
              <w14:schemeClr w14:val="tx1"/>
            </w14:solidFill>
          </w14:textFill>
        </w:rPr>
        <w:t>采购人或采购代理机构依据法律法规和招标文件的规定，对投标人的资格进行审查。</w:t>
      </w:r>
    </w:p>
    <w:p w14:paraId="3890E3EB">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19.2投标人未按照招标文件要求提供与</w:t>
      </w:r>
      <w:r>
        <w:rPr>
          <w:rFonts w:hint="eastAsia" w:ascii="宋体" w:hAnsi="宋体" w:cs="宋体"/>
          <w:color w:val="000000" w:themeColor="text1"/>
          <w:highlight w:val="none"/>
          <w14:textFill>
            <w14:solidFill>
              <w14:schemeClr w14:val="tx1"/>
            </w14:solidFill>
          </w14:textFill>
        </w:rPr>
        <w:t>资格条件相应的</w:t>
      </w:r>
      <w:r>
        <w:rPr>
          <w:rFonts w:hint="eastAsia" w:ascii="宋体" w:hAnsi="宋体" w:cs="宋体"/>
          <w:color w:val="000000" w:themeColor="text1"/>
          <w:kern w:val="0"/>
          <w:szCs w:val="24"/>
          <w:highlight w:val="none"/>
          <w14:textFill>
            <w14:solidFill>
              <w14:schemeClr w14:val="tx1"/>
            </w14:solidFill>
          </w14:textFill>
        </w:rPr>
        <w:t>有效资格证明材料的，视为</w:t>
      </w:r>
      <w:r>
        <w:rPr>
          <w:rFonts w:hint="eastAsia" w:ascii="宋体" w:hAnsi="宋体" w:cs="宋体"/>
          <w:color w:val="000000" w:themeColor="text1"/>
          <w:highlight w:val="none"/>
          <w14:textFill>
            <w14:solidFill>
              <w14:schemeClr w14:val="tx1"/>
            </w14:solidFill>
          </w14:textFill>
        </w:rPr>
        <w:t>投标人不具备招标文件中规定的资格要求，其投标无效。</w:t>
      </w:r>
    </w:p>
    <w:p w14:paraId="1E2A147B">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3对未通过资格审查的投标人，采购人或采购代理机构告知其未通过的原因。</w:t>
      </w:r>
    </w:p>
    <w:p w14:paraId="56AEF248">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4合格投标人不足3家的，不再评标。</w:t>
      </w:r>
    </w:p>
    <w:p w14:paraId="52E168A9">
      <w:pPr>
        <w:pStyle w:val="133"/>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20.信用信息查询</w:t>
      </w:r>
    </w:p>
    <w:p w14:paraId="4002C79D">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20.1信用信息查询渠道及截止时间：采购代理机构将在资格审查时通过“信用中国”网站(www.creditchina.gov.cn)、中国政府采购网(www.ccgp.gov.cn)渠道查询投标人接受资格审查时的信用记录。</w:t>
      </w:r>
    </w:p>
    <w:p w14:paraId="6D6A2E74">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14:paraId="57CC4753">
      <w:pPr>
        <w:pStyle w:val="133"/>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20.3信用信息的使用规则：经查询列入失信被执行人名单、重大税收违法失信主体、政府采购严重违法失信行为记录名单的投标人将被拒绝参与政府采购活动。</w:t>
      </w:r>
    </w:p>
    <w:p w14:paraId="3EF436CE">
      <w:pPr>
        <w:pStyle w:val="133"/>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000000" w:themeColor="text1"/>
          <w:highlight w:val="none"/>
          <w14:textFill>
            <w14:solidFill>
              <w14:schemeClr w14:val="tx1"/>
            </w14:solidFill>
          </w14:textFill>
        </w:rPr>
        <w:t>。</w:t>
      </w:r>
    </w:p>
    <w:p w14:paraId="6F801FC2">
      <w:pPr>
        <w:pStyle w:val="133"/>
        <w:spacing w:before="0"/>
        <w:ind w:firstLine="0" w:firstLineChars="0"/>
        <w:rPr>
          <w:rFonts w:ascii="宋体" w:hAnsi="宋体" w:cs="宋体"/>
          <w:color w:val="000000" w:themeColor="text1"/>
          <w:kern w:val="0"/>
          <w:szCs w:val="24"/>
          <w:highlight w:val="none"/>
          <w14:textFill>
            <w14:solidFill>
              <w14:schemeClr w14:val="tx1"/>
            </w14:solidFill>
          </w14:textFill>
        </w:rPr>
      </w:pPr>
    </w:p>
    <w:p w14:paraId="05FE7F16">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bookmarkStart w:id="41" w:name="_Toc23139"/>
      <w:r>
        <w:rPr>
          <w:rFonts w:hint="eastAsia" w:ascii="宋体" w:hAnsi="宋体" w:cs="宋体"/>
          <w:b/>
          <w:color w:val="000000" w:themeColor="text1"/>
          <w:sz w:val="36"/>
          <w:szCs w:val="36"/>
          <w:highlight w:val="none"/>
          <w14:textFill>
            <w14:solidFill>
              <w14:schemeClr w14:val="tx1"/>
            </w14:solidFill>
          </w14:textFill>
        </w:rPr>
        <w:t>五、评标</w:t>
      </w:r>
      <w:bookmarkEnd w:id="41"/>
    </w:p>
    <w:p w14:paraId="6ADDDD69">
      <w:pPr>
        <w:spacing w:line="360" w:lineRule="auto"/>
        <w:rPr>
          <w:rFonts w:ascii="宋体" w:hAnsi="宋体" w:cs="宋体"/>
          <w:color w:val="000000" w:themeColor="text1"/>
          <w:sz w:val="24"/>
          <w:highlight w:val="none"/>
          <w14:textFill>
            <w14:solidFill>
              <w14:schemeClr w14:val="tx1"/>
            </w14:solidFill>
          </w14:textFill>
        </w:rPr>
      </w:pPr>
      <w:bookmarkStart w:id="42" w:name="_Toc91899903"/>
      <w:r>
        <w:rPr>
          <w:rFonts w:hint="eastAsia" w:ascii="宋体" w:hAnsi="宋体" w:cs="宋体"/>
          <w:b/>
          <w:bCs w:val="0"/>
          <w:color w:val="000000" w:themeColor="text1"/>
          <w:sz w:val="24"/>
          <w:highlight w:val="none"/>
          <w14:textFill>
            <w14:solidFill>
              <w14:schemeClr w14:val="tx1"/>
            </w14:solidFill>
          </w14:textFill>
        </w:rPr>
        <w:t>21.</w:t>
      </w:r>
      <w:r>
        <w:rPr>
          <w:rFonts w:hint="eastAsia" w:ascii="宋体" w:hAnsi="宋体" w:cs="宋体"/>
          <w:bCs/>
          <w:color w:val="000000" w:themeColor="text1"/>
          <w:sz w:val="24"/>
          <w:highlight w:val="none"/>
          <w14:textFill>
            <w14:solidFill>
              <w14:schemeClr w14:val="tx1"/>
            </w14:solidFill>
          </w14:textFill>
        </w:rPr>
        <w:t>评</w:t>
      </w:r>
      <w:r>
        <w:rPr>
          <w:rFonts w:hint="eastAsia" w:ascii="宋体" w:hAnsi="宋体" w:cs="宋体"/>
          <w:color w:val="000000" w:themeColor="text1"/>
          <w:sz w:val="24"/>
          <w:highlight w:val="none"/>
          <w14:textFill>
            <w14:solidFill>
              <w14:schemeClr w14:val="tx1"/>
            </w14:solidFill>
          </w14:textFill>
        </w:rPr>
        <w:t>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p>
    <w:p w14:paraId="0A151B1F">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详见招标文件第四部分评标办法。</w:t>
      </w:r>
    </w:p>
    <w:p w14:paraId="25BBFCAC">
      <w:pPr>
        <w:spacing w:line="360" w:lineRule="auto"/>
        <w:rPr>
          <w:rFonts w:ascii="宋体" w:hAnsi="宋体" w:cs="宋体"/>
          <w:b/>
          <w:color w:val="000000" w:themeColor="text1"/>
          <w:sz w:val="24"/>
          <w:highlight w:val="none"/>
          <w14:textFill>
            <w14:solidFill>
              <w14:schemeClr w14:val="tx1"/>
            </w14:solidFill>
          </w14:textFill>
        </w:rPr>
      </w:pPr>
    </w:p>
    <w:p w14:paraId="2D3AE8F3">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bookmarkStart w:id="43" w:name="_Toc32708"/>
      <w:r>
        <w:rPr>
          <w:rFonts w:hint="eastAsia" w:ascii="宋体" w:hAnsi="宋体" w:cs="宋体"/>
          <w:b/>
          <w:color w:val="000000" w:themeColor="text1"/>
          <w:sz w:val="36"/>
          <w:szCs w:val="36"/>
          <w:highlight w:val="none"/>
          <w14:textFill>
            <w14:solidFill>
              <w14:schemeClr w14:val="tx1"/>
            </w14:solidFill>
          </w14:textFill>
        </w:rPr>
        <w:t>六、定 标</w:t>
      </w:r>
      <w:bookmarkEnd w:id="43"/>
    </w:p>
    <w:p w14:paraId="53626465">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22. 确定中标供应商</w:t>
      </w:r>
    </w:p>
    <w:p w14:paraId="27D42F76">
      <w:pPr>
        <w:pStyle w:val="133"/>
        <w:snapToGrid w:val="0"/>
        <w:spacing w:before="0"/>
        <w:ind w:firstLine="480"/>
        <w:rPr>
          <w:rFonts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000000" w:themeColor="text1"/>
          <w:szCs w:val="24"/>
          <w:highlight w:val="none"/>
          <w:lang w:val="en-US" w:eastAsia="zh-CN"/>
          <w14:textFill>
            <w14:solidFill>
              <w14:schemeClr w14:val="tx1"/>
            </w14:solidFill>
          </w14:textFill>
        </w:rPr>
        <w:t>5</w:t>
      </w:r>
      <w:r>
        <w:rPr>
          <w:rFonts w:hint="eastAsia" w:ascii="宋体" w:hAnsi="宋体" w:cs="宋体"/>
          <w:color w:val="000000" w:themeColor="text1"/>
          <w:szCs w:val="24"/>
          <w:highlight w:val="none"/>
          <w14:textFill>
            <w14:solidFill>
              <w14:schemeClr w14:val="tx1"/>
            </w14:solidFill>
          </w14:textFill>
        </w:rPr>
        <w:t>个工作日内在线确定中标或者成交供应商。中标、成交通知书和中标、成交结果公告应当在规定时间内同时发出。</w:t>
      </w:r>
    </w:p>
    <w:p w14:paraId="46F8D1F7">
      <w:pPr>
        <w:pStyle w:val="133"/>
        <w:numPr>
          <w:ilvl w:val="0"/>
          <w:numId w:val="1"/>
        </w:numPr>
        <w:snapToGrid w:val="0"/>
        <w:spacing w:before="0"/>
        <w:ind w:firstLine="0" w:firstLineChars="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中标通知与中标结果公告</w:t>
      </w:r>
    </w:p>
    <w:p w14:paraId="2B281BE2">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23.1自中标人确定之日起</w:t>
      </w:r>
      <w:r>
        <w:rPr>
          <w:rFonts w:hint="eastAsia" w:ascii="宋体" w:hAnsi="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14:textFill>
            <w14:solidFill>
              <w14:schemeClr w14:val="tx1"/>
            </w14:solidFill>
          </w14:textFill>
        </w:rPr>
        <w:t>个工作日内，采购代理机构向中标人发出中标通知书，同时编制发布采购结果公告。采购代理机构也可以以纸质形式进行中标通知。</w:t>
      </w:r>
    </w:p>
    <w:p w14:paraId="18026C32">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中标公告期限以及评审专家名单</w:t>
      </w:r>
      <w:r>
        <w:rPr>
          <w:rFonts w:hint="eastAsia" w:ascii="宋体" w:hAnsi="宋体" w:cs="宋体"/>
          <w:color w:val="000000" w:themeColor="text1"/>
          <w:szCs w:val="24"/>
          <w:highlight w:val="none"/>
          <w:lang w:val="en-US" w:eastAsia="zh-CN"/>
          <w14:textFill>
            <w14:solidFill>
              <w14:schemeClr w14:val="tx1"/>
            </w14:solidFill>
          </w14:textFill>
        </w:rPr>
        <w:t>等</w:t>
      </w:r>
      <w:r>
        <w:rPr>
          <w:rFonts w:hint="eastAsia" w:ascii="宋体" w:hAnsi="宋体" w:cs="宋体"/>
          <w:color w:val="000000" w:themeColor="text1"/>
          <w:szCs w:val="24"/>
          <w:highlight w:val="none"/>
          <w14:textFill>
            <w14:solidFill>
              <w14:schemeClr w14:val="tx1"/>
            </w14:solidFill>
          </w14:textFill>
        </w:rPr>
        <w:t>。</w:t>
      </w:r>
    </w:p>
    <w:p w14:paraId="0A123AD6">
      <w:pPr>
        <w:pStyle w:val="133"/>
        <w:snapToGrid w:val="0"/>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23.3公告期限为1个工作日。</w:t>
      </w:r>
    </w:p>
    <w:p w14:paraId="021C719A">
      <w:pPr>
        <w:snapToGrid w:val="0"/>
        <w:spacing w:line="360" w:lineRule="auto"/>
        <w:ind w:left="120" w:leftChars="57" w:firstLine="482" w:firstLineChars="150"/>
        <w:jc w:val="center"/>
        <w:rPr>
          <w:rFonts w:ascii="宋体" w:hAnsi="宋体" w:cs="宋体"/>
          <w:b/>
          <w:color w:val="000000" w:themeColor="text1"/>
          <w:sz w:val="32"/>
          <w:highlight w:val="none"/>
          <w14:textFill>
            <w14:solidFill>
              <w14:schemeClr w14:val="tx1"/>
            </w14:solidFill>
          </w14:textFill>
        </w:rPr>
      </w:pPr>
    </w:p>
    <w:p w14:paraId="45796C2B">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bookmarkStart w:id="44" w:name="_Toc22272"/>
      <w:r>
        <w:rPr>
          <w:rFonts w:hint="eastAsia" w:ascii="宋体" w:hAnsi="宋体" w:cs="宋体"/>
          <w:b/>
          <w:color w:val="000000" w:themeColor="text1"/>
          <w:sz w:val="32"/>
          <w:highlight w:val="none"/>
          <w14:textFill>
            <w14:solidFill>
              <w14:schemeClr w14:val="tx1"/>
            </w14:solidFill>
          </w14:textFill>
        </w:rPr>
        <w:t>七、合同授予</w:t>
      </w:r>
      <w:bookmarkEnd w:id="44"/>
    </w:p>
    <w:p w14:paraId="225170F5">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24. 合同主要条款详见第五部分拟签订的合同文本。</w:t>
      </w:r>
    </w:p>
    <w:p w14:paraId="7CD7914B">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25. 合同的签订</w:t>
      </w:r>
    </w:p>
    <w:p w14:paraId="5D122DBD">
      <w:pPr>
        <w:pStyle w:val="133"/>
        <w:spacing w:before="0"/>
        <w:ind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25.1 采购人与中标供应商应当在中标通知书发出之日起三十日内，按照招标文件及中标供应商的投标文件确定的事项签订政府采购合同，并在合同签订之日起2个工作日内依法发布合同公告。</w:t>
      </w:r>
    </w:p>
    <w:p w14:paraId="029EB13B">
      <w:pPr>
        <w:pStyle w:val="133"/>
        <w:snapToGrid w:val="0"/>
        <w:spacing w:before="0"/>
        <w:ind w:firstLine="48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16E42E23">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25.3如签订合同并生效后，供应商无故拒绝或延期，除按照合同条款处理外，列入不良行为记录一次，并给予通报。</w:t>
      </w:r>
    </w:p>
    <w:p w14:paraId="2D558A1B">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25.4中标供应商拒绝与采购人签订合同的，采购人可以按照评审报告推荐的中标或者成交候选人名单排序，确定下一候选人为中标供应商，也可以重新开展政府采购活动。</w:t>
      </w:r>
    </w:p>
    <w:p w14:paraId="7E73D864">
      <w:pPr>
        <w:pStyle w:val="24"/>
        <w:spacing w:line="360" w:lineRule="auto"/>
        <w:ind w:left="479" w:hanging="479" w:hangingChars="199"/>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26. 履约保证金（如有）</w:t>
      </w:r>
    </w:p>
    <w:p w14:paraId="31F4D900">
      <w:pPr>
        <w:tabs>
          <w:tab w:val="left" w:pos="0"/>
        </w:tabs>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拟签订的合同文本如要求中标供应商提交履约保证金的，供应商应当以支票、汇票、本票或者金融机构、担保机构出具的保函等非现金形式提交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w:t>
      </w:r>
    </w:p>
    <w:p w14:paraId="248C94E2">
      <w:pPr>
        <w:pStyle w:val="3"/>
        <w:ind w:left="0" w:firstLine="480" w:firstLineChars="200"/>
        <w:rPr>
          <w:rFonts w:ascii="宋体" w:hAnsi="宋体" w:eastAsia="宋体" w:cs="宋体"/>
          <w:b w:val="0"/>
          <w:bCs w:val="0"/>
          <w:snapToGrid w:val="0"/>
          <w:color w:val="000000" w:themeColor="text1"/>
          <w:kern w:val="28"/>
          <w:sz w:val="24"/>
          <w:highlight w:val="none"/>
          <w14:textFill>
            <w14:solidFill>
              <w14:schemeClr w14:val="tx1"/>
            </w14:solidFill>
          </w14:textFill>
        </w:rPr>
      </w:pPr>
      <w:bookmarkStart w:id="45" w:name="_Toc5410"/>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供应商</w:t>
      </w:r>
      <w:r>
        <w:rPr>
          <w:rFonts w:hint="eastAsia" w:ascii="宋体" w:hAnsi="宋体" w:eastAsia="宋体" w:cs="宋体"/>
          <w:b w:val="0"/>
          <w:bCs w:val="0"/>
          <w:snapToGrid w:val="0"/>
          <w:color w:val="000000" w:themeColor="text1"/>
          <w:kern w:val="28"/>
          <w:sz w:val="24"/>
          <w:highlight w:val="none"/>
          <w:lang w:val="en-US"/>
          <w14:textFill>
            <w14:solidFill>
              <w14:schemeClr w14:val="tx1"/>
            </w14:solidFill>
          </w14:textFill>
        </w:rPr>
        <w:t>可</w:t>
      </w:r>
      <w:r>
        <w:rPr>
          <w:rFonts w:hint="eastAsia" w:ascii="宋体" w:hAnsi="宋体" w:eastAsia="宋体"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bookmarkEnd w:id="45"/>
    </w:p>
    <w:p w14:paraId="28CFB1B2">
      <w:pPr>
        <w:rPr>
          <w:color w:val="000000" w:themeColor="text1"/>
          <w:highlight w:val="none"/>
          <w14:textFill>
            <w14:solidFill>
              <w14:schemeClr w14:val="tx1"/>
            </w14:solidFill>
          </w14:textFill>
        </w:rPr>
      </w:pPr>
    </w:p>
    <w:p w14:paraId="039BEBFB">
      <w:pPr>
        <w:rPr>
          <w:rFonts w:ascii="宋体" w:hAnsi="宋体" w:cs="宋体"/>
          <w:b/>
          <w:color w:val="000000" w:themeColor="text1"/>
          <w:sz w:val="32"/>
          <w:highlight w:val="none"/>
          <w14:textFill>
            <w14:solidFill>
              <w14:schemeClr w14:val="tx1"/>
            </w14:solidFill>
          </w14:textFill>
        </w:rPr>
      </w:pPr>
      <w:bookmarkStart w:id="46" w:name="_Toc362"/>
    </w:p>
    <w:p w14:paraId="1C291A3B">
      <w:pPr>
        <w:snapToGrid w:val="0"/>
        <w:spacing w:line="360" w:lineRule="auto"/>
        <w:jc w:val="center"/>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八、电子交易活动的中止</w:t>
      </w:r>
      <w:bookmarkEnd w:id="46"/>
    </w:p>
    <w:p w14:paraId="75D95FE9">
      <w:pPr>
        <w:pStyle w:val="133"/>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27</w:t>
      </w:r>
      <w:r>
        <w:rPr>
          <w:rFonts w:hint="eastAsia" w:ascii="宋体" w:hAnsi="宋体" w:cs="宋体"/>
          <w:b/>
          <w:color w:val="000000" w:themeColor="text1"/>
          <w:szCs w:val="24"/>
          <w:highlight w:val="none"/>
          <w14:textFill>
            <w14:solidFill>
              <w14:schemeClr w14:val="tx1"/>
            </w14:solidFill>
          </w14:textFill>
        </w:rPr>
        <w:t>. 电子交易活动的中止。</w:t>
      </w:r>
      <w:r>
        <w:rPr>
          <w:rFonts w:hint="eastAsia" w:ascii="宋体" w:hAnsi="宋体" w:cs="宋体"/>
          <w:color w:val="000000" w:themeColor="text1"/>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019FBFD1">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27.1电子交易平台发生故障而无法登录访问的； </w:t>
      </w:r>
    </w:p>
    <w:p w14:paraId="7BFCD010">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27.2电子交易平台应用或数据库出现错误，不能进行正常操作的；</w:t>
      </w:r>
    </w:p>
    <w:p w14:paraId="0C3D89F3">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27.3电子交易平台发现严重安全漏洞，有潜在泄密危险的；</w:t>
      </w:r>
    </w:p>
    <w:p w14:paraId="586901DF">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27.4病毒发作导致不能进行正常操作的； </w:t>
      </w:r>
    </w:p>
    <w:p w14:paraId="6412F9B1">
      <w:pPr>
        <w:pStyle w:val="133"/>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27.5其他无法保证电子交易的公平、公正和安全的情况。</w:t>
      </w:r>
    </w:p>
    <w:p w14:paraId="70DEAAAE">
      <w:pPr>
        <w:pStyle w:val="133"/>
        <w:snapToGrid w:val="0"/>
        <w:spacing w:before="0"/>
        <w:ind w:firstLine="0" w:firstLineChars="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48AD1DED">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14:paraId="129E7C4B">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bookmarkStart w:id="47" w:name="_Toc12798"/>
      <w:r>
        <w:rPr>
          <w:rFonts w:hint="eastAsia" w:ascii="宋体" w:hAnsi="宋体" w:cs="宋体"/>
          <w:b/>
          <w:color w:val="000000" w:themeColor="text1"/>
          <w:sz w:val="32"/>
          <w:highlight w:val="none"/>
          <w14:textFill>
            <w14:solidFill>
              <w14:schemeClr w14:val="tx1"/>
            </w14:solidFill>
          </w14:textFill>
        </w:rPr>
        <w:t>九、验收</w:t>
      </w:r>
      <w:bookmarkEnd w:id="47"/>
    </w:p>
    <w:p w14:paraId="7DA39FFC">
      <w:pPr>
        <w:pStyle w:val="24"/>
        <w:spacing w:line="360" w:lineRule="auto"/>
        <w:ind w:firstLine="0" w:firstLineChars="0"/>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2</w:t>
      </w:r>
      <w:r>
        <w:rPr>
          <w:rFonts w:hint="eastAsia" w:cs="宋体"/>
          <w:b/>
          <w:color w:val="000000" w:themeColor="text1"/>
          <w:highlight w:val="none"/>
          <w:lang w:val="en-US" w:eastAsia="zh-CN"/>
          <w14:textFill>
            <w14:solidFill>
              <w14:schemeClr w14:val="tx1"/>
            </w14:solidFill>
          </w14:textFill>
        </w:rPr>
        <w:t>8</w:t>
      </w:r>
      <w:r>
        <w:rPr>
          <w:rFonts w:hint="eastAsia" w:cs="宋体"/>
          <w:b/>
          <w:color w:val="000000" w:themeColor="text1"/>
          <w:highlight w:val="none"/>
          <w14:textFill>
            <w14:solidFill>
              <w14:schemeClr w14:val="tx1"/>
            </w14:solidFill>
          </w14:textFill>
        </w:rPr>
        <w:t>.验收</w:t>
      </w:r>
    </w:p>
    <w:p w14:paraId="7B18D6D3">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F651CA">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.2采购人可以邀请参加本项目的其他投标人或者第三方机构参与验收。参与验收的投标人或者第三方机构的意见作为验收书的参考资料一并存档。</w:t>
      </w:r>
    </w:p>
    <w:p w14:paraId="5D2CDE35">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789A1DA">
      <w:pPr>
        <w:tabs>
          <w:tab w:val="left" w:pos="0"/>
        </w:tabs>
        <w:spacing w:line="360" w:lineRule="auto"/>
        <w:ind w:firstLine="480"/>
        <w:rPr>
          <w:rFonts w:ascii="宋体" w:hAnsi="宋体" w:cs="宋体"/>
          <w:color w:val="000000" w:themeColor="text1"/>
          <w:kern w:val="0"/>
          <w:sz w:val="24"/>
          <w:highlight w:val="none"/>
          <w14:textFill>
            <w14:solidFill>
              <w14:schemeClr w14:val="tx1"/>
            </w14:solidFill>
          </w14:textFill>
        </w:rPr>
        <w:sectPr>
          <w:headerReference r:id="rId4" w:type="first"/>
          <w:footerReference r:id="rId6" w:type="first"/>
          <w:headerReference r:id="rId3" w:type="default"/>
          <w:footerReference r:id="rId5" w:type="default"/>
          <w:pgSz w:w="11905" w:h="16838"/>
          <w:pgMar w:top="1134" w:right="1417" w:bottom="1134" w:left="1417" w:header="851" w:footer="992" w:gutter="0"/>
          <w:pgBorders>
            <w:top w:val="none" w:sz="0" w:space="0"/>
            <w:left w:val="none" w:sz="0" w:space="0"/>
            <w:bottom w:val="none" w:sz="0" w:space="0"/>
            <w:right w:val="none" w:sz="0" w:space="0"/>
          </w:pgBorders>
          <w:cols w:space="0" w:num="1"/>
          <w:titlePg/>
          <w:docGrid w:linePitch="312" w:charSpace="0"/>
        </w:sect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4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42"/>
      <w:bookmarkStart w:id="48" w:name="_Hlt68403820"/>
      <w:bookmarkEnd w:id="48"/>
      <w:bookmarkStart w:id="49" w:name="_Hlt68072998"/>
      <w:bookmarkEnd w:id="49"/>
      <w:bookmarkStart w:id="50" w:name="_Hlt75236011"/>
      <w:bookmarkEnd w:id="50"/>
      <w:bookmarkStart w:id="51" w:name="_Hlt68072990"/>
      <w:bookmarkEnd w:id="51"/>
      <w:bookmarkStart w:id="52" w:name="_Hlt74714665"/>
      <w:bookmarkEnd w:id="52"/>
      <w:bookmarkStart w:id="53" w:name="_Hlt74707468"/>
      <w:bookmarkEnd w:id="53"/>
      <w:bookmarkStart w:id="54" w:name="_Hlt74729768"/>
      <w:bookmarkEnd w:id="54"/>
      <w:bookmarkStart w:id="55" w:name="_Hlt74730295"/>
      <w:bookmarkEnd w:id="55"/>
      <w:bookmarkStart w:id="56" w:name="_Hlt68073093"/>
      <w:bookmarkEnd w:id="56"/>
      <w:bookmarkStart w:id="57" w:name="_Hlt75236290"/>
      <w:bookmarkEnd w:id="57"/>
      <w:bookmarkStart w:id="58" w:name="_Hlt68057669"/>
      <w:bookmarkEnd w:id="58"/>
      <w:bookmarkStart w:id="59" w:name="_Hlt75236101"/>
      <w:bookmarkEnd w:id="59"/>
    </w:p>
    <w:bookmarkEnd w:id="29"/>
    <w:bookmarkEnd w:id="30"/>
    <w:p w14:paraId="7A7BB9DF">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60" w:name="_Toc17321"/>
      <w:bookmarkStart w:id="61" w:name="_Toc9424"/>
      <w:bookmarkStart w:id="62" w:name="第四部分"/>
      <w:r>
        <w:rPr>
          <w:rFonts w:hint="eastAsia" w:ascii="宋体" w:hAnsi="宋体" w:cs="宋体"/>
          <w:b/>
          <w:color w:val="000000" w:themeColor="text1"/>
          <w:sz w:val="36"/>
          <w:szCs w:val="36"/>
          <w:highlight w:val="none"/>
          <w14:textFill>
            <w14:solidFill>
              <w14:schemeClr w14:val="tx1"/>
            </w14:solidFill>
          </w14:textFill>
        </w:rPr>
        <w:t>第三部分   采购需求</w:t>
      </w:r>
      <w:bookmarkEnd w:id="60"/>
      <w:bookmarkEnd w:id="61"/>
    </w:p>
    <w:p w14:paraId="4925E944">
      <w:pPr>
        <w:pStyle w:val="62"/>
        <w:keepNext w:val="0"/>
        <w:keepLines w:val="0"/>
        <w:pageBreakBefore w:val="0"/>
        <w:kinsoku/>
        <w:wordWrap/>
        <w:overflowPunct/>
        <w:topLinePunct w:val="0"/>
        <w:bidi w:val="0"/>
        <w:adjustRightInd w:val="0"/>
        <w:snapToGrid/>
        <w:spacing w:line="360" w:lineRule="auto"/>
        <w:ind w:left="0" w:leftChars="0" w:firstLine="0" w:firstLineChars="0"/>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一</w:t>
      </w:r>
      <w:r>
        <w:rPr>
          <w:rFonts w:hint="eastAsia" w:asciiTheme="majorEastAsia" w:hAnsiTheme="majorEastAsia" w:eastAsiaTheme="majorEastAsia" w:cstheme="majorEastAsia"/>
          <w:b/>
          <w:bCs/>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1"/>
          <w:szCs w:val="21"/>
          <w:highlight w:val="none"/>
          <w:lang w:val="en-US" w:eastAsia="zh-CN"/>
          <w14:textFill>
            <w14:solidFill>
              <w14:schemeClr w14:val="tx1"/>
            </w14:solidFill>
          </w14:textFill>
        </w:rPr>
        <w:t>服务</w:t>
      </w:r>
      <w:r>
        <w:rPr>
          <w:rFonts w:hint="eastAsia" w:asciiTheme="majorEastAsia" w:hAnsiTheme="majorEastAsia" w:eastAsiaTheme="majorEastAsia" w:cstheme="majorEastAsia"/>
          <w:b/>
          <w:bCs/>
          <w:color w:val="000000" w:themeColor="text1"/>
          <w:sz w:val="21"/>
          <w:szCs w:val="21"/>
          <w:highlight w:val="none"/>
          <w14:textFill>
            <w14:solidFill>
              <w14:schemeClr w14:val="tx1"/>
            </w14:solidFill>
          </w14:textFill>
        </w:rPr>
        <w:t>需求</w:t>
      </w:r>
    </w:p>
    <w:p w14:paraId="393440E6">
      <w:pPr>
        <w:keepNext w:val="0"/>
        <w:keepLines w:val="0"/>
        <w:pageBreakBefore w:val="0"/>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（一）项目建设内容：</w:t>
      </w:r>
    </w:p>
    <w:p w14:paraId="377541A6">
      <w:pPr>
        <w:keepNext w:val="0"/>
        <w:keepLines w:val="0"/>
        <w:pageBreakBefore w:val="0"/>
        <w:kinsoku/>
        <w:wordWrap/>
        <w:overflowPunct/>
        <w:topLinePunct w:val="0"/>
        <w:bidi w:val="0"/>
        <w:adjustRightInd w:val="0"/>
        <w:snapToGrid/>
        <w:spacing w:line="360" w:lineRule="auto"/>
        <w:ind w:left="0" w:firstLine="420" w:firstLineChars="20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bookmarkStart w:id="63" w:name="OLE_LINK1"/>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随着</w:t>
      </w:r>
      <w:bookmarkEnd w:id="63"/>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医疗大健康生态持续完善，医药卫生体制改革纵深推进，全民医保、医药价格机制不断优化，医疗集团、医联体、医共体及区域卫生体系加速成型，民营、合资、互联网医院等多元办医格局形成，医疗市场多元化竞争日趋激烈，给医院创造了新的机遇，同时也带来了新的挑战。党的二十大报告指出，高质量发展是全面建设社会主义现代化国家的首要任务。公立医院是我国医疗服务体系的主体，党中央、国务院高度重视公立医院高质量发展，2021年6月，印发《国务院办公厅关于推动公立医院高质量发展的意见》,提出要以建立现代医院管理制度为目标，强化体系创新、技术创新、模式创新、管理创</w:t>
      </w:r>
      <w:bookmarkStart w:id="64" w:name="OLE_LINK339"/>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新，要健全运营管理</w:t>
      </w:r>
      <w:bookmarkEnd w:id="64"/>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体系，提升公立医院高质量发展效能，更好提供优质高效医疗卫生服务，推进健康中国建设。在公立医院高质量发展的要求下，有效开展成本核算、合理控制成本、提高运营效率是公立医院面临的重要任务，是落实深化医改政策、</w:t>
      </w:r>
      <w:bookmarkStart w:id="65" w:name="OLE_LINK341"/>
      <w:bookmarkStart w:id="66" w:name="OLE_LINK340"/>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推进卫生健康领域管理创新、增强卫生健康治理体系</w:t>
      </w:r>
      <w:bookmarkEnd w:id="65"/>
      <w:bookmarkEnd w:id="66"/>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整体效能的有效抓手。立足国家“十五五”规划开局的关键节点，紧扣“健康中国”战略与数字经济发展导向，聚焦新质生产力培育与公立医院高质量发展核心要求，践行“以患者为中心”服务理念，着力破解“看病难、看病贵、看病烦”民生痛点，优化医患关系，推动医保定价与支付方式科学化、精细化，亟需构建全域覆盖的智慧运营管理体系，夯实医院可持续发展根基。为统筹优化“人、财、物、医、教、研、药、技、护”核心资源，搭建覆盖医疗集团、医院、科室、班组、人员的全院、全员、全方位、全过程智慧运营平台，深化医院、医保、医药“三医联动”，实现事前全面预算、事中成本管控、事后绩效考核的全生命周期闭环管理，结合医院运营现状与数字化转型趋势，启动全成本核算管理系统建设势在必行。本次系统建设以战略管理为引领、全成本管理为抓手、全面预算为主线、绩效为杠杆、财务为基础，融合移动端应用与AI智能技术，搭建涵盖院科两级全成本、医疗服务项目成本、DRG病种成本的一体化管理平台，打通与HIS、HRP、财务、人事、物资、资产、病案、医保等现有系统的数据壁垒，实现数据互联互通、共享共用，推动成本核算迈向科学化、规范化、数字化、智能化。通过系统落地深度实现业财融合、管财协同，依托AI大数据分析实现精准管控、降本增效、资源优化配置，践行“人尽其才、物尽其用”，全面提升医疗质量、患者满意度与员工绩效水平，为医院精益管理与经营决策提供硬核数据支撑，助力医院取得良好的社会效益与经济效益，逐步加强成本核算管理机制，进一步推行全面成本管理，建立健全成本管理体系，以数智化赋能新质生产力，全面提升医院智慧运营管理综合价值能力与健康可持续高质量发展。</w:t>
      </w:r>
    </w:p>
    <w:p w14:paraId="0241F50E">
      <w:pPr>
        <w:pStyle w:val="24"/>
        <w:keepNext w:val="0"/>
        <w:keepLines w:val="0"/>
        <w:pageBreakBefore w:val="0"/>
        <w:kinsoku/>
        <w:wordWrap/>
        <w:overflowPunct/>
        <w:topLinePunct w:val="0"/>
        <w:bidi w:val="0"/>
        <w:adjustRightInd w:val="0"/>
        <w:snapToGrid/>
        <w:spacing w:line="360" w:lineRule="auto"/>
        <w:ind w:left="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14:paraId="6F0A3D2A">
      <w:pPr>
        <w:keepNext w:val="0"/>
        <w:keepLines w:val="0"/>
        <w:pageBreakBefore w:val="0"/>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（二）项目建设依据：</w:t>
      </w:r>
    </w:p>
    <w:p w14:paraId="6A060E11">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1.《关于加强公立医院运营管理的指导意见》（国卫财务发〔2020〕27号）</w:t>
      </w:r>
    </w:p>
    <w:p w14:paraId="05568BC1">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2.《关于印发公立医院全面预算管理制度实施办法的通知》（国卫财务发〔2020〕30号）</w:t>
      </w:r>
    </w:p>
    <w:p w14:paraId="643C1BF7">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3.《关于印发公立医院内部控制管理办法的通知》（国卫财务发〔2020〕31号）</w:t>
      </w:r>
    </w:p>
    <w:p w14:paraId="7109BD0D">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4.《关于印发公立医院成本核算规范的通知》（国卫财务发〔2021〕4号）</w:t>
      </w:r>
    </w:p>
    <w:p w14:paraId="1DA69243">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5.《公立医院成本核算具体指引》（国卫财务发〔2021〕26号）</w:t>
      </w:r>
    </w:p>
    <w:p w14:paraId="1A45D59B">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6.《关于推动公立医院高质量发展的通知》（国办发〔2021〕18号）</w:t>
      </w:r>
    </w:p>
    <w:p w14:paraId="042056CE">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7.《关于印发公立医院高质理发展促进行动（2021-2025年的通知）》（国办发〔2021〕27号）</w:t>
      </w:r>
    </w:p>
    <w:p w14:paraId="67AED8DA">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8.《医院智慧管理分级评估标准体系》（国卫办医函〔2021〕 86号）</w:t>
      </w:r>
    </w:p>
    <w:p w14:paraId="39C20FFE">
      <w:pPr>
        <w:spacing w:after="0"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9.《关于印发公立医院运营管理信息化功能指引的通知》（国卫财务函〔2022〕126号）</w:t>
      </w:r>
    </w:p>
    <w:p w14:paraId="22B2D559">
      <w:pPr>
        <w:keepNext w:val="0"/>
        <w:keepLines w:val="0"/>
        <w:pageBreakBefore w:val="0"/>
        <w:kinsoku/>
        <w:wordWrap/>
        <w:overflowPunct/>
        <w:topLinePunct w:val="0"/>
        <w:bidi w:val="0"/>
        <w:adjustRightInd w:val="0"/>
        <w:snapToGrid/>
        <w:spacing w:line="360" w:lineRule="auto"/>
        <w:ind w:left="0" w:firstLine="420" w:firstLineChars="200"/>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10.《公立医院成本核算指导手册》（国卫办财务函〔2023〕377号）</w:t>
      </w:r>
    </w:p>
    <w:p w14:paraId="714F7C9F">
      <w:pPr>
        <w:keepNext w:val="0"/>
        <w:keepLines w:val="0"/>
        <w:pageBreakBefore w:val="0"/>
        <w:numPr>
          <w:ilvl w:val="0"/>
          <w:numId w:val="0"/>
        </w:numPr>
        <w:kinsoku/>
        <w:wordWrap/>
        <w:overflowPunct/>
        <w:topLinePunct w:val="0"/>
        <w:bidi w:val="0"/>
        <w:adjustRightInd w:val="0"/>
        <w:snapToGrid/>
        <w:spacing w:line="360" w:lineRule="auto"/>
        <w:ind w:left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14:paraId="43709D29">
      <w:pPr>
        <w:keepNext w:val="0"/>
        <w:keepLines w:val="0"/>
        <w:pageBreakBefore w:val="0"/>
        <w:numPr>
          <w:ilvl w:val="0"/>
          <w:numId w:val="2"/>
        </w:numPr>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建设原则</w:t>
      </w:r>
    </w:p>
    <w:p w14:paraId="5F175A66">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医院全成本核算管理系统建设需要满足医院的运营管理需求的不断变化，系统设计的主要原则必须充分考虑系统的先进性、可用性、扩展性、标准化、数据安全等各个方面。</w:t>
      </w:r>
    </w:p>
    <w:p w14:paraId="1DF3F1AB">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1.易用性原则：即易操作性，用户不经过复杂的培训和学习便可以很快掌握。这对于整个信息化的实施、推广工作有着非常重要的作用。</w:t>
      </w:r>
    </w:p>
    <w:p w14:paraId="328AF534">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实用性与经济性原则：信息化建设是一个需要大量、长期投资的项目，所以在信息化建设中，应根据目前业务需要，科学的、有选择的进行投资，尤其是信息化基础环境建设（包括网络环境建设、硬件环境建设等）。</w:t>
      </w:r>
    </w:p>
    <w:p w14:paraId="17ED9BB1">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3.技术先进性原则：即所设计的信息化建设方案从总体上、各系统单点上，无论方案规划上，还是技术实现、技术保障上都应具有一定的技术先进性，并切合当前实际情况和未来发展趋势，以确保系统的生命力和发展性。 </w:t>
      </w:r>
    </w:p>
    <w:p w14:paraId="117A99F0">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4.高扩展性原则：整个系统不但要适应目前业务、管理的发展需要，更要考虑到未来业务、管理需求发生变化情况下，后续新的信息系统的扩展以及后续调整性系统的扩展。高扩展性是一个应用系统生命力的重要保证，也是保护单位信息化投资的重要保证。 </w:t>
      </w:r>
    </w:p>
    <w:p w14:paraId="27704E5A">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5.安全性原则：系统的安全是一个整体化的策略，它包括硬件环境的安全性、支持系统的安全性、网络安全性、应用系统安全性等多个方面。 在用户登录和信息传递过程中，对密码进行不可逆加密处理，有效保证系统及用户资料的安全。要求系统可以全面防止SQL注入攻击、密码猜解、木马上传等各种恶意攻击手段；采用IP限定方式来确保安全的用户访问。</w:t>
      </w:r>
    </w:p>
    <w:p w14:paraId="1A7A9516">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6.资源共享原则：系统提供统一的工具来管理应用数据，各个部门都能够从医院网络中获取整个医院的相关部门产生的数据；核心骨干数据网是集中共享地，提供端到端的稳定快速的连接能力。</w:t>
      </w:r>
    </w:p>
    <w:p w14:paraId="6BB61DEB">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数据完整性原则：系统对数据采集和处理遵循如下原则；一致性：保证数据只有一个入口，做到数据一次录入，多处共享。完整性：系统具有多级数据校验和质量控制，包括程序级的数据完成性验证和数据库级的数据完整性验证。</w:t>
      </w:r>
    </w:p>
    <w:p w14:paraId="183F58CD">
      <w:pPr>
        <w:spacing w:after="0" w:line="360" w:lineRule="auto"/>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8.医院成本核算需要遵循相关性、真实性、适应性、及时性、可比性、重要性、</w:t>
      </w:r>
      <w:r>
        <w:rPr>
          <w:rFonts w:asciiTheme="minorEastAsia" w:hAnsiTheme="minorEastAsia" w:eastAsiaTheme="minorEastAsia" w:cstheme="minorEastAsia"/>
          <w:color w:val="000000" w:themeColor="text1"/>
          <w:highlight w:val="none"/>
          <w14:textFill>
            <w14:solidFill>
              <w14:schemeClr w14:val="tx1"/>
            </w14:solidFill>
          </w14:textFill>
        </w:rPr>
        <w:t>谁受益谁承担</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asciiTheme="minorEastAsia" w:hAnsiTheme="minorEastAsia" w:eastAsiaTheme="minorEastAsia" w:cstheme="minorEastAsia"/>
          <w:color w:val="000000" w:themeColor="text1"/>
          <w:highlight w:val="none"/>
          <w14:textFill>
            <w14:solidFill>
              <w14:schemeClr w14:val="tx1"/>
            </w14:solidFill>
          </w14:textFill>
        </w:rPr>
        <w:t>权责发生制</w:t>
      </w:r>
      <w:r>
        <w:rPr>
          <w:rFonts w:hint="eastAsia" w:asciiTheme="minorEastAsia" w:hAnsiTheme="minorEastAsia" w:eastAsiaTheme="minorEastAsia" w:cstheme="minorEastAsia"/>
          <w:color w:val="000000" w:themeColor="text1"/>
          <w:highlight w:val="none"/>
          <w14:textFill>
            <w14:solidFill>
              <w14:schemeClr w14:val="tx1"/>
            </w14:solidFill>
          </w14:textFill>
        </w:rPr>
        <w:t>等原则：</w:t>
      </w:r>
    </w:p>
    <w:p w14:paraId="513E7C26">
      <w:pPr>
        <w:pStyle w:val="260"/>
        <w:numPr>
          <w:ilvl w:val="0"/>
          <w:numId w:val="3"/>
        </w:numPr>
        <w:spacing w:after="0"/>
        <w:ind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相关性原则 。医院选择成本核算对象、归集分配成本、提供成本信 息等应当与满足成本信息需求相关，有助于使用者依据成本信息作出评价或 决策。</w:t>
      </w:r>
    </w:p>
    <w:p w14:paraId="652DA92D">
      <w:pPr>
        <w:pStyle w:val="260"/>
        <w:numPr>
          <w:ilvl w:val="0"/>
          <w:numId w:val="3"/>
        </w:numPr>
        <w:spacing w:after="0"/>
        <w:ind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真实性原则。医院应当以实际发生的经济业务或事项为依据进行成本 核算，确保成本信息真实可靠、内容完整。</w:t>
      </w:r>
    </w:p>
    <w:p w14:paraId="23C0085A">
      <w:pPr>
        <w:pStyle w:val="260"/>
        <w:numPr>
          <w:ilvl w:val="0"/>
          <w:numId w:val="3"/>
        </w:numPr>
        <w:spacing w:after="0"/>
        <w:ind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适应性原则。 医院进行成本核算应当与卫生健康行业特点、特定的成 本信息需求相适应，并根据医院自身基础与成本信息需求选择合适的成本核算 方法。</w:t>
      </w:r>
    </w:p>
    <w:p w14:paraId="190D38D8">
      <w:pPr>
        <w:pStyle w:val="260"/>
        <w:numPr>
          <w:ilvl w:val="0"/>
          <w:numId w:val="3"/>
        </w:numPr>
        <w:spacing w:after="0"/>
        <w:ind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及时性原则。医院应当及时收集、处理、传递和报告成本信息，便于信息 使用者及时作出评价或决策。</w:t>
      </w:r>
    </w:p>
    <w:p w14:paraId="2B4A6946">
      <w:pPr>
        <w:pStyle w:val="260"/>
        <w:numPr>
          <w:ilvl w:val="0"/>
          <w:numId w:val="3"/>
        </w:numPr>
        <w:spacing w:after="0"/>
        <w:ind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可比性原则。相同行政区域内不同医院，或者同一医院不同时期，对相 同或相似的成本核算对象进行成本核算所采用的方法和依据等应当保持连续性和 一致性，确保成本信息相互可比。</w:t>
      </w:r>
    </w:p>
    <w:p w14:paraId="60B55BC0">
      <w:pPr>
        <w:pStyle w:val="260"/>
        <w:numPr>
          <w:ilvl w:val="0"/>
          <w:numId w:val="3"/>
        </w:numPr>
        <w:spacing w:after="0"/>
        <w:ind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重要性原则。 医院选择成本核算对象、开展成本核算应当区分重要程 度，对于重要的成本核算对象和成本项目应当力求成本信息精确，对于非重要的成 本核算对象和成本项目可以适当简化核算。</w:t>
      </w:r>
    </w:p>
    <w:p w14:paraId="64BDB176">
      <w:pPr>
        <w:pStyle w:val="260"/>
        <w:numPr>
          <w:ilvl w:val="0"/>
          <w:numId w:val="3"/>
        </w:numPr>
        <w:spacing w:after="0"/>
        <w:ind w:firstLineChars="0"/>
        <w:jc w:val="lef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谁受益谁承担原则。医院在进行成本核算时，应当按照“谁受益、谁承 担”的原则，归集、分配各项费用。</w:t>
      </w:r>
    </w:p>
    <w:p w14:paraId="229F6E17">
      <w:pPr>
        <w:pStyle w:val="260"/>
        <w:numPr>
          <w:ilvl w:val="0"/>
          <w:numId w:val="3"/>
        </w:numPr>
        <w:spacing w:after="0"/>
        <w:ind w:firstLineChars="0"/>
        <w:jc w:val="lef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asciiTheme="minorEastAsia" w:hAnsiTheme="minorEastAsia" w:eastAsiaTheme="minorEastAsia" w:cstheme="minorEastAsia"/>
          <w:color w:val="000000" w:themeColor="text1"/>
          <w:sz w:val="21"/>
          <w:szCs w:val="21"/>
          <w:highlight w:val="none"/>
          <w14:textFill>
            <w14:solidFill>
              <w14:schemeClr w14:val="tx1"/>
            </w14:solidFill>
          </w14:textFill>
        </w:rPr>
        <w:t>权责发生制原则。医院应当以权责发生制财务会计数据为基础进行成本核算，财务会计有关明细科目设置和辅助核算应当满足成本核算的需要。</w:t>
      </w:r>
    </w:p>
    <w:p w14:paraId="71D1025D">
      <w:pPr>
        <w:keepNext w:val="0"/>
        <w:keepLines w:val="0"/>
        <w:pageBreakBefore w:val="0"/>
        <w:numPr>
          <w:ilvl w:val="0"/>
          <w:numId w:val="0"/>
        </w:numPr>
        <w:kinsoku/>
        <w:wordWrap/>
        <w:overflowPunct/>
        <w:topLinePunct w:val="0"/>
        <w:bidi w:val="0"/>
        <w:adjustRightInd w:val="0"/>
        <w:snapToGrid/>
        <w:spacing w:line="360" w:lineRule="auto"/>
        <w:ind w:left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p>
    <w:p w14:paraId="7A443299">
      <w:pPr>
        <w:keepNext w:val="0"/>
        <w:keepLines w:val="0"/>
        <w:pageBreakBefore w:val="0"/>
        <w:numPr>
          <w:ilvl w:val="0"/>
          <w:numId w:val="2"/>
        </w:numPr>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建设要求</w:t>
      </w:r>
    </w:p>
    <w:p w14:paraId="5E7673CC">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项目政策</w:t>
      </w:r>
      <w:r>
        <w:rPr>
          <w:rFonts w:hint="eastAsia" w:ascii="宋体" w:hAnsi="宋体" w:eastAsia="宋体" w:cs="宋体"/>
          <w:color w:val="000000" w:themeColor="text1"/>
          <w:sz w:val="21"/>
          <w:szCs w:val="21"/>
          <w:highlight w:val="none"/>
          <w14:textFill>
            <w14:solidFill>
              <w14:schemeClr w14:val="tx1"/>
            </w14:solidFill>
          </w14:textFill>
        </w:rPr>
        <w:t>符合性要求：</w:t>
      </w:r>
      <w:r>
        <w:rPr>
          <w:rFonts w:ascii="宋体" w:hAnsi="宋体" w:eastAsia="宋体" w:cs="宋体"/>
          <w:color w:val="000000" w:themeColor="text1"/>
          <w:sz w:val="21"/>
          <w:szCs w:val="21"/>
          <w:highlight w:val="none"/>
          <w14:textFill>
            <w14:solidFill>
              <w14:schemeClr w14:val="tx1"/>
            </w14:solidFill>
          </w14:textFill>
        </w:rPr>
        <w:t>本</w:t>
      </w:r>
      <w:r>
        <w:rPr>
          <w:rFonts w:hint="eastAsia" w:ascii="宋体" w:hAnsi="宋体" w:eastAsia="宋体" w:cs="宋体"/>
          <w:color w:val="000000" w:themeColor="text1"/>
          <w:sz w:val="21"/>
          <w:szCs w:val="21"/>
          <w:highlight w:val="none"/>
          <w14:textFill>
            <w14:solidFill>
              <w14:schemeClr w14:val="tx1"/>
            </w14:solidFill>
          </w14:textFill>
        </w:rPr>
        <w:t>次</w:t>
      </w:r>
      <w:r>
        <w:rPr>
          <w:rFonts w:ascii="宋体" w:hAnsi="宋体" w:eastAsia="宋体" w:cs="宋体"/>
          <w:color w:val="000000" w:themeColor="text1"/>
          <w:sz w:val="21"/>
          <w:szCs w:val="21"/>
          <w:highlight w:val="none"/>
          <w14:textFill>
            <w14:solidFill>
              <w14:schemeClr w14:val="tx1"/>
            </w14:solidFill>
          </w14:textFill>
        </w:rPr>
        <w:t>医院全成本核算管理系统建设，符合国家</w:t>
      </w:r>
      <w:r>
        <w:rPr>
          <w:rFonts w:hint="eastAsia" w:ascii="宋体" w:hAnsi="宋体" w:eastAsia="宋体" w:cs="宋体"/>
          <w:color w:val="000000" w:themeColor="text1"/>
          <w:sz w:val="21"/>
          <w:szCs w:val="21"/>
          <w:highlight w:val="none"/>
          <w14:textFill>
            <w14:solidFill>
              <w14:schemeClr w14:val="tx1"/>
            </w14:solidFill>
          </w14:textFill>
        </w:rPr>
        <w:t>现行新的</w:t>
      </w:r>
      <w:r>
        <w:rPr>
          <w:rFonts w:ascii="宋体" w:hAnsi="宋体" w:eastAsia="宋体" w:cs="宋体"/>
          <w:color w:val="000000" w:themeColor="text1"/>
          <w:sz w:val="21"/>
          <w:szCs w:val="21"/>
          <w:highlight w:val="none"/>
          <w14:textFill>
            <w14:solidFill>
              <w14:schemeClr w14:val="tx1"/>
            </w14:solidFill>
          </w14:textFill>
        </w:rPr>
        <w:t>《中华人民共和国会计法》</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《政府会计制度》</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《事业单位成本核算基本指引》</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《医院等级评审标准》</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《医院智慧管理分级评估标准体系》</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《公立医院高质量发展促进行动方案》</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《公立医院运营管理信息化功能指引》</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《公立医院成本核算指导手册》等系列政策制度文件要求，项目建设覆盖科室成本、诊次成本、床日成本、项目成本、病种DRG成本等</w:t>
      </w:r>
      <w:r>
        <w:rPr>
          <w:rFonts w:hint="eastAsia" w:ascii="宋体" w:hAnsi="宋体" w:eastAsia="宋体" w:cs="宋体"/>
          <w:color w:val="000000" w:themeColor="text1"/>
          <w:sz w:val="21"/>
          <w:szCs w:val="21"/>
          <w:highlight w:val="none"/>
          <w14:textFill>
            <w14:solidFill>
              <w14:schemeClr w14:val="tx1"/>
            </w14:solidFill>
          </w14:textFill>
        </w:rPr>
        <w:t>全立位、</w:t>
      </w:r>
      <w:r>
        <w:rPr>
          <w:rFonts w:ascii="宋体" w:hAnsi="宋体" w:eastAsia="宋体" w:cs="宋体"/>
          <w:color w:val="000000" w:themeColor="text1"/>
          <w:sz w:val="21"/>
          <w:szCs w:val="21"/>
          <w:highlight w:val="none"/>
          <w14:textFill>
            <w14:solidFill>
              <w14:schemeClr w14:val="tx1"/>
            </w14:solidFill>
          </w14:textFill>
        </w:rPr>
        <w:t>多维度的全成本</w:t>
      </w:r>
      <w:r>
        <w:rPr>
          <w:rFonts w:hint="eastAsia" w:ascii="宋体" w:hAnsi="宋体" w:eastAsia="宋体" w:cs="宋体"/>
          <w:color w:val="000000" w:themeColor="text1"/>
          <w:sz w:val="21"/>
          <w:szCs w:val="21"/>
          <w:highlight w:val="none"/>
          <w14:textFill>
            <w14:solidFill>
              <w14:schemeClr w14:val="tx1"/>
            </w14:solidFill>
          </w14:textFill>
        </w:rPr>
        <w:t>核算</w:t>
      </w:r>
      <w:r>
        <w:rPr>
          <w:rFonts w:ascii="宋体" w:hAnsi="宋体" w:eastAsia="宋体" w:cs="宋体"/>
          <w:color w:val="000000" w:themeColor="text1"/>
          <w:sz w:val="21"/>
          <w:szCs w:val="21"/>
          <w:highlight w:val="none"/>
          <w14:textFill>
            <w14:solidFill>
              <w14:schemeClr w14:val="tx1"/>
            </w14:solidFill>
          </w14:textFill>
        </w:rPr>
        <w:t>管理体系，</w:t>
      </w:r>
      <w:r>
        <w:rPr>
          <w:rFonts w:hint="eastAsia" w:ascii="宋体" w:hAnsi="宋体" w:eastAsia="宋体" w:cs="宋体"/>
          <w:color w:val="000000" w:themeColor="text1"/>
          <w:sz w:val="21"/>
          <w:szCs w:val="21"/>
          <w:highlight w:val="none"/>
          <w14:textFill>
            <w14:solidFill>
              <w14:schemeClr w14:val="tx1"/>
            </w14:solidFill>
          </w14:textFill>
        </w:rPr>
        <w:t>有效</w:t>
      </w:r>
      <w:r>
        <w:rPr>
          <w:rFonts w:ascii="宋体" w:hAnsi="宋体" w:eastAsia="宋体" w:cs="宋体"/>
          <w:color w:val="000000" w:themeColor="text1"/>
          <w:sz w:val="21"/>
          <w:szCs w:val="21"/>
          <w:highlight w:val="none"/>
          <w14:textFill>
            <w14:solidFill>
              <w14:schemeClr w14:val="tx1"/>
            </w14:solidFill>
          </w14:textFill>
        </w:rPr>
        <w:t>实现</w:t>
      </w:r>
      <w:r>
        <w:rPr>
          <w:rFonts w:hint="eastAsia" w:ascii="宋体" w:hAnsi="宋体" w:eastAsia="宋体" w:cs="宋体"/>
          <w:color w:val="000000" w:themeColor="text1"/>
          <w:sz w:val="21"/>
          <w:szCs w:val="21"/>
          <w:highlight w:val="none"/>
          <w14:textFill>
            <w14:solidFill>
              <w14:schemeClr w14:val="tx1"/>
            </w14:solidFill>
          </w14:textFill>
        </w:rPr>
        <w:t>成本管控</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数智</w:t>
      </w:r>
      <w:r>
        <w:rPr>
          <w:rFonts w:ascii="宋体" w:hAnsi="宋体" w:eastAsia="宋体" w:cs="宋体"/>
          <w:color w:val="000000" w:themeColor="text1"/>
          <w:sz w:val="21"/>
          <w:szCs w:val="21"/>
          <w:highlight w:val="none"/>
          <w14:textFill>
            <w14:solidFill>
              <w14:schemeClr w14:val="tx1"/>
            </w14:solidFill>
          </w14:textFill>
        </w:rPr>
        <w:t>运营分析、资源配置优化、</w:t>
      </w:r>
      <w:r>
        <w:rPr>
          <w:rFonts w:hint="eastAsia" w:ascii="宋体" w:hAnsi="宋体" w:eastAsia="宋体" w:cs="宋体"/>
          <w:color w:val="000000" w:themeColor="text1"/>
          <w:sz w:val="21"/>
          <w:szCs w:val="21"/>
          <w:highlight w:val="none"/>
          <w14:textFill>
            <w14:solidFill>
              <w14:schemeClr w14:val="tx1"/>
            </w14:solidFill>
          </w14:textFill>
        </w:rPr>
        <w:t>DRG</w:t>
      </w:r>
      <w:r>
        <w:rPr>
          <w:rFonts w:ascii="宋体" w:hAnsi="宋体" w:eastAsia="宋体" w:cs="宋体"/>
          <w:color w:val="000000" w:themeColor="text1"/>
          <w:sz w:val="21"/>
          <w:szCs w:val="21"/>
          <w:highlight w:val="none"/>
          <w14:textFill>
            <w14:solidFill>
              <w14:schemeClr w14:val="tx1"/>
            </w14:solidFill>
          </w14:textFill>
        </w:rPr>
        <w:t>医保控费</w:t>
      </w:r>
      <w:r>
        <w:rPr>
          <w:rFonts w:hint="eastAsia" w:ascii="宋体" w:hAnsi="宋体" w:eastAsia="宋体" w:cs="宋体"/>
          <w:color w:val="000000" w:themeColor="text1"/>
          <w:sz w:val="21"/>
          <w:szCs w:val="21"/>
          <w:highlight w:val="none"/>
          <w14:textFill>
            <w14:solidFill>
              <w14:schemeClr w14:val="tx1"/>
            </w14:solidFill>
          </w14:textFill>
        </w:rPr>
        <w:t>、AI赋能新质生产力等医院智慧运营管理</w:t>
      </w:r>
      <w:r>
        <w:rPr>
          <w:rFonts w:ascii="宋体" w:hAnsi="宋体" w:eastAsia="宋体" w:cs="宋体"/>
          <w:color w:val="000000" w:themeColor="text1"/>
          <w:sz w:val="21"/>
          <w:szCs w:val="21"/>
          <w:highlight w:val="none"/>
          <w14:textFill>
            <w14:solidFill>
              <w14:schemeClr w14:val="tx1"/>
            </w14:solidFill>
          </w14:textFill>
        </w:rPr>
        <w:t>。</w:t>
      </w:r>
    </w:p>
    <w:p w14:paraId="4D501DAC">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项目建设内容要求</w:t>
      </w:r>
      <w:r>
        <w:rPr>
          <w:rFonts w:hint="eastAsia" w:ascii="宋体" w:hAnsi="宋体" w:eastAsia="宋体" w:cs="宋体"/>
          <w:color w:val="000000" w:themeColor="text1"/>
          <w:sz w:val="21"/>
          <w:szCs w:val="21"/>
          <w:highlight w:val="none"/>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本次项目重点完成医院全成本核算管理系统搭建，构建多层级、全维度、全覆盖的</w:t>
      </w:r>
      <w:r>
        <w:rPr>
          <w:rFonts w:hint="eastAsia" w:ascii="宋体" w:hAnsi="宋体" w:eastAsia="宋体" w:cs="宋体"/>
          <w:color w:val="000000" w:themeColor="text1"/>
          <w:sz w:val="21"/>
          <w:szCs w:val="21"/>
          <w:highlight w:val="none"/>
          <w14:textFill>
            <w14:solidFill>
              <w14:schemeClr w14:val="tx1"/>
            </w14:solidFill>
          </w14:textFill>
        </w:rPr>
        <w:t>全</w:t>
      </w:r>
      <w:r>
        <w:rPr>
          <w:rFonts w:ascii="宋体" w:hAnsi="宋体" w:eastAsia="宋体" w:cs="宋体"/>
          <w:color w:val="000000" w:themeColor="text1"/>
          <w:sz w:val="21"/>
          <w:szCs w:val="21"/>
          <w:highlight w:val="none"/>
          <w14:textFill>
            <w14:solidFill>
              <w14:schemeClr w14:val="tx1"/>
            </w14:solidFill>
          </w14:textFill>
        </w:rPr>
        <w:t>成本核算</w:t>
      </w:r>
      <w:r>
        <w:rPr>
          <w:rFonts w:hint="eastAsia" w:ascii="宋体" w:hAnsi="宋体" w:eastAsia="宋体" w:cs="宋体"/>
          <w:color w:val="000000" w:themeColor="text1"/>
          <w:sz w:val="21"/>
          <w:szCs w:val="21"/>
          <w:highlight w:val="none"/>
          <w14:textFill>
            <w14:solidFill>
              <w14:schemeClr w14:val="tx1"/>
            </w14:solidFill>
          </w14:textFill>
        </w:rPr>
        <w:t>管理</w:t>
      </w:r>
      <w:r>
        <w:rPr>
          <w:rFonts w:ascii="宋体" w:hAnsi="宋体" w:eastAsia="宋体" w:cs="宋体"/>
          <w:color w:val="000000" w:themeColor="text1"/>
          <w:sz w:val="21"/>
          <w:szCs w:val="21"/>
          <w:highlight w:val="none"/>
          <w14:textFill>
            <w14:solidFill>
              <w14:schemeClr w14:val="tx1"/>
            </w14:solidFill>
          </w14:textFill>
        </w:rPr>
        <w:t>体系，明确核算对象与核算范围，实现</w:t>
      </w:r>
      <w:r>
        <w:rPr>
          <w:rFonts w:hint="eastAsia" w:ascii="宋体" w:hAnsi="宋体" w:eastAsia="宋体" w:cs="宋体"/>
          <w:color w:val="000000" w:themeColor="text1"/>
          <w:sz w:val="21"/>
          <w:szCs w:val="21"/>
          <w:highlight w:val="none"/>
          <w14:textFill>
            <w14:solidFill>
              <w14:schemeClr w14:val="tx1"/>
            </w14:solidFill>
          </w14:textFill>
        </w:rPr>
        <w:t>全生命周期</w:t>
      </w:r>
      <w:r>
        <w:rPr>
          <w:rFonts w:ascii="宋体" w:hAnsi="宋体" w:eastAsia="宋体" w:cs="宋体"/>
          <w:color w:val="000000" w:themeColor="text1"/>
          <w:sz w:val="21"/>
          <w:szCs w:val="21"/>
          <w:highlight w:val="none"/>
          <w14:textFill>
            <w14:solidFill>
              <w14:schemeClr w14:val="tx1"/>
            </w14:solidFill>
          </w14:textFill>
        </w:rPr>
        <w:t>闭环管理。核心核算对象：涵盖院科全成本、诊次成本、床日成本、医疗项目成本、病种成本、DRG病种成本六大类，满足医院不同层级、不同维度的成本核算与分析需求。全成本核算范围：在传统医疗成本核算基础上全面拓展，明确医院全成本核算口径，即医院全成本=医疗全成本+科研经费+其他费用=医疗成本+财政经费+非同级财政拨款项目经费+科研经费+其他费用。</w:t>
      </w:r>
      <w:r>
        <w:rPr>
          <w:rFonts w:hint="eastAsia" w:ascii="宋体" w:hAnsi="宋体" w:eastAsia="宋体" w:cs="宋体"/>
          <w:color w:val="000000" w:themeColor="text1"/>
          <w:sz w:val="21"/>
          <w:szCs w:val="21"/>
          <w:highlight w:val="none"/>
          <w14:textFill>
            <w14:solidFill>
              <w14:schemeClr w14:val="tx1"/>
            </w14:solidFill>
          </w14:textFill>
        </w:rPr>
        <w:t>医院成本范围：可以根据成本信息需求进行调整。根据成本信息报告目的和所要反映问题的不同，收入与成本的对应关系也不同。通常医疗业务科室的医疗收 入及财政基本拨款收入与医疗业务成本对应，反映医疗业务科室收入及财政基本 拨款收入弥补自身直接成本消耗的运营状况；医院医疗收入及财政基本拨款收入 与医疗成本对应，反映医院医疗收入及财政基本拨款收入弥补自身成本消耗的运 营状况；医院医疗收入及财政拨款收入与医疗全成本对应，反映医院提供医疗活动 的运营状况；医院总收入(含医疗收入、财政拨款收入、科教收入及其他各类收入) 与医院全成本对应，反映医院开展医教研防等活动的运营状况。</w:t>
      </w:r>
    </w:p>
    <w:p w14:paraId="78ADFD14">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科室成本核算：以科室为核算对象，按照一定流程和方法归集相关费用、计算科室成本的过程。科室成本核算的对象是按照医院管理需要设置的各类科室单元。开展科室核算时，应当将提供医疗服务所发生的全部费用，按照成本项目归集到科室单元。通过“业务活动费用”、“单位管理费用”等会计科目，按照成本项目归集实际发生的各种费用，据此计算确定各科室的成本，其中包括直接成本与间接成本。科室直接成本的归集：医院发生的纳入成本核算范围的全部成本，应当按照成本核算单元进行归集。 科室直接成本分为直接计入成本与计算计入成本。科室间接成本的分摊：科室间接成本应当本着相关性、成本效益关系及重要性等原则，采用阶梯分摊 法，按照分项逐级分步结转的方式进行三级分摊，最终将所有科室间接成本分摊到 临床服务类科室。 一级分摊是指行政后勤类科室成本的分摊，二级分摊是指医疗 辅助类科室成本的分摊，三级分摊是指医疗技术类科室成本的分摊。</w:t>
      </w:r>
    </w:p>
    <w:p w14:paraId="146A89ED">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诊次成本核算：临床门诊科室支持以门急诊人次为核算对象，将门诊科室成本分解到门急诊人次中，计算门诊各科室诊次成本，门诊各科室诊次成本合计通过加权平均法得到医院诊次成本，同时计算诊次效益=诊次收入-诊次成本。</w:t>
      </w:r>
    </w:p>
    <w:p w14:paraId="5639F6BA">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床日成本核算：临床住院科室支持以住院实际占用床日为核算对象，将住院科室成本分解到住院床日中，计算住院各科室床日成本，住院各科室床日成本合计通过加权平均法得到医院床日成本，同时计算床日效益=床日收入-床日成本。</w:t>
      </w:r>
    </w:p>
    <w:p w14:paraId="08BB2F2A">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疗服务项目成本核算系统建设：完成一院多区所有医疗服务项目成本核算，支持以住院、门诊、医技科室开展的所有医疗服务项目为对象，归集和分配各项费用，依据“项目消耗作业，作业消耗资源”的原则设置作业动因和资源成本动因，采用ABC作业成本法搭建科室作业库、项目作业维护、人员工时填报、设备工时填报、不计价材料填报等相对应的核算模型。获取医疗服务项目国家版标准人员工时、难易程序、风险系数，采集医疗收入明细数据，不计价材料明细、固定资产折旧明细数据等。组织全院各科成本核算员完成人员工时、设备工时、不计价材料填报、校验、提交、计算，生成医疗项目成本核算相关数据报表。</w:t>
      </w:r>
    </w:p>
    <w:p w14:paraId="100D1FD3">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种成本核算系统建设：完成一院多区病案首页信息、HIS住院病人明细数据采集，获取全院各科医疗服务项目成本数据。将医疗服务项目、药品成本、材料成本明细数据采用“自下而上”、“项目叠加法”计算病种成本。生成每例病种成本数据，再通过加权平均法生成全院、科室病种成本相关数据报表。支持提供体系化的病种成本分析功能，主要从盈亏、构成、收益、排名等角度分析;支持区分医疗业务成本、医疗成本、医疗全成本、医院全成本，从集团、医院、科室及各项目的对比、趋势、环比分析;支持提供盈亏平衡点测算分析等。</w:t>
      </w:r>
    </w:p>
    <w:p w14:paraId="628A92A7">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RG成本核算系统建设：在病种成本核算的数据基础上，支持以疾病诊断相关分组/按病种分值付费（DRG）为核算对象，完成一院多区医保DRG支付费用、RW、CMI等相关数据采集，将医疗服务项目、药品成本、材料成本采用“自下而上”、“项目叠加法”计算DRG成本。生成每例DRG成本数据，再通过加权平均法生成全院、科室DRG成本相关数据报表。支持提供体系化的DRG成本分析功能，主要从盈亏、构成、收益、排名等角度分析;支持区分医疗业务成本、医疗成本、医疗全成本、医院全成本，从集团、医院、科室及各项目的对比、趋势、环比分析;支持提供盈亏平衡点测算分析等。</w:t>
      </w:r>
    </w:p>
    <w:p w14:paraId="792908ED">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用数据接口采集设置：完成一院多区数据接口采集设置，主要数据接口有财务凭证数据接口、HIS门诊收入数据接口、HIS住院收入数据接口、物资库科室领用接口、药库科室领用接口、供应室内部服务价接口、设备固定资产折旧接口、SPD物资供应链接口、职工薪酬系系统接口、职工考勤数据接口、门急诊人次接口、实际占用床日数接口、入院人数接口、出院人数接口、病案信息接口等。支持成本核算科室、成本项目、信息项目等接口代码对照转换功能。</w:t>
      </w:r>
    </w:p>
    <w:p w14:paraId="36485A65">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标准数据报表：软件系统支持6大类主题18张标准成本报表：一、科室成本报表：医院科室直接成本表（医疗成本）、医院科室直接成本表（医疗全成本和医院全成本）、医院临床服务类科室全成本表（医疗成本）、医院临床服务类科室全成本表（医疗全成本和医院全成本）、医院临床服务类科室全成本构成分析表、医院科室成本分摊汇总表；二、诊次成本报表：医院诊次成本构成表、医院科室诊次成本表；三、床日成本报表：医院床日成本构成表、医院科室床日成本表；四、医疗服务项目成本报表：医院医疗服务项目成本汇总表、医院医疗服务项目成本明细表；五、病种成本报表：医院病种成本明细表、医院病种成本构成明细表、医院服务单元病种成本构成明细表；六、DRG成本报表：医院DRG成本明细表、医院DRG成本构成明细表、医院服务单元DRG成本构成明细表。</w:t>
      </w:r>
    </w:p>
    <w:p w14:paraId="10C0968E">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自定义报表管理工具：根据医院全成本与效益核算数据统计分析应用的需要，除了6大类主题18张标准成本报表，全成本软件系统需支持（按月份、季度、半年度、年度）基本、结构、对比、环比、定基比、同比、排名、累计、趋势、成本性态、以及图表分析等丰富多样医院全成本与效益核算数据报表；支持本量利分析：根据成本属性固定成本、变动成本、总收入、工作量计算（诊次、床日）、项目、病种、DRG的本量利分析。支持提供体系化的成本分析功能，主要从成本、收入、效益、指标等角度分析;支持自定义报表设置，实现医疗业务成本、医疗成本、医疗全成本、医院全成本从集团、医院、科室、班组及各成本核算单元的比较分析、结构分析、累计分析、趋势分析、排名分析、图表分析等全面、局部、专项综合数据报表自定义统计分析。</w:t>
      </w:r>
    </w:p>
    <w:p w14:paraId="475C9276">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立健全公立医院运营管理体系，提高运营管理科学化、规范化、精细化、信息化水平，推动实现公立医院高质量发展，系统建设符合公立医院运营管理信息化建设应用框架及功能设计要求，实现“管理制度化、制度流程化、流程表单化、表单信息化、信息数字化、数字智慧化”医院智慧管理分级评估标准体系。医院围绕“规范管理、提质增效、强化监管”的高质量发展主题，聚焦重点难点问题，补齐短板弱项，着力推动“以业财融合为重点的运营管理建设，助力提高医疗服务质量、提升资源配置效率效益”。</w:t>
      </w:r>
    </w:p>
    <w:p w14:paraId="351242E5">
      <w:pPr>
        <w:pStyle w:val="260"/>
        <w:numPr>
          <w:ilvl w:val="0"/>
          <w:numId w:val="4"/>
        </w:numPr>
        <w:spacing w:after="0"/>
        <w:ind w:left="0"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医院成本核算结果的应用：医院成本核算的结果一方面应当满足医院内部科学化、精细化管理的需求，另 一方面为政府决策提供数据支撑。医院应当根据成本核算结果，进行成本分析，寻 找成本控制点，开展全面成本管理工作。医院要将成本管理与预算管理、绩效管理 相结合，提高精细化管理的水平，实现高质量发展。（1）成本控制。医院应当完整、准确核算特定成本核算对象的成本，揭示成 本的发生和形成过程，以便对影响成本的各种因素、条件施加影响或管控，将成本 控制在预期目标内。（2）医疗服务定价和监管。医院应当在统一核算原则和方法的基础上准确 核算医疗服务成本，为政府有关部门制定和监管医疗服务相关价格或收费标准、完 善医保支付政策等提供依据。（3）绩效评价。医院应当设置与成本相关的绩效指标，衡量医院整体和内部 各部门的运行效率、核心业务实施效果、政策项目资金实施效益。（4）成本分析。医院可根据内外部环境，对本院的成本和效益进行深入剖 析，揭示成本消耗现状，认识成本的变动规律，并将成本分析结果运用到医院管理 中，进而达到节约成本，提高效益的目的。（5）预算管理。在医院全面预算管理下，成本核算结果为医院预算管理提供 详细科学的数据基础，有效促进预算的编制、执行、控制、反馈与调整。（6）运营管理。通过成本核算，可实现对医院各项成本动因、成本构成要素、 成本水平的详细分析并加以有效控制，可以深入了解各科室的运营情况，为医院加  强过程管理、增强资源的有效配置、确定长远发展战略提供重要依据。</w:t>
      </w:r>
    </w:p>
    <w:p w14:paraId="7FC92F49">
      <w:pPr>
        <w:pStyle w:val="260"/>
        <w:numPr>
          <w:ilvl w:val="0"/>
          <w:numId w:val="4"/>
        </w:numPr>
        <w:spacing w:after="0"/>
        <w:ind w:left="0" w:firstLine="42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建设价值成效：有助于提升医疗集团“一盘棋、一张网、一成本平台数据中心”的医疗、科研、教学、预防、保健、康复综合管理，医疗有助于院领导战略决策人、财、物医院运营管理、有助于成本管控与资源合理分配、有助于全面预算执行与绩效考核管理、有助于医疗物价定价与医保支付控费、有助于医院等级评审与智慧医院评级、有助于提升医疗质量安全与患者满意度、有助于行政数据监测与行业标准制定、有助于三医联动与分级诊疗协同、有助于医院数字化与精益化管理、有助于医疗价值体现与医院综合运营能力提升等。通过医院全成本与效益核算管理平台系统建设，充分发挥“人尽其才、物尽其用”医疗服务价值，显著提升医院的经济效益与社会效益，促进医院智慧运营管理和健康可持续高质量发展。</w:t>
      </w:r>
    </w:p>
    <w:p w14:paraId="285E3D1D">
      <w:pPr>
        <w:pStyle w:val="260"/>
        <w:numPr>
          <w:ilvl w:val="0"/>
          <w:numId w:val="4"/>
        </w:numPr>
        <w:spacing w:after="0"/>
        <w:ind w:left="0" w:firstLine="420"/>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建设技术要求：供应商需提供项目建设总体解决方案，具有科学化、规范化、专业化、人性化的项目建设管理体系，具有自主研发、实施、服务综合技术能力，具有丰富的项目建设实施经验，具有优质的售后服务保障体系。</w:t>
      </w:r>
    </w:p>
    <w:p w14:paraId="504784A2">
      <w:pPr>
        <w:rPr>
          <w:rFonts w:hint="eastAsia"/>
          <w:color w:val="000000" w:themeColor="text1"/>
          <w:highlight w:val="none"/>
          <w:lang w:val="en-US" w:eastAsia="zh-CN"/>
          <w14:textFill>
            <w14:solidFill>
              <w14:schemeClr w14:val="tx1"/>
            </w14:solidFill>
          </w14:textFill>
        </w:rPr>
      </w:pPr>
    </w:p>
    <w:p w14:paraId="3A4B5349">
      <w:pP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p w14:paraId="199BAB5B">
      <w:pPr>
        <w:keepNext w:val="0"/>
        <w:keepLines w:val="0"/>
        <w:pageBreakBefore w:val="0"/>
        <w:numPr>
          <w:ilvl w:val="0"/>
          <w:numId w:val="2"/>
        </w:numPr>
        <w:kinsoku/>
        <w:wordWrap/>
        <w:overflowPunct/>
        <w:topLinePunct w:val="0"/>
        <w:bidi w:val="0"/>
        <w:adjustRightInd w:val="0"/>
        <w:snapToGrid/>
        <w:spacing w:line="360" w:lineRule="auto"/>
        <w:ind w:left="0"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服务内容及要求</w:t>
      </w:r>
    </w:p>
    <w:p w14:paraId="13688986">
      <w:pPr>
        <w:pageBreakBefore w:val="0"/>
        <w:widowControl w:val="0"/>
        <w:kinsoku/>
        <w:wordWrap/>
        <w:overflowPunct/>
        <w:topLinePunct w:val="0"/>
        <w:bidi w:val="0"/>
        <w:snapToGrid/>
        <w:spacing w:line="360" w:lineRule="auto"/>
        <w:ind w:left="0" w:firstLine="422" w:firstLineChars="20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1、采购清单</w:t>
      </w:r>
    </w:p>
    <w:tbl>
      <w:tblPr>
        <w:tblStyle w:val="64"/>
        <w:tblpPr w:leftFromText="180" w:rightFromText="180" w:vertAnchor="text" w:tblpX="250" w:tblpY="1"/>
        <w:tblOverlap w:val="never"/>
        <w:tblW w:w="47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2114"/>
        <w:gridCol w:w="4537"/>
        <w:gridCol w:w="1134"/>
      </w:tblGrid>
      <w:tr w14:paraId="5BEA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5" w:type="pct"/>
            <w:vAlign w:val="center"/>
          </w:tcPr>
          <w:p w14:paraId="79E6B6A6">
            <w:pPr>
              <w:adjustRightInd/>
              <w:spacing w:after="0" w:line="360" w:lineRule="auto"/>
              <w:jc w:val="center"/>
              <w:rPr>
                <w:rFonts w:hint="eastAsia" w:cs="微软雅黑" w:asciiTheme="minorEastAsia" w:hAnsiTheme="minorEastAsia" w:eastAsiaTheme="minorEastAsia"/>
                <w:b/>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
                <w:bCs/>
                <w:color w:val="000000" w:themeColor="text1"/>
                <w:szCs w:val="21"/>
                <w:highlight w:val="none"/>
                <w14:textFill>
                  <w14:solidFill>
                    <w14:schemeClr w14:val="tx1"/>
                  </w14:solidFill>
                </w14:textFill>
              </w:rPr>
              <w:t>序号</w:t>
            </w:r>
          </w:p>
        </w:tc>
        <w:tc>
          <w:tcPr>
            <w:tcW w:w="1188" w:type="pct"/>
            <w:vAlign w:val="center"/>
          </w:tcPr>
          <w:p w14:paraId="22F9FF7C">
            <w:pPr>
              <w:adjustRightInd/>
              <w:spacing w:after="0" w:line="360" w:lineRule="auto"/>
              <w:jc w:val="center"/>
              <w:rPr>
                <w:rFonts w:hint="eastAsia" w:cs="微软雅黑" w:asciiTheme="minorEastAsia" w:hAnsiTheme="minorEastAsia" w:eastAsiaTheme="minorEastAsia"/>
                <w:b/>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
                <w:bCs/>
                <w:color w:val="000000" w:themeColor="text1"/>
                <w:szCs w:val="21"/>
                <w:highlight w:val="none"/>
                <w14:textFill>
                  <w14:solidFill>
                    <w14:schemeClr w14:val="tx1"/>
                  </w14:solidFill>
                </w14:textFill>
              </w:rPr>
              <w:t>系统名称内容</w:t>
            </w:r>
          </w:p>
        </w:tc>
        <w:tc>
          <w:tcPr>
            <w:tcW w:w="2550" w:type="pct"/>
            <w:vAlign w:val="center"/>
          </w:tcPr>
          <w:p w14:paraId="6BCAF137">
            <w:pPr>
              <w:adjustRightInd/>
              <w:spacing w:after="0" w:line="360" w:lineRule="auto"/>
              <w:jc w:val="center"/>
              <w:rPr>
                <w:rFonts w:hint="eastAsia" w:cs="微软雅黑" w:asciiTheme="minorEastAsia" w:hAnsiTheme="minorEastAsia" w:eastAsiaTheme="minorEastAsia"/>
                <w:b/>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
                <w:bCs/>
                <w:color w:val="000000" w:themeColor="text1"/>
                <w:szCs w:val="21"/>
                <w:highlight w:val="none"/>
                <w14:textFill>
                  <w14:solidFill>
                    <w14:schemeClr w14:val="tx1"/>
                  </w14:solidFill>
                </w14:textFill>
              </w:rPr>
              <w:t>子系统名称内容</w:t>
            </w:r>
          </w:p>
        </w:tc>
        <w:tc>
          <w:tcPr>
            <w:tcW w:w="637" w:type="pct"/>
            <w:vAlign w:val="center"/>
          </w:tcPr>
          <w:p w14:paraId="6394BB85">
            <w:pPr>
              <w:adjustRightInd/>
              <w:spacing w:after="0" w:line="360" w:lineRule="auto"/>
              <w:jc w:val="center"/>
              <w:rPr>
                <w:rFonts w:hint="eastAsia" w:cs="微软雅黑" w:asciiTheme="minorEastAsia" w:hAnsiTheme="minorEastAsia" w:eastAsiaTheme="minorEastAsia"/>
                <w:b/>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
                <w:bCs/>
                <w:color w:val="000000" w:themeColor="text1"/>
                <w:szCs w:val="21"/>
                <w:highlight w:val="none"/>
                <w14:textFill>
                  <w14:solidFill>
                    <w14:schemeClr w14:val="tx1"/>
                  </w14:solidFill>
                </w14:textFill>
              </w:rPr>
              <w:t>数量</w:t>
            </w:r>
          </w:p>
        </w:tc>
      </w:tr>
      <w:tr w14:paraId="62B7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25" w:type="pct"/>
            <w:vAlign w:val="center"/>
          </w:tcPr>
          <w:p w14:paraId="5B44145E">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w:t>
            </w:r>
          </w:p>
        </w:tc>
        <w:tc>
          <w:tcPr>
            <w:tcW w:w="1188" w:type="pct"/>
            <w:vMerge w:val="restart"/>
            <w:vAlign w:val="center"/>
          </w:tcPr>
          <w:p w14:paraId="5DCE44EB">
            <w:pPr>
              <w:adjustRightInd/>
              <w:spacing w:after="0" w:line="360" w:lineRule="auto"/>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医院全成本核算管理系统</w:t>
            </w:r>
          </w:p>
        </w:tc>
        <w:tc>
          <w:tcPr>
            <w:tcW w:w="2550" w:type="pct"/>
            <w:vAlign w:val="center"/>
          </w:tcPr>
          <w:p w14:paraId="4D36E55B">
            <w:pPr>
              <w:adjustRightInd/>
              <w:spacing w:after="0" w:line="360" w:lineRule="auto"/>
              <w:jc w:val="left"/>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cs="仿宋" w:asciiTheme="minorEastAsia" w:hAnsiTheme="minorEastAsia" w:eastAsiaTheme="minorEastAsia"/>
                <w:color w:val="000000" w:themeColor="text1"/>
                <w:kern w:val="0"/>
                <w:szCs w:val="21"/>
                <w:highlight w:val="none"/>
                <w14:textFill>
                  <w14:solidFill>
                    <w14:schemeClr w14:val="tx1"/>
                  </w14:solidFill>
                </w14:textFill>
              </w:rPr>
              <w:t>院科全成本与效益核算管理系统</w:t>
            </w:r>
          </w:p>
        </w:tc>
        <w:tc>
          <w:tcPr>
            <w:tcW w:w="637" w:type="pct"/>
            <w:vAlign w:val="center"/>
          </w:tcPr>
          <w:p w14:paraId="4E09A2CF">
            <w:pPr>
              <w:adjustRightInd/>
              <w:spacing w:after="0" w:line="360" w:lineRule="auto"/>
              <w:jc w:val="center"/>
              <w:rPr>
                <w:rFonts w:hint="eastAsia" w:cs="微软雅黑" w:asciiTheme="minorEastAsia" w:hAnsiTheme="minorEastAsia" w:eastAsiaTheme="minorEastAsia"/>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1套</w:t>
            </w:r>
          </w:p>
        </w:tc>
      </w:tr>
      <w:tr w14:paraId="208E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25" w:type="pct"/>
            <w:vAlign w:val="center"/>
          </w:tcPr>
          <w:p w14:paraId="3CB5ACA4">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2</w:t>
            </w:r>
          </w:p>
        </w:tc>
        <w:tc>
          <w:tcPr>
            <w:tcW w:w="1188" w:type="pct"/>
            <w:vMerge w:val="continue"/>
            <w:vAlign w:val="center"/>
          </w:tcPr>
          <w:p w14:paraId="20ACF316">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p>
        </w:tc>
        <w:tc>
          <w:tcPr>
            <w:tcW w:w="2550" w:type="pct"/>
            <w:vAlign w:val="center"/>
          </w:tcPr>
          <w:p w14:paraId="25F64EDD">
            <w:pPr>
              <w:adjustRightInd/>
              <w:spacing w:after="0" w:line="360" w:lineRule="auto"/>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医疗项目（作业）成本核算管理系统</w:t>
            </w:r>
          </w:p>
        </w:tc>
        <w:tc>
          <w:tcPr>
            <w:tcW w:w="637" w:type="pct"/>
            <w:vAlign w:val="center"/>
          </w:tcPr>
          <w:p w14:paraId="753C2CC7">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1套</w:t>
            </w:r>
          </w:p>
        </w:tc>
      </w:tr>
      <w:tr w14:paraId="485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5" w:type="pct"/>
            <w:vAlign w:val="center"/>
          </w:tcPr>
          <w:p w14:paraId="215572BB">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3</w:t>
            </w:r>
          </w:p>
        </w:tc>
        <w:tc>
          <w:tcPr>
            <w:tcW w:w="1188" w:type="pct"/>
            <w:vMerge w:val="continue"/>
            <w:vAlign w:val="center"/>
          </w:tcPr>
          <w:p w14:paraId="661F37DD">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p>
        </w:tc>
        <w:tc>
          <w:tcPr>
            <w:tcW w:w="2550" w:type="pct"/>
            <w:vAlign w:val="center"/>
          </w:tcPr>
          <w:p w14:paraId="56AF0182">
            <w:pPr>
              <w:adjustRightInd/>
              <w:spacing w:after="0" w:line="360" w:lineRule="auto"/>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医院单病种（DRG）成本核算管理系统</w:t>
            </w:r>
          </w:p>
        </w:tc>
        <w:tc>
          <w:tcPr>
            <w:tcW w:w="637" w:type="pct"/>
            <w:vAlign w:val="center"/>
          </w:tcPr>
          <w:p w14:paraId="12D9CB78">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1套</w:t>
            </w:r>
          </w:p>
        </w:tc>
      </w:tr>
      <w:tr w14:paraId="6F1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25" w:type="pct"/>
            <w:vAlign w:val="center"/>
          </w:tcPr>
          <w:p w14:paraId="12252229">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4</w:t>
            </w:r>
          </w:p>
        </w:tc>
        <w:tc>
          <w:tcPr>
            <w:tcW w:w="1188" w:type="pct"/>
            <w:vMerge w:val="continue"/>
            <w:vAlign w:val="center"/>
          </w:tcPr>
          <w:p w14:paraId="359C32AC">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p>
        </w:tc>
        <w:tc>
          <w:tcPr>
            <w:tcW w:w="2550" w:type="pct"/>
            <w:vAlign w:val="center"/>
          </w:tcPr>
          <w:p w14:paraId="4450B7AB">
            <w:pPr>
              <w:adjustRightInd/>
              <w:spacing w:after="0" w:line="360" w:lineRule="auto"/>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kern w:val="28"/>
                <w:szCs w:val="21"/>
                <w:highlight w:val="none"/>
                <w14:textFill>
                  <w14:solidFill>
                    <w14:schemeClr w14:val="tx1"/>
                  </w14:solidFill>
                </w14:textFill>
              </w:rPr>
              <w:t>医院数智运营决策分析（ODR）管理系统</w:t>
            </w:r>
          </w:p>
        </w:tc>
        <w:tc>
          <w:tcPr>
            <w:tcW w:w="637" w:type="pct"/>
            <w:vAlign w:val="center"/>
          </w:tcPr>
          <w:p w14:paraId="67A2E406">
            <w:pPr>
              <w:adjustRightInd/>
              <w:spacing w:after="0" w:line="360" w:lineRule="auto"/>
              <w:jc w:val="center"/>
              <w:rPr>
                <w:rFonts w:hint="eastAsia" w:cs="微软雅黑" w:asciiTheme="minorEastAsia" w:hAnsiTheme="minorEastAsia" w:eastAsiaTheme="minorEastAsia"/>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1套</w:t>
            </w:r>
          </w:p>
        </w:tc>
      </w:tr>
      <w:tr w14:paraId="2DA5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5" w:type="pct"/>
            <w:vAlign w:val="center"/>
          </w:tcPr>
          <w:p w14:paraId="3B0104BC">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5</w:t>
            </w:r>
          </w:p>
        </w:tc>
        <w:tc>
          <w:tcPr>
            <w:tcW w:w="1188" w:type="pct"/>
            <w:vAlign w:val="center"/>
          </w:tcPr>
          <w:p w14:paraId="311F66A8">
            <w:pPr>
              <w:adjustRightInd/>
              <w:spacing w:after="0" w:line="360" w:lineRule="auto"/>
              <w:jc w:val="center"/>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通用数据接口采集</w:t>
            </w:r>
          </w:p>
        </w:tc>
        <w:tc>
          <w:tcPr>
            <w:tcW w:w="2550" w:type="pct"/>
            <w:vAlign w:val="center"/>
          </w:tcPr>
          <w:p w14:paraId="1CB20404">
            <w:pPr>
              <w:adjustRightInd/>
              <w:spacing w:after="0" w:line="360" w:lineRule="auto"/>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bookmarkStart w:id="67" w:name="OLE_LINK17"/>
            <w:bookmarkStart w:id="68" w:name="OLE_LINK16"/>
            <w:bookmarkStart w:id="69" w:name="OLE_LINK32"/>
            <w:r>
              <w:rPr>
                <w:rFonts w:hint="eastAsia" w:cs="微软雅黑" w:asciiTheme="minorEastAsia" w:hAnsiTheme="minorEastAsia" w:eastAsiaTheme="minorEastAsia"/>
                <w:bCs/>
                <w:color w:val="000000" w:themeColor="text1"/>
                <w:szCs w:val="21"/>
                <w:highlight w:val="none"/>
                <w14:textFill>
                  <w14:solidFill>
                    <w14:schemeClr w14:val="tx1"/>
                  </w14:solidFill>
                </w14:textFill>
              </w:rPr>
              <w:t>通用数据接口</w:t>
            </w:r>
            <w:bookmarkEnd w:id="67"/>
            <w:bookmarkEnd w:id="68"/>
            <w:r>
              <w:rPr>
                <w:rFonts w:hint="eastAsia" w:cs="微软雅黑" w:asciiTheme="minorEastAsia" w:hAnsiTheme="minorEastAsia" w:eastAsiaTheme="minorEastAsia"/>
                <w:bCs/>
                <w:color w:val="000000" w:themeColor="text1"/>
                <w:szCs w:val="21"/>
                <w:highlight w:val="none"/>
                <w14:textFill>
                  <w14:solidFill>
                    <w14:schemeClr w14:val="tx1"/>
                  </w14:solidFill>
                </w14:textFill>
              </w:rPr>
              <w:t>采集：</w:t>
            </w:r>
          </w:p>
          <w:p w14:paraId="7450BDC7">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1.财务凭证数据接口（医院、财政、科研）</w:t>
            </w:r>
          </w:p>
          <w:p w14:paraId="588D8190">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2.HIS门诊收入数据接口</w:t>
            </w:r>
          </w:p>
          <w:p w14:paraId="47B05E55">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3.HIS住院收入数据接口</w:t>
            </w:r>
          </w:p>
          <w:p w14:paraId="541FC7BB">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4.物资库科室领用接口</w:t>
            </w:r>
          </w:p>
          <w:p w14:paraId="623E3D81">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5.SPD物资供应链接口</w:t>
            </w:r>
          </w:p>
          <w:p w14:paraId="08CA5F46">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6.设备固定资产折旧接口</w:t>
            </w:r>
          </w:p>
          <w:p w14:paraId="56B5B900">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7.药库科室领用接口</w:t>
            </w:r>
          </w:p>
          <w:p w14:paraId="14871429">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8</w:t>
            </w:r>
            <w:bookmarkStart w:id="70" w:name="OLE_LINK19"/>
            <w:r>
              <w:rPr>
                <w:rFonts w:hint="eastAsia" w:cs="微软雅黑" w:asciiTheme="minorEastAsia" w:hAnsiTheme="minorEastAsia" w:eastAsiaTheme="minorEastAsia"/>
                <w:bCs/>
                <w:color w:val="000000" w:themeColor="text1"/>
                <w:szCs w:val="21"/>
                <w:highlight w:val="none"/>
                <w14:textFill>
                  <w14:solidFill>
                    <w14:schemeClr w14:val="tx1"/>
                  </w14:solidFill>
                </w14:textFill>
              </w:rPr>
              <w:t>.</w:t>
            </w:r>
            <w:bookmarkEnd w:id="70"/>
            <w:r>
              <w:rPr>
                <w:rFonts w:hint="eastAsia" w:cs="微软雅黑" w:asciiTheme="minorEastAsia" w:hAnsiTheme="minorEastAsia" w:eastAsiaTheme="minorEastAsia"/>
                <w:bCs/>
                <w:color w:val="000000" w:themeColor="text1"/>
                <w:szCs w:val="21"/>
                <w:highlight w:val="none"/>
                <w14:textFill>
                  <w14:solidFill>
                    <w14:schemeClr w14:val="tx1"/>
                  </w14:solidFill>
                </w14:textFill>
              </w:rPr>
              <w:t>供应室内部服务价接口</w:t>
            </w:r>
          </w:p>
          <w:p w14:paraId="1D1D3699">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9</w:t>
            </w:r>
            <w:bookmarkStart w:id="71" w:name="OLE_LINK2"/>
            <w:r>
              <w:rPr>
                <w:rFonts w:hint="eastAsia" w:cs="微软雅黑" w:asciiTheme="minorEastAsia" w:hAnsiTheme="minorEastAsia" w:eastAsiaTheme="minorEastAsia"/>
                <w:bCs/>
                <w:color w:val="000000" w:themeColor="text1"/>
                <w:szCs w:val="21"/>
                <w:highlight w:val="none"/>
                <w14:textFill>
                  <w14:solidFill>
                    <w14:schemeClr w14:val="tx1"/>
                  </w14:solidFill>
                </w14:textFill>
              </w:rPr>
              <w:t>.</w:t>
            </w:r>
            <w:bookmarkEnd w:id="71"/>
            <w:r>
              <w:rPr>
                <w:rFonts w:hint="eastAsia" w:cs="微软雅黑" w:asciiTheme="minorEastAsia" w:hAnsiTheme="minorEastAsia" w:eastAsiaTheme="minorEastAsia"/>
                <w:bCs/>
                <w:color w:val="000000" w:themeColor="text1"/>
                <w:szCs w:val="21"/>
                <w:highlight w:val="none"/>
                <w14:textFill>
                  <w14:solidFill>
                    <w14:schemeClr w14:val="tx1"/>
                  </w14:solidFill>
                </w14:textFill>
              </w:rPr>
              <w:t>人力资源管理系统接口</w:t>
            </w:r>
          </w:p>
          <w:p w14:paraId="04C44CEC">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10.职工考勤数据接口</w:t>
            </w:r>
          </w:p>
          <w:p w14:paraId="79C7BC31">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11.职工工资管理系统接口</w:t>
            </w:r>
          </w:p>
          <w:p w14:paraId="7E8BA86C">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12.医院绩效管理系统接口</w:t>
            </w:r>
          </w:p>
          <w:p w14:paraId="4EC9248E">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13.门急诊人次接口</w:t>
            </w:r>
          </w:p>
          <w:p w14:paraId="158C3607">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14.实际占用床日数接口</w:t>
            </w:r>
          </w:p>
          <w:p w14:paraId="3F01673C">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15.入院病人数接口</w:t>
            </w:r>
          </w:p>
          <w:p w14:paraId="33E24795">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16.出院病人数接口</w:t>
            </w:r>
          </w:p>
          <w:p w14:paraId="0AE0F05B">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17.病案信息数据接口</w:t>
            </w:r>
          </w:p>
          <w:p w14:paraId="727182A3">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18、手术麻醉数据接口</w:t>
            </w:r>
          </w:p>
          <w:p w14:paraId="07AD8E2C">
            <w:pPr>
              <w:adjustRightInd/>
              <w:spacing w:after="0" w:line="360" w:lineRule="auto"/>
              <w:ind w:left="170" w:leftChars="81"/>
              <w:jc w:val="left"/>
              <w:rPr>
                <w:rFonts w:hint="eastAsia" w:cs="微软雅黑" w:asciiTheme="minorEastAsia" w:hAnsiTheme="minorEastAsia" w:eastAsiaTheme="minorEastAsia"/>
                <w:bCs/>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19、体验系统数据接口</w:t>
            </w:r>
          </w:p>
          <w:p w14:paraId="2833D147">
            <w:pPr>
              <w:adjustRightInd/>
              <w:spacing w:after="0" w:line="360" w:lineRule="auto"/>
              <w:ind w:left="170" w:leftChars="81"/>
              <w:jc w:val="left"/>
              <w:rPr>
                <w:rFonts w:hint="eastAsia" w:cs="微软雅黑" w:asciiTheme="minorEastAsia" w:hAnsiTheme="minorEastAsia" w:eastAsiaTheme="minorEastAsia"/>
                <w:color w:val="000000" w:themeColor="text1"/>
                <w:szCs w:val="21"/>
                <w:highlight w:val="none"/>
                <w14:textFill>
                  <w14:solidFill>
                    <w14:schemeClr w14:val="tx1"/>
                  </w14:solidFill>
                </w14:textFill>
              </w:rPr>
            </w:pPr>
            <w:r>
              <w:rPr>
                <w:rFonts w:hint="eastAsia" w:cs="微软雅黑" w:asciiTheme="minorEastAsia" w:hAnsiTheme="minorEastAsia" w:eastAsiaTheme="minorEastAsia"/>
                <w:bCs/>
                <w:color w:val="000000" w:themeColor="text1"/>
                <w:szCs w:val="21"/>
                <w:highlight w:val="none"/>
                <w14:textFill>
                  <w14:solidFill>
                    <w14:schemeClr w14:val="tx1"/>
                  </w14:solidFill>
                </w14:textFill>
              </w:rPr>
              <w:t>20、病种DRG管理系统接口</w:t>
            </w:r>
            <w:bookmarkEnd w:id="69"/>
          </w:p>
        </w:tc>
        <w:tc>
          <w:tcPr>
            <w:tcW w:w="637" w:type="pct"/>
            <w:vAlign w:val="center"/>
          </w:tcPr>
          <w:p w14:paraId="66F05979">
            <w:pPr>
              <w:adjustRightInd/>
              <w:spacing w:after="0" w:line="360" w:lineRule="auto"/>
              <w:jc w:val="center"/>
              <w:rPr>
                <w:rFonts w:hint="eastAsia" w:cs="微软雅黑" w:asciiTheme="minorEastAsia" w:hAnsiTheme="minorEastAsia" w:eastAsiaTheme="minorEastAsia"/>
                <w:color w:val="000000" w:themeColor="text1"/>
                <w:szCs w:val="21"/>
                <w:highlight w:val="none"/>
                <w14:textFill>
                  <w14:solidFill>
                    <w14:schemeClr w14:val="tx1"/>
                  </w14:solidFill>
                </w14:textFill>
              </w:rPr>
            </w:pPr>
            <w:r>
              <w:rPr>
                <w:rFonts w:hint="eastAsia" w:cs="微软雅黑" w:asciiTheme="minorEastAsia" w:hAnsiTheme="minorEastAsia" w:eastAsiaTheme="minorEastAsia"/>
                <w:color w:val="000000" w:themeColor="text1"/>
                <w:szCs w:val="21"/>
                <w:highlight w:val="none"/>
                <w14:textFill>
                  <w14:solidFill>
                    <w14:schemeClr w14:val="tx1"/>
                  </w14:solidFill>
                </w14:textFill>
              </w:rPr>
              <w:t>1套</w:t>
            </w:r>
          </w:p>
        </w:tc>
      </w:tr>
    </w:tbl>
    <w:p w14:paraId="34791372">
      <w:pPr>
        <w:pStyle w:val="3"/>
        <w:rPr>
          <w:rFonts w:hint="eastAsia" w:ascii="宋体" w:hAnsi="宋体" w:eastAsia="宋体" w:cs="宋体"/>
          <w:color w:val="000000" w:themeColor="text1"/>
          <w:sz w:val="21"/>
          <w:szCs w:val="21"/>
          <w:highlight w:val="none"/>
          <w14:textFill>
            <w14:solidFill>
              <w14:schemeClr w14:val="tx1"/>
            </w14:solidFill>
          </w14:textFill>
        </w:rPr>
      </w:pPr>
    </w:p>
    <w:p w14:paraId="72FC027A">
      <w:pPr>
        <w:numPr>
          <w:ilvl w:val="0"/>
          <w:numId w:val="5"/>
        </w:numPr>
        <w:spacing w:line="360" w:lineRule="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详细采购要求</w:t>
      </w:r>
    </w:p>
    <w:p w14:paraId="4CE1E375">
      <w:pPr>
        <w:pStyle w:val="260"/>
        <w:numPr>
          <w:ilvl w:val="0"/>
          <w:numId w:val="6"/>
        </w:numPr>
        <w:spacing w:after="0"/>
        <w:ind w:left="442" w:hanging="442" w:firstLineChars="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bookmarkStart w:id="72" w:name="_Toc173154964"/>
      <w:bookmarkStart w:id="73" w:name="_Toc214555221"/>
      <w:bookmarkStart w:id="74" w:name="OLE_LINK46"/>
      <w:bookmarkStart w:id="75" w:name="OLE_LINK45"/>
      <w:bookmarkStart w:id="76" w:name="_Toc21455522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医院成本核算管理系统</w:t>
      </w:r>
      <w:bookmarkEnd w:id="72"/>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软件重点功能</w:t>
      </w:r>
      <w:bookmarkEnd w:id="73"/>
    </w:p>
    <w:bookmarkEnd w:id="74"/>
    <w:bookmarkEnd w:id="75"/>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A54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2E666C45">
            <w:pPr>
              <w:snapToGrid w:val="0"/>
              <w:spacing w:after="0" w:line="360" w:lineRule="auto"/>
              <w:jc w:val="left"/>
              <w:rPr>
                <w:rFonts w:hint="eastAsia" w:ascii="宋体" w:hAnsi="宋体" w:cstheme="minorEastAsia"/>
                <w:b/>
                <w:color w:val="000000" w:themeColor="text1"/>
                <w:szCs w:val="21"/>
                <w:highlight w:val="none"/>
                <w14:textFill>
                  <w14:solidFill>
                    <w14:schemeClr w14:val="tx1"/>
                  </w14:solidFill>
                </w14:textFill>
              </w:rPr>
            </w:pPr>
            <w:r>
              <w:rPr>
                <w:rFonts w:hint="eastAsia" w:ascii="宋体" w:hAnsi="宋体" w:cstheme="minorEastAsia"/>
                <w:b/>
                <w:color w:val="000000" w:themeColor="text1"/>
                <w:szCs w:val="21"/>
                <w:highlight w:val="none"/>
                <w14:textFill>
                  <w14:solidFill>
                    <w14:schemeClr w14:val="tx1"/>
                  </w14:solidFill>
                </w14:textFill>
              </w:rPr>
              <w:t>1、院科全成本与效益核算管理系统软件主要功能：</w:t>
            </w:r>
          </w:p>
        </w:tc>
      </w:tr>
      <w:tr w14:paraId="0442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01EEA876">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▲1.1</w:t>
            </w:r>
            <w:r>
              <w:rPr>
                <w:rFonts w:hint="eastAsia" w:ascii="宋体" w:hAnsi="宋体" w:cstheme="minorEastAsia"/>
                <w:b/>
                <w:color w:val="000000" w:themeColor="text1"/>
                <w:szCs w:val="21"/>
                <w:highlight w:val="none"/>
                <w14:textFill>
                  <w14:solidFill>
                    <w14:schemeClr w14:val="tx1"/>
                  </w14:solidFill>
                </w14:textFill>
              </w:rPr>
              <w:t>核算科室体系设置：</w:t>
            </w:r>
            <w:r>
              <w:rPr>
                <w:rFonts w:hint="eastAsia" w:ascii="宋体" w:hAnsi="宋体" w:cstheme="minorEastAsia"/>
                <w:color w:val="000000" w:themeColor="text1"/>
                <w:szCs w:val="21"/>
                <w:highlight w:val="none"/>
                <w14:textFill>
                  <w14:solidFill>
                    <w14:schemeClr w14:val="tx1"/>
                  </w14:solidFill>
                </w14:textFill>
              </w:rPr>
              <w:t>（1）支持行政后勤类、医疗辅助类、医疗技术类、临床服务类核算科室体系设置。（2）成本核算科室属性“成本分摊归集”需要有“单一成本项目、多个成本项目、明细成本项目”。（3）根据全国成本监测需要另增加一套按“医学体系科室设置”标准成本核算科室体系，并与院内核算科室体系进行匹配对照。</w:t>
            </w:r>
          </w:p>
          <w:p w14:paraId="3BC15E0E">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w:t>
            </w:r>
            <w:bookmarkStart w:id="77" w:name="OLE_LINK7"/>
            <w:r>
              <w:rPr>
                <w:rFonts w:hint="eastAsia" w:ascii="宋体" w:hAnsi="宋体" w:cstheme="minorEastAsia"/>
                <w:b/>
                <w:bCs/>
                <w:color w:val="000000" w:themeColor="text1"/>
                <w:szCs w:val="21"/>
                <w:highlight w:val="none"/>
                <w14:textFill>
                  <w14:solidFill>
                    <w14:schemeClr w14:val="tx1"/>
                  </w14:solidFill>
                </w14:textFill>
              </w:rPr>
              <w:t>截图</w:t>
            </w:r>
            <w:bookmarkEnd w:id="77"/>
            <w:r>
              <w:rPr>
                <w:rFonts w:hint="eastAsia" w:ascii="宋体" w:hAnsi="宋体" w:cstheme="minorEastAsia"/>
                <w:b/>
                <w:bCs/>
                <w:color w:val="000000" w:themeColor="text1"/>
                <w:szCs w:val="21"/>
                <w:highlight w:val="none"/>
                <w14:textFill>
                  <w14:solidFill>
                    <w14:schemeClr w14:val="tx1"/>
                  </w14:solidFill>
                </w14:textFill>
              </w:rPr>
              <w:t>，未提供或提供不全视为负偏离。</w:t>
            </w:r>
          </w:p>
        </w:tc>
      </w:tr>
      <w:tr w14:paraId="716C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76C044E6">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▲1.2</w:t>
            </w:r>
            <w:r>
              <w:rPr>
                <w:rFonts w:hint="eastAsia" w:ascii="宋体" w:hAnsi="宋体" w:cstheme="minorEastAsia"/>
                <w:b/>
                <w:color w:val="000000" w:themeColor="text1"/>
                <w:szCs w:val="21"/>
                <w:highlight w:val="none"/>
                <w14:textFill>
                  <w14:solidFill>
                    <w14:schemeClr w14:val="tx1"/>
                  </w14:solidFill>
                </w14:textFill>
              </w:rPr>
              <w:t>成本核算项目设置：</w:t>
            </w:r>
            <w:r>
              <w:rPr>
                <w:rFonts w:hint="eastAsia" w:ascii="宋体" w:hAnsi="宋体" w:cstheme="minorEastAsia"/>
                <w:color w:val="000000" w:themeColor="text1"/>
                <w:szCs w:val="21"/>
                <w:highlight w:val="none"/>
                <w14:textFill>
                  <w14:solidFill>
                    <w14:schemeClr w14:val="tx1"/>
                  </w14:solidFill>
                </w14:textFill>
              </w:rPr>
              <w:t>（1）医疗成本项目主要有：人员经费、卫生材料费、药品费、固定资产折旧费、无形资产摊销费、提取医疗风险基金、其他医疗费用；医疗全成本的财政项目拨款经费、非同级财政拨款项目经费;医院全成本的科教经费、资产处置费用、上缴上级费用、对附属单位补助费用、其他费用等各项费用。（2）成本核算项目属性设置：根据习性可设置“固定成本、变动成本、混合成本”；根据可控性可设置“可控成本、不可控成本”；根据归集方式可设置“直接成本、直接记入，直接成本、全院摊入”。</w:t>
            </w:r>
          </w:p>
          <w:p w14:paraId="4920265D">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7488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6C5839EF">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▲1.3</w:t>
            </w:r>
            <w:r>
              <w:rPr>
                <w:rFonts w:hint="eastAsia" w:ascii="宋体" w:hAnsi="宋体" w:cstheme="minorEastAsia"/>
                <w:b/>
                <w:color w:val="000000" w:themeColor="text1"/>
                <w:szCs w:val="21"/>
                <w:highlight w:val="none"/>
                <w14:textFill>
                  <w14:solidFill>
                    <w14:schemeClr w14:val="tx1"/>
                  </w14:solidFill>
                </w14:textFill>
              </w:rPr>
              <w:t>科室间接成本分摊设置：</w:t>
            </w:r>
            <w:r>
              <w:rPr>
                <w:rFonts w:hint="eastAsia" w:ascii="宋体" w:hAnsi="宋体" w:cstheme="minorEastAsia"/>
                <w:color w:val="000000" w:themeColor="text1"/>
                <w:szCs w:val="21"/>
                <w:highlight w:val="none"/>
                <w14:textFill>
                  <w14:solidFill>
                    <w14:schemeClr w14:val="tx1"/>
                  </w14:solidFill>
                </w14:textFill>
              </w:rPr>
              <w:t>（1）支持按“服务科室”、“受益科室”设置“管理科室、后勤科室、医辅科室、护理科室”间接成本分摊方案，遵循“谁受益、谁承担成本”的原则；（2）各个间接成本科室的“分摊基准”成本动因可按相关性、重要性、收益性进行自定义设置；（3）支持“按科室性质、科室责任、按院区” 快捷选择成本分摊受益科室；（4）支持分摊方案“检查”、“复制”等功能；（5）科室间接成本分摊中介：支持“管理科室、后勤科室、医辅科室、护理科室”各科室成本按“分摊中介”进行设置，如：维修组，可以设置“正常维修（按科室人数），实际维修（实际维修工时）”科室分摊中介。</w:t>
            </w:r>
          </w:p>
          <w:p w14:paraId="0FB381D5">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2954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690A95D">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▲1.4</w:t>
            </w:r>
            <w:r>
              <w:rPr>
                <w:rFonts w:hint="eastAsia" w:ascii="宋体" w:hAnsi="宋体" w:cstheme="minorEastAsia"/>
                <w:b/>
                <w:color w:val="000000" w:themeColor="text1"/>
                <w:szCs w:val="21"/>
                <w:highlight w:val="none"/>
                <w14:textFill>
                  <w14:solidFill>
                    <w14:schemeClr w14:val="tx1"/>
                  </w14:solidFill>
                </w14:textFill>
              </w:rPr>
              <w:t>科室成本数据采集：</w:t>
            </w:r>
            <w:r>
              <w:rPr>
                <w:rFonts w:hint="eastAsia" w:ascii="宋体" w:hAnsi="宋体" w:cstheme="minorEastAsia"/>
                <w:color w:val="000000" w:themeColor="text1"/>
                <w:szCs w:val="21"/>
                <w:highlight w:val="none"/>
                <w14:textFill>
                  <w14:solidFill>
                    <w14:schemeClr w14:val="tx1"/>
                  </w14:solidFill>
                </w14:textFill>
              </w:rPr>
              <w:t>（1）完成科室成本数据采集、核算，支持成本数据“接口采集、EXCLE导入、增加手工录入”。支持成本数据审核、增加、删除、修改、查询、导出、汇总等功能。确保成本数据与财务数据的同源性与一致性。（2）支持“明细数据浏览”、“科室成本月份汇总”、“科室汇总”、“项目月份汇总”、“项目汇总”、“科室大类汇总”成本数据查询。</w:t>
            </w:r>
          </w:p>
          <w:p w14:paraId="66BE306C">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496E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298D35E0">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▲1.5</w:t>
            </w:r>
            <w:r>
              <w:rPr>
                <w:rFonts w:hint="eastAsia" w:ascii="宋体" w:hAnsi="宋体" w:cstheme="minorEastAsia"/>
                <w:b/>
                <w:color w:val="000000" w:themeColor="text1"/>
                <w:szCs w:val="21"/>
                <w:highlight w:val="none"/>
                <w14:textFill>
                  <w14:solidFill>
                    <w14:schemeClr w14:val="tx1"/>
                  </w14:solidFill>
                </w14:textFill>
              </w:rPr>
              <w:t>系统初始化、系统参数设置：</w:t>
            </w:r>
            <w:r>
              <w:rPr>
                <w:rFonts w:hint="eastAsia" w:ascii="宋体" w:hAnsi="宋体" w:cstheme="minorEastAsia"/>
                <w:color w:val="000000" w:themeColor="text1"/>
                <w:szCs w:val="21"/>
                <w:highlight w:val="none"/>
                <w14:textFill>
                  <w14:solidFill>
                    <w14:schemeClr w14:val="tx1"/>
                  </w14:solidFill>
                </w14:textFill>
              </w:rPr>
              <w:t>（1）</w:t>
            </w:r>
            <w:r>
              <w:rPr>
                <w:rFonts w:hint="eastAsia" w:ascii="宋体" w:hAnsi="宋体" w:cstheme="minorEastAsia"/>
                <w:bCs/>
                <w:color w:val="000000" w:themeColor="text1"/>
                <w:szCs w:val="21"/>
                <w:highlight w:val="none"/>
                <w14:textFill>
                  <w14:solidFill>
                    <w14:schemeClr w14:val="tx1"/>
                  </w14:solidFill>
                </w14:textFill>
              </w:rPr>
              <w:t>系统初始化：</w:t>
            </w:r>
            <w:r>
              <w:rPr>
                <w:rFonts w:hint="eastAsia" w:ascii="宋体" w:hAnsi="宋体" w:cstheme="minorEastAsia"/>
                <w:color w:val="000000" w:themeColor="text1"/>
                <w:szCs w:val="21"/>
                <w:highlight w:val="none"/>
                <w14:textFill>
                  <w14:solidFill>
                    <w14:schemeClr w14:val="tx1"/>
                  </w14:solidFill>
                </w14:textFill>
              </w:rPr>
              <w:t>支持按“成本管理公用、科室成本核算、科室绩效核算”相关功能对应业务数据表系统初始化；（2）系统参数设置：系统信息字典需要支持“编码规则设置”，其中包含成本核算科室、成本项目、收入项目、信息项目、医疗收费项目、物资材料字典等编码规则设置；“系统会计期间设置”，支持新增、编辑、删除等，查看会计期间状态（已结账、使用中、未使用）等功能。</w:t>
            </w:r>
          </w:p>
          <w:p w14:paraId="2958A998">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7165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000E4E2">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▲1.6</w:t>
            </w:r>
            <w:r>
              <w:rPr>
                <w:rFonts w:hint="eastAsia" w:ascii="宋体" w:hAnsi="宋体" w:cstheme="minorEastAsia"/>
                <w:b/>
                <w:color w:val="000000" w:themeColor="text1"/>
                <w:szCs w:val="21"/>
                <w:highlight w:val="none"/>
                <w14:textFill>
                  <w14:solidFill>
                    <w14:schemeClr w14:val="tx1"/>
                  </w14:solidFill>
                </w14:textFill>
              </w:rPr>
              <w:t>通用数据接口管理：</w:t>
            </w:r>
            <w:r>
              <w:rPr>
                <w:rFonts w:hint="eastAsia" w:ascii="宋体" w:hAnsi="宋体" w:cstheme="minorEastAsia"/>
                <w:color w:val="000000" w:themeColor="text1"/>
                <w:szCs w:val="21"/>
                <w:highlight w:val="none"/>
                <w14:textFill>
                  <w14:solidFill>
                    <w14:schemeClr w14:val="tx1"/>
                  </w14:solidFill>
                </w14:textFill>
              </w:rPr>
              <w:t>完成数据接口采集设置，（1）主要数据接口有：财务凭证数据接口、HIS门诊收入数据接口、HIS住院收入数据接口、物资库科室领用接口、药库科室领用接口、供应室内部服务价接口、设备固定资产折旧接口、SPD物资供应链接口、职工考勤数据接口、门急诊人次接口、实际占用床日数接口、入院人数接口、出院人数接口等。（2）接口代码对照转换：支持“核算科室、成本项目、收入项目、信息项目、职工信息”等系统代码，以及“类别代码、接口代码类别名称、对应系统代码、代码树”等内容设置。</w:t>
            </w:r>
          </w:p>
          <w:p w14:paraId="7D599993">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3A25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6152A232">
            <w:pPr>
              <w:snapToGrid w:val="0"/>
              <w:spacing w:after="0" w:line="360" w:lineRule="auto"/>
              <w:jc w:val="left"/>
              <w:rPr>
                <w:rFonts w:hint="eastAsia" w:ascii="宋体" w:hAnsi="宋体" w:cstheme="minorEastAsia"/>
                <w:b/>
                <w:bCs/>
                <w:color w:val="000000" w:themeColor="text1"/>
                <w:szCs w:val="21"/>
                <w:highlight w:val="none"/>
                <w14:textFill>
                  <w14:solidFill>
                    <w14:schemeClr w14:val="tx1"/>
                  </w14:solidFill>
                </w14:textFill>
              </w:rPr>
            </w:pPr>
            <w:r>
              <w:rPr>
                <w:rFonts w:hint="eastAsia" w:ascii="宋体" w:hAnsi="宋体" w:cstheme="minorEastAsia"/>
                <w:b/>
                <w:color w:val="000000" w:themeColor="text1"/>
                <w:szCs w:val="21"/>
                <w:highlight w:val="none"/>
                <w14:textFill>
                  <w14:solidFill>
                    <w14:schemeClr w14:val="tx1"/>
                  </w14:solidFill>
                </w14:textFill>
              </w:rPr>
              <w:t>2、医疗项目（作业）成本核算管理系统软件主要功能：</w:t>
            </w:r>
          </w:p>
        </w:tc>
      </w:tr>
      <w:tr w14:paraId="6F87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2B9827B">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▲2.1</w:t>
            </w:r>
            <w:r>
              <w:rPr>
                <w:rFonts w:hint="eastAsia" w:ascii="宋体" w:hAnsi="宋体" w:cstheme="minorEastAsia"/>
                <w:b/>
                <w:color w:val="000000" w:themeColor="text1"/>
                <w:szCs w:val="21"/>
                <w:highlight w:val="none"/>
                <w14:textFill>
                  <w14:solidFill>
                    <w14:schemeClr w14:val="tx1"/>
                  </w14:solidFill>
                </w14:textFill>
              </w:rPr>
              <w:t>医疗项目成本核算：</w:t>
            </w:r>
            <w:r>
              <w:rPr>
                <w:rFonts w:hint="eastAsia" w:ascii="宋体" w:hAnsi="宋体" w:cstheme="minorEastAsia"/>
                <w:color w:val="000000" w:themeColor="text1"/>
                <w:szCs w:val="21"/>
                <w:highlight w:val="none"/>
                <w14:textFill>
                  <w14:solidFill>
                    <w14:schemeClr w14:val="tx1"/>
                  </w14:solidFill>
                </w14:textFill>
              </w:rPr>
              <w:t>（1）医疗项目成本核算主要采用“作业成本法”进行核算，遵循“服务消耗作业、作业消耗资源”原则；（2）支持“作业库信息、科室作业维护”设置；（3）基于作业成本法的同时，也可以根据医院的实际需要部分科室采用“当量系数法、参数分配法”进行核算。</w:t>
            </w:r>
          </w:p>
          <w:p w14:paraId="61CF79FB">
            <w:pPr>
              <w:widowControl/>
              <w:shd w:val="clear" w:color="auto" w:fill="FFFFFF"/>
              <w:adjustRightInd/>
              <w:snapToGrid w:val="0"/>
              <w:spacing w:after="0" w:line="360" w:lineRule="auto"/>
              <w:jc w:val="left"/>
              <w:rPr>
                <w:rFonts w:hint="eastAsia" w:ascii="宋体" w:hAnsi="宋体" w:cstheme="minorEastAsia"/>
                <w:bCs/>
                <w:color w:val="000000" w:themeColor="text1"/>
                <w:kern w:val="28"/>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286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9BDCE8D">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bookmarkStart w:id="78" w:name="OLE_LINK170"/>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w:t>
            </w:r>
            <w:bookmarkEnd w:id="78"/>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2.2</w:t>
            </w:r>
            <w:r>
              <w:rPr>
                <w:rFonts w:hint="eastAsia" w:ascii="宋体" w:hAnsi="宋体" w:cstheme="minorEastAsia"/>
                <w:b/>
                <w:color w:val="000000" w:themeColor="text1"/>
                <w:szCs w:val="21"/>
                <w:highlight w:val="none"/>
                <w14:textFill>
                  <w14:solidFill>
                    <w14:schemeClr w14:val="tx1"/>
                  </w14:solidFill>
                </w14:textFill>
              </w:rPr>
              <w:t>成本分摊动因设置：</w:t>
            </w:r>
            <w:r>
              <w:rPr>
                <w:rFonts w:hint="eastAsia" w:ascii="宋体" w:hAnsi="宋体" w:cstheme="minorEastAsia"/>
                <w:color w:val="000000" w:themeColor="text1"/>
                <w:szCs w:val="21"/>
                <w:highlight w:val="none"/>
                <w14:textFill>
                  <w14:solidFill>
                    <w14:schemeClr w14:val="tx1"/>
                  </w14:solidFill>
                </w14:textFill>
              </w:rPr>
              <w:t>（1）支持各业务科室依据“服务消耗作业，作业消耗资源”的原则设置科室分摊作业成本动因、以及作业分摊项目成本动因设置；（2）支持各业务科室成本分摊到作业、作业成本再分摊到项目，有“应用到全部作业、应用到下级成本项目”，“复制到其他科室、从其他科室复制”快捷设置功能。</w:t>
            </w:r>
          </w:p>
          <w:p w14:paraId="41A9C12D">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3BE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C22D19E">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▲2.3</w:t>
            </w:r>
            <w:r>
              <w:rPr>
                <w:rFonts w:hint="eastAsia" w:ascii="宋体" w:hAnsi="宋体" w:cstheme="minorEastAsia"/>
                <w:b/>
                <w:color w:val="000000" w:themeColor="text1"/>
                <w:szCs w:val="21"/>
                <w:highlight w:val="none"/>
                <w14:textFill>
                  <w14:solidFill>
                    <w14:schemeClr w14:val="tx1"/>
                  </w14:solidFill>
                </w14:textFill>
              </w:rPr>
              <w:t>数据采集：</w:t>
            </w:r>
            <w:r>
              <w:rPr>
                <w:rFonts w:hint="eastAsia" w:ascii="宋体" w:hAnsi="宋体" w:cstheme="minorEastAsia"/>
                <w:color w:val="000000" w:themeColor="text1"/>
                <w:szCs w:val="21"/>
                <w:highlight w:val="none"/>
                <w14:textFill>
                  <w14:solidFill>
                    <w14:schemeClr w14:val="tx1"/>
                  </w14:solidFill>
                </w14:textFill>
              </w:rPr>
              <w:t>（1）科室原始收入明细（执行科室、开单科室、收入大项目、收入项目、数量、单价、金额）；（2）科室物资领用明细（科室名称、材料名称、核算类别、物资仓库、可收费、单价、数量、金额）；（3）科室设备折旧明细；（科室名称、设备名称、核算类别、单价、数量、折旧金额）。</w:t>
            </w:r>
          </w:p>
          <w:p w14:paraId="1ED065EE">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1367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114AD8A8">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▲2.4</w:t>
            </w:r>
            <w:r>
              <w:rPr>
                <w:rFonts w:hint="eastAsia" w:ascii="宋体" w:hAnsi="宋体" w:cstheme="minorEastAsia"/>
                <w:b/>
                <w:color w:val="000000" w:themeColor="text1"/>
                <w:szCs w:val="21"/>
                <w:highlight w:val="none"/>
                <w14:textFill>
                  <w14:solidFill>
                    <w14:schemeClr w14:val="tx1"/>
                  </w14:solidFill>
                </w14:textFill>
              </w:rPr>
              <w:t>科室人员工时维护：</w:t>
            </w:r>
            <w:r>
              <w:rPr>
                <w:rFonts w:hint="eastAsia" w:ascii="宋体" w:hAnsi="宋体" w:cstheme="minorEastAsia"/>
                <w:color w:val="000000" w:themeColor="text1"/>
                <w:szCs w:val="21"/>
                <w:highlight w:val="none"/>
                <w14:textFill>
                  <w14:solidFill>
                    <w14:schemeClr w14:val="tx1"/>
                  </w14:solidFill>
                </w14:textFill>
              </w:rPr>
              <w:t>支持全院各业务科室进行“作业、医疗项目”工时填报维护，支持按《全国医疗服务项目技术规范2023年版》“取标准工时、计算标准工时”，同时获取“难易程度、风险系数”。</w:t>
            </w:r>
          </w:p>
          <w:p w14:paraId="7F66520F">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5022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73DE7258">
            <w:pPr>
              <w:widowControl/>
              <w:shd w:val="clear" w:color="auto" w:fill="FFFFFF"/>
              <w:adjustRightInd/>
              <w:snapToGrid w:val="0"/>
              <w:spacing w:after="0" w:line="360" w:lineRule="auto"/>
              <w:jc w:val="left"/>
              <w:rPr>
                <w:rFonts w:hint="eastAsia" w:ascii="宋体" w:hAnsi="宋体" w:cstheme="minorEastAsia"/>
                <w:b/>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▲2.5</w:t>
            </w:r>
            <w:r>
              <w:rPr>
                <w:rFonts w:hint="eastAsia" w:ascii="宋体" w:hAnsi="宋体" w:cstheme="minorEastAsia"/>
                <w:b/>
                <w:color w:val="000000" w:themeColor="text1"/>
                <w:szCs w:val="21"/>
                <w:highlight w:val="none"/>
                <w14:textFill>
                  <w14:solidFill>
                    <w14:schemeClr w14:val="tx1"/>
                  </w14:solidFill>
                </w14:textFill>
              </w:rPr>
              <w:t>科室材料维护：</w:t>
            </w:r>
          </w:p>
          <w:p w14:paraId="37D594B4">
            <w:pPr>
              <w:widowControl/>
              <w:shd w:val="clear" w:color="auto" w:fill="FFFFFF"/>
              <w:adjustRightInd/>
              <w:snapToGrid w:val="0"/>
              <w:spacing w:after="0" w:line="360" w:lineRule="auto"/>
              <w:jc w:val="left"/>
              <w:rPr>
                <w:rFonts w:hint="eastAsia" w:ascii="宋体" w:hAnsi="宋体" w:cstheme="minorEastAsia"/>
                <w:b/>
                <w:color w:val="000000" w:themeColor="text1"/>
                <w:szCs w:val="21"/>
                <w:highlight w:val="none"/>
                <w14:textFill>
                  <w14:solidFill>
                    <w14:schemeClr w14:val="tx1"/>
                  </w14:solidFill>
                </w14:textFill>
              </w:rPr>
            </w:pPr>
            <w:r>
              <w:rPr>
                <w:rFonts w:hint="eastAsia" w:ascii="宋体" w:hAnsi="宋体" w:cstheme="minorEastAsia"/>
                <w:b/>
                <w:color w:val="000000" w:themeColor="text1"/>
                <w:szCs w:val="21"/>
                <w:highlight w:val="none"/>
                <w14:textFill>
                  <w14:solidFill>
                    <w14:schemeClr w14:val="tx1"/>
                  </w14:solidFill>
                </w14:textFill>
              </w:rPr>
              <w:t>科室材料维护：</w:t>
            </w:r>
            <w:r>
              <w:rPr>
                <w:rFonts w:hint="eastAsia" w:ascii="宋体" w:hAnsi="宋体" w:cstheme="minorEastAsia"/>
                <w:color w:val="000000" w:themeColor="text1"/>
                <w:szCs w:val="21"/>
                <w:highlight w:val="none"/>
                <w14:textFill>
                  <w14:solidFill>
                    <w14:schemeClr w14:val="tx1"/>
                  </w14:solidFill>
                </w14:textFill>
              </w:rPr>
              <w:t>（1）科室医疗材料维护：支持全院各业务科室“不计价医疗材料”按“作业、医疗项目”进行填报；（2）支持“总务材料填报、设备材料填报”；（3）支持“复制到其他科室”功能。</w:t>
            </w:r>
          </w:p>
          <w:p w14:paraId="17B68540">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44FA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61404D58">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▲2.6</w:t>
            </w:r>
            <w:r>
              <w:rPr>
                <w:rFonts w:hint="eastAsia" w:ascii="宋体" w:hAnsi="宋体" w:cstheme="minorEastAsia"/>
                <w:b/>
                <w:color w:val="000000" w:themeColor="text1"/>
                <w:szCs w:val="21"/>
                <w:highlight w:val="none"/>
                <w14:textFill>
                  <w14:solidFill>
                    <w14:schemeClr w14:val="tx1"/>
                  </w14:solidFill>
                </w14:textFill>
              </w:rPr>
              <w:t>科室设备工时维护：</w:t>
            </w:r>
            <w:r>
              <w:rPr>
                <w:rFonts w:hint="eastAsia" w:ascii="宋体" w:hAnsi="宋体" w:cstheme="minorEastAsia"/>
                <w:color w:val="000000" w:themeColor="text1"/>
                <w:szCs w:val="21"/>
                <w:highlight w:val="none"/>
                <w14:textFill>
                  <w14:solidFill>
                    <w14:schemeClr w14:val="tx1"/>
                  </w14:solidFill>
                </w14:textFill>
              </w:rPr>
              <w:t>（1）支持全院各业务科室进行“作业、医疗项目”设备工时填报维护；（2）支持“复制到其他科室、复制到其他项目”功能。（3）支持字体颜色反映设备工时填报数据来源状态：黑色：填报或已审核、红色：未设置、绿色：他科复制、蓝色：上期结转橙色：取标准工时。</w:t>
            </w:r>
          </w:p>
          <w:p w14:paraId="5BD99370">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4DB0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9549A4E">
            <w:pPr>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color w:val="000000" w:themeColor="text1"/>
                <w:szCs w:val="21"/>
                <w:highlight w:val="none"/>
                <w14:textFill>
                  <w14:solidFill>
                    <w14:schemeClr w14:val="tx1"/>
                  </w14:solidFill>
                </w14:textFill>
              </w:rPr>
              <w:t>3、医院病种（DRG）成本核算管理系统软件主要功能：</w:t>
            </w:r>
          </w:p>
        </w:tc>
      </w:tr>
      <w:tr w14:paraId="48E5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09BA97F1">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▲3.1</w:t>
            </w:r>
            <w:r>
              <w:rPr>
                <w:rFonts w:hint="eastAsia" w:ascii="宋体" w:hAnsi="宋体" w:cstheme="minorEastAsia"/>
                <w:b/>
                <w:color w:val="000000" w:themeColor="text1"/>
                <w:szCs w:val="21"/>
                <w:highlight w:val="none"/>
                <w14:textFill>
                  <w14:solidFill>
                    <w14:schemeClr w14:val="tx1"/>
                  </w14:solidFill>
                </w14:textFill>
              </w:rPr>
              <w:t>病人基本信息采集：</w:t>
            </w:r>
            <w:r>
              <w:rPr>
                <w:rFonts w:hint="eastAsia" w:ascii="宋体" w:hAnsi="宋体" w:cstheme="minorEastAsia"/>
                <w:color w:val="000000" w:themeColor="text1"/>
                <w:szCs w:val="21"/>
                <w:highlight w:val="none"/>
                <w14:textFill>
                  <w14:solidFill>
                    <w14:schemeClr w14:val="tx1"/>
                  </w14:solidFill>
                </w14:textFill>
              </w:rPr>
              <w:t>支持住院病人病案首页信息（病案号、姓名、性别、年龄、入院时间、出院时间等）与HIS住院患者明细费用（发生日期、费用类别、收费大项、费用名称、单价、数量、金额、单位、执行科室名称等）在同一功能菜单联动查询。</w:t>
            </w:r>
          </w:p>
          <w:p w14:paraId="5663ACB3">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29F2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1CCA8263">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 xml:space="preserve">▲3.2 </w:t>
            </w:r>
            <w:r>
              <w:rPr>
                <w:rFonts w:hint="eastAsia" w:ascii="宋体" w:hAnsi="宋体" w:cstheme="minorEastAsia"/>
                <w:b/>
                <w:color w:val="000000" w:themeColor="text1"/>
                <w:szCs w:val="21"/>
                <w:highlight w:val="none"/>
                <w14:textFill>
                  <w14:solidFill>
                    <w14:schemeClr w14:val="tx1"/>
                  </w14:solidFill>
                </w14:textFill>
              </w:rPr>
              <w:t>DRG信息采集查询：</w:t>
            </w:r>
            <w:r>
              <w:rPr>
                <w:rFonts w:hint="eastAsia" w:ascii="宋体" w:hAnsi="宋体" w:cstheme="minorEastAsia"/>
                <w:color w:val="000000" w:themeColor="text1"/>
                <w:szCs w:val="21"/>
                <w:highlight w:val="none"/>
                <w14:textFill>
                  <w14:solidFill>
                    <w14:schemeClr w14:val="tx1"/>
                  </w14:solidFill>
                </w14:textFill>
              </w:rPr>
              <w:t>支持病案号、姓名、</w:t>
            </w:r>
            <w:r>
              <w:rPr>
                <w:rFonts w:hint="eastAsia" w:ascii="宋体" w:hAnsi="宋体" w:cstheme="minorEastAsia"/>
                <w:color w:val="000000" w:themeColor="text1"/>
                <w:szCs w:val="21"/>
                <w:highlight w:val="none"/>
                <w:lang w:eastAsia="zh-CN"/>
                <w14:textFill>
                  <w14:solidFill>
                    <w14:schemeClr w14:val="tx1"/>
                  </w14:solidFill>
                </w14:textFill>
              </w:rPr>
              <w:t>性别</w:t>
            </w:r>
            <w:r>
              <w:rPr>
                <w:rFonts w:hint="eastAsia" w:ascii="宋体" w:hAnsi="宋体" w:cstheme="minorEastAsia"/>
                <w:color w:val="000000" w:themeColor="text1"/>
                <w:szCs w:val="21"/>
                <w:highlight w:val="none"/>
                <w14:textFill>
                  <w14:solidFill>
                    <w14:schemeClr w14:val="tx1"/>
                  </w14:solidFill>
                </w14:textFill>
              </w:rPr>
              <w:t>、年龄、入院日期、出院日期、出院主诊断名称、主手术名称、主治医师、出院科室、DRG编码、DRG名称、RW、DRG支付、住院天数等采集查询。</w:t>
            </w:r>
          </w:p>
          <w:p w14:paraId="1FF8E190">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7840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4951B5A5">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▲3.3</w:t>
            </w:r>
            <w:r>
              <w:rPr>
                <w:rFonts w:hint="eastAsia" w:ascii="宋体" w:hAnsi="宋体" w:cstheme="minorEastAsia"/>
                <w:b/>
                <w:color w:val="000000" w:themeColor="text1"/>
                <w:szCs w:val="21"/>
                <w:highlight w:val="none"/>
                <w14:textFill>
                  <w14:solidFill>
                    <w14:schemeClr w14:val="tx1"/>
                  </w14:solidFill>
                </w14:textFill>
              </w:rPr>
              <w:t>病种成本效益明细分析：</w:t>
            </w:r>
            <w:r>
              <w:rPr>
                <w:rFonts w:hint="eastAsia" w:ascii="宋体" w:hAnsi="宋体" w:cstheme="minorEastAsia"/>
                <w:color w:val="000000" w:themeColor="text1"/>
                <w:szCs w:val="21"/>
                <w:highlight w:val="none"/>
                <w14:textFill>
                  <w14:solidFill>
                    <w14:schemeClr w14:val="tx1"/>
                  </w14:solidFill>
                </w14:textFill>
              </w:rPr>
              <w:t>主要统计均例病种收入、病种成本、病种医保支付、病种结余、(收入-成本)、病种差额、(收入-医保)、单病损益、(医保-成本)、收入项目大类、成本项目大类、住院天数、床日结余、治愈率等明细数据统计分析。</w:t>
            </w:r>
          </w:p>
          <w:p w14:paraId="5EB24651">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6DC5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5E92F101">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 xml:space="preserve">▲3.4 </w:t>
            </w:r>
            <w:r>
              <w:rPr>
                <w:rFonts w:hint="eastAsia" w:ascii="宋体" w:hAnsi="宋体" w:cstheme="minorEastAsia"/>
                <w:b/>
                <w:color w:val="000000" w:themeColor="text1"/>
                <w:szCs w:val="21"/>
                <w:highlight w:val="none"/>
                <w14:textFill>
                  <w14:solidFill>
                    <w14:schemeClr w14:val="tx1"/>
                  </w14:solidFill>
                </w14:textFill>
              </w:rPr>
              <w:t>DRG成本效益明细表：</w:t>
            </w:r>
            <w:r>
              <w:rPr>
                <w:rFonts w:hint="eastAsia" w:ascii="宋体" w:hAnsi="宋体" w:cstheme="minorEastAsia"/>
                <w:color w:val="000000" w:themeColor="text1"/>
                <w:szCs w:val="21"/>
                <w:highlight w:val="none"/>
                <w14:textFill>
                  <w14:solidFill>
                    <w14:schemeClr w14:val="tx1"/>
                  </w14:solidFill>
                </w14:textFill>
              </w:rPr>
              <w:t>DRG成本效益明细表：主要包含病种（DRG）出院主诊断名称、主手术名称、例数、病种收入、病种成本、病种医保支付、病种结余(收入-成本)、病种差额(收入-医保)、单病损益(医保-成本)、医疗收入、占比、药品收入、占比、计价材料收入、占比、医疗成本、占比、药品成本、占比、计价材料成本、占比、平均住院天数、平均床日收入、平均床日成本、平均床日结余、治愈率、等数据统计分析。</w:t>
            </w:r>
          </w:p>
          <w:p w14:paraId="4634AC5F">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7BEC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518EE138">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▲3.5</w:t>
            </w:r>
            <w:r>
              <w:rPr>
                <w:rFonts w:hint="eastAsia" w:ascii="宋体" w:hAnsi="宋体" w:cstheme="minorEastAsia"/>
                <w:b/>
                <w:color w:val="000000" w:themeColor="text1"/>
                <w:szCs w:val="21"/>
                <w:highlight w:val="none"/>
                <w14:textFill>
                  <w14:solidFill>
                    <w14:schemeClr w14:val="tx1"/>
                  </w14:solidFill>
                </w14:textFill>
              </w:rPr>
              <w:t>病种（DRG）成本病人明细表：</w:t>
            </w:r>
            <w:r>
              <w:rPr>
                <w:rFonts w:hint="eastAsia" w:ascii="宋体" w:hAnsi="宋体" w:cstheme="minorEastAsia"/>
                <w:color w:val="000000" w:themeColor="text1"/>
                <w:szCs w:val="21"/>
                <w:highlight w:val="none"/>
                <w14:textFill>
                  <w14:solidFill>
                    <w14:schemeClr w14:val="tx1"/>
                  </w14:solidFill>
                </w14:textFill>
              </w:rPr>
              <w:t>采用医疗项目成本、药品成本、收费材料成本“自下而上”、“项目叠加法”进行归集核算，支持每个住院患者入院到出院每一天的医疗服务项目、药品明细、计价材料明细成本、收入、结余数据计算、查询。</w:t>
            </w:r>
          </w:p>
          <w:p w14:paraId="7162F20A">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41EF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3580011E">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▲3.6</w:t>
            </w:r>
            <w:r>
              <w:rPr>
                <w:rFonts w:hint="eastAsia" w:ascii="宋体" w:hAnsi="宋体" w:cstheme="minorEastAsia"/>
                <w:b/>
                <w:color w:val="000000" w:themeColor="text1"/>
                <w:szCs w:val="21"/>
                <w:highlight w:val="none"/>
                <w14:textFill>
                  <w14:solidFill>
                    <w14:schemeClr w14:val="tx1"/>
                  </w14:solidFill>
                </w14:textFill>
              </w:rPr>
              <w:t>病种(DRG)数据分析驾驶舱：</w:t>
            </w:r>
            <w:r>
              <w:rPr>
                <w:rFonts w:hint="eastAsia" w:ascii="宋体" w:hAnsi="宋体" w:cstheme="minorEastAsia"/>
                <w:color w:val="000000" w:themeColor="text1"/>
                <w:szCs w:val="21"/>
                <w:highlight w:val="none"/>
                <w14:textFill>
                  <w14:solidFill>
                    <w14:schemeClr w14:val="tx1"/>
                  </w14:solidFill>
                </w14:textFill>
              </w:rPr>
              <w:t>病种(DRG)数据分析驾驶舱：（1）有病种（DRG）“成本、收入、医保、结余”；（2）支持柱形图、拼图、趋势图、雷达图、排序图、XY轴坐标等图表分析展现。</w:t>
            </w:r>
          </w:p>
          <w:p w14:paraId="0AB7A2DC">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7967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1CF18AD3">
            <w:pPr>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color w:val="000000" w:themeColor="text1"/>
                <w:szCs w:val="21"/>
                <w:highlight w:val="none"/>
                <w14:textFill>
                  <w14:solidFill>
                    <w14:schemeClr w14:val="tx1"/>
                  </w14:solidFill>
                </w14:textFill>
              </w:rPr>
              <w:t>4、医院数智运营决策分析（ODR）管理系统软件主要功能：</w:t>
            </w:r>
          </w:p>
        </w:tc>
      </w:tr>
      <w:tr w14:paraId="208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123AB804">
            <w:pPr>
              <w:widowControl/>
              <w:shd w:val="clear" w:color="auto" w:fill="FFFFFF"/>
              <w:adjustRightInd/>
              <w:snapToGrid w:val="0"/>
              <w:spacing w:after="0" w:line="360" w:lineRule="auto"/>
              <w:jc w:val="left"/>
              <w:rPr>
                <w:rStyle w:val="72"/>
                <w:rFonts w:hint="eastAsia" w:ascii="宋体" w:hAnsi="宋体" w:cstheme="minorEastAsia"/>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▲4.1</w:t>
            </w:r>
            <w:r>
              <w:rPr>
                <w:rStyle w:val="72"/>
                <w:rFonts w:hint="eastAsia" w:ascii="宋体" w:hAnsi="宋体" w:cstheme="minorEastAsia"/>
                <w:bCs w:val="0"/>
                <w:color w:val="000000" w:themeColor="text1"/>
                <w:szCs w:val="21"/>
                <w:highlight w:val="none"/>
                <w:shd w:val="clear" w:color="auto" w:fill="FFFFFF"/>
                <w14:textFill>
                  <w14:solidFill>
                    <w14:schemeClr w14:val="tx1"/>
                  </w14:solidFill>
                </w14:textFill>
              </w:rPr>
              <w:t>《公立医院成本核算指导手册》6大类主题18张标准全成本报表：</w:t>
            </w:r>
          </w:p>
          <w:p w14:paraId="71B224A0">
            <w:pPr>
              <w:widowControl/>
              <w:shd w:val="clear" w:color="auto" w:fill="FFFFFF"/>
              <w:adjustRightInd/>
              <w:snapToGrid w:val="0"/>
              <w:spacing w:after="0" w:line="360" w:lineRule="auto"/>
              <w:jc w:val="left"/>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t>①科室成本报表：医院科室直接成本表（医疗成本）、医院科室直接成本表（医疗全成本和医院全成本）、医院临床服务类科室全成本表（医疗成本）、医院临床服务类科室全成本表（医疗全成本和医院全成本）、医院临床服务类科室全成本构成分析表、医院科室成本分摊汇总表；</w:t>
            </w:r>
          </w:p>
          <w:p w14:paraId="5A3410A6">
            <w:pPr>
              <w:widowControl/>
              <w:shd w:val="clear" w:color="auto" w:fill="FFFFFF"/>
              <w:adjustRightInd/>
              <w:snapToGrid w:val="0"/>
              <w:spacing w:after="0" w:line="360" w:lineRule="auto"/>
              <w:jc w:val="left"/>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t>②诊次成本报表：医院诊次成本构成表、医院科室诊次成本表；</w:t>
            </w:r>
          </w:p>
          <w:p w14:paraId="1A6F9A55">
            <w:pPr>
              <w:widowControl/>
              <w:shd w:val="clear" w:color="auto" w:fill="FFFFFF"/>
              <w:adjustRightInd/>
              <w:snapToGrid w:val="0"/>
              <w:spacing w:after="0" w:line="360" w:lineRule="auto"/>
              <w:jc w:val="left"/>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t>③床日成本报表：医院床日成本构成表、医院科室床日成本表；</w:t>
            </w:r>
          </w:p>
          <w:p w14:paraId="4680632E">
            <w:pPr>
              <w:widowControl/>
              <w:shd w:val="clear" w:color="auto" w:fill="FFFFFF"/>
              <w:adjustRightInd/>
              <w:snapToGrid w:val="0"/>
              <w:spacing w:after="0" w:line="360" w:lineRule="auto"/>
              <w:jc w:val="left"/>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t>④医疗服务项目成本报表：医院医疗服务项目成本汇总表、医院医疗服务项目成本明细表；</w:t>
            </w:r>
          </w:p>
          <w:p w14:paraId="4669AD4F">
            <w:pPr>
              <w:widowControl/>
              <w:shd w:val="clear" w:color="auto" w:fill="FFFFFF"/>
              <w:adjustRightInd/>
              <w:snapToGrid w:val="0"/>
              <w:spacing w:after="0" w:line="360" w:lineRule="auto"/>
              <w:jc w:val="left"/>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t>⑤病种成本报表：医院病种成本明细表、医院病种成本构成明细表、医院服务单元病种成本构成明细表；</w:t>
            </w:r>
          </w:p>
          <w:p w14:paraId="5F2A821E">
            <w:pPr>
              <w:widowControl/>
              <w:shd w:val="clear" w:color="auto" w:fill="FFFFFF"/>
              <w:adjustRightInd/>
              <w:snapToGrid w:val="0"/>
              <w:spacing w:after="0" w:line="360" w:lineRule="auto"/>
              <w:jc w:val="left"/>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b w:val="0"/>
                <w:bCs w:val="0"/>
                <w:color w:val="000000" w:themeColor="text1"/>
                <w:szCs w:val="21"/>
                <w:highlight w:val="none"/>
                <w:shd w:val="clear" w:color="auto" w:fill="FFFFFF"/>
                <w14:textFill>
                  <w14:solidFill>
                    <w14:schemeClr w14:val="tx1"/>
                  </w14:solidFill>
                </w14:textFill>
              </w:rPr>
              <w:t>⑥DRG成本报表：医院DRG成本明细表、医院DRG成本构成明细表、医院服务单元DRG成本构成明细表。</w:t>
            </w:r>
          </w:p>
          <w:p w14:paraId="7CCEB19B">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178B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7BB0B75E">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bookmarkStart w:id="79" w:name="OLE_LINK18"/>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w:t>
            </w:r>
            <w:r>
              <w:rPr>
                <w:rStyle w:val="72"/>
                <w:rFonts w:hint="eastAsia" w:ascii="宋体" w:hAnsi="宋体" w:cstheme="minorEastAsia"/>
                <w:bCs w:val="0"/>
                <w:color w:val="000000" w:themeColor="text1"/>
                <w:szCs w:val="21"/>
                <w:highlight w:val="none"/>
                <w:shd w:val="clear" w:color="auto" w:fill="FFFFFF"/>
                <w14:textFill>
                  <w14:solidFill>
                    <w14:schemeClr w14:val="tx1"/>
                  </w14:solidFill>
                </w14:textFill>
              </w:rPr>
              <w:t>4.2</w:t>
            </w:r>
            <w:r>
              <w:rPr>
                <w:rFonts w:hint="eastAsia" w:ascii="宋体" w:hAnsi="宋体" w:cstheme="minorEastAsia"/>
                <w:b/>
                <w:color w:val="000000" w:themeColor="text1"/>
                <w:szCs w:val="21"/>
                <w:highlight w:val="none"/>
                <w14:textFill>
                  <w14:solidFill>
                    <w14:schemeClr w14:val="tx1"/>
                  </w14:solidFill>
                </w14:textFill>
              </w:rPr>
              <w:t>医院综合运营决策分析：</w:t>
            </w:r>
            <w:bookmarkEnd w:id="79"/>
            <w:r>
              <w:rPr>
                <w:rFonts w:hint="eastAsia" w:ascii="宋体" w:hAnsi="宋体" w:cstheme="minorEastAsia"/>
                <w:color w:val="000000" w:themeColor="text1"/>
                <w:szCs w:val="21"/>
                <w:highlight w:val="none"/>
                <w14:textFill>
                  <w14:solidFill>
                    <w14:schemeClr w14:val="tx1"/>
                  </w14:solidFill>
                </w14:textFill>
              </w:rPr>
              <w:t>支持、科室、诊次、床日、项目、病种、DRG的收支余、结构、对比、环比、定基比、同比、排名、累计、趋势以及图表丰富多样等综合运营决策分析数据报表及应用。</w:t>
            </w:r>
          </w:p>
          <w:p w14:paraId="45779493">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5E49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6104A793">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bookmarkStart w:id="80" w:name="OLE_LINK26"/>
            <w:bookmarkStart w:id="81" w:name="OLE_LINK25"/>
            <w:bookmarkStart w:id="82" w:name="OLE_LINK27"/>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w:t>
            </w:r>
            <w:r>
              <w:rPr>
                <w:rStyle w:val="72"/>
                <w:rFonts w:hint="eastAsia" w:ascii="宋体" w:hAnsi="宋体" w:cstheme="minorEastAsia"/>
                <w:bCs w:val="0"/>
                <w:color w:val="000000" w:themeColor="text1"/>
                <w:szCs w:val="21"/>
                <w:highlight w:val="none"/>
                <w:shd w:val="clear" w:color="auto" w:fill="FFFFFF"/>
                <w14:textFill>
                  <w14:solidFill>
                    <w14:schemeClr w14:val="tx1"/>
                  </w14:solidFill>
                </w14:textFill>
              </w:rPr>
              <w:t>4.3</w:t>
            </w:r>
            <w:r>
              <w:rPr>
                <w:rFonts w:hint="eastAsia" w:ascii="宋体" w:hAnsi="宋体" w:cstheme="minorEastAsia"/>
                <w:b/>
                <w:color w:val="000000" w:themeColor="text1"/>
                <w:szCs w:val="21"/>
                <w:highlight w:val="none"/>
                <w14:textFill>
                  <w14:solidFill>
                    <w14:schemeClr w14:val="tx1"/>
                  </w14:solidFill>
                </w14:textFill>
              </w:rPr>
              <w:t>科室、项目、病种DRG本量利分析</w:t>
            </w:r>
            <w:bookmarkEnd w:id="80"/>
            <w:bookmarkEnd w:id="81"/>
            <w:r>
              <w:rPr>
                <w:rFonts w:hint="eastAsia" w:ascii="宋体" w:hAnsi="宋体" w:cstheme="minorEastAsia"/>
                <w:b/>
                <w:color w:val="000000" w:themeColor="text1"/>
                <w:szCs w:val="21"/>
                <w:highlight w:val="none"/>
                <w14:textFill>
                  <w14:solidFill>
                    <w14:schemeClr w14:val="tx1"/>
                  </w14:solidFill>
                </w14:textFill>
              </w:rPr>
              <w:t>：</w:t>
            </w:r>
            <w:r>
              <w:rPr>
                <w:rFonts w:hint="eastAsia" w:ascii="宋体" w:hAnsi="宋体" w:cstheme="minorEastAsia"/>
                <w:color w:val="000000" w:themeColor="text1"/>
                <w:szCs w:val="21"/>
                <w:highlight w:val="none"/>
                <w14:textFill>
                  <w14:solidFill>
                    <w14:schemeClr w14:val="tx1"/>
                  </w14:solidFill>
                </w14:textFill>
              </w:rPr>
              <w:t>通过医院全成本核算，完成成本、收入、结余、固定成本、变动成本、工作量多个维度数据计算</w:t>
            </w:r>
            <w:r>
              <w:rPr>
                <w:rStyle w:val="72"/>
                <w:rFonts w:hint="eastAsia" w:ascii="宋体" w:hAnsi="宋体" w:cstheme="minorEastAsia"/>
                <w:b w:val="0"/>
                <w:color w:val="000000" w:themeColor="text1"/>
                <w:szCs w:val="21"/>
                <w:highlight w:val="none"/>
                <w:shd w:val="clear" w:color="auto" w:fill="FFFFFF"/>
                <w14:textFill>
                  <w14:solidFill>
                    <w14:schemeClr w14:val="tx1"/>
                  </w14:solidFill>
                </w14:textFill>
              </w:rPr>
              <w:t>，生成</w:t>
            </w:r>
            <w:r>
              <w:rPr>
                <w:rFonts w:hint="eastAsia" w:ascii="宋体" w:hAnsi="宋体" w:cstheme="minorEastAsia"/>
                <w:color w:val="000000" w:themeColor="text1"/>
                <w:szCs w:val="21"/>
                <w:highlight w:val="none"/>
                <w14:textFill>
                  <w14:solidFill>
                    <w14:schemeClr w14:val="tx1"/>
                  </w14:solidFill>
                </w14:textFill>
              </w:rPr>
              <w:t>科室、项目、病种DRG本量利数据图表分析。</w:t>
            </w:r>
            <w:bookmarkEnd w:id="82"/>
          </w:p>
          <w:p w14:paraId="0A9DAEDD">
            <w:pPr>
              <w:pStyle w:val="3"/>
              <w:spacing w:after="0"/>
              <w:ind w:left="0" w:firstLine="0"/>
              <w:rPr>
                <w:rFonts w:hint="eastAsia" w:ascii="宋体" w:hAnsi="宋体" w:eastAsia="宋体" w:cstheme="minorEastAsia"/>
                <w:color w:val="000000" w:themeColor="text1"/>
                <w:sz w:val="21"/>
                <w:szCs w:val="21"/>
                <w:highlight w:val="none"/>
                <w14:textFill>
                  <w14:solidFill>
                    <w14:schemeClr w14:val="tx1"/>
                  </w14:solidFill>
                </w14:textFill>
              </w:rPr>
            </w:pPr>
            <w:r>
              <w:rPr>
                <w:rFonts w:hint="eastAsia" w:ascii="宋体" w:hAnsi="宋体" w:eastAsia="宋体" w:cstheme="minorEastAsia"/>
                <w:color w:val="000000" w:themeColor="text1"/>
                <w:sz w:val="21"/>
                <w:szCs w:val="21"/>
                <w:highlight w:val="none"/>
                <w:lang w:val="en-US"/>
                <w14:textFill>
                  <w14:solidFill>
                    <w14:schemeClr w14:val="tx1"/>
                  </w14:solidFill>
                </w14:textFill>
              </w:rPr>
              <w:t>备注：投标文件中需提供软件功能系统截图，未提供或提供不全视为负偏离。</w:t>
            </w:r>
          </w:p>
        </w:tc>
      </w:tr>
      <w:tr w14:paraId="1B65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5766890A">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bookmarkStart w:id="83" w:name="OLE_LINK23"/>
            <w:bookmarkStart w:id="84" w:name="OLE_LINK24"/>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w:t>
            </w:r>
            <w:r>
              <w:rPr>
                <w:rStyle w:val="72"/>
                <w:rFonts w:hint="eastAsia" w:ascii="宋体" w:hAnsi="宋体" w:cstheme="minorEastAsia"/>
                <w:bCs w:val="0"/>
                <w:color w:val="000000" w:themeColor="text1"/>
                <w:szCs w:val="21"/>
                <w:highlight w:val="none"/>
                <w:shd w:val="clear" w:color="auto" w:fill="FFFFFF"/>
                <w14:textFill>
                  <w14:solidFill>
                    <w14:schemeClr w14:val="tx1"/>
                  </w14:solidFill>
                </w14:textFill>
              </w:rPr>
              <w:t>4.4</w:t>
            </w:r>
            <w:r>
              <w:rPr>
                <w:rFonts w:hint="eastAsia" w:ascii="宋体" w:hAnsi="宋体" w:cstheme="minorEastAsia"/>
                <w:b/>
                <w:color w:val="000000" w:themeColor="text1"/>
                <w:szCs w:val="21"/>
                <w:highlight w:val="none"/>
                <w14:textFill>
                  <w14:solidFill>
                    <w14:schemeClr w14:val="tx1"/>
                  </w14:solidFill>
                </w14:textFill>
              </w:rPr>
              <w:t>医院成本与绩效数据应用</w:t>
            </w:r>
            <w:bookmarkEnd w:id="83"/>
            <w:bookmarkEnd w:id="84"/>
            <w:r>
              <w:rPr>
                <w:rFonts w:hint="eastAsia" w:ascii="宋体" w:hAnsi="宋体" w:cstheme="minorEastAsia"/>
                <w:b/>
                <w:color w:val="000000" w:themeColor="text1"/>
                <w:szCs w:val="21"/>
                <w:highlight w:val="none"/>
                <w14:textFill>
                  <w14:solidFill>
                    <w14:schemeClr w14:val="tx1"/>
                  </w14:solidFill>
                </w14:textFill>
              </w:rPr>
              <w:t>：</w:t>
            </w:r>
            <w:r>
              <w:rPr>
                <w:rFonts w:hint="eastAsia" w:ascii="宋体" w:hAnsi="宋体" w:cstheme="minorEastAsia"/>
                <w:color w:val="000000" w:themeColor="text1"/>
                <w:szCs w:val="21"/>
                <w:highlight w:val="none"/>
                <w14:textFill>
                  <w14:solidFill>
                    <w14:schemeClr w14:val="tx1"/>
                  </w14:solidFill>
                </w14:textFill>
              </w:rPr>
              <w:t>通过医院全成本科学化、精细化、精准化核算，将成本数据应用到公立医院绩效考核、医院绩效管理、医院等级评审等智慧医院管理，实现医院健康可持续高质量发展。</w:t>
            </w: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 xml:space="preserve"> </w:t>
            </w:r>
          </w:p>
          <w:p w14:paraId="13A4267E">
            <w:pPr>
              <w:widowControl/>
              <w:shd w:val="clear" w:color="auto" w:fill="FFFFFF"/>
              <w:adjustRightInd/>
              <w:snapToGrid w:val="0"/>
              <w:spacing w:after="0" w:line="360" w:lineRule="auto"/>
              <w:jc w:val="left"/>
              <w:rPr>
                <w:rStyle w:val="72"/>
                <w:rFonts w:hint="eastAsia" w:ascii="宋体" w:hAnsi="宋体" w:cstheme="minorEastAsia"/>
                <w:b w:val="0"/>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1AD0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1CE5112E">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▲4.5领导驾驶舱数智运营分析：</w:t>
            </w:r>
            <w:r>
              <w:rPr>
                <w:rStyle w:val="72"/>
                <w:rFonts w:hint="eastAsia" w:ascii="宋体" w:hAnsi="宋体" w:cstheme="minorEastAsia"/>
                <w:b w:val="0"/>
                <w:color w:val="000000" w:themeColor="text1"/>
                <w:szCs w:val="21"/>
                <w:highlight w:val="none"/>
                <w:shd w:val="clear" w:color="auto" w:fill="FFFFFF"/>
                <w14:textFill>
                  <w14:solidFill>
                    <w14:schemeClr w14:val="tx1"/>
                  </w14:solidFill>
                </w14:textFill>
              </w:rPr>
              <w:t>根据医院全成本与效益核算运营管理决策分析大数据，以仪表盘、饼图、柱形图、趋势图、雷达图等丰富多样图表展现院区、科室、诊次、床日、项目、病种、DRG的收支余、结构、对比、环比、定基比、同比、排名、累计、趋势等综合数智运营决策领导驾驶舱。</w:t>
            </w: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2225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5A6DE2F7">
            <w:pPr>
              <w:widowControl/>
              <w:shd w:val="clear" w:color="auto" w:fill="FFFFFF"/>
              <w:adjustRightInd/>
              <w:snapToGrid w:val="0"/>
              <w:spacing w:after="0" w:line="360" w:lineRule="auto"/>
              <w:jc w:val="left"/>
              <w:rPr>
                <w:rStyle w:val="72"/>
                <w:rFonts w:hint="eastAsia" w:ascii="宋体" w:hAnsi="宋体" w:cstheme="minorEastAsia"/>
                <w:b w:val="0"/>
                <w:color w:val="000000" w:themeColor="text1"/>
                <w:szCs w:val="21"/>
                <w:highlight w:val="none"/>
                <w:shd w:val="clear" w:color="auto" w:fill="FFFFFF"/>
                <w14:textFill>
                  <w14:solidFill>
                    <w14:schemeClr w14:val="tx1"/>
                  </w14:solidFill>
                </w14:textFill>
              </w:rPr>
            </w:pPr>
            <w:bookmarkStart w:id="85" w:name="OLE_LINK59"/>
            <w:bookmarkStart w:id="86" w:name="OLE_LINK58"/>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▲4.6</w:t>
            </w:r>
            <w:bookmarkEnd w:id="85"/>
            <w:bookmarkEnd w:id="86"/>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医院AI数智运营分析智能体：</w:t>
            </w:r>
            <w:r>
              <w:rPr>
                <w:rStyle w:val="72"/>
                <w:rFonts w:hint="eastAsia" w:ascii="宋体" w:hAnsi="宋体" w:cstheme="minorEastAsia"/>
                <w:b w:val="0"/>
                <w:color w:val="000000" w:themeColor="text1"/>
                <w:szCs w:val="21"/>
                <w:highlight w:val="none"/>
                <w:shd w:val="clear" w:color="auto" w:fill="FFFFFF"/>
                <w14:textFill>
                  <w14:solidFill>
                    <w14:schemeClr w14:val="tx1"/>
                  </w14:solidFill>
                </w14:textFill>
              </w:rPr>
              <w:t>根据医院全成本与效益核算运营管理决策分析大数据，封装相关控件、指标、函数等，基于结构化数据通过数智智能体管理系统自动生成文字、数据、图表组合的医院AI数智运营分析报告。</w:t>
            </w:r>
          </w:p>
          <w:p w14:paraId="44A8FE03">
            <w:pPr>
              <w:widowControl/>
              <w:shd w:val="clear" w:color="auto" w:fill="FFFFFF"/>
              <w:adjustRightInd/>
              <w:snapToGrid w:val="0"/>
              <w:spacing w:after="0" w:line="360" w:lineRule="auto"/>
              <w:jc w:val="left"/>
              <w:rPr>
                <w:rStyle w:val="72"/>
                <w:rFonts w:hint="eastAsia" w:ascii="宋体" w:hAnsi="宋体" w:cstheme="minorEastAsia"/>
                <w:color w:val="000000" w:themeColor="text1"/>
                <w:szCs w:val="21"/>
                <w:highlight w:val="none"/>
                <w:shd w:val="clear" w:color="auto" w:fill="FFFFFF"/>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备注：投标文件中需提供软件功能系统截图，未提供或提供不全视为负偏离。</w:t>
            </w:r>
          </w:p>
        </w:tc>
      </w:tr>
      <w:tr w14:paraId="2FDD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vAlign w:val="center"/>
          </w:tcPr>
          <w:p w14:paraId="2D2F3D7C">
            <w:pPr>
              <w:widowControl/>
              <w:shd w:val="clear" w:color="auto" w:fill="FFFFFF"/>
              <w:adjustRightInd/>
              <w:snapToGrid w:val="0"/>
              <w:spacing w:after="0" w:line="360" w:lineRule="auto"/>
              <w:jc w:val="left"/>
              <w:rPr>
                <w:rFonts w:hint="eastAsia" w:ascii="宋体" w:hAnsi="宋体" w:cstheme="minorEastAsia"/>
                <w:color w:val="000000" w:themeColor="text1"/>
                <w:szCs w:val="21"/>
                <w:highlight w:val="none"/>
                <w14:textFill>
                  <w14:solidFill>
                    <w14:schemeClr w14:val="tx1"/>
                  </w14:solidFill>
                </w14:textFill>
              </w:rPr>
            </w:pP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▲5</w:t>
            </w:r>
            <w:r>
              <w:rPr>
                <w:rFonts w:hint="eastAsia" w:ascii="宋体" w:hAnsi="宋体" w:cstheme="minorEastAsia"/>
                <w:b/>
                <w:bCs/>
                <w:color w:val="000000" w:themeColor="text1"/>
                <w:szCs w:val="21"/>
                <w:highlight w:val="none"/>
                <w14:textFill>
                  <w14:solidFill>
                    <w14:schemeClr w14:val="tx1"/>
                  </w14:solidFill>
                </w14:textFill>
              </w:rPr>
              <w:t xml:space="preserve"> </w:t>
            </w:r>
            <w:r>
              <w:rPr>
                <w:rStyle w:val="72"/>
                <w:rFonts w:hint="eastAsia" w:ascii="宋体" w:hAnsi="宋体" w:cstheme="minorEastAsia"/>
                <w:color w:val="000000" w:themeColor="text1"/>
                <w:szCs w:val="21"/>
                <w:highlight w:val="none"/>
                <w:shd w:val="clear" w:color="auto" w:fill="FFFFFF"/>
                <w14:textFill>
                  <w14:solidFill>
                    <w14:schemeClr w14:val="tx1"/>
                  </w14:solidFill>
                </w14:textFill>
              </w:rPr>
              <w:t>.</w:t>
            </w:r>
            <w:bookmarkStart w:id="87" w:name="OLE_LINK125"/>
            <w:r>
              <w:rPr>
                <w:rFonts w:hint="eastAsia" w:ascii="宋体" w:hAnsi="宋体" w:cstheme="minorEastAsia"/>
                <w:color w:val="000000" w:themeColor="text1"/>
                <w:szCs w:val="21"/>
                <w:highlight w:val="none"/>
                <w14:textFill>
                  <w14:solidFill>
                    <w14:schemeClr w14:val="tx1"/>
                  </w14:solidFill>
                </w14:textFill>
              </w:rPr>
              <w:t>系统建设要</w:t>
            </w:r>
            <w:bookmarkStart w:id="88" w:name="OLE_LINK30"/>
            <w:r>
              <w:rPr>
                <w:rFonts w:hint="eastAsia" w:ascii="宋体" w:hAnsi="宋体" w:cstheme="minorEastAsia"/>
                <w:color w:val="000000" w:themeColor="text1"/>
                <w:szCs w:val="21"/>
                <w:highlight w:val="none"/>
                <w14:textFill>
                  <w14:solidFill>
                    <w14:schemeClr w14:val="tx1"/>
                  </w14:solidFill>
                </w14:textFill>
              </w:rPr>
              <w:t>满足信创</w:t>
            </w:r>
            <w:bookmarkEnd w:id="88"/>
            <w:r>
              <w:rPr>
                <w:rFonts w:hint="eastAsia" w:ascii="宋体" w:hAnsi="宋体" w:cstheme="minorEastAsia"/>
                <w:color w:val="000000" w:themeColor="text1"/>
                <w:szCs w:val="21"/>
                <w:highlight w:val="none"/>
                <w14:textFill>
                  <w14:solidFill>
                    <w14:schemeClr w14:val="tx1"/>
                  </w14:solidFill>
                </w14:textFill>
              </w:rPr>
              <w:t>要求，使系统对国产化基础环境、国产化浏览器等具有较好的兼容性，保证系统在信创服务器、操作系统、数据库系统等环境中稳定可靠运行。同时实现信创终端适配，与信创客户端浏览器正常通信，满足信创终端访问要求。</w:t>
            </w:r>
          </w:p>
          <w:p w14:paraId="18DB4B1B">
            <w:pPr>
              <w:widowControl/>
              <w:shd w:val="clear" w:color="auto" w:fill="FFFFFF"/>
              <w:adjustRightInd/>
              <w:snapToGrid w:val="0"/>
              <w:spacing w:after="0" w:line="360" w:lineRule="auto"/>
              <w:jc w:val="left"/>
              <w:rPr>
                <w:rFonts w:hint="eastAsia" w:ascii="宋体" w:hAnsi="宋体" w:cstheme="minorEastAsia"/>
                <w:b/>
                <w:bCs/>
                <w:color w:val="000000" w:themeColor="text1"/>
                <w:szCs w:val="21"/>
                <w:highlight w:val="none"/>
                <w14:textFill>
                  <w14:solidFill>
                    <w14:schemeClr w14:val="tx1"/>
                  </w14:solidFill>
                </w14:textFill>
              </w:rPr>
            </w:pPr>
            <w:r>
              <w:rPr>
                <w:rFonts w:hint="eastAsia" w:ascii="宋体" w:hAnsi="宋体" w:cstheme="minorEastAsia"/>
                <w:b/>
                <w:bCs/>
                <w:color w:val="000000" w:themeColor="text1"/>
                <w:szCs w:val="21"/>
                <w:highlight w:val="none"/>
                <w14:textFill>
                  <w14:solidFill>
                    <w14:schemeClr w14:val="tx1"/>
                  </w14:solidFill>
                </w14:textFill>
              </w:rPr>
              <w:t>备注：投标文件中需提供承诺函</w:t>
            </w:r>
            <w:r>
              <w:rPr>
                <w:rFonts w:hint="eastAsia" w:ascii="宋体" w:hAnsi="宋体" w:cstheme="minorEastAsia"/>
                <w:b/>
                <w:bCs/>
                <w:color w:val="000000" w:themeColor="text1"/>
                <w:szCs w:val="21"/>
                <w:highlight w:val="none"/>
                <w:lang w:eastAsia="zh-CN"/>
                <w14:textFill>
                  <w14:solidFill>
                    <w14:schemeClr w14:val="tx1"/>
                  </w14:solidFill>
                </w14:textFill>
              </w:rPr>
              <w:t>（</w:t>
            </w:r>
            <w:r>
              <w:rPr>
                <w:rFonts w:hint="eastAsia" w:ascii="宋体" w:hAnsi="宋体" w:cstheme="minorEastAsia"/>
                <w:b/>
                <w:bCs/>
                <w:color w:val="000000" w:themeColor="text1"/>
                <w:szCs w:val="21"/>
                <w:highlight w:val="none"/>
                <w:lang w:val="en-US" w:eastAsia="zh-CN"/>
                <w14:textFill>
                  <w14:solidFill>
                    <w14:schemeClr w14:val="tx1"/>
                  </w14:solidFill>
                </w14:textFill>
              </w:rPr>
              <w:t>格式自拟</w:t>
            </w:r>
            <w:r>
              <w:rPr>
                <w:rFonts w:hint="eastAsia" w:ascii="宋体" w:hAnsi="宋体" w:cstheme="minorEastAsia"/>
                <w:b/>
                <w:bCs/>
                <w:color w:val="000000" w:themeColor="text1"/>
                <w:szCs w:val="21"/>
                <w:highlight w:val="none"/>
                <w:lang w:eastAsia="zh-CN"/>
                <w14:textFill>
                  <w14:solidFill>
                    <w14:schemeClr w14:val="tx1"/>
                  </w14:solidFill>
                </w14:textFill>
              </w:rPr>
              <w:t>）</w:t>
            </w:r>
            <w:r>
              <w:rPr>
                <w:rFonts w:hint="eastAsia" w:ascii="宋体" w:hAnsi="宋体" w:cstheme="minorEastAsia"/>
                <w:b/>
                <w:bCs/>
                <w:color w:val="000000" w:themeColor="text1"/>
                <w:szCs w:val="21"/>
                <w:highlight w:val="none"/>
                <w14:textFill>
                  <w14:solidFill>
                    <w14:schemeClr w14:val="tx1"/>
                  </w14:solidFill>
                </w14:textFill>
              </w:rPr>
              <w:t>，未提供视为负偏离。</w:t>
            </w:r>
            <w:bookmarkEnd w:id="87"/>
          </w:p>
        </w:tc>
      </w:tr>
    </w:tbl>
    <w:p w14:paraId="57493A66">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bookmarkEnd w:id="76"/>
    <w:p w14:paraId="410AF70F">
      <w:pPr>
        <w:pStyle w:val="260"/>
        <w:numPr>
          <w:ilvl w:val="0"/>
          <w:numId w:val="6"/>
        </w:numPr>
        <w:spacing w:after="0"/>
        <w:ind w:left="442" w:hanging="442" w:firstLineChars="0"/>
        <w:jc w:val="left"/>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医院成本核算管理系统建设系统</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基本</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功能要求：</w:t>
      </w:r>
    </w:p>
    <w:p w14:paraId="6C14F6EF">
      <w:pPr>
        <w:pStyle w:val="260"/>
        <w:numPr>
          <w:ilvl w:val="0"/>
          <w:numId w:val="7"/>
        </w:numPr>
        <w:spacing w:after="0"/>
        <w:ind w:left="709"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院科全成本与效益核算管理系统</w:t>
      </w:r>
    </w:p>
    <w:p w14:paraId="7B52260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基础信息管理</w:t>
      </w:r>
    </w:p>
    <w:p w14:paraId="198A00D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院区集团信息</w:t>
      </w:r>
    </w:p>
    <w:p w14:paraId="5E4DE16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支持按院区集团、医联体、医共体组织架 构进行全成本与效益核算；</w:t>
      </w:r>
    </w:p>
    <w:p w14:paraId="6CCE502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核算科室体系</w:t>
      </w:r>
    </w:p>
    <w:p w14:paraId="41E64A3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成本核算科室体系基本信息维护，成本分 摊属性设置，成本分摊归集方法、成本分 摊基准以及分摊对象设置。</w:t>
      </w:r>
    </w:p>
    <w:p w14:paraId="3ABA6D5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职工档案信息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D02378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职工档案基本信息设置，导入、导出、打 印、生成科室人数、生成职工与科室的对 照关系等功能。</w:t>
      </w:r>
    </w:p>
    <w:p w14:paraId="7919902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职工历史信息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4BC455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按会计期间保存职工所属科室、职务、职 称等历史信息，支持追溯查询等功能。</w:t>
      </w:r>
    </w:p>
    <w:p w14:paraId="25BE044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成本核算项目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5B735E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成本核算项目基本信息维护，成本习性、 可控性、成本归集方案，以及全院成本费 用分摊基准以及分摊对象设置等功能。</w:t>
      </w:r>
    </w:p>
    <w:p w14:paraId="609B4FB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项目成本属性设置</w:t>
      </w:r>
    </w:p>
    <w:p w14:paraId="414DB17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成本项目属性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C9DEC7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标准成本项目、成本习性、成本可控性等 分类设置，有助于成本支持按属性分类进行报表数据统计分析。</w:t>
      </w:r>
    </w:p>
    <w:p w14:paraId="31862B1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成本项目属性定义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330B7C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快速完成成本项目的成本各项分类快速 对照设置。</w:t>
      </w:r>
    </w:p>
    <w:p w14:paraId="7F060DC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核算科室属性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64B5AA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支持多套核算科室体系设置，并按多套科 室体系进行报表数据统计分析。</w:t>
      </w:r>
    </w:p>
    <w:p w14:paraId="33E1442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核算科室属性定义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3FF9E2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快速完成核算科室的多套科室体系快速 对照设置。</w:t>
      </w:r>
    </w:p>
    <w:p w14:paraId="6063E54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分摊项目属性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360F40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分摊标准信息项目设置。</w:t>
      </w:r>
    </w:p>
    <w:p w14:paraId="697F3CD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分摊项目属性定义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14EAF4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快速完成分摊信息项目快速自动或手动 对照设置。</w:t>
      </w:r>
    </w:p>
    <w:p w14:paraId="52A7B54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物资材料字典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6E12C6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同步后勤、设备等库房卫生材料、办公材 料、医用材料等字典信息。</w:t>
      </w:r>
    </w:p>
    <w:p w14:paraId="0770F7D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内部服务项目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3E16C3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对医院供应、洗衣、维修等内部服务项目 及价格维护。</w:t>
      </w:r>
    </w:p>
    <w:p w14:paraId="4A025EA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科室性质分摊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7F5846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完成成本性质分摊流程灵活设置，支持次 序分摊、交互分摊、直接分摊等多种分摊方式。</w:t>
      </w:r>
    </w:p>
    <w:p w14:paraId="00E65B6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收入核算项目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04D90C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收入核算项目基本信息维护，医疗、药品 收入类别、收入默认执行科室设置等功能。</w:t>
      </w:r>
    </w:p>
    <w:p w14:paraId="5AB70C2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项目收入属性设置</w:t>
      </w:r>
    </w:p>
    <w:p w14:paraId="3B597FC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收入项目属性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386F9F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标准收入项目、收入类别设置，有助于成 本支持按属性分类进行报表数据统计分析。</w:t>
      </w:r>
    </w:p>
    <w:p w14:paraId="1C302CF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收入项目属性定义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F397DB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快速完成收入项目的收入各项分类快速 对照设置。</w:t>
      </w:r>
    </w:p>
    <w:p w14:paraId="5B98664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医疗收费项目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0980C8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同步HIS 系统的医疗服务项目大类、明细 项目等基本信息。</w:t>
      </w:r>
    </w:p>
    <w:p w14:paraId="642672D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院科成本核算</w:t>
      </w:r>
    </w:p>
    <w:p w14:paraId="3211428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全院归集费用分摊</w:t>
      </w:r>
    </w:p>
    <w:p w14:paraId="5B31395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全院归集费用分摊中介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A71765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全院费用分摊可以通过分摊中介，实现一 个全院归集费用采用多种分摊方案，使分摊成本数据更为准确。</w:t>
      </w:r>
    </w:p>
    <w:p w14:paraId="3DD639E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全院归集费用分摊方案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E79342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采用多种选择方法，快速实现全院归集费 用的分摊受益科室对象及分摊标准。</w:t>
      </w:r>
    </w:p>
    <w:p w14:paraId="6AD1B99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科室间接成本分摊</w:t>
      </w:r>
    </w:p>
    <w:p w14:paraId="0AC8D8E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科室间接成本分摊中介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634E41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科室间接成本分摊可以通过分摊中介，实现一个费用中心的科室采用多种分摊方案，使间接成本分摊数据更为准确。支持（一院多区）科室间接成本分摊方 案设置：科室间接成本分摊中介设置。遵 循“谁受益、谁承担成本 ”的原则，采用 “ 四类三级 ”阶梯次序法，设置成本分摊 基准动因设置。</w:t>
      </w:r>
    </w:p>
    <w:p w14:paraId="4620051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科室间接成本分摊方案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57084B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采用多种选择方法，快速实现费用中心科 室间接成本的分摊受益科室对象及分摊  标准。</w:t>
      </w:r>
    </w:p>
    <w:p w14:paraId="58A1661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科室信息数据采集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2D7080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支持科室信息数据直接录入、EXCEL 导入， 以及从其他系统接口自动采集数据等多种方式，并可以按多种条件查询，删除、 导出、打印等功能。</w:t>
      </w:r>
    </w:p>
    <w:p w14:paraId="4E5BD5C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分摊中介数据采集</w:t>
      </w:r>
    </w:p>
    <w:p w14:paraId="3425EA7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全院归集费用中介信息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DA0E4F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支持全院归集费用中介直接录入、EXCEL 导入，以及从其他系统接口自动采集数据 等多种方式，并可以按多种条件查询，删 除、导出、打印等功能。</w:t>
      </w:r>
    </w:p>
    <w:p w14:paraId="107DD79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科室成本分摊中介信息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6C4843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支持科室成本分摊中介直接录入、EXCEL 导入，以及从其他系统接口自动采集数据 等多种方式，并可以按多种条件查询，删 除、导出、打印等功能。</w:t>
      </w:r>
    </w:p>
    <w:p w14:paraId="7C11DD7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职工直接成本采集</w:t>
      </w:r>
    </w:p>
    <w:p w14:paraId="546A1F1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职工每月考勤信息</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63838D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支持职工每月考勤信息数据直接录入、EXCEL 导入，以及从其他系统接口自动采 集数据等多种方式，并可以按多种条件查 询，删除、导出、打印等功能。</w:t>
      </w:r>
    </w:p>
    <w:p w14:paraId="35E91E0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职工每月考勤统计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B325D9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支持对职工每月考勤信息按职工所在科 室天数进行统计。</w:t>
      </w:r>
    </w:p>
    <w:p w14:paraId="663D62A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职工直接成本采集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BFDFFE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支持职工直接成本直接录入、EXCEL 导入， 以及从其他系统接口自动采集数据等多种方式，并可以按多种条件查询，删除、导出、打印等功能。</w:t>
      </w:r>
    </w:p>
    <w:p w14:paraId="3A4FF27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职工成本计算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81601D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职工直接成本按职工考勤天数进行分摊计算、汇总。</w:t>
      </w:r>
    </w:p>
    <w:p w14:paraId="6F50A46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职工成本汇总表</w:t>
      </w:r>
    </w:p>
    <w:p w14:paraId="03C0492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支持月、季、年统计各科职工直接成本数据。</w:t>
      </w:r>
    </w:p>
    <w:p w14:paraId="02C3448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材料直接成本采集</w:t>
      </w:r>
    </w:p>
    <w:p w14:paraId="1827821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科室材料成本采集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EB7ABC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支持科室材料明细成本直接录入、EXCEL 导入，以及从其他系统自动接口采集数据 等多种方式，并可以按多种条件查询，删 除、导出、打印等功能。</w:t>
      </w:r>
    </w:p>
    <w:p w14:paraId="27455A2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科室材料成本汇总计算</w:t>
      </w:r>
    </w:p>
    <w:p w14:paraId="2A9FEC0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对科室材料明细成本进行计算、汇总生成 科室直接材料成本数据。</w:t>
      </w:r>
    </w:p>
    <w:p w14:paraId="542F617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8BA517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支持科室成本数据直接录入、EXCEL 导入， 以及从其他系统自动接口采集数据等多种方式，并可以按多种条件查询，删除、 导出、打印等功能。</w:t>
      </w:r>
    </w:p>
    <w:p w14:paraId="5ED52B0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全院归集费用采集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2DFDC9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支持直接录入、EXCEL 导入，以及从其他 系统接口自动采集数据等多种方式，并可 以按多种条件查询，删除、导出、打印等 功能。</w:t>
      </w:r>
    </w:p>
    <w:p w14:paraId="511D95A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内部服务信息采集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702B52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支持内部服务信息数据直接录入、EXCEL 导入，以及从其他系统接口自动采集数据 等多种方式，并可以按多种条件查询，删 除、导出、打印等功能。</w:t>
      </w:r>
    </w:p>
    <w:p w14:paraId="3DEC8DA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科室成本分摊与计算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704376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通过全费归集费用分摊方案、科室间接成 本分摊方案，结合科室信息数据，进行原 始成本、直接成本、间接成本进行归集汇 总、计算与分摊，并形成计算步骤过程日志文件。</w:t>
      </w:r>
    </w:p>
    <w:p w14:paraId="37CF746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科室成本分摊数据检查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CB0FCB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对科室原始成本、直接成本、间接成本、 全成本的计算过程数据查看校验。</w:t>
      </w:r>
    </w:p>
    <w:p w14:paraId="1CDBD0E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数据采集与核算状态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7E9C7E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成本与信息数据采集与计算状态查看编辑。</w:t>
      </w:r>
    </w:p>
    <w:p w14:paraId="1EA75D5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院科效益核算</w:t>
      </w:r>
    </w:p>
    <w:p w14:paraId="15B4735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科室收入分成设置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6BA05A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设置开单与执行科室的收入项目分成比例。</w:t>
      </w:r>
    </w:p>
    <w:p w14:paraId="6976EBB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科室成本转移设置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23CEF5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设置医技、药品执行科室成本转移比例。</w:t>
      </w:r>
    </w:p>
    <w:p w14:paraId="46B5E69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收入明细数据采集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B5C2BD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支持科室收入明细数据直接录入、EXCEL 导入，以及从其他系统接口自动采集数据等多种方式，并可以按多种条件查询，删除、导出、打印等功能。</w:t>
      </w:r>
    </w:p>
    <w:p w14:paraId="2A0A89A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收入明细汇总计算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150C95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对科室收入明细数据计算生成科室收入大类汇总数据。</w:t>
      </w:r>
    </w:p>
    <w:p w14:paraId="4349662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科室收入数据采集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1E1962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支持科室收入数据直接录入、EXCEL 导入，以及从其他系统接口自动采集数据等多种方式，并可以按多种条件查询，删除、导出、打印等功能。</w:t>
      </w:r>
    </w:p>
    <w:p w14:paraId="764A2CC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科室收入效益计算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6A4F3F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对开单、执行科室收入以“收入配比成本”原则进行归集汇总、计算与分摊转移，并形成计算步骤过程日志文件。</w:t>
      </w:r>
    </w:p>
    <w:p w14:paraId="512FEF3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成本与收入数据计算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6F922C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通过全费归集费用分摊方案、科室间接成 本分摊方案，结合科室信息数据，进行原 始成本、直接成本、间接成本进行归集汇总、计算与分摊；对开单、执行科室收入以“收入配比成本 ”原则进行归集汇总、 计算与分摊转移，并形成计算步骤过程日志文件。</w:t>
      </w:r>
    </w:p>
    <w:p w14:paraId="0EB88B5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成本与收入数据检查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8C6F21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对科室原始成本、直接成本、间接成本、 移转成本、全成本的计算过程数据查看校 验；对开单、执行科室全收全支、比例分 配的收入数据查看校验。</w:t>
      </w:r>
    </w:p>
    <w:p w14:paraId="6341E92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科室收入汇总表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29AF2C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科室收入汇总数据按月、季、年期间进行统计，支持导出、打印、图表等功能。</w:t>
      </w:r>
    </w:p>
    <w:p w14:paraId="3D60CC8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5934A3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科室效益汇总数据按月、季、年期间进行统计，支持导出、打印、图表等功能。</w:t>
      </w:r>
    </w:p>
    <w:p w14:paraId="3E92B41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D12975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科室效益明细数据按月、季、年期间进行 统计，支持导出、打印、图表等功能。</w:t>
      </w:r>
    </w:p>
    <w:p w14:paraId="6D45A48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数据采集与核算状态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3C67FE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成本、收入及信息数据采集与计算状态查看编辑。</w:t>
      </w:r>
    </w:p>
    <w:p w14:paraId="112684B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科室数据上报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DBD026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通过科室管理系统进行科室数据上报。</w:t>
      </w:r>
    </w:p>
    <w:p w14:paraId="2711A7D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院科全成本与效益核算国家指导报表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B60EA6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院科全成本与效益核算国家指导报表。包括但不限于医院科室直接成本表（医疗成本）、医院科室直接成本表（医疗全成本和医院全成本）、医院科室成本分摊汇总表；诊次成本报表：医院诊次成本构成表、医院科室诊次成本表；床日成本报表：医院床日成本构成表、医院科室床日成本表。</w:t>
      </w:r>
    </w:p>
    <w:p w14:paraId="000E331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通用接口管理</w:t>
      </w:r>
    </w:p>
    <w:p w14:paraId="3BCAA49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接口代码转换设置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819074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科室体系、成本项目、收入项目、信息项 目进行一对一或一对多进行接口转换对照。</w:t>
      </w:r>
    </w:p>
    <w:p w14:paraId="23390EC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财务系统数据接口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EF8B5E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财务系统数据接口采集方案配置及采集任务定义。</w:t>
      </w:r>
    </w:p>
    <w:p w14:paraId="0667D91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总务材料数据接口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900A76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总务材料数据接口采集方案配置及采集任务定义。</w:t>
      </w:r>
    </w:p>
    <w:p w14:paraId="0922853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设备折旧数据接口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C5D595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设备折旧数据接口采集方案配置及采集任务定义。</w:t>
      </w:r>
    </w:p>
    <w:p w14:paraId="74380CB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其他系统数据接口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54D446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其他系统数据接口采集方案配置及采集任务定义。</w:t>
      </w:r>
    </w:p>
    <w:p w14:paraId="20457DE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门诊收入数据接口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4FAFA8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HIS 门诊收入数据接口采集方案配置及采集任务定义。</w:t>
      </w:r>
    </w:p>
    <w:p w14:paraId="4B68F19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住院收入数据接口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408253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HIS 住院收入数据接口采集方案配置及采集任务定义。</w:t>
      </w:r>
    </w:p>
    <w:p w14:paraId="1787704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HIS 系统数据接口</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1EB962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HIS 系统数据接口采集方案配置及采集任务定义。</w:t>
      </w:r>
    </w:p>
    <w:p w14:paraId="05EC5D1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通用数据采集工具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7BD008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通用数据自动采集工具遵循接口开放的原则，实现与第三方系统无需修改程序的 情况下进行数据自定义采集，支持 HIS 住 院收入、药库药品领用、财务账务凭证、财务工资、总务物资、设备资产折旧、供应室、病案室等医院信息系统和成本、绩效核算软件有效的无缝对接，实现医院信 息系统数据互通互融、高度集成。</w:t>
      </w:r>
    </w:p>
    <w:p w14:paraId="08CABAA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EXCEL数据导入设置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46655B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EXCLE 数据导入参数属性进行设置。</w:t>
      </w:r>
    </w:p>
    <w:p w14:paraId="44F2C27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EXCEL数据导入工具</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01B348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院科成本、收入、信息等通用EXCLE数据导入工具。</w:t>
      </w:r>
    </w:p>
    <w:p w14:paraId="1EBB356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财务凭证数据采集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93D07F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通过专用财务凭证接口采集原始凭证数据。</w:t>
      </w:r>
    </w:p>
    <w:p w14:paraId="2567CBD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成本报表管理中心</w:t>
      </w:r>
    </w:p>
    <w:p w14:paraId="1A042F5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医院各科信息数据一览表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D9982A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医院各科信息数据按月、季、年期间进行统计分析，支持报表导出、打印、图表等功能。</w:t>
      </w:r>
    </w:p>
    <w:p w14:paraId="7535731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医院各科内部服务汇总表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E8E1FD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医院各科内部服务汇总数据按月、季、年期间进行统计分析，支持报表导出、打印、图表等功能。</w:t>
      </w:r>
    </w:p>
    <w:p w14:paraId="4D67473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全院费用分摊基准数据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E236B2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全院费用分摊基准、分摊对象及分摊数据浏览。</w:t>
      </w:r>
    </w:p>
    <w:p w14:paraId="7FD2D27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科室成本分摊基准数据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5E21A5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科室成本分摊基准、分摊对象及分摊数据浏览。</w:t>
      </w:r>
    </w:p>
    <w:p w14:paraId="5E1A65E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医院各科直接成本汇总表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5C371D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医院各科直接成本汇总数据按月、季、年期间进行统计分析，支持报表导出、打印、图表等功能。</w:t>
      </w:r>
    </w:p>
    <w:p w14:paraId="25F3C7D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医院各科直接成本明细表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446181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医院各科直接成本明细数据按月、季、年期间进行统计分析，支持报表导出、打印、图表等功能。</w:t>
      </w:r>
    </w:p>
    <w:p w14:paraId="6016D86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科室直接成本组成汇总表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77A0F5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科室直接成本组成汇总数据按月、季、年期间进行统计分析，支持报表导出、打印、图表等功能。</w:t>
      </w:r>
    </w:p>
    <w:p w14:paraId="50AC31F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科室直接成本组成明细表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9066A2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科室直接成本组成明细数据按月、季、年期间进行统计分析，支持报表导出、打印、图表等功能。</w:t>
      </w:r>
    </w:p>
    <w:p w14:paraId="06238A0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医院业务科室全成本汇总表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C72EE0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医院业务科室全成本汇总数据按月、季、年期间进行统计分析，支持报表导出、打印、图表等功能。</w:t>
      </w:r>
    </w:p>
    <w:p w14:paraId="002196C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医院业务科室成本明细表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3A2E24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医院业务科室全成本明细数据按月、季、年期间进行统计分析，支持报表导出、打印、图表等功能。</w:t>
      </w:r>
    </w:p>
    <w:p w14:paraId="3AD0AE2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科室全成本组成汇总表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2B5813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科室全成本组成汇总数据按月、季、年期间进行统计分析，支持报表导出、打印、图表等功能。</w:t>
      </w:r>
    </w:p>
    <w:p w14:paraId="382A97D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科室全成本组成明细表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50FAE9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科室全成本组成明细数据按月、季、年期间进行统计分析，支持报表导出、打印、图表等功能。</w:t>
      </w:r>
    </w:p>
    <w:p w14:paraId="55AA3D2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医院业务科室成本分类汇总表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EFA1BD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医院业务科室成本分类汇总数据按月、季、年期间进行统计分析，支持报表导出、打印、图表等功能。</w:t>
      </w:r>
    </w:p>
    <w:p w14:paraId="5C0B43A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科室成本摊入明细表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72E2B4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科室成本摊入明细数据按月、季、年期间进行统计，支持导出、打印、图表等功能。</w:t>
      </w:r>
    </w:p>
    <w:p w14:paraId="013E96E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科室成本摊出明细表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92F4B5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科室成本摊出明细数据按月、季、年期间 进行统计，支持导出、打印、图表等功能。</w:t>
      </w:r>
    </w:p>
    <w:p w14:paraId="066B4B3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自定义报表设置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D322C4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强大的数据报表管理中心，用户可以随时 按需自定义统计分析报表，使数据发挥其 最大价值与作用。系统自带十几大主题近 百张数据分析报表，支持按月、季、年度进行科室信息、成本、收入、结余，以及人均、诊次、床日等专项指标的基本数据统计报表分析，还可以自定义结构、排名、 趋势、对比、同比、累计等多种类型分析报表，并支持图表统计分析。</w:t>
      </w:r>
    </w:p>
    <w:p w14:paraId="68D9F78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自定义报表统计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CF9344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支持所有自定义报表快速统计。</w:t>
      </w:r>
    </w:p>
    <w:p w14:paraId="4F568F6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1.7.18.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报表打印中心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6C7806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支持所有自定义报表集中打印。</w:t>
      </w:r>
    </w:p>
    <w:p w14:paraId="6E9625D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效益报表管理中心</w:t>
      </w:r>
    </w:p>
    <w:p w14:paraId="11379AC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医院开单科室收入统计表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D3A8CB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医院开单科室收入数据按月、季、年期间进行统计分析，支持报表导出、打印、图表等功能。</w:t>
      </w:r>
    </w:p>
    <w:p w14:paraId="6A34B43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医院执行科室收入统计表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2F3D37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医院执行科室收入数据按月、季、年期间 进行统计分析，支持报表导出、打印、图表等功能。</w:t>
      </w:r>
    </w:p>
    <w:p w14:paraId="5F0367D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医院开单执行收入统计表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0B4BD5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医院开单执行收入数据按月、季、年期间 进行统计分析，支持报表导出、打印、图表等功能。</w:t>
      </w:r>
    </w:p>
    <w:p w14:paraId="50D08F9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新财务制度成本报表</w:t>
      </w:r>
    </w:p>
    <w:p w14:paraId="6C217DA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医院各科室直接成本表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BDE5BC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医院各科室直接成本数据（人员经费、卫 生材料费、药品费、固定资产折旧费、无 形资产折旧费、提取医疗风险基金、其他 费用）按月、季、年期间进行统计分析， 支持报表导出、打印、图表等功能。</w:t>
      </w:r>
    </w:p>
    <w:p w14:paraId="7C74326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医院临床服务类科室全成本表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0BF0B2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医院临床服务类科室全成本数据（直接+  间接：人员经费、卫生材料费、药品费、 固定资产折旧费、无形资产折旧费、提取 医疗风险基金、其他费用）按月、季、年 期间进行统计分析，支持报表导出、打印、 图表等功能。</w:t>
      </w:r>
    </w:p>
    <w:p w14:paraId="0C1B16A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医院临床服务类科室全成本构成分析表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640F5D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医院临床服务类科室全成本构成数据（全 成本及占比：人员经费、卫生材料费、药 品费、固定资产折旧费、无形资产折旧费、 提取医疗风险基金、其他费用；科室成本 合计、科室收入全计、科室结余、门诊均 次费用、住院占日均日费用）按月、季、 年期间进行统计分析，支持报表导出、打 印、图表等功能。</w:t>
      </w:r>
    </w:p>
    <w:p w14:paraId="0522EAA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医院各科效益收入汇总表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791DEF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医院各科效益收入汇总数据按月、季、年 期间进行统计分析，支持报表导出、打印、 图表等功能。</w:t>
      </w:r>
    </w:p>
    <w:p w14:paraId="2222933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临床科室效益收入汇总表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375E89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临床科室效益收入汇总数据按月、季、年 期间进行统计分析，支持报表导出、打印、 图表等功能。</w:t>
      </w:r>
    </w:p>
    <w:p w14:paraId="7D68B34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医技药品科室效益收入汇总表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4B1D2F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医技药品科室效益收入汇总数据按月、季、年期间进行统计分析，支持报表导出、 打印、图表等功能。</w:t>
      </w:r>
    </w:p>
    <w:p w14:paraId="24F79F2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科室效益收入组成明细表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AA18F4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科室效益收入组成明细数据按月、季、年 期间进行统计分析，支持报表导出、打印、 图表等功能。</w:t>
      </w:r>
    </w:p>
    <w:p w14:paraId="3303920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医院各科效益成本汇总表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B05151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医院各科效益成本汇总数据按月、季、年期间进行统计分析，支持报表导出、打印、 图表等功能。</w:t>
      </w:r>
    </w:p>
    <w:p w14:paraId="7D060BC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临床科室效益成本汇总表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BFFEDD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临床科室效益成本汇总数据按月、季、年 期间进行统计分析，支持报表导出、打印、 图表等功能。</w:t>
      </w:r>
    </w:p>
    <w:p w14:paraId="54547C2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医技药品科室效益成本汇总表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82C4B7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医技药品科室效益成本汇总数据按月、季、年期间进行统计分析，支持报表导出、 打印、图表等功能。</w:t>
      </w:r>
    </w:p>
    <w:p w14:paraId="6658303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科室效益成本组成明细表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03F280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科室效益成本组成明细数据按月、季、年 期间进行统计分析，支持报表导出、打印、 图表等功能。</w:t>
      </w:r>
    </w:p>
    <w:p w14:paraId="71EF007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科室转移成本摊入明细表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8F194F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科室转移成本摊入明细数据按月、季、年 期间进行统计，支持导出、打印、图表等功能。</w:t>
      </w:r>
    </w:p>
    <w:p w14:paraId="66EDC44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科室转移成本分摊明细表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A903A0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科室转移成本分摊明细数据按月、季、年 期间进行统计，支持导出、打印、图表等 功能。</w:t>
      </w:r>
    </w:p>
    <w:p w14:paraId="1A0DFA2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科室效益收入提取明细表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542701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科室效益收入提取明细数据按月、季、年 期间进行统计，支持导出、打印、图表等 功能。</w:t>
      </w:r>
    </w:p>
    <w:p w14:paraId="00D274C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医技科室成本未转移表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4D7A58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医技科室成本未转移数据按月、季、年期间进行统计，支持导出、打印、图表等功能。</w:t>
      </w:r>
    </w:p>
    <w:p w14:paraId="7FF609B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医院各科效益汇总表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CDF25A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医院各科效益汇总数据按月、季、年期间 进行统计分析，支持报表导出、打印、图表等功能。</w:t>
      </w:r>
    </w:p>
    <w:p w14:paraId="37B55A0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34AB16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临床科室效益汇总数据按月、季、年期间 进行统计分析，支持报表导出、打印、图 表等功能。</w:t>
      </w:r>
    </w:p>
    <w:p w14:paraId="2383A7F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医技药品科室效益汇总表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CD04EE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医技药品科室效益汇总数据按月、季、年 期间进行统计分析，支持报表导出、打印、 图表等功能。</w:t>
      </w:r>
    </w:p>
    <w:p w14:paraId="2E6FE46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1.9.19.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科室效益组成明细表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599761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科室效益组成明细数据按月、季、年期间 进行统计分析，支持报表导出、打印、图 表等功能。</w:t>
      </w:r>
    </w:p>
    <w:p w14:paraId="3B543F2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临床科室效益趋势分析表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A086DA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临床科室效益趋势分析数据按月、季、年 期间进行统计分析，支持报表导出、打印、 图表等功能。</w:t>
      </w:r>
    </w:p>
    <w:p w14:paraId="2062698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1.9.21.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临床科室人员盈利能力分析表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A76D75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临床科室人员盈利能力分析数据按月、季、年期间进行统计分析，支持报表导出、 打印、图表等功能。</w:t>
      </w:r>
    </w:p>
    <w:p w14:paraId="3C306ED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门诊科室诊次成本、收入、结余分析表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918EB2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门诊科室诊次成本、收入、结余分析数据按月、季、年期间进行统计分析，支持报 表导出、打印、图表等功能。</w:t>
      </w:r>
    </w:p>
    <w:p w14:paraId="3C02D23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1.9.23.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住院科室诊次成 本、收入、结余分析表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3489DD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住院科室诊次成本、收入、结余分析数据 按月、季、年期间进行统计分析，支持报 表导出、打印、图表等功能。</w:t>
      </w:r>
    </w:p>
    <w:p w14:paraId="23DD257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系统信息维护</w:t>
      </w:r>
    </w:p>
    <w:p w14:paraId="75F31B9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期末结账处理</w:t>
      </w:r>
    </w:p>
    <w:p w14:paraId="0A75ABF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期末结账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F5333B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完成本期成本与效益核算期末结账，对本 期数据进行封存，将信息项目数据、成本 分摊方案、效益核算方案数据自动转移到 下期，并切换到下一会计期间。</w:t>
      </w:r>
    </w:p>
    <w:p w14:paraId="15F3DF8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取消结账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7D3150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对已结账的会计期间进行取消结账处理， 回到最近结账会计期间，重新数据处理。 支持多次结账与反结账。</w:t>
      </w:r>
    </w:p>
    <w:p w14:paraId="07DACFB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系统参数设置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05E6F7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系统基本信息、公用系统参数、编码规则、 会计期间，以及成本核算、效益核算参数 等选项设置。</w:t>
      </w:r>
    </w:p>
    <w:p w14:paraId="71E75B4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数据库连接配置</w:t>
      </w:r>
    </w:p>
    <w:p w14:paraId="53A6C45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支持数据库连接配置。</w:t>
      </w:r>
    </w:p>
    <w:p w14:paraId="3FC6DA9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用户权限设置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ABD2B1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对系统管理员、操作核算员用户进行权限 设置。</w:t>
      </w:r>
    </w:p>
    <w:p w14:paraId="562B402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用户密码修改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4495C2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对用户密码进行修改。</w:t>
      </w:r>
    </w:p>
    <w:p w14:paraId="1D62312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操作用户切换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B04298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操作用户进行切换登入。</w:t>
      </w:r>
    </w:p>
    <w:p w14:paraId="49B974F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操作日志浏览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AC8CA3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系统具体操作日志查看。</w:t>
      </w:r>
    </w:p>
    <w:p w14:paraId="3401CF4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系统锁定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479E56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系统锁定，只有输入相应的密码才能解锁。</w:t>
      </w:r>
    </w:p>
    <w:p w14:paraId="1361AD7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退出系统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549091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关闭退出系统。</w:t>
      </w:r>
    </w:p>
    <w:p w14:paraId="7DEECD8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4EF4BA">
      <w:pPr>
        <w:pStyle w:val="260"/>
        <w:numPr>
          <w:ilvl w:val="0"/>
          <w:numId w:val="7"/>
        </w:numPr>
        <w:spacing w:after="0"/>
        <w:ind w:left="709"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医疗项目（作业）成本与效益核算管理系统</w:t>
      </w:r>
    </w:p>
    <w:p w14:paraId="690F713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系统设置</w:t>
      </w:r>
    </w:p>
    <w:p w14:paraId="107634A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作业单元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1CF9C7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作业科室核算单元维护、新增、保存、 导出 EXCLE。</w:t>
      </w:r>
    </w:p>
    <w:p w14:paraId="34B1CC2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作业库维护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3F2E9D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支持（一院多区）采用（作业）成 本法进行核算，支持作业库信息、科 室作业维护。对住院、门诊、医技等作业步骤字典 库进行维护。</w:t>
      </w:r>
    </w:p>
    <w:p w14:paraId="39018A8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B2BA04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院科全成本核算系统成本项目字典 维护，接口字典维护。</w:t>
      </w:r>
    </w:p>
    <w:p w14:paraId="23B091B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收入项目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7D3161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院科效益核算系统收入项目字典维 护，接口字典维护。</w:t>
      </w:r>
    </w:p>
    <w:p w14:paraId="0803267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项目核算成本项目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BE70F8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医疗项目作业成本核算的成本核算 项目字典维护。</w:t>
      </w:r>
    </w:p>
    <w:p w14:paraId="6A4B6A4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资源动因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A394DD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作业项目成本分摊动因进行维护。</w:t>
      </w:r>
    </w:p>
    <w:p w14:paraId="336CB48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分摊动因设置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C55B2E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核算科室所有成本核算分摊动因进 行设置。</w:t>
      </w:r>
    </w:p>
    <w:p w14:paraId="2EBDDD7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4E57D3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基础设置</w:t>
      </w:r>
    </w:p>
    <w:p w14:paraId="3300704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科室作业维护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2E1405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维护各个核算科室单元的作业步骤， 同类性质科室支持快速复制设置。</w:t>
      </w:r>
    </w:p>
    <w:p w14:paraId="066D576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科室项目作业维护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BBF5E3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维护各个核算单元的医疗服务项目 涉及的作业步骤。</w:t>
      </w:r>
    </w:p>
    <w:p w14:paraId="678F371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科室人员工时维护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C41E4B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按不同人员职称维护各个核算单元  的作业步骤的工时，以及医疗服务项 目作业步骤参与的人数与工时。</w:t>
      </w:r>
    </w:p>
    <w:p w14:paraId="06EF4AF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科室医疗材料维护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51CD34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维护各个核算单元的各个作业步骤 和医疗服务项目用到的医疗材料占 比及数量。</w:t>
      </w:r>
    </w:p>
    <w:p w14:paraId="5DE339C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科室总设备维护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12CEE2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维护各个核算单元的作业步骤用到 的总务设备办公资产。</w:t>
      </w:r>
    </w:p>
    <w:p w14:paraId="63B8F3A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科室总务材料维护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96760C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维护各个核算单元的作业步骤和医 疗服务项目用到的总务材料。</w:t>
      </w:r>
    </w:p>
    <w:p w14:paraId="1DF94ED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科室设备工时维护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05395E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维护各个核算单元的作业步骤和医疗服务项目涉及的设备和设备工作 时间。</w:t>
      </w:r>
    </w:p>
    <w:p w14:paraId="21AAB76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成本项目对照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D4AC74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对照作业成本核算系统的成本项目 字典和科室成本核算系统的成本项 目字典。</w:t>
      </w:r>
    </w:p>
    <w:p w14:paraId="28CAF2D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材料数据调整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CD3D17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材料数据领用科室手工调整（调整由 于库房系统出库不对导致的领用科  室不对等人为操作问题）</w:t>
      </w:r>
    </w:p>
    <w:p w14:paraId="3518940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设备数据调整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AF2E44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设备数据手工调整（调整由于固定资 产登记不对导致的固定资产科室归  属不对等人为操作问题）。</w:t>
      </w:r>
    </w:p>
    <w:p w14:paraId="232C193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项目标准材料设置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DD006E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医疗服务项目材料使用数量标准设 置。</w:t>
      </w:r>
    </w:p>
    <w:p w14:paraId="60A5C76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项目标准设备设置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2DF7B1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医疗服务项目设备工时标注设置。</w:t>
      </w:r>
    </w:p>
    <w:p w14:paraId="6281A51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手术材料包维护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2A7B36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手术室手术材料包维护。</w:t>
      </w:r>
    </w:p>
    <w:p w14:paraId="169B6CC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项目标准人数工时设置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3A83A9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项目标准人数工时设置。</w:t>
      </w:r>
    </w:p>
    <w:p w14:paraId="47DCDD8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导入定义维护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F2BEEC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对需要导入的系统内容进行分类，维 护导入定义。</w:t>
      </w:r>
    </w:p>
    <w:p w14:paraId="5374BEA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数据采集</w:t>
      </w:r>
    </w:p>
    <w:p w14:paraId="40C315D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院科全成本数据采集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72A892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自动采集院科全成本核算明细数据。</w:t>
      </w:r>
    </w:p>
    <w:p w14:paraId="55DCEDD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科室原始收入数据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79D4C4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科室原始收入数据采集、查询、修改 执行科室等功能。</w:t>
      </w:r>
    </w:p>
    <w:p w14:paraId="08847E0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科室物质材料数据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DE4003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科室物质材料数据导入采集、查询、 修改执行等功能。</w:t>
      </w:r>
    </w:p>
    <w:p w14:paraId="0EE98C9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科室设备折旧数据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0C21B7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科室设备折旧数据导入采集、查询、 修改执行等功能。</w:t>
      </w:r>
    </w:p>
    <w:p w14:paraId="21A4BC6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作业动因数据采集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7DCDE9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作业动因数据采集导入、增加、删除、 查询等功能。</w:t>
      </w:r>
    </w:p>
    <w:p w14:paraId="7F54F80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数据校验</w:t>
      </w:r>
    </w:p>
    <w:p w14:paraId="79BC6AA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项目作业设置校验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C546C6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校验各个核算单元各个医疗服务项 目作业步骤设置。</w:t>
      </w:r>
    </w:p>
    <w:p w14:paraId="5DCF55E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科室材料使用校验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61F586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校验各个核算单元各个医疗服务项 目材料使用设置。</w:t>
      </w:r>
    </w:p>
    <w:p w14:paraId="2B8E7CC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科室设备使用校验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45665D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校验各个核算单元各个医疗服务项 目材料使用设置。</w:t>
      </w:r>
    </w:p>
    <w:p w14:paraId="518CD63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手术项目使用校验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304082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校验各个核算单元各个医疗服务项 目材料使用设置。</w:t>
      </w:r>
    </w:p>
    <w:p w14:paraId="6CB89A4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成本核算</w:t>
      </w:r>
    </w:p>
    <w:p w14:paraId="010369C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会计期间管理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AFE35A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核算会计期间状态启用、结账、反结 账管理。</w:t>
      </w:r>
    </w:p>
    <w:p w14:paraId="055E697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自定义会计期间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200FF6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对核算的会计期间进行定义，支持按月或多月作为一个会计期。</w:t>
      </w:r>
    </w:p>
    <w:p w14:paraId="4B51FD7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数据计算状态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3756DD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对全院所有核算室科数据校验、状态 锁定、数据计算。</w:t>
      </w:r>
    </w:p>
    <w:p w14:paraId="5ABAF2A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统计分析</w:t>
      </w:r>
    </w:p>
    <w:p w14:paraId="50FC91A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作业成本库汇总表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46D172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统计查看各核算单元作业步骤成本 汇总数据。</w:t>
      </w:r>
    </w:p>
    <w:p w14:paraId="681DF85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服务项目成本汇总表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0CC7B1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统计查看各核算单元医疗服务项目 成本汇总数据。</w:t>
      </w:r>
    </w:p>
    <w:p w14:paraId="1F9B13A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服务项目均次成本表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B4C94A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统计查看各核算单元医疗服务项目 均次成本明细数据。</w:t>
      </w:r>
    </w:p>
    <w:p w14:paraId="63F0897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服务项目收支汇总表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DD755A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统计查看各核算单元服务项目收支汇总数据。</w:t>
      </w:r>
    </w:p>
    <w:p w14:paraId="68FEC2C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服务项目成本收益分析表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0846DC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统计查看各核算单元服务项目均次 收支数据。</w:t>
      </w:r>
    </w:p>
    <w:p w14:paraId="4374E27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服务项目成本明细表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6216B7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统计查看各核算单元服务项目成本 明细数据。</w:t>
      </w:r>
    </w:p>
    <w:p w14:paraId="7B2390F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作业成本摊入明细表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E7D0F2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统计查看具体某一医疗服务项目作 业成本摊入明细数据。</w:t>
      </w:r>
    </w:p>
    <w:p w14:paraId="3EBB004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作业成本摊出明细表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27070EC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统计查看具体某一科室单元医疗服 务项目作业成本摊出明细数据。</w:t>
      </w:r>
    </w:p>
    <w:p w14:paraId="54CE670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服务项目均次成本横向比较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D53014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统计查看具体医疗服务项目均次成本多科室横向比较数据。</w:t>
      </w:r>
    </w:p>
    <w:p w14:paraId="4465188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服务项目本量利分析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56A9FB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统计查看服务项目本量利数据分析。</w:t>
      </w:r>
    </w:p>
    <w:p w14:paraId="5381609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7D79C3">
      <w:pPr>
        <w:pStyle w:val="260"/>
        <w:numPr>
          <w:ilvl w:val="0"/>
          <w:numId w:val="7"/>
        </w:numPr>
        <w:spacing w:after="0"/>
        <w:ind w:left="709"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医院单病种（DRG）成本与效益核算管理系统</w:t>
      </w:r>
    </w:p>
    <w:p w14:paraId="66B4D85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 DRG ）成本 管理驾驶舱</w:t>
      </w:r>
    </w:p>
    <w:p w14:paraId="42DBC19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按会计期间统计全院或某具体临床科室单病种（DRG）成本与效益综合分析，通过柱形图、 饼图、折线图、雷达图、二八原则排名图等  图形进行直观的展现，对病种收入、病种成  本、病种医保支付、病种结余（收入-成本）、 病种差额（收入-医保）、单病损益（医保-  成本）、医疗收入、占比、药品收入、占比、 计价材料收入、占比、医疗成本、占比、药  品成本、占比、计价材料成本、占比、平均  住院天数、平均床日收入、平均床日成本、平均床日结余、主诊断名称、例数、治愈率 等数据进行综合统计分析。</w:t>
      </w:r>
    </w:p>
    <w:p w14:paraId="039F9F9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病人基本信息采集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DBA51D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采集导入病案首页患者信息数据，包括住院  号、姓名、性别、年龄、入院科室、出院科  室、主诊断、主手术、转科情况、住院天数、 出院状态等；同时采集 HIS 系统医疗明细费用、药品明细费用、材料明细费用等。</w:t>
      </w:r>
    </w:p>
    <w:p w14:paraId="0FE2E48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医疗项目成本采集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E66AC3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采集导入住院、门诊等临床科室的医疗项目 成本数据。数据来源于医疗项目（作业）成 本与效益核算管理系统数据。</w:t>
      </w:r>
    </w:p>
    <w:p w14:paraId="13E9C6A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病案首页信息查询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A75994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病案首页患者信息数据查询，包括住院号、 姓名、性别、年龄、入院科室、出院科室、 主诊断、主手术、转科情况、住院天数等。</w:t>
      </w:r>
    </w:p>
    <w:p w14:paraId="5C8618A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DRG 信息数据采集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F6B982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采集导入 DRG 考核信息数据，包括住院号、姓名、性别、年龄、入院科室、出院科室、主诊断、主手术、DRG 分组代码、DRG 分组名 称、RW 值等。</w:t>
      </w:r>
    </w:p>
    <w:p w14:paraId="7DB9DF5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 DRG ）综合数据分析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EB938F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支持单病种(DRG)数据分析驾驶舱，有柱形 图、拼图、趋势图、雷达图、排序图、XY 轴 坐标等图表分析展现。</w:t>
      </w:r>
    </w:p>
    <w:p w14:paraId="02CC007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会计期间数据计算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73B157F">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医院住院、门诊等临床科室数据汇总计算，启用、已计算、未计算、已结账等几个会计期间状态。</w:t>
      </w:r>
    </w:p>
    <w:p w14:paraId="60B4866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单病种（DRG）成本效益分析汇总表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895D38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主要包含病种收入、病种成本、病种医保支 付、病种结余、（收入-成本）、病种差额、（收入-医保）、单病损益、（医保-成本）等数据统计分析。</w:t>
      </w:r>
    </w:p>
    <w:p w14:paraId="76E1746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单病种（DRG）成本效益分析明细表1</w:t>
      </w:r>
    </w:p>
    <w:p w14:paraId="423C803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主要包含病种（DRG）出院主诊断名称、例数、 病种收入、病种成本、病种医保支付、病种  结余（收入-成本）、病种差额（收入-医保）、 单病损益（医保-成本）、医疗收入、 占比、 药品收入、占比、计价材料收入、 占比、医  疗成本、 占比、药品成本、 占比、计价材料  成本、占比、平均住院天数、平均床日收入、 平均床日成本、平均床日结余、治愈率等数  据统计分析。</w:t>
      </w:r>
    </w:p>
    <w:p w14:paraId="2610B41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单病种（DRG）成本效益分析 明细表2</w:t>
      </w:r>
    </w:p>
    <w:p w14:paraId="69D9FA4C">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主要包含病种（DRG）出院主诊断名称、主手 术名称、例数、病种收入、病种成本、病种  医保支付、病种结余（收入-成本）、病种差 额（收入-医保）、单病损益（医保-成本）、 医疗收入、占比、药品收入、 占比、计价材  料收入、占比、医疗成本、占比、药品成本、 占比、计价材料成本、占比、平均住院天数、 平均床日收入、平均床日成本、平均床日结  余、治愈率等数据统计分析。</w:t>
      </w:r>
    </w:p>
    <w:p w14:paraId="6A641FE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单病种（DRG）成本效益分析明细表3</w:t>
      </w:r>
    </w:p>
    <w:p w14:paraId="1E29E400">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 DRG）某一个患者的出院主 诊断名称、主手术名称、病种收入、病种成本、病种医保支付、病种结余（收入-成本）、 病种差额（收入-医保）、单病损益（医保-成本）、医疗收入、占比、药品收入、占比、 计价材料收入、占比、医疗成本、占比、药  品成本、占比、计价材料成本、占比、平均  住院天数、平均床日收入、平均床日成本、平均床日结余、治愈率等数据统计分析。</w:t>
      </w:r>
    </w:p>
    <w:p w14:paraId="481C951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单病种（DRG）成本效益分析明细表4</w:t>
      </w:r>
    </w:p>
    <w:p w14:paraId="0B914D7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主要包含病种（DRG）某一个患者病案号、姓 名、出院科室、收入大项、收入项目明细、数量、单价、金额、 占比、项目成本占比、 结余、 占比等明细数据统计分析。</w:t>
      </w:r>
    </w:p>
    <w:p w14:paraId="605545C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单病种（DRG）成本效益分析明细表5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426235E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主要包含病种（DRG）某一个患者病案号、姓 名、出院科室、收入大项、收入项目明细、数量、单价、金额、占比、项目成本占比、 结余、 占比等第一天的明细数据统计分析。</w:t>
      </w:r>
    </w:p>
    <w:p w14:paraId="4CBA1C7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单病种（DRG）临床路径成本效益分析表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AE289E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主要包含病种（ DRG）某一个患者病案号、姓名、出院科室、出院主诊断名称、主手术名称、病种收入、病种成本、病种医保支付、 病种结余（收入-成本）、病种差额（收入-  医保）、单病损益（医保-成本），以及临床 路径第一个阶段的主要诊疗工作、主要护理工作、重点医嘱、医疗项目明细、数量、单 价、金额、医疗项目成本、结余等数据统计 分析。</w:t>
      </w:r>
    </w:p>
    <w:p w14:paraId="7FD1FF4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基础信息字典</w:t>
      </w:r>
    </w:p>
    <w:p w14:paraId="363AE06B">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收费项目字典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0BC0478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 HIS 系统的医疗收入项目字典。</w:t>
      </w:r>
    </w:p>
    <w:p w14:paraId="6A84098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成本项目字典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666DC4C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同步院科全成本核算系统的成本项目字典。</w:t>
      </w:r>
    </w:p>
    <w:p w14:paraId="1C22C62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疾病诊断字典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D17D6E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同步病案统计系统的疾病诊断字典。</w:t>
      </w:r>
    </w:p>
    <w:p w14:paraId="169C198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手术信息字典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7D8B760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同步病案统计系统的手术信息字典。</w:t>
      </w:r>
    </w:p>
    <w:p w14:paraId="6A3CCB2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公用代码字典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394A8FE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公用代码信息字典维护。</w:t>
      </w:r>
    </w:p>
    <w:p w14:paraId="7C7E761D">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药品产地名称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A862C6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同步 HIS 系统的药品产地名称字典。</w:t>
      </w:r>
    </w:p>
    <w:p w14:paraId="28621441">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接口代码对照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55AFDB3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数据接口代码转换对照。</w:t>
      </w:r>
    </w:p>
    <w:p w14:paraId="567A2333">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9" w:name="OLE_LINK3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bookmarkEnd w:id="8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临床路径管理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p>
    <w:p w14:paraId="100C46B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标准临床路径信息维护。</w:t>
      </w:r>
    </w:p>
    <w:p w14:paraId="7B746C49">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960537">
      <w:pPr>
        <w:pStyle w:val="260"/>
        <w:numPr>
          <w:ilvl w:val="0"/>
          <w:numId w:val="7"/>
        </w:numPr>
        <w:spacing w:after="0"/>
        <w:ind w:left="709"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医院数智运营决策分析（ODR）管理系统功能清单</w:t>
      </w:r>
    </w:p>
    <w:p w14:paraId="7912F2D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《公立医院成本核算指导手册》6大类主题18张标准全成本报表</w:t>
      </w:r>
    </w:p>
    <w:p w14:paraId="41B40C7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成本报表：医院科室直接成本表（医疗成本）、医院科室直接成本表（医疗全成本和医院全成本）、医院临床服务类科室全成本表（医疗成本）、医院临床服务类科室全成本表（医疗全成本和医院全成本）、医院临床服务类科室全成本构成分析表、医院科室成本分摊汇总表；</w:t>
      </w:r>
    </w:p>
    <w:p w14:paraId="33502387">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诊次成本报表：医院诊次成本构成表、医院科室诊次成本表；</w:t>
      </w:r>
    </w:p>
    <w:p w14:paraId="246FBF25">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床日成本报表：医院床日成本构成表、医院科室床日成本表；</w:t>
      </w:r>
    </w:p>
    <w:p w14:paraId="6E04C4C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医疗服务项目成本报表：医院医疗服务项目成本汇总表、医院医疗服务项目成本明细表；</w:t>
      </w:r>
    </w:p>
    <w:p w14:paraId="47FD29E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病种成本报表：医院病种成本明细表、医院病种成本构成明细表、医院服务单元病种成本构成明细表；</w:t>
      </w:r>
    </w:p>
    <w:p w14:paraId="563D849E">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DRG成本报表：医院DRG成本明细表、医院DRG成本构成明细表、医院服务单元DRG成本构成明细表。</w:t>
      </w:r>
    </w:p>
    <w:p w14:paraId="11158B5A">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医院综合运营决策分析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支持一院多区、科室、诊次、床日、项目、病种、DRG的收支余、结构、对比、环比、定基比、同比、排名、累计、趋势以及图表丰富多样等综合运营决策分析数据报表及应用。</w:t>
      </w:r>
    </w:p>
    <w:p w14:paraId="028FA908">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科室、项目、病种DRG本量利分析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通过医院全成本核算，完成成本、收入、结余、固定成本、变动成本、工作量多个维度数据计算，生成科室、项目、病种DRG本量利数据图表分析。</w:t>
      </w:r>
    </w:p>
    <w:p w14:paraId="5C544742">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医院成本与绩效数据应用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通过医院全成本科学化、精细化、精准化核算，将成本数据应用到公立医院绩效考核、医院绩效管理、医院等级评审等智慧医院管理，实现医院健康可持续高质量发展。</w:t>
      </w:r>
    </w:p>
    <w:p w14:paraId="283EA764">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领导驾驶舱数智运营分析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医院全成本与效益核算运营管理决策分析大数据，以仪表盘、饼图、柱形图、趋势图、雷达图等丰富多样图表展现院区、科室、诊次、床日、项目、病种、DRG的收支余、结构、对比、环比、定基比、同比、排名、累计、趋势等综合数智运营决策领导驾驶舱。</w:t>
      </w:r>
    </w:p>
    <w:p w14:paraId="2C2B0566">
      <w:pPr>
        <w:spacing w:after="0"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医院AI数智运营分析智能体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根据医院全成本与效益核算运营管理决策分析大数据，封装相关控件、指标、函数等，基于结构化数据通过数智智能体管理系统自动生成文字、数据、图表组合的医院AI数智运营分析报告。</w:t>
      </w:r>
    </w:p>
    <w:p w14:paraId="427A8150">
      <w:pPr>
        <w:pStyle w:val="260"/>
        <w:numPr>
          <w:ilvl w:val="0"/>
          <w:numId w:val="7"/>
        </w:numPr>
        <w:spacing w:after="0"/>
        <w:ind w:left="709"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通用数据接口采集：</w:t>
      </w:r>
    </w:p>
    <w:p w14:paraId="0EB0A4EE">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财务凭证数据接口（医院、财政、科研）</w:t>
      </w:r>
    </w:p>
    <w:p w14:paraId="3748DE9D">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HIS门诊收入数据接口</w:t>
      </w:r>
    </w:p>
    <w:p w14:paraId="74D5BF5F">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HIS住院收入数据接口</w:t>
      </w:r>
    </w:p>
    <w:p w14:paraId="606CEB4E">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物资库科室领用接口</w:t>
      </w:r>
    </w:p>
    <w:p w14:paraId="1C2B730A">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SPD物资供应链接口</w:t>
      </w:r>
    </w:p>
    <w:p w14:paraId="4CCAD1FD">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设备固定资产折旧接口</w:t>
      </w:r>
    </w:p>
    <w:p w14:paraId="1FA2A5C5">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药库科室领用接口</w:t>
      </w:r>
    </w:p>
    <w:p w14:paraId="75A498E0">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供应室内部服务价接口</w:t>
      </w:r>
    </w:p>
    <w:p w14:paraId="48597696">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人力资源管理系统接口</w:t>
      </w:r>
    </w:p>
    <w:p w14:paraId="1645D50C">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职工考勤数据接口</w:t>
      </w:r>
    </w:p>
    <w:p w14:paraId="05DDA43F">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职工工资管理系统接口</w:t>
      </w:r>
    </w:p>
    <w:p w14:paraId="5D536F11">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医院绩效管理系统接口</w:t>
      </w:r>
    </w:p>
    <w:p w14:paraId="50BBE409">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门急诊人次接口</w:t>
      </w:r>
    </w:p>
    <w:p w14:paraId="250A024B">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实际占用床日数接口</w:t>
      </w:r>
    </w:p>
    <w:p w14:paraId="10F9CA7E">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入院病人数接口</w:t>
      </w:r>
    </w:p>
    <w:p w14:paraId="3476391C">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出院病人数接口</w:t>
      </w:r>
    </w:p>
    <w:p w14:paraId="2B8CC6D5">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病案信息数据接口</w:t>
      </w:r>
    </w:p>
    <w:p w14:paraId="6797ED08">
      <w:pPr>
        <w:pStyle w:val="260"/>
        <w:numPr>
          <w:ilvl w:val="0"/>
          <w:numId w:val="8"/>
        </w:numPr>
        <w:ind w:left="0" w:firstLine="426" w:firstLineChars="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手术麻醉数据接口</w:t>
      </w:r>
    </w:p>
    <w:p w14:paraId="6515C6FB">
      <w:pPr>
        <w:pStyle w:val="260"/>
        <w:numPr>
          <w:ilvl w:val="0"/>
          <w:numId w:val="8"/>
        </w:numPr>
        <w:ind w:left="0" w:firstLine="426"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体验系统数据接口</w:t>
      </w:r>
    </w:p>
    <w:p w14:paraId="143E3483">
      <w:pPr>
        <w:pStyle w:val="260"/>
        <w:numPr>
          <w:ilvl w:val="0"/>
          <w:numId w:val="8"/>
        </w:numPr>
        <w:ind w:left="0" w:firstLine="426" w:firstLineChars="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病种DRG管理系统接口</w:t>
      </w:r>
    </w:p>
    <w:p w14:paraId="4B759B92">
      <w:pPr>
        <w:spacing w:line="360" w:lineRule="auto"/>
        <w:ind w:left="420" w:leftChars="20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p w14:paraId="6D57C551">
      <w:pPr>
        <w:spacing w:line="360" w:lineRule="auto"/>
        <w:ind w:left="420" w:leftChars="200"/>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（六）项目实施要求</w:t>
      </w:r>
    </w:p>
    <w:p w14:paraId="6E8F2FF9">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1.投标人有责任检查安装现场是否符合产品安装条件。</w:t>
      </w:r>
    </w:p>
    <w:p w14:paraId="6C28AC66">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2.投标人应承担投标软件的安装、测试和有关配置工作，进行实际的测试。</w:t>
      </w:r>
    </w:p>
    <w:p w14:paraId="4E87D3A1">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3.投标人应全力与采购人、系统集成商（如有）及其他供应商（如有）配合，根据采购人的详细需求，提交实施方案得到采购人及集成商确认后实施，保证系统按时、正常地投入运行。</w:t>
      </w:r>
    </w:p>
    <w:p w14:paraId="22628EDE">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4.产品实施过程中，如果牵涉到与第三方产品集成工作，投标人应与集成商及其他供应商通力合作，并提供必要的技术支持。</w:t>
      </w:r>
    </w:p>
    <w:p w14:paraId="3FDA8E35">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5.投标人应在投标文件中提供本次项目实施的实施人员名单，以及整个实施工期的具体计划安排表。</w:t>
      </w:r>
    </w:p>
    <w:p w14:paraId="6555FB41">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6.项目实施及对接严格执行国家信息化软硬件工程的标准，保证项目质量，提供完整、准确、详细的产品内容，产品设计需符合国际、国家、行业有关标准、规范。</w:t>
      </w:r>
    </w:p>
    <w:p w14:paraId="4665DAB0">
      <w:p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★7.项目在试运行期内，用户需求仍有可能不断完善，投标人须承诺在采购需求和政策法规范围内，随着用户需求的变动随时作出响应。</w:t>
      </w:r>
    </w:p>
    <w:p w14:paraId="782B464D">
      <w:pPr>
        <w:numPr>
          <w:ilvl w:val="0"/>
          <w:numId w:val="0"/>
        </w:num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中标人提供的所有产品所涉及到的知识产权和所提供的软件、技术资料是合法取得，不会因为采购人的使用而被责令停止使用、追偿或者要求赔偿，如出现上述问题，一切经济损失和法律责任均由中标人承担。</w:t>
      </w:r>
    </w:p>
    <w:p w14:paraId="647D7030">
      <w:pPr>
        <w:numPr>
          <w:ilvl w:val="0"/>
          <w:numId w:val="0"/>
        </w:numPr>
        <w:spacing w:line="360" w:lineRule="auto"/>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★9.采购人有权监督和管理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项目的系统开发、性能测试、安装过程、性能调试、故障诊断和项目验收等各项工作，投标人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需无条件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接受并服从招标人的监督、管理要求。</w:t>
      </w:r>
    </w:p>
    <w:p w14:paraId="11DD5008">
      <w:pPr>
        <w:numPr>
          <w:ilvl w:val="0"/>
          <w:numId w:val="0"/>
        </w:numPr>
        <w:spacing w:line="360" w:lineRule="auto"/>
        <w:ind w:firstLine="420" w:firstLineChars="200"/>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3B8B712B">
      <w:pPr>
        <w:numPr>
          <w:ilvl w:val="0"/>
          <w:numId w:val="0"/>
        </w:num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二、商务需求</w:t>
      </w:r>
    </w:p>
    <w:tbl>
      <w:tblPr>
        <w:tblStyle w:val="64"/>
        <w:tblW w:w="4996"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821"/>
        <w:gridCol w:w="1487"/>
        <w:gridCol w:w="6916"/>
      </w:tblGrid>
      <w:tr w14:paraId="3829F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blHeader/>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C8A9A">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90" w:name="_Toc22578"/>
            <w:bookmarkStart w:id="91" w:name="_Toc2287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93743">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937A7E">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商务要求</w:t>
            </w:r>
          </w:p>
        </w:tc>
      </w:tr>
      <w:tr w14:paraId="11D1C3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D71DC">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485795">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项目工期</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1A26F">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个月内完成安装调试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试运行并通过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组织的验收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且达到验收合格</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1593EC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ADD39">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9621B1">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付款方式</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39612">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付款条件：</w:t>
            </w:r>
          </w:p>
          <w:p w14:paraId="39E47DC2">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合同生效且具备实施条件后7个工作日内，凭中标人开具的发票及预付款等额保函支付合同金额的30%作为预付款。中标人于合同签订前书面承诺放弃预付款或降低预付款支付比例的，可不适用本条款且具体支付方式由双方在合同中自行约定。</w:t>
            </w:r>
          </w:p>
          <w:p w14:paraId="3502467B">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②按照项目进度，</w:t>
            </w:r>
            <w:r>
              <w:rPr>
                <w:rFonts w:hint="eastAsia" w:ascii="宋体" w:hAnsi="宋体"/>
                <w:color w:val="000000" w:themeColor="text1"/>
                <w:highlight w:val="none"/>
                <w:lang w:val="en-US" w:eastAsia="zh-CN"/>
                <w14:textFill>
                  <w14:solidFill>
                    <w14:schemeClr w14:val="tx1"/>
                  </w14:solidFill>
                </w14:textFill>
              </w:rPr>
              <w:t>项目实施完成</w:t>
            </w:r>
            <w:r>
              <w:rPr>
                <w:rFonts w:hint="eastAsia" w:ascii="宋体" w:hAnsi="宋体"/>
                <w:color w:val="000000" w:themeColor="text1"/>
                <w:highlight w:val="none"/>
                <w14:textFill>
                  <w14:solidFill>
                    <w14:schemeClr w14:val="tx1"/>
                  </w14:solidFill>
                </w14:textFill>
              </w:rPr>
              <w:t>且收到中标人开具的发票后7个工作日内支付合同金额的50%。</w:t>
            </w:r>
          </w:p>
          <w:p w14:paraId="04C1E61E">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w:t>
            </w:r>
            <w:r>
              <w:rPr>
                <w:rFonts w:hint="eastAsia" w:ascii="宋体" w:hAnsi="宋体"/>
                <w:color w:val="000000" w:themeColor="text1"/>
                <w:highlight w:val="none"/>
                <w:lang w:val="en-US" w:eastAsia="zh-CN"/>
                <w14:textFill>
                  <w14:solidFill>
                    <w14:schemeClr w14:val="tx1"/>
                  </w14:solidFill>
                </w14:textFill>
              </w:rPr>
              <w:t>项目</w:t>
            </w:r>
            <w:r>
              <w:rPr>
                <w:rFonts w:hint="eastAsia" w:ascii="宋体" w:hAnsi="宋体"/>
                <w:color w:val="000000" w:themeColor="text1"/>
                <w:highlight w:val="none"/>
                <w14:textFill>
                  <w14:solidFill>
                    <w14:schemeClr w14:val="tx1"/>
                  </w14:solidFill>
                </w14:textFill>
              </w:rPr>
              <w:t>验收合格且收到中标人开具的发票后7个工作日内付清余款。</w:t>
            </w:r>
          </w:p>
          <w:p w14:paraId="19770529">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备注：本项目款项支付人为宁波市仑开投资有限公司，发票的购买方为宁波市仑开投资有限公司。</w:t>
            </w:r>
          </w:p>
        </w:tc>
      </w:tr>
      <w:tr w14:paraId="13F2CC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008257">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E098C8">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履约保证金</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223230">
            <w:pPr>
              <w:keepNext w:val="0"/>
              <w:keepLines w:val="0"/>
              <w:pageBreakBefore w:val="0"/>
              <w:widowControl w:val="0"/>
              <w:tabs>
                <w:tab w:val="left" w:pos="420"/>
              </w:tabs>
              <w:kinsoku/>
              <w:wordWrap/>
              <w:overflowPunct/>
              <w:topLinePunct w:val="0"/>
              <w:autoSpaceDE/>
              <w:autoSpaceDN/>
              <w:bidi w:val="0"/>
              <w:adjustRightInd w:val="0"/>
              <w:spacing w:line="336" w:lineRule="auto"/>
              <w:jc w:val="both"/>
              <w:textAlignment w:val="auto"/>
              <w:rPr>
                <w:rStyle w:val="967"/>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Style w:val="967"/>
                <w:rFonts w:hint="eastAsia" w:ascii="宋体" w:hAnsi="宋体" w:eastAsia="宋体" w:cs="宋体"/>
                <w:color w:val="000000" w:themeColor="text1"/>
                <w:kern w:val="2"/>
                <w:sz w:val="21"/>
                <w:szCs w:val="21"/>
                <w:highlight w:val="none"/>
                <w:lang w:val="en-US" w:eastAsia="zh-CN"/>
                <w14:textFill>
                  <w14:solidFill>
                    <w14:schemeClr w14:val="tx1"/>
                  </w14:solidFill>
                </w14:textFill>
              </w:rPr>
              <w:t>不适用。</w:t>
            </w:r>
          </w:p>
        </w:tc>
      </w:tr>
      <w:tr w14:paraId="3D6204D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1"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58AB5C">
            <w:pPr>
              <w:keepNext w:val="0"/>
              <w:keepLines w:val="0"/>
              <w:pageBreakBefore w:val="0"/>
              <w:widowControl w:val="0"/>
              <w:tabs>
                <w:tab w:val="left" w:pos="420"/>
              </w:tabs>
              <w:kinsoku/>
              <w:wordWrap/>
              <w:overflowPunct/>
              <w:topLinePunct w:val="0"/>
              <w:autoSpaceDE/>
              <w:autoSpaceDN/>
              <w:bidi w:val="0"/>
              <w:adjustRightInd w:val="0"/>
              <w:spacing w:line="336" w:lineRule="auto"/>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7403D1">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免费运维期</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D05C07">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1）自项目终验合格之日起至少1年。免费运维期内提供同版本软件免费修改与免费升级服务。</w:t>
            </w:r>
          </w:p>
          <w:p w14:paraId="4236FEC1">
            <w:pPr>
              <w:pStyle w:val="969"/>
              <w:keepNext w:val="0"/>
              <w:keepLines w:val="0"/>
              <w:pageBreakBefore w:val="0"/>
              <w:widowControl w:val="0"/>
              <w:kinsoku/>
              <w:wordWrap/>
              <w:overflowPunct/>
              <w:topLinePunct w:val="0"/>
              <w:autoSpaceDE/>
              <w:autoSpaceDN/>
              <w:bidi w:val="0"/>
              <w:adjustRightInd w:val="0"/>
              <w:spacing w:line="336" w:lineRule="auto"/>
              <w:textAlignment w:val="auto"/>
              <w:rPr>
                <w:rStyle w:val="967"/>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default" w:ascii="宋体" w:hAnsi="宋体" w:cs="宋体"/>
                <w:color w:val="000000" w:themeColor="text1"/>
                <w:sz w:val="21"/>
                <w:szCs w:val="21"/>
                <w:highlight w:val="none"/>
                <w:lang w:val="en-US" w:eastAsia="zh-CN"/>
                <w14:textFill>
                  <w14:solidFill>
                    <w14:schemeClr w14:val="tx1"/>
                  </w14:solidFill>
                </w14:textFill>
              </w:rPr>
              <w:t>免费质保期结束后，中标人需按售后服务要求中的内容保质保量开展运维服务，并对质保期外的维保费（含适应性、改正性维护等）按年进行报价，运维费不得高于中标价的7%，否则作无效标处理</w:t>
            </w:r>
            <w:r>
              <w:rPr>
                <w:rFonts w:hint="default" w:ascii="宋体" w:hAnsi="宋体" w:cs="宋体"/>
                <w:b/>
                <w:bCs/>
                <w:color w:val="000000" w:themeColor="text1"/>
                <w:sz w:val="21"/>
                <w:szCs w:val="21"/>
                <w:highlight w:val="none"/>
                <w:lang w:val="en-US" w:eastAsia="zh-CN"/>
                <w14:textFill>
                  <w14:solidFill>
                    <w14:schemeClr w14:val="tx1"/>
                  </w14:solidFill>
                </w14:textFill>
              </w:rPr>
              <w:t>（在投标文件中对本项目质保期结束后的运维费进行报价，格式自拟，未提供的作无效标处理）</w:t>
            </w:r>
            <w:r>
              <w:rPr>
                <w:rFonts w:hint="default" w:ascii="宋体" w:hAnsi="宋体" w:cs="宋体"/>
                <w:color w:val="000000" w:themeColor="text1"/>
                <w:sz w:val="21"/>
                <w:szCs w:val="21"/>
                <w:highlight w:val="none"/>
                <w:lang w:val="en-US" w:eastAsia="zh-CN"/>
                <w14:textFill>
                  <w14:solidFill>
                    <w14:schemeClr w14:val="tx1"/>
                  </w14:solidFill>
                </w14:textFill>
              </w:rPr>
              <w:t>。</w:t>
            </w:r>
          </w:p>
        </w:tc>
      </w:tr>
      <w:tr w14:paraId="066B31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90C639">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5</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27E7ED">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Style w:val="967"/>
                <w:rFonts w:hint="eastAsia" w:ascii="宋体" w:hAnsi="宋体" w:eastAsia="宋体" w:cs="宋体"/>
                <w:color w:val="000000" w:themeColor="text1"/>
                <w:sz w:val="21"/>
                <w:szCs w:val="21"/>
                <w:highlight w:val="none"/>
                <w14:textFill>
                  <w14:solidFill>
                    <w14:schemeClr w14:val="tx1"/>
                  </w14:solidFill>
                </w14:textFill>
              </w:rPr>
              <w:t>技术支持要求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C4454">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免费</w:t>
            </w:r>
            <w:r>
              <w:rPr>
                <w:rFonts w:hint="eastAsia" w:ascii="宋体" w:hAnsi="宋体" w:eastAsia="宋体" w:cs="宋体"/>
                <w:color w:val="000000" w:themeColor="text1"/>
                <w:sz w:val="21"/>
                <w:szCs w:val="21"/>
                <w:highlight w:val="none"/>
                <w14:textFill>
                  <w14:solidFill>
                    <w14:schemeClr w14:val="tx1"/>
                  </w14:solidFill>
                </w14:textFill>
              </w:rPr>
              <w:t>运维期</w:t>
            </w:r>
            <w:r>
              <w:rPr>
                <w:rFonts w:hint="eastAsia" w:ascii="宋体" w:hAnsi="宋体" w:eastAsia="宋体" w:cs="宋体"/>
                <w:color w:val="000000" w:themeColor="text1"/>
                <w:sz w:val="21"/>
                <w:szCs w:val="21"/>
                <w:highlight w:val="none"/>
                <w:lang w:val="zh-CN"/>
                <w14:textFill>
                  <w14:solidFill>
                    <w14:schemeClr w14:val="tx1"/>
                  </w14:solidFill>
                </w14:textFill>
              </w:rPr>
              <w:t>内需要按照用户需求进行完善修改或者政策性修改，相关修改免费。</w:t>
            </w:r>
          </w:p>
          <w:p w14:paraId="1738C7EA">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投标人应在投标</w:t>
            </w:r>
            <w:r>
              <w:rPr>
                <w:rFonts w:hint="eastAsia" w:ascii="宋体" w:hAnsi="宋体" w:cs="宋体"/>
                <w:color w:val="000000" w:themeColor="text1"/>
                <w:sz w:val="21"/>
                <w:szCs w:val="21"/>
                <w:highlight w:val="none"/>
                <w:lang w:val="en-US"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中详细列出服务项目清单，对每项服务，需明确服务提供方名称、服务内容、服务方式、服务人员技术要求以及服务响应时间等。</w:t>
            </w:r>
          </w:p>
          <w:p w14:paraId="4A25F5D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.由于本项目信息系统的特殊性，因此，在接到系统故障通知后，投标人应在30分钟内响应。对于影响系统正常运行的严重故障（包括由系统原因引起的），投标人的相关技术人员在接到故障通知后</w:t>
            </w: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小时内赶到现场，查找原因，提出解决方案，并工作直至故障修妥完全恢复正常工作为止，一般要求保证系统在24小时之内修复，并需要提供确保承诺实现的措施。</w:t>
            </w:r>
          </w:p>
          <w:p w14:paraId="61CEC4C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.软件实施期间需专人定点进行实施，质保期间内也需专人定期或不定期参加日常维护工作。</w:t>
            </w:r>
          </w:p>
        </w:tc>
      </w:tr>
      <w:tr w14:paraId="776CAA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CB56B">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6</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5DC112">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验收要求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5C89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项目的验收包括初步验收、试运行和终验。</w:t>
            </w:r>
          </w:p>
          <w:p w14:paraId="0F3DDCF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1）项目初验</w:t>
            </w:r>
          </w:p>
          <w:p w14:paraId="0380F5DF">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人成立项目验收委员会，由项目验收委员会组织项目初验，根据项目验收标准进行验收。项目初验前，中标人应首先对系统进行自测，并将系统自测报告提交项目验收委员会和监理方审查。中标人依本合同约定向甲方提交成果及相关文档，并向采购人提出初验申请。采购人接到中标人初验申请后，由项目验收委员会进行初验，初验合格后联合签署初验报告。</w:t>
            </w:r>
          </w:p>
          <w:p w14:paraId="1EA308D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2）试运行</w:t>
            </w:r>
          </w:p>
          <w:p w14:paraId="4E822B0A">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初验合格之日起，系统进入试运行，试运行时间为1个月。</w:t>
            </w:r>
          </w:p>
          <w:p w14:paraId="5E395ADE">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3）终验</w:t>
            </w:r>
          </w:p>
          <w:p w14:paraId="1841810D">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系统通过试运行后，中标人向采购人提出竣工验收申请，采购人提请区相关部门组织对本项目竣工验收。系统验收通过，进入正式运行阶段。</w:t>
            </w:r>
          </w:p>
        </w:tc>
      </w:tr>
      <w:tr w14:paraId="3AC43B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C19619">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A4EDC">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运维团队要求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8EB3F">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投标人需建立售后服务机构以及提供专业化的技术服务团队，包括但不限于售后服务工程师。在项目</w:t>
            </w:r>
            <w:r>
              <w:rPr>
                <w:rStyle w:val="967"/>
                <w:rFonts w:hint="eastAsia" w:ascii="宋体" w:hAnsi="宋体" w:cs="宋体"/>
                <w:color w:val="000000" w:themeColor="text1"/>
                <w:sz w:val="21"/>
                <w:szCs w:val="21"/>
                <w:highlight w:val="none"/>
                <w:lang w:val="en-US" w:eastAsia="zh-CN"/>
                <w14:textFill>
                  <w14:solidFill>
                    <w14:schemeClr w14:val="tx1"/>
                  </w14:solidFill>
                </w14:textFill>
              </w:rPr>
              <w:t>免费运维期</w:t>
            </w:r>
            <w:r>
              <w:rPr>
                <w:rFonts w:hint="eastAsia" w:ascii="宋体" w:hAnsi="宋体" w:cs="宋体"/>
                <w:color w:val="000000" w:themeColor="text1"/>
                <w:sz w:val="21"/>
                <w:szCs w:val="21"/>
                <w:highlight w:val="none"/>
                <w:lang w:val="en-US" w:eastAsia="zh-CN"/>
                <w14:textFill>
                  <w14:solidFill>
                    <w14:schemeClr w14:val="tx1"/>
                  </w14:solidFill>
                </w14:textFill>
              </w:rPr>
              <w:t>内提供快速、及时的故障排除、技术咨询等服务。</w:t>
            </w:r>
          </w:p>
        </w:tc>
      </w:tr>
      <w:tr w14:paraId="3FC7C6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74A640">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75A2E">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培训要求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3B1612">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1）中标人应为采购人提供系统使用、系统操作和管理维护培训，培训形式包括客户现场培训、课堂培训；投标文件中列明相应的培训课程。</w:t>
            </w:r>
          </w:p>
          <w:p w14:paraId="68071583">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2）投标人应在投标文件中提供详细的培训计划，包括培训项目、人数、地点、日程、资料、其他等详细内容，为所有被培训人员提供培训用文字资料和讲义等相关用品。</w:t>
            </w:r>
          </w:p>
          <w:p w14:paraId="222FBFA3">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3）技术培训的内容应包含软件的日常操作和管理维护，以及基本的故障诊断与排错。</w:t>
            </w:r>
          </w:p>
          <w:p w14:paraId="1FB994A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4）培训工作在合同生效之后系统试运行之前完成。</w:t>
            </w:r>
          </w:p>
          <w:p w14:paraId="2F7A6D5C">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5）所有培训费用（含培训教材费），已包括在投标总价中。</w:t>
            </w:r>
          </w:p>
          <w:p w14:paraId="703AECF8">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6）实际培训时间、人数和地点按中标人与项目采购人商定的为准。要求培训内容需要覆盖本项目系统涉及的所有科室，确保每个用户能熟练使用本系统。</w:t>
            </w:r>
          </w:p>
        </w:tc>
      </w:tr>
      <w:tr w14:paraId="13B6B5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6F7AF">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DA595C">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cs="宋体"/>
                <w:color w:val="000000" w:themeColor="text1"/>
                <w:sz w:val="21"/>
                <w:szCs w:val="21"/>
                <w:highlight w:val="none"/>
                <w:lang w:val="en-US" w:eastAsia="zh-CN"/>
                <w14:textFill>
                  <w14:solidFill>
                    <w14:schemeClr w14:val="tx1"/>
                  </w14:solidFill>
                </w14:textFill>
              </w:rPr>
              <w:t>保密要求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C76B39">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对服务的过程数据和结果数据严格保密，未经授权不得泄露给任何单位和个人，不得利用此数据进行任何侵害招标人的行为，否则宁波市北仑区人民医院有权追究投标方的责任。</w:t>
            </w:r>
          </w:p>
        </w:tc>
      </w:tr>
      <w:tr w14:paraId="6BC0B1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1F0AF">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80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D98B93">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t>文档要求</w:t>
            </w:r>
          </w:p>
        </w:tc>
        <w:tc>
          <w:tcPr>
            <w:tcW w:w="374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A8EDC5">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在项目建设过程中的所有文档，投标人应整理并归纳，项目验收合格后移交给采购人。</w:t>
            </w:r>
          </w:p>
        </w:tc>
      </w:tr>
      <w:tr w14:paraId="129B92B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C123D9">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30612">
            <w:pPr>
              <w:pStyle w:val="969"/>
              <w:keepNext w:val="0"/>
              <w:keepLines w:val="0"/>
              <w:pageBreakBefore w:val="0"/>
              <w:widowControl w:val="0"/>
              <w:kinsoku/>
              <w:wordWrap/>
              <w:overflowPunct/>
              <w:topLinePunct w:val="0"/>
              <w:autoSpaceDE/>
              <w:autoSpaceDN/>
              <w:bidi w:val="0"/>
              <w:adjustRightInd w:val="0"/>
              <w:spacing w:line="336" w:lineRule="auto"/>
              <w:jc w:val="center"/>
              <w:textAlignment w:val="auto"/>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967"/>
                <w:rFonts w:hint="eastAsia" w:ascii="宋体" w:hAnsi="宋体" w:eastAsia="宋体" w:cs="宋体"/>
                <w:color w:val="000000" w:themeColor="text1"/>
                <w:sz w:val="21"/>
                <w:szCs w:val="21"/>
                <w:highlight w:val="none"/>
                <w:lang w:val="en-US" w:eastAsia="zh-CN"/>
                <w14:textFill>
                  <w14:solidFill>
                    <w14:schemeClr w14:val="tx1"/>
                  </w14:solidFill>
                </w14:textFill>
              </w:rPr>
              <w:t>软件版权要求</w:t>
            </w:r>
          </w:p>
        </w:tc>
        <w:tc>
          <w:tcPr>
            <w:tcW w:w="69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906597">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投标人承诺提供给采购人的急危重病一体化系统软件，拥有本系统相关软件著作权；若涉及使用第三方软件，应确保本系统中所使用的第三方软件应具备正版授权。</w:t>
            </w:r>
          </w:p>
          <w:p w14:paraId="2FC27CE4">
            <w:pPr>
              <w:pStyle w:val="969"/>
              <w:keepNext w:val="0"/>
              <w:keepLines w:val="0"/>
              <w:pageBreakBefore w:val="0"/>
              <w:widowControl w:val="0"/>
              <w:kinsoku/>
              <w:wordWrap/>
              <w:overflowPunct/>
              <w:topLinePunct w:val="0"/>
              <w:autoSpaceDE/>
              <w:autoSpaceDN/>
              <w:bidi w:val="0"/>
              <w:adjustRightInd w:val="0"/>
              <w:spacing w:line="336"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本系统根据采购人需求涉及定制开发的功能在开发完成后，中标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val="zh-CN" w:eastAsia="zh-CN"/>
                <w14:textFill>
                  <w14:solidFill>
                    <w14:schemeClr w14:val="tx1"/>
                  </w14:solidFill>
                </w14:textFill>
              </w:rPr>
              <w:t>需要向采购人提供定制开发部分的源代码。</w:t>
            </w:r>
          </w:p>
        </w:tc>
      </w:tr>
    </w:tbl>
    <w:p w14:paraId="1A87EBB3">
      <w:pP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br w:type="page"/>
      </w:r>
    </w:p>
    <w:p w14:paraId="79F97A32">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 xml:space="preserve">第四部分   </w:t>
      </w:r>
      <w:bookmarkStart w:id="92" w:name="_Toc184314452"/>
      <w:bookmarkEnd w:id="92"/>
      <w:bookmarkStart w:id="93" w:name="_Toc184314450"/>
      <w:bookmarkEnd w:id="93"/>
      <w:bookmarkStart w:id="94" w:name="_Toc184313304"/>
      <w:bookmarkEnd w:id="94"/>
      <w:bookmarkStart w:id="95" w:name="_Toc184310311"/>
      <w:bookmarkEnd w:id="95"/>
      <w:bookmarkStart w:id="96" w:name="_Toc184312071"/>
      <w:bookmarkEnd w:id="96"/>
      <w:bookmarkStart w:id="97" w:name="_Toc184314449"/>
      <w:bookmarkEnd w:id="97"/>
      <w:bookmarkStart w:id="98" w:name="_Toc184308061"/>
      <w:bookmarkEnd w:id="98"/>
      <w:bookmarkStart w:id="99" w:name="_Toc184312067"/>
      <w:bookmarkEnd w:id="99"/>
      <w:bookmarkStart w:id="100" w:name="_Toc184310288"/>
      <w:bookmarkEnd w:id="100"/>
      <w:bookmarkStart w:id="101" w:name="_Toc184314447"/>
      <w:bookmarkEnd w:id="101"/>
      <w:bookmarkStart w:id="102" w:name="_Toc184313248"/>
      <w:bookmarkEnd w:id="102"/>
      <w:bookmarkStart w:id="103" w:name="_Toc184310333"/>
      <w:bookmarkEnd w:id="103"/>
      <w:bookmarkStart w:id="104" w:name="_Toc184308060"/>
      <w:bookmarkEnd w:id="104"/>
      <w:bookmarkStart w:id="105" w:name="_Toc184308067"/>
      <w:bookmarkEnd w:id="105"/>
      <w:bookmarkStart w:id="106" w:name="_Toc184312117"/>
      <w:bookmarkEnd w:id="106"/>
      <w:bookmarkStart w:id="107" w:name="_Toc184312086"/>
      <w:bookmarkEnd w:id="107"/>
      <w:bookmarkStart w:id="108" w:name="_Toc184313277"/>
      <w:bookmarkEnd w:id="108"/>
      <w:bookmarkStart w:id="109" w:name="_Toc184313281"/>
      <w:bookmarkEnd w:id="109"/>
      <w:bookmarkStart w:id="110" w:name="_Toc184313256"/>
      <w:bookmarkEnd w:id="110"/>
      <w:bookmarkStart w:id="111" w:name="_Toc184313275"/>
      <w:bookmarkEnd w:id="111"/>
      <w:bookmarkStart w:id="112" w:name="_Toc184313269"/>
      <w:bookmarkEnd w:id="112"/>
      <w:bookmarkStart w:id="113" w:name="_Toc184312080"/>
      <w:bookmarkEnd w:id="113"/>
      <w:bookmarkStart w:id="114" w:name="_Toc184308093"/>
      <w:bookmarkEnd w:id="114"/>
      <w:bookmarkStart w:id="115" w:name="_Toc184312130"/>
      <w:bookmarkEnd w:id="115"/>
      <w:bookmarkStart w:id="116" w:name="_Toc184314477"/>
      <w:bookmarkEnd w:id="116"/>
      <w:bookmarkStart w:id="117" w:name="_Toc184314428"/>
      <w:bookmarkEnd w:id="117"/>
      <w:bookmarkStart w:id="118" w:name="_Toc184312135"/>
      <w:bookmarkEnd w:id="118"/>
      <w:bookmarkStart w:id="119" w:name="_Toc184314446"/>
      <w:bookmarkEnd w:id="119"/>
      <w:bookmarkStart w:id="120" w:name="_Toc184314432"/>
      <w:bookmarkEnd w:id="120"/>
      <w:bookmarkStart w:id="121" w:name="_Toc184310343"/>
      <w:bookmarkEnd w:id="121"/>
      <w:bookmarkStart w:id="122" w:name="_Toc184310320"/>
      <w:bookmarkEnd w:id="122"/>
      <w:bookmarkStart w:id="123" w:name="_Toc184310291"/>
      <w:bookmarkEnd w:id="123"/>
      <w:bookmarkStart w:id="124" w:name="_Toc184312100"/>
      <w:bookmarkEnd w:id="124"/>
      <w:bookmarkStart w:id="125" w:name="_Toc184308041"/>
      <w:bookmarkEnd w:id="125"/>
      <w:bookmarkStart w:id="126" w:name="_Toc184312133"/>
      <w:bookmarkEnd w:id="126"/>
      <w:bookmarkStart w:id="127" w:name="_Toc184313252"/>
      <w:bookmarkEnd w:id="127"/>
      <w:bookmarkStart w:id="128" w:name="_Toc184314412"/>
      <w:bookmarkEnd w:id="128"/>
      <w:bookmarkStart w:id="129" w:name="_Toc184312125"/>
      <w:bookmarkEnd w:id="129"/>
      <w:bookmarkStart w:id="130" w:name="_Toc184310331"/>
      <w:bookmarkEnd w:id="130"/>
      <w:bookmarkStart w:id="131" w:name="_Toc184313241"/>
      <w:bookmarkEnd w:id="131"/>
      <w:bookmarkStart w:id="132" w:name="_Toc184313243"/>
      <w:bookmarkEnd w:id="132"/>
      <w:bookmarkStart w:id="133" w:name="_Toc184312106"/>
      <w:bookmarkEnd w:id="133"/>
      <w:bookmarkStart w:id="134" w:name="_Toc184312126"/>
      <w:bookmarkEnd w:id="134"/>
      <w:bookmarkStart w:id="135" w:name="_Toc184313250"/>
      <w:bookmarkEnd w:id="135"/>
      <w:bookmarkStart w:id="136" w:name="_Toc184312131"/>
      <w:bookmarkEnd w:id="136"/>
      <w:bookmarkStart w:id="137" w:name="_Toc184308080"/>
      <w:bookmarkEnd w:id="137"/>
      <w:bookmarkStart w:id="138" w:name="_Toc184312070"/>
      <w:bookmarkEnd w:id="138"/>
      <w:bookmarkStart w:id="139" w:name="_Toc184312097"/>
      <w:bookmarkEnd w:id="139"/>
      <w:bookmarkStart w:id="140" w:name="_Toc184312110"/>
      <w:bookmarkEnd w:id="140"/>
      <w:bookmarkStart w:id="141" w:name="_Toc184310304"/>
      <w:bookmarkEnd w:id="141"/>
      <w:bookmarkStart w:id="142" w:name="_Toc184308050"/>
      <w:bookmarkEnd w:id="142"/>
      <w:bookmarkStart w:id="143" w:name="_Toc184312087"/>
      <w:bookmarkEnd w:id="143"/>
      <w:bookmarkStart w:id="144" w:name="_Toc184308097"/>
      <w:bookmarkEnd w:id="144"/>
      <w:bookmarkStart w:id="145" w:name="_Toc184314441"/>
      <w:bookmarkEnd w:id="145"/>
      <w:bookmarkStart w:id="146" w:name="_Toc184314475"/>
      <w:bookmarkEnd w:id="146"/>
      <w:bookmarkStart w:id="147" w:name="_Toc184314462"/>
      <w:bookmarkEnd w:id="147"/>
      <w:bookmarkStart w:id="148" w:name="_Toc184310313"/>
      <w:bookmarkEnd w:id="148"/>
      <w:bookmarkStart w:id="149" w:name="_Toc184312108"/>
      <w:bookmarkEnd w:id="149"/>
      <w:bookmarkStart w:id="150" w:name="_Toc184314436"/>
      <w:bookmarkEnd w:id="150"/>
      <w:bookmarkStart w:id="151" w:name="_Toc184308102"/>
      <w:bookmarkEnd w:id="151"/>
      <w:bookmarkStart w:id="152" w:name="_Toc184313286"/>
      <w:bookmarkEnd w:id="152"/>
      <w:bookmarkStart w:id="153" w:name="_Toc184308064"/>
      <w:bookmarkEnd w:id="153"/>
      <w:bookmarkStart w:id="154" w:name="_Toc184310342"/>
      <w:bookmarkEnd w:id="154"/>
      <w:bookmarkStart w:id="155" w:name="_Toc184310326"/>
      <w:bookmarkEnd w:id="155"/>
      <w:bookmarkStart w:id="156" w:name="_Toc184312077"/>
      <w:bookmarkEnd w:id="156"/>
      <w:bookmarkStart w:id="157" w:name="_Toc184312102"/>
      <w:bookmarkEnd w:id="157"/>
      <w:bookmarkStart w:id="158" w:name="_Toc184313300"/>
      <w:bookmarkEnd w:id="158"/>
      <w:bookmarkStart w:id="159" w:name="_Toc184310329"/>
      <w:bookmarkEnd w:id="159"/>
      <w:bookmarkStart w:id="160" w:name="_Toc184313293"/>
      <w:bookmarkEnd w:id="160"/>
      <w:bookmarkStart w:id="161" w:name="_Toc184312090"/>
      <w:bookmarkEnd w:id="161"/>
      <w:bookmarkStart w:id="162" w:name="_Toc184310295"/>
      <w:bookmarkEnd w:id="162"/>
      <w:bookmarkStart w:id="163" w:name="_Toc184314417"/>
      <w:bookmarkEnd w:id="163"/>
      <w:bookmarkStart w:id="164" w:name="_Toc184308036"/>
      <w:bookmarkEnd w:id="164"/>
      <w:bookmarkStart w:id="165" w:name="_Toc184310293"/>
      <w:bookmarkEnd w:id="165"/>
      <w:bookmarkStart w:id="166" w:name="_Toc184312129"/>
      <w:bookmarkEnd w:id="166"/>
      <w:bookmarkStart w:id="167" w:name="_Toc184310306"/>
      <w:bookmarkEnd w:id="167"/>
      <w:bookmarkStart w:id="168" w:name="_Toc184314420"/>
      <w:bookmarkEnd w:id="168"/>
      <w:bookmarkStart w:id="169" w:name="_Toc184312119"/>
      <w:bookmarkEnd w:id="169"/>
      <w:bookmarkStart w:id="170" w:name="_Toc184313279"/>
      <w:bookmarkEnd w:id="170"/>
      <w:bookmarkStart w:id="171" w:name="_Toc184314479"/>
      <w:bookmarkEnd w:id="171"/>
      <w:bookmarkStart w:id="172" w:name="_Toc184313247"/>
      <w:bookmarkEnd w:id="172"/>
      <w:bookmarkStart w:id="173" w:name="_Toc184308090"/>
      <w:bookmarkEnd w:id="173"/>
      <w:bookmarkStart w:id="174" w:name="_Toc184312101"/>
      <w:bookmarkEnd w:id="174"/>
      <w:bookmarkStart w:id="175" w:name="_Toc184314451"/>
      <w:bookmarkEnd w:id="175"/>
      <w:bookmarkStart w:id="176" w:name="_Toc184310287"/>
      <w:bookmarkEnd w:id="176"/>
      <w:bookmarkStart w:id="177" w:name="_Toc184312095"/>
      <w:bookmarkEnd w:id="177"/>
      <w:bookmarkStart w:id="178" w:name="_Toc184313292"/>
      <w:bookmarkEnd w:id="178"/>
      <w:bookmarkStart w:id="179" w:name="_Toc184314410"/>
      <w:bookmarkEnd w:id="179"/>
      <w:bookmarkStart w:id="180" w:name="_Toc184313305"/>
      <w:bookmarkEnd w:id="180"/>
      <w:bookmarkStart w:id="181" w:name="_Toc184308103"/>
      <w:bookmarkEnd w:id="181"/>
      <w:bookmarkStart w:id="182" w:name="_Toc184314448"/>
      <w:bookmarkEnd w:id="182"/>
      <w:bookmarkStart w:id="183" w:name="_Toc184310289"/>
      <w:bookmarkEnd w:id="183"/>
      <w:bookmarkStart w:id="184" w:name="_Toc184308069"/>
      <w:bookmarkEnd w:id="184"/>
      <w:bookmarkStart w:id="185" w:name="_Toc184314418"/>
      <w:bookmarkEnd w:id="185"/>
      <w:bookmarkStart w:id="186" w:name="_Toc184308070"/>
      <w:bookmarkEnd w:id="186"/>
      <w:bookmarkStart w:id="187" w:name="_Toc184314482"/>
      <w:bookmarkEnd w:id="187"/>
      <w:bookmarkStart w:id="188" w:name="_Toc184314419"/>
      <w:bookmarkEnd w:id="188"/>
      <w:bookmarkStart w:id="189" w:name="_Toc184308047"/>
      <w:bookmarkEnd w:id="189"/>
      <w:bookmarkStart w:id="190" w:name="_Toc184312137"/>
      <w:bookmarkEnd w:id="190"/>
      <w:bookmarkStart w:id="191" w:name="_Toc184314426"/>
      <w:bookmarkEnd w:id="191"/>
      <w:bookmarkStart w:id="192" w:name="_Toc184313258"/>
      <w:bookmarkEnd w:id="192"/>
      <w:bookmarkStart w:id="193" w:name="_Toc184310334"/>
      <w:bookmarkEnd w:id="193"/>
      <w:bookmarkStart w:id="194" w:name="_Toc184308095"/>
      <w:bookmarkEnd w:id="194"/>
      <w:bookmarkStart w:id="195" w:name="_Toc184312084"/>
      <w:bookmarkEnd w:id="195"/>
      <w:bookmarkStart w:id="196" w:name="_Toc184313267"/>
      <w:bookmarkEnd w:id="196"/>
      <w:bookmarkStart w:id="197" w:name="_Toc184310278"/>
      <w:bookmarkEnd w:id="197"/>
      <w:bookmarkStart w:id="198" w:name="_Toc184312076"/>
      <w:bookmarkEnd w:id="198"/>
      <w:bookmarkStart w:id="199" w:name="_Toc184314414"/>
      <w:bookmarkEnd w:id="199"/>
      <w:bookmarkStart w:id="200" w:name="_Toc184310286"/>
      <w:bookmarkEnd w:id="200"/>
      <w:bookmarkStart w:id="201" w:name="_Toc184308044"/>
      <w:bookmarkEnd w:id="201"/>
      <w:bookmarkStart w:id="202" w:name="_Toc184313299"/>
      <w:bookmarkEnd w:id="202"/>
      <w:bookmarkStart w:id="203" w:name="_Toc184310279"/>
      <w:bookmarkEnd w:id="203"/>
      <w:bookmarkStart w:id="204" w:name="_Toc184310305"/>
      <w:bookmarkEnd w:id="204"/>
      <w:bookmarkStart w:id="205" w:name="_Toc184313284"/>
      <w:bookmarkEnd w:id="205"/>
      <w:bookmarkStart w:id="206" w:name="_Toc184314434"/>
      <w:bookmarkEnd w:id="206"/>
      <w:bookmarkStart w:id="207" w:name="_Toc184313272"/>
      <w:bookmarkEnd w:id="207"/>
      <w:bookmarkStart w:id="208" w:name="_Toc184312073"/>
      <w:bookmarkEnd w:id="208"/>
      <w:bookmarkStart w:id="209" w:name="_Toc184313273"/>
      <w:bookmarkEnd w:id="209"/>
      <w:bookmarkStart w:id="210" w:name="_Toc184308068"/>
      <w:bookmarkEnd w:id="210"/>
      <w:bookmarkStart w:id="211" w:name="_Toc184312127"/>
      <w:bookmarkEnd w:id="211"/>
      <w:bookmarkStart w:id="212" w:name="_Toc184314472"/>
      <w:bookmarkEnd w:id="212"/>
      <w:bookmarkStart w:id="213" w:name="_Toc184308100"/>
      <w:bookmarkEnd w:id="213"/>
      <w:bookmarkStart w:id="214" w:name="_Toc184314460"/>
      <w:bookmarkEnd w:id="214"/>
      <w:bookmarkStart w:id="215" w:name="_Toc184314455"/>
      <w:bookmarkEnd w:id="215"/>
      <w:bookmarkStart w:id="216" w:name="_Toc184314453"/>
      <w:bookmarkEnd w:id="216"/>
      <w:bookmarkStart w:id="217" w:name="_Toc184313254"/>
      <w:bookmarkEnd w:id="217"/>
      <w:bookmarkStart w:id="218" w:name="_Toc184308099"/>
      <w:bookmarkEnd w:id="218"/>
      <w:bookmarkStart w:id="219" w:name="_Toc184312078"/>
      <w:bookmarkEnd w:id="219"/>
      <w:bookmarkStart w:id="220" w:name="_Toc184310337"/>
      <w:bookmarkEnd w:id="220"/>
      <w:bookmarkStart w:id="221" w:name="_Toc184308040"/>
      <w:bookmarkEnd w:id="221"/>
      <w:bookmarkStart w:id="222" w:name="_Toc184310303"/>
      <w:bookmarkEnd w:id="222"/>
      <w:bookmarkStart w:id="223" w:name="_Toc184308063"/>
      <w:bookmarkEnd w:id="223"/>
      <w:bookmarkStart w:id="224" w:name="_Toc184308062"/>
      <w:bookmarkEnd w:id="224"/>
      <w:bookmarkStart w:id="225" w:name="_Toc184312099"/>
      <w:bookmarkEnd w:id="225"/>
      <w:bookmarkStart w:id="226" w:name="_Toc184313239"/>
      <w:bookmarkEnd w:id="226"/>
      <w:bookmarkStart w:id="227" w:name="_Toc184310301"/>
      <w:bookmarkEnd w:id="227"/>
      <w:bookmarkStart w:id="228" w:name="_Toc184308053"/>
      <w:bookmarkEnd w:id="228"/>
      <w:bookmarkStart w:id="229" w:name="_Toc184313251"/>
      <w:bookmarkEnd w:id="229"/>
      <w:bookmarkStart w:id="230" w:name="_Toc184313289"/>
      <w:bookmarkEnd w:id="230"/>
      <w:bookmarkStart w:id="231" w:name="_Toc184313262"/>
      <w:bookmarkEnd w:id="231"/>
      <w:bookmarkStart w:id="232" w:name="_Toc184310335"/>
      <w:bookmarkEnd w:id="232"/>
      <w:bookmarkStart w:id="233" w:name="_Toc184313253"/>
      <w:bookmarkEnd w:id="233"/>
      <w:bookmarkStart w:id="234" w:name="_Toc184314473"/>
      <w:bookmarkEnd w:id="234"/>
      <w:bookmarkStart w:id="235" w:name="_Toc184312081"/>
      <w:bookmarkEnd w:id="235"/>
      <w:bookmarkStart w:id="236" w:name="_Toc184312089"/>
      <w:bookmarkEnd w:id="236"/>
      <w:bookmarkStart w:id="237" w:name="_Toc184310282"/>
      <w:bookmarkEnd w:id="237"/>
      <w:bookmarkStart w:id="238" w:name="_Toc184313257"/>
      <w:bookmarkEnd w:id="238"/>
      <w:bookmarkStart w:id="239" w:name="_Toc184308042"/>
      <w:bookmarkEnd w:id="239"/>
      <w:bookmarkStart w:id="240" w:name="_Toc184313261"/>
      <w:bookmarkEnd w:id="240"/>
      <w:bookmarkStart w:id="241" w:name="_Toc184313245"/>
      <w:bookmarkEnd w:id="241"/>
      <w:bookmarkStart w:id="242" w:name="_Toc184308056"/>
      <w:bookmarkEnd w:id="242"/>
      <w:bookmarkStart w:id="243" w:name="_Toc184308104"/>
      <w:bookmarkEnd w:id="243"/>
      <w:bookmarkStart w:id="244" w:name="_Toc184312093"/>
      <w:bookmarkEnd w:id="244"/>
      <w:bookmarkStart w:id="245" w:name="_Toc184314444"/>
      <w:bookmarkEnd w:id="245"/>
      <w:bookmarkStart w:id="246" w:name="_Toc184312096"/>
      <w:bookmarkEnd w:id="246"/>
      <w:bookmarkStart w:id="247" w:name="_Toc184310338"/>
      <w:bookmarkEnd w:id="247"/>
      <w:bookmarkStart w:id="248" w:name="_Toc184308086"/>
      <w:bookmarkEnd w:id="248"/>
      <w:bookmarkStart w:id="249" w:name="_Toc184310298"/>
      <w:bookmarkEnd w:id="249"/>
      <w:bookmarkStart w:id="250" w:name="_Toc184308045"/>
      <w:bookmarkEnd w:id="250"/>
      <w:bookmarkStart w:id="251" w:name="_Toc184308074"/>
      <w:bookmarkEnd w:id="251"/>
      <w:bookmarkStart w:id="252" w:name="_Toc184314437"/>
      <w:bookmarkEnd w:id="252"/>
      <w:bookmarkStart w:id="253" w:name="_Toc184310318"/>
      <w:bookmarkEnd w:id="253"/>
      <w:bookmarkStart w:id="254" w:name="_Toc184314467"/>
      <w:bookmarkEnd w:id="254"/>
      <w:bookmarkStart w:id="255" w:name="_Toc184312116"/>
      <w:bookmarkEnd w:id="255"/>
      <w:bookmarkStart w:id="256" w:name="_Toc184310308"/>
      <w:bookmarkEnd w:id="256"/>
      <w:bookmarkStart w:id="257" w:name="_Toc184310316"/>
      <w:bookmarkEnd w:id="257"/>
      <w:bookmarkStart w:id="258" w:name="_Toc184312068"/>
      <w:bookmarkEnd w:id="258"/>
      <w:bookmarkStart w:id="259" w:name="_Toc184310332"/>
      <w:bookmarkEnd w:id="259"/>
      <w:bookmarkStart w:id="260" w:name="_Toc184314478"/>
      <w:bookmarkEnd w:id="260"/>
      <w:bookmarkStart w:id="261" w:name="_Toc184310274"/>
      <w:bookmarkEnd w:id="261"/>
      <w:bookmarkStart w:id="262" w:name="_Toc184313268"/>
      <w:bookmarkEnd w:id="262"/>
      <w:bookmarkStart w:id="263" w:name="_Toc184314476"/>
      <w:bookmarkEnd w:id="263"/>
      <w:bookmarkStart w:id="264" w:name="_Toc184312123"/>
      <w:bookmarkEnd w:id="264"/>
      <w:bookmarkStart w:id="265" w:name="_Toc184313242"/>
      <w:bookmarkEnd w:id="265"/>
      <w:bookmarkStart w:id="266" w:name="_Toc184312136"/>
      <w:bookmarkEnd w:id="266"/>
      <w:bookmarkStart w:id="267" w:name="_Toc184308084"/>
      <w:bookmarkEnd w:id="267"/>
      <w:bookmarkStart w:id="268" w:name="_Toc184313308"/>
      <w:bookmarkEnd w:id="268"/>
      <w:bookmarkStart w:id="269" w:name="_Toc184314442"/>
      <w:bookmarkEnd w:id="269"/>
      <w:bookmarkStart w:id="270" w:name="_Toc184308079"/>
      <w:bookmarkEnd w:id="270"/>
      <w:bookmarkStart w:id="271" w:name="_Toc184312109"/>
      <w:bookmarkEnd w:id="271"/>
      <w:bookmarkStart w:id="272" w:name="_Toc184313240"/>
      <w:bookmarkEnd w:id="272"/>
      <w:bookmarkStart w:id="273" w:name="_Toc184312091"/>
      <w:bookmarkEnd w:id="273"/>
      <w:bookmarkStart w:id="274" w:name="_Toc184310272"/>
      <w:bookmarkEnd w:id="274"/>
      <w:bookmarkStart w:id="275" w:name="_Toc184313298"/>
      <w:bookmarkEnd w:id="275"/>
      <w:bookmarkStart w:id="276" w:name="_Toc184313303"/>
      <w:bookmarkEnd w:id="276"/>
      <w:bookmarkStart w:id="277" w:name="_Toc184313255"/>
      <w:bookmarkEnd w:id="277"/>
      <w:bookmarkStart w:id="278" w:name="_Toc184308054"/>
      <w:bookmarkEnd w:id="278"/>
      <w:bookmarkStart w:id="279" w:name="_Toc184313264"/>
      <w:bookmarkEnd w:id="279"/>
      <w:bookmarkStart w:id="280" w:name="_Toc184313302"/>
      <w:bookmarkEnd w:id="280"/>
      <w:bookmarkStart w:id="281" w:name="_Toc184310339"/>
      <w:bookmarkEnd w:id="281"/>
      <w:bookmarkStart w:id="282" w:name="_Toc184313310"/>
      <w:bookmarkEnd w:id="282"/>
      <w:bookmarkStart w:id="283" w:name="_Toc184310340"/>
      <w:bookmarkEnd w:id="283"/>
      <w:bookmarkStart w:id="284" w:name="_Toc184312138"/>
      <w:bookmarkEnd w:id="284"/>
      <w:bookmarkStart w:id="285" w:name="_Toc184310322"/>
      <w:bookmarkEnd w:id="285"/>
      <w:bookmarkStart w:id="286" w:name="_Toc184308071"/>
      <w:bookmarkEnd w:id="286"/>
      <w:bookmarkStart w:id="287" w:name="_Toc184308057"/>
      <w:bookmarkEnd w:id="287"/>
      <w:bookmarkStart w:id="288" w:name="_Toc184308076"/>
      <w:bookmarkEnd w:id="288"/>
      <w:bookmarkStart w:id="289" w:name="_Toc184312115"/>
      <w:bookmarkEnd w:id="289"/>
      <w:bookmarkStart w:id="290" w:name="_Toc184310283"/>
      <w:bookmarkEnd w:id="290"/>
      <w:bookmarkStart w:id="291" w:name="_Toc184314431"/>
      <w:bookmarkEnd w:id="291"/>
      <w:bookmarkStart w:id="292" w:name="_Toc184310319"/>
      <w:bookmarkEnd w:id="292"/>
      <w:bookmarkStart w:id="293" w:name="_Toc184310321"/>
      <w:bookmarkEnd w:id="293"/>
      <w:bookmarkStart w:id="294" w:name="_Toc184308101"/>
      <w:bookmarkEnd w:id="294"/>
      <w:bookmarkStart w:id="295" w:name="_Toc184308089"/>
      <w:bookmarkEnd w:id="295"/>
      <w:bookmarkStart w:id="296" w:name="_Toc184314465"/>
      <w:bookmarkEnd w:id="296"/>
      <w:bookmarkStart w:id="297" w:name="_Toc184314464"/>
      <w:bookmarkEnd w:id="297"/>
      <w:bookmarkStart w:id="298" w:name="_Toc184310309"/>
      <w:bookmarkEnd w:id="298"/>
      <w:bookmarkStart w:id="299" w:name="_Toc184313295"/>
      <w:bookmarkEnd w:id="299"/>
      <w:bookmarkStart w:id="300" w:name="_Toc184313285"/>
      <w:bookmarkEnd w:id="300"/>
      <w:bookmarkStart w:id="301" w:name="_Toc184314433"/>
      <w:bookmarkEnd w:id="301"/>
      <w:bookmarkStart w:id="302" w:name="_Toc184308088"/>
      <w:bookmarkEnd w:id="302"/>
      <w:bookmarkStart w:id="303" w:name="_Toc184314413"/>
      <w:bookmarkEnd w:id="303"/>
      <w:bookmarkStart w:id="304" w:name="_Toc184310297"/>
      <w:bookmarkEnd w:id="304"/>
      <w:bookmarkStart w:id="305" w:name="_Toc184312122"/>
      <w:bookmarkEnd w:id="305"/>
      <w:bookmarkStart w:id="306" w:name="_Toc184308085"/>
      <w:bookmarkEnd w:id="306"/>
      <w:bookmarkStart w:id="307" w:name="_Toc184313249"/>
      <w:bookmarkEnd w:id="307"/>
      <w:bookmarkStart w:id="308" w:name="_Toc184313290"/>
      <w:bookmarkEnd w:id="308"/>
      <w:bookmarkStart w:id="309" w:name="_Toc184308081"/>
      <w:bookmarkEnd w:id="309"/>
      <w:bookmarkStart w:id="310" w:name="_Toc184308107"/>
      <w:bookmarkEnd w:id="310"/>
      <w:bookmarkStart w:id="311" w:name="_Toc184308075"/>
      <w:bookmarkEnd w:id="311"/>
      <w:bookmarkStart w:id="312" w:name="_Toc184314429"/>
      <w:bookmarkEnd w:id="312"/>
      <w:bookmarkStart w:id="313" w:name="_Toc184313266"/>
      <w:bookmarkEnd w:id="313"/>
      <w:bookmarkStart w:id="314" w:name="_Toc184314435"/>
      <w:bookmarkEnd w:id="314"/>
      <w:bookmarkStart w:id="315" w:name="_Toc184312107"/>
      <w:bookmarkEnd w:id="315"/>
      <w:bookmarkStart w:id="316" w:name="_Toc184313287"/>
      <w:bookmarkEnd w:id="316"/>
      <w:bookmarkStart w:id="317" w:name="_Toc184312114"/>
      <w:bookmarkEnd w:id="317"/>
      <w:bookmarkStart w:id="318" w:name="_Toc184314416"/>
      <w:bookmarkEnd w:id="318"/>
      <w:bookmarkStart w:id="319" w:name="_Toc184308078"/>
      <w:bookmarkEnd w:id="319"/>
      <w:bookmarkStart w:id="320" w:name="_Toc184312082"/>
      <w:bookmarkEnd w:id="320"/>
      <w:bookmarkStart w:id="321" w:name="_Toc184312121"/>
      <w:bookmarkEnd w:id="321"/>
      <w:bookmarkStart w:id="322" w:name="_Toc184312124"/>
      <w:bookmarkEnd w:id="322"/>
      <w:bookmarkStart w:id="323" w:name="_Toc184310312"/>
      <w:bookmarkEnd w:id="323"/>
      <w:bookmarkStart w:id="324" w:name="_Toc184313259"/>
      <w:bookmarkEnd w:id="324"/>
      <w:bookmarkStart w:id="325" w:name="_Toc184314474"/>
      <w:bookmarkEnd w:id="325"/>
      <w:bookmarkStart w:id="326" w:name="_Toc184314457"/>
      <w:bookmarkEnd w:id="326"/>
      <w:bookmarkStart w:id="327" w:name="_Toc184312072"/>
      <w:bookmarkEnd w:id="327"/>
      <w:bookmarkStart w:id="328" w:name="_Toc184313263"/>
      <w:bookmarkEnd w:id="328"/>
      <w:bookmarkStart w:id="329" w:name="_Toc184310273"/>
      <w:bookmarkEnd w:id="329"/>
      <w:bookmarkStart w:id="330" w:name="_Toc184310307"/>
      <w:bookmarkEnd w:id="330"/>
      <w:bookmarkStart w:id="331" w:name="_Toc184312139"/>
      <w:bookmarkEnd w:id="331"/>
      <w:bookmarkStart w:id="332" w:name="_Toc184314438"/>
      <w:bookmarkEnd w:id="332"/>
      <w:bookmarkStart w:id="333" w:name="_Toc184314454"/>
      <w:bookmarkEnd w:id="333"/>
      <w:bookmarkStart w:id="334" w:name="_Toc184314463"/>
      <w:bookmarkEnd w:id="334"/>
      <w:bookmarkStart w:id="335" w:name="_Toc184313291"/>
      <w:bookmarkEnd w:id="335"/>
      <w:bookmarkStart w:id="336" w:name="_Toc184308087"/>
      <w:bookmarkEnd w:id="336"/>
      <w:bookmarkStart w:id="337" w:name="_Toc184312094"/>
      <w:bookmarkEnd w:id="337"/>
      <w:bookmarkStart w:id="338" w:name="_Toc184314466"/>
      <w:bookmarkEnd w:id="338"/>
      <w:bookmarkStart w:id="339" w:name="_Toc184314470"/>
      <w:bookmarkEnd w:id="339"/>
      <w:bookmarkStart w:id="340" w:name="_Toc184314461"/>
      <w:bookmarkEnd w:id="340"/>
      <w:bookmarkStart w:id="341" w:name="_Toc184310292"/>
      <w:bookmarkEnd w:id="341"/>
      <w:bookmarkStart w:id="342" w:name="_Toc184308052"/>
      <w:bookmarkEnd w:id="342"/>
      <w:bookmarkStart w:id="343" w:name="_Toc184308072"/>
      <w:bookmarkEnd w:id="343"/>
      <w:bookmarkStart w:id="344" w:name="_Toc184308049"/>
      <w:bookmarkEnd w:id="344"/>
      <w:bookmarkStart w:id="345" w:name="_Toc184312085"/>
      <w:bookmarkEnd w:id="345"/>
      <w:bookmarkStart w:id="346" w:name="_Toc184310280"/>
      <w:bookmarkEnd w:id="346"/>
      <w:bookmarkStart w:id="347" w:name="_Toc184310294"/>
      <w:bookmarkEnd w:id="347"/>
      <w:bookmarkStart w:id="348" w:name="_Toc184313282"/>
      <w:bookmarkEnd w:id="348"/>
      <w:bookmarkStart w:id="349" w:name="_Toc184313280"/>
      <w:bookmarkEnd w:id="349"/>
      <w:bookmarkStart w:id="350" w:name="_Toc184310341"/>
      <w:bookmarkEnd w:id="350"/>
      <w:bookmarkStart w:id="351" w:name="_Toc184312120"/>
      <w:bookmarkEnd w:id="351"/>
      <w:bookmarkStart w:id="352" w:name="_Toc184308039"/>
      <w:bookmarkEnd w:id="352"/>
      <w:bookmarkStart w:id="353" w:name="_Toc184310328"/>
      <w:bookmarkEnd w:id="353"/>
      <w:bookmarkStart w:id="354" w:name="_Toc184313301"/>
      <w:bookmarkEnd w:id="354"/>
      <w:bookmarkStart w:id="355" w:name="_Toc184313238"/>
      <w:bookmarkEnd w:id="355"/>
      <w:bookmarkStart w:id="356" w:name="_Toc184310317"/>
      <w:bookmarkEnd w:id="356"/>
      <w:bookmarkStart w:id="357" w:name="_Toc184313296"/>
      <w:bookmarkEnd w:id="357"/>
      <w:bookmarkStart w:id="358" w:name="_Toc184308038"/>
      <w:bookmarkEnd w:id="358"/>
      <w:bookmarkStart w:id="359" w:name="_Toc184308106"/>
      <w:bookmarkEnd w:id="359"/>
      <w:bookmarkStart w:id="360" w:name="_Toc184312118"/>
      <w:bookmarkEnd w:id="360"/>
      <w:bookmarkStart w:id="361" w:name="_Toc184308048"/>
      <w:bookmarkEnd w:id="361"/>
      <w:bookmarkStart w:id="362" w:name="_Toc184312104"/>
      <w:bookmarkEnd w:id="362"/>
      <w:bookmarkStart w:id="363" w:name="_Toc184308043"/>
      <w:bookmarkEnd w:id="363"/>
      <w:bookmarkStart w:id="364" w:name="_Toc184314425"/>
      <w:bookmarkEnd w:id="364"/>
      <w:bookmarkStart w:id="365" w:name="_Toc184313278"/>
      <w:bookmarkEnd w:id="365"/>
      <w:bookmarkStart w:id="366" w:name="_Toc184314411"/>
      <w:bookmarkEnd w:id="366"/>
      <w:bookmarkStart w:id="367" w:name="_Toc184310290"/>
      <w:bookmarkEnd w:id="367"/>
      <w:bookmarkStart w:id="368" w:name="_Toc184314427"/>
      <w:bookmarkEnd w:id="368"/>
      <w:bookmarkStart w:id="369" w:name="_Toc184310344"/>
      <w:bookmarkEnd w:id="369"/>
      <w:bookmarkStart w:id="370" w:name="_Toc184312111"/>
      <w:bookmarkEnd w:id="370"/>
      <w:bookmarkStart w:id="371" w:name="_Toc184310330"/>
      <w:bookmarkEnd w:id="371"/>
      <w:bookmarkStart w:id="372" w:name="_Toc184310302"/>
      <w:bookmarkEnd w:id="372"/>
      <w:bookmarkStart w:id="373" w:name="_Toc184313271"/>
      <w:bookmarkEnd w:id="373"/>
      <w:bookmarkStart w:id="374" w:name="_Toc184308037"/>
      <w:bookmarkEnd w:id="374"/>
      <w:bookmarkStart w:id="375" w:name="_Toc184314439"/>
      <w:bookmarkEnd w:id="375"/>
      <w:bookmarkStart w:id="376" w:name="_Toc184312092"/>
      <w:bookmarkEnd w:id="376"/>
      <w:bookmarkStart w:id="377" w:name="_Toc184310324"/>
      <w:bookmarkEnd w:id="377"/>
      <w:bookmarkStart w:id="378" w:name="_Toc184310276"/>
      <w:bookmarkEnd w:id="378"/>
      <w:bookmarkStart w:id="379" w:name="_Toc184308082"/>
      <w:bookmarkEnd w:id="379"/>
      <w:bookmarkStart w:id="380" w:name="_Toc184308066"/>
      <w:bookmarkEnd w:id="380"/>
      <w:bookmarkStart w:id="381" w:name="_Toc184313246"/>
      <w:bookmarkEnd w:id="381"/>
      <w:bookmarkStart w:id="382" w:name="_Toc184310323"/>
      <w:bookmarkEnd w:id="382"/>
      <w:bookmarkStart w:id="383" w:name="_Toc184310296"/>
      <w:bookmarkEnd w:id="383"/>
      <w:bookmarkStart w:id="384" w:name="_Toc184312074"/>
      <w:bookmarkEnd w:id="384"/>
      <w:bookmarkStart w:id="385" w:name="_Toc184314469"/>
      <w:bookmarkEnd w:id="385"/>
      <w:bookmarkStart w:id="386" w:name="_Toc184308083"/>
      <w:bookmarkEnd w:id="386"/>
      <w:bookmarkStart w:id="387" w:name="_Toc184314458"/>
      <w:bookmarkEnd w:id="387"/>
      <w:bookmarkStart w:id="388" w:name="_Toc184314430"/>
      <w:bookmarkEnd w:id="388"/>
      <w:bookmarkStart w:id="389" w:name="_Toc184314440"/>
      <w:bookmarkEnd w:id="389"/>
      <w:bookmarkStart w:id="390" w:name="_Toc184313274"/>
      <w:bookmarkEnd w:id="390"/>
      <w:bookmarkStart w:id="391" w:name="_Toc184314415"/>
      <w:bookmarkEnd w:id="391"/>
      <w:bookmarkStart w:id="392" w:name="_Toc184313294"/>
      <w:bookmarkEnd w:id="392"/>
      <w:bookmarkStart w:id="393" w:name="_Toc184312105"/>
      <w:bookmarkEnd w:id="393"/>
      <w:bookmarkStart w:id="394" w:name="_Toc184312128"/>
      <w:bookmarkEnd w:id="394"/>
      <w:bookmarkStart w:id="395" w:name="_Toc184312083"/>
      <w:bookmarkEnd w:id="395"/>
      <w:bookmarkStart w:id="396" w:name="_Toc184310275"/>
      <w:bookmarkEnd w:id="396"/>
      <w:bookmarkStart w:id="397" w:name="_Toc184310281"/>
      <w:bookmarkEnd w:id="397"/>
      <w:bookmarkStart w:id="398" w:name="_Toc184312088"/>
      <w:bookmarkEnd w:id="398"/>
      <w:bookmarkStart w:id="399" w:name="_Toc184312134"/>
      <w:bookmarkEnd w:id="399"/>
      <w:bookmarkStart w:id="400" w:name="_Toc184308077"/>
      <w:bookmarkEnd w:id="400"/>
      <w:bookmarkStart w:id="401" w:name="_Toc184308094"/>
      <w:bookmarkEnd w:id="401"/>
      <w:bookmarkStart w:id="402" w:name="_Toc184310285"/>
      <w:bookmarkEnd w:id="402"/>
      <w:bookmarkStart w:id="403" w:name="_Toc184310314"/>
      <w:bookmarkEnd w:id="403"/>
      <w:bookmarkStart w:id="404" w:name="_Toc184312069"/>
      <w:bookmarkEnd w:id="404"/>
      <w:bookmarkStart w:id="405" w:name="_Toc184313283"/>
      <w:bookmarkEnd w:id="405"/>
      <w:bookmarkStart w:id="406" w:name="_Toc184313260"/>
      <w:bookmarkEnd w:id="406"/>
      <w:bookmarkStart w:id="407" w:name="_Toc184314443"/>
      <w:bookmarkEnd w:id="407"/>
      <w:bookmarkStart w:id="408" w:name="_Toc184312098"/>
      <w:bookmarkEnd w:id="408"/>
      <w:bookmarkStart w:id="409" w:name="_Toc184310315"/>
      <w:bookmarkEnd w:id="409"/>
      <w:bookmarkStart w:id="410" w:name="_Toc184313309"/>
      <w:bookmarkEnd w:id="410"/>
      <w:bookmarkStart w:id="411" w:name="_Toc184310327"/>
      <w:bookmarkEnd w:id="411"/>
      <w:bookmarkStart w:id="412" w:name="_Toc184314468"/>
      <w:bookmarkEnd w:id="412"/>
      <w:bookmarkStart w:id="413" w:name="_Toc184310336"/>
      <w:bookmarkEnd w:id="413"/>
      <w:bookmarkStart w:id="414" w:name="_Toc184314471"/>
      <w:bookmarkEnd w:id="414"/>
      <w:bookmarkStart w:id="415" w:name="_Toc184314422"/>
      <w:bookmarkEnd w:id="415"/>
      <w:bookmarkStart w:id="416" w:name="_Toc184308065"/>
      <w:bookmarkEnd w:id="416"/>
      <w:bookmarkStart w:id="417" w:name="_Toc184312075"/>
      <w:bookmarkEnd w:id="417"/>
      <w:bookmarkStart w:id="418" w:name="_Toc184313297"/>
      <w:bookmarkEnd w:id="418"/>
      <w:bookmarkStart w:id="419" w:name="_Toc184310277"/>
      <w:bookmarkEnd w:id="419"/>
      <w:bookmarkStart w:id="420" w:name="_Toc184314456"/>
      <w:bookmarkEnd w:id="420"/>
      <w:bookmarkStart w:id="421" w:name="_Toc184314445"/>
      <w:bookmarkEnd w:id="421"/>
      <w:bookmarkStart w:id="422" w:name="_Toc184313244"/>
      <w:bookmarkEnd w:id="422"/>
      <w:bookmarkStart w:id="423" w:name="_Toc184310310"/>
      <w:bookmarkEnd w:id="423"/>
      <w:bookmarkStart w:id="424" w:name="_Toc184308073"/>
      <w:bookmarkEnd w:id="424"/>
      <w:bookmarkStart w:id="425" w:name="_Toc184314481"/>
      <w:bookmarkEnd w:id="425"/>
      <w:bookmarkStart w:id="426" w:name="_Toc184310325"/>
      <w:bookmarkEnd w:id="426"/>
      <w:bookmarkStart w:id="427" w:name="_Toc184308091"/>
      <w:bookmarkEnd w:id="427"/>
      <w:bookmarkStart w:id="428" w:name="_Toc184308092"/>
      <w:bookmarkEnd w:id="428"/>
      <w:bookmarkStart w:id="429" w:name="_Toc184312112"/>
      <w:bookmarkEnd w:id="429"/>
      <w:bookmarkStart w:id="430" w:name="_Toc184310284"/>
      <w:bookmarkEnd w:id="430"/>
      <w:bookmarkStart w:id="431" w:name="_Toc184313288"/>
      <w:bookmarkEnd w:id="431"/>
      <w:bookmarkStart w:id="432" w:name="_Toc184313270"/>
      <w:bookmarkEnd w:id="432"/>
      <w:bookmarkStart w:id="433" w:name="_Toc184314459"/>
      <w:bookmarkEnd w:id="433"/>
      <w:bookmarkStart w:id="434" w:name="_Toc184308108"/>
      <w:bookmarkEnd w:id="434"/>
      <w:bookmarkStart w:id="435" w:name="_Toc184313307"/>
      <w:bookmarkEnd w:id="435"/>
      <w:bookmarkStart w:id="436" w:name="_Toc184313276"/>
      <w:bookmarkEnd w:id="436"/>
      <w:bookmarkStart w:id="437" w:name="_Toc184310299"/>
      <w:bookmarkEnd w:id="437"/>
      <w:bookmarkStart w:id="438" w:name="_Toc184314480"/>
      <w:bookmarkEnd w:id="438"/>
      <w:bookmarkStart w:id="439" w:name="_Toc184314421"/>
      <w:bookmarkEnd w:id="439"/>
      <w:bookmarkStart w:id="440" w:name="_Toc184308046"/>
      <w:bookmarkEnd w:id="440"/>
      <w:bookmarkStart w:id="441" w:name="_Toc184313265"/>
      <w:bookmarkEnd w:id="441"/>
      <w:bookmarkStart w:id="442" w:name="_Toc184308058"/>
      <w:bookmarkEnd w:id="442"/>
      <w:bookmarkStart w:id="443" w:name="_Toc184314423"/>
      <w:bookmarkEnd w:id="443"/>
      <w:bookmarkStart w:id="444" w:name="_Toc184308059"/>
      <w:bookmarkEnd w:id="444"/>
      <w:bookmarkStart w:id="445" w:name="_Toc184314424"/>
      <w:bookmarkEnd w:id="445"/>
      <w:bookmarkStart w:id="446" w:name="_Toc184310300"/>
      <w:bookmarkEnd w:id="446"/>
      <w:bookmarkStart w:id="447" w:name="_Toc184308051"/>
      <w:bookmarkEnd w:id="447"/>
      <w:bookmarkStart w:id="448" w:name="_Toc184312103"/>
      <w:bookmarkEnd w:id="448"/>
      <w:bookmarkStart w:id="449" w:name="_Toc184308098"/>
      <w:bookmarkEnd w:id="449"/>
      <w:bookmarkStart w:id="450" w:name="_Toc184312113"/>
      <w:bookmarkEnd w:id="450"/>
      <w:bookmarkStart w:id="451" w:name="_Toc184313306"/>
      <w:bookmarkEnd w:id="451"/>
      <w:bookmarkStart w:id="452" w:name="_Toc184308105"/>
      <w:bookmarkEnd w:id="452"/>
      <w:bookmarkStart w:id="453" w:name="_Toc184312132"/>
      <w:bookmarkEnd w:id="453"/>
      <w:bookmarkStart w:id="454" w:name="_Toc184308055"/>
      <w:bookmarkEnd w:id="454"/>
      <w:bookmarkStart w:id="455" w:name="_Toc184308096"/>
      <w:bookmarkEnd w:id="455"/>
      <w:bookmarkStart w:id="456" w:name="_Toc184312079"/>
      <w:bookmarkEnd w:id="456"/>
      <w:r>
        <w:rPr>
          <w:rFonts w:hint="eastAsia" w:ascii="宋体" w:hAnsi="宋体" w:cs="宋体"/>
          <w:b/>
          <w:color w:val="000000" w:themeColor="text1"/>
          <w:sz w:val="36"/>
          <w:szCs w:val="36"/>
          <w:highlight w:val="none"/>
          <w14:textFill>
            <w14:solidFill>
              <w14:schemeClr w14:val="tx1"/>
            </w14:solidFill>
          </w14:textFill>
        </w:rPr>
        <w:t>评标办法</w:t>
      </w:r>
      <w:bookmarkEnd w:id="90"/>
      <w:bookmarkEnd w:id="91"/>
    </w:p>
    <w:p w14:paraId="48D0EC79">
      <w:pPr>
        <w:snapToGrid w:val="0"/>
        <w:spacing w:line="360" w:lineRule="auto"/>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评标办法前附表</w:t>
      </w:r>
    </w:p>
    <w:tbl>
      <w:tblPr>
        <w:tblStyle w:val="6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49"/>
        <w:gridCol w:w="5925"/>
        <w:gridCol w:w="1066"/>
      </w:tblGrid>
      <w:tr w14:paraId="4DF1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57" w:type="dxa"/>
            <w:gridSpan w:val="2"/>
            <w:vAlign w:val="center"/>
          </w:tcPr>
          <w:p w14:paraId="68450C8E">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bookmarkStart w:id="457" w:name="OLE_LINK20"/>
            <w:r>
              <w:rPr>
                <w:rFonts w:hint="eastAsia" w:ascii="宋体" w:hAnsi="宋体" w:eastAsia="宋体" w:cs="宋体"/>
                <w:b/>
                <w:bCs/>
                <w:color w:val="000000" w:themeColor="text1"/>
                <w:kern w:val="0"/>
                <w:szCs w:val="21"/>
                <w:highlight w:val="none"/>
                <w14:textFill>
                  <w14:solidFill>
                    <w14:schemeClr w14:val="tx1"/>
                  </w14:solidFill>
                </w14:textFill>
              </w:rPr>
              <w:t>评分项目</w:t>
            </w:r>
          </w:p>
        </w:tc>
        <w:tc>
          <w:tcPr>
            <w:tcW w:w="5925" w:type="dxa"/>
            <w:vAlign w:val="center"/>
          </w:tcPr>
          <w:p w14:paraId="3CA3902E">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评分标准</w:t>
            </w:r>
          </w:p>
        </w:tc>
        <w:tc>
          <w:tcPr>
            <w:tcW w:w="1066" w:type="dxa"/>
            <w:vAlign w:val="center"/>
          </w:tcPr>
          <w:p w14:paraId="4886D1CA">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评审类型</w:t>
            </w:r>
          </w:p>
        </w:tc>
      </w:tr>
      <w:tr w14:paraId="1FCE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57" w:type="dxa"/>
            <w:gridSpan w:val="2"/>
            <w:vAlign w:val="center"/>
          </w:tcPr>
          <w:p w14:paraId="28D49B3F">
            <w:pPr>
              <w:keepNext w:val="0"/>
              <w:keepLines w:val="0"/>
              <w:pageBreakBefore w:val="0"/>
              <w:widowControl/>
              <w:kinsoku/>
              <w:wordWrap/>
              <w:overflowPunct/>
              <w:topLinePunct w:val="0"/>
              <w:autoSpaceDE w:val="0"/>
              <w:autoSpaceDN w:val="0"/>
              <w:bidi w:val="0"/>
              <w:adjustRightInd w:val="0"/>
              <w:spacing w:beforeAutospacing="0" w:afterAutospacing="0" w:line="240" w:lineRule="auto"/>
              <w:ind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价格分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p>
        </w:tc>
        <w:tc>
          <w:tcPr>
            <w:tcW w:w="5925" w:type="dxa"/>
            <w:vAlign w:val="center"/>
          </w:tcPr>
          <w:p w14:paraId="22F4448A">
            <w:pPr>
              <w:keepNext w:val="0"/>
              <w:keepLines w:val="0"/>
              <w:pageBreakBefore w:val="0"/>
              <w:widowControl/>
              <w:tabs>
                <w:tab w:val="left" w:pos="0"/>
              </w:tabs>
              <w:kinsoku/>
              <w:wordWrap/>
              <w:overflowPunct/>
              <w:topLinePunct w:val="0"/>
              <w:bidi w:val="0"/>
              <w:adjustRightInd w:val="0"/>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参与评审的价格=投标报价</w:t>
            </w:r>
          </w:p>
          <w:p w14:paraId="094F5D95">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基准价=满足招标文件要求且最低的参与评审的价格</w:t>
            </w:r>
          </w:p>
          <w:p w14:paraId="00183E4F">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基准价得分为满分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p w14:paraId="612F6DDB">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投标报价得分=(评标基准价/参与评审的价格)×</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×100%</w:t>
            </w:r>
          </w:p>
          <w:p w14:paraId="60C3BD3C">
            <w:pPr>
              <w:keepNext w:val="0"/>
              <w:keepLines w:val="0"/>
              <w:pageBreakBefore w:val="0"/>
              <w:widowControl/>
              <w:kinsoku/>
              <w:wordWrap/>
              <w:overflowPunct/>
              <w:topLinePunct w:val="0"/>
              <w:bidi w:val="0"/>
              <w:adjustRightInd/>
              <w:spacing w:beforeAutospacing="0" w:afterAutospacing="0" w:line="240" w:lineRule="auto"/>
              <w:ind w:right="0" w:righ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注：价格得分小数点后保留2位小数，第3位小数四舍五入。</w:t>
            </w:r>
          </w:p>
        </w:tc>
        <w:tc>
          <w:tcPr>
            <w:tcW w:w="1066" w:type="dxa"/>
            <w:vAlign w:val="center"/>
          </w:tcPr>
          <w:p w14:paraId="1939394B">
            <w:pPr>
              <w:keepNext w:val="0"/>
              <w:keepLines w:val="0"/>
              <w:pageBreakBefore w:val="0"/>
              <w:widowControl/>
              <w:kinsoku/>
              <w:wordWrap/>
              <w:overflowPunct/>
              <w:topLinePunct w:val="0"/>
              <w:autoSpaceDE w:val="0"/>
              <w:autoSpaceDN w:val="0"/>
              <w:bidi w:val="0"/>
              <w:adjustRightInd w:val="0"/>
              <w:spacing w:beforeAutospacing="0" w:afterAutospacing="0" w:line="240" w:lineRule="auto"/>
              <w:ind w:right="0" w:righ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客观分</w:t>
            </w:r>
          </w:p>
        </w:tc>
      </w:tr>
      <w:tr w14:paraId="3D2F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08" w:type="dxa"/>
            <w:vMerge w:val="restart"/>
            <w:vAlign w:val="center"/>
          </w:tcPr>
          <w:p w14:paraId="757AAFE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商务分</w:t>
            </w:r>
          </w:p>
          <w:p w14:paraId="755DC91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技术分</w:t>
            </w:r>
          </w:p>
          <w:p w14:paraId="065E193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1649" w:type="dxa"/>
            <w:vAlign w:val="center"/>
          </w:tcPr>
          <w:p w14:paraId="05C63E66">
            <w:pPr>
              <w:keepNext w:val="0"/>
              <w:keepLines w:val="0"/>
              <w:pageBreakBefore w:val="0"/>
              <w:kinsoku/>
              <w:wordWrap/>
              <w:overflowPunct/>
              <w:topLinePunct w:val="0"/>
              <w:bidi w:val="0"/>
              <w:spacing w:line="24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服务响应（30分）</w:t>
            </w:r>
          </w:p>
        </w:tc>
        <w:tc>
          <w:tcPr>
            <w:tcW w:w="5925" w:type="dxa"/>
            <w:vAlign w:val="center"/>
          </w:tcPr>
          <w:p w14:paraId="48BDABEF">
            <w:pPr>
              <w:keepNext w:val="0"/>
              <w:keepLines w:val="0"/>
              <w:pageBreakBefore w:val="0"/>
              <w:widowControl/>
              <w:kinsoku/>
              <w:wordWrap/>
              <w:overflowPunct/>
              <w:topLinePunct w:val="0"/>
              <w:bidi w:val="0"/>
              <w:spacing w:line="240" w:lineRule="auto"/>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投标人完全响应招标文件《第三部分 采购需求》一、服务需求“（五）服务内容及要求 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详细采购要求</w:t>
            </w:r>
            <w:r>
              <w:rPr>
                <w:rFonts w:hint="eastAsia" w:ascii="宋体" w:hAnsi="宋体" w:cs="宋体"/>
                <w:color w:val="000000" w:themeColor="text1"/>
                <w:highlight w:val="none"/>
                <w:lang w:val="en-US" w:eastAsia="zh-CN"/>
                <w14:textFill>
                  <w14:solidFill>
                    <w14:schemeClr w14:val="tx1"/>
                  </w14:solidFill>
                </w14:textFill>
              </w:rPr>
              <w:t>”中所有要求的得30分，每负偏离1项未标“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”的扣1分，每负偏离1项标“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”的扣2分；当扣减至0分（或以下）时，作无效标处理。</w:t>
            </w:r>
          </w:p>
        </w:tc>
        <w:tc>
          <w:tcPr>
            <w:tcW w:w="1066" w:type="dxa"/>
            <w:vAlign w:val="center"/>
          </w:tcPr>
          <w:p w14:paraId="235F5B8D">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客观分</w:t>
            </w:r>
          </w:p>
        </w:tc>
      </w:tr>
      <w:tr w14:paraId="533D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008" w:type="dxa"/>
            <w:vMerge w:val="continue"/>
            <w:vAlign w:val="center"/>
          </w:tcPr>
          <w:p w14:paraId="549393FD">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2CFB4ABC">
            <w:pPr>
              <w:keepNext w:val="0"/>
              <w:keepLines w:val="0"/>
              <w:pageBreakBefore w:val="0"/>
              <w:kinsoku/>
              <w:wordWrap/>
              <w:overflowPunct/>
              <w:topLinePunct w:val="0"/>
              <w:bidi w:val="0"/>
              <w:spacing w:line="24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项目需求及现状分析（5分）</w:t>
            </w:r>
          </w:p>
        </w:tc>
        <w:tc>
          <w:tcPr>
            <w:tcW w:w="5925" w:type="dxa"/>
            <w:vAlign w:val="center"/>
          </w:tcPr>
          <w:p w14:paraId="26C7CCEB">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eastAsia="宋体" w:cs="宋体"/>
                <w:color w:val="000000" w:themeColor="text1"/>
                <w:highlight w:val="none"/>
                <w:lang w:val="en-US" w:eastAsia="zh-CN"/>
                <w14:textFill>
                  <w14:solidFill>
                    <w14:schemeClr w14:val="tx1"/>
                  </w14:solidFill>
                </w14:textFill>
              </w:rPr>
              <w:t>提供的针对</w:t>
            </w:r>
            <w:r>
              <w:rPr>
                <w:rFonts w:hint="eastAsia" w:ascii="宋体" w:hAnsi="宋体" w:eastAsia="宋体" w:cs="宋体"/>
                <w:color w:val="000000" w:themeColor="text1"/>
                <w:highlight w:val="none"/>
                <w14:textFill>
                  <w14:solidFill>
                    <w14:schemeClr w14:val="tx1"/>
                  </w14:solidFill>
                </w14:textFill>
              </w:rPr>
              <w:t>本项目</w:t>
            </w:r>
            <w:r>
              <w:rPr>
                <w:rFonts w:hint="eastAsia" w:ascii="宋体" w:hAnsi="宋体" w:eastAsia="宋体" w:cs="宋体"/>
                <w:color w:val="000000" w:themeColor="text1"/>
                <w:highlight w:val="none"/>
                <w:lang w:val="en-US" w:eastAsia="zh-CN"/>
                <w14:textFill>
                  <w14:solidFill>
                    <w14:schemeClr w14:val="tx1"/>
                  </w14:solidFill>
                </w14:textFill>
              </w:rPr>
              <w:t>的建设目标、现状分析</w:t>
            </w:r>
            <w:r>
              <w:rPr>
                <w:rFonts w:hint="eastAsia" w:ascii="宋体" w:hAnsi="宋体" w:eastAsia="宋体" w:cs="宋体"/>
                <w:color w:val="000000" w:themeColor="text1"/>
                <w:highlight w:val="none"/>
                <w14:textFill>
                  <w14:solidFill>
                    <w14:schemeClr w14:val="tx1"/>
                  </w14:solidFill>
                </w14:textFill>
              </w:rPr>
              <w:t>进行评议。</w:t>
            </w:r>
          </w:p>
          <w:p w14:paraId="7B0EA1C1">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建设目标符合采购需求，</w:t>
            </w:r>
            <w:r>
              <w:rPr>
                <w:rFonts w:hint="eastAsia" w:ascii="宋体" w:hAnsi="宋体" w:eastAsia="宋体" w:cs="宋体"/>
                <w:color w:val="000000" w:themeColor="text1"/>
                <w:highlight w:val="none"/>
                <w14:textFill>
                  <w14:solidFill>
                    <w14:schemeClr w14:val="tx1"/>
                  </w14:solidFill>
                </w14:textFill>
              </w:rPr>
              <w:t>分析</w:t>
            </w:r>
            <w:r>
              <w:rPr>
                <w:rFonts w:hint="eastAsia" w:ascii="宋体" w:hAnsi="宋体" w:eastAsia="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14:textFill>
                  <w14:solidFill>
                    <w14:schemeClr w14:val="tx1"/>
                  </w14:solidFill>
                </w14:textFill>
              </w:rPr>
              <w:t xml:space="preserve">详细完善、充分理解现状的得5分；  </w:t>
            </w:r>
          </w:p>
          <w:p w14:paraId="1268E615">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t>建设目标基本符合采购需求，</w:t>
            </w:r>
            <w:r>
              <w:rPr>
                <w:rFonts w:hint="eastAsia" w:ascii="宋体" w:hAnsi="宋体" w:eastAsia="宋体" w:cs="宋体"/>
                <w:color w:val="000000" w:themeColor="text1"/>
                <w:highlight w:val="none"/>
                <w14:textFill>
                  <w14:solidFill>
                    <w14:schemeClr w14:val="tx1"/>
                  </w14:solidFill>
                </w14:textFill>
              </w:rPr>
              <w:t>分析</w:t>
            </w:r>
            <w:r>
              <w:rPr>
                <w:rFonts w:hint="eastAsia" w:ascii="宋体" w:hAnsi="宋体" w:eastAsia="宋体" w:cs="宋体"/>
                <w:color w:val="000000" w:themeColor="text1"/>
                <w:highlight w:val="none"/>
                <w:lang w:val="en-US" w:eastAsia="zh-CN"/>
                <w14:textFill>
                  <w14:solidFill>
                    <w14:schemeClr w14:val="tx1"/>
                  </w14:solidFill>
                </w14:textFill>
              </w:rPr>
              <w:t>内容</w:t>
            </w:r>
            <w:r>
              <w:rPr>
                <w:rFonts w:hint="eastAsia" w:ascii="宋体" w:hAnsi="宋体" w:eastAsia="宋体" w:cs="宋体"/>
                <w:color w:val="000000" w:themeColor="text1"/>
                <w:highlight w:val="none"/>
                <w14:textFill>
                  <w14:solidFill>
                    <w14:schemeClr w14:val="tx1"/>
                  </w14:solidFill>
                </w14:textFill>
              </w:rPr>
              <w:t>较为完善、基本合理可行但有所欠缺的得3分；</w:t>
            </w:r>
          </w:p>
          <w:p w14:paraId="07DFCD71">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建设目标不符合采购需求，</w:t>
            </w:r>
            <w:r>
              <w:rPr>
                <w:rFonts w:hint="eastAsia" w:ascii="宋体" w:hAnsi="宋体" w:eastAsia="宋体" w:cs="宋体"/>
                <w:color w:val="000000" w:themeColor="text1"/>
                <w:highlight w:val="none"/>
                <w14:textFill>
                  <w14:solidFill>
                    <w14:schemeClr w14:val="tx1"/>
                  </w14:solidFill>
                </w14:textFill>
              </w:rPr>
              <w:t xml:space="preserve">分析内容不全、有明显不合理之处的得1分；    </w:t>
            </w:r>
          </w:p>
          <w:p w14:paraId="49EBAAB3">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④未提供相关内容不得分。</w:t>
            </w:r>
          </w:p>
        </w:tc>
        <w:tc>
          <w:tcPr>
            <w:tcW w:w="1066" w:type="dxa"/>
            <w:vAlign w:val="center"/>
          </w:tcPr>
          <w:p w14:paraId="0F6BF742">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lang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48E3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008" w:type="dxa"/>
            <w:vMerge w:val="continue"/>
            <w:vAlign w:val="center"/>
          </w:tcPr>
          <w:p w14:paraId="07BF47E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7D9F1B0B">
            <w:pPr>
              <w:widowControl/>
              <w:snapToGrid w:val="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重点难点分析</w:t>
            </w:r>
          </w:p>
          <w:p w14:paraId="72035481">
            <w:pPr>
              <w:widowControl/>
              <w:snapToGrid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vAlign w:val="center"/>
          </w:tcPr>
          <w:p w14:paraId="62C835B1">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根据投标人针对本项目的重点难点分析进行评审：</w:t>
            </w:r>
          </w:p>
          <w:p w14:paraId="55F9E65B">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①重点难点分析透彻、全面的得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16408D67">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②重点难点分析</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14:textFill>
                  <w14:solidFill>
                    <w14:schemeClr w14:val="tx1"/>
                  </w14:solidFill>
                </w14:textFill>
              </w:rPr>
              <w:t>全面的得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w:t>
            </w:r>
          </w:p>
          <w:p w14:paraId="465D2004">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③重点难点分析不全面的得1分；</w:t>
            </w:r>
          </w:p>
          <w:p w14:paraId="3E02E912">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15C116C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1239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1232341B">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6B697860">
            <w:pPr>
              <w:widowControl/>
              <w:snapToGrid w:val="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重点难点解决方案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center"/>
          </w:tcPr>
          <w:p w14:paraId="02CCAB2D">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根据投标人针对本项目的重点难点解决方案进行评审：</w:t>
            </w:r>
          </w:p>
          <w:p w14:paraId="7AC93215">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①重点难点解决措施针对性</w:t>
            </w:r>
            <w:r>
              <w:rPr>
                <w:rFonts w:hint="eastAsia" w:ascii="宋体" w:hAnsi="宋体" w:cs="宋体"/>
                <w:color w:val="000000" w:themeColor="text1"/>
                <w:highlight w:val="none"/>
                <w:lang w:val="en-US" w:eastAsia="zh-CN"/>
                <w14:textFill>
                  <w14:solidFill>
                    <w14:schemeClr w14:val="tx1"/>
                  </w14:solidFill>
                </w14:textFill>
              </w:rPr>
              <w:t>强</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06F59A6E">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②重点难点解决措施</w:t>
            </w:r>
            <w:r>
              <w:rPr>
                <w:rFonts w:hint="eastAsia"/>
                <w:color w:val="000000" w:themeColor="text1"/>
                <w:highlight w:val="none"/>
                <w:lang w:val="en-US" w:eastAsia="zh-CN"/>
                <w14:textFill>
                  <w14:solidFill>
                    <w14:schemeClr w14:val="tx1"/>
                  </w14:solidFill>
                </w14:textFill>
              </w:rPr>
              <w:t>具有一定的针对性</w:t>
            </w:r>
            <w:r>
              <w:rPr>
                <w:rFonts w:hint="eastAsia" w:ascii="宋体" w:hAnsi="宋体" w:eastAsia="宋体" w:cs="宋体"/>
                <w:color w:val="000000" w:themeColor="text1"/>
                <w:highlight w:val="none"/>
                <w14:textFill>
                  <w14:solidFill>
                    <w14:schemeClr w14:val="tx1"/>
                  </w14:solidFill>
                </w14:textFill>
              </w:rPr>
              <w:t>，但略有不足的得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w:t>
            </w:r>
          </w:p>
          <w:p w14:paraId="2A8D3D97">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③重点难点解决措施无针对性的得1分；</w:t>
            </w:r>
          </w:p>
          <w:p w14:paraId="51B198BF">
            <w:pPr>
              <w:keepNext w:val="0"/>
              <w:keepLines w:val="0"/>
              <w:pageBreakBefore w:val="0"/>
              <w:widowControl/>
              <w:kinsoku/>
              <w:wordWrap/>
              <w:overflowPunct/>
              <w:topLinePunct w:val="0"/>
              <w:bidi w:val="0"/>
              <w:spacing w:line="240" w:lineRule="auto"/>
              <w:jc w:val="left"/>
              <w:textAlignment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06F4021B">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主观分</w:t>
            </w:r>
          </w:p>
        </w:tc>
      </w:tr>
      <w:tr w14:paraId="3013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62781055">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656F5F58">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p>
          <w:p w14:paraId="2724E71F">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项目实施方案(</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5925" w:type="dxa"/>
            <w:vAlign w:val="center"/>
          </w:tcPr>
          <w:p w14:paraId="235128E1">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eastAsia="宋体" w:cs="宋体"/>
                <w:color w:val="000000" w:themeColor="text1"/>
                <w:highlight w:val="none"/>
                <w:lang w:val="en-US" w:eastAsia="zh-CN"/>
                <w14:textFill>
                  <w14:solidFill>
                    <w14:schemeClr w14:val="tx1"/>
                  </w14:solidFill>
                </w14:textFill>
              </w:rPr>
              <w:t>提供的项目实施</w:t>
            </w:r>
            <w:r>
              <w:rPr>
                <w:rFonts w:hint="eastAsia" w:ascii="宋体" w:hAnsi="宋体" w:cs="宋体"/>
                <w:color w:val="000000" w:themeColor="text1"/>
                <w:highlight w:val="none"/>
                <w:lang w:val="en-US" w:eastAsia="zh-CN"/>
                <w14:textFill>
                  <w14:solidFill>
                    <w14:schemeClr w14:val="tx1"/>
                  </w14:solidFill>
                </w14:textFill>
              </w:rPr>
              <w:t>方案</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包括</w:t>
            </w:r>
            <w:r>
              <w:rPr>
                <w:rFonts w:hint="eastAsia" w:ascii="宋体" w:hAnsi="宋体" w:cs="宋体"/>
                <w:color w:val="000000" w:themeColor="text1"/>
                <w:highlight w:val="none"/>
                <w:lang w:val="en-US" w:eastAsia="zh-CN"/>
                <w14:textFill>
                  <w14:solidFill>
                    <w14:schemeClr w14:val="tx1"/>
                  </w14:solidFill>
                </w14:textFill>
              </w:rPr>
              <w:t>实施内容、实施流程、实施计划等）</w:t>
            </w:r>
            <w:r>
              <w:rPr>
                <w:rFonts w:hint="eastAsia" w:ascii="宋体" w:hAnsi="宋体" w:eastAsia="宋体" w:cs="宋体"/>
                <w:color w:val="000000" w:themeColor="text1"/>
                <w:highlight w:val="none"/>
                <w14:textFill>
                  <w14:solidFill>
                    <w14:schemeClr w14:val="tx1"/>
                  </w14:solidFill>
                </w14:textFill>
              </w:rPr>
              <w:t>进行评议：</w:t>
            </w:r>
          </w:p>
          <w:p w14:paraId="753B63B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项目实施内容全面，实施流程规范</w:t>
            </w:r>
            <w:r>
              <w:rPr>
                <w:rFonts w:hint="eastAsia" w:ascii="宋体" w:hAnsi="宋体" w:cs="宋体"/>
                <w:color w:val="000000" w:themeColor="text1"/>
                <w:highlight w:val="none"/>
                <w:lang w:val="en-US" w:eastAsia="zh-CN"/>
                <w14:textFill>
                  <w14:solidFill>
                    <w14:schemeClr w14:val="tx1"/>
                  </w14:solidFill>
                </w14:textFill>
              </w:rPr>
              <w:t>，实施计划合理</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5138403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t>项目实施内容较全面，实施流程</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lang w:val="en-US" w:eastAsia="zh-CN"/>
                <w14:textFill>
                  <w14:solidFill>
                    <w14:schemeClr w14:val="tx1"/>
                  </w14:solidFill>
                </w14:textFill>
              </w:rPr>
              <w:t>规范</w:t>
            </w:r>
            <w:r>
              <w:rPr>
                <w:rFonts w:hint="eastAsia" w:ascii="宋体" w:hAnsi="宋体" w:cs="宋体"/>
                <w:color w:val="000000" w:themeColor="text1"/>
                <w:highlight w:val="none"/>
                <w:lang w:val="en-US" w:eastAsia="zh-CN"/>
                <w14:textFill>
                  <w14:solidFill>
                    <w14:schemeClr w14:val="tx1"/>
                  </w14:solidFill>
                </w14:textFill>
              </w:rPr>
              <w:t>，实施计划较合理</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6557B09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项目实施内容不全面，实施流程不规范</w:t>
            </w:r>
            <w:r>
              <w:rPr>
                <w:rFonts w:hint="eastAsia" w:ascii="宋体" w:hAnsi="宋体" w:cs="宋体"/>
                <w:color w:val="000000" w:themeColor="text1"/>
                <w:highlight w:val="none"/>
                <w:lang w:val="en-US" w:eastAsia="zh-CN"/>
                <w14:textFill>
                  <w14:solidFill>
                    <w14:schemeClr w14:val="tx1"/>
                  </w14:solidFill>
                </w14:textFill>
              </w:rPr>
              <w:t>，实施计划不合理</w:t>
            </w:r>
            <w:r>
              <w:rPr>
                <w:rFonts w:hint="eastAsia" w:ascii="宋体" w:hAnsi="宋体" w:eastAsia="宋体" w:cs="宋体"/>
                <w:color w:val="000000" w:themeColor="text1"/>
                <w:highlight w:val="none"/>
                <w14:textFill>
                  <w14:solidFill>
                    <w14:schemeClr w14:val="tx1"/>
                  </w14:solidFill>
                </w14:textFill>
              </w:rPr>
              <w:t>的得1分；</w:t>
            </w:r>
          </w:p>
          <w:p w14:paraId="326FC523">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④未提供相关内容不得分。</w:t>
            </w:r>
          </w:p>
        </w:tc>
        <w:tc>
          <w:tcPr>
            <w:tcW w:w="1066" w:type="dxa"/>
            <w:vAlign w:val="center"/>
          </w:tcPr>
          <w:p w14:paraId="5EC066FA">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6865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303ED431">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Merge w:val="restart"/>
            <w:vAlign w:val="center"/>
          </w:tcPr>
          <w:p w14:paraId="00D4EED8">
            <w:pPr>
              <w:keepNext w:val="0"/>
              <w:keepLines w:val="0"/>
              <w:pageBreakBefore w:val="0"/>
              <w:kinsoku/>
              <w:wordWrap/>
              <w:overflowPunct/>
              <w:topLinePunct w:val="0"/>
              <w:bidi w:val="0"/>
              <w:spacing w:line="240" w:lineRule="auto"/>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拟派实施团队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5925" w:type="dxa"/>
            <w:shd w:val="clear" w:color="auto" w:fill="auto"/>
            <w:vAlign w:val="center"/>
          </w:tcPr>
          <w:p w14:paraId="3146C10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根据投标人拟派本项目的实施团队，包括人员结构、数量进行评议：</w:t>
            </w:r>
          </w:p>
          <w:p w14:paraId="3CCE07E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①人员结构合理、人员数量满足项目需求的得5分；</w:t>
            </w:r>
          </w:p>
          <w:p w14:paraId="77FA1AD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②人员结构较合理、人员数量基本</w:t>
            </w:r>
            <w:r>
              <w:rPr>
                <w:rFonts w:hint="eastAsia" w:ascii="宋体" w:hAnsi="宋体" w:cs="宋体"/>
                <w:color w:val="000000" w:themeColor="text1"/>
                <w:highlight w:val="none"/>
                <w:lang w:val="en-US" w:eastAsia="zh-CN"/>
                <w14:textFill>
                  <w14:solidFill>
                    <w14:schemeClr w14:val="tx1"/>
                  </w14:solidFill>
                </w14:textFill>
              </w:rPr>
              <w:t>满足</w:t>
            </w:r>
            <w:r>
              <w:rPr>
                <w:rFonts w:hint="eastAsia" w:ascii="宋体" w:hAnsi="宋体" w:eastAsia="宋体" w:cs="宋体"/>
                <w:color w:val="000000" w:themeColor="text1"/>
                <w:highlight w:val="none"/>
                <w:lang w:val="en-US" w:eastAsia="zh-CN"/>
                <w14:textFill>
                  <w14:solidFill>
                    <w14:schemeClr w14:val="tx1"/>
                  </w14:solidFill>
                </w14:textFill>
              </w:rPr>
              <w:t>项目需求的得3分；</w:t>
            </w:r>
          </w:p>
          <w:p w14:paraId="62844C08">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③人员结构不合理、人员数量不能满足项目需求的得1分；</w:t>
            </w:r>
          </w:p>
          <w:p w14:paraId="4DF04809">
            <w:pPr>
              <w:keepNext w:val="0"/>
              <w:keepLines w:val="0"/>
              <w:pageBreakBefore w:val="0"/>
              <w:kinsoku/>
              <w:wordWrap/>
              <w:overflowPunct/>
              <w:topLinePunct w:val="0"/>
              <w:bidi w:val="0"/>
              <w:spacing w:line="240" w:lineRule="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④未提供相关内容不得分。</w:t>
            </w:r>
          </w:p>
        </w:tc>
        <w:tc>
          <w:tcPr>
            <w:tcW w:w="1066" w:type="dxa"/>
            <w:vAlign w:val="center"/>
          </w:tcPr>
          <w:p w14:paraId="65C4E8FB">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3512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67CE3D13">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Merge w:val="continue"/>
            <w:vAlign w:val="center"/>
          </w:tcPr>
          <w:p w14:paraId="6B7EDAFF">
            <w:pPr>
              <w:keepNext w:val="0"/>
              <w:keepLines w:val="0"/>
              <w:pageBreakBefore w:val="0"/>
              <w:kinsoku/>
              <w:wordWrap/>
              <w:overflowPunct/>
              <w:topLinePunct w:val="0"/>
              <w:bidi w:val="0"/>
              <w:spacing w:line="240" w:lineRule="auto"/>
              <w:jc w:val="center"/>
              <w:rPr>
                <w:rFonts w:hint="eastAsia" w:ascii="宋体" w:hAnsi="宋体" w:cs="宋体"/>
                <w:color w:val="000000" w:themeColor="text1"/>
                <w:kern w:val="0"/>
                <w:szCs w:val="21"/>
                <w:highlight w:val="none"/>
                <w:lang w:val="en-US" w:eastAsia="zh-CN"/>
                <w14:textFill>
                  <w14:solidFill>
                    <w14:schemeClr w14:val="tx1"/>
                  </w14:solidFill>
                </w14:textFill>
              </w:rPr>
            </w:pPr>
          </w:p>
        </w:tc>
        <w:tc>
          <w:tcPr>
            <w:tcW w:w="5925" w:type="dxa"/>
            <w:shd w:val="clear" w:color="auto" w:fill="auto"/>
            <w:vAlign w:val="center"/>
          </w:tcPr>
          <w:p w14:paraId="24C821D9">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根据投标人提供的人员</w:t>
            </w:r>
            <w:r>
              <w:rPr>
                <w:rFonts w:hint="eastAsia" w:ascii="宋体" w:hAnsi="宋体" w:cs="宋体"/>
                <w:color w:val="000000" w:themeColor="text1"/>
                <w:highlight w:val="none"/>
                <w:lang w:val="en-US" w:eastAsia="zh-CN"/>
                <w14:textFill>
                  <w14:solidFill>
                    <w14:schemeClr w14:val="tx1"/>
                  </w14:solidFill>
                </w14:textFill>
              </w:rPr>
              <w:t>考核及</w:t>
            </w:r>
            <w:r>
              <w:rPr>
                <w:rFonts w:hint="eastAsia" w:ascii="宋体" w:hAnsi="宋体" w:eastAsia="宋体" w:cs="宋体"/>
                <w:color w:val="000000" w:themeColor="text1"/>
                <w:highlight w:val="none"/>
                <w:lang w:val="en-US" w:eastAsia="zh-CN"/>
                <w14:textFill>
                  <w14:solidFill>
                    <w14:schemeClr w14:val="tx1"/>
                  </w14:solidFill>
                </w14:textFill>
              </w:rPr>
              <w:t>管理制度进行评议：</w:t>
            </w:r>
          </w:p>
          <w:p w14:paraId="0449F73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①人员考核制度及管理制度完整、合理的得5分；</w:t>
            </w:r>
          </w:p>
          <w:p w14:paraId="7B47294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②人员考核制度及管理制度较完整、较合理的得3分；</w:t>
            </w:r>
          </w:p>
          <w:p w14:paraId="5259C954">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③人员考核制度及管理制度不完整、不合理的得1分；</w:t>
            </w:r>
          </w:p>
          <w:p w14:paraId="6D004059">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④未提供相关方案的不得分。</w:t>
            </w:r>
          </w:p>
        </w:tc>
        <w:tc>
          <w:tcPr>
            <w:tcW w:w="1066" w:type="dxa"/>
            <w:vAlign w:val="center"/>
          </w:tcPr>
          <w:p w14:paraId="7A712E0C">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5387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6A47781F">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4EFF5B02">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质量保证措施</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vAlign w:val="center"/>
          </w:tcPr>
          <w:p w14:paraId="57AE827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根据投标人针对本项目的质量保证措施进行评议：</w:t>
            </w:r>
          </w:p>
          <w:p w14:paraId="611A7B7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t>质量保证措施可行、方案全面的得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46928B3F">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t>质量保证措施较可行、方案较全面的得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19BE9A21">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t>质量保证措施不可行、方案不全面的得1分；</w:t>
            </w:r>
          </w:p>
          <w:p w14:paraId="0620B28B">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w:t>
            </w:r>
            <w:r>
              <w:rPr>
                <w:rFonts w:hint="eastAsia" w:ascii="宋体" w:hAnsi="宋体" w:eastAsia="宋体" w:cs="宋体"/>
                <w:color w:val="000000" w:themeColor="text1"/>
                <w:highlight w:val="none"/>
                <w14:textFill>
                  <w14:solidFill>
                    <w14:schemeClr w14:val="tx1"/>
                  </w14:solidFill>
                </w14:textFill>
              </w:rPr>
              <w:t>未提供相关内容不得分。</w:t>
            </w:r>
          </w:p>
        </w:tc>
        <w:tc>
          <w:tcPr>
            <w:tcW w:w="1066" w:type="dxa"/>
            <w:vAlign w:val="center"/>
          </w:tcPr>
          <w:p w14:paraId="036CF49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276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008" w:type="dxa"/>
            <w:vMerge w:val="continue"/>
            <w:vAlign w:val="center"/>
          </w:tcPr>
          <w:p w14:paraId="60A80DA0">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6F7C3211">
            <w:pPr>
              <w:widowControl/>
              <w:spacing w:line="3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验收方案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top"/>
          </w:tcPr>
          <w:p w14:paraId="6AB149B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根据投标人提供的项目整体验收方案</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包括验收前自检、验收内容、验收标准、技术支持资料、验收发现问题的整改保障措施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进行评议：</w:t>
            </w:r>
          </w:p>
          <w:p w14:paraId="3FE99A95">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①方案内容详细完善，针对性强，具有可操作性，整体安排合理，验收保障措施考虑到位的，得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14D12D0C">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②方案内容较详细，具有一定针对性，可操作性一般，整体安排较合理，验收保障措施基本考虑到位的，得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5F88F7B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③方案内容简单笼统，缺乏针对性，可操作性弱，整体安排欠合理，验收保障措施考虑不够到位的，得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14:paraId="529E36D7">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1BDAEF6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4AC8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1177AE77">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7523F0D3">
            <w:pPr>
              <w:widowControl/>
              <w:snapToGrid w:val="0"/>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保密方案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center"/>
          </w:tcPr>
          <w:p w14:paraId="5EE74A9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根据投标人针对本项目的保密方案（包括</w:t>
            </w:r>
            <w:r>
              <w:rPr>
                <w:rFonts w:hint="eastAsia" w:ascii="宋体" w:hAnsi="宋体" w:eastAsia="宋体" w:cs="宋体"/>
                <w:color w:val="000000" w:themeColor="text1"/>
                <w:highlight w:val="none"/>
                <w:lang w:val="en-US" w:eastAsia="zh-CN"/>
                <w14:textFill>
                  <w14:solidFill>
                    <w14:schemeClr w14:val="tx1"/>
                  </w14:solidFill>
                </w14:textFill>
              </w:rPr>
              <w:t>保密制度、防范措施、人员保密教育等</w:t>
            </w:r>
            <w:r>
              <w:rPr>
                <w:rFonts w:hint="eastAsia" w:ascii="宋体" w:hAnsi="宋体" w:eastAsia="宋体" w:cs="宋体"/>
                <w:color w:val="000000" w:themeColor="text1"/>
                <w:highlight w:val="none"/>
                <w14:textFill>
                  <w14:solidFill>
                    <w14:schemeClr w14:val="tx1"/>
                  </w14:solidFill>
                </w14:textFill>
              </w:rPr>
              <w:t>）进行评审：</w:t>
            </w:r>
          </w:p>
          <w:p w14:paraId="1740391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①保密方案内容完整，保密制度健全，防范措施完善，人员保密教育到位，能严格履行保密责任的得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401ED778">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②保密方案内容较为完整，保密制度较为健全，防范措施较完善，人员保密教育基本到位，基本能履行保密责任的得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7A9AFC2C">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③保密方案内容简单笼统，缺乏具体操作细则，保密责任不明确或难以落实的得1分；</w:t>
            </w:r>
          </w:p>
          <w:p w14:paraId="12B8AD84">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④未提供相关内容的不得分。</w:t>
            </w:r>
          </w:p>
        </w:tc>
        <w:tc>
          <w:tcPr>
            <w:tcW w:w="1066" w:type="dxa"/>
            <w:vAlign w:val="center"/>
          </w:tcPr>
          <w:p w14:paraId="6A24609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2D1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5395D6F9">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shd w:val="clear" w:color="auto" w:fill="auto"/>
            <w:vAlign w:val="center"/>
          </w:tcPr>
          <w:p w14:paraId="115F3611">
            <w:pPr>
              <w:widowControl/>
              <w:snapToGrid w:val="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文档管理方案</w:t>
            </w:r>
            <w:r>
              <w:rPr>
                <w:rFonts w:hint="eastAsia" w:ascii="宋体" w:hAnsi="宋体" w:eastAsia="宋体" w:cs="宋体"/>
                <w:color w:val="000000" w:themeColor="text1"/>
                <w:szCs w:val="21"/>
                <w:highlight w:val="none"/>
                <w14:textFill>
                  <w14:solidFill>
                    <w14:schemeClr w14:val="tx1"/>
                  </w14:solidFill>
                </w14:textFill>
              </w:rPr>
              <w:t>（5分）</w:t>
            </w:r>
          </w:p>
        </w:tc>
        <w:tc>
          <w:tcPr>
            <w:tcW w:w="5925" w:type="dxa"/>
            <w:shd w:val="clear" w:color="auto" w:fill="auto"/>
            <w:vAlign w:val="center"/>
          </w:tcPr>
          <w:p w14:paraId="0BB4C2EA">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w:t>
            </w:r>
            <w:r>
              <w:rPr>
                <w:rFonts w:hint="eastAsia" w:ascii="宋体" w:hAnsi="宋体" w:cs="宋体"/>
                <w:color w:val="000000" w:themeColor="text1"/>
                <w:highlight w:val="none"/>
                <w:lang w:val="en-US" w:eastAsia="zh-CN"/>
                <w14:textFill>
                  <w14:solidFill>
                    <w14:schemeClr w14:val="tx1"/>
                  </w14:solidFill>
                </w14:textFill>
              </w:rPr>
              <w:t>测评过程</w:t>
            </w:r>
            <w:r>
              <w:rPr>
                <w:rFonts w:hint="eastAsia" w:ascii="宋体" w:hAnsi="宋体" w:eastAsia="宋体" w:cs="宋体"/>
                <w:color w:val="000000" w:themeColor="text1"/>
                <w:highlight w:val="none"/>
                <w:lang w:val="en-US" w:eastAsia="zh-CN"/>
                <w14:textFill>
                  <w14:solidFill>
                    <w14:schemeClr w14:val="tx1"/>
                  </w14:solidFill>
                </w14:textFill>
              </w:rPr>
              <w:t>中的</w:t>
            </w:r>
            <w:r>
              <w:rPr>
                <w:rFonts w:hint="eastAsia" w:ascii="宋体" w:hAnsi="宋体" w:eastAsia="宋体" w:cs="宋体"/>
                <w:color w:val="000000" w:themeColor="text1"/>
                <w:highlight w:val="none"/>
                <w14:textFill>
                  <w14:solidFill>
                    <w14:schemeClr w14:val="tx1"/>
                  </w14:solidFill>
                </w14:textFill>
              </w:rPr>
              <w:t>文档管理方案进行评议：</w:t>
            </w:r>
          </w:p>
          <w:p w14:paraId="3F85DFD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lang w:val="zh-CN"/>
                <w14:textFill>
                  <w14:solidFill>
                    <w14:schemeClr w14:val="tx1"/>
                  </w14:solidFill>
                </w14:textFill>
              </w:rPr>
              <w:t>方案内容编制全面，能很好契合项目实际情况</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4A15A5A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lang w:val="zh-CN"/>
                <w14:textFill>
                  <w14:solidFill>
                    <w14:schemeClr w14:val="tx1"/>
                  </w14:solidFill>
                </w14:textFill>
              </w:rPr>
              <w:t>方案内容编制合理、基本契合项目情况，但方案内容操作性一般</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241CFB28">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lang w:val="zh-CN"/>
                <w14:textFill>
                  <w14:solidFill>
                    <w14:schemeClr w14:val="tx1"/>
                  </w14:solidFill>
                </w14:textFill>
              </w:rPr>
              <w:t>方案内容编制存在瑕疵，与项目实际情况存在出入，操作性差</w:t>
            </w:r>
            <w:r>
              <w:rPr>
                <w:rFonts w:hint="eastAsia" w:ascii="宋体" w:hAnsi="宋体" w:eastAsia="宋体" w:cs="宋体"/>
                <w:color w:val="000000" w:themeColor="text1"/>
                <w:highlight w:val="none"/>
                <w14:textFill>
                  <w14:solidFill>
                    <w14:schemeClr w14:val="tx1"/>
                  </w14:solidFill>
                </w14:textFill>
              </w:rPr>
              <w:t>的得1分；</w:t>
            </w:r>
          </w:p>
          <w:p w14:paraId="06E4BE6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不得分。</w:t>
            </w:r>
          </w:p>
        </w:tc>
        <w:tc>
          <w:tcPr>
            <w:tcW w:w="1066" w:type="dxa"/>
            <w:vAlign w:val="center"/>
          </w:tcPr>
          <w:p w14:paraId="20EA3F65">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531A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4798990B">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37871BE7">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技术支持</w:t>
            </w:r>
            <w:r>
              <w:rPr>
                <w:rFonts w:hint="eastAsia" w:ascii="宋体" w:hAnsi="宋体" w:eastAsia="宋体" w:cs="宋体"/>
                <w:color w:val="000000" w:themeColor="text1"/>
                <w:kern w:val="0"/>
                <w:szCs w:val="21"/>
                <w:highlight w:val="none"/>
                <w:lang w:val="en-US" w:eastAsia="zh-CN"/>
                <w14:textFill>
                  <w14:solidFill>
                    <w14:schemeClr w14:val="tx1"/>
                  </w14:solidFill>
                </w14:textFill>
              </w:rPr>
              <w:t>方案</w:t>
            </w:r>
          </w:p>
          <w:p w14:paraId="2A96D658">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5925" w:type="dxa"/>
            <w:vAlign w:val="center"/>
          </w:tcPr>
          <w:p w14:paraId="267198B1">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根据投标人提供的</w:t>
            </w:r>
            <w:r>
              <w:rPr>
                <w:rFonts w:hint="eastAsia" w:ascii="宋体" w:hAnsi="宋体" w:eastAsia="宋体" w:cs="宋体"/>
                <w:color w:val="000000" w:themeColor="text1"/>
                <w:highlight w:val="none"/>
                <w:lang w:val="en-US" w:eastAsia="zh-CN"/>
                <w14:textFill>
                  <w14:solidFill>
                    <w14:schemeClr w14:val="tx1"/>
                  </w14:solidFill>
                </w14:textFill>
              </w:rPr>
              <w:t>针对本项目的</w:t>
            </w:r>
            <w:r>
              <w:rPr>
                <w:rFonts w:hint="eastAsia" w:ascii="宋体" w:hAnsi="宋体" w:cs="宋体"/>
                <w:color w:val="000000" w:themeColor="text1"/>
                <w:highlight w:val="none"/>
                <w:lang w:val="en-US" w:eastAsia="zh-CN"/>
                <w14:textFill>
                  <w14:solidFill>
                    <w14:schemeClr w14:val="tx1"/>
                  </w14:solidFill>
                </w14:textFill>
              </w:rPr>
              <w:t>技术支持承诺及</w:t>
            </w:r>
            <w:r>
              <w:rPr>
                <w:rFonts w:hint="eastAsia" w:ascii="宋体" w:hAnsi="宋体" w:eastAsia="宋体" w:cs="宋体"/>
                <w:color w:val="000000" w:themeColor="text1"/>
                <w:highlight w:val="none"/>
                <w14:textFill>
                  <w14:solidFill>
                    <w14:schemeClr w14:val="tx1"/>
                  </w14:solidFill>
                </w14:textFill>
              </w:rPr>
              <w:t>服务响应时间进行评议。</w:t>
            </w:r>
          </w:p>
          <w:p w14:paraId="0CE46349">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①方案详细完善、合理可行的得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52D9587D">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②方案较为完善、基本合理可行但有所欠缺的得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351B636A">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③方案内容不全、有明显不合理之处的得1分；</w:t>
            </w:r>
          </w:p>
          <w:p w14:paraId="6CE18AAA">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④未提供相关内容不得分。</w:t>
            </w:r>
          </w:p>
        </w:tc>
        <w:tc>
          <w:tcPr>
            <w:tcW w:w="1066" w:type="dxa"/>
            <w:vAlign w:val="center"/>
          </w:tcPr>
          <w:p w14:paraId="1A099211">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主观分</w:t>
            </w:r>
          </w:p>
        </w:tc>
      </w:tr>
      <w:tr w14:paraId="6A8B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4B264F88">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60C01572">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业绩</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tc>
        <w:tc>
          <w:tcPr>
            <w:tcW w:w="5925" w:type="dxa"/>
            <w:vAlign w:val="center"/>
          </w:tcPr>
          <w:p w14:paraId="46A0F745">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自202</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年1月1日（以合同签订时间为准）至今</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具有同类</w:t>
            </w:r>
            <w:r>
              <w:rPr>
                <w:rFonts w:hint="eastAsia" w:ascii="宋体" w:hAnsi="宋体" w:eastAsia="宋体" w:cs="宋体"/>
                <w:color w:val="000000" w:themeColor="text1"/>
                <w:highlight w:val="none"/>
                <w:lang w:val="en-US" w:eastAsia="zh-CN"/>
                <w14:textFill>
                  <w14:solidFill>
                    <w14:schemeClr w14:val="tx1"/>
                  </w14:solidFill>
                </w14:textFill>
              </w:rPr>
              <w:t>项目</w:t>
            </w:r>
            <w:r>
              <w:rPr>
                <w:rFonts w:hint="eastAsia" w:ascii="宋体" w:hAnsi="宋体" w:eastAsia="宋体" w:cs="宋体"/>
                <w:color w:val="000000" w:themeColor="text1"/>
                <w:highlight w:val="none"/>
                <w14:textFill>
                  <w14:solidFill>
                    <w14:schemeClr w14:val="tx1"/>
                  </w14:solidFill>
                </w14:textFill>
              </w:rPr>
              <w:t>业绩合同，每提供一个合同业绩证明材料得</w:t>
            </w:r>
            <w:r>
              <w:rPr>
                <w:rFonts w:hint="eastAsia" w:ascii="宋体" w:hAnsi="宋体" w:eastAsia="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14:textFill>
                  <w14:solidFill>
                    <w14:schemeClr w14:val="tx1"/>
                  </w14:solidFill>
                </w14:textFill>
              </w:rPr>
              <w:t>分，最多得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14:paraId="7789F7F2">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备注：投标文件中</w:t>
            </w:r>
            <w:r>
              <w:rPr>
                <w:rFonts w:hint="eastAsia" w:ascii="宋体" w:hAnsi="宋体" w:eastAsia="宋体" w:cs="宋体"/>
                <w:color w:val="000000" w:themeColor="text1"/>
                <w:highlight w:val="none"/>
                <w14:textFill>
                  <w14:solidFill>
                    <w14:schemeClr w14:val="tx1"/>
                  </w14:solidFill>
                </w14:textFill>
              </w:rPr>
              <w:t>提供业绩合同</w:t>
            </w:r>
            <w:r>
              <w:rPr>
                <w:rFonts w:hint="eastAsia" w:ascii="宋体" w:hAnsi="宋体" w:eastAsia="宋体" w:cs="宋体"/>
                <w:color w:val="000000" w:themeColor="text1"/>
                <w:highlight w:val="none"/>
                <w:lang w:val="en-US" w:eastAsia="zh-CN"/>
                <w14:textFill>
                  <w14:solidFill>
                    <w14:schemeClr w14:val="tx1"/>
                  </w14:solidFill>
                </w14:textFill>
              </w:rPr>
              <w:t>扫描件</w:t>
            </w:r>
            <w:r>
              <w:rPr>
                <w:rFonts w:hint="eastAsia" w:ascii="宋体" w:hAnsi="宋体" w:eastAsia="宋体" w:cs="宋体"/>
                <w:color w:val="000000" w:themeColor="text1"/>
                <w:highlight w:val="none"/>
                <w14:textFill>
                  <w14:solidFill>
                    <w14:schemeClr w14:val="tx1"/>
                  </w14:solidFill>
                </w14:textFill>
              </w:rPr>
              <w:t>并加盖公章，未提供</w:t>
            </w:r>
            <w:r>
              <w:rPr>
                <w:rFonts w:hint="eastAsia" w:ascii="宋体" w:hAnsi="宋体" w:eastAsia="宋体" w:cs="宋体"/>
                <w:color w:val="000000" w:themeColor="text1"/>
                <w:highlight w:val="none"/>
                <w:lang w:val="en-US" w:eastAsia="zh-CN"/>
                <w14:textFill>
                  <w14:solidFill>
                    <w14:schemeClr w14:val="tx1"/>
                  </w14:solidFill>
                </w14:textFill>
              </w:rPr>
              <w:t>或未按要求加盖公章的均</w:t>
            </w:r>
            <w:r>
              <w:rPr>
                <w:rFonts w:hint="eastAsia" w:ascii="宋体" w:hAnsi="宋体" w:eastAsia="宋体" w:cs="宋体"/>
                <w:color w:val="000000" w:themeColor="text1"/>
                <w:highlight w:val="none"/>
                <w14:textFill>
                  <w14:solidFill>
                    <w14:schemeClr w14:val="tx1"/>
                  </w14:solidFill>
                </w14:textFill>
              </w:rPr>
              <w:t>不得分。</w:t>
            </w:r>
          </w:p>
        </w:tc>
        <w:tc>
          <w:tcPr>
            <w:tcW w:w="1066" w:type="dxa"/>
            <w:vAlign w:val="center"/>
          </w:tcPr>
          <w:p w14:paraId="5A7158E8">
            <w:pPr>
              <w:keepNext w:val="0"/>
              <w:keepLines w:val="0"/>
              <w:pageBreakBefore w:val="0"/>
              <w:kinsoku/>
              <w:wordWrap/>
              <w:overflowPunct/>
              <w:topLinePunct w:val="0"/>
              <w:bidi w:val="0"/>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客观分</w:t>
            </w:r>
          </w:p>
        </w:tc>
      </w:tr>
      <w:tr w14:paraId="4ED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70611E9D">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6575301F">
            <w:pPr>
              <w:spacing w:line="240" w:lineRule="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体系认证（</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tc>
        <w:tc>
          <w:tcPr>
            <w:tcW w:w="5925" w:type="dxa"/>
            <w:vAlign w:val="center"/>
          </w:tcPr>
          <w:p w14:paraId="6655ACA0">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具有质量管理体系认证、环境管理体系认证、职业健康安全管理体系认证、信息技术服务管理体系认证或信息安全管理体系认证的，每个认证得</w:t>
            </w:r>
            <w:r>
              <w:rPr>
                <w:rFonts w:hint="eastAsia" w:ascii="宋体" w:hAnsi="宋体" w:eastAsia="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14:textFill>
                  <w14:solidFill>
                    <w14:schemeClr w14:val="tx1"/>
                  </w14:solidFill>
                </w14:textFill>
              </w:rPr>
              <w:t>分，满分</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p>
          <w:p w14:paraId="3980C6A5">
            <w:pPr>
              <w:keepNext w:val="0"/>
              <w:keepLines w:val="0"/>
              <w:pageBreakBefore w:val="0"/>
              <w:kinsoku/>
              <w:wordWrap/>
              <w:overflowPunct/>
              <w:topLinePunct w:val="0"/>
              <w:bidi w:val="0"/>
              <w:spacing w:line="24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备注：投标文件中提供有效的认证证书复印件（扫描件）及国家认证认可监督管理委员会官网（http://www.cnca.gov.cn/）查询截图（查询结果须为有效）并加盖投标人公章。</w:t>
            </w:r>
          </w:p>
        </w:tc>
        <w:tc>
          <w:tcPr>
            <w:tcW w:w="1066" w:type="dxa"/>
            <w:vAlign w:val="center"/>
          </w:tcPr>
          <w:p w14:paraId="2BC038AF">
            <w:pPr>
              <w:spacing w:line="24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客观分</w:t>
            </w:r>
          </w:p>
        </w:tc>
      </w:tr>
      <w:tr w14:paraId="28E9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 w:type="dxa"/>
            <w:vMerge w:val="continue"/>
            <w:vAlign w:val="center"/>
          </w:tcPr>
          <w:p w14:paraId="0D08EF00">
            <w:pPr>
              <w:keepNext w:val="0"/>
              <w:keepLines w:val="0"/>
              <w:pageBreakBefore w:val="0"/>
              <w:kinsoku/>
              <w:wordWrap/>
              <w:overflowPunct/>
              <w:topLinePunct w:val="0"/>
              <w:bidi w:val="0"/>
              <w:spacing w:line="24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649" w:type="dxa"/>
            <w:vAlign w:val="center"/>
          </w:tcPr>
          <w:p w14:paraId="24390678">
            <w:pPr>
              <w:spacing w:line="24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软件著作权证书（2分）</w:t>
            </w:r>
          </w:p>
        </w:tc>
        <w:tc>
          <w:tcPr>
            <w:tcW w:w="5925" w:type="dxa"/>
            <w:vAlign w:val="center"/>
          </w:tcPr>
          <w:p w14:paraId="5AC7CC67">
            <w:pPr>
              <w:keepNext w:val="0"/>
              <w:keepLines w:val="0"/>
              <w:pageBreakBefore w:val="0"/>
              <w:kinsoku/>
              <w:wordWrap/>
              <w:overflowPunct/>
              <w:topLinePunct w:val="0"/>
              <w:bidi w:val="0"/>
              <w:spacing w:line="240" w:lineRule="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投标人具有与本项目软件功能相关的软件著作权证书的，每个证书得0.5分，满分2分。</w:t>
            </w:r>
          </w:p>
          <w:p w14:paraId="5A300FAD">
            <w:pPr>
              <w:keepNext w:val="0"/>
              <w:keepLines w:val="0"/>
              <w:pageBreakBefore w:val="0"/>
              <w:kinsoku/>
              <w:wordWrap/>
              <w:overflowPunct/>
              <w:topLinePunct w:val="0"/>
              <w:bidi w:val="0"/>
              <w:spacing w:line="240"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备注：投标文件中提供</w:t>
            </w:r>
            <w:r>
              <w:rPr>
                <w:rFonts w:hint="eastAsia" w:ascii="宋体" w:hAnsi="宋体" w:cs="宋体"/>
                <w:color w:val="000000" w:themeColor="text1"/>
                <w:highlight w:val="none"/>
                <w:lang w:val="en-US" w:eastAsia="zh-CN"/>
                <w14:textFill>
                  <w14:solidFill>
                    <w14:schemeClr w14:val="tx1"/>
                  </w14:solidFill>
                </w14:textFill>
              </w:rPr>
              <w:t>软件著作权证书</w:t>
            </w:r>
            <w:r>
              <w:rPr>
                <w:rFonts w:hint="eastAsia" w:ascii="宋体" w:hAnsi="宋体" w:eastAsia="宋体" w:cs="宋体"/>
                <w:color w:val="000000" w:themeColor="text1"/>
                <w:highlight w:val="none"/>
                <w14:textFill>
                  <w14:solidFill>
                    <w14:schemeClr w14:val="tx1"/>
                  </w14:solidFill>
                </w14:textFill>
              </w:rPr>
              <w:t>扫描件</w:t>
            </w:r>
            <w:r>
              <w:rPr>
                <w:rFonts w:hint="eastAsia" w:ascii="宋体" w:hAnsi="宋体" w:cs="宋体"/>
                <w:color w:val="000000" w:themeColor="text1"/>
                <w:highlight w:val="none"/>
                <w:lang w:val="en-US" w:eastAsia="zh-CN"/>
                <w14:textFill>
                  <w14:solidFill>
                    <w14:schemeClr w14:val="tx1"/>
                  </w14:solidFill>
                </w14:textFill>
              </w:rPr>
              <w:t>加盖投标人公章。</w:t>
            </w:r>
          </w:p>
          <w:p w14:paraId="0137C597">
            <w:pPr>
              <w:keepNext w:val="0"/>
              <w:keepLines w:val="0"/>
              <w:pageBreakBefore w:val="0"/>
              <w:kinsoku/>
              <w:wordWrap/>
              <w:overflowPunct/>
              <w:topLinePunct w:val="0"/>
              <w:bidi w:val="0"/>
              <w:spacing w:line="240" w:lineRule="auto"/>
              <w:rPr>
                <w:rFonts w:hint="default" w:ascii="宋体" w:hAnsi="宋体" w:cs="宋体"/>
                <w:color w:val="000000" w:themeColor="text1"/>
                <w:highlight w:val="none"/>
                <w:lang w:val="en-US" w:eastAsia="zh-CN"/>
                <w14:textFill>
                  <w14:solidFill>
                    <w14:schemeClr w14:val="tx1"/>
                  </w14:solidFill>
                </w14:textFill>
              </w:rPr>
            </w:pPr>
          </w:p>
        </w:tc>
        <w:tc>
          <w:tcPr>
            <w:tcW w:w="1066" w:type="dxa"/>
            <w:vAlign w:val="center"/>
          </w:tcPr>
          <w:p w14:paraId="63467DA2">
            <w:pPr>
              <w:spacing w:line="24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客观分</w:t>
            </w:r>
          </w:p>
        </w:tc>
      </w:tr>
      <w:bookmarkEnd w:id="457"/>
    </w:tbl>
    <w:p w14:paraId="13718C54">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1）投标人编制投标文件（商务技术文件部分）时，建议按此目录（序号和内容）提供评标标准相应的商务技术资料。（2）评委在上表设定的分值范围内打分(四舍五入保留两位小数)，平均分值计算四舍五入保留两位小数点。 </w:t>
      </w:r>
      <w:r>
        <w:rPr>
          <w:rFonts w:hint="eastAsia" w:ascii="宋体" w:hAnsi="宋体" w:cs="宋体"/>
          <w:color w:val="000000" w:themeColor="text1"/>
          <w:szCs w:val="21"/>
          <w:highlight w:val="none"/>
          <w14:textFill>
            <w14:solidFill>
              <w14:schemeClr w14:val="tx1"/>
            </w14:solidFill>
          </w14:textFill>
        </w:rPr>
        <w:t> </w:t>
      </w:r>
    </w:p>
    <w:p w14:paraId="4E3EA4C7">
      <w:pPr>
        <w:rPr>
          <w:rFonts w:ascii="宋体" w:hAnsi="宋体" w:cs="宋体"/>
          <w:b/>
          <w:color w:val="000000" w:themeColor="text1"/>
          <w:sz w:val="24"/>
          <w:highlight w:val="none"/>
          <w14:textFill>
            <w14:solidFill>
              <w14:schemeClr w14:val="tx1"/>
            </w14:solidFill>
          </w14:textFill>
        </w:rPr>
      </w:pPr>
      <w:bookmarkStart w:id="458" w:name="_Toc22860"/>
      <w:r>
        <w:rPr>
          <w:rFonts w:hint="eastAsia" w:ascii="宋体" w:hAnsi="宋体" w:cs="宋体"/>
          <w:b/>
          <w:color w:val="000000" w:themeColor="text1"/>
          <w:sz w:val="24"/>
          <w:highlight w:val="none"/>
          <w14:textFill>
            <w14:solidFill>
              <w14:schemeClr w14:val="tx1"/>
            </w14:solidFill>
          </w14:textFill>
        </w:rPr>
        <w:br w:type="page"/>
      </w:r>
    </w:p>
    <w:p w14:paraId="0AAF4958">
      <w:pPr>
        <w:spacing w:line="360" w:lineRule="auto"/>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一、评标方法</w:t>
      </w:r>
      <w:bookmarkEnd w:id="458"/>
    </w:p>
    <w:p w14:paraId="125277EA">
      <w:pPr>
        <w:adjustRightInd/>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1.本项目采用综合评分法。</w:t>
      </w:r>
      <w:r>
        <w:rPr>
          <w:rFonts w:hint="eastAsia" w:ascii="宋体" w:hAnsi="宋体" w:cs="宋体"/>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24D7CC5D">
      <w:pPr>
        <w:spacing w:line="360" w:lineRule="auto"/>
        <w:outlineLvl w:val="1"/>
        <w:rPr>
          <w:rFonts w:ascii="宋体" w:hAnsi="宋体" w:cs="宋体"/>
          <w:b/>
          <w:color w:val="000000" w:themeColor="text1"/>
          <w:sz w:val="24"/>
          <w:highlight w:val="none"/>
          <w14:textFill>
            <w14:solidFill>
              <w14:schemeClr w14:val="tx1"/>
            </w14:solidFill>
          </w14:textFill>
        </w:rPr>
      </w:pPr>
      <w:bookmarkStart w:id="459" w:name="_Toc29389"/>
      <w:r>
        <w:rPr>
          <w:rFonts w:hint="eastAsia" w:ascii="宋体" w:hAnsi="宋体" w:cs="宋体"/>
          <w:b/>
          <w:color w:val="000000" w:themeColor="text1"/>
          <w:sz w:val="24"/>
          <w:highlight w:val="none"/>
          <w14:textFill>
            <w14:solidFill>
              <w14:schemeClr w14:val="tx1"/>
            </w14:solidFill>
          </w14:textFill>
        </w:rPr>
        <w:t>二、评标标准</w:t>
      </w:r>
      <w:bookmarkEnd w:id="459"/>
    </w:p>
    <w:p w14:paraId="3AD42BA7">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评标标准：</w:t>
      </w:r>
      <w:r>
        <w:rPr>
          <w:rFonts w:hint="eastAsia" w:ascii="宋体" w:hAnsi="宋体" w:cs="宋体"/>
          <w:color w:val="000000" w:themeColor="text1"/>
          <w:kern w:val="0"/>
          <w:sz w:val="24"/>
          <w:highlight w:val="none"/>
          <w14:textFill>
            <w14:solidFill>
              <w14:schemeClr w14:val="tx1"/>
            </w14:solidFill>
          </w14:textFill>
        </w:rPr>
        <w:t>见评标办法前附表。</w:t>
      </w:r>
    </w:p>
    <w:p w14:paraId="361CE056">
      <w:pPr>
        <w:spacing w:line="360" w:lineRule="auto"/>
        <w:outlineLvl w:val="1"/>
        <w:rPr>
          <w:rFonts w:ascii="宋体" w:hAnsi="宋体" w:cs="宋体"/>
          <w:b/>
          <w:color w:val="000000" w:themeColor="text1"/>
          <w:sz w:val="24"/>
          <w:highlight w:val="none"/>
          <w14:textFill>
            <w14:solidFill>
              <w14:schemeClr w14:val="tx1"/>
            </w14:solidFill>
          </w14:textFill>
        </w:rPr>
      </w:pPr>
      <w:bookmarkStart w:id="460" w:name="_Toc1306"/>
      <w:r>
        <w:rPr>
          <w:rFonts w:hint="eastAsia" w:ascii="宋体" w:hAnsi="宋体" w:cs="宋体"/>
          <w:b/>
          <w:color w:val="000000" w:themeColor="text1"/>
          <w:sz w:val="24"/>
          <w:highlight w:val="none"/>
          <w14:textFill>
            <w14:solidFill>
              <w14:schemeClr w14:val="tx1"/>
            </w14:solidFill>
          </w14:textFill>
        </w:rPr>
        <w:t>三、评标程序</w:t>
      </w:r>
      <w:bookmarkEnd w:id="460"/>
    </w:p>
    <w:p w14:paraId="2872BB22">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3.1符合性审查。</w:t>
      </w:r>
      <w:r>
        <w:rPr>
          <w:rFonts w:hint="eastAsia" w:ascii="宋体" w:hAnsi="宋体" w:cs="宋体"/>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2A419F16">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3.2 比较与评价。</w:t>
      </w:r>
      <w:r>
        <w:rPr>
          <w:rFonts w:hint="eastAsia" w:ascii="宋体" w:hAnsi="宋体" w:cs="宋体"/>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248A1131">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3.3汇总商务技术得分。</w:t>
      </w:r>
      <w:r>
        <w:rPr>
          <w:rFonts w:hint="eastAsia" w:ascii="宋体" w:hAnsi="宋体" w:cs="宋体"/>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p>
    <w:p w14:paraId="19D7445B">
      <w:pPr>
        <w:spacing w:line="360" w:lineRule="auto"/>
        <w:ind w:firstLine="472" w:firstLineChars="196"/>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3.4报价评审。</w:t>
      </w:r>
    </w:p>
    <w:p w14:paraId="29C9CC34">
      <w:pPr>
        <w:pStyle w:val="133"/>
        <w:spacing w:before="0"/>
        <w:ind w:firstLine="508" w:firstLineChars="212"/>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3.4.1投标文件报价出现前后不一致的，按照下列规定修正：</w:t>
      </w:r>
    </w:p>
    <w:p w14:paraId="22C71ED2">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14:paraId="624C5D6B">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3.4.1.2大写金额和小写金额不一致的，以大写金额为准；</w:t>
      </w:r>
    </w:p>
    <w:p w14:paraId="74963F81">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14:paraId="352B963C">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3.4.1.4总价金额与按单价汇总金额不一致的，以单价金额计算结果为准。</w:t>
      </w:r>
    </w:p>
    <w:p w14:paraId="36CFFF4B">
      <w:pPr>
        <w:pStyle w:val="133"/>
        <w:spacing w:before="0"/>
        <w:ind w:firstLine="48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1F11EB58">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3.4.2投标文件出现不是唯一的、有选择性投标报价的，投标无效。</w:t>
      </w:r>
    </w:p>
    <w:p w14:paraId="0BC0DF8A">
      <w:pPr>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3.4.3投标报价超过招标文件中规定的预算金额或者最高限价的，投标无效。</w:t>
      </w:r>
    </w:p>
    <w:p w14:paraId="3D0C9CB2">
      <w:pPr>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3.4.4</w:t>
      </w:r>
      <w:r>
        <w:rPr>
          <w:rFonts w:hint="eastAsia" w:ascii="宋体" w:hAnsi="宋体" w:eastAsia="宋体" w:cs="宋体"/>
          <w:color w:val="000000" w:themeColor="text1"/>
          <w:kern w:val="0"/>
          <w:sz w:val="24"/>
          <w:highlight w:val="none"/>
          <w:lang w:val="en-US" w:eastAsia="zh-CN"/>
          <w14:textFill>
            <w14:solidFill>
              <w14:schemeClr w14:val="tx1"/>
            </w14:solidFill>
          </w14:textFill>
        </w:rPr>
        <w:t>异常低价审查</w:t>
      </w:r>
    </w:p>
    <w:p w14:paraId="46FB43D1">
      <w:pPr>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3.4.4.1评审中出现下列情形之一的，评标委员会应当启动异常低价投标审查程序：</w:t>
      </w:r>
    </w:p>
    <w:p w14:paraId="5C0E5516">
      <w:pPr>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（1）投标报价低于全部通过符合性审查供应商投标报价平均值50%的，即投标报价＜全部通过符合性审查供应商投标报价平均值×50%；</w:t>
      </w:r>
    </w:p>
    <w:p w14:paraId="7A3FE11C">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（2）投标报价低于通过符合性审查的次低报价供应商投标报价50%的，即投标报价＜通过符合性审查的次低报价供应商投标报价×50%；</w:t>
      </w:r>
    </w:p>
    <w:p w14:paraId="5E1A3908">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（3）投标报价低于采购项目最高限价45%的，即投标报价＜采购项目最高限价×45%；</w:t>
      </w:r>
    </w:p>
    <w:p w14:paraId="7B54BFDA">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（4）评标委员会基于专业判断，认为供应商报价过低，有可能影响产品质量或者不能诚信履约的其他情形。</w:t>
      </w:r>
    </w:p>
    <w:p w14:paraId="4E2DDCA8">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相关法律法规对供应商报价有规定的，从其规定。</w:t>
      </w:r>
    </w:p>
    <w:p w14:paraId="1EE2719E">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0BA0FBC">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4C3D5D7">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hint="eastAsia"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lang w:val="en-US" w:eastAsia="zh-CN"/>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710B900C">
      <w:pPr>
        <w:pStyle w:val="133"/>
        <w:keepNext w:val="0"/>
        <w:keepLines w:val="0"/>
        <w:pageBreakBefore w:val="0"/>
        <w:widowControl w:val="0"/>
        <w:kinsoku/>
        <w:wordWrap/>
        <w:overflowPunct/>
        <w:topLinePunct w:val="0"/>
        <w:autoSpaceDE/>
        <w:autoSpaceDN/>
        <w:bidi w:val="0"/>
        <w:adjustRightInd w:val="0"/>
        <w:snapToGrid/>
        <w:spacing w:before="0"/>
        <w:ind w:firstLine="480"/>
        <w:textAlignment w:val="auto"/>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Cs w:val="24"/>
          <w:highlight w:val="none"/>
          <w14:textFill>
            <w14:solidFill>
              <w14:schemeClr w14:val="tx1"/>
            </w14:solidFill>
          </w14:textFill>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55F9FB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3.5排序与推荐。</w:t>
      </w:r>
      <w:r>
        <w:rPr>
          <w:rFonts w:hint="eastAsia" w:ascii="宋体" w:hAnsi="宋体"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r>
        <w:rPr>
          <w:rFonts w:hint="eastAsia" w:ascii="宋体" w:hAnsi="宋体" w:cs="宋体"/>
          <w:b/>
          <w:bCs/>
          <w:color w:val="000000" w:themeColor="text1"/>
          <w:kern w:val="0"/>
          <w:sz w:val="24"/>
          <w:highlight w:val="none"/>
          <w14:textFill>
            <w14:solidFill>
              <w14:schemeClr w14:val="tx1"/>
            </w14:solidFill>
          </w14:textFill>
        </w:rPr>
        <w:t>中标候选人数量：</w:t>
      </w:r>
      <w:r>
        <w:rPr>
          <w:rFonts w:hint="eastAsia" w:ascii="宋体" w:hAnsi="宋体" w:cs="宋体"/>
          <w:color w:val="000000" w:themeColor="text1"/>
          <w:kern w:val="0"/>
          <w:sz w:val="24"/>
          <w:highlight w:val="none"/>
          <w14:textFill>
            <w14:solidFill>
              <w14:schemeClr w14:val="tx1"/>
            </w14:solidFill>
          </w14:textFill>
        </w:rPr>
        <w:t>有效投标供应商数量等于3家时，中标候选人数量为1家；有效投标供应商数量等于4家时，中标候选人数量为2家；有效投标供应商数量大于等于5家时，中标候选人数量为3家。</w:t>
      </w:r>
    </w:p>
    <w:p w14:paraId="23794AEC">
      <w:pPr>
        <w:spacing w:line="360" w:lineRule="auto"/>
        <w:ind w:firstLine="480"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6C0C9F2">
      <w:pPr>
        <w:spacing w:line="360" w:lineRule="auto"/>
        <w:ind w:firstLine="472" w:firstLineChars="196"/>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3.6编写评标报告。</w:t>
      </w:r>
      <w:r>
        <w:rPr>
          <w:rFonts w:hint="eastAsia" w:ascii="宋体" w:hAnsi="宋体"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5F661AC">
      <w:pPr>
        <w:spacing w:line="360" w:lineRule="auto"/>
        <w:outlineLvl w:val="1"/>
        <w:rPr>
          <w:rFonts w:ascii="宋体" w:hAnsi="宋体" w:cs="宋体"/>
          <w:b/>
          <w:color w:val="000000" w:themeColor="text1"/>
          <w:sz w:val="24"/>
          <w:highlight w:val="none"/>
          <w14:textFill>
            <w14:solidFill>
              <w14:schemeClr w14:val="tx1"/>
            </w14:solidFill>
          </w14:textFill>
        </w:rPr>
      </w:pPr>
      <w:bookmarkStart w:id="461" w:name="_Toc29108"/>
      <w:r>
        <w:rPr>
          <w:rFonts w:hint="eastAsia" w:ascii="宋体" w:hAnsi="宋体" w:cs="宋体"/>
          <w:b/>
          <w:color w:val="000000" w:themeColor="text1"/>
          <w:sz w:val="24"/>
          <w:highlight w:val="none"/>
          <w14:textFill>
            <w14:solidFill>
              <w14:schemeClr w14:val="tx1"/>
            </w14:solidFill>
          </w14:textFill>
        </w:rPr>
        <w:t>四、评标中的其他事项</w:t>
      </w:r>
      <w:bookmarkEnd w:id="461"/>
    </w:p>
    <w:p w14:paraId="2CDD12DA">
      <w:pPr>
        <w:pStyle w:val="133"/>
        <w:spacing w:before="0"/>
        <w:ind w:firstLine="472" w:firstLineChars="196"/>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b/>
          <w:color w:val="000000" w:themeColor="text1"/>
          <w:kern w:val="0"/>
          <w:szCs w:val="24"/>
          <w:highlight w:val="none"/>
          <w14:textFill>
            <w14:solidFill>
              <w14:schemeClr w14:val="tx1"/>
            </w14:solidFill>
          </w14:textFill>
        </w:rPr>
        <w:t>4.1投标人澄清、说明或者补正。</w:t>
      </w:r>
      <w:r>
        <w:rPr>
          <w:rFonts w:hint="eastAsia" w:ascii="宋体" w:hAnsi="宋体"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章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F9D15A2">
      <w:pPr>
        <w:pStyle w:val="24"/>
        <w:spacing w:line="360" w:lineRule="auto"/>
        <w:ind w:left="954" w:leftChars="226" w:hanging="479" w:firstLineChars="0"/>
        <w:rPr>
          <w:rFonts w:cs="宋体"/>
          <w:color w:val="000000" w:themeColor="text1"/>
          <w:szCs w:val="2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4.2投标无效。</w:t>
      </w:r>
      <w:r>
        <w:rPr>
          <w:rFonts w:hint="eastAsia" w:cs="宋体"/>
          <w:color w:val="000000" w:themeColor="text1"/>
          <w:szCs w:val="21"/>
          <w:highlight w:val="none"/>
          <w14:textFill>
            <w14:solidFill>
              <w14:schemeClr w14:val="tx1"/>
            </w14:solidFill>
          </w14:textFill>
        </w:rPr>
        <w:t>有下列情形之一的，投标无效：</w:t>
      </w:r>
    </w:p>
    <w:p w14:paraId="0360C03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24B426E1">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4.2.2投标文件未按照招标文件要求签署、盖章的；</w:t>
      </w:r>
    </w:p>
    <w:p w14:paraId="3D4E4C5C">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4.2.3投标文件含有采购人不能接受的附加条件的；</w:t>
      </w:r>
    </w:p>
    <w:p w14:paraId="179DAACA">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4.2.4投标文件中承诺的投标有效期少于招标文件中载明的投标有效期的；</w:t>
      </w:r>
    </w:p>
    <w:p w14:paraId="376C6595">
      <w:pPr>
        <w:snapToGrid w:val="0"/>
        <w:spacing w:line="360" w:lineRule="auto"/>
        <w:ind w:firstLine="120" w:firstLineChars="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4.2.5投标文件出现不是唯一的、有选择性投标报价的;</w:t>
      </w:r>
    </w:p>
    <w:p w14:paraId="353F1AA4">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4.2.6投标报价超过招标文件中规定的预算金额或者最高限价的;</w:t>
      </w:r>
    </w:p>
    <w:p w14:paraId="684BF6C3">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4.2.7</w:t>
      </w:r>
      <w:r>
        <w:rPr>
          <w:rFonts w:hint="eastAsia" w:ascii="宋体" w:hAnsi="宋体" w:cs="宋体"/>
          <w:color w:val="000000" w:themeColor="text1"/>
          <w:kern w:val="0"/>
          <w:sz w:val="24"/>
          <w:highlight w:val="none"/>
          <w:lang w:val="en-US" w:eastAsia="zh-CN"/>
          <w14:textFill>
            <w14:solidFill>
              <w14:schemeClr w14:val="tx1"/>
            </w14:solidFill>
          </w14:textFill>
        </w:rPr>
        <w:t>评标委员会启动异常低价投标审查程序后，投标人不能提供书面说明、证明材料，或者提供的书面说明、证明材料不能证明其报价合理性的</w:t>
      </w:r>
      <w:r>
        <w:rPr>
          <w:rFonts w:hint="eastAsia" w:ascii="宋体" w:hAnsi="宋体" w:cs="宋体"/>
          <w:color w:val="000000" w:themeColor="text1"/>
          <w:kern w:val="0"/>
          <w:sz w:val="24"/>
          <w:highlight w:val="none"/>
          <w14:textFill>
            <w14:solidFill>
              <w14:schemeClr w14:val="tx1"/>
            </w14:solidFill>
          </w14:textFill>
        </w:rPr>
        <w:t>;</w:t>
      </w:r>
    </w:p>
    <w:p w14:paraId="072594D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4.2.8投标人对根据修正原则修正后的报价不确认的；</w:t>
      </w:r>
    </w:p>
    <w:p w14:paraId="45A796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4.2.9投标人提供虚假材料投标的；</w:t>
      </w:r>
    </w:p>
    <w:p w14:paraId="2CE6ACE1">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4.2.10投标人有恶意串通、妨碍其他投标人的竞争行为、损害采购人或者其他投标人的合法权益情形的；</w:t>
      </w:r>
    </w:p>
    <w:p w14:paraId="21F50463">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4.2.11投标人仅提交备份投标文件，未在电子交易平台传输递交投标文件的，投标无效；</w:t>
      </w:r>
    </w:p>
    <w:p w14:paraId="25D8B017">
      <w:pPr>
        <w:pStyle w:val="3"/>
        <w:ind w:left="862" w:leftChars="205"/>
        <w:rPr>
          <w:rFonts w:ascii="宋体" w:hAnsi="宋体" w:eastAsia="宋体" w:cs="宋体"/>
          <w:b w:val="0"/>
          <w:bCs w:val="0"/>
          <w:color w:val="000000" w:themeColor="text1"/>
          <w:kern w:val="0"/>
          <w:sz w:val="24"/>
          <w:szCs w:val="24"/>
          <w:highlight w:val="none"/>
          <w:lang w:val="en-US"/>
          <w14:textFill>
            <w14:solidFill>
              <w14:schemeClr w14:val="tx1"/>
            </w14:solidFill>
          </w14:textFill>
        </w:rPr>
      </w:pPr>
      <w:bookmarkStart w:id="462" w:name="_Toc16784"/>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4.2.12 投标文件不满足招标文件的其它实质性要求的；</w:t>
      </w:r>
      <w:bookmarkEnd w:id="462"/>
    </w:p>
    <w:p w14:paraId="449497D8">
      <w:pPr>
        <w:numPr>
          <w:ilvl w:val="0"/>
          <w:numId w:val="0"/>
        </w:numPr>
        <w:adjustRightInd/>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4.2.13</w:t>
      </w:r>
      <w:r>
        <w:rPr>
          <w:rFonts w:hint="eastAsia" w:ascii="宋体" w:hAnsi="宋体"/>
          <w:color w:val="000000" w:themeColor="text1"/>
          <w:sz w:val="24"/>
          <w:highlight w:val="none"/>
          <w14:textFill>
            <w14:solidFill>
              <w14:schemeClr w14:val="tx1"/>
            </w14:solidFill>
          </w14:textFill>
        </w:rPr>
        <w:t>参与同一个采购包（标段）的供应商存在下列情形之一且无法合理解释的，其响应文件无效：</w:t>
      </w:r>
    </w:p>
    <w:p w14:paraId="44910856">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不同供应商的电子投标（响应）文件上传计算机的网卡MAC地址或硬盘序列号等硬件信息相同的</w:t>
      </w:r>
      <w:r>
        <w:rPr>
          <w:rFonts w:hint="eastAsia" w:ascii="宋体" w:hAnsi="宋体" w:cs="宋体"/>
          <w:color w:val="000000" w:themeColor="text1"/>
          <w:kern w:val="0"/>
          <w:sz w:val="24"/>
          <w:highlight w:val="none"/>
          <w:lang w:eastAsia="zh-CN"/>
          <w14:textFill>
            <w14:solidFill>
              <w14:schemeClr w14:val="tx1"/>
            </w14:solidFill>
          </w14:textFill>
        </w:rPr>
        <w:t>。</w:t>
      </w:r>
    </w:p>
    <w:p w14:paraId="3503CECD">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上传的电子投标（响应）文件若出现使用本项目其他投标（响应）供应商的数字证书加密的，或者加盖本项目其他投标（响应）供应商的电子印章的</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307CAF95">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不同供应商的投标（响应）文件的内容存在3处（含）以上错误一致的</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7CA9247A">
      <w:pPr>
        <w:numPr>
          <w:ilvl w:val="0"/>
          <w:numId w:val="0"/>
        </w:numPr>
        <w:adjustRightInd/>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不同供应商联系人为同一人或不同联系人的联系电话一致的。</w:t>
      </w:r>
    </w:p>
    <w:p w14:paraId="46C650A3">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（5）不同供应商在相同Internet主机分配地址（相同IP地址）获取招标文件或网上投标的</w:t>
      </w:r>
      <w:r>
        <w:rPr>
          <w:rFonts w:hint="eastAsia" w:ascii="宋体" w:hAnsi="宋体"/>
          <w:color w:val="000000" w:themeColor="text1"/>
          <w:sz w:val="24"/>
          <w:highlight w:val="none"/>
          <w:lang w:eastAsia="zh-CN"/>
          <w14:textFill>
            <w14:solidFill>
              <w14:schemeClr w14:val="tx1"/>
            </w14:solidFill>
          </w14:textFill>
        </w:rPr>
        <w:t>；</w:t>
      </w:r>
    </w:p>
    <w:p w14:paraId="08B01E47">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4.2.14法律、法规、规章（适用本市的）及省级以上规范性文件（适用本市的）规定的其他无效情形。</w:t>
      </w:r>
    </w:p>
    <w:p w14:paraId="063E8F30">
      <w:pPr>
        <w:pStyle w:val="24"/>
        <w:snapToGrid w:val="0"/>
        <w:spacing w:line="360" w:lineRule="auto"/>
        <w:ind w:firstLine="472" w:firstLineChars="196"/>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5.废标。</w:t>
      </w:r>
      <w:r>
        <w:rPr>
          <w:rFonts w:hint="eastAsia" w:cs="宋体"/>
          <w:color w:val="000000" w:themeColor="text1"/>
          <w:highlight w:val="none"/>
          <w14:textFill>
            <w14:solidFill>
              <w14:schemeClr w14:val="tx1"/>
            </w14:solidFill>
          </w14:textFill>
        </w:rPr>
        <w:t>根据《中华人民共和国政府采购法》第三十六条之规定，在采购中，出现下列情形之一的，应予废标：</w:t>
      </w:r>
    </w:p>
    <w:p w14:paraId="6BB0A8E7">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5.1符合专业条件的供应商或者对招标文件作实质响应的供应商不足3家的；</w:t>
      </w:r>
    </w:p>
    <w:p w14:paraId="78E8840E">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5.2出现影响采购公正的违法、违规行为的；</w:t>
      </w:r>
    </w:p>
    <w:p w14:paraId="0CB12E6A">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5.3投标人的报价均超过了采购预算，采购人不能支付的；</w:t>
      </w:r>
    </w:p>
    <w:p w14:paraId="16DE7210">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5.4因重大变故，采购任务取消的。</w:t>
      </w:r>
    </w:p>
    <w:p w14:paraId="79A89CEE">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废标后，采购代理机构应当将废标理由通知所有投标人。</w:t>
      </w:r>
    </w:p>
    <w:p w14:paraId="1277EAA7">
      <w:pPr>
        <w:pStyle w:val="24"/>
        <w:snapToGrid w:val="0"/>
        <w:spacing w:line="360" w:lineRule="auto"/>
        <w:ind w:firstLine="590" w:firstLineChars="245"/>
        <w:rPr>
          <w:rFonts w:cs="宋体"/>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6.修改招标文件，重新组织采购活动。</w:t>
      </w:r>
      <w:r>
        <w:rPr>
          <w:rFonts w:hint="eastAsia"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FB12988">
      <w:pPr>
        <w:pStyle w:val="24"/>
        <w:snapToGrid w:val="0"/>
        <w:spacing w:line="360" w:lineRule="auto"/>
        <w:ind w:firstLine="482"/>
        <w:rPr>
          <w:rFonts w:cs="宋体"/>
          <w:color w:val="000000" w:themeColor="text1"/>
          <w:highlight w:val="none"/>
          <w14:textFill>
            <w14:solidFill>
              <w14:schemeClr w14:val="tx1"/>
            </w14:solidFill>
          </w14:textFill>
        </w:rPr>
      </w:pPr>
      <w:r>
        <w:rPr>
          <w:rFonts w:hint="eastAsia" w:cs="宋体"/>
          <w:b/>
          <w:color w:val="000000" w:themeColor="text1"/>
          <w:kern w:val="0"/>
          <w:highlight w:val="none"/>
          <w14:textFill>
            <w14:solidFill>
              <w14:schemeClr w14:val="tx1"/>
            </w14:solidFill>
          </w14:textFill>
        </w:rPr>
        <w:t>7.重新开展采购。</w:t>
      </w:r>
      <w:r>
        <w:rPr>
          <w:rFonts w:hint="eastAsia"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14:paraId="701AE2B1">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7.1未确定中标供应商的，终止本次政府采购活动，重新开展政府采购活动。</w:t>
      </w:r>
    </w:p>
    <w:p w14:paraId="3CAFD4D9">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7AE29686">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7ACB1914">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7.4政府采购合同已经履行，给采购人、供应商造成损失的，由责任人承担赔偿责任。</w:t>
      </w:r>
    </w:p>
    <w:p w14:paraId="7DDB4101">
      <w:pPr>
        <w:pStyle w:val="24"/>
        <w:snapToGrid w:val="0"/>
        <w:spacing w:line="360" w:lineRule="auto"/>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62"/>
    <w:p w14:paraId="6B5F1131">
      <w:pPr>
        <w:rPr>
          <w:color w:val="000000" w:themeColor="text1"/>
          <w:highlight w:val="none"/>
          <w14:textFill>
            <w14:solidFill>
              <w14:schemeClr w14:val="tx1"/>
            </w14:solidFill>
          </w14:textFill>
        </w:rPr>
      </w:pPr>
      <w:bookmarkStart w:id="463" w:name="第五部分"/>
      <w:bookmarkStart w:id="464" w:name="_Toc86217003"/>
      <w:r>
        <w:rPr>
          <w:color w:val="000000" w:themeColor="text1"/>
          <w:highlight w:val="none"/>
          <w14:textFill>
            <w14:solidFill>
              <w14:schemeClr w14:val="tx1"/>
            </w14:solidFill>
          </w14:textFill>
        </w:rPr>
        <w:br w:type="page"/>
      </w:r>
    </w:p>
    <w:p w14:paraId="1184A828">
      <w:pPr>
        <w:numPr>
          <w:ilvl w:val="0"/>
          <w:numId w:val="9"/>
        </w:num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465" w:name="_Toc12957"/>
      <w:bookmarkStart w:id="466" w:name="_Toc20593"/>
      <w:r>
        <w:rPr>
          <w:rFonts w:hint="eastAsia" w:ascii="宋体" w:hAnsi="宋体" w:cs="宋体"/>
          <w:b/>
          <w:color w:val="000000" w:themeColor="text1"/>
          <w:sz w:val="36"/>
          <w:szCs w:val="36"/>
          <w:highlight w:val="none"/>
          <w14:textFill>
            <w14:solidFill>
              <w14:schemeClr w14:val="tx1"/>
            </w14:solidFill>
          </w14:textFill>
        </w:rPr>
        <w:t>拟签订的合同文本</w:t>
      </w:r>
      <w:bookmarkEnd w:id="465"/>
      <w:bookmarkEnd w:id="466"/>
    </w:p>
    <w:p w14:paraId="5B2D5BF4">
      <w:pPr>
        <w:spacing w:line="360" w:lineRule="exact"/>
        <w:ind w:right="23" w:firstLine="708" w:firstLineChars="196"/>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20"/>
          <w:sz w:val="32"/>
          <w:highlight w:val="none"/>
          <w:lang w:val="en-US" w:eastAsia="zh-CN"/>
          <w14:textFill>
            <w14:solidFill>
              <w14:schemeClr w14:val="tx1"/>
            </w14:solidFill>
          </w14:textFill>
        </w:rPr>
        <w:t>政府</w:t>
      </w:r>
      <w:r>
        <w:rPr>
          <w:rFonts w:hint="eastAsia" w:ascii="宋体" w:hAnsi="宋体" w:eastAsia="宋体" w:cs="宋体"/>
          <w:b/>
          <w:color w:val="000000" w:themeColor="text1"/>
          <w:spacing w:val="20"/>
          <w:sz w:val="32"/>
          <w:highlight w:val="none"/>
          <w14:textFill>
            <w14:solidFill>
              <w14:schemeClr w14:val="tx1"/>
            </w14:solidFill>
          </w14:textFill>
        </w:rPr>
        <w:t>采购合同</w:t>
      </w:r>
    </w:p>
    <w:tbl>
      <w:tblPr>
        <w:tblStyle w:val="65"/>
        <w:tblW w:w="8829"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456"/>
        <w:gridCol w:w="1364"/>
        <w:gridCol w:w="2313"/>
      </w:tblGrid>
      <w:tr w14:paraId="4A8F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nil"/>
              <w:left w:val="nil"/>
              <w:bottom w:val="nil"/>
              <w:right w:val="nil"/>
            </w:tcBorders>
            <w:noWrap w:val="0"/>
            <w:vAlign w:val="center"/>
          </w:tcPr>
          <w:p w14:paraId="3C7ECE2E">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需方（甲方）：</w:t>
            </w:r>
          </w:p>
        </w:tc>
        <w:tc>
          <w:tcPr>
            <w:tcW w:w="3456" w:type="dxa"/>
            <w:tcBorders>
              <w:top w:val="nil"/>
              <w:left w:val="nil"/>
              <w:bottom w:val="nil"/>
              <w:right w:val="nil"/>
            </w:tcBorders>
            <w:noWrap w:val="0"/>
            <w:vAlign w:val="center"/>
          </w:tcPr>
          <w:p w14:paraId="091FFD22">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宁波市北仑区人民医院        </w:t>
            </w:r>
          </w:p>
        </w:tc>
        <w:tc>
          <w:tcPr>
            <w:tcW w:w="1364" w:type="dxa"/>
            <w:tcBorders>
              <w:top w:val="nil"/>
              <w:left w:val="nil"/>
              <w:bottom w:val="nil"/>
              <w:right w:val="nil"/>
            </w:tcBorders>
            <w:noWrap w:val="0"/>
            <w:vAlign w:val="center"/>
          </w:tcPr>
          <w:p w14:paraId="50021395">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合同编号：</w:t>
            </w:r>
          </w:p>
        </w:tc>
        <w:tc>
          <w:tcPr>
            <w:tcW w:w="2313" w:type="dxa"/>
            <w:tcBorders>
              <w:top w:val="nil"/>
              <w:left w:val="nil"/>
              <w:bottom w:val="nil"/>
              <w:right w:val="nil"/>
            </w:tcBorders>
            <w:noWrap w:val="0"/>
            <w:vAlign w:val="center"/>
          </w:tcPr>
          <w:p w14:paraId="4EE5F6F8">
            <w:pPr>
              <w:keepNext w:val="0"/>
              <w:keepLines w:val="0"/>
              <w:pageBreakBefore w:val="0"/>
              <w:widowControl w:val="0"/>
              <w:kinsoku/>
              <w:wordWrap/>
              <w:overflowPunct/>
              <w:topLinePunct w:val="0"/>
              <w:autoSpaceDE/>
              <w:autoSpaceDN/>
              <w:bidi w:val="0"/>
              <w:adjustRightInd/>
              <w:snapToGrid/>
              <w:spacing w:line="52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                        </w:t>
            </w:r>
          </w:p>
        </w:tc>
      </w:tr>
      <w:tr w14:paraId="566A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96" w:type="dxa"/>
            <w:tcBorders>
              <w:top w:val="nil"/>
              <w:left w:val="nil"/>
              <w:bottom w:val="nil"/>
              <w:right w:val="nil"/>
            </w:tcBorders>
            <w:noWrap w:val="0"/>
            <w:vAlign w:val="center"/>
          </w:tcPr>
          <w:p w14:paraId="085DB11F">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供方（乙方）：</w:t>
            </w:r>
          </w:p>
        </w:tc>
        <w:tc>
          <w:tcPr>
            <w:tcW w:w="3456" w:type="dxa"/>
            <w:tcBorders>
              <w:top w:val="nil"/>
              <w:left w:val="nil"/>
              <w:bottom w:val="nil"/>
              <w:right w:val="nil"/>
            </w:tcBorders>
            <w:noWrap w:val="0"/>
            <w:vAlign w:val="center"/>
          </w:tcPr>
          <w:p w14:paraId="746365F7">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                             </w:t>
            </w:r>
          </w:p>
        </w:tc>
        <w:tc>
          <w:tcPr>
            <w:tcW w:w="1364" w:type="dxa"/>
            <w:tcBorders>
              <w:top w:val="nil"/>
              <w:left w:val="nil"/>
              <w:bottom w:val="nil"/>
              <w:right w:val="nil"/>
            </w:tcBorders>
            <w:noWrap w:val="0"/>
            <w:vAlign w:val="center"/>
          </w:tcPr>
          <w:p w14:paraId="361CF048">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签约地点：</w:t>
            </w:r>
          </w:p>
        </w:tc>
        <w:tc>
          <w:tcPr>
            <w:tcW w:w="2313" w:type="dxa"/>
            <w:tcBorders>
              <w:top w:val="nil"/>
              <w:left w:val="nil"/>
              <w:bottom w:val="nil"/>
              <w:right w:val="nil"/>
            </w:tcBorders>
            <w:noWrap w:val="0"/>
            <w:vAlign w:val="center"/>
          </w:tcPr>
          <w:p w14:paraId="2556E499">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                       </w:t>
            </w:r>
          </w:p>
        </w:tc>
      </w:tr>
      <w:tr w14:paraId="470A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96" w:type="dxa"/>
            <w:tcBorders>
              <w:top w:val="nil"/>
              <w:left w:val="nil"/>
              <w:bottom w:val="nil"/>
              <w:right w:val="nil"/>
            </w:tcBorders>
            <w:noWrap w:val="0"/>
            <w:vAlign w:val="center"/>
          </w:tcPr>
          <w:p w14:paraId="0231019C">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出资人（丙方）：</w:t>
            </w:r>
          </w:p>
        </w:tc>
        <w:tc>
          <w:tcPr>
            <w:tcW w:w="3456" w:type="dxa"/>
            <w:tcBorders>
              <w:top w:val="nil"/>
              <w:left w:val="nil"/>
              <w:bottom w:val="nil"/>
              <w:right w:val="nil"/>
            </w:tcBorders>
            <w:noWrap w:val="0"/>
            <w:vAlign w:val="center"/>
          </w:tcPr>
          <w:p w14:paraId="79507DFC">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u w:val="single"/>
                <w:lang w:val="en-US" w:eastAsia="zh-CN"/>
                <w14:textFill>
                  <w14:solidFill>
                    <w14:schemeClr w14:val="tx1"/>
                  </w14:solidFill>
                </w14:textFill>
              </w:rPr>
              <w:t xml:space="preserve">宁波市仑开投资有限公司        </w:t>
            </w:r>
          </w:p>
        </w:tc>
        <w:tc>
          <w:tcPr>
            <w:tcW w:w="1364" w:type="dxa"/>
            <w:tcBorders>
              <w:top w:val="nil"/>
              <w:left w:val="nil"/>
              <w:bottom w:val="nil"/>
              <w:right w:val="nil"/>
            </w:tcBorders>
            <w:noWrap w:val="0"/>
            <w:vAlign w:val="center"/>
          </w:tcPr>
          <w:p w14:paraId="0877AD12">
            <w:pPr>
              <w:keepNext w:val="0"/>
              <w:keepLines w:val="0"/>
              <w:pageBreakBefore w:val="0"/>
              <w:widowControl w:val="0"/>
              <w:kinsoku/>
              <w:wordWrap/>
              <w:overflowPunct/>
              <w:topLinePunct w:val="0"/>
              <w:autoSpaceDE/>
              <w:autoSpaceDN/>
              <w:bidi w:val="0"/>
              <w:adjustRightInd/>
              <w:snapToGrid/>
              <w:spacing w:line="400" w:lineRule="exact"/>
              <w:ind w:left="-357" w:leftChars="-170" w:firstLine="780" w:firstLineChars="370"/>
              <w:jc w:val="lef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p>
        </w:tc>
        <w:tc>
          <w:tcPr>
            <w:tcW w:w="2313" w:type="dxa"/>
            <w:tcBorders>
              <w:top w:val="nil"/>
              <w:left w:val="nil"/>
              <w:bottom w:val="nil"/>
              <w:right w:val="nil"/>
            </w:tcBorders>
            <w:noWrap w:val="0"/>
            <w:vAlign w:val="center"/>
          </w:tcPr>
          <w:p w14:paraId="7BDE9BC0">
            <w:pPr>
              <w:keepNext w:val="0"/>
              <w:keepLines w:val="0"/>
              <w:pageBreakBefore w:val="0"/>
              <w:widowControl w:val="0"/>
              <w:kinsoku/>
              <w:wordWrap/>
              <w:overflowPunct/>
              <w:topLinePunct w:val="0"/>
              <w:autoSpaceDE/>
              <w:autoSpaceDN/>
              <w:bidi w:val="0"/>
              <w:adjustRightInd/>
              <w:snapToGrid/>
              <w:spacing w:line="400" w:lineRule="exact"/>
              <w:ind w:left="-357" w:leftChars="-170" w:firstLine="358" w:firstLineChars="170"/>
              <w:jc w:val="both"/>
              <w:textAlignment w:val="auto"/>
              <w:rPr>
                <w:rFonts w:hint="eastAsia" w:ascii="宋体" w:hAnsi="宋体" w:eastAsia="宋体" w:cs="宋体"/>
                <w:b/>
                <w:bCs/>
                <w:color w:val="000000" w:themeColor="text1"/>
                <w:highlight w:val="none"/>
                <w:u w:val="single"/>
                <w:lang w:val="en-US" w:eastAsia="zh-CN"/>
                <w14:textFill>
                  <w14:solidFill>
                    <w14:schemeClr w14:val="tx1"/>
                  </w14:solidFill>
                </w14:textFill>
              </w:rPr>
            </w:pPr>
          </w:p>
        </w:tc>
      </w:tr>
    </w:tbl>
    <w:p w14:paraId="2814CD53">
      <w:pPr>
        <w:adjustRightInd w:val="0"/>
        <w:snapToGrid w:val="0"/>
        <w:spacing w:before="0" w:beforeLines="0"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依据《中华人民共和国民法典》</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《中华人民共和国政府采购法》等有关的法律法规，以及</w:t>
      </w:r>
      <w:r>
        <w:rPr>
          <w:rFonts w:hint="eastAsia" w:ascii="宋体" w:hAnsi="宋体" w:eastAsia="宋体" w:cs="宋体"/>
          <w:i w:val="0"/>
          <w:iCs w:val="0"/>
          <w:color w:val="000000" w:themeColor="text1"/>
          <w:szCs w:val="21"/>
          <w:highlight w:val="none"/>
          <w:u w:val="none"/>
          <w:lang w:eastAsia="zh-CN"/>
          <w14:textFill>
            <w14:solidFill>
              <w14:schemeClr w14:val="tx1"/>
            </w14:solidFill>
          </w14:textFill>
        </w:rPr>
        <w:t>本采购项目</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招标</w:t>
      </w:r>
      <w:r>
        <w:rPr>
          <w:rFonts w:hint="eastAsia" w:ascii="宋体" w:hAnsi="宋体" w:eastAsia="宋体" w:cs="宋体"/>
          <w:color w:val="000000" w:themeColor="text1"/>
          <w:szCs w:val="21"/>
          <w:highlight w:val="none"/>
          <w:lang w:val="en-US" w:eastAsia="zh-CN"/>
          <w14:textFill>
            <w14:solidFill>
              <w14:schemeClr w14:val="tx1"/>
            </w14:solidFill>
          </w14:textFill>
        </w:rPr>
        <w:t>/谈判</w:t>
      </w:r>
      <w:r>
        <w:rPr>
          <w:rFonts w:hint="eastAsia" w:ascii="宋体" w:hAnsi="宋体" w:eastAsia="宋体" w:cs="宋体"/>
          <w:color w:val="000000" w:themeColor="text1"/>
          <w:szCs w:val="21"/>
          <w:highlight w:val="none"/>
          <w:lang w:eastAsia="zh-CN"/>
          <w14:textFill>
            <w14:solidFill>
              <w14:schemeClr w14:val="tx1"/>
            </w14:solidFill>
          </w14:textFill>
        </w:rPr>
        <w:t>文件等</w:t>
      </w:r>
      <w:r>
        <w:rPr>
          <w:rFonts w:hint="eastAsia" w:ascii="宋体" w:hAnsi="宋体" w:eastAsia="宋体" w:cs="宋体"/>
          <w:color w:val="000000" w:themeColor="text1"/>
          <w:szCs w:val="21"/>
          <w:highlight w:val="none"/>
          <w14:textFill>
            <w14:solidFill>
              <w14:schemeClr w14:val="tx1"/>
            </w14:solidFill>
          </w14:textFill>
        </w:rPr>
        <w:t>采购文件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乙方的《投标（响应）文件》及《中标（成交）通知书》，甲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方同意签订本合同。本</w:t>
      </w: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协议书与下列文件一起构成合同文件，如下述文件之间有任何抵触、矛盾或歧义，</w:t>
      </w:r>
      <w:r>
        <w:rPr>
          <w:rFonts w:hint="eastAsia" w:ascii="宋体" w:hAnsi="宋体" w:eastAsia="宋体" w:cs="宋体"/>
          <w:color w:val="000000" w:themeColor="text1"/>
          <w:szCs w:val="21"/>
          <w:highlight w:val="none"/>
          <w:lang w:val="en-US" w:eastAsia="zh-CN"/>
          <w14:textFill>
            <w14:solidFill>
              <w14:schemeClr w14:val="tx1"/>
            </w14:solidFill>
          </w14:textFill>
        </w:rPr>
        <w:t>除合同另有规定外，</w:t>
      </w:r>
      <w:r>
        <w:rPr>
          <w:rFonts w:hint="eastAsia" w:ascii="宋体" w:hAnsi="宋体" w:eastAsia="宋体" w:cs="宋体"/>
          <w:color w:val="000000" w:themeColor="text1"/>
          <w:szCs w:val="21"/>
          <w:highlight w:val="none"/>
          <w14:textFill>
            <w14:solidFill>
              <w14:schemeClr w14:val="tx1"/>
            </w14:solidFill>
          </w14:textFill>
        </w:rPr>
        <w:t>应按以下顺序解释：</w:t>
      </w:r>
    </w:p>
    <w:p w14:paraId="61A05642">
      <w:pPr>
        <w:numPr>
          <w:ilvl w:val="0"/>
          <w:numId w:val="10"/>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合同协议书及其变更、补充</w:t>
      </w:r>
      <w:r>
        <w:rPr>
          <w:rFonts w:hint="eastAsia" w:ascii="宋体" w:hAnsi="宋体" w:eastAsia="宋体" w:cs="宋体"/>
          <w:color w:val="000000" w:themeColor="text1"/>
          <w:szCs w:val="21"/>
          <w:highlight w:val="none"/>
          <w:lang w:eastAsia="zh-CN"/>
          <w14:textFill>
            <w14:solidFill>
              <w14:schemeClr w14:val="tx1"/>
            </w14:solidFill>
          </w14:textFill>
        </w:rPr>
        <w:t>协议</w:t>
      </w:r>
    </w:p>
    <w:p w14:paraId="27200DAB">
      <w:pPr>
        <w:numPr>
          <w:ilvl w:val="0"/>
          <w:numId w:val="10"/>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w:t>
      </w:r>
    </w:p>
    <w:p w14:paraId="5B5AEA8C">
      <w:pPr>
        <w:numPr>
          <w:ilvl w:val="0"/>
          <w:numId w:val="10"/>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投标（响应）文件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含乙方或乙方授权人提供的补充承诺</w:t>
      </w:r>
      <w:r>
        <w:rPr>
          <w:rFonts w:hint="eastAsia" w:ascii="宋体" w:hAnsi="宋体" w:eastAsia="宋体" w:cs="宋体"/>
          <w:color w:val="000000" w:themeColor="text1"/>
          <w:szCs w:val="21"/>
          <w:highlight w:val="none"/>
          <w:lang w:eastAsia="zh-CN"/>
          <w14:textFill>
            <w14:solidFill>
              <w14:schemeClr w14:val="tx1"/>
            </w14:solidFill>
          </w14:textFill>
        </w:rPr>
        <w:t>）</w:t>
      </w:r>
    </w:p>
    <w:p w14:paraId="7C3C127D">
      <w:pPr>
        <w:numPr>
          <w:ilvl w:val="0"/>
          <w:numId w:val="10"/>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含补充文件、答疑纪要</w:t>
      </w:r>
      <w:r>
        <w:rPr>
          <w:rFonts w:hint="eastAsia" w:ascii="宋体" w:hAnsi="宋体" w:eastAsia="宋体" w:cs="宋体"/>
          <w:color w:val="000000" w:themeColor="text1"/>
          <w:szCs w:val="21"/>
          <w:highlight w:val="none"/>
          <w:lang w:eastAsia="zh-CN"/>
          <w14:textFill>
            <w14:solidFill>
              <w14:schemeClr w14:val="tx1"/>
            </w14:solidFill>
          </w14:textFill>
        </w:rPr>
        <w:t>）</w:t>
      </w:r>
    </w:p>
    <w:p w14:paraId="74CCE81E">
      <w:pPr>
        <w:numPr>
          <w:ilvl w:val="0"/>
          <w:numId w:val="10"/>
        </w:numPr>
        <w:adjustRightInd w:val="0"/>
        <w:snapToGrid w:val="0"/>
        <w:spacing w:before="0" w:beforeLines="0" w:line="400" w:lineRule="exact"/>
        <w:ind w:left="425" w:leftChars="0" w:hanging="5" w:firstLineChars="0"/>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有关技术文件，图纸</w:t>
      </w:r>
    </w:p>
    <w:p w14:paraId="435FFDD3">
      <w:pPr>
        <w:numPr>
          <w:ilvl w:val="0"/>
          <w:numId w:val="10"/>
        </w:numPr>
        <w:adjustRightInd w:val="0"/>
        <w:snapToGrid w:val="0"/>
        <w:spacing w:before="0" w:beforeLines="0" w:line="400" w:lineRule="exact"/>
        <w:ind w:left="425" w:leftChars="0" w:hanging="5" w:firstLineChars="0"/>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7933CD06">
      <w:pPr>
        <w:pStyle w:val="973"/>
        <w:spacing w:beforeLines="0"/>
        <w:rPr>
          <w:rFonts w:hint="eastAsia" w:ascii="宋体" w:hAnsi="宋体" w:eastAsia="宋体" w:cs="宋体"/>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bCs w:val="0"/>
          <w:color w:val="000000" w:themeColor="text1"/>
          <w:kern w:val="2"/>
          <w:sz w:val="21"/>
          <w:szCs w:val="21"/>
          <w:highlight w:val="none"/>
          <w:lang w:val="en-US" w:eastAsia="zh-CN"/>
          <w14:textFill>
            <w14:solidFill>
              <w14:schemeClr w14:val="tx1"/>
            </w14:solidFill>
          </w14:textFill>
        </w:rPr>
        <w:t>有关项目实施过程中的洽商、变更等书面协议或文件作为本合同的组成部分。当文件有矛盾之处，以时间后者为准。</w:t>
      </w:r>
    </w:p>
    <w:p w14:paraId="28210B23">
      <w:pPr>
        <w:pStyle w:val="973"/>
        <w:numPr>
          <w:ilvl w:val="0"/>
          <w:numId w:val="0"/>
        </w:numPr>
        <w:spacing w:beforeLines="0"/>
        <w:ind w:leftChars="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一、项目信息</w:t>
      </w:r>
    </w:p>
    <w:p w14:paraId="50B8271F">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预算金额：</w:t>
      </w:r>
    </w:p>
    <w:p w14:paraId="1B46E2D0">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采购项目编号：</w:t>
      </w:r>
    </w:p>
    <w:p w14:paraId="3A729055">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采购计划编号：</w:t>
      </w:r>
    </w:p>
    <w:p w14:paraId="577A2708">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采购代理机构：</w:t>
      </w:r>
    </w:p>
    <w:p w14:paraId="05EF291B">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采购方式：</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公开招标</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邀请招标</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竞争性谈判</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竞争性磋商</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165DF478">
      <w:pPr>
        <w:numPr>
          <w:ilvl w:val="0"/>
          <w:numId w:val="0"/>
        </w:numPr>
        <w:adjustRightInd w:val="0"/>
        <w:snapToGrid w:val="0"/>
        <w:spacing w:before="0" w:beforeLines="0" w:line="400" w:lineRule="exact"/>
        <w:ind w:left="420" w:leftChars="0" w:firstLine="1478" w:firstLineChars="704"/>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询价</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单一来源</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框架协议</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sym w:font="Wingdings" w:char="00A8"/>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0EA38A1D">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中标（成交）采购标的制造商是否为中小企业：</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是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否</w:t>
      </w:r>
    </w:p>
    <w:p w14:paraId="5723A997">
      <w:pPr>
        <w:numPr>
          <w:ilvl w:val="0"/>
          <w:numId w:val="11"/>
        </w:numPr>
        <w:adjustRightInd w:val="0"/>
        <w:snapToGrid w:val="0"/>
        <w:spacing w:before="0" w:beforeLines="0" w:line="400" w:lineRule="exact"/>
        <w:ind w:left="425" w:leftChars="0" w:hanging="5"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本合同项下产品属于（可多选）：</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进口产品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节能产品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环境标志产品  </w:t>
      </w:r>
      <w:r>
        <w:rPr>
          <w:rFonts w:hint="eastAsia" w:ascii="宋体" w:hAnsi="宋体" w:eastAsia="宋体" w:cs="宋体"/>
          <w:color w:val="000000" w:themeColor="text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Cs w:val="21"/>
          <w:highlight w:val="none"/>
          <w:lang w:val="en-US" w:eastAsia="zh-CN"/>
          <w14:textFill>
            <w14:solidFill>
              <w14:schemeClr w14:val="tx1"/>
            </w14:solidFill>
          </w14:textFill>
        </w:rPr>
        <w:t>绿色产品</w:t>
      </w:r>
    </w:p>
    <w:p w14:paraId="2C55C6ED">
      <w:pPr>
        <w:numPr>
          <w:ilvl w:val="0"/>
          <w:numId w:val="12"/>
        </w:numPr>
        <w:spacing w:line="400" w:lineRule="exact"/>
        <w:ind w:left="0" w:leftChars="0" w:firstLine="0" w:firstLineChars="0"/>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服务清单</w:t>
      </w:r>
    </w:p>
    <w:tbl>
      <w:tblPr>
        <w:tblStyle w:val="64"/>
        <w:tblW w:w="4996" w:type="pct"/>
        <w:tblInd w:w="0" w:type="dxa"/>
        <w:tblLayout w:type="autofit"/>
        <w:tblCellMar>
          <w:top w:w="0" w:type="dxa"/>
          <w:left w:w="108" w:type="dxa"/>
          <w:bottom w:w="0" w:type="dxa"/>
          <w:right w:w="108" w:type="dxa"/>
        </w:tblCellMar>
      </w:tblPr>
      <w:tblGrid>
        <w:gridCol w:w="1107"/>
        <w:gridCol w:w="3469"/>
        <w:gridCol w:w="2404"/>
        <w:gridCol w:w="2300"/>
      </w:tblGrid>
      <w:tr w14:paraId="7D20C26C">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6E78DE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69" w:type="pct"/>
            <w:tcBorders>
              <w:top w:val="single" w:color="000000" w:sz="4" w:space="0"/>
              <w:left w:val="single" w:color="000000" w:sz="4" w:space="0"/>
              <w:bottom w:val="single" w:color="000000" w:sz="4" w:space="0"/>
              <w:right w:val="single" w:color="000000" w:sz="4" w:space="0"/>
            </w:tcBorders>
            <w:vAlign w:val="center"/>
          </w:tcPr>
          <w:p w14:paraId="52D469A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功能</w:t>
            </w:r>
          </w:p>
        </w:tc>
        <w:tc>
          <w:tcPr>
            <w:tcW w:w="1295" w:type="pct"/>
            <w:tcBorders>
              <w:top w:val="single" w:color="000000" w:sz="4" w:space="0"/>
              <w:left w:val="single" w:color="000000" w:sz="4" w:space="0"/>
              <w:bottom w:val="single" w:color="000000" w:sz="4" w:space="0"/>
              <w:right w:val="single" w:color="000000" w:sz="4" w:space="0"/>
            </w:tcBorders>
            <w:vAlign w:val="center"/>
          </w:tcPr>
          <w:p w14:paraId="2F94BAE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37" w:type="pct"/>
            <w:tcBorders>
              <w:top w:val="single" w:color="000000" w:sz="4" w:space="0"/>
              <w:left w:val="single" w:color="000000" w:sz="4" w:space="0"/>
              <w:bottom w:val="single" w:color="000000" w:sz="4" w:space="0"/>
              <w:right w:val="single" w:color="000000" w:sz="4" w:space="0"/>
            </w:tcBorders>
            <w:vAlign w:val="center"/>
          </w:tcPr>
          <w:p w14:paraId="450DAE7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r>
      <w:tr w14:paraId="69BBBF97">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544C1D3A">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869" w:type="pct"/>
            <w:tcBorders>
              <w:top w:val="single" w:color="000000" w:sz="4" w:space="0"/>
              <w:left w:val="single" w:color="000000" w:sz="4" w:space="0"/>
              <w:bottom w:val="single" w:color="000000" w:sz="4" w:space="0"/>
              <w:right w:val="single" w:color="000000" w:sz="4" w:space="0"/>
            </w:tcBorders>
            <w:vAlign w:val="center"/>
          </w:tcPr>
          <w:p w14:paraId="1F189E1F">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66697CF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45C442B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4FE8A531">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6C40C261">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869" w:type="pct"/>
            <w:tcBorders>
              <w:top w:val="single" w:color="000000" w:sz="4" w:space="0"/>
              <w:left w:val="single" w:color="000000" w:sz="4" w:space="0"/>
              <w:bottom w:val="single" w:color="000000" w:sz="4" w:space="0"/>
              <w:right w:val="single" w:color="000000" w:sz="4" w:space="0"/>
            </w:tcBorders>
            <w:vAlign w:val="center"/>
          </w:tcPr>
          <w:p w14:paraId="0ACEAAF6">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1AB6892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41D694E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6CC275E9">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E355076">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869" w:type="pct"/>
            <w:tcBorders>
              <w:top w:val="single" w:color="000000" w:sz="4" w:space="0"/>
              <w:left w:val="single" w:color="000000" w:sz="4" w:space="0"/>
              <w:bottom w:val="single" w:color="000000" w:sz="4" w:space="0"/>
              <w:right w:val="single" w:color="000000" w:sz="4" w:space="0"/>
            </w:tcBorders>
            <w:vAlign w:val="center"/>
          </w:tcPr>
          <w:p w14:paraId="5F79D4A8">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13D3EFB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4A7273C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297D7F80">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84EB2E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869" w:type="pct"/>
            <w:tcBorders>
              <w:top w:val="single" w:color="000000" w:sz="4" w:space="0"/>
              <w:left w:val="single" w:color="000000" w:sz="4" w:space="0"/>
              <w:bottom w:val="single" w:color="000000" w:sz="4" w:space="0"/>
              <w:right w:val="single" w:color="000000" w:sz="4" w:space="0"/>
            </w:tcBorders>
            <w:noWrap/>
            <w:vAlign w:val="center"/>
          </w:tcPr>
          <w:p w14:paraId="5772C20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2C56A870">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2B1F3726">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F834130">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363B0D50">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869" w:type="pct"/>
            <w:tcBorders>
              <w:top w:val="single" w:color="000000" w:sz="4" w:space="0"/>
              <w:left w:val="single" w:color="000000" w:sz="4" w:space="0"/>
              <w:bottom w:val="single" w:color="000000" w:sz="4" w:space="0"/>
              <w:right w:val="single" w:color="000000" w:sz="4" w:space="0"/>
            </w:tcBorders>
            <w:vAlign w:val="center"/>
          </w:tcPr>
          <w:p w14:paraId="124DD9E2">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7AC7466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0185A8B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3B381D9">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4DDA06E4">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869" w:type="pct"/>
            <w:tcBorders>
              <w:top w:val="single" w:color="000000" w:sz="4" w:space="0"/>
              <w:left w:val="single" w:color="000000" w:sz="4" w:space="0"/>
              <w:bottom w:val="single" w:color="000000" w:sz="4" w:space="0"/>
              <w:right w:val="single" w:color="000000" w:sz="4" w:space="0"/>
            </w:tcBorders>
            <w:vAlign w:val="center"/>
          </w:tcPr>
          <w:p w14:paraId="1570EC7F">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08C5099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5841EDCA">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5AD25C63">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76D7D56A">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869" w:type="pct"/>
            <w:tcBorders>
              <w:top w:val="single" w:color="000000" w:sz="4" w:space="0"/>
              <w:left w:val="single" w:color="000000" w:sz="4" w:space="0"/>
              <w:bottom w:val="single" w:color="000000" w:sz="4" w:space="0"/>
              <w:right w:val="single" w:color="000000" w:sz="4" w:space="0"/>
            </w:tcBorders>
            <w:noWrap/>
            <w:vAlign w:val="center"/>
          </w:tcPr>
          <w:p w14:paraId="464AF644">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080F0D0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681BB7CD">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75480D59">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30ACDC98">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869" w:type="pct"/>
            <w:tcBorders>
              <w:top w:val="single" w:color="000000" w:sz="4" w:space="0"/>
              <w:left w:val="single" w:color="000000" w:sz="4" w:space="0"/>
              <w:bottom w:val="single" w:color="000000" w:sz="4" w:space="0"/>
              <w:right w:val="single" w:color="000000" w:sz="4" w:space="0"/>
            </w:tcBorders>
            <w:vAlign w:val="center"/>
          </w:tcPr>
          <w:p w14:paraId="366CC787">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30A04AE2">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7578C581">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52C50C94">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1A8DEEDE">
            <w:pPr>
              <w:pStyle w:val="972"/>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869" w:type="pct"/>
            <w:tcBorders>
              <w:top w:val="single" w:color="000000" w:sz="4" w:space="0"/>
              <w:left w:val="single" w:color="000000" w:sz="4" w:space="0"/>
              <w:bottom w:val="single" w:color="000000" w:sz="4" w:space="0"/>
              <w:right w:val="single" w:color="000000" w:sz="4" w:space="0"/>
            </w:tcBorders>
            <w:vAlign w:val="center"/>
          </w:tcPr>
          <w:p w14:paraId="1ED0C4CC">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576376BB">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04928793">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EC6ED61">
        <w:tblPrEx>
          <w:tblCellMar>
            <w:top w:w="0" w:type="dxa"/>
            <w:left w:w="108" w:type="dxa"/>
            <w:bottom w:w="0" w:type="dxa"/>
            <w:right w:w="108" w:type="dxa"/>
          </w:tblCellMar>
        </w:tblPrEx>
        <w:trPr>
          <w:trHeight w:val="23" w:hRule="atLeast"/>
        </w:trPr>
        <w:tc>
          <w:tcPr>
            <w:tcW w:w="597" w:type="pct"/>
            <w:tcBorders>
              <w:top w:val="single" w:color="000000" w:sz="4" w:space="0"/>
              <w:left w:val="single" w:color="000000" w:sz="4" w:space="0"/>
              <w:bottom w:val="single" w:color="000000" w:sz="4" w:space="0"/>
              <w:right w:val="single" w:color="000000" w:sz="4" w:space="0"/>
            </w:tcBorders>
            <w:vAlign w:val="center"/>
          </w:tcPr>
          <w:p w14:paraId="5E9BB812">
            <w:pPr>
              <w:pStyle w:val="972"/>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869" w:type="pct"/>
            <w:tcBorders>
              <w:top w:val="single" w:color="000000" w:sz="4" w:space="0"/>
              <w:left w:val="single" w:color="000000" w:sz="4" w:space="0"/>
              <w:bottom w:val="single" w:color="000000" w:sz="4" w:space="0"/>
              <w:right w:val="single" w:color="000000" w:sz="4" w:space="0"/>
            </w:tcBorders>
            <w:vAlign w:val="center"/>
          </w:tcPr>
          <w:p w14:paraId="75398665">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95" w:type="pct"/>
            <w:tcBorders>
              <w:top w:val="single" w:color="000000" w:sz="4" w:space="0"/>
              <w:left w:val="single" w:color="000000" w:sz="4" w:space="0"/>
              <w:bottom w:val="single" w:color="000000" w:sz="4" w:space="0"/>
              <w:right w:val="single" w:color="000000" w:sz="4" w:space="0"/>
            </w:tcBorders>
            <w:vAlign w:val="center"/>
          </w:tcPr>
          <w:p w14:paraId="101F482E">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37" w:type="pct"/>
            <w:tcBorders>
              <w:top w:val="single" w:color="000000" w:sz="4" w:space="0"/>
              <w:left w:val="single" w:color="000000" w:sz="4" w:space="0"/>
              <w:bottom w:val="single" w:color="000000" w:sz="4" w:space="0"/>
              <w:right w:val="single" w:color="000000" w:sz="4" w:space="0"/>
            </w:tcBorders>
            <w:vAlign w:val="center"/>
          </w:tcPr>
          <w:p w14:paraId="7FA7D8C5">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5752FD69">
        <w:tblPrEx>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0C793494">
            <w:pPr>
              <w:pStyle w:val="972"/>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合同金额为（大写）：                           （¥</w:t>
            </w:r>
            <w:r>
              <w:rPr>
                <w:rFonts w:hint="eastAsia" w:ascii="宋体" w:hAnsi="宋体" w:eastAsia="宋体" w:cs="宋体"/>
                <w:b w:val="0"/>
                <w:bCs/>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b/>
                <w:bCs w:val="0"/>
                <w:color w:val="000000" w:themeColor="text1"/>
                <w:highlight w:val="none"/>
                <w:u w:val="none"/>
                <w:lang w:val="en-US" w:eastAsia="zh-CN"/>
                <w14:textFill>
                  <w14:solidFill>
                    <w14:schemeClr w14:val="tx1"/>
                  </w14:solidFill>
                </w14:textFill>
              </w:rPr>
              <w:t>元</w:t>
            </w:r>
            <w:r>
              <w:rPr>
                <w:rFonts w:hint="eastAsia" w:ascii="宋体" w:hAnsi="宋体" w:eastAsia="宋体" w:cs="宋体"/>
                <w:b/>
                <w:color w:val="000000" w:themeColor="text1"/>
                <w:highlight w:val="none"/>
                <w:lang w:val="en-US" w:eastAsia="zh-CN"/>
                <w14:textFill>
                  <w14:solidFill>
                    <w14:schemeClr w14:val="tx1"/>
                  </w14:solidFill>
                </w14:textFill>
              </w:rPr>
              <w:t>）人民币</w:t>
            </w:r>
          </w:p>
        </w:tc>
      </w:tr>
      <w:tr w14:paraId="5FAE41F8">
        <w:tblPrEx>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131EEF33">
            <w:pPr>
              <w:pStyle w:val="972"/>
              <w:spacing w:line="360" w:lineRule="auto"/>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r>
              <w:rPr>
                <w:rFonts w:hint="eastAsia" w:ascii="宋体" w:hAnsi="宋体" w:eastAsia="宋体" w:cs="宋体"/>
                <w:color w:val="000000" w:themeColor="text1"/>
                <w:szCs w:val="21"/>
                <w:highlight w:val="none"/>
                <w:lang w:val="en-US" w:eastAsia="zh-CN"/>
                <w14:textFill>
                  <w14:solidFill>
                    <w14:schemeClr w14:val="tx1"/>
                  </w14:solidFill>
                </w14:textFill>
              </w:rPr>
              <w:t>丙</w:t>
            </w:r>
            <w:r>
              <w:rPr>
                <w:rFonts w:hint="eastAsia" w:ascii="宋体" w:hAnsi="宋体" w:eastAsia="宋体" w:cs="宋体"/>
                <w:color w:val="000000" w:themeColor="text1"/>
                <w:szCs w:val="21"/>
                <w:highlight w:val="none"/>
                <w14:textFill>
                  <w14:solidFill>
                    <w14:schemeClr w14:val="tx1"/>
                  </w14:solidFill>
                </w14:textFill>
              </w:rPr>
              <w:t>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tc>
      </w:tr>
    </w:tbl>
    <w:p w14:paraId="048E0A8C">
      <w:pPr>
        <w:numPr>
          <w:ilvl w:val="0"/>
          <w:numId w:val="0"/>
        </w:numPr>
        <w:spacing w:line="400" w:lineRule="exact"/>
        <w:ind w:leftChars="0"/>
        <w:rPr>
          <w:rFonts w:hint="default" w:ascii="宋体" w:hAnsi="宋体" w:eastAsia="宋体" w:cs="宋体"/>
          <w:b/>
          <w:color w:val="000000" w:themeColor="text1"/>
          <w:highlight w:val="none"/>
          <w:lang w:val="en-US" w:eastAsia="zh-CN"/>
          <w14:textFill>
            <w14:solidFill>
              <w14:schemeClr w14:val="tx1"/>
            </w14:solidFill>
          </w14:textFill>
        </w:rPr>
      </w:pPr>
    </w:p>
    <w:p w14:paraId="3E9A2B86">
      <w:pPr>
        <w:numPr>
          <w:ilvl w:val="0"/>
          <w:numId w:val="13"/>
        </w:numPr>
        <w:spacing w:line="400" w:lineRule="exact"/>
        <w:ind w:left="-17" w:leftChars="-8" w:firstLine="18" w:firstLineChars="8"/>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pacing w:val="6"/>
          <w:highlight w:val="none"/>
          <w:lang w:val="en-US" w:eastAsia="zh-CN"/>
          <w14:textFill>
            <w14:solidFill>
              <w14:schemeClr w14:val="tx1"/>
            </w14:solidFill>
          </w14:textFill>
        </w:rPr>
        <w:t>交货期、交货方式及交货地点</w:t>
      </w:r>
      <w:r>
        <w:rPr>
          <w:rFonts w:hint="eastAsia" w:ascii="宋体" w:hAnsi="宋体" w:eastAsia="宋体" w:cs="宋体"/>
          <w:b/>
          <w:color w:val="000000" w:themeColor="text1"/>
          <w:spacing w:val="6"/>
          <w:highlight w:val="none"/>
          <w14:textFill>
            <w14:solidFill>
              <w14:schemeClr w14:val="tx1"/>
            </w14:solidFill>
          </w14:textFill>
        </w:rPr>
        <w:t xml:space="preserve"> </w:t>
      </w:r>
      <w:r>
        <w:rPr>
          <w:rFonts w:hint="eastAsia" w:ascii="宋体" w:hAnsi="宋体" w:eastAsia="宋体" w:cs="宋体"/>
          <w:b/>
          <w:color w:val="000000" w:themeColor="text1"/>
          <w:highlight w:val="none"/>
          <w14:textFill>
            <w14:solidFill>
              <w14:schemeClr w14:val="tx1"/>
            </w14:solidFill>
          </w14:textFill>
        </w:rPr>
        <w:t xml:space="preserve"> </w:t>
      </w:r>
    </w:p>
    <w:p w14:paraId="0A774E6A">
      <w:pPr>
        <w:numPr>
          <w:ilvl w:val="0"/>
          <w:numId w:val="14"/>
        </w:numPr>
        <w:spacing w:line="400" w:lineRule="exact"/>
        <w:ind w:left="825" w:leftChars="0" w:hanging="40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交货期：签订合同后</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lang w:val="en-US" w:eastAsia="zh-CN"/>
          <w14:textFill>
            <w14:solidFill>
              <w14:schemeClr w14:val="tx1"/>
            </w14:solidFill>
          </w14:textFill>
        </w:rPr>
        <w:t>天内到货</w:t>
      </w:r>
      <w:r>
        <w:rPr>
          <w:rFonts w:hint="eastAsia" w:ascii="宋体" w:hAnsi="宋体" w:eastAsia="宋体" w:cs="宋体"/>
          <w:color w:val="000000" w:themeColor="text1"/>
          <w:highlight w:val="none"/>
          <w:u w:val="none"/>
          <w14:textFill>
            <w14:solidFill>
              <w14:schemeClr w14:val="tx1"/>
            </w14:solidFill>
          </w14:textFill>
        </w:rPr>
        <w:t xml:space="preserve">。 </w:t>
      </w:r>
    </w:p>
    <w:p w14:paraId="4FF3D8E4">
      <w:pPr>
        <w:numPr>
          <w:ilvl w:val="0"/>
          <w:numId w:val="14"/>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交货方式：乙方负责。</w:t>
      </w:r>
    </w:p>
    <w:p w14:paraId="4DAF9813">
      <w:pPr>
        <w:numPr>
          <w:ilvl w:val="0"/>
          <w:numId w:val="14"/>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交货地点：北仑区人民医院。</w:t>
      </w:r>
    </w:p>
    <w:p w14:paraId="3885B629">
      <w:pPr>
        <w:numPr>
          <w:ilvl w:val="0"/>
          <w:numId w:val="14"/>
        </w:numPr>
        <w:spacing w:line="400" w:lineRule="exact"/>
        <w:ind w:left="825" w:leftChars="0" w:hanging="40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交货安装前场地施工技术支持：如需乙方工程师现场提供安装场地准备的技术支持，乙方工程师须在接到甲方通知后48小时内到达现场。</w:t>
      </w:r>
      <w:r>
        <w:rPr>
          <w:rFonts w:hint="eastAsia" w:ascii="宋体" w:hAnsi="宋体" w:eastAsia="宋体" w:cs="宋体"/>
          <w:color w:val="000000" w:themeColor="text1"/>
          <w:highlight w:val="none"/>
          <w:u w:val="none"/>
          <w14:textFill>
            <w14:solidFill>
              <w14:schemeClr w14:val="tx1"/>
            </w14:solidFill>
          </w14:textFill>
        </w:rPr>
        <w:t xml:space="preserve"> </w:t>
      </w:r>
    </w:p>
    <w:p w14:paraId="503DFA31">
      <w:pPr>
        <w:numPr>
          <w:ilvl w:val="0"/>
          <w:numId w:val="13"/>
        </w:numPr>
        <w:spacing w:line="400" w:lineRule="exact"/>
        <w:ind w:left="-17" w:leftChars="-8" w:firstLine="17" w:firstLineChars="8"/>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付款方式</w:t>
      </w:r>
      <w:r>
        <w:rPr>
          <w:rFonts w:hint="eastAsia" w:ascii="宋体" w:hAnsi="宋体" w:eastAsia="宋体" w:cs="宋体"/>
          <w:b/>
          <w:bCs/>
          <w:iCs/>
          <w:color w:val="000000" w:themeColor="text1"/>
          <w:szCs w:val="21"/>
          <w:highlight w:val="none"/>
          <w14:textFill>
            <w14:solidFill>
              <w14:schemeClr w14:val="tx1"/>
            </w14:solidFill>
          </w14:textFill>
        </w:rPr>
        <w:t>按下列第</w:t>
      </w:r>
      <w:r>
        <w:rPr>
          <w:rFonts w:hint="eastAsia" w:ascii="宋体" w:hAnsi="宋体" w:eastAsia="宋体" w:cs="宋体"/>
          <w:b/>
          <w:bCs/>
          <w:i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i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bCs/>
          <w:i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iCs/>
          <w:color w:val="000000" w:themeColor="text1"/>
          <w:szCs w:val="21"/>
          <w:highlight w:val="none"/>
          <w14:textFill>
            <w14:solidFill>
              <w14:schemeClr w14:val="tx1"/>
            </w14:solidFill>
          </w14:textFill>
        </w:rPr>
        <w:t>种方式解决</w:t>
      </w:r>
      <w:r>
        <w:rPr>
          <w:rFonts w:hint="eastAsia" w:ascii="宋体" w:hAnsi="宋体" w:eastAsia="宋体" w:cs="宋体"/>
          <w:color w:val="000000" w:themeColor="text1"/>
          <w:highlight w:val="none"/>
          <w:u w:val="none"/>
          <w14:textFill>
            <w14:solidFill>
              <w14:schemeClr w14:val="tx1"/>
            </w14:solidFill>
          </w14:textFill>
        </w:rPr>
        <w:t xml:space="preserve">  </w:t>
      </w:r>
    </w:p>
    <w:p w14:paraId="7D45BD04">
      <w:pPr>
        <w:numPr>
          <w:ilvl w:val="0"/>
          <w:numId w:val="15"/>
        </w:numPr>
        <w:spacing w:line="400" w:lineRule="exact"/>
        <w:ind w:left="825" w:hanging="4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①合同生效且具备实施条件后7个工作日内</w:t>
      </w:r>
      <w:r>
        <w:rPr>
          <w:rFonts w:hint="eastAsia" w:ascii="宋体" w:hAnsi="宋体" w:cs="宋体"/>
          <w:color w:val="000000" w:themeColor="text1"/>
          <w:highlight w:val="none"/>
          <w:lang w:eastAsia="zh-CN"/>
          <w14:textFill>
            <w14:solidFill>
              <w14:schemeClr w14:val="tx1"/>
            </w14:solidFill>
          </w14:textFill>
        </w:rPr>
        <w:t>，凭</w:t>
      </w:r>
      <w:r>
        <w:rPr>
          <w:rFonts w:hint="eastAsia" w:ascii="宋体" w:hAnsi="宋体" w:cs="宋体"/>
          <w:color w:val="000000" w:themeColor="text1"/>
          <w:highlight w:val="none"/>
          <w:lang w:val="en-US" w:eastAsia="zh-CN"/>
          <w14:textFill>
            <w14:solidFill>
              <w14:schemeClr w14:val="tx1"/>
            </w14:solidFill>
          </w14:textFill>
        </w:rPr>
        <w:t>乙方</w:t>
      </w:r>
      <w:r>
        <w:rPr>
          <w:rFonts w:hint="eastAsia" w:ascii="宋体" w:hAnsi="宋体" w:cs="宋体"/>
          <w:color w:val="000000" w:themeColor="text1"/>
          <w:highlight w:val="none"/>
          <w:lang w:eastAsia="zh-CN"/>
          <w14:textFill>
            <w14:solidFill>
              <w14:schemeClr w14:val="tx1"/>
            </w14:solidFill>
          </w14:textFill>
        </w:rPr>
        <w:t>开具的发票及预付款等额保函</w:t>
      </w:r>
      <w:r>
        <w:rPr>
          <w:rFonts w:hint="eastAsia" w:ascii="宋体" w:hAnsi="宋体" w:cs="宋体"/>
          <w:color w:val="000000" w:themeColor="text1"/>
          <w:highlight w:val="none"/>
          <w14:textFill>
            <w14:solidFill>
              <w14:schemeClr w14:val="tx1"/>
            </w14:solidFill>
          </w14:textFill>
        </w:rPr>
        <w:t>支付合同金额的30%作为预付款。乙方于合同签订前书面承诺放弃预付款或降低预付款支付比例的，可不适用本条款且具体支付方式由双方在合同中自行约定。</w:t>
      </w:r>
    </w:p>
    <w:p w14:paraId="2BB7AB01">
      <w:pPr>
        <w:numPr>
          <w:ilvl w:val="0"/>
          <w:numId w:val="15"/>
        </w:numPr>
        <w:spacing w:line="400" w:lineRule="exact"/>
        <w:ind w:left="825" w:hanging="405"/>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②按照项目进度，设备安装完成且收到乙方开具的发票后7个工作日内支付合同金额的50%。</w:t>
      </w:r>
    </w:p>
    <w:p w14:paraId="59EBDE80">
      <w:pPr>
        <w:numPr>
          <w:ilvl w:val="0"/>
          <w:numId w:val="15"/>
        </w:numPr>
        <w:spacing w:line="400" w:lineRule="exact"/>
        <w:ind w:left="825" w:hanging="405"/>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③验收合格且收到中标人开具的发票后7个工作日内付清余款。</w:t>
      </w:r>
    </w:p>
    <w:p w14:paraId="0020EC08">
      <w:pPr>
        <w:numPr>
          <w:ilvl w:val="0"/>
          <w:numId w:val="15"/>
        </w:numPr>
        <w:spacing w:line="400" w:lineRule="exact"/>
        <w:ind w:left="825" w:leftChars="0" w:hanging="40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因乙方明确同意免收预付款，现</w:t>
      </w:r>
      <w:r>
        <w:rPr>
          <w:rFonts w:hint="eastAsia" w:ascii="宋体" w:hAnsi="宋体" w:eastAsia="宋体" w:cs="宋体"/>
          <w:color w:val="000000" w:themeColor="text1"/>
          <w:highlight w:val="none"/>
          <w:u w:val="none"/>
          <w:lang w:val="en-US" w:eastAsia="zh-CN"/>
          <w14:textFill>
            <w14:solidFill>
              <w14:schemeClr w14:val="tx1"/>
            </w14:solidFill>
          </w14:textFill>
        </w:rPr>
        <w:t>三</w:t>
      </w:r>
      <w:r>
        <w:rPr>
          <w:rFonts w:hint="eastAsia" w:ascii="宋体" w:hAnsi="宋体" w:eastAsia="宋体" w:cs="宋体"/>
          <w:color w:val="000000" w:themeColor="text1"/>
          <w:highlight w:val="none"/>
          <w:u w:val="none"/>
          <w14:textFill>
            <w14:solidFill>
              <w14:schemeClr w14:val="tx1"/>
            </w14:solidFill>
          </w14:textFill>
        </w:rPr>
        <w:t>方共同商议付款方式为设备安装调试，试运行通过</w:t>
      </w:r>
      <w:r>
        <w:rPr>
          <w:rFonts w:hint="eastAsia" w:ascii="宋体" w:hAnsi="宋体" w:eastAsia="宋体" w:cs="宋体"/>
          <w:color w:val="000000" w:themeColor="text1"/>
          <w:highlight w:val="none"/>
          <w:u w:val="none"/>
          <w:lang w:val="en-US" w:eastAsia="zh-CN"/>
          <w14:textFill>
            <w14:solidFill>
              <w14:schemeClr w14:val="tx1"/>
            </w14:solidFill>
          </w14:textFill>
        </w:rPr>
        <w:t>甲</w:t>
      </w:r>
      <w:r>
        <w:rPr>
          <w:rFonts w:hint="eastAsia" w:ascii="宋体" w:hAnsi="宋体" w:eastAsia="宋体" w:cs="宋体"/>
          <w:color w:val="000000" w:themeColor="text1"/>
          <w:highlight w:val="none"/>
          <w:u w:val="none"/>
          <w14:textFill>
            <w14:solidFill>
              <w14:schemeClr w14:val="tx1"/>
            </w14:solidFill>
          </w14:textFill>
        </w:rPr>
        <w:t>方验收且达到付款条件后一次性付清全款，付款前</w:t>
      </w:r>
      <w:r>
        <w:rPr>
          <w:rFonts w:hint="eastAsia" w:ascii="宋体" w:hAnsi="宋体" w:eastAsia="宋体" w:cs="宋体"/>
          <w:color w:val="000000" w:themeColor="text1"/>
          <w:highlight w:val="none"/>
          <w:u w:val="none"/>
          <w:lang w:val="en-US" w:eastAsia="zh-CN"/>
          <w14:textFill>
            <w14:solidFill>
              <w14:schemeClr w14:val="tx1"/>
            </w14:solidFill>
          </w14:textFill>
        </w:rPr>
        <w:t>乙</w:t>
      </w:r>
      <w:r>
        <w:rPr>
          <w:rFonts w:hint="eastAsia" w:ascii="宋体" w:hAnsi="宋体" w:eastAsia="宋体" w:cs="宋体"/>
          <w:color w:val="000000" w:themeColor="text1"/>
          <w:highlight w:val="none"/>
          <w:u w:val="none"/>
          <w14:textFill>
            <w14:solidFill>
              <w14:schemeClr w14:val="tx1"/>
            </w14:solidFill>
          </w14:textFill>
        </w:rPr>
        <w:t>方需按合同总价提交全额发票至</w:t>
      </w:r>
      <w:r>
        <w:rPr>
          <w:rFonts w:hint="eastAsia" w:ascii="宋体" w:hAnsi="宋体" w:eastAsia="宋体" w:cs="宋体"/>
          <w:color w:val="000000" w:themeColor="text1"/>
          <w:highlight w:val="none"/>
          <w:u w:val="none"/>
          <w:lang w:val="en-US" w:eastAsia="zh-CN"/>
          <w14:textFill>
            <w14:solidFill>
              <w14:schemeClr w14:val="tx1"/>
            </w14:solidFill>
          </w14:textFill>
        </w:rPr>
        <w:t>丙</w:t>
      </w:r>
      <w:r>
        <w:rPr>
          <w:rFonts w:hint="eastAsia" w:ascii="宋体" w:hAnsi="宋体" w:eastAsia="宋体" w:cs="宋体"/>
          <w:color w:val="000000" w:themeColor="text1"/>
          <w:highlight w:val="none"/>
          <w:u w:val="none"/>
          <w14:textFill>
            <w14:solidFill>
              <w14:schemeClr w14:val="tx1"/>
            </w14:solidFill>
          </w14:textFill>
        </w:rPr>
        <w:t>方。</w:t>
      </w:r>
    </w:p>
    <w:p w14:paraId="0307D88C">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甲方的权利和义务</w:t>
      </w:r>
    </w:p>
    <w:p w14:paraId="16533F54">
      <w:pPr>
        <w:numPr>
          <w:ilvl w:val="0"/>
          <w:numId w:val="16"/>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签署合同后，甲方应确定项目联系人</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lang w:val="en-US" w:eastAsia="zh-CN"/>
          <w14:textFill>
            <w14:solidFill>
              <w14:schemeClr w14:val="tx1"/>
            </w14:solidFill>
          </w14:textFill>
        </w:rPr>
        <w:t>，负责与本合同有关的事务。甲方有权对乙方的履约行为进行检查，并及时确认乙方提交的事项。甲方应当配合乙方完成相关项目实施工作。</w:t>
      </w:r>
    </w:p>
    <w:p w14:paraId="043CE350">
      <w:pPr>
        <w:numPr>
          <w:ilvl w:val="0"/>
          <w:numId w:val="16"/>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甲方有权要求乙方按时提交各阶段有关安排计划，并有权定期核对乙方提供货物数量、规格、质量等内容。甲方有权督促乙方工作并要求乙方更换不符合要求的货物。</w:t>
      </w:r>
    </w:p>
    <w:p w14:paraId="6DBABD39">
      <w:pPr>
        <w:numPr>
          <w:ilvl w:val="0"/>
          <w:numId w:val="16"/>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甲方有权要求乙方对缺陷部分予以修复，并按合同约定享有货物保修及其他合同约定的权利。</w:t>
      </w:r>
    </w:p>
    <w:p w14:paraId="5BF34A29">
      <w:pPr>
        <w:numPr>
          <w:ilvl w:val="0"/>
          <w:numId w:val="16"/>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甲方应当按照合同约定及时对交付的货物进行验收，未在约定的期限内对乙方履约提出任何异议或者向乙方作出任何说明的，视为验收通过。</w:t>
      </w:r>
    </w:p>
    <w:p w14:paraId="1AD053C4">
      <w:pPr>
        <w:numPr>
          <w:ilvl w:val="0"/>
          <w:numId w:val="16"/>
        </w:numPr>
        <w:spacing w:line="400" w:lineRule="exact"/>
        <w:ind w:left="825" w:leftChars="0" w:hanging="405" w:firstLineChars="0"/>
        <w:rPr>
          <w:rFonts w:hint="eastAsia" w:ascii="宋体" w:hAnsi="宋体" w:eastAsia="宋体" w:cs="宋体"/>
          <w:b w:val="0"/>
          <w:color w:val="000000" w:themeColor="text1"/>
          <w:sz w:val="21"/>
          <w:highlight w:val="none"/>
          <w:u w:val="none"/>
          <w:lang w:val="en-US" w:eastAsia="zh-CN"/>
          <w14:textFill>
            <w14:solidFill>
              <w14:schemeClr w14:val="tx1"/>
            </w14:solidFill>
          </w14:textFill>
        </w:rPr>
      </w:pPr>
      <w:r>
        <w:rPr>
          <w:rFonts w:hint="eastAsia" w:ascii="宋体" w:hAnsi="宋体" w:eastAsia="宋体" w:cs="宋体"/>
          <w:b w:val="0"/>
          <w:color w:val="000000" w:themeColor="text1"/>
          <w:sz w:val="21"/>
          <w:highlight w:val="none"/>
          <w:u w:val="none"/>
          <w:lang w:val="en-US" w:eastAsia="zh-CN"/>
          <w14:textFill>
            <w14:solidFill>
              <w14:schemeClr w14:val="tx1"/>
            </w14:solidFill>
          </w14:textFill>
        </w:rPr>
        <w:t>甲方和乙方应向丙方提交请款资料，请付款的资料包括验收合格材料、请款申请及乙方发票；因验收及提请付款迟延等甲方原因引起的付款或付款金额不一致，所引起的审计、违约等责任与丙方无涉。</w:t>
      </w:r>
    </w:p>
    <w:p w14:paraId="52B90234">
      <w:pPr>
        <w:numPr>
          <w:ilvl w:val="0"/>
          <w:numId w:val="0"/>
        </w:numPr>
        <w:spacing w:line="400" w:lineRule="exact"/>
        <w:ind w:left="420" w:leftChars="0" w:firstLine="0"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6.国家法律法规规定应由甲方承担的其他义务和责任。</w:t>
      </w:r>
    </w:p>
    <w:p w14:paraId="2BA58945">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乙方的权利和义务</w:t>
      </w:r>
    </w:p>
    <w:p w14:paraId="4FC98EE8">
      <w:pPr>
        <w:numPr>
          <w:ilvl w:val="0"/>
          <w:numId w:val="17"/>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 xml:space="preserve">签署合同后，乙方应确定项目负责人 </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lang w:val="en-US" w:eastAsia="zh-CN"/>
          <w14:textFill>
            <w14:solidFill>
              <w14:schemeClr w14:val="tx1"/>
            </w14:solidFill>
          </w14:textFill>
        </w:rPr>
        <w:t xml:space="preserve"> ，负责与本合同有关的事务。</w:t>
      </w:r>
    </w:p>
    <w:p w14:paraId="02A21624">
      <w:pPr>
        <w:numPr>
          <w:ilvl w:val="0"/>
          <w:numId w:val="17"/>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D19CCF0">
      <w:pPr>
        <w:numPr>
          <w:ilvl w:val="0"/>
          <w:numId w:val="17"/>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乙方在申请款项时应按合同约定的时间向丙方提供合法有效、足额的发票，发票抬头为丙方。</w:t>
      </w:r>
    </w:p>
    <w:p w14:paraId="57142351">
      <w:pPr>
        <w:numPr>
          <w:ilvl w:val="0"/>
          <w:numId w:val="17"/>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国家法律法规规定应由乙方承担的其他义务和责任。</w:t>
      </w:r>
    </w:p>
    <w:p w14:paraId="74B5A2BB">
      <w:pPr>
        <w:numPr>
          <w:ilvl w:val="0"/>
          <w:numId w:val="18"/>
        </w:numPr>
        <w:spacing w:line="400" w:lineRule="exact"/>
        <w:rPr>
          <w:rFonts w:hint="eastAsia" w:ascii="宋体" w:hAnsi="宋体" w:eastAsia="宋体" w:cs="宋体"/>
          <w:b/>
          <w:bCs/>
          <w:color w:val="000000" w:themeColor="text1"/>
          <w:highlight w:val="none"/>
          <w:u w:val="none"/>
          <w:lang w:val="en-US"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丙方的权利和义务</w:t>
      </w:r>
    </w:p>
    <w:p w14:paraId="3D16D86C">
      <w:pPr>
        <w:numPr>
          <w:ilvl w:val="0"/>
          <w:numId w:val="19"/>
        </w:numPr>
        <w:spacing w:line="400" w:lineRule="exact"/>
        <w:ind w:left="825" w:leftChars="0" w:hanging="405" w:firstLineChars="0"/>
        <w:rPr>
          <w:rFonts w:hint="eastAsia" w:ascii="宋体" w:hAnsi="宋体" w:eastAsia="宋体" w:cs="宋体"/>
          <w:b w:val="0"/>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丙方在</w:t>
      </w:r>
      <w:r>
        <w:rPr>
          <w:rFonts w:hint="eastAsia" w:ascii="宋体" w:hAnsi="宋体" w:eastAsia="宋体" w:cs="宋体"/>
          <w:b w:val="0"/>
          <w:color w:val="000000" w:themeColor="text1"/>
          <w:highlight w:val="none"/>
          <w:u w:val="none"/>
          <w:lang w:val="en-US" w:eastAsia="zh-CN"/>
          <w14:textFill>
            <w14:solidFill>
              <w14:schemeClr w14:val="tx1"/>
            </w14:solidFill>
          </w14:textFill>
        </w:rPr>
        <w:t>收到</w:t>
      </w:r>
      <w:r>
        <w:rPr>
          <w:rFonts w:hint="eastAsia" w:ascii="宋体" w:hAnsi="宋体" w:eastAsia="宋体" w:cs="宋体"/>
          <w:color w:val="000000" w:themeColor="text1"/>
          <w:sz w:val="21"/>
          <w:szCs w:val="24"/>
          <w:highlight w:val="none"/>
          <w:u w:val="none"/>
          <w:lang w:val="en-US" w:eastAsia="zh-CN"/>
          <w14:textFill>
            <w14:solidFill>
              <w14:schemeClr w14:val="tx1"/>
            </w14:solidFill>
          </w14:textFill>
        </w:rPr>
        <w:t>宁波市北仑区卫生健康局的项目资金且</w:t>
      </w:r>
      <w:r>
        <w:rPr>
          <w:rFonts w:hint="eastAsia" w:ascii="宋体" w:hAnsi="宋体" w:eastAsia="宋体" w:cs="宋体"/>
          <w:color w:val="000000" w:themeColor="text1"/>
          <w:highlight w:val="none"/>
          <w:u w:val="none"/>
          <w:lang w:val="en-US" w:eastAsia="zh-CN"/>
          <w14:textFill>
            <w14:solidFill>
              <w14:schemeClr w14:val="tx1"/>
            </w14:solidFill>
          </w14:textFill>
        </w:rPr>
        <w:t>甲方的采购方式、合同支付条款等符合国家、省、市、区相关规定的前提下，严格按本合同要求向乙方支付合同价款；</w:t>
      </w:r>
      <w:r>
        <w:rPr>
          <w:rFonts w:hint="eastAsia" w:ascii="宋体" w:hAnsi="宋体" w:eastAsia="宋体" w:cs="宋体"/>
          <w:b w:val="0"/>
          <w:color w:val="000000" w:themeColor="text1"/>
          <w:highlight w:val="none"/>
          <w:u w:val="none"/>
          <w:lang w:val="en-US" w:eastAsia="zh-CN"/>
          <w14:textFill>
            <w14:solidFill>
              <w14:schemeClr w14:val="tx1"/>
            </w14:solidFill>
          </w14:textFill>
        </w:rPr>
        <w:t>甲方须确保本合同结算价不超过概算审定价（单项），如若超出，由甲方负责办理该概算超出的变更手续，未办理变更手续的，丙方可不予支付超过概算审定价以外的合同价款；</w:t>
      </w:r>
    </w:p>
    <w:p w14:paraId="1902321A">
      <w:pPr>
        <w:numPr>
          <w:ilvl w:val="0"/>
          <w:numId w:val="19"/>
        </w:numPr>
        <w:spacing w:line="400" w:lineRule="exact"/>
        <w:ind w:left="825" w:leftChars="0" w:hanging="405" w:firstLineChars="0"/>
        <w:rPr>
          <w:rFonts w:hint="eastAsia" w:ascii="宋体" w:hAnsi="宋体" w:eastAsia="宋体" w:cs="宋体"/>
          <w:b w:val="0"/>
          <w:color w:val="000000" w:themeColor="text1"/>
          <w:highlight w:val="none"/>
          <w:u w:val="none"/>
          <w:lang w:val="en-US" w:eastAsia="zh-CN"/>
          <w14:textFill>
            <w14:solidFill>
              <w14:schemeClr w14:val="tx1"/>
            </w14:solidFill>
          </w14:textFill>
        </w:rPr>
      </w:pPr>
      <w:r>
        <w:rPr>
          <w:rFonts w:hint="eastAsia" w:ascii="宋体" w:hAnsi="宋体" w:eastAsia="宋体" w:cs="宋体"/>
          <w:b w:val="0"/>
          <w:color w:val="000000" w:themeColor="text1"/>
          <w:highlight w:val="none"/>
          <w:u w:val="none"/>
          <w:lang w:val="en-US" w:eastAsia="zh-CN"/>
          <w14:textFill>
            <w14:solidFill>
              <w14:schemeClr w14:val="tx1"/>
            </w14:solidFill>
          </w14:textFill>
        </w:rPr>
        <w:t>丙方付款前，甲方及乙方应向甲方提交请款资料；丙方有权要求甲方或乙方提供合同的发包、履约、验收等相关资料，甲方或乙方未提供的或迟延提供的，丙方可不予支付合同价款或迟延支付，并丙方据此不承担任何违约责任。</w:t>
      </w:r>
    </w:p>
    <w:p w14:paraId="13116530">
      <w:pPr>
        <w:numPr>
          <w:ilvl w:val="0"/>
          <w:numId w:val="19"/>
        </w:numPr>
        <w:spacing w:line="400" w:lineRule="exact"/>
        <w:ind w:left="825" w:leftChars="0" w:hanging="405"/>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丙</w:t>
      </w:r>
      <w:r>
        <w:rPr>
          <w:rFonts w:hint="eastAsia" w:ascii="宋体" w:hAnsi="宋体" w:eastAsia="宋体" w:cs="宋体"/>
          <w:color w:val="000000" w:themeColor="text1"/>
          <w:highlight w:val="none"/>
          <w:u w:val="none"/>
          <w14:textFill>
            <w14:solidFill>
              <w14:schemeClr w14:val="tx1"/>
            </w14:solidFill>
          </w14:textFill>
        </w:rPr>
        <w:t>方</w:t>
      </w:r>
      <w:r>
        <w:rPr>
          <w:rFonts w:hint="eastAsia" w:ascii="宋体" w:hAnsi="宋体" w:eastAsia="宋体" w:cs="宋体"/>
          <w:color w:val="000000" w:themeColor="text1"/>
          <w:highlight w:val="none"/>
          <w:u w:val="none"/>
          <w:lang w:val="en-US" w:eastAsia="zh-CN"/>
          <w14:textFill>
            <w14:solidFill>
              <w14:schemeClr w14:val="tx1"/>
            </w14:solidFill>
          </w14:textFill>
        </w:rPr>
        <w:t>在</w:t>
      </w:r>
      <w:r>
        <w:rPr>
          <w:rFonts w:hint="eastAsia" w:ascii="宋体" w:hAnsi="宋体" w:eastAsia="宋体" w:cs="宋体"/>
          <w:color w:val="000000" w:themeColor="text1"/>
          <w:highlight w:val="none"/>
          <w:u w:val="none"/>
          <w14:textFill>
            <w14:solidFill>
              <w14:schemeClr w14:val="tx1"/>
            </w14:solidFill>
          </w14:textFill>
        </w:rPr>
        <w:t>收到</w:t>
      </w:r>
      <w:r>
        <w:rPr>
          <w:rFonts w:hint="eastAsia" w:ascii="宋体" w:hAnsi="宋体" w:eastAsia="宋体" w:cs="宋体"/>
          <w:color w:val="000000" w:themeColor="text1"/>
          <w:highlight w:val="none"/>
          <w:u w:val="none"/>
          <w:lang w:val="en-US" w:eastAsia="zh-CN"/>
          <w14:textFill>
            <w14:solidFill>
              <w14:schemeClr w14:val="tx1"/>
            </w14:solidFill>
          </w14:textFill>
        </w:rPr>
        <w:t>甲方和乙方完整有效的请款资料</w:t>
      </w:r>
      <w:r>
        <w:rPr>
          <w:rFonts w:hint="eastAsia" w:ascii="宋体" w:hAnsi="宋体" w:eastAsia="宋体" w:cs="宋体"/>
          <w:color w:val="000000" w:themeColor="text1"/>
          <w:highlight w:val="none"/>
          <w:u w:val="none"/>
          <w14:textFill>
            <w14:solidFill>
              <w14:schemeClr w14:val="tx1"/>
            </w14:solidFill>
          </w14:textFill>
        </w:rPr>
        <w:t>后60天内一次性付清全款</w:t>
      </w:r>
      <w:r>
        <w:rPr>
          <w:rFonts w:hint="eastAsia" w:ascii="宋体" w:hAnsi="宋体" w:eastAsia="宋体" w:cs="宋体"/>
          <w:color w:val="000000" w:themeColor="text1"/>
          <w:highlight w:val="none"/>
          <w:u w:val="none"/>
          <w:lang w:eastAsia="zh-CN"/>
          <w14:textFill>
            <w14:solidFill>
              <w14:schemeClr w14:val="tx1"/>
            </w14:solidFill>
          </w14:textFill>
        </w:rPr>
        <w:t>；</w:t>
      </w:r>
      <w:r>
        <w:rPr>
          <w:rFonts w:hint="eastAsia" w:ascii="宋体" w:hAnsi="宋体" w:eastAsia="宋体" w:cs="宋体"/>
          <w:color w:val="000000" w:themeColor="text1"/>
          <w:highlight w:val="none"/>
          <w:u w:val="none"/>
          <w:lang w:val="en-US" w:eastAsia="zh-CN"/>
          <w14:textFill>
            <w14:solidFill>
              <w14:schemeClr w14:val="tx1"/>
            </w14:solidFill>
          </w14:textFill>
        </w:rPr>
        <w:t>如请款资料齐全但丙方未</w:t>
      </w:r>
      <w:r>
        <w:rPr>
          <w:rFonts w:hint="eastAsia" w:ascii="宋体" w:hAnsi="宋体" w:eastAsia="宋体" w:cs="宋体"/>
          <w:b w:val="0"/>
          <w:color w:val="000000" w:themeColor="text1"/>
          <w:highlight w:val="none"/>
          <w:u w:val="none"/>
          <w:lang w:val="en-US" w:eastAsia="zh-CN"/>
          <w14:textFill>
            <w14:solidFill>
              <w14:schemeClr w14:val="tx1"/>
            </w14:solidFill>
          </w14:textFill>
        </w:rPr>
        <w:t>收到</w:t>
      </w:r>
      <w:r>
        <w:rPr>
          <w:rFonts w:hint="eastAsia" w:ascii="宋体" w:hAnsi="宋体" w:eastAsia="宋体" w:cs="宋体"/>
          <w:color w:val="000000" w:themeColor="text1"/>
          <w:sz w:val="21"/>
          <w:szCs w:val="24"/>
          <w:highlight w:val="none"/>
          <w:u w:val="none"/>
          <w:lang w:val="en-US" w:eastAsia="zh-CN"/>
          <w14:textFill>
            <w14:solidFill>
              <w14:schemeClr w14:val="tx1"/>
            </w14:solidFill>
          </w14:textFill>
        </w:rPr>
        <w:t>宁波市北仑区卫生健康局的项目资金的，丙方有权不予支付且不构成违约，乙方无权向丙方主张款项及违约金。</w:t>
      </w:r>
    </w:p>
    <w:p w14:paraId="46C4739F">
      <w:pPr>
        <w:numPr>
          <w:ilvl w:val="0"/>
          <w:numId w:val="19"/>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丙方全面享有和承担与资金相关的权责和义务(包括违约金收缴、索赔等)。</w:t>
      </w:r>
    </w:p>
    <w:p w14:paraId="47BAD06B">
      <w:pPr>
        <w:numPr>
          <w:ilvl w:val="0"/>
          <w:numId w:val="0"/>
        </w:numPr>
        <w:spacing w:line="400" w:lineRule="exact"/>
        <w:rPr>
          <w:rFonts w:hint="eastAsia" w:ascii="宋体" w:hAnsi="宋体" w:eastAsia="宋体" w:cs="宋体"/>
          <w:b/>
          <w:bCs/>
          <w:color w:val="000000" w:themeColor="text1"/>
          <w:highlight w:val="none"/>
          <w:u w:val="none"/>
          <w:lang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八、</w:t>
      </w:r>
      <w:r>
        <w:rPr>
          <w:rFonts w:hint="eastAsia" w:ascii="宋体" w:hAnsi="宋体" w:eastAsia="宋体" w:cs="宋体"/>
          <w:b/>
          <w:bCs/>
          <w:color w:val="000000" w:themeColor="text1"/>
          <w:highlight w:val="none"/>
          <w:u w:val="none"/>
          <w14:textFill>
            <w14:solidFill>
              <w14:schemeClr w14:val="tx1"/>
            </w14:solidFill>
          </w14:textFill>
        </w:rPr>
        <w:t>交付要求</w:t>
      </w:r>
    </w:p>
    <w:p w14:paraId="2487C4DB">
      <w:pPr>
        <w:numPr>
          <w:ilvl w:val="0"/>
          <w:numId w:val="20"/>
        </w:numPr>
        <w:spacing w:line="400" w:lineRule="exact"/>
        <w:ind w:left="840"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本合同涉及商品包装、快递包装的，除另有约定外，包装应适应远距离运输、防潮、防震、防锈和防野蛮装卸等要求，确保货物安全无损地运抵</w:t>
      </w:r>
      <w:r>
        <w:rPr>
          <w:rFonts w:hint="eastAsia" w:ascii="宋体" w:hAnsi="宋体" w:eastAsia="宋体" w:cs="宋体"/>
          <w:color w:val="000000" w:themeColor="text1"/>
          <w:highlight w:val="none"/>
          <w:u w:val="none"/>
          <w:lang w:val="en-US" w:eastAsia="zh-CN"/>
          <w14:textFill>
            <w14:solidFill>
              <w14:schemeClr w14:val="tx1"/>
            </w14:solidFill>
          </w14:textFill>
        </w:rPr>
        <w:t>甲方</w:t>
      </w:r>
      <w:r>
        <w:rPr>
          <w:rFonts w:hint="eastAsia" w:ascii="宋体" w:hAnsi="宋体" w:eastAsia="宋体" w:cs="宋体"/>
          <w:color w:val="000000" w:themeColor="text1"/>
          <w:highlight w:val="none"/>
          <w:u w:val="none"/>
          <w14:textFill>
            <w14:solidFill>
              <w14:schemeClr w14:val="tx1"/>
            </w14:solidFill>
          </w14:textFill>
        </w:rPr>
        <w:t>的指定现场。</w:t>
      </w:r>
    </w:p>
    <w:p w14:paraId="2B3289E5">
      <w:pPr>
        <w:numPr>
          <w:ilvl w:val="0"/>
          <w:numId w:val="20"/>
        </w:numPr>
        <w:spacing w:line="400" w:lineRule="exact"/>
        <w:ind w:left="840"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乙方在运输到达之前应提前通知甲方，并提示货物运输装卸的注意事项，甲方配合乙方做好货物的接收工作。</w:t>
      </w:r>
    </w:p>
    <w:p w14:paraId="284B6F3E">
      <w:pPr>
        <w:numPr>
          <w:ilvl w:val="0"/>
          <w:numId w:val="20"/>
        </w:numPr>
        <w:spacing w:line="400" w:lineRule="exact"/>
        <w:ind w:left="840" w:leftChars="0" w:hanging="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 xml:space="preserve">如因包装、运输问题导致货物损毁、丢失或者品质下降，甲方有权要求降价、换货、拒收部分或整批货物，由此产生的费用和损失，均由乙方承担。 </w:t>
      </w:r>
    </w:p>
    <w:p w14:paraId="5B7F47BA">
      <w:pPr>
        <w:numPr>
          <w:ilvl w:val="0"/>
          <w:numId w:val="0"/>
        </w:numPr>
        <w:spacing w:line="400" w:lineRule="exact"/>
        <w:ind w:left="1" w:leftChars="0"/>
        <w:rPr>
          <w:rFonts w:hint="eastAsia" w:ascii="宋体" w:hAnsi="宋体" w:eastAsia="宋体" w:cs="宋体"/>
          <w:b/>
          <w:bCs/>
          <w:color w:val="000000" w:themeColor="text1"/>
          <w:highlight w:val="none"/>
          <w:u w:val="none"/>
          <w:lang w:val="en-US" w:eastAsia="zh-CN"/>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九、技术资料</w:t>
      </w:r>
    </w:p>
    <w:p w14:paraId="1498109C">
      <w:pPr>
        <w:numPr>
          <w:ilvl w:val="0"/>
          <w:numId w:val="21"/>
        </w:numPr>
        <w:spacing w:line="400" w:lineRule="exact"/>
        <w:ind w:left="825" w:leftChars="0" w:hanging="405"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乙方应按照招标文件规定的时间内向甲方提供使用货物的有关技术资料。</w:t>
      </w:r>
    </w:p>
    <w:p w14:paraId="16B9E2ED">
      <w:pPr>
        <w:numPr>
          <w:ilvl w:val="0"/>
          <w:numId w:val="21"/>
        </w:numPr>
        <w:spacing w:line="400" w:lineRule="exact"/>
        <w:ind w:left="825" w:leftChars="0" w:hanging="40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lang w:val="en-US" w:eastAsia="zh-CN"/>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合同的必需范围。</w:t>
      </w:r>
    </w:p>
    <w:p w14:paraId="54F485CC">
      <w:pPr>
        <w:numPr>
          <w:ilvl w:val="0"/>
          <w:numId w:val="0"/>
        </w:numPr>
        <w:spacing w:line="400" w:lineRule="exact"/>
        <w:rPr>
          <w:rFonts w:hint="eastAsia" w:ascii="宋体" w:hAnsi="宋体" w:eastAsia="宋体" w:cs="宋体"/>
          <w:b/>
          <w:bCs/>
          <w:color w:val="000000" w:themeColor="text1"/>
          <w:highlight w:val="none"/>
          <w:u w:val="none"/>
          <w14:textFill>
            <w14:solidFill>
              <w14:schemeClr w14:val="tx1"/>
            </w14:solidFill>
          </w14:textFill>
        </w:rPr>
      </w:pPr>
      <w:r>
        <w:rPr>
          <w:rFonts w:hint="eastAsia" w:ascii="宋体" w:hAnsi="宋体" w:eastAsia="宋体" w:cs="宋体"/>
          <w:b/>
          <w:bCs/>
          <w:color w:val="000000" w:themeColor="text1"/>
          <w:highlight w:val="none"/>
          <w:u w:val="none"/>
          <w:lang w:val="en-US" w:eastAsia="zh-CN"/>
          <w14:textFill>
            <w14:solidFill>
              <w14:schemeClr w14:val="tx1"/>
            </w14:solidFill>
          </w14:textFill>
        </w:rPr>
        <w:t>十、</w:t>
      </w:r>
      <w:r>
        <w:rPr>
          <w:rFonts w:hint="eastAsia" w:ascii="宋体" w:hAnsi="宋体" w:eastAsia="宋体" w:cs="宋体"/>
          <w:b/>
          <w:bCs/>
          <w:color w:val="000000" w:themeColor="text1"/>
          <w:highlight w:val="none"/>
          <w:u w:val="none"/>
          <w14:textFill>
            <w14:solidFill>
              <w14:schemeClr w14:val="tx1"/>
            </w14:solidFill>
          </w14:textFill>
        </w:rPr>
        <w:t>质量标准和保证</w:t>
      </w:r>
    </w:p>
    <w:p w14:paraId="634D281B">
      <w:pPr>
        <w:numPr>
          <w:ilvl w:val="0"/>
          <w:numId w:val="22"/>
        </w:numPr>
        <w:spacing w:line="400" w:lineRule="exact"/>
        <w:ind w:left="425"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质量标准</w:t>
      </w:r>
    </w:p>
    <w:p w14:paraId="7137DC8B">
      <w:pPr>
        <w:numPr>
          <w:ilvl w:val="0"/>
          <w:numId w:val="23"/>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ADE5B9">
      <w:pPr>
        <w:numPr>
          <w:ilvl w:val="0"/>
          <w:numId w:val="23"/>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采用中华人民共和国法定计量单位。</w:t>
      </w:r>
    </w:p>
    <w:p w14:paraId="4E310CFF">
      <w:pPr>
        <w:numPr>
          <w:ilvl w:val="0"/>
          <w:numId w:val="23"/>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乙方所提供的货物应符合国家有关安全、环保、卫生的规定。</w:t>
      </w:r>
    </w:p>
    <w:p w14:paraId="539BE5E7">
      <w:pPr>
        <w:numPr>
          <w:ilvl w:val="0"/>
          <w:numId w:val="23"/>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乙方应向甲方提交所提供货物的技术文件，包括相应的中文技术文件，如：产品目录、图纸、操作手册、使用说明、维护手册或服务指南等。上述文件应包装好随货物一同发运。</w:t>
      </w:r>
    </w:p>
    <w:p w14:paraId="4D007377">
      <w:pPr>
        <w:numPr>
          <w:ilvl w:val="0"/>
          <w:numId w:val="22"/>
        </w:numPr>
        <w:spacing w:line="400" w:lineRule="exact"/>
        <w:ind w:left="425" w:leftChars="0" w:hanging="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保证</w:t>
      </w:r>
    </w:p>
    <w:p w14:paraId="346ACD22">
      <w:pPr>
        <w:numPr>
          <w:ilvl w:val="0"/>
          <w:numId w:val="24"/>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乙方应保证提供的货物完全符合合同规定的质量、规格和性能要求。乙方应保证货物在正确安装、正常使用和保养条件下，在其使用寿命期内具备合同约定的性能。</w:t>
      </w:r>
    </w:p>
    <w:p w14:paraId="4D770494">
      <w:pPr>
        <w:numPr>
          <w:ilvl w:val="0"/>
          <w:numId w:val="24"/>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在质量保证期内所发现的缺陷，甲方应尽快以书面形式通知乙方。</w:t>
      </w:r>
    </w:p>
    <w:p w14:paraId="610B504A">
      <w:pPr>
        <w:numPr>
          <w:ilvl w:val="0"/>
          <w:numId w:val="24"/>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乙方收到通知后，应在规定的响应时间内以合理的速度免费维修或更换有缺陷的货物或部件。</w:t>
      </w:r>
    </w:p>
    <w:p w14:paraId="4F0D39D5">
      <w:pPr>
        <w:numPr>
          <w:ilvl w:val="0"/>
          <w:numId w:val="24"/>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在质量保证期内，如果货物的质量或规格与合同不符，或证实货物是有缺陷的，包括潜在的缺陷或使用不符合要求的材料等，甲方可以根据本合同</w:t>
      </w:r>
      <w:r>
        <w:rPr>
          <w:rFonts w:hint="eastAsia" w:ascii="宋体" w:hAnsi="宋体" w:eastAsia="宋体" w:cs="宋体"/>
          <w:b/>
          <w:bCs/>
          <w:color w:val="000000" w:themeColor="text1"/>
          <w:highlight w:val="none"/>
          <w:u w:val="none"/>
          <w:lang w:val="en-US" w:eastAsia="zh-CN"/>
          <w14:textFill>
            <w14:solidFill>
              <w14:schemeClr w14:val="tx1"/>
            </w14:solidFill>
          </w14:textFill>
        </w:rPr>
        <w:t>十五</w:t>
      </w:r>
      <w:r>
        <w:rPr>
          <w:rFonts w:hint="eastAsia" w:ascii="宋体" w:hAnsi="宋体" w:eastAsia="宋体" w:cs="宋体"/>
          <w:color w:val="000000" w:themeColor="text1"/>
          <w:highlight w:val="none"/>
          <w:u w:val="none"/>
          <w14:textFill>
            <w14:solidFill>
              <w14:schemeClr w14:val="tx1"/>
            </w14:solidFill>
          </w14:textFill>
        </w:rPr>
        <w:t>条规定以书面形式追究乙方的违约责任。</w:t>
      </w:r>
    </w:p>
    <w:p w14:paraId="60AE9116">
      <w:pPr>
        <w:numPr>
          <w:ilvl w:val="0"/>
          <w:numId w:val="24"/>
        </w:numPr>
        <w:spacing w:line="400" w:lineRule="exact"/>
        <w:ind w:left="1060" w:leftChars="0" w:hanging="425" w:firstLineChars="0"/>
        <w:rPr>
          <w:rFonts w:hint="eastAsia" w:ascii="宋体" w:hAnsi="宋体" w:eastAsia="宋体" w:cs="宋体"/>
          <w:b/>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乙方在约定的时间内未能弥补缺陷，甲方可采取必要的补救措施，但其风险和费用将由乙方承担，甲方根据合同约定对乙方行使的其他权利不受影响。</w:t>
      </w:r>
    </w:p>
    <w:p w14:paraId="332AAC81">
      <w:pPr>
        <w:pStyle w:val="973"/>
        <w:ind w:left="0" w:leftChars="0"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bCs/>
          <w:color w:val="000000" w:themeColor="text1"/>
          <w:sz w:val="21"/>
          <w:szCs w:val="21"/>
          <w:highlight w:val="none"/>
          <w14:textFill>
            <w14:solidFill>
              <w14:schemeClr w14:val="tx1"/>
            </w14:solidFill>
          </w14:textFill>
        </w:rPr>
        <w:t>权利瑕疵担保</w:t>
      </w:r>
    </w:p>
    <w:p w14:paraId="3B19CEE9">
      <w:pPr>
        <w:numPr>
          <w:ilvl w:val="0"/>
          <w:numId w:val="25"/>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乙方保证对其出售的货物享有合法的权利。</w:t>
      </w:r>
    </w:p>
    <w:p w14:paraId="19FE83AF">
      <w:pPr>
        <w:numPr>
          <w:ilvl w:val="0"/>
          <w:numId w:val="25"/>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乙方保证在交付的货物上不存在抵押权等担保物权。</w:t>
      </w:r>
    </w:p>
    <w:p w14:paraId="41DFC630">
      <w:pPr>
        <w:numPr>
          <w:ilvl w:val="0"/>
          <w:numId w:val="25"/>
        </w:numPr>
        <w:spacing w:line="400" w:lineRule="exact"/>
        <w:ind w:left="1060" w:leftChars="0" w:hanging="425" w:firstLineChars="0"/>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如甲方使用上述货物构成对第三人侵权的，则由乙方承担全部责任。</w:t>
      </w:r>
    </w:p>
    <w:p w14:paraId="470BA99F">
      <w:pPr>
        <w:pStyle w:val="973"/>
        <w:ind w:left="0" w:leftChars="0"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b/>
          <w:bCs/>
          <w:color w:val="000000" w:themeColor="text1"/>
          <w:sz w:val="21"/>
          <w:szCs w:val="21"/>
          <w:highlight w:val="none"/>
          <w14:textFill>
            <w14:solidFill>
              <w14:schemeClr w14:val="tx1"/>
            </w14:solidFill>
          </w14:textFill>
        </w:rPr>
        <w:t>知识产权保护</w:t>
      </w:r>
    </w:p>
    <w:p w14:paraId="7764FA9D">
      <w:pPr>
        <w:numPr>
          <w:ilvl w:val="0"/>
          <w:numId w:val="0"/>
        </w:numPr>
        <w:spacing w:line="400" w:lineRule="exact"/>
        <w:ind w:left="15" w:leftChars="0" w:firstLine="403" w:firstLineChars="192"/>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26771E4">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保密义务</w:t>
      </w:r>
    </w:p>
    <w:p w14:paraId="11554C0A">
      <w:pPr>
        <w:numPr>
          <w:ilvl w:val="0"/>
          <w:numId w:val="0"/>
        </w:numPr>
        <w:spacing w:line="400" w:lineRule="exact"/>
        <w:ind w:left="15" w:leftChars="0" w:firstLine="403" w:firstLineChars="192"/>
        <w:rPr>
          <w:rFonts w:hint="eastAsia" w:ascii="宋体" w:hAnsi="宋体" w:eastAsia="宋体" w:cs="宋体"/>
          <w:color w:val="000000" w:themeColor="text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highlight w:val="none"/>
          <w:u w:val="none"/>
          <w14:textFill>
            <w14:solidFill>
              <w14:schemeClr w14:val="tx1"/>
            </w14:solidFill>
          </w14:textFill>
        </w:rPr>
        <w:t>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5432A1FA">
      <w:pPr>
        <w:pStyle w:val="973"/>
        <w:ind w:left="0" w:leftChars="0" w:firstLine="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十四、</w:t>
      </w:r>
      <w:r>
        <w:rPr>
          <w:rFonts w:hint="eastAsia" w:ascii="宋体" w:hAnsi="宋体" w:eastAsia="宋体" w:cs="宋体"/>
          <w:b/>
          <w:bCs/>
          <w:color w:val="000000" w:themeColor="text1"/>
          <w:sz w:val="21"/>
          <w:szCs w:val="21"/>
          <w:highlight w:val="none"/>
          <w14:textFill>
            <w14:solidFill>
              <w14:schemeClr w14:val="tx1"/>
            </w14:solidFill>
          </w14:textFill>
        </w:rPr>
        <w:t>售后服务</w:t>
      </w:r>
    </w:p>
    <w:p w14:paraId="76ECAEFA">
      <w:pPr>
        <w:pStyle w:val="973"/>
        <w:numPr>
          <w:ilvl w:val="0"/>
          <w:numId w:val="26"/>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除项目不涉及或采购活动中明确约定无须承担外，乙方还应提供下列服务：</w:t>
      </w:r>
    </w:p>
    <w:p w14:paraId="73873299">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货物的现场移动、安装、调试、启动监督及技术支持；</w:t>
      </w:r>
    </w:p>
    <w:p w14:paraId="53178961">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提供货物组装和维修所需的专用工具和辅助材料；</w:t>
      </w:r>
    </w:p>
    <w:p w14:paraId="78C66E60">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在约定的期限内对所有的货物实施运行监督、维修，但前提条件是该服务并不能免除乙方在质量保证期内所承担的义务；</w:t>
      </w:r>
    </w:p>
    <w:p w14:paraId="036F32B6">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在制造商所在地或指定现场就货物的安装、启动、运营、维护、废弃处置等对甲方操作人员进行培训；</w:t>
      </w:r>
    </w:p>
    <w:p w14:paraId="08F53E8C">
      <w:pPr>
        <w:pStyle w:val="973"/>
        <w:numPr>
          <w:ilvl w:val="0"/>
          <w:numId w:val="27"/>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由乙方提供的其他服务。</w:t>
      </w:r>
    </w:p>
    <w:p w14:paraId="58361A6C">
      <w:pPr>
        <w:pStyle w:val="973"/>
        <w:numPr>
          <w:ilvl w:val="0"/>
          <w:numId w:val="26"/>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乙方提供的售后服务的费用已包含在合同价款中，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丙</w:t>
      </w:r>
      <w:r>
        <w:rPr>
          <w:rFonts w:hint="eastAsia" w:ascii="宋体" w:hAnsi="宋体" w:eastAsia="宋体" w:cs="宋体"/>
          <w:color w:val="000000" w:themeColor="text1"/>
          <w:sz w:val="21"/>
          <w:szCs w:val="21"/>
          <w:highlight w:val="none"/>
          <w14:textFill>
            <w14:solidFill>
              <w14:schemeClr w14:val="tx1"/>
            </w14:solidFill>
          </w14:textFill>
        </w:rPr>
        <w:t>方不再另行支付。</w:t>
      </w:r>
    </w:p>
    <w:p w14:paraId="4973DDBA">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十五、</w:t>
      </w:r>
      <w:r>
        <w:rPr>
          <w:rFonts w:hint="eastAsia" w:ascii="宋体" w:hAnsi="宋体" w:eastAsia="宋体" w:cs="宋体"/>
          <w:b/>
          <w:bCs/>
          <w:color w:val="000000" w:themeColor="text1"/>
          <w:sz w:val="21"/>
          <w:szCs w:val="21"/>
          <w:highlight w:val="none"/>
          <w14:textFill>
            <w14:solidFill>
              <w14:schemeClr w14:val="tx1"/>
            </w14:solidFill>
          </w14:textFill>
        </w:rPr>
        <w:t>违约责任</w:t>
      </w:r>
    </w:p>
    <w:p w14:paraId="64A077C7">
      <w:pPr>
        <w:pStyle w:val="973"/>
        <w:numPr>
          <w:ilvl w:val="0"/>
          <w:numId w:val="2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质量瑕疵的违约责任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乙方提供的产品不符合合同约定的质量标准或存在产品质量缺陷，甲方有权要求乙方根据要求及时修理、重作、更换，并承担由此给甲方造成的损失。</w:t>
      </w:r>
    </w:p>
    <w:p w14:paraId="0082925E">
      <w:pPr>
        <w:pStyle w:val="973"/>
        <w:numPr>
          <w:ilvl w:val="0"/>
          <w:numId w:val="2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迟延交货的违约责任</w:t>
      </w:r>
    </w:p>
    <w:p w14:paraId="7845A13A">
      <w:pPr>
        <w:pStyle w:val="973"/>
        <w:numPr>
          <w:ilvl w:val="0"/>
          <w:numId w:val="29"/>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31019A">
      <w:pPr>
        <w:pStyle w:val="973"/>
        <w:numPr>
          <w:ilvl w:val="0"/>
          <w:numId w:val="29"/>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如果乙方没有按照合同规定的时间交货和提供相关服务，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经</w:t>
      </w: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确认，丙方</w:t>
      </w:r>
      <w:r>
        <w:rPr>
          <w:rFonts w:hint="eastAsia" w:ascii="宋体" w:hAnsi="宋体" w:eastAsia="宋体" w:cs="宋体"/>
          <w:color w:val="000000" w:themeColor="text1"/>
          <w:sz w:val="21"/>
          <w:szCs w:val="21"/>
          <w:highlight w:val="none"/>
          <w14:textFill>
            <w14:solidFill>
              <w14:schemeClr w14:val="tx1"/>
            </w14:solidFill>
          </w14:textFill>
        </w:rPr>
        <w:t>有权从货款中扣除误期赔偿费而不影响合同项下的其他补救方法，</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u w:val="none"/>
          <w14:textFill>
            <w14:solidFill>
              <w14:schemeClr w14:val="tx1"/>
            </w14:solidFill>
          </w14:textFill>
        </w:rPr>
        <w:t>逾期天数和合同总额每日万分之五向</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丙</w:t>
      </w:r>
      <w:r>
        <w:rPr>
          <w:rFonts w:hint="eastAsia" w:ascii="宋体" w:hAnsi="宋体" w:eastAsia="宋体" w:cs="宋体"/>
          <w:color w:val="000000" w:themeColor="text1"/>
          <w:sz w:val="21"/>
          <w:szCs w:val="21"/>
          <w:highlight w:val="none"/>
          <w:u w:val="none"/>
          <w14:textFill>
            <w14:solidFill>
              <w14:schemeClr w14:val="tx1"/>
            </w14:solidFill>
          </w14:textFill>
        </w:rPr>
        <w:t>方支付</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赔偿费</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并赔偿</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u w:val="none"/>
          <w14:textFill>
            <w14:solidFill>
              <w14:schemeClr w14:val="tx1"/>
            </w14:solidFill>
          </w14:textFill>
        </w:rPr>
        <w:t>因此遭受的经济损失</w:t>
      </w:r>
      <w:r>
        <w:rPr>
          <w:rFonts w:hint="eastAsia" w:ascii="宋体" w:hAnsi="宋体" w:eastAsia="宋体" w:cs="宋体"/>
          <w:color w:val="000000" w:themeColor="text1"/>
          <w:sz w:val="21"/>
          <w:szCs w:val="21"/>
          <w:highlight w:val="none"/>
          <w14:textFill>
            <w14:solidFill>
              <w14:schemeClr w14:val="tx1"/>
            </w14:solidFill>
          </w14:textFill>
        </w:rPr>
        <w:t>。如果涉及公共利益，且赔偿金额无法弥补公共利益损失，甲方可要求继续履行或者采取其他补救措施。</w:t>
      </w:r>
    </w:p>
    <w:p w14:paraId="4E3102C6">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十六、</w:t>
      </w:r>
      <w:r>
        <w:rPr>
          <w:rFonts w:hint="eastAsia" w:ascii="宋体" w:hAnsi="宋体" w:eastAsia="宋体" w:cs="宋体"/>
          <w:b/>
          <w:bCs/>
          <w:color w:val="000000" w:themeColor="text1"/>
          <w:sz w:val="21"/>
          <w:szCs w:val="21"/>
          <w:highlight w:val="none"/>
          <w14:textFill>
            <w14:solidFill>
              <w14:schemeClr w14:val="tx1"/>
            </w14:solidFill>
          </w14:textFill>
        </w:rPr>
        <w:t>合同变更、中止与终止</w:t>
      </w:r>
    </w:p>
    <w:p w14:paraId="231E0B0E">
      <w:pPr>
        <w:pStyle w:val="973"/>
        <w:numPr>
          <w:ilvl w:val="0"/>
          <w:numId w:val="30"/>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合同的变更</w:t>
      </w:r>
    </w:p>
    <w:p w14:paraId="639AD7A0">
      <w:pPr>
        <w:pStyle w:val="973"/>
        <w:numPr>
          <w:ilvl w:val="0"/>
          <w:numId w:val="0"/>
        </w:numPr>
        <w:ind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0F3E6606">
      <w:pPr>
        <w:pStyle w:val="973"/>
        <w:numPr>
          <w:ilvl w:val="0"/>
          <w:numId w:val="30"/>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合同的中止</w:t>
      </w:r>
    </w:p>
    <w:p w14:paraId="58E2E729">
      <w:pPr>
        <w:pStyle w:val="973"/>
        <w:numPr>
          <w:ilvl w:val="0"/>
          <w:numId w:val="31"/>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合同履行过程中因供应商就采购文件、采购过程或结果提起投诉的，甲方认为有必要的，可以中止合同的履行。</w:t>
      </w:r>
    </w:p>
    <w:p w14:paraId="0F073C02">
      <w:pPr>
        <w:pStyle w:val="973"/>
        <w:numPr>
          <w:ilvl w:val="0"/>
          <w:numId w:val="31"/>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00ADA4E">
      <w:pPr>
        <w:pStyle w:val="973"/>
        <w:numPr>
          <w:ilvl w:val="0"/>
          <w:numId w:val="31"/>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乙方分立、合并或者变更住所的，应当及时以书面形式告知甲方。乙方没有及时告知甲方，致使合同履行发生困难的，甲方可以中止合同履行并要求乙方承担由此给甲方造成的损失。</w:t>
      </w:r>
    </w:p>
    <w:p w14:paraId="1C9DD2FE">
      <w:pPr>
        <w:pStyle w:val="973"/>
        <w:numPr>
          <w:ilvl w:val="0"/>
          <w:numId w:val="31"/>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甲方不得以行政区划调整、政府换届、机构或者职能调整以及相关责任人更替为由中止合同。</w:t>
      </w:r>
    </w:p>
    <w:p w14:paraId="3F84F902">
      <w:pPr>
        <w:pStyle w:val="973"/>
        <w:numPr>
          <w:ilvl w:val="0"/>
          <w:numId w:val="30"/>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w:t>
      </w:r>
      <w:r>
        <w:rPr>
          <w:rFonts w:hint="eastAsia" w:ascii="宋体" w:hAnsi="宋体" w:eastAsia="宋体" w:cs="宋体"/>
          <w:color w:val="000000" w:themeColor="text1"/>
          <w:sz w:val="21"/>
          <w:szCs w:val="21"/>
          <w:highlight w:val="none"/>
          <w14:textFill>
            <w14:solidFill>
              <w14:schemeClr w14:val="tx1"/>
            </w14:solidFill>
          </w14:textFill>
        </w:rPr>
        <w:t>同的终止</w:t>
      </w:r>
    </w:p>
    <w:p w14:paraId="3A831790">
      <w:pPr>
        <w:pStyle w:val="973"/>
        <w:numPr>
          <w:ilvl w:val="0"/>
          <w:numId w:val="3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合同因有效期限届满而终止；</w:t>
      </w:r>
    </w:p>
    <w:p w14:paraId="2383FEF5">
      <w:pPr>
        <w:pStyle w:val="973"/>
        <w:numPr>
          <w:ilvl w:val="0"/>
          <w:numId w:val="32"/>
        </w:numPr>
        <w:ind w:left="1060" w:leftChars="0" w:hanging="42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乙方未按合同约定履行，构成根本性违约的，甲方有权终止合同，并追究乙方的违约责任。</w:t>
      </w:r>
    </w:p>
    <w:p w14:paraId="04B103FC">
      <w:pPr>
        <w:pStyle w:val="973"/>
        <w:numPr>
          <w:ilvl w:val="0"/>
          <w:numId w:val="30"/>
        </w:numPr>
        <w:ind w:left="425" w:leftChars="20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涉及国家利益、社会公共利益的情形</w:t>
      </w:r>
    </w:p>
    <w:p w14:paraId="56403358">
      <w:pPr>
        <w:pStyle w:val="973"/>
        <w:numPr>
          <w:ilvl w:val="0"/>
          <w:numId w:val="0"/>
        </w:numPr>
        <w:ind w:left="435" w:leftChars="207" w:firstLine="380" w:firstLineChars="18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政府采购合同继续履行将损害国家利益和社会公共利益的，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方当事人应当变更、中止或者终止合同。有过错的一方应当承担赔偿责任，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方都有过错的，各自承担相应的责任。</w:t>
      </w:r>
    </w:p>
    <w:p w14:paraId="60BA0AB0">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十七、</w:t>
      </w:r>
      <w:r>
        <w:rPr>
          <w:rFonts w:hint="eastAsia" w:ascii="宋体" w:hAnsi="宋体" w:eastAsia="宋体" w:cs="宋体"/>
          <w:b/>
          <w:bCs/>
          <w:color w:val="000000" w:themeColor="text1"/>
          <w:sz w:val="21"/>
          <w:szCs w:val="21"/>
          <w:highlight w:val="none"/>
          <w14:textFill>
            <w14:solidFill>
              <w14:schemeClr w14:val="tx1"/>
            </w14:solidFill>
          </w14:textFill>
        </w:rPr>
        <w:t>合同分包</w:t>
      </w:r>
    </w:p>
    <w:p w14:paraId="0C795ED8">
      <w:pPr>
        <w:pStyle w:val="973"/>
        <w:numPr>
          <w:ilvl w:val="0"/>
          <w:numId w:val="3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乙方不得将合同转包给其他供应商。涉及合同分包的，乙方应根据采购文件和投标（响应）文件规定进行合同分包。</w:t>
      </w:r>
    </w:p>
    <w:p w14:paraId="01889AF1">
      <w:pPr>
        <w:pStyle w:val="973"/>
        <w:numPr>
          <w:ilvl w:val="0"/>
          <w:numId w:val="33"/>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乙方执行政府采购政策向中小企业依法分包的，乙方应当按采购文件和投标（响应）文件签订分包意向协议，分包意向协议属于本合同组成部分。</w:t>
      </w:r>
    </w:p>
    <w:p w14:paraId="2B5697F4">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十八、</w:t>
      </w:r>
      <w:r>
        <w:rPr>
          <w:rFonts w:hint="eastAsia" w:ascii="宋体" w:hAnsi="宋体" w:eastAsia="宋体" w:cs="宋体"/>
          <w:b/>
          <w:bCs/>
          <w:color w:val="000000" w:themeColor="text1"/>
          <w:sz w:val="21"/>
          <w:szCs w:val="21"/>
          <w:highlight w:val="none"/>
          <w14:textFill>
            <w14:solidFill>
              <w14:schemeClr w14:val="tx1"/>
            </w14:solidFill>
          </w14:textFill>
        </w:rPr>
        <w:t>不可抗力</w:t>
      </w:r>
    </w:p>
    <w:p w14:paraId="1F3E9961">
      <w:pPr>
        <w:pStyle w:val="973"/>
        <w:numPr>
          <w:ilvl w:val="0"/>
          <w:numId w:val="34"/>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不可抗力是指合同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方不能预见、不能避免且不能克服的客观情况。</w:t>
      </w:r>
    </w:p>
    <w:p w14:paraId="5F0559E3">
      <w:pPr>
        <w:pStyle w:val="973"/>
        <w:numPr>
          <w:ilvl w:val="0"/>
          <w:numId w:val="34"/>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任何一方对由于不可抗力造成的部分或全部不能履行合同不承担违约责任。但迟延履行后发生不可抗力的，不能免除责任。</w:t>
      </w:r>
    </w:p>
    <w:p w14:paraId="4EE30470">
      <w:pPr>
        <w:pStyle w:val="973"/>
        <w:numPr>
          <w:ilvl w:val="0"/>
          <w:numId w:val="34"/>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2DE42CF">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十九、</w:t>
      </w:r>
      <w:r>
        <w:rPr>
          <w:rFonts w:hint="eastAsia" w:ascii="宋体" w:hAnsi="宋体" w:eastAsia="宋体" w:cs="宋体"/>
          <w:b/>
          <w:bCs/>
          <w:color w:val="000000" w:themeColor="text1"/>
          <w:sz w:val="21"/>
          <w:szCs w:val="21"/>
          <w:highlight w:val="none"/>
          <w14:textFill>
            <w14:solidFill>
              <w14:schemeClr w14:val="tx1"/>
            </w14:solidFill>
          </w14:textFill>
        </w:rPr>
        <w:t>解决争议的方法</w:t>
      </w:r>
    </w:p>
    <w:p w14:paraId="063D408E">
      <w:pPr>
        <w:pStyle w:val="973"/>
        <w:numPr>
          <w:ilvl w:val="0"/>
          <w:numId w:val="35"/>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因本合同及合同有关事项发生的争议，</w:t>
      </w: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14:textFill>
            <w14:solidFill>
              <w14:schemeClr w14:val="tx1"/>
            </w14:solidFill>
          </w14:textFill>
        </w:rPr>
        <w:t>友好协商解决。协商不成时，可以向有关组织申请调解。合同一方或</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方不愿调解或调解不成的，可以通过仲裁或诉讼的方式解决争议。</w:t>
      </w:r>
    </w:p>
    <w:p w14:paraId="5757440E">
      <w:pPr>
        <w:pStyle w:val="973"/>
        <w:numPr>
          <w:ilvl w:val="0"/>
          <w:numId w:val="35"/>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选择仲裁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诉讼方式解决的，</w:t>
      </w:r>
      <w:r>
        <w:rPr>
          <w:rFonts w:hint="eastAsia" w:ascii="宋体" w:hAnsi="宋体" w:eastAsia="宋体" w:cs="宋体"/>
          <w:color w:val="000000" w:themeColor="text1"/>
          <w:sz w:val="21"/>
          <w:szCs w:val="21"/>
          <w:highlight w:val="none"/>
          <w:u w:val="none"/>
          <w14:textFill>
            <w14:solidFill>
              <w14:schemeClr w14:val="tx1"/>
            </w14:solidFill>
          </w14:textFill>
        </w:rPr>
        <w:t>由</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u w:val="none"/>
          <w14:textFill>
            <w14:solidFill>
              <w14:schemeClr w14:val="tx1"/>
            </w14:solidFill>
          </w14:textFill>
        </w:rPr>
        <w:t>方所在地</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仲裁机构、</w:t>
      </w:r>
      <w:r>
        <w:rPr>
          <w:rFonts w:hint="eastAsia" w:ascii="宋体" w:hAnsi="宋体" w:eastAsia="宋体" w:cs="宋体"/>
          <w:color w:val="000000" w:themeColor="text1"/>
          <w:sz w:val="21"/>
          <w:szCs w:val="21"/>
          <w:highlight w:val="none"/>
          <w:u w:val="none"/>
          <w14:textFill>
            <w14:solidFill>
              <w14:schemeClr w14:val="tx1"/>
            </w14:solidFill>
          </w14:textFill>
        </w:rPr>
        <w:t>人民法院管辖</w:t>
      </w:r>
      <w:r>
        <w:rPr>
          <w:rFonts w:hint="eastAsia" w:ascii="宋体" w:hAnsi="宋体" w:eastAsia="宋体" w:cs="宋体"/>
          <w:color w:val="000000" w:themeColor="text1"/>
          <w:sz w:val="21"/>
          <w:szCs w:val="21"/>
          <w:highlight w:val="none"/>
          <w14:textFill>
            <w14:solidFill>
              <w14:schemeClr w14:val="tx1"/>
            </w14:solidFill>
          </w14:textFill>
        </w:rPr>
        <w:t>。</w:t>
      </w:r>
    </w:p>
    <w:p w14:paraId="57448D29">
      <w:pPr>
        <w:pStyle w:val="973"/>
        <w:numPr>
          <w:ilvl w:val="0"/>
          <w:numId w:val="35"/>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14:textFill>
            <w14:solidFill>
              <w14:schemeClr w14:val="tx1"/>
            </w14:solidFill>
          </w14:textFill>
        </w:rPr>
        <w:t>有争议的事项不影响合同其他部分的履行，在争议解决期间，合同其他部分应当继续履行。</w:t>
      </w:r>
    </w:p>
    <w:p w14:paraId="27B5EED8">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w:t>
      </w:r>
      <w:r>
        <w:rPr>
          <w:rFonts w:hint="eastAsia" w:ascii="宋体" w:hAnsi="宋体" w:eastAsia="宋体" w:cs="宋体"/>
          <w:b/>
          <w:bCs/>
          <w:color w:val="000000" w:themeColor="text1"/>
          <w:sz w:val="21"/>
          <w:szCs w:val="21"/>
          <w:highlight w:val="none"/>
          <w14:textFill>
            <w14:solidFill>
              <w14:schemeClr w14:val="tx1"/>
            </w14:solidFill>
          </w14:textFill>
        </w:rPr>
        <w:t>政府采购政策</w:t>
      </w:r>
    </w:p>
    <w:p w14:paraId="5C60DF27">
      <w:pPr>
        <w:pStyle w:val="973"/>
        <w:numPr>
          <w:ilvl w:val="0"/>
          <w:numId w:val="36"/>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本合同应当按照规定执行政府采购政策。</w:t>
      </w:r>
    </w:p>
    <w:p w14:paraId="481E64B6">
      <w:pPr>
        <w:pStyle w:val="973"/>
        <w:numPr>
          <w:ilvl w:val="0"/>
          <w:numId w:val="36"/>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本合同依法执行政府采购政策的方式和内容，属于合同履约验收的范围。</w:t>
      </w:r>
      <w:r>
        <w:rPr>
          <w:rFonts w:hint="eastAsia" w:ascii="宋体" w:hAnsi="宋体" w:eastAsia="宋体" w:cs="宋体"/>
          <w:color w:val="000000" w:themeColor="text1"/>
          <w:szCs w:val="21"/>
          <w:highlight w:val="none"/>
          <w14:textFill>
            <w14:solidFill>
              <w14:schemeClr w14:val="tx1"/>
            </w14:solidFill>
          </w14:textFill>
        </w:rPr>
        <w:t>甲</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丙三</w:t>
      </w:r>
      <w:r>
        <w:rPr>
          <w:rFonts w:hint="eastAsia" w:ascii="宋体" w:hAnsi="宋体" w:eastAsia="宋体" w:cs="宋体"/>
          <w:color w:val="000000" w:themeColor="text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14:textFill>
            <w14:solidFill>
              <w14:schemeClr w14:val="tx1"/>
            </w14:solidFill>
          </w14:textFill>
        </w:rPr>
        <w:t>未按规定要求执行政府采购政策造成损失的，有过错的一方应当承担赔偿责任，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方都有过错的，各自承担相应的责任。</w:t>
      </w:r>
    </w:p>
    <w:p w14:paraId="06193AE1">
      <w:pPr>
        <w:pStyle w:val="973"/>
        <w:numPr>
          <w:ilvl w:val="0"/>
          <w:numId w:val="36"/>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要求以联合体形式参加采购活动或者合同分包的，须将联合协议或者分包意向协议作为采购合同的组成部分。</w:t>
      </w:r>
    </w:p>
    <w:p w14:paraId="701E12DD">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二十一、</w:t>
      </w:r>
      <w:r>
        <w:rPr>
          <w:rFonts w:hint="eastAsia" w:ascii="宋体" w:hAnsi="宋体" w:eastAsia="宋体" w:cs="宋体"/>
          <w:b/>
          <w:bCs/>
          <w:color w:val="000000" w:themeColor="text1"/>
          <w:sz w:val="21"/>
          <w:szCs w:val="21"/>
          <w:highlight w:val="none"/>
          <w14:textFill>
            <w14:solidFill>
              <w14:schemeClr w14:val="tx1"/>
            </w14:solidFill>
          </w14:textFill>
        </w:rPr>
        <w:t>法律适用</w:t>
      </w:r>
    </w:p>
    <w:p w14:paraId="64790CE6">
      <w:pPr>
        <w:pStyle w:val="973"/>
        <w:numPr>
          <w:ilvl w:val="0"/>
          <w:numId w:val="37"/>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本合同的订立、生效、解释、履行及与本合同有关的争议解决，均适用法律、行政法规。</w:t>
      </w:r>
    </w:p>
    <w:p w14:paraId="3CB60E20">
      <w:pPr>
        <w:pStyle w:val="973"/>
        <w:numPr>
          <w:ilvl w:val="0"/>
          <w:numId w:val="37"/>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本合同条款与法律、行政法规的强制性规定不一致的，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方当事人应按照法律、行政法规的强制性规定修改本合同的相关条款。</w:t>
      </w:r>
    </w:p>
    <w:p w14:paraId="43EE399E">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二十二、</w:t>
      </w:r>
      <w:r>
        <w:rPr>
          <w:rFonts w:hint="eastAsia" w:ascii="宋体" w:hAnsi="宋体" w:eastAsia="宋体" w:cs="宋体"/>
          <w:b/>
          <w:bCs/>
          <w:color w:val="000000" w:themeColor="text1"/>
          <w:sz w:val="21"/>
          <w:szCs w:val="21"/>
          <w:highlight w:val="none"/>
          <w14:textFill>
            <w14:solidFill>
              <w14:schemeClr w14:val="tx1"/>
            </w14:solidFill>
          </w14:textFill>
        </w:rPr>
        <w:t>通知</w:t>
      </w:r>
    </w:p>
    <w:p w14:paraId="4A54BAF3">
      <w:pPr>
        <w:pStyle w:val="973"/>
        <w:numPr>
          <w:ilvl w:val="0"/>
          <w:numId w:val="3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本合同任何一方向对方发出的通知、信件、数据电文等，应当发送至本合同所约定的通讯地址、联系人、联系电话或电子邮箱。</w:t>
      </w:r>
    </w:p>
    <w:p w14:paraId="58C1B6D1">
      <w:pPr>
        <w:pStyle w:val="973"/>
        <w:numPr>
          <w:ilvl w:val="0"/>
          <w:numId w:val="3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一方当事人变更名称、住所、联系人、联系电话或电子邮箱等信息的，应当在变更后3日内及时书面通知对方，对方实际收到变更通知前的送达仍为有效送达。</w:t>
      </w:r>
    </w:p>
    <w:p w14:paraId="25B10186">
      <w:pPr>
        <w:pStyle w:val="973"/>
        <w:numPr>
          <w:ilvl w:val="0"/>
          <w:numId w:val="3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本合同一方给另一方的通知均应采用书面形式，传真或快递送到本合同中规定的对方的地址和办理签收手续。</w:t>
      </w:r>
    </w:p>
    <w:p w14:paraId="75CDFAEF">
      <w:pPr>
        <w:pStyle w:val="973"/>
        <w:numPr>
          <w:ilvl w:val="0"/>
          <w:numId w:val="38"/>
        </w:numPr>
        <w:ind w:left="825" w:leftChars="0" w:hanging="40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通知以送达之日或通知书中规定的生效之日起生效，两者中以较迟之日为准。</w:t>
      </w:r>
    </w:p>
    <w:p w14:paraId="15BE959C">
      <w:pPr>
        <w:pStyle w:val="973"/>
        <w:numPr>
          <w:ilvl w:val="0"/>
          <w:numId w:val="0"/>
        </w:num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二十三、</w:t>
      </w:r>
      <w:r>
        <w:rPr>
          <w:rFonts w:hint="eastAsia" w:ascii="宋体" w:hAnsi="宋体" w:eastAsia="宋体" w:cs="宋体"/>
          <w:b/>
          <w:bCs/>
          <w:color w:val="000000" w:themeColor="text1"/>
          <w:sz w:val="21"/>
          <w:szCs w:val="21"/>
          <w:highlight w:val="none"/>
          <w14:textFill>
            <w14:solidFill>
              <w14:schemeClr w14:val="tx1"/>
            </w14:solidFill>
          </w14:textFill>
        </w:rPr>
        <w:t>合同未尽事项</w:t>
      </w:r>
    </w:p>
    <w:p w14:paraId="3828526A">
      <w:pPr>
        <w:pStyle w:val="973"/>
        <w:numPr>
          <w:ilvl w:val="0"/>
          <w:numId w:val="39"/>
        </w:numPr>
        <w:ind w:left="425" w:leftChars="0" w:hanging="5"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本合同未尽事宜，以招标文件为准。</w:t>
      </w:r>
    </w:p>
    <w:p w14:paraId="54525F1D">
      <w:pPr>
        <w:pStyle w:val="973"/>
        <w:numPr>
          <w:ilvl w:val="0"/>
          <w:numId w:val="39"/>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合同附件与合同正文具有同等的法律效力。</w:t>
      </w:r>
    </w:p>
    <w:p w14:paraId="1F2442A5">
      <w:pPr>
        <w:pStyle w:val="973"/>
        <w:numPr>
          <w:ilvl w:val="0"/>
          <w:numId w:val="0"/>
        </w:num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二十四、</w:t>
      </w:r>
      <w:r>
        <w:rPr>
          <w:rFonts w:hint="eastAsia" w:ascii="宋体" w:hAnsi="宋体" w:eastAsia="宋体" w:cs="宋体"/>
          <w:b/>
          <w:bCs/>
          <w:color w:val="000000" w:themeColor="text1"/>
          <w:sz w:val="21"/>
          <w:szCs w:val="21"/>
          <w:highlight w:val="none"/>
          <w14:textFill>
            <w14:solidFill>
              <w14:schemeClr w14:val="tx1"/>
            </w14:solidFill>
          </w14:textFill>
        </w:rPr>
        <w:t>合同生效</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按下面第</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1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种方式</w:t>
      </w:r>
    </w:p>
    <w:p w14:paraId="62DDF1CB">
      <w:pPr>
        <w:pStyle w:val="973"/>
        <w:numPr>
          <w:ilvl w:val="0"/>
          <w:numId w:val="40"/>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本合同经</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法定代表人或</w:t>
      </w:r>
      <w:r>
        <w:rPr>
          <w:rFonts w:hint="eastAsia" w:ascii="宋体" w:hAnsi="宋体" w:eastAsia="宋体" w:cs="宋体"/>
          <w:color w:val="000000" w:themeColor="text1"/>
          <w:sz w:val="21"/>
          <w:szCs w:val="21"/>
          <w:highlight w:val="none"/>
          <w14:textFill>
            <w14:solidFill>
              <w14:schemeClr w14:val="tx1"/>
            </w14:solidFill>
          </w14:textFill>
        </w:rPr>
        <w:t>授权代表签字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单位公章或合同专用</w:t>
      </w:r>
      <w:r>
        <w:rPr>
          <w:rFonts w:hint="eastAsia" w:ascii="宋体" w:hAnsi="宋体" w:eastAsia="宋体" w:cs="宋体"/>
          <w:color w:val="000000" w:themeColor="text1"/>
          <w:sz w:val="21"/>
          <w:szCs w:val="21"/>
          <w:highlight w:val="none"/>
          <w14:textFill>
            <w14:solidFill>
              <w14:schemeClr w14:val="tx1"/>
            </w14:solidFill>
          </w14:textFill>
        </w:rPr>
        <w:t>章后生效。</w:t>
      </w:r>
    </w:p>
    <w:p w14:paraId="6FFBD535">
      <w:pPr>
        <w:pStyle w:val="973"/>
        <w:numPr>
          <w:ilvl w:val="0"/>
          <w:numId w:val="40"/>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本合同自</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生效</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5B4F5C8">
      <w:pPr>
        <w:pStyle w:val="973"/>
        <w:numPr>
          <w:ilvl w:val="0"/>
          <w:numId w:val="40"/>
        </w:numPr>
        <w:ind w:left="425" w:leftChars="0" w:hanging="5"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本合同一式</w:t>
      </w:r>
      <w:r>
        <w:rPr>
          <w:rFonts w:hint="eastAsia" w:ascii="宋体" w:hAnsi="宋体" w:eastAsia="宋体" w:cs="宋体"/>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w:t>
      </w:r>
      <w:r>
        <w:rPr>
          <w:rFonts w:hint="eastAsia" w:ascii="宋体" w:hAnsi="宋体" w:eastAsia="宋体" w:cs="宋体"/>
          <w:color w:val="000000" w:themeColor="text1"/>
          <w:sz w:val="21"/>
          <w:szCs w:val="21"/>
          <w:highlight w:val="none"/>
          <w:lang w:val="en-US" w:eastAsia="zh-CN"/>
          <w14:textFill>
            <w14:solidFill>
              <w14:schemeClr w14:val="tx1"/>
            </w14:solidFill>
          </w14:textFill>
        </w:rPr>
        <w:t>肆</w:t>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eastAsia="宋体" w:cs="宋体"/>
          <w:color w:val="000000" w:themeColor="text1"/>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方壹份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丙方贰份</w:t>
      </w:r>
      <w:r>
        <w:rPr>
          <w:rFonts w:hint="eastAsia" w:ascii="宋体" w:hAnsi="宋体" w:eastAsia="宋体" w:cs="宋体"/>
          <w:color w:val="000000" w:themeColor="text1"/>
          <w:sz w:val="21"/>
          <w:szCs w:val="21"/>
          <w:highlight w:val="none"/>
          <w14:textFill>
            <w14:solidFill>
              <w14:schemeClr w14:val="tx1"/>
            </w14:solidFill>
          </w14:textFill>
        </w:rPr>
        <w:t>。</w:t>
      </w:r>
    </w:p>
    <w:p w14:paraId="34F96CDE">
      <w:pPr>
        <w:rPr>
          <w:rFonts w:hint="eastAsia" w:ascii="宋体" w:hAnsi="宋体" w:eastAsia="宋体" w:cs="宋体"/>
          <w:color w:val="000000" w:themeColor="text1"/>
          <w:sz w:val="21"/>
          <w:szCs w:val="21"/>
          <w:highlight w:val="none"/>
          <w14:textFill>
            <w14:solidFill>
              <w14:schemeClr w14:val="tx1"/>
            </w14:solidFill>
          </w14:textFill>
        </w:rPr>
      </w:pPr>
    </w:p>
    <w:tbl>
      <w:tblPr>
        <w:tblStyle w:val="65"/>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1"/>
        <w:gridCol w:w="4450"/>
      </w:tblGrid>
      <w:tr w14:paraId="1F2A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061" w:type="dxa"/>
            <w:noWrap w:val="0"/>
            <w:vAlign w:val="bottom"/>
          </w:tcPr>
          <w:p w14:paraId="42529A4D">
            <w:pPr>
              <w:spacing w:line="360" w:lineRule="auto"/>
              <w:jc w:val="center"/>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甲   </w:t>
            </w:r>
            <w:r>
              <w:rPr>
                <w:rFonts w:hint="eastAsia" w:ascii="宋体" w:hAnsi="宋体" w:eastAsia="宋体" w:cs="宋体"/>
                <w:b/>
                <w:bCs w:val="0"/>
                <w:color w:val="000000" w:themeColor="text1"/>
                <w:sz w:val="21"/>
                <w:szCs w:val="21"/>
                <w:highlight w:val="none"/>
                <w14:textFill>
                  <w14:solidFill>
                    <w14:schemeClr w14:val="tx1"/>
                  </w14:solidFill>
                </w14:textFill>
              </w:rPr>
              <w:t>方</w:t>
            </w:r>
          </w:p>
        </w:tc>
        <w:tc>
          <w:tcPr>
            <w:tcW w:w="4450" w:type="dxa"/>
            <w:noWrap w:val="0"/>
            <w:vAlign w:val="bottom"/>
          </w:tcPr>
          <w:p w14:paraId="4CC97CEF">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乙   方</w:t>
            </w:r>
          </w:p>
        </w:tc>
      </w:tr>
      <w:tr w14:paraId="2451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5061" w:type="dxa"/>
            <w:noWrap w:val="0"/>
            <w:vAlign w:val="center"/>
          </w:tcPr>
          <w:p w14:paraId="6AF8CCBA">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pacing w:val="2"/>
                <w:sz w:val="21"/>
                <w:szCs w:val="21"/>
                <w:highlight w:val="none"/>
                <w14:textFill>
                  <w14:solidFill>
                    <w14:schemeClr w14:val="tx1"/>
                  </w14:solidFill>
                </w14:textFill>
              </w:rPr>
              <w:t>单位名称</w:t>
            </w:r>
            <w:r>
              <w:rPr>
                <w:rFonts w:hint="eastAsia" w:ascii="宋体" w:hAnsi="宋体" w:eastAsia="宋体" w:cs="宋体"/>
                <w:b/>
                <w:bCs w:val="0"/>
                <w:color w:val="000000" w:themeColor="text1"/>
                <w:sz w:val="21"/>
                <w:szCs w:val="21"/>
                <w:highlight w:val="none"/>
                <w14:textFill>
                  <w14:solidFill>
                    <w14:schemeClr w14:val="tx1"/>
                  </w14:solidFill>
                </w14:textFill>
              </w:rPr>
              <w:t>（盖章）</w:t>
            </w:r>
            <w:r>
              <w:rPr>
                <w:rFonts w:hint="eastAsia" w:ascii="宋体" w:hAnsi="宋体" w:eastAsia="宋体" w:cs="宋体"/>
                <w:b/>
                <w:bCs w:val="0"/>
                <w:color w:val="000000" w:themeColor="text1"/>
                <w:sz w:val="21"/>
                <w:szCs w:val="21"/>
                <w:highlight w:val="none"/>
                <w:u w:val="none"/>
                <w14:textFill>
                  <w14:solidFill>
                    <w14:schemeClr w14:val="tx1"/>
                  </w14:solidFill>
                </w14:textFill>
              </w:rPr>
              <w:t>：宁波市北仑区人民医院</w:t>
            </w:r>
          </w:p>
        </w:tc>
        <w:tc>
          <w:tcPr>
            <w:tcW w:w="4450" w:type="dxa"/>
            <w:noWrap w:val="0"/>
            <w:vAlign w:val="center"/>
          </w:tcPr>
          <w:p w14:paraId="7218F4A9">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pacing w:val="2"/>
                <w:sz w:val="21"/>
                <w:szCs w:val="21"/>
                <w:highlight w:val="none"/>
                <w14:textFill>
                  <w14:solidFill>
                    <w14:schemeClr w14:val="tx1"/>
                  </w14:solidFill>
                </w14:textFill>
              </w:rPr>
              <w:t>单位名称</w:t>
            </w:r>
            <w:r>
              <w:rPr>
                <w:rFonts w:hint="eastAsia" w:ascii="宋体" w:hAnsi="宋体" w:eastAsia="宋体" w:cs="宋体"/>
                <w:b/>
                <w:bCs w:val="0"/>
                <w:color w:val="000000" w:themeColor="text1"/>
                <w:sz w:val="21"/>
                <w:szCs w:val="21"/>
                <w:highlight w:val="none"/>
                <w14:textFill>
                  <w14:solidFill>
                    <w14:schemeClr w14:val="tx1"/>
                  </w14:solidFill>
                </w14:textFill>
              </w:rPr>
              <w:t>（盖章）：</w:t>
            </w:r>
          </w:p>
        </w:tc>
      </w:tr>
      <w:tr w14:paraId="6998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trPr>
        <w:tc>
          <w:tcPr>
            <w:tcW w:w="5061" w:type="dxa"/>
            <w:noWrap w:val="0"/>
            <w:vAlign w:val="center"/>
          </w:tcPr>
          <w:p w14:paraId="5C52B71F">
            <w:pPr>
              <w:spacing w:line="360" w:lineRule="auto"/>
              <w:jc w:val="both"/>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单位地址：宁波市北仑区庐山东路1288号</w:t>
            </w:r>
          </w:p>
        </w:tc>
        <w:tc>
          <w:tcPr>
            <w:tcW w:w="4450" w:type="dxa"/>
            <w:noWrap w:val="0"/>
            <w:vAlign w:val="center"/>
          </w:tcPr>
          <w:p w14:paraId="6EF1A1E2">
            <w:pPr>
              <w:spacing w:line="360" w:lineRule="auto"/>
              <w:jc w:val="both"/>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单位地址：</w:t>
            </w:r>
          </w:p>
        </w:tc>
      </w:tr>
      <w:tr w14:paraId="52A0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061" w:type="dxa"/>
            <w:vMerge w:val="restart"/>
            <w:noWrap w:val="0"/>
            <w:vAlign w:val="center"/>
          </w:tcPr>
          <w:p w14:paraId="514D91E6">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法定</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授权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代表人</w:t>
            </w: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u w:val="none"/>
                <w14:textFill>
                  <w14:solidFill>
                    <w14:schemeClr w14:val="tx1"/>
                  </w14:solidFill>
                </w14:textFill>
              </w:rPr>
              <w:t xml:space="preserve">                    </w:t>
            </w:r>
          </w:p>
        </w:tc>
        <w:tc>
          <w:tcPr>
            <w:tcW w:w="4450" w:type="dxa"/>
            <w:noWrap w:val="0"/>
            <w:vAlign w:val="bottom"/>
          </w:tcPr>
          <w:p w14:paraId="1E58391C">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法定</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授权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代表人</w:t>
            </w:r>
            <w:r>
              <w:rPr>
                <w:rFonts w:hint="eastAsia" w:ascii="宋体" w:hAnsi="宋体" w:eastAsia="宋体" w:cs="宋体"/>
                <w:b/>
                <w:bCs w:val="0"/>
                <w:color w:val="000000" w:themeColor="text1"/>
                <w:spacing w:val="2"/>
                <w:sz w:val="21"/>
                <w:szCs w:val="21"/>
                <w:highlight w:val="none"/>
                <w14:textFill>
                  <w14:solidFill>
                    <w14:schemeClr w14:val="tx1"/>
                  </w14:solidFill>
                </w14:textFill>
              </w:rPr>
              <w:t>：</w:t>
            </w:r>
          </w:p>
        </w:tc>
      </w:tr>
      <w:tr w14:paraId="30F1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5061" w:type="dxa"/>
            <w:vMerge w:val="continue"/>
            <w:noWrap w:val="0"/>
            <w:vAlign w:val="bottom"/>
          </w:tcPr>
          <w:p w14:paraId="38DCDB5A">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p>
        </w:tc>
        <w:tc>
          <w:tcPr>
            <w:tcW w:w="4450" w:type="dxa"/>
            <w:noWrap w:val="0"/>
            <w:vAlign w:val="bottom"/>
          </w:tcPr>
          <w:p w14:paraId="72BF9807">
            <w:pPr>
              <w:spacing w:line="360" w:lineRule="auto"/>
              <w:jc w:val="both"/>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拥有者性别：</w:t>
            </w:r>
          </w:p>
        </w:tc>
      </w:tr>
      <w:tr w14:paraId="15F6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061" w:type="dxa"/>
            <w:noWrap w:val="0"/>
            <w:vAlign w:val="bottom"/>
          </w:tcPr>
          <w:p w14:paraId="2E5D7417">
            <w:pPr>
              <w:spacing w:line="360" w:lineRule="auto"/>
              <w:jc w:val="both"/>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联系电话</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0574-86776549</w:t>
            </w:r>
          </w:p>
        </w:tc>
        <w:tc>
          <w:tcPr>
            <w:tcW w:w="4450" w:type="dxa"/>
            <w:noWrap w:val="0"/>
            <w:vAlign w:val="bottom"/>
          </w:tcPr>
          <w:p w14:paraId="2E78B9B5">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联系电话</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tc>
      </w:tr>
      <w:tr w14:paraId="4F5C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5061" w:type="dxa"/>
            <w:noWrap w:val="0"/>
            <w:vAlign w:val="bottom"/>
          </w:tcPr>
          <w:p w14:paraId="27C32A96">
            <w:pPr>
              <w:spacing w:line="360" w:lineRule="auto"/>
              <w:jc w:val="both"/>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统一社会信用代码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12330206419559567E</w:t>
            </w:r>
          </w:p>
        </w:tc>
        <w:tc>
          <w:tcPr>
            <w:tcW w:w="4450" w:type="dxa"/>
            <w:noWrap w:val="0"/>
            <w:vAlign w:val="bottom"/>
          </w:tcPr>
          <w:p w14:paraId="65F98AA7">
            <w:pPr>
              <w:spacing w:line="360" w:lineRule="auto"/>
              <w:jc w:val="both"/>
              <w:rPr>
                <w:rFonts w:hint="eastAsia" w:ascii="宋体" w:hAnsi="宋体" w:eastAsia="宋体" w:cs="宋体"/>
                <w:b/>
                <w:bCs w:val="0"/>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统一社会信用代码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r>
      <w:tr w14:paraId="08DC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5061" w:type="dxa"/>
            <w:noWrap w:val="0"/>
            <w:vAlign w:val="bottom"/>
          </w:tcPr>
          <w:p w14:paraId="15C83B65">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4450" w:type="dxa"/>
            <w:noWrap w:val="0"/>
            <w:vAlign w:val="bottom"/>
          </w:tcPr>
          <w:p w14:paraId="78784DC0">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开户银行：</w:t>
            </w:r>
          </w:p>
        </w:tc>
      </w:tr>
      <w:tr w14:paraId="2235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5061" w:type="dxa"/>
            <w:tcBorders>
              <w:bottom w:val="single" w:color="auto" w:sz="4" w:space="0"/>
            </w:tcBorders>
            <w:noWrap w:val="0"/>
            <w:vAlign w:val="bottom"/>
          </w:tcPr>
          <w:p w14:paraId="2DCC7F22">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p>
        </w:tc>
        <w:tc>
          <w:tcPr>
            <w:tcW w:w="4450" w:type="dxa"/>
            <w:tcBorders>
              <w:bottom w:val="single" w:color="auto" w:sz="4" w:space="0"/>
            </w:tcBorders>
            <w:noWrap w:val="0"/>
            <w:vAlign w:val="bottom"/>
          </w:tcPr>
          <w:p w14:paraId="3E619DEE">
            <w:pPr>
              <w:spacing w:line="360" w:lineRule="auto"/>
              <w:jc w:val="both"/>
              <w:rPr>
                <w:rFonts w:hint="eastAsia" w:ascii="宋体" w:hAnsi="宋体" w:eastAsia="宋体" w:cs="宋体"/>
                <w:b/>
                <w:bCs w:val="0"/>
                <w:color w:val="000000" w:themeColor="text1"/>
                <w:sz w:val="21"/>
                <w:szCs w:val="21"/>
                <w:highlight w:val="none"/>
                <w:vertAlign w:val="baseli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账</w:t>
            </w:r>
            <w:r>
              <w:rPr>
                <w:rFonts w:hint="eastAsia" w:ascii="宋体" w:hAnsi="宋体" w:eastAsia="宋体" w:cs="宋体"/>
                <w:b/>
                <w:bCs w:val="0"/>
                <w:color w:val="000000" w:themeColor="text1"/>
                <w:sz w:val="21"/>
                <w:szCs w:val="21"/>
                <w:highlight w:val="none"/>
                <w14:textFill>
                  <w14:solidFill>
                    <w14:schemeClr w14:val="tx1"/>
                  </w14:solidFill>
                </w14:textFill>
              </w:rPr>
              <w:t xml:space="preserve">    号：</w:t>
            </w:r>
          </w:p>
        </w:tc>
      </w:tr>
      <w:tr w14:paraId="6953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511" w:type="dxa"/>
            <w:gridSpan w:val="2"/>
            <w:tcBorders>
              <w:top w:val="single" w:color="auto" w:sz="4" w:space="0"/>
              <w:bottom w:val="double" w:color="auto" w:sz="4" w:space="0"/>
            </w:tcBorders>
            <w:noWrap w:val="0"/>
            <w:vAlign w:val="bottom"/>
          </w:tcPr>
          <w:p w14:paraId="65BA190F">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
                <w:bCs w:val="0"/>
                <w:color w:val="000000" w:themeColor="text1"/>
                <w:sz w:val="21"/>
                <w:szCs w:val="21"/>
                <w:highlight w:val="none"/>
                <w14:textFill>
                  <w14:solidFill>
                    <w14:schemeClr w14:val="tx1"/>
                  </w14:solidFill>
                </w14:textFill>
              </w:rPr>
              <w:t>日期：</w:t>
            </w:r>
          </w:p>
        </w:tc>
      </w:tr>
      <w:tr w14:paraId="2BB1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double" w:color="auto" w:sz="4" w:space="0"/>
              <w:bottom w:val="single" w:color="000000" w:sz="4" w:space="0"/>
            </w:tcBorders>
            <w:noWrap w:val="0"/>
            <w:vAlign w:val="bottom"/>
          </w:tcPr>
          <w:p w14:paraId="20DB9840">
            <w:pPr>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丙   方</w:t>
            </w:r>
          </w:p>
        </w:tc>
      </w:tr>
      <w:tr w14:paraId="773E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left w:val="single" w:color="000000" w:sz="4" w:space="0"/>
              <w:bottom w:val="single" w:color="000000" w:sz="4" w:space="0"/>
              <w:right w:val="single" w:color="000000" w:sz="4" w:space="0"/>
            </w:tcBorders>
            <w:noWrap w:val="0"/>
            <w:vAlign w:val="bottom"/>
          </w:tcPr>
          <w:p w14:paraId="652927DB">
            <w:pPr>
              <w:spacing w:line="360" w:lineRule="auto"/>
              <w:jc w:val="both"/>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pacing w:val="2"/>
                <w:sz w:val="21"/>
                <w:szCs w:val="21"/>
                <w:highlight w:val="none"/>
                <w14:textFill>
                  <w14:solidFill>
                    <w14:schemeClr w14:val="tx1"/>
                  </w14:solidFill>
                </w14:textFill>
              </w:rPr>
              <w:t>单位名称（盖章）：宁波市仑开投资有限</w:t>
            </w:r>
            <w:r>
              <w:rPr>
                <w:rFonts w:hint="eastAsia" w:ascii="宋体" w:hAnsi="宋体" w:eastAsia="宋体" w:cs="宋体"/>
                <w:b/>
                <w:bCs w:val="0"/>
                <w:color w:val="000000" w:themeColor="text1"/>
                <w:spacing w:val="2"/>
                <w:sz w:val="21"/>
                <w:szCs w:val="21"/>
                <w:highlight w:val="none"/>
                <w:lang w:val="en-US" w:eastAsia="zh-CN"/>
                <w14:textFill>
                  <w14:solidFill>
                    <w14:schemeClr w14:val="tx1"/>
                  </w14:solidFill>
                </w14:textFill>
              </w:rPr>
              <w:t>公司</w:t>
            </w:r>
          </w:p>
        </w:tc>
      </w:tr>
      <w:tr w14:paraId="09DD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left w:val="single" w:color="000000" w:sz="4" w:space="0"/>
              <w:bottom w:val="single" w:color="000000" w:sz="4" w:space="0"/>
              <w:right w:val="single" w:color="000000" w:sz="4" w:space="0"/>
            </w:tcBorders>
            <w:noWrap w:val="0"/>
            <w:vAlign w:val="bottom"/>
          </w:tcPr>
          <w:p w14:paraId="6EE6FBDF">
            <w:pPr>
              <w:spacing w:line="360" w:lineRule="auto"/>
              <w:jc w:val="left"/>
              <w:rPr>
                <w:rFonts w:hint="eastAsia" w:ascii="宋体" w:hAnsi="宋体" w:eastAsia="宋体" w:cs="宋体"/>
                <w:b/>
                <w:bCs w:val="0"/>
                <w:color w:val="000000" w:themeColor="text1"/>
                <w:spacing w:val="2"/>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法定</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授权</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代表人</w:t>
            </w:r>
            <w:r>
              <w:rPr>
                <w:rFonts w:hint="eastAsia" w:ascii="宋体" w:hAnsi="宋体" w:eastAsia="宋体" w:cs="宋体"/>
                <w:b/>
                <w:bCs w:val="0"/>
                <w:color w:val="000000" w:themeColor="text1"/>
                <w:spacing w:val="2"/>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u w:val="none"/>
                <w14:textFill>
                  <w14:solidFill>
                    <w14:schemeClr w14:val="tx1"/>
                  </w14:solidFill>
                </w14:textFill>
              </w:rPr>
              <w:t xml:space="preserve">   </w:t>
            </w:r>
          </w:p>
        </w:tc>
      </w:tr>
      <w:tr w14:paraId="2B00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left w:val="single" w:color="000000" w:sz="4" w:space="0"/>
              <w:bottom w:val="single" w:color="000000" w:sz="4" w:space="0"/>
              <w:right w:val="single" w:color="000000" w:sz="4" w:space="0"/>
            </w:tcBorders>
            <w:noWrap w:val="0"/>
            <w:vAlign w:val="bottom"/>
          </w:tcPr>
          <w:p w14:paraId="468BFB70">
            <w:pPr>
              <w:spacing w:line="360" w:lineRule="auto"/>
              <w:jc w:val="left"/>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统一社会信用代码：913302067172149706</w:t>
            </w:r>
          </w:p>
        </w:tc>
      </w:tr>
      <w:tr w14:paraId="1D66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450" w:type="dxa"/>
          <w:trHeight w:val="703" w:hRule="exact"/>
        </w:trPr>
        <w:tc>
          <w:tcPr>
            <w:tcW w:w="5061" w:type="dxa"/>
            <w:tcBorders>
              <w:top w:val="single" w:color="000000" w:sz="4" w:space="0"/>
              <w:bottom w:val="single" w:color="000000" w:sz="4" w:space="0"/>
            </w:tcBorders>
            <w:noWrap w:val="0"/>
            <w:vAlign w:val="bottom"/>
          </w:tcPr>
          <w:p w14:paraId="75FA24E9">
            <w:pPr>
              <w:spacing w:line="360" w:lineRule="auto"/>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
                <w:bCs w:val="0"/>
                <w:color w:val="000000" w:themeColor="text1"/>
                <w:sz w:val="21"/>
                <w:szCs w:val="21"/>
                <w:highlight w:val="none"/>
                <w14:textFill>
                  <w14:solidFill>
                    <w14:schemeClr w14:val="tx1"/>
                  </w14:solidFill>
                </w14:textFill>
              </w:rPr>
              <w:t>日期：</w:t>
            </w:r>
          </w:p>
        </w:tc>
      </w:tr>
    </w:tbl>
    <w:p w14:paraId="58B381D9">
      <w:pPr>
        <w:spacing w:line="280" w:lineRule="exact"/>
        <w:rPr>
          <w:rFonts w:hint="eastAsia" w:ascii="宋体" w:hAnsi="宋体" w:eastAsia="宋体" w:cs="宋体"/>
          <w:b/>
          <w:color w:val="000000" w:themeColor="text1"/>
          <w:sz w:val="28"/>
          <w:szCs w:val="28"/>
          <w:highlight w:val="none"/>
          <w14:textFill>
            <w14:solidFill>
              <w14:schemeClr w14:val="tx1"/>
            </w14:solidFill>
          </w14:textFill>
        </w:rPr>
      </w:pPr>
    </w:p>
    <w:p w14:paraId="133633B8">
      <w:pPr>
        <w:pStyle w:val="973"/>
        <w:rPr>
          <w:rFonts w:hint="eastAsia" w:ascii="宋体" w:hAnsi="宋体" w:eastAsia="宋体" w:cs="宋体"/>
          <w:color w:val="000000" w:themeColor="text1"/>
          <w:highlight w:val="none"/>
          <w14:textFill>
            <w14:solidFill>
              <w14:schemeClr w14:val="tx1"/>
            </w14:solidFill>
          </w14:textFill>
        </w:rPr>
      </w:pPr>
    </w:p>
    <w:p w14:paraId="40CBF7C5">
      <w:pPr>
        <w:spacing w:line="280" w:lineRule="exact"/>
        <w:ind w:left="-359" w:leftChars="-171" w:firstLine="452" w:firstLineChars="150"/>
        <w:jc w:val="center"/>
        <w:rPr>
          <w:rFonts w:hint="eastAsia" w:ascii="宋体" w:hAnsi="宋体" w:eastAsia="宋体" w:cs="宋体"/>
          <w:b/>
          <w:color w:val="000000" w:themeColor="text1"/>
          <w:sz w:val="30"/>
          <w:szCs w:val="30"/>
          <w:highlight w:val="none"/>
          <w14:textFill>
            <w14:solidFill>
              <w14:schemeClr w14:val="tx1"/>
            </w14:solidFill>
          </w14:textFill>
        </w:rPr>
      </w:pPr>
    </w:p>
    <w:p w14:paraId="7E2DA416">
      <w:pPr>
        <w:rPr>
          <w:rFonts w:ascii="宋体" w:hAnsi="宋体" w:cs="宋体"/>
          <w:b/>
          <w:color w:val="000000" w:themeColor="text1"/>
          <w:sz w:val="36"/>
          <w:szCs w:val="2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br w:type="page"/>
      </w:r>
      <w:bookmarkStart w:id="467" w:name="_Toc14949"/>
      <w:bookmarkStart w:id="468" w:name="_Toc12182"/>
    </w:p>
    <w:p w14:paraId="07CA1A3B">
      <w:pPr>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t>第六部分</w:t>
      </w:r>
      <w:bookmarkEnd w:id="463"/>
      <w:r>
        <w:rPr>
          <w:rFonts w:hint="eastAsia" w:ascii="宋体" w:hAnsi="宋体" w:cs="宋体"/>
          <w:b/>
          <w:color w:val="000000" w:themeColor="text1"/>
          <w:sz w:val="36"/>
          <w:szCs w:val="20"/>
          <w:highlight w:val="none"/>
          <w14:textFill>
            <w14:solidFill>
              <w14:schemeClr w14:val="tx1"/>
            </w14:solidFill>
          </w14:textFill>
        </w:rPr>
        <w:t xml:space="preserve"> </w:t>
      </w:r>
      <w:bookmarkEnd w:id="464"/>
      <w:r>
        <w:rPr>
          <w:rFonts w:hint="eastAsia" w:ascii="宋体" w:hAnsi="宋体" w:cs="宋体"/>
          <w:b/>
          <w:color w:val="000000" w:themeColor="text1"/>
          <w:sz w:val="36"/>
          <w:szCs w:val="20"/>
          <w:highlight w:val="none"/>
          <w14:textFill>
            <w14:solidFill>
              <w14:schemeClr w14:val="tx1"/>
            </w14:solidFill>
          </w14:textFill>
        </w:rPr>
        <w:t>应提交的有关格式范例</w:t>
      </w:r>
      <w:bookmarkEnd w:id="467"/>
      <w:bookmarkEnd w:id="468"/>
    </w:p>
    <w:p w14:paraId="3605B5F9">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p>
    <w:p w14:paraId="2686BAF3">
      <w:pPr>
        <w:spacing w:line="360" w:lineRule="auto"/>
        <w:jc w:val="center"/>
        <w:outlineLvl w:val="1"/>
        <w:rPr>
          <w:rFonts w:ascii="宋体" w:hAnsi="宋体" w:cs="宋体"/>
          <w:b/>
          <w:color w:val="000000" w:themeColor="text1"/>
          <w:kern w:val="0"/>
          <w:sz w:val="36"/>
          <w:szCs w:val="36"/>
          <w:highlight w:val="none"/>
          <w14:textFill>
            <w14:solidFill>
              <w14:schemeClr w14:val="tx1"/>
            </w14:solidFill>
          </w14:textFill>
        </w:rPr>
      </w:pPr>
      <w:bookmarkStart w:id="469" w:name="_Toc29848"/>
      <w:r>
        <w:rPr>
          <w:rFonts w:hint="eastAsia" w:ascii="宋体" w:hAnsi="宋体" w:cs="宋体"/>
          <w:b/>
          <w:color w:val="000000" w:themeColor="text1"/>
          <w:kern w:val="0"/>
          <w:sz w:val="36"/>
          <w:szCs w:val="36"/>
          <w:highlight w:val="none"/>
          <w14:textFill>
            <w14:solidFill>
              <w14:schemeClr w14:val="tx1"/>
            </w14:solidFill>
          </w14:textFill>
        </w:rPr>
        <w:t>资格文件部分</w:t>
      </w:r>
      <w:bookmarkEnd w:id="469"/>
    </w:p>
    <w:p w14:paraId="41210E04">
      <w:pPr>
        <w:snapToGrid w:val="0"/>
        <w:spacing w:line="360" w:lineRule="auto"/>
        <w:ind w:right="480"/>
        <w:jc w:val="center"/>
        <w:rPr>
          <w:rFonts w:hint="eastAsia" w:ascii="宋体" w:hAnsi="宋体" w:cs="宋体"/>
          <w:b/>
          <w:color w:val="000000" w:themeColor="text1"/>
          <w:kern w:val="0"/>
          <w:sz w:val="32"/>
          <w:szCs w:val="32"/>
          <w:highlight w:val="none"/>
          <w:lang w:eastAsia="zh-CN"/>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一、营业执照等证明材料</w:t>
      </w:r>
      <w:r>
        <w:rPr>
          <w:rFonts w:hint="eastAsia" w:ascii="宋体" w:hAnsi="宋体" w:cs="宋体"/>
          <w:b/>
          <w:color w:val="000000" w:themeColor="text1"/>
          <w:kern w:val="0"/>
          <w:sz w:val="32"/>
          <w:szCs w:val="32"/>
          <w:highlight w:val="none"/>
          <w:lang w:eastAsia="zh-CN"/>
          <w14:textFill>
            <w14:solidFill>
              <w14:schemeClr w14:val="tx1"/>
            </w14:solidFill>
          </w14:textFill>
        </w:rPr>
        <w:t>；</w:t>
      </w:r>
    </w:p>
    <w:p w14:paraId="78334186">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注：法人或者其他组织投标的须提供营业执照（或事业法人登记证或其他登记证明材料）扫描件，自然人投标的提供身份证明扫描件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b/>
          <w:color w:val="000000" w:themeColor="text1"/>
          <w:kern w:val="0"/>
          <w:sz w:val="32"/>
          <w:szCs w:val="32"/>
          <w:highlight w:val="none"/>
          <w14:textFill>
            <w14:solidFill>
              <w14:schemeClr w14:val="tx1"/>
            </w14:solidFill>
          </w14:textFill>
        </w:rPr>
        <w:t xml:space="preserve"> </w:t>
      </w:r>
    </w:p>
    <w:p w14:paraId="20AEAD97">
      <w:pP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6039CFFB">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二、符合参加政府采购活动应当具备的一般条件的承诺函</w:t>
      </w:r>
    </w:p>
    <w:p w14:paraId="4F18E8A1">
      <w:pPr>
        <w:snapToGrid w:val="0"/>
        <w:spacing w:line="360" w:lineRule="auto"/>
        <w:rPr>
          <w:rFonts w:ascii="宋体" w:hAnsi="宋体" w:cs="宋体"/>
          <w:color w:val="000000" w:themeColor="text1"/>
          <w:sz w:val="24"/>
          <w:highlight w:val="none"/>
          <w14:textFill>
            <w14:solidFill>
              <w14:schemeClr w14:val="tx1"/>
            </w14:solidFill>
          </w14:textFill>
        </w:rPr>
      </w:pPr>
    </w:p>
    <w:p w14:paraId="4E824D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4EBF9DC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政府采购活动，郑重承诺：</w:t>
      </w:r>
    </w:p>
    <w:p w14:paraId="1828AB3C">
      <w:pPr>
        <w:snapToGrid w:val="0"/>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（一）具备《中华人民共和国政府采购法》第二十二条第一款规定的条件：</w:t>
      </w:r>
    </w:p>
    <w:p w14:paraId="4D6ACB8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136B755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2、具有良好的商业信誉和健全的财务会计制度； </w:t>
      </w:r>
    </w:p>
    <w:p w14:paraId="22726E1A">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78DBD93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5288C275">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0D43D348">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6、具有法律、行政法规规定的其他条件。</w:t>
      </w:r>
    </w:p>
    <w:p w14:paraId="7332A186">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（二）未被信用中国（www.creditchina.gov.cn)、中国政府采购网（www.ccgp.gov.cn）列入失信被执行人、重大税收违法失信主体、政府采购严重违法失信行为记录名单。</w:t>
      </w:r>
    </w:p>
    <w:p w14:paraId="664BA670">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（三）不存在以下情况：</w:t>
      </w:r>
    </w:p>
    <w:p w14:paraId="6811DBF3">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14:paraId="68FA53B1">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14:paraId="235F29A2">
      <w:pPr>
        <w:snapToGrid w:val="0"/>
        <w:spacing w:line="360" w:lineRule="auto"/>
        <w:ind w:firstLine="5520" w:firstLineChars="2300"/>
        <w:rPr>
          <w:rFonts w:ascii="宋体" w:hAnsi="宋体" w:cs="宋体"/>
          <w:color w:val="000000" w:themeColor="text1"/>
          <w:kern w:val="0"/>
          <w:sz w:val="24"/>
          <w:highlight w:val="none"/>
          <w:lang w:val="zh-CN"/>
          <w14:textFill>
            <w14:solidFill>
              <w14:schemeClr w14:val="tx1"/>
            </w14:solidFill>
          </w14:textFill>
        </w:rPr>
      </w:pPr>
    </w:p>
    <w:p w14:paraId="17A710DC">
      <w:pPr>
        <w:snapToGrid w:val="0"/>
        <w:spacing w:line="360" w:lineRule="auto"/>
        <w:ind w:firstLine="5520" w:firstLineChars="2300"/>
        <w:rPr>
          <w:rFonts w:ascii="宋体" w:hAnsi="宋体" w:cs="宋体"/>
          <w:color w:val="000000" w:themeColor="text1"/>
          <w:kern w:val="0"/>
          <w:sz w:val="24"/>
          <w:highlight w:val="none"/>
          <w:lang w:val="zh-CN"/>
          <w14:textFill>
            <w14:solidFill>
              <w14:schemeClr w14:val="tx1"/>
            </w14:solidFill>
          </w14:textFill>
        </w:rPr>
      </w:pPr>
    </w:p>
    <w:p w14:paraId="00670F42">
      <w:pPr>
        <w:snapToGrid w:val="0"/>
        <w:spacing w:line="360" w:lineRule="auto"/>
        <w:ind w:firstLine="5520" w:firstLineChars="23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p>
    <w:p w14:paraId="2BF964A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7AEAD488">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6B6C8AB9">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0A5B555">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75036A26">
      <w:pPr>
        <w:rPr>
          <w:rFonts w:ascii="宋体" w:hAnsi="宋体" w:cs="宋体"/>
          <w:color w:val="000000" w:themeColor="text1"/>
          <w:highlight w:val="none"/>
          <w14:textFill>
            <w14:solidFill>
              <w14:schemeClr w14:val="tx1"/>
            </w14:solidFill>
          </w14:textFill>
        </w:rPr>
      </w:pPr>
    </w:p>
    <w:p w14:paraId="205A44FE">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1D1BA59B">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4F6CC3F1">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三、联合协议（如适用）</w:t>
      </w:r>
    </w:p>
    <w:p w14:paraId="30CC1E3E">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[以联合体形式投标的，提供联合协议（附件3）；本项目不接受联合体投标或者投标人不以联合体形式投标的，则不需要提供]</w:t>
      </w:r>
    </w:p>
    <w:p w14:paraId="065E2DD0">
      <w:pPr>
        <w:snapToGrid w:val="0"/>
        <w:spacing w:line="360" w:lineRule="auto"/>
        <w:ind w:right="480"/>
        <w:jc w:val="center"/>
        <w:rPr>
          <w:rFonts w:ascii="宋体" w:hAnsi="宋体" w:cs="宋体"/>
          <w:b/>
          <w:color w:val="000000" w:themeColor="text1"/>
          <w:kern w:val="0"/>
          <w:sz w:val="32"/>
          <w:szCs w:val="32"/>
          <w:highlight w:val="none"/>
          <w14:textFill>
            <w14:solidFill>
              <w14:schemeClr w14:val="tx1"/>
            </w14:solidFill>
          </w14:textFill>
        </w:rPr>
      </w:pPr>
    </w:p>
    <w:p w14:paraId="554F4DE0">
      <w:pPr>
        <w:snapToGrid w:val="0"/>
        <w:spacing w:line="360" w:lineRule="auto"/>
        <w:ind w:right="480"/>
        <w:jc w:val="center"/>
        <w:rPr>
          <w:rFonts w:hint="eastAsia" w:ascii="宋体" w:hAnsi="宋体" w:eastAsia="宋体" w:cs="宋体"/>
          <w:b/>
          <w:color w:val="000000" w:themeColor="text1"/>
          <w:kern w:val="0"/>
          <w:sz w:val="32"/>
          <w:szCs w:val="32"/>
          <w:highlight w:val="none"/>
          <w:lang w:eastAsia="zh-CN"/>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四、落实政府采购政策需满足的资格要求</w:t>
      </w:r>
    </w:p>
    <w:p w14:paraId="6D0E784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268414D7">
      <w:pPr>
        <w:snapToGrid w:val="0"/>
        <w:spacing w:before="50" w:after="50" w:line="360" w:lineRule="auto"/>
        <w:ind w:firstLine="470" w:firstLineChars="196"/>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A.专门面向中小企业，货物全部由符合政策要求的中小企业（或小微企业）制造的，提供相应的中小企业声明函（附件5）。 </w:t>
      </w:r>
    </w:p>
    <w:p w14:paraId="144D9016">
      <w:pPr>
        <w:widowControl/>
        <w:spacing w:line="360" w:lineRule="auto"/>
        <w:ind w:firstLine="480"/>
        <w:jc w:val="left"/>
        <w:rPr>
          <w:rFonts w:ascii="宋体" w:hAnsi="宋体" w:cs="宋体"/>
          <w:bCs/>
          <w:color w:val="000000" w:themeColor="text1"/>
          <w:sz w:val="24"/>
          <w:highlight w:val="none"/>
          <w14:textFill>
            <w14:solidFill>
              <w14:schemeClr w14:val="tx1"/>
            </w14:solidFill>
          </w14:textFill>
        </w:rPr>
      </w:pPr>
    </w:p>
    <w:p w14:paraId="3586198A">
      <w:pPr>
        <w:widowControl/>
        <w:spacing w:line="360" w:lineRule="auto"/>
        <w:ind w:firstLine="470" w:firstLineChars="196"/>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B.要求以联合体形式参加的，提供联合协议（附件3）和中小企业声明函（附件5），联合协议中中小企业合同金额应当达到招标公告载明的比例；如果供应商本身提供所有标的均由中小企业制造的，</w:t>
      </w:r>
      <w:r>
        <w:rPr>
          <w:rFonts w:hint="eastAsia" w:ascii="宋体" w:hAnsi="宋体" w:cs="宋体"/>
          <w:bCs/>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bCs/>
          <w:color w:val="000000" w:themeColor="text1"/>
          <w:sz w:val="24"/>
          <w:highlight w:val="none"/>
          <w14:textFill>
            <w14:solidFill>
              <w14:schemeClr w14:val="tx1"/>
            </w14:solidFill>
          </w14:textFill>
        </w:rPr>
        <w:t>视同符合了资格条件，无需再与其他中小企业组成联合体参加政府采购活动，无需提供联合协议。</w:t>
      </w:r>
    </w:p>
    <w:p w14:paraId="2EBDD423">
      <w:pPr>
        <w:snapToGrid w:val="0"/>
        <w:spacing w:before="50" w:after="50"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4F2D6E40">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C、要求合同分包的，提供分包意向协议（附件4）和中小企业声明函（附件5），分包意向协议中中小企业合同金额应当达到招标公告载明的比例；如果供应商本身提供所有标的均由中小企业制造的，</w:t>
      </w:r>
      <w:r>
        <w:rPr>
          <w:rFonts w:hint="eastAsia" w:ascii="宋体" w:hAnsi="宋体" w:cs="宋体"/>
          <w:bCs/>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bCs/>
          <w:color w:val="000000" w:themeColor="text1"/>
          <w:sz w:val="24"/>
          <w:highlight w:val="none"/>
          <w14:textFill>
            <w14:solidFill>
              <w14:schemeClr w14:val="tx1"/>
            </w14:solidFill>
          </w14:textFill>
        </w:rPr>
        <w:t>视同符合了资格条件，无需再向中小企业分包，无需提供分包意向协议。</w:t>
      </w:r>
    </w:p>
    <w:p w14:paraId="7E9DBE0C">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p>
    <w:p w14:paraId="5967B7FE">
      <w:pPr>
        <w:widowControl/>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五、本项目的特定资格要求</w:t>
      </w:r>
    </w:p>
    <w:p w14:paraId="656CD40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（根据招标公告本项目的特定资格要求提供相应的材料；未要求的，无需提供）</w:t>
      </w:r>
    </w:p>
    <w:p w14:paraId="139D2209">
      <w:pPr>
        <w:rPr>
          <w:rFonts w:ascii="宋体" w:hAnsi="宋体" w:cs="宋体"/>
          <w:color w:val="000000" w:themeColor="text1"/>
          <w:highlight w:val="none"/>
          <w14:textFill>
            <w14:solidFill>
              <w14:schemeClr w14:val="tx1"/>
            </w14:solidFill>
          </w14:textFill>
        </w:rPr>
      </w:pPr>
    </w:p>
    <w:p w14:paraId="47EEFE72">
      <w:pPr>
        <w:widowControl/>
        <w:numPr>
          <w:ilvl w:val="0"/>
          <w:numId w:val="41"/>
        </w:numPr>
        <w:spacing w:line="360" w:lineRule="auto"/>
        <w:ind w:left="15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业务专用章使用说明函</w:t>
      </w:r>
    </w:p>
    <w:p w14:paraId="211BAFE7">
      <w:pPr>
        <w:pStyle w:val="63"/>
        <w:ind w:left="840" w:leftChars="400" w:firstLine="0" w:firstLineChars="0"/>
        <w:jc w:val="center"/>
        <w:rPr>
          <w:bCs/>
          <w:color w:val="000000" w:themeColor="text1"/>
          <w:highlight w:val="none"/>
          <w14:textFill>
            <w14:solidFill>
              <w14:schemeClr w14:val="tx1"/>
            </w14:solidFill>
          </w14:textFill>
        </w:rPr>
      </w:pPr>
      <w:r>
        <w:rPr>
          <w:rFonts w:hint="eastAsia" w:cs="宋体"/>
          <w:bCs/>
          <w:color w:val="000000" w:themeColor="text1"/>
          <w:sz w:val="24"/>
          <w:highlight w:val="none"/>
          <w14:textFill>
            <w14:solidFill>
              <w14:schemeClr w14:val="tx1"/>
            </w14:solidFill>
          </w14:textFill>
        </w:rPr>
        <w:t>[如适用，提供业务专用章使用说明函（附件2）]</w:t>
      </w:r>
    </w:p>
    <w:p w14:paraId="2EFEA46B">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3651CDC2">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商务技术文件部分</w:t>
      </w:r>
    </w:p>
    <w:p w14:paraId="2C26FDCF">
      <w:pPr>
        <w:snapToGrid w:val="0"/>
        <w:spacing w:line="360" w:lineRule="auto"/>
        <w:jc w:val="center"/>
        <w:rPr>
          <w:rFonts w:ascii="宋体" w:hAnsi="宋体" w:cs="宋体"/>
          <w:b/>
          <w:color w:val="000000" w:themeColor="text1"/>
          <w:kern w:val="0"/>
          <w:sz w:val="32"/>
          <w:szCs w:val="32"/>
          <w:highlight w:val="none"/>
          <w:lang w:val="zh-CN"/>
          <w14:textFill>
            <w14:solidFill>
              <w14:schemeClr w14:val="tx1"/>
            </w14:solidFill>
          </w14:textFill>
        </w:rPr>
      </w:pPr>
    </w:p>
    <w:p w14:paraId="6FC6BE9E">
      <w:pPr>
        <w:numPr>
          <w:ilvl w:val="0"/>
          <w:numId w:val="42"/>
        </w:numPr>
        <w:jc w:val="left"/>
        <w:rPr>
          <w:b/>
          <w:bCs/>
          <w:color w:val="000000" w:themeColor="text1"/>
          <w:sz w:val="32"/>
          <w:szCs w:val="32"/>
          <w:highlight w:val="none"/>
          <w14:textFill>
            <w14:solidFill>
              <w14:schemeClr w14:val="tx1"/>
            </w14:solidFill>
          </w14:textFill>
        </w:rPr>
      </w:pPr>
      <w:bookmarkStart w:id="470" w:name="_Toc2704"/>
      <w:r>
        <w:rPr>
          <w:rFonts w:hint="eastAsia"/>
          <w:b/>
          <w:bCs/>
          <w:color w:val="000000" w:themeColor="text1"/>
          <w:sz w:val="32"/>
          <w:szCs w:val="32"/>
          <w:highlight w:val="none"/>
          <w14:textFill>
            <w14:solidFill>
              <w14:schemeClr w14:val="tx1"/>
            </w14:solidFill>
          </w14:textFill>
        </w:rPr>
        <w:t>投标函</w:t>
      </w:r>
      <w:bookmarkEnd w:id="470"/>
    </w:p>
    <w:p w14:paraId="22715B75">
      <w:pPr>
        <w:pStyle w:val="63"/>
        <w:ind w:left="840" w:leftChars="400" w:firstLine="0" w:firstLineChars="0"/>
        <w:rPr>
          <w:color w:val="000000" w:themeColor="text1"/>
          <w:highlight w:val="none"/>
          <w14:textFill>
            <w14:solidFill>
              <w14:schemeClr w14:val="tx1"/>
            </w14:solidFill>
          </w14:textFill>
        </w:rPr>
      </w:pPr>
    </w:p>
    <w:p w14:paraId="4832372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r>
        <w:rPr>
          <w:rFonts w:hint="eastAsia" w:ascii="宋体" w:hAnsi="宋体" w:cs="宋体"/>
          <w:color w:val="000000" w:themeColor="text1"/>
          <w:sz w:val="24"/>
          <w:highlight w:val="none"/>
          <w14:textFill>
            <w14:solidFill>
              <w14:schemeClr w14:val="tx1"/>
            </w14:solidFill>
          </w14:textFill>
        </w:rPr>
        <w:t>：</w:t>
      </w:r>
    </w:p>
    <w:p w14:paraId="2060762C">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招标的有关活动，并对此项目进行投标。为此：</w:t>
      </w:r>
    </w:p>
    <w:p w14:paraId="4AB70D25">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14:paraId="2CFE8F65">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14:paraId="54EC05E8">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14:paraId="70CCBB17">
      <w:pPr>
        <w:adjustRightInd/>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2商务技术</w:t>
      </w:r>
      <w:r>
        <w:rPr>
          <w:rFonts w:hint="eastAsia" w:ascii="宋体" w:hAnsi="宋体" w:cs="宋体"/>
          <w:color w:val="000000" w:themeColor="text1"/>
          <w:sz w:val="24"/>
          <w:highlight w:val="none"/>
          <w:lang w:val="zh-CN"/>
          <w14:textFill>
            <w14:solidFill>
              <w14:schemeClr w14:val="tx1"/>
            </w14:solidFill>
          </w14:textFill>
        </w:rPr>
        <w:t>文件：</w:t>
      </w:r>
    </w:p>
    <w:p w14:paraId="76026C26">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3报价文件</w:t>
      </w:r>
    </w:p>
    <w:p w14:paraId="11C00A22">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3、我方承诺除商务技术偏离表列出的偏离外，我方响应招标文件的全部要求。</w:t>
      </w:r>
    </w:p>
    <w:p w14:paraId="77B0F9DA">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4、如我方中标，我方承诺：</w:t>
      </w:r>
    </w:p>
    <w:p w14:paraId="0C797175">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4.1在收到中标通知书后，在中标通知书规定的期限内与你方签订合同； </w:t>
      </w:r>
    </w:p>
    <w:p w14:paraId="2BC035B9">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4.2在签订合同时不向你方提出附加条件； </w:t>
      </w:r>
    </w:p>
    <w:p w14:paraId="2A6361FF">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4.3按照招标文件要求提交履约保证金； </w:t>
      </w:r>
    </w:p>
    <w:p w14:paraId="1833BF9F">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4.4在合同约定的期限内完成合同规定的全部义务。 </w:t>
      </w:r>
    </w:p>
    <w:p w14:paraId="1B89F4A3">
      <w:pPr>
        <w:adjustRightInd/>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5、其他补充说明：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0916418">
      <w:pPr>
        <w:spacing w:line="360" w:lineRule="auto"/>
        <w:ind w:firstLine="3840" w:firstLineChars="1600"/>
        <w:rPr>
          <w:rFonts w:ascii="宋体" w:hAnsi="宋体" w:cs="宋体"/>
          <w:color w:val="000000" w:themeColor="text1"/>
          <w:sz w:val="24"/>
          <w:highlight w:val="none"/>
          <w14:textFill>
            <w14:solidFill>
              <w14:schemeClr w14:val="tx1"/>
            </w14:solidFill>
          </w14:textFill>
        </w:rPr>
      </w:pPr>
    </w:p>
    <w:p w14:paraId="1AD29A6A">
      <w:pPr>
        <w:spacing w:line="360" w:lineRule="auto"/>
        <w:ind w:firstLine="3840" w:firstLineChars="1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投标人名称（电子签章）：                          </w:t>
      </w:r>
    </w:p>
    <w:p w14:paraId="39B18CB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35D4015E">
      <w:pPr>
        <w:snapToGrid w:val="0"/>
        <w:spacing w:line="360" w:lineRule="auto"/>
        <w:ind w:left="420" w:leftChars="200" w:firstLine="4200" w:firstLineChars="1750"/>
        <w:rPr>
          <w:rFonts w:ascii="宋体" w:hAnsi="宋体" w:cs="宋体"/>
          <w:color w:val="000000" w:themeColor="text1"/>
          <w:kern w:val="0"/>
          <w:sz w:val="24"/>
          <w:highlight w:val="none"/>
          <w:u w:val="single"/>
          <w14:textFill>
            <w14:solidFill>
              <w14:schemeClr w14:val="tx1"/>
            </w14:solidFill>
          </w14:textFill>
        </w:rPr>
      </w:pPr>
    </w:p>
    <w:p w14:paraId="0F2E2B06">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02EA6217">
      <w:pPr>
        <w:rPr>
          <w:color w:val="000000" w:themeColor="text1"/>
          <w:highlight w:val="none"/>
          <w:lang w:val="en-US"/>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78F41DD1">
      <w:pPr>
        <w:jc w:val="center"/>
        <w:rPr>
          <w:rFonts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14:paraId="59692A6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00646A18">
      <w:pPr>
        <w:snapToGrid w:val="0"/>
        <w:spacing w:line="360" w:lineRule="auto"/>
        <w:ind w:firstLine="2872" w:firstLineChars="894"/>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授权委托书（适用于非联合体投标）</w:t>
      </w:r>
      <w:r>
        <w:rPr>
          <w:rFonts w:hint="eastAsia" w:ascii="宋体" w:hAnsi="宋体" w:cs="宋体"/>
          <w:color w:val="000000" w:themeColor="text1"/>
          <w:highlight w:val="none"/>
          <w14:textFill>
            <w14:solidFill>
              <w14:schemeClr w14:val="tx1"/>
            </w14:solidFill>
          </w14:textFill>
        </w:rPr>
        <w:t xml:space="preserve">                               </w:t>
      </w:r>
    </w:p>
    <w:p w14:paraId="66FEB79D">
      <w:pPr>
        <w:spacing w:line="360" w:lineRule="auto"/>
        <w:rPr>
          <w:rFonts w:ascii="宋体" w:hAnsi="宋体" w:cs="宋体"/>
          <w:color w:val="000000" w:themeColor="text1"/>
          <w:sz w:val="24"/>
          <w:highlight w:val="none"/>
          <w:u w:val="single"/>
          <w14:textFill>
            <w14:solidFill>
              <w14:schemeClr w14:val="tx1"/>
            </w14:solidFill>
          </w14:textFill>
        </w:rPr>
      </w:pPr>
    </w:p>
    <w:p w14:paraId="7C1149C4">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324EE135">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63F01390">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69AB823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43EF8588">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w:t>
      </w:r>
      <w:r>
        <w:rPr>
          <w:rFonts w:hint="eastAsia" w:ascii="宋体" w:hAnsi="宋体" w:cs="宋体"/>
          <w:color w:val="000000" w:themeColor="text1"/>
          <w:sz w:val="24"/>
          <w:highlight w:val="none"/>
          <w14:textFill>
            <w14:solidFill>
              <w14:schemeClr w14:val="tx1"/>
            </w14:solidFill>
          </w14:textFill>
        </w:rPr>
        <w:t xml:space="preserve">（电子签章）：  </w:t>
      </w:r>
    </w:p>
    <w:p w14:paraId="320DECCE">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签发日期：  年  月   日</w:t>
      </w:r>
    </w:p>
    <w:p w14:paraId="32B28054">
      <w:pPr>
        <w:autoSpaceDE w:val="0"/>
        <w:autoSpaceDN w:val="0"/>
        <w:spacing w:line="360" w:lineRule="auto"/>
        <w:jc w:val="center"/>
        <w:rPr>
          <w:rFonts w:hint="eastAsia" w:ascii="宋体" w:hAnsi="宋体" w:cs="宋体"/>
          <w:b/>
          <w:color w:val="000000" w:themeColor="text1"/>
          <w:kern w:val="0"/>
          <w:sz w:val="24"/>
          <w:szCs w:val="24"/>
          <w:highlight w:val="none"/>
          <w:lang w:val="zh-CN"/>
          <w14:textFill>
            <w14:solidFill>
              <w14:schemeClr w14:val="tx1"/>
            </w14:solidFill>
          </w14:textFill>
        </w:rPr>
      </w:pPr>
    </w:p>
    <w:p w14:paraId="10ACFA44">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t>授权委托书（适用于联合体投标）</w:t>
      </w:r>
    </w:p>
    <w:p w14:paraId="4C4CA52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r>
        <w:rPr>
          <w:rFonts w:hint="eastAsia" w:ascii="宋体" w:hAnsi="宋体" w:cs="宋体"/>
          <w:color w:val="000000" w:themeColor="text1"/>
          <w:kern w:val="0"/>
          <w:sz w:val="24"/>
          <w:highlight w:val="none"/>
          <w:lang w:val="zh-CN"/>
          <w14:textFill>
            <w14:solidFill>
              <w14:schemeClr w14:val="tx1"/>
            </w14:solidFill>
          </w14:textFill>
        </w:rPr>
        <w:t>：</w:t>
      </w:r>
    </w:p>
    <w:p w14:paraId="19198756">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33C2269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17FD6655">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特此告知。</w:t>
      </w:r>
    </w:p>
    <w:p w14:paraId="6FEB0891">
      <w:pPr>
        <w:jc w:val="center"/>
        <w:rPr>
          <w:rFonts w:ascii="宋体" w:hAnsi="宋体" w:cs="宋体"/>
          <w:b/>
          <w:color w:val="000000" w:themeColor="text1"/>
          <w:kern w:val="0"/>
          <w:sz w:val="32"/>
          <w:szCs w:val="32"/>
          <w:highlight w:val="none"/>
          <w14:textFill>
            <w14:solidFill>
              <w14:schemeClr w14:val="tx1"/>
            </w14:solidFill>
          </w14:textFill>
        </w:rPr>
      </w:pPr>
    </w:p>
    <w:p w14:paraId="1AF5909F">
      <w:pPr>
        <w:jc w:val="center"/>
        <w:rPr>
          <w:rFonts w:ascii="宋体" w:hAnsi="宋体" w:cs="宋体"/>
          <w:b/>
          <w:color w:val="000000" w:themeColor="text1"/>
          <w:kern w:val="0"/>
          <w:sz w:val="32"/>
          <w:szCs w:val="32"/>
          <w:highlight w:val="none"/>
          <w14:textFill>
            <w14:solidFill>
              <w14:schemeClr w14:val="tx1"/>
            </w14:solidFill>
          </w14:textFill>
        </w:rPr>
      </w:pPr>
    </w:p>
    <w:p w14:paraId="226C4865">
      <w:pPr>
        <w:jc w:val="center"/>
        <w:rPr>
          <w:rFonts w:ascii="宋体" w:hAnsi="宋体" w:cs="宋体"/>
          <w:b/>
          <w:color w:val="000000" w:themeColor="text1"/>
          <w:kern w:val="0"/>
          <w:sz w:val="32"/>
          <w:szCs w:val="32"/>
          <w:highlight w:val="none"/>
          <w14:textFill>
            <w14:solidFill>
              <w14:schemeClr w14:val="tx1"/>
            </w14:solidFill>
          </w14:textFill>
        </w:rPr>
      </w:pPr>
    </w:p>
    <w:p w14:paraId="77186FC8">
      <w:pPr>
        <w:rPr>
          <w:rFonts w:ascii="宋体" w:hAnsi="宋体" w:cs="宋体"/>
          <w:color w:val="000000" w:themeColor="text1"/>
          <w:highlight w:val="none"/>
          <w14:textFill>
            <w14:solidFill>
              <w14:schemeClr w14:val="tx1"/>
            </w14:solidFill>
          </w14:textFill>
        </w:rPr>
      </w:pPr>
    </w:p>
    <w:p w14:paraId="3BCBACBC">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w:t>
      </w:r>
      <w:r>
        <w:rPr>
          <w:rFonts w:hint="eastAsia" w:ascii="宋体" w:hAnsi="宋体" w:cs="宋体"/>
          <w:color w:val="000000" w:themeColor="text1"/>
          <w:kern w:val="0"/>
          <w:sz w:val="24"/>
          <w:highlight w:val="none"/>
          <w14:textFill>
            <w14:solidFill>
              <w14:schemeClr w14:val="tx1"/>
            </w14:solidFill>
          </w14:textFill>
        </w:rPr>
        <w:t>章</w:t>
      </w:r>
      <w:r>
        <w:rPr>
          <w:rFonts w:hint="eastAsia" w:ascii="宋体" w:hAnsi="宋体" w:cs="宋体"/>
          <w:color w:val="000000" w:themeColor="text1"/>
          <w:kern w:val="0"/>
          <w:sz w:val="24"/>
          <w:highlight w:val="none"/>
          <w:lang w:val="zh-CN"/>
          <w14:textFill>
            <w14:solidFill>
              <w14:schemeClr w14:val="tx1"/>
            </w14:solidFill>
          </w14:textFill>
        </w:rPr>
        <w:t>/公章)：</w:t>
      </w:r>
    </w:p>
    <w:p w14:paraId="35464E27">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w:t>
      </w:r>
      <w:r>
        <w:rPr>
          <w:rFonts w:hint="eastAsia" w:ascii="宋体" w:hAnsi="宋体" w:cs="宋体"/>
          <w:color w:val="000000" w:themeColor="text1"/>
          <w:kern w:val="0"/>
          <w:sz w:val="24"/>
          <w:highlight w:val="none"/>
          <w14:textFill>
            <w14:solidFill>
              <w14:schemeClr w14:val="tx1"/>
            </w14:solidFill>
          </w14:textFill>
        </w:rPr>
        <w:t>章</w:t>
      </w:r>
      <w:r>
        <w:rPr>
          <w:rFonts w:hint="eastAsia" w:ascii="宋体" w:hAnsi="宋体" w:cs="宋体"/>
          <w:color w:val="000000" w:themeColor="text1"/>
          <w:kern w:val="0"/>
          <w:sz w:val="24"/>
          <w:highlight w:val="none"/>
          <w:lang w:val="zh-CN"/>
          <w14:textFill>
            <w14:solidFill>
              <w14:schemeClr w14:val="tx1"/>
            </w14:solidFill>
          </w14:textFill>
        </w:rPr>
        <w:t>/公章)：</w:t>
      </w:r>
    </w:p>
    <w:p w14:paraId="74A0E47E">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372FE6BA">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3E4FF199">
      <w:pPr>
        <w:autoSpaceDE w:val="0"/>
        <w:autoSpaceDN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val="zh-CN"/>
          <w14:textFill>
            <w14:solidFill>
              <w14:schemeClr w14:val="tx1"/>
            </w14:solidFill>
          </w14:textFill>
        </w:rPr>
        <w:t>法定代表人、单位负责人或自然人本人</w:t>
      </w:r>
      <w:r>
        <w:rPr>
          <w:rFonts w:hint="eastAsia" w:ascii="宋体" w:hAnsi="宋体" w:cs="宋体"/>
          <w:b/>
          <w:color w:val="000000" w:themeColor="text1"/>
          <w:sz w:val="24"/>
          <w:szCs w:val="24"/>
          <w:highlight w:val="none"/>
          <w14:textFill>
            <w14:solidFill>
              <w14:schemeClr w14:val="tx1"/>
            </w14:solidFill>
          </w14:textFill>
        </w:rPr>
        <w:t>的身份证明</w:t>
      </w:r>
    </w:p>
    <w:p w14:paraId="48207017">
      <w:pPr>
        <w:autoSpaceDE w:val="0"/>
        <w:autoSpaceDN w:val="0"/>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（适用于法定代表人、单位负责人或者自然人本人代表投标人参加投标）</w:t>
      </w:r>
    </w:p>
    <w:p w14:paraId="7E572F44">
      <w:pPr>
        <w:pStyle w:val="151"/>
        <w:spacing w:line="360" w:lineRule="auto"/>
        <w:ind w:firstLine="480" w:firstLineChars="200"/>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AD2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207" w:type="dxa"/>
          </w:tcPr>
          <w:p w14:paraId="558121F7">
            <w:pPr>
              <w:pStyle w:val="151"/>
              <w:adjustRightInd w:val="0"/>
              <w:spacing w:line="360" w:lineRule="auto"/>
              <w:rPr>
                <w:rFonts w:hAnsi="宋体" w:cs="宋体"/>
                <w:bCs/>
                <w:color w:val="000000" w:themeColor="text1"/>
                <w:sz w:val="24"/>
                <w:highlight w:val="none"/>
                <w14:textFill>
                  <w14:solidFill>
                    <w14:schemeClr w14:val="tx1"/>
                  </w14:solidFill>
                </w14:textFill>
              </w:rPr>
            </w:pPr>
            <w:r>
              <w:rPr>
                <w:rFonts w:hint="eastAsia" w:hAnsi="宋体" w:cs="宋体"/>
                <w:bCs/>
                <w:color w:val="000000" w:themeColor="text1"/>
                <w:sz w:val="24"/>
                <w:highlight w:val="none"/>
                <w14:textFill>
                  <w14:solidFill>
                    <w14:schemeClr w14:val="tx1"/>
                  </w14:solidFill>
                </w14:textFill>
              </w:rPr>
              <w:t>正面：                                 反面：</w:t>
            </w:r>
          </w:p>
          <w:p w14:paraId="4EA5E8B2">
            <w:pPr>
              <w:pStyle w:val="151"/>
              <w:adjustRightInd w:val="0"/>
              <w:spacing w:line="360" w:lineRule="auto"/>
              <w:rPr>
                <w:rFonts w:hAnsi="宋体" w:cs="宋体"/>
                <w:bCs/>
                <w:color w:val="000000" w:themeColor="text1"/>
                <w:sz w:val="24"/>
                <w:highlight w:val="none"/>
                <w14:textFill>
                  <w14:solidFill>
                    <w14:schemeClr w14:val="tx1"/>
                  </w14:solidFill>
                </w14:textFill>
              </w:rPr>
            </w:pPr>
          </w:p>
        </w:tc>
      </w:tr>
    </w:tbl>
    <w:p w14:paraId="42355B5B">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205B115">
      <w:pPr>
        <w:snapToGrid w:val="0"/>
        <w:spacing w:line="360" w:lineRule="auto"/>
        <w:ind w:firstLine="576"/>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w:t>
      </w:r>
      <w:r>
        <w:rPr>
          <w:rFonts w:hint="eastAsia" w:ascii="宋体" w:hAnsi="宋体" w:cs="宋体"/>
          <w:color w:val="000000" w:themeColor="text1"/>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03E6E28E">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3EA1B80A">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3447796E">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404F823B">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22795E0E">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194564DB">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517F3771">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2E975F56">
      <w:pPr>
        <w:snapToGrid w:val="0"/>
        <w:spacing w:line="360" w:lineRule="auto"/>
        <w:jc w:val="center"/>
        <w:rPr>
          <w:rFonts w:hint="eastAsia" w:ascii="宋体" w:hAnsi="宋体" w:cs="宋体"/>
          <w:b/>
          <w:color w:val="000000" w:themeColor="text1"/>
          <w:kern w:val="0"/>
          <w:sz w:val="32"/>
          <w:szCs w:val="32"/>
          <w:highlight w:val="none"/>
          <w14:textFill>
            <w14:solidFill>
              <w14:schemeClr w14:val="tx1"/>
            </w14:solidFill>
          </w14:textFill>
        </w:rPr>
      </w:pPr>
    </w:p>
    <w:p w14:paraId="47425EE7">
      <w:pPr>
        <w:snapToGrid w:val="0"/>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三、分包意向协议（如适用）</w:t>
      </w:r>
    </w:p>
    <w:p w14:paraId="2CEC26DE">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bookmarkStart w:id="471" w:name="_Hlk101169080"/>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中标后以分包方式履行合同的，提供分包意向协议(附件4</w:t>
      </w:r>
      <w:r>
        <w:rPr>
          <w:rFonts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bookmarkEnd w:id="471"/>
    <w:p w14:paraId="35666346">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60627A8E">
      <w:pPr>
        <w:pStyle w:val="3"/>
        <w:ind w:left="0" w:leftChars="0" w:firstLine="0" w:firstLineChars="0"/>
        <w:rPr>
          <w:color w:val="000000" w:themeColor="text1"/>
          <w:highlight w:val="none"/>
          <w:lang w:val="en-US"/>
          <w14:textFill>
            <w14:solidFill>
              <w14:schemeClr w14:val="tx1"/>
            </w14:solidFill>
          </w14:textFill>
        </w:rPr>
      </w:pPr>
    </w:p>
    <w:p w14:paraId="5704BF9A">
      <w:pPr>
        <w:jc w:val="center"/>
        <w:rPr>
          <w:rFonts w:ascii="宋体" w:hAnsi="宋体" w:cs="宋体"/>
          <w:b/>
          <w:color w:val="000000" w:themeColor="text1"/>
          <w:kern w:val="0"/>
          <w:sz w:val="32"/>
          <w:szCs w:val="32"/>
          <w:highlight w:val="none"/>
          <w14:textFill>
            <w14:solidFill>
              <w14:schemeClr w14:val="tx1"/>
            </w14:solidFill>
          </w14:textFill>
        </w:rPr>
      </w:pPr>
    </w:p>
    <w:p w14:paraId="04552337">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四、符合性审查资料</w:t>
      </w:r>
    </w:p>
    <w:p w14:paraId="221C8DEB">
      <w:pPr>
        <w:jc w:val="center"/>
        <w:rPr>
          <w:rFonts w:ascii="宋体" w:hAnsi="宋体" w:cs="宋体"/>
          <w:b/>
          <w:color w:val="000000" w:themeColor="text1"/>
          <w:kern w:val="0"/>
          <w:sz w:val="32"/>
          <w:szCs w:val="32"/>
          <w:highlight w:val="none"/>
          <w14:textFill>
            <w14:solidFill>
              <w14:schemeClr w14:val="tx1"/>
            </w14:solidFill>
          </w14:textFill>
        </w:rPr>
      </w:pPr>
    </w:p>
    <w:tbl>
      <w:tblPr>
        <w:tblStyle w:val="64"/>
        <w:tblW w:w="9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525"/>
        <w:gridCol w:w="3323"/>
        <w:gridCol w:w="2250"/>
      </w:tblGrid>
      <w:tr w14:paraId="398A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73" w:type="dxa"/>
            <w:vAlign w:val="center"/>
          </w:tcPr>
          <w:p w14:paraId="151000E4">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3525" w:type="dxa"/>
            <w:vAlign w:val="center"/>
          </w:tcPr>
          <w:p w14:paraId="5516D200">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实质性要求</w:t>
            </w:r>
          </w:p>
        </w:tc>
        <w:tc>
          <w:tcPr>
            <w:tcW w:w="3323" w:type="dxa"/>
            <w:vAlign w:val="center"/>
          </w:tcPr>
          <w:p w14:paraId="01B5DCA8">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需要提供的符合性审查资料</w:t>
            </w:r>
          </w:p>
        </w:tc>
        <w:tc>
          <w:tcPr>
            <w:tcW w:w="2250" w:type="dxa"/>
            <w:vAlign w:val="center"/>
          </w:tcPr>
          <w:p w14:paraId="61ED7C39">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投标文件中的</w:t>
            </w:r>
          </w:p>
          <w:p w14:paraId="405D8103">
            <w:pPr>
              <w:snapToGrid w:val="0"/>
              <w:spacing w:line="240" w:lineRule="atLeas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页码位置</w:t>
            </w:r>
          </w:p>
        </w:tc>
      </w:tr>
      <w:tr w14:paraId="1160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73" w:type="dxa"/>
            <w:vAlign w:val="center"/>
          </w:tcPr>
          <w:p w14:paraId="4C40B55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525" w:type="dxa"/>
            <w:vAlign w:val="center"/>
          </w:tcPr>
          <w:p w14:paraId="5E27D54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投标文件按照招标文件要求签署、盖章。</w:t>
            </w:r>
          </w:p>
        </w:tc>
        <w:tc>
          <w:tcPr>
            <w:tcW w:w="3323" w:type="dxa"/>
            <w:vAlign w:val="center"/>
          </w:tcPr>
          <w:p w14:paraId="3318A8F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需要使用电子签章或者签字盖章的投标文件的组成部分</w:t>
            </w:r>
          </w:p>
        </w:tc>
        <w:tc>
          <w:tcPr>
            <w:tcW w:w="2250" w:type="dxa"/>
            <w:vAlign w:val="center"/>
          </w:tcPr>
          <w:p w14:paraId="3C5A64BB">
            <w:pPr>
              <w:jc w:val="center"/>
              <w:rPr>
                <w:rFonts w:ascii="宋体" w:hAnsi="宋体" w:cs="宋体"/>
                <w:color w:val="000000" w:themeColor="text1"/>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见投标文件需要签字盖章的各页。</w:t>
            </w:r>
          </w:p>
        </w:tc>
      </w:tr>
      <w:tr w14:paraId="2D91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73" w:type="dxa"/>
            <w:vAlign w:val="center"/>
          </w:tcPr>
          <w:p w14:paraId="6EC86A4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3525" w:type="dxa"/>
            <w:vAlign w:val="center"/>
          </w:tcPr>
          <w:p w14:paraId="231E690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投标文件中承诺的投标有效期不少于招标文件中载明的投标有效期。</w:t>
            </w:r>
          </w:p>
        </w:tc>
        <w:tc>
          <w:tcPr>
            <w:tcW w:w="3323" w:type="dxa"/>
            <w:vAlign w:val="center"/>
          </w:tcPr>
          <w:p w14:paraId="5034862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投标函</w:t>
            </w:r>
          </w:p>
        </w:tc>
        <w:tc>
          <w:tcPr>
            <w:tcW w:w="2250" w:type="dxa"/>
            <w:vAlign w:val="center"/>
          </w:tcPr>
          <w:p w14:paraId="4F7F887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r w14:paraId="7F5D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73" w:type="dxa"/>
            <w:vAlign w:val="center"/>
          </w:tcPr>
          <w:p w14:paraId="1A5416F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3525" w:type="dxa"/>
            <w:vAlign w:val="center"/>
          </w:tcPr>
          <w:p w14:paraId="692FDCE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投标文件满足招标文件的其它实质性要求。</w:t>
            </w:r>
          </w:p>
        </w:tc>
        <w:tc>
          <w:tcPr>
            <w:tcW w:w="3323" w:type="dxa"/>
            <w:vAlign w:val="center"/>
          </w:tcPr>
          <w:p w14:paraId="733A423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招标文件其它实质性要求相应的材料（“</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 系指实质性要求条款，招标文件无其它实质性要求的，无需提供）</w:t>
            </w:r>
          </w:p>
        </w:tc>
        <w:tc>
          <w:tcPr>
            <w:tcW w:w="2250" w:type="dxa"/>
            <w:vAlign w:val="center"/>
          </w:tcPr>
          <w:p w14:paraId="137E511E">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见投标文件第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页</w:t>
            </w:r>
          </w:p>
        </w:tc>
      </w:tr>
    </w:tbl>
    <w:p w14:paraId="093E70B3">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0F21238E">
      <w:pPr>
        <w:jc w:val="center"/>
        <w:rPr>
          <w:rFonts w:ascii="宋体" w:hAnsi="宋体" w:cs="宋体"/>
          <w:b/>
          <w:color w:val="000000" w:themeColor="text1"/>
          <w:kern w:val="0"/>
          <w:sz w:val="32"/>
          <w:szCs w:val="32"/>
          <w:highlight w:val="none"/>
          <w14:textFill>
            <w14:solidFill>
              <w14:schemeClr w14:val="tx1"/>
            </w14:solidFill>
          </w14:textFill>
        </w:rPr>
      </w:pPr>
    </w:p>
    <w:p w14:paraId="244EDB27">
      <w:pP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09092ED1">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五、</w:t>
      </w:r>
      <w:r>
        <w:rPr>
          <w:rFonts w:hint="eastAsia" w:ascii="宋体" w:hAnsi="宋体" w:cs="宋体"/>
          <w:b/>
          <w:color w:val="000000" w:themeColor="text1"/>
          <w:kern w:val="0"/>
          <w:sz w:val="32"/>
          <w:szCs w:val="32"/>
          <w:highlight w:val="none"/>
          <w:lang w:val="zh-CN"/>
          <w14:textFill>
            <w14:solidFill>
              <w14:schemeClr w14:val="tx1"/>
            </w14:solidFill>
          </w14:textFill>
        </w:rPr>
        <w:t>政府采购供应商廉洁自律承诺书</w:t>
      </w:r>
    </w:p>
    <w:p w14:paraId="26B22B86">
      <w:pPr>
        <w:snapToGrid w:val="0"/>
        <w:spacing w:line="360" w:lineRule="auto"/>
        <w:rPr>
          <w:rFonts w:ascii="宋体" w:hAnsi="宋体" w:cs="宋体"/>
          <w:color w:val="000000" w:themeColor="text1"/>
          <w:sz w:val="24"/>
          <w:highlight w:val="none"/>
          <w14:textFill>
            <w14:solidFill>
              <w14:schemeClr w14:val="tx1"/>
            </w14:solidFill>
          </w14:textFill>
        </w:rPr>
      </w:pPr>
    </w:p>
    <w:p w14:paraId="1EB06FD4">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200C6721">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我单位响应你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26DF45F0">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1B990121">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0D28313D">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7DF0BC4A">
      <w:pPr>
        <w:autoSpaceDE w:val="0"/>
        <w:autoSpaceDN w:val="0"/>
        <w:spacing w:line="360" w:lineRule="auto"/>
        <w:ind w:left="2" w:leftChars="1"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四、不为项目有关人员及部门出国（境）、旅游等提供方便；</w:t>
      </w:r>
    </w:p>
    <w:p w14:paraId="2A23646A">
      <w:pPr>
        <w:autoSpaceDE w:val="0"/>
        <w:autoSpaceDN w:val="0"/>
        <w:spacing w:line="360" w:lineRule="auto"/>
        <w:ind w:left="481" w:leftChars="229"/>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6CDFBADE">
      <w:pPr>
        <w:autoSpaceDE w:val="0"/>
        <w:autoSpaceDN w:val="0"/>
        <w:spacing w:line="360" w:lineRule="auto"/>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好处；</w:t>
      </w:r>
    </w:p>
    <w:p w14:paraId="0294B083">
      <w:pPr>
        <w:autoSpaceDE w:val="0"/>
        <w:autoSpaceDN w:val="0"/>
        <w:spacing w:line="360" w:lineRule="auto"/>
        <w:ind w:left="481" w:leftChars="229"/>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六、严格遵守《</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政府采购法》、《</w:t>
      </w:r>
      <w:r>
        <w:rPr>
          <w:rFonts w:hint="eastAsia" w:ascii="宋体" w:hAnsi="宋体" w:cs="宋体"/>
          <w:color w:val="000000" w:themeColor="text1"/>
          <w:sz w:val="24"/>
          <w:highlight w:val="none"/>
          <w:lang w:val="zh-CN"/>
          <w14:textFill>
            <w14:solidFill>
              <w14:schemeClr w14:val="tx1"/>
            </w14:solidFill>
          </w14:textFill>
        </w:rPr>
        <w:t>中华人民共和国</w:t>
      </w:r>
      <w:r>
        <w:rPr>
          <w:rFonts w:hint="eastAsia" w:ascii="宋体" w:hAnsi="宋体" w:cs="宋体"/>
          <w:color w:val="000000" w:themeColor="text1"/>
          <w:kern w:val="0"/>
          <w:sz w:val="24"/>
          <w:highlight w:val="none"/>
          <w:lang w:val="zh-CN"/>
          <w14:textFill>
            <w14:solidFill>
              <w14:schemeClr w14:val="tx1"/>
            </w14:solidFill>
          </w14:textFill>
        </w:rPr>
        <w:t>招标投标</w:t>
      </w:r>
      <w:r>
        <w:rPr>
          <w:rFonts w:hint="eastAsia" w:ascii="宋体" w:hAnsi="宋体" w:cs="宋体"/>
          <w:color w:val="000000" w:themeColor="text1"/>
          <w:kern w:val="0"/>
          <w:sz w:val="24"/>
          <w:highlight w:val="none"/>
          <w14:textFill>
            <w14:solidFill>
              <w14:schemeClr w14:val="tx1"/>
            </w14:solidFill>
          </w14:textFill>
        </w:rPr>
        <w:t>法》、</w:t>
      </w:r>
    </w:p>
    <w:p w14:paraId="4D86234C">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《中华人民共和国民法典》</w:t>
      </w:r>
      <w:r>
        <w:rPr>
          <w:rFonts w:hint="eastAsia" w:ascii="宋体" w:hAnsi="宋体"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119A938F">
      <w:pPr>
        <w:autoSpaceDE w:val="0"/>
        <w:autoSpaceDN w:val="0"/>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如违反上述承诺，你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宋体" w:hAnsi="宋体" w:cs="宋体"/>
          <w:color w:val="000000" w:themeColor="text1"/>
          <w:sz w:val="24"/>
          <w:highlight w:val="none"/>
          <w14:textFill>
            <w14:solidFill>
              <w14:schemeClr w14:val="tx1"/>
            </w14:solidFill>
          </w14:textFill>
        </w:rPr>
        <w:t>单位</w:t>
      </w:r>
      <w:r>
        <w:rPr>
          <w:rFonts w:hint="eastAsia" w:ascii="宋体" w:hAnsi="宋体"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19E55D64">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2921ED59">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74585FDC">
      <w:pPr>
        <w:autoSpaceDE w:val="0"/>
        <w:autoSpaceDN w:val="0"/>
        <w:spacing w:line="360" w:lineRule="auto"/>
        <w:ind w:left="2"/>
        <w:jc w:val="left"/>
        <w:rPr>
          <w:rFonts w:ascii="宋体" w:hAnsi="宋体" w:cs="宋体"/>
          <w:color w:val="000000" w:themeColor="text1"/>
          <w:kern w:val="0"/>
          <w:sz w:val="24"/>
          <w:highlight w:val="none"/>
          <w:lang w:val="zh-CN"/>
          <w14:textFill>
            <w14:solidFill>
              <w14:schemeClr w14:val="tx1"/>
            </w14:solidFill>
          </w14:textFill>
        </w:rPr>
      </w:pPr>
    </w:p>
    <w:p w14:paraId="0A865624">
      <w:pPr>
        <w:autoSpaceDE w:val="0"/>
        <w:autoSpaceDN w:val="0"/>
        <w:spacing w:line="360" w:lineRule="auto"/>
        <w:ind w:left="2" w:leftChars="1" w:right="1120" w:firstLine="4560" w:firstLineChars="1900"/>
        <w:jc w:val="lef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A982083">
      <w:pPr>
        <w:spacing w:line="360" w:lineRule="auto"/>
        <w:ind w:left="4620" w:leftChars="2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   年   月   日</w:t>
      </w:r>
    </w:p>
    <w:p w14:paraId="0199CDDC">
      <w:pPr>
        <w:spacing w:line="360" w:lineRule="auto"/>
        <w:jc w:val="center"/>
        <w:rPr>
          <w:rFonts w:ascii="宋体" w:hAnsi="宋体" w:cs="宋体"/>
          <w:b/>
          <w:bCs/>
          <w:color w:val="000000" w:themeColor="text1"/>
          <w:sz w:val="24"/>
          <w:highlight w:val="none"/>
          <w14:textFill>
            <w14:solidFill>
              <w14:schemeClr w14:val="tx1"/>
            </w14:solidFill>
          </w14:textFill>
        </w:rPr>
      </w:pPr>
    </w:p>
    <w:p w14:paraId="483A9AEB">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4A6D98F4">
      <w:pPr>
        <w:rPr>
          <w:rFonts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br w:type="page"/>
      </w:r>
    </w:p>
    <w:p w14:paraId="56F2FBF6">
      <w:pPr>
        <w:jc w:val="center"/>
        <w:rPr>
          <w:rFonts w:ascii="宋体" w:hAnsi="宋体" w:cs="宋体"/>
          <w:b/>
          <w:color w:val="000000" w:themeColor="text1"/>
          <w:kern w:val="0"/>
          <w:sz w:val="32"/>
          <w:szCs w:val="32"/>
          <w:highlight w:val="none"/>
          <w14:textFill>
            <w14:solidFill>
              <w14:schemeClr w14:val="tx1"/>
            </w14:solidFill>
          </w14:textFill>
        </w:rPr>
      </w:pPr>
    </w:p>
    <w:p w14:paraId="2B52856E">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六、投标标的清单（不适用）</w:t>
      </w:r>
    </w:p>
    <w:tbl>
      <w:tblPr>
        <w:tblStyle w:val="64"/>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833"/>
        <w:gridCol w:w="1305"/>
        <w:gridCol w:w="2011"/>
        <w:gridCol w:w="1777"/>
      </w:tblGrid>
      <w:tr w14:paraId="691C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693A216">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894173E">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833" w:type="dxa"/>
            <w:tcBorders>
              <w:top w:val="single" w:color="auto" w:sz="4" w:space="0"/>
              <w:left w:val="single" w:color="auto" w:sz="4" w:space="0"/>
              <w:bottom w:val="single" w:color="auto" w:sz="4" w:space="0"/>
              <w:right w:val="single" w:color="auto" w:sz="4" w:space="0"/>
            </w:tcBorders>
            <w:vAlign w:val="center"/>
          </w:tcPr>
          <w:p w14:paraId="4527E6B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品牌（如果有）</w:t>
            </w:r>
          </w:p>
        </w:tc>
        <w:tc>
          <w:tcPr>
            <w:tcW w:w="1305" w:type="dxa"/>
            <w:tcBorders>
              <w:top w:val="single" w:color="auto" w:sz="4" w:space="0"/>
              <w:left w:val="single" w:color="auto" w:sz="4" w:space="0"/>
              <w:bottom w:val="single" w:color="auto" w:sz="4" w:space="0"/>
              <w:right w:val="single" w:color="auto" w:sz="4" w:space="0"/>
            </w:tcBorders>
            <w:vAlign w:val="center"/>
          </w:tcPr>
          <w:p w14:paraId="2CE1D818">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规格型号</w:t>
            </w:r>
          </w:p>
        </w:tc>
        <w:tc>
          <w:tcPr>
            <w:tcW w:w="2011" w:type="dxa"/>
            <w:tcBorders>
              <w:top w:val="single" w:color="auto" w:sz="4" w:space="0"/>
              <w:left w:val="single" w:color="auto" w:sz="4" w:space="0"/>
              <w:bottom w:val="single" w:color="auto" w:sz="4" w:space="0"/>
              <w:right w:val="single" w:color="auto" w:sz="4" w:space="0"/>
            </w:tcBorders>
            <w:vAlign w:val="center"/>
          </w:tcPr>
          <w:p w14:paraId="45AE63A9">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数量</w:t>
            </w:r>
          </w:p>
        </w:tc>
        <w:tc>
          <w:tcPr>
            <w:tcW w:w="1777" w:type="dxa"/>
            <w:tcBorders>
              <w:top w:val="single" w:color="auto" w:sz="4" w:space="0"/>
              <w:left w:val="single" w:color="auto" w:sz="4" w:space="0"/>
              <w:bottom w:val="single" w:color="auto" w:sz="4" w:space="0"/>
              <w:right w:val="single" w:color="auto" w:sz="4" w:space="0"/>
            </w:tcBorders>
            <w:vAlign w:val="center"/>
          </w:tcPr>
          <w:p w14:paraId="64A529F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w:t>
            </w:r>
          </w:p>
        </w:tc>
      </w:tr>
      <w:tr w14:paraId="7308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20CE45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07FF139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5653803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05686DFA">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26E99FA7">
            <w:pPr>
              <w:spacing w:line="360" w:lineRule="auto"/>
              <w:jc w:val="center"/>
              <w:rPr>
                <w:rFonts w:ascii="宋体" w:hAnsi="宋体" w:cs="宋体"/>
                <w:color w:val="000000" w:themeColor="text1"/>
                <w:sz w:val="24"/>
                <w:highlight w:val="none"/>
                <w14:textFill>
                  <w14:solidFill>
                    <w14:schemeClr w14:val="tx1"/>
                  </w14:solidFill>
                </w14:textFill>
              </w:rPr>
            </w:pPr>
          </w:p>
        </w:tc>
        <w:tc>
          <w:tcPr>
            <w:tcW w:w="1777" w:type="dxa"/>
            <w:tcBorders>
              <w:top w:val="single" w:color="auto" w:sz="4" w:space="0"/>
              <w:left w:val="single" w:color="auto" w:sz="4" w:space="0"/>
              <w:bottom w:val="single" w:color="auto" w:sz="4" w:space="0"/>
              <w:right w:val="single" w:color="auto" w:sz="4" w:space="0"/>
            </w:tcBorders>
            <w:vAlign w:val="center"/>
          </w:tcPr>
          <w:p w14:paraId="35B01E54">
            <w:pPr>
              <w:spacing w:line="360" w:lineRule="auto"/>
              <w:jc w:val="center"/>
              <w:rPr>
                <w:rFonts w:ascii="宋体" w:hAnsi="宋体" w:cs="宋体"/>
                <w:color w:val="000000" w:themeColor="text1"/>
                <w:sz w:val="24"/>
                <w:highlight w:val="none"/>
                <w14:textFill>
                  <w14:solidFill>
                    <w14:schemeClr w14:val="tx1"/>
                  </w14:solidFill>
                </w14:textFill>
              </w:rPr>
            </w:pPr>
          </w:p>
        </w:tc>
      </w:tr>
      <w:tr w14:paraId="5211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D8DA8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5D1CF48D">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52A88BBC">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580FFEF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66637724">
            <w:pPr>
              <w:spacing w:line="360" w:lineRule="auto"/>
              <w:jc w:val="center"/>
              <w:rPr>
                <w:rFonts w:ascii="宋体" w:hAnsi="宋体" w:cs="宋体"/>
                <w:color w:val="000000" w:themeColor="text1"/>
                <w:sz w:val="24"/>
                <w:highlight w:val="none"/>
                <w14:textFill>
                  <w14:solidFill>
                    <w14:schemeClr w14:val="tx1"/>
                  </w14:solidFill>
                </w14:textFill>
              </w:rPr>
            </w:pPr>
          </w:p>
        </w:tc>
        <w:tc>
          <w:tcPr>
            <w:tcW w:w="1777" w:type="dxa"/>
            <w:tcBorders>
              <w:top w:val="single" w:color="auto" w:sz="4" w:space="0"/>
              <w:left w:val="single" w:color="auto" w:sz="4" w:space="0"/>
              <w:bottom w:val="single" w:color="auto" w:sz="4" w:space="0"/>
              <w:right w:val="single" w:color="auto" w:sz="4" w:space="0"/>
            </w:tcBorders>
            <w:vAlign w:val="center"/>
          </w:tcPr>
          <w:p w14:paraId="08B5C29C">
            <w:pPr>
              <w:spacing w:line="360" w:lineRule="auto"/>
              <w:jc w:val="center"/>
              <w:rPr>
                <w:rFonts w:ascii="宋体" w:hAnsi="宋体" w:cs="宋体"/>
                <w:color w:val="000000" w:themeColor="text1"/>
                <w:sz w:val="24"/>
                <w:highlight w:val="none"/>
                <w14:textFill>
                  <w14:solidFill>
                    <w14:schemeClr w14:val="tx1"/>
                  </w14:solidFill>
                </w14:textFill>
              </w:rPr>
            </w:pPr>
          </w:p>
        </w:tc>
      </w:tr>
      <w:tr w14:paraId="2E9D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07E75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480AF416">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14:paraId="6456198F">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330852B1">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011" w:type="dxa"/>
            <w:tcBorders>
              <w:top w:val="single" w:color="auto" w:sz="4" w:space="0"/>
              <w:left w:val="single" w:color="auto" w:sz="4" w:space="0"/>
              <w:bottom w:val="single" w:color="auto" w:sz="4" w:space="0"/>
              <w:right w:val="single" w:color="auto" w:sz="4" w:space="0"/>
            </w:tcBorders>
            <w:vAlign w:val="center"/>
          </w:tcPr>
          <w:p w14:paraId="1CDF61F0">
            <w:pPr>
              <w:spacing w:line="360" w:lineRule="auto"/>
              <w:jc w:val="center"/>
              <w:rPr>
                <w:rFonts w:ascii="宋体" w:hAnsi="宋体" w:cs="宋体"/>
                <w:color w:val="000000" w:themeColor="text1"/>
                <w:sz w:val="24"/>
                <w:highlight w:val="none"/>
                <w14:textFill>
                  <w14:solidFill>
                    <w14:schemeClr w14:val="tx1"/>
                  </w14:solidFill>
                </w14:textFill>
              </w:rPr>
            </w:pPr>
          </w:p>
        </w:tc>
        <w:tc>
          <w:tcPr>
            <w:tcW w:w="1777" w:type="dxa"/>
            <w:tcBorders>
              <w:top w:val="single" w:color="auto" w:sz="4" w:space="0"/>
              <w:left w:val="single" w:color="auto" w:sz="4" w:space="0"/>
              <w:bottom w:val="single" w:color="auto" w:sz="4" w:space="0"/>
              <w:right w:val="single" w:color="auto" w:sz="4" w:space="0"/>
            </w:tcBorders>
            <w:vAlign w:val="center"/>
          </w:tcPr>
          <w:p w14:paraId="1CCE3AD9">
            <w:pPr>
              <w:spacing w:line="360" w:lineRule="auto"/>
              <w:jc w:val="center"/>
              <w:rPr>
                <w:rFonts w:ascii="宋体" w:hAnsi="宋体" w:cs="宋体"/>
                <w:color w:val="000000" w:themeColor="text1"/>
                <w:sz w:val="24"/>
                <w:highlight w:val="none"/>
                <w14:textFill>
                  <w14:solidFill>
                    <w14:schemeClr w14:val="tx1"/>
                  </w14:solidFill>
                </w14:textFill>
              </w:rPr>
            </w:pPr>
          </w:p>
        </w:tc>
      </w:tr>
    </w:tbl>
    <w:p w14:paraId="00EDE6BB">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56A8A530">
      <w:pPr>
        <w:jc w:val="center"/>
        <w:rPr>
          <w:rFonts w:ascii="宋体" w:hAnsi="宋体" w:cs="宋体"/>
          <w:b/>
          <w:color w:val="000000" w:themeColor="text1"/>
          <w:kern w:val="0"/>
          <w:sz w:val="32"/>
          <w:szCs w:val="32"/>
          <w:highlight w:val="none"/>
          <w14:textFill>
            <w14:solidFill>
              <w14:schemeClr w14:val="tx1"/>
            </w14:solidFill>
          </w14:textFill>
        </w:rPr>
      </w:pPr>
    </w:p>
    <w:p w14:paraId="06D0C426">
      <w:pPr>
        <w:jc w:val="center"/>
        <w:rPr>
          <w:rFonts w:ascii="宋体" w:hAnsi="宋体" w:cs="宋体"/>
          <w:b/>
          <w:color w:val="000000" w:themeColor="text1"/>
          <w:kern w:val="0"/>
          <w:sz w:val="32"/>
          <w:szCs w:val="32"/>
          <w:highlight w:val="none"/>
          <w14:textFill>
            <w14:solidFill>
              <w14:schemeClr w14:val="tx1"/>
            </w14:solidFill>
          </w14:textFill>
        </w:rPr>
      </w:pPr>
    </w:p>
    <w:p w14:paraId="08E574E3">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七、商务</w:t>
      </w:r>
      <w:r>
        <w:rPr>
          <w:rFonts w:hint="eastAsia" w:ascii="宋体" w:hAnsi="宋体" w:cs="宋体"/>
          <w:b/>
          <w:color w:val="000000" w:themeColor="text1"/>
          <w:kern w:val="0"/>
          <w:sz w:val="32"/>
          <w:szCs w:val="32"/>
          <w:highlight w:val="none"/>
          <w:lang w:val="en-US" w:eastAsia="zh-CN"/>
          <w14:textFill>
            <w14:solidFill>
              <w14:schemeClr w14:val="tx1"/>
            </w14:solidFill>
          </w14:textFill>
        </w:rPr>
        <w:t>及服务</w:t>
      </w:r>
      <w:r>
        <w:rPr>
          <w:rFonts w:hint="eastAsia" w:ascii="宋体" w:hAnsi="宋体" w:cs="宋体"/>
          <w:b/>
          <w:color w:val="000000" w:themeColor="text1"/>
          <w:kern w:val="0"/>
          <w:sz w:val="32"/>
          <w:szCs w:val="32"/>
          <w:highlight w:val="none"/>
          <w14:textFill>
            <w14:solidFill>
              <w14:schemeClr w14:val="tx1"/>
            </w14:solidFill>
          </w14:textFill>
        </w:rPr>
        <w:t>偏离表</w:t>
      </w:r>
    </w:p>
    <w:tbl>
      <w:tblPr>
        <w:tblStyle w:val="65"/>
        <w:tblW w:w="9000"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328"/>
        <w:gridCol w:w="3287"/>
        <w:gridCol w:w="1425"/>
      </w:tblGrid>
      <w:tr w14:paraId="34E9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33013B0">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序号</w:t>
            </w:r>
          </w:p>
        </w:tc>
        <w:tc>
          <w:tcPr>
            <w:tcW w:w="3328" w:type="dxa"/>
          </w:tcPr>
          <w:p w14:paraId="510BA393">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招标文件章节及具体内容</w:t>
            </w:r>
          </w:p>
        </w:tc>
        <w:tc>
          <w:tcPr>
            <w:tcW w:w="3287" w:type="dxa"/>
          </w:tcPr>
          <w:p w14:paraId="06E2BBBB">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投标文件章节及具体内容</w:t>
            </w:r>
          </w:p>
        </w:tc>
        <w:tc>
          <w:tcPr>
            <w:tcW w:w="1425" w:type="dxa"/>
          </w:tcPr>
          <w:p w14:paraId="10E7E669">
            <w:pPr>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偏离说明</w:t>
            </w:r>
          </w:p>
        </w:tc>
      </w:tr>
      <w:tr w14:paraId="461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88250AE">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328" w:type="dxa"/>
          </w:tcPr>
          <w:p w14:paraId="00955A54">
            <w:pPr>
              <w:jc w:val="center"/>
              <w:rPr>
                <w:rFonts w:ascii="宋体" w:hAnsi="宋体" w:cs="宋体"/>
                <w:b/>
                <w:color w:val="000000" w:themeColor="text1"/>
                <w:kern w:val="0"/>
                <w:sz w:val="32"/>
                <w:szCs w:val="32"/>
                <w:highlight w:val="none"/>
                <w14:textFill>
                  <w14:solidFill>
                    <w14:schemeClr w14:val="tx1"/>
                  </w14:solidFill>
                </w14:textFill>
              </w:rPr>
            </w:pPr>
          </w:p>
        </w:tc>
        <w:tc>
          <w:tcPr>
            <w:tcW w:w="3287" w:type="dxa"/>
          </w:tcPr>
          <w:p w14:paraId="50984943">
            <w:pPr>
              <w:jc w:val="center"/>
              <w:rPr>
                <w:rFonts w:ascii="宋体" w:hAnsi="宋体" w:cs="宋体"/>
                <w:b/>
                <w:color w:val="000000" w:themeColor="text1"/>
                <w:kern w:val="0"/>
                <w:sz w:val="32"/>
                <w:szCs w:val="32"/>
                <w:highlight w:val="none"/>
                <w14:textFill>
                  <w14:solidFill>
                    <w14:schemeClr w14:val="tx1"/>
                  </w14:solidFill>
                </w14:textFill>
              </w:rPr>
            </w:pPr>
          </w:p>
        </w:tc>
        <w:tc>
          <w:tcPr>
            <w:tcW w:w="1425" w:type="dxa"/>
          </w:tcPr>
          <w:p w14:paraId="70C86268">
            <w:pPr>
              <w:jc w:val="center"/>
              <w:rPr>
                <w:rFonts w:ascii="宋体" w:hAnsi="宋体" w:cs="宋体"/>
                <w:b/>
                <w:color w:val="000000" w:themeColor="text1"/>
                <w:kern w:val="0"/>
                <w:sz w:val="32"/>
                <w:szCs w:val="32"/>
                <w:highlight w:val="none"/>
                <w14:textFill>
                  <w14:solidFill>
                    <w14:schemeClr w14:val="tx1"/>
                  </w14:solidFill>
                </w14:textFill>
              </w:rPr>
            </w:pPr>
          </w:p>
        </w:tc>
      </w:tr>
      <w:tr w14:paraId="279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3D5AE7E4">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3328" w:type="dxa"/>
          </w:tcPr>
          <w:p w14:paraId="0DAACB7F">
            <w:pPr>
              <w:jc w:val="center"/>
              <w:rPr>
                <w:rFonts w:ascii="宋体" w:hAnsi="宋体" w:cs="宋体"/>
                <w:b/>
                <w:color w:val="000000" w:themeColor="text1"/>
                <w:kern w:val="0"/>
                <w:sz w:val="32"/>
                <w:szCs w:val="32"/>
                <w:highlight w:val="none"/>
                <w14:textFill>
                  <w14:solidFill>
                    <w14:schemeClr w14:val="tx1"/>
                  </w14:solidFill>
                </w14:textFill>
              </w:rPr>
            </w:pPr>
          </w:p>
        </w:tc>
        <w:tc>
          <w:tcPr>
            <w:tcW w:w="3287" w:type="dxa"/>
          </w:tcPr>
          <w:p w14:paraId="7BA92B0F">
            <w:pPr>
              <w:jc w:val="center"/>
              <w:rPr>
                <w:rFonts w:ascii="宋体" w:hAnsi="宋体" w:cs="宋体"/>
                <w:b/>
                <w:color w:val="000000" w:themeColor="text1"/>
                <w:kern w:val="0"/>
                <w:sz w:val="32"/>
                <w:szCs w:val="32"/>
                <w:highlight w:val="none"/>
                <w14:textFill>
                  <w14:solidFill>
                    <w14:schemeClr w14:val="tx1"/>
                  </w14:solidFill>
                </w14:textFill>
              </w:rPr>
            </w:pPr>
          </w:p>
        </w:tc>
        <w:tc>
          <w:tcPr>
            <w:tcW w:w="1425" w:type="dxa"/>
          </w:tcPr>
          <w:p w14:paraId="3219F139">
            <w:pPr>
              <w:jc w:val="center"/>
              <w:rPr>
                <w:rFonts w:ascii="宋体" w:hAnsi="宋体" w:cs="宋体"/>
                <w:b/>
                <w:color w:val="000000" w:themeColor="text1"/>
                <w:kern w:val="0"/>
                <w:sz w:val="32"/>
                <w:szCs w:val="32"/>
                <w:highlight w:val="none"/>
                <w14:textFill>
                  <w14:solidFill>
                    <w14:schemeClr w14:val="tx1"/>
                  </w14:solidFill>
                </w14:textFill>
              </w:rPr>
            </w:pPr>
          </w:p>
        </w:tc>
      </w:tr>
      <w:tr w14:paraId="5120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007171C3">
            <w:pPr>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328" w:type="dxa"/>
          </w:tcPr>
          <w:p w14:paraId="32B4DBD4">
            <w:pPr>
              <w:jc w:val="center"/>
              <w:rPr>
                <w:rFonts w:ascii="宋体" w:hAnsi="宋体" w:cs="宋体"/>
                <w:b/>
                <w:color w:val="000000" w:themeColor="text1"/>
                <w:kern w:val="0"/>
                <w:sz w:val="32"/>
                <w:szCs w:val="32"/>
                <w:highlight w:val="none"/>
                <w14:textFill>
                  <w14:solidFill>
                    <w14:schemeClr w14:val="tx1"/>
                  </w14:solidFill>
                </w14:textFill>
              </w:rPr>
            </w:pPr>
          </w:p>
        </w:tc>
        <w:tc>
          <w:tcPr>
            <w:tcW w:w="3287" w:type="dxa"/>
          </w:tcPr>
          <w:p w14:paraId="670B3F0F">
            <w:pPr>
              <w:jc w:val="center"/>
              <w:rPr>
                <w:rFonts w:ascii="宋体" w:hAnsi="宋体" w:cs="宋体"/>
                <w:b/>
                <w:color w:val="000000" w:themeColor="text1"/>
                <w:kern w:val="0"/>
                <w:sz w:val="32"/>
                <w:szCs w:val="32"/>
                <w:highlight w:val="none"/>
                <w14:textFill>
                  <w14:solidFill>
                    <w14:schemeClr w14:val="tx1"/>
                  </w14:solidFill>
                </w14:textFill>
              </w:rPr>
            </w:pPr>
          </w:p>
        </w:tc>
        <w:tc>
          <w:tcPr>
            <w:tcW w:w="1425" w:type="dxa"/>
          </w:tcPr>
          <w:p w14:paraId="4D312929">
            <w:pPr>
              <w:jc w:val="center"/>
              <w:rPr>
                <w:rFonts w:ascii="宋体" w:hAnsi="宋体" w:cs="宋体"/>
                <w:b/>
                <w:color w:val="000000" w:themeColor="text1"/>
                <w:kern w:val="0"/>
                <w:sz w:val="32"/>
                <w:szCs w:val="32"/>
                <w:highlight w:val="none"/>
                <w14:textFill>
                  <w14:solidFill>
                    <w14:schemeClr w14:val="tx1"/>
                  </w14:solidFill>
                </w14:textFill>
              </w:rPr>
            </w:pPr>
          </w:p>
        </w:tc>
      </w:tr>
    </w:tbl>
    <w:p w14:paraId="24DC2F8D">
      <w:pPr>
        <w:jc w:val="center"/>
        <w:rPr>
          <w:rFonts w:ascii="宋体" w:hAnsi="宋体" w:cs="宋体"/>
          <w:b/>
          <w:color w:val="000000" w:themeColor="text1"/>
          <w:kern w:val="0"/>
          <w:sz w:val="32"/>
          <w:szCs w:val="32"/>
          <w:highlight w:val="none"/>
          <w14:textFill>
            <w14:solidFill>
              <w14:schemeClr w14:val="tx1"/>
            </w14:solidFill>
          </w14:textFill>
        </w:rPr>
      </w:pPr>
    </w:p>
    <w:p w14:paraId="54402EA9">
      <w:p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『编制说明』：</w:t>
      </w:r>
    </w:p>
    <w:p w14:paraId="7B9AA0E1">
      <w:pPr>
        <w:numPr>
          <w:ilvl w:val="0"/>
          <w:numId w:val="43"/>
        </w:num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投标人需按“第三部分  采购需求”中各项要求（包含</w:t>
      </w:r>
      <w:r>
        <w:rPr>
          <w:rFonts w:hint="eastAsia" w:ascii="宋体" w:hAnsi="宋体" w:cs="宋体"/>
          <w:b/>
          <w:bCs/>
          <w:color w:val="000000" w:themeColor="text1"/>
          <w:szCs w:val="21"/>
          <w:highlight w:val="none"/>
          <w:lang w:val="en-US" w:eastAsia="zh-CN"/>
          <w14:textFill>
            <w14:solidFill>
              <w14:schemeClr w14:val="tx1"/>
            </w14:solidFill>
          </w14:textFill>
        </w:rPr>
        <w:t>服务</w:t>
      </w:r>
      <w:r>
        <w:rPr>
          <w:rFonts w:hint="eastAsia" w:ascii="宋体" w:hAnsi="宋体" w:cs="宋体"/>
          <w:b/>
          <w:bCs/>
          <w:color w:val="000000" w:themeColor="text1"/>
          <w:szCs w:val="21"/>
          <w:highlight w:val="none"/>
          <w14:textFill>
            <w14:solidFill>
              <w14:schemeClr w14:val="tx1"/>
            </w14:solidFill>
          </w14:textFill>
        </w:rPr>
        <w:t>需求及商务、其他要求）对应,在本表中如实填写具体响应(有技术参数的提供响应的技术参数)，未按要求填写的，有可能作负偏离处理。</w:t>
      </w:r>
    </w:p>
    <w:p w14:paraId="022C3454">
      <w:pPr>
        <w:numPr>
          <w:ilvl w:val="0"/>
          <w:numId w:val="43"/>
        </w:numPr>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偏离说明是指对招标文件要求存在不同之处的解释说明。偏离系指：正偏离（高于采购需求）、负偏离（低于采购需求）、无偏离（满足采购需求）</w:t>
      </w:r>
    </w:p>
    <w:p w14:paraId="4333FD19">
      <w:pPr>
        <w:widowControl/>
        <w:spacing w:line="360" w:lineRule="auto"/>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3、技术指标若有要求供应商提供相应佐证材料的，供应商未提供相应佐证材料或者供应商的响应承诺与其佐证材料不一致的，评审小组会将以不利于供应商的内容为准进行评审（负偏离）。</w:t>
      </w:r>
    </w:p>
    <w:p w14:paraId="0EB37AFF">
      <w:pPr>
        <w:pStyle w:val="63"/>
        <w:ind w:firstLine="420"/>
        <w:rPr>
          <w:color w:val="000000" w:themeColor="text1"/>
          <w:highlight w:val="none"/>
          <w14:textFill>
            <w14:solidFill>
              <w14:schemeClr w14:val="tx1"/>
            </w14:solidFill>
          </w14:textFill>
        </w:rPr>
      </w:pPr>
    </w:p>
    <w:p w14:paraId="666386C0">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3675E116">
      <w:pPr>
        <w:widowControl/>
        <w:adjustRightInd/>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b/>
          <w:bCs/>
          <w:color w:val="000000" w:themeColor="text1"/>
          <w:sz w:val="32"/>
          <w:szCs w:val="32"/>
          <w:highlight w:val="none"/>
          <w14:textFill>
            <w14:solidFill>
              <w14:schemeClr w14:val="tx1"/>
            </w14:solidFill>
          </w14:textFill>
        </w:rPr>
        <w:br w:type="page"/>
      </w:r>
    </w:p>
    <w:p w14:paraId="20BB3FFF">
      <w:pPr>
        <w:pStyle w:val="23"/>
        <w:rPr>
          <w:color w:val="000000" w:themeColor="text1"/>
          <w:highlight w:val="none"/>
          <w:lang w:val="en-US"/>
          <w14:textFill>
            <w14:solidFill>
              <w14:schemeClr w14:val="tx1"/>
            </w14:solidFill>
          </w14:textFill>
        </w:rPr>
        <w:sectPr>
          <w:headerReference r:id="rId7" w:type="default"/>
          <w:footerReference r:id="rId8" w:type="default"/>
          <w:pgSz w:w="11905" w:h="16838"/>
          <w:pgMar w:top="1474" w:right="1417" w:bottom="1247" w:left="1417" w:header="851" w:footer="850" w:gutter="0"/>
          <w:pgBorders>
            <w:top w:val="none" w:sz="0" w:space="0"/>
            <w:left w:val="none" w:sz="0" w:space="0"/>
            <w:bottom w:val="none" w:sz="0" w:space="0"/>
            <w:right w:val="none" w:sz="0" w:space="0"/>
          </w:pgBorders>
          <w:cols w:space="0" w:num="1"/>
          <w:rtlGutter w:val="0"/>
          <w:docGrid w:linePitch="312" w:charSpace="0"/>
        </w:sectPr>
      </w:pPr>
    </w:p>
    <w:p w14:paraId="2CF70BBB">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八、评标标准相应的商务技术资料</w:t>
      </w:r>
    </w:p>
    <w:p w14:paraId="1EBB5B82">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p>
    <w:p w14:paraId="506BE7D9">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1）</w:t>
      </w:r>
      <w:r>
        <w:rPr>
          <w:rFonts w:hint="eastAsia" w:ascii="宋体" w:hAnsi="宋体" w:eastAsia="宋体" w:cs="宋体"/>
          <w:color w:val="000000" w:themeColor="text1"/>
          <w:sz w:val="24"/>
          <w:highlight w:val="none"/>
          <w:lang w:val="en-US"/>
          <w14:textFill>
            <w14:solidFill>
              <w14:schemeClr w14:val="tx1"/>
            </w14:solidFill>
          </w14:textFill>
        </w:rPr>
        <w:t>项目需求及现状分析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AB13B03">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2）重点难点分析</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234CCCC7">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3）重点难点</w:t>
      </w:r>
      <w:r>
        <w:rPr>
          <w:rFonts w:hint="eastAsia" w:ascii="宋体" w:hAnsi="宋体" w:eastAsia="宋体" w:cs="宋体"/>
          <w:color w:val="000000" w:themeColor="text1"/>
          <w:sz w:val="24"/>
          <w:highlight w:val="none"/>
          <w:lang w:val="en-US" w:eastAsia="zh-CN"/>
          <w14:textFill>
            <w14:solidFill>
              <w14:schemeClr w14:val="tx1"/>
            </w14:solidFill>
          </w14:textFill>
        </w:rPr>
        <w:t>解决方案；</w:t>
      </w:r>
    </w:p>
    <w:p w14:paraId="3F291CBD">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项目实施</w:t>
      </w:r>
      <w:r>
        <w:rPr>
          <w:rFonts w:hint="eastAsia" w:ascii="宋体" w:hAnsi="宋体" w:eastAsia="宋体" w:cs="宋体"/>
          <w:color w:val="000000" w:themeColor="text1"/>
          <w:sz w:val="24"/>
          <w:highlight w:val="none"/>
          <w:lang w:val="zh-CN" w:eastAsia="zh-CN"/>
          <w14:textFill>
            <w14:solidFill>
              <w14:schemeClr w14:val="tx1"/>
            </w14:solidFill>
          </w14:textFill>
        </w:rPr>
        <w:t>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EA006F6">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zh-CN" w:eastAsia="zh-CN"/>
          <w14:textFill>
            <w14:solidFill>
              <w14:schemeClr w14:val="tx1"/>
            </w14:solidFill>
          </w14:textFill>
        </w:rPr>
        <w:t>）拟派实施团队</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667A22F">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质量保证措施</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3F821422">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）验收方案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2A6DCE8">
      <w:pPr>
        <w:snapToGrid w:val="0"/>
        <w:spacing w:line="360" w:lineRule="auto"/>
        <w:ind w:firstLine="960" w:firstLineChars="4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保密方案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06BC8D6E">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文档管理方案；</w:t>
      </w:r>
    </w:p>
    <w:p w14:paraId="1D30654F">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技术支持方案</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16759E80">
      <w:pPr>
        <w:snapToGrid w:val="0"/>
        <w:spacing w:line="360" w:lineRule="auto"/>
        <w:ind w:firstLine="960" w:firstLineChars="4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8-</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lang w:val="zh-CN" w:eastAsia="zh-CN"/>
          <w14:textFill>
            <w14:solidFill>
              <w14:schemeClr w14:val="tx1"/>
            </w14:solidFill>
          </w14:textFill>
        </w:rPr>
        <w:t>）业绩一览表</w:t>
      </w:r>
      <w:r>
        <w:rPr>
          <w:rFonts w:hint="eastAsia" w:ascii="宋体" w:hAnsi="宋体" w:cs="宋体"/>
          <w:color w:val="000000" w:themeColor="text1"/>
          <w:sz w:val="24"/>
          <w:highlight w:val="none"/>
          <w:lang w:val="en-US" w:eastAsia="zh-CN"/>
          <w14:textFill>
            <w14:solidFill>
              <w14:schemeClr w14:val="tx1"/>
            </w14:solidFill>
          </w14:textFill>
        </w:rPr>
        <w:t>及合同扫描件（如有）</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7855D059">
      <w:pPr>
        <w:snapToGrid w:val="0"/>
        <w:spacing w:line="360" w:lineRule="auto"/>
        <w:ind w:firstLine="960" w:firstLineChars="4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8-12</w:t>
      </w:r>
      <w:r>
        <w:rPr>
          <w:rFonts w:hint="eastAsia" w:ascii="宋体" w:hAnsi="宋体" w:eastAsia="宋体" w:cs="宋体"/>
          <w:color w:val="000000" w:themeColor="text1"/>
          <w:sz w:val="24"/>
          <w:highlight w:val="none"/>
          <w:lang w:val="zh-CN" w:eastAsia="zh-CN"/>
          <w14:textFill>
            <w14:solidFill>
              <w14:schemeClr w14:val="tx1"/>
            </w14:solidFill>
          </w14:textFill>
        </w:rPr>
        <w:t>）有效的认证证书复印件（扫描件）及国家认证认可监督管理委员会官网（http://www.cnca.gov.cn/）查询截图（查询结果须为有效）并加盖投标人公章</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如有</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512D40D6">
      <w:pPr>
        <w:snapToGrid w:val="0"/>
        <w:spacing w:line="360" w:lineRule="auto"/>
        <w:ind w:firstLine="960" w:firstLineChars="4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lang w:val="zh-CN" w:eastAsia="zh-CN"/>
          <w14:textFill>
            <w14:solidFill>
              <w14:schemeClr w14:val="tx1"/>
            </w14:solidFill>
          </w14:textFill>
        </w:rPr>
        <w:t>）软件著作权证书扫描件加盖投标人公章</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如有</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482D8B56">
      <w:pPr>
        <w:snapToGrid w:val="0"/>
        <w:spacing w:line="360" w:lineRule="auto"/>
        <w:ind w:firstLine="960" w:firstLineChars="400"/>
        <w:rPr>
          <w:rFonts w:hint="eastAsia" w:ascii="宋体" w:hAnsi="宋体" w:eastAsia="宋体" w:cs="宋体"/>
          <w:color w:val="000000" w:themeColor="text1"/>
          <w:sz w:val="24"/>
          <w:highlight w:val="none"/>
          <w:lang w:val="en-US" w:eastAsia="zh-CN"/>
          <w14:textFill>
            <w14:solidFill>
              <w14:schemeClr w14:val="tx1"/>
            </w14:solidFill>
          </w14:textFill>
        </w:rPr>
      </w:pPr>
    </w:p>
    <w:p w14:paraId="6053D259">
      <w:pP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14:paraId="7993F0BE">
      <w:pPr>
        <w:snapToGrid w:val="0"/>
        <w:spacing w:line="360" w:lineRule="auto"/>
        <w:ind w:firstLine="964" w:firstLineChars="40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业绩一览表</w:t>
      </w:r>
    </w:p>
    <w:tbl>
      <w:tblPr>
        <w:tblStyle w:val="64"/>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5"/>
        <w:gridCol w:w="1365"/>
        <w:gridCol w:w="1297"/>
        <w:gridCol w:w="1936"/>
        <w:gridCol w:w="1950"/>
        <w:gridCol w:w="1792"/>
      </w:tblGrid>
      <w:tr w14:paraId="31108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4BE970C1">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365" w:type="dxa"/>
            <w:tcBorders>
              <w:top w:val="single" w:color="auto" w:sz="4" w:space="0"/>
              <w:left w:val="single" w:color="auto" w:sz="4" w:space="0"/>
              <w:bottom w:val="single" w:color="auto" w:sz="4" w:space="0"/>
              <w:right w:val="single" w:color="auto" w:sz="4" w:space="0"/>
            </w:tcBorders>
            <w:vAlign w:val="center"/>
          </w:tcPr>
          <w:p w14:paraId="69C525C4">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采购单位</w:t>
            </w:r>
          </w:p>
        </w:tc>
        <w:tc>
          <w:tcPr>
            <w:tcW w:w="1297" w:type="dxa"/>
            <w:tcBorders>
              <w:top w:val="single" w:color="auto" w:sz="4" w:space="0"/>
              <w:left w:val="single" w:color="auto" w:sz="4" w:space="0"/>
              <w:right w:val="single" w:color="auto" w:sz="4" w:space="0"/>
            </w:tcBorders>
            <w:vAlign w:val="center"/>
          </w:tcPr>
          <w:p w14:paraId="11915717">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项目名称</w:t>
            </w:r>
          </w:p>
        </w:tc>
        <w:tc>
          <w:tcPr>
            <w:tcW w:w="1936" w:type="dxa"/>
            <w:tcBorders>
              <w:top w:val="single" w:color="auto" w:sz="4" w:space="0"/>
              <w:left w:val="single" w:color="auto" w:sz="4" w:space="0"/>
              <w:bottom w:val="single" w:color="auto" w:sz="4" w:space="0"/>
              <w:right w:val="single" w:color="auto" w:sz="4" w:space="0"/>
            </w:tcBorders>
            <w:vAlign w:val="center"/>
          </w:tcPr>
          <w:p w14:paraId="33F59777">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合同金额</w:t>
            </w:r>
          </w:p>
          <w:p w14:paraId="45246D29">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（万元）</w:t>
            </w:r>
          </w:p>
        </w:tc>
        <w:tc>
          <w:tcPr>
            <w:tcW w:w="1950" w:type="dxa"/>
            <w:tcBorders>
              <w:top w:val="single" w:color="auto" w:sz="4" w:space="0"/>
              <w:left w:val="single" w:color="auto" w:sz="4" w:space="0"/>
              <w:bottom w:val="single" w:color="auto" w:sz="4" w:space="0"/>
              <w:right w:val="single" w:color="auto" w:sz="4" w:space="0"/>
            </w:tcBorders>
            <w:vAlign w:val="center"/>
          </w:tcPr>
          <w:p w14:paraId="7157CAE7">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采购单位联系人及联系电话</w:t>
            </w:r>
          </w:p>
        </w:tc>
        <w:tc>
          <w:tcPr>
            <w:tcW w:w="1792" w:type="dxa"/>
            <w:tcBorders>
              <w:top w:val="single" w:color="auto" w:sz="4" w:space="0"/>
              <w:left w:val="single" w:color="auto" w:sz="4" w:space="0"/>
              <w:bottom w:val="single" w:color="auto" w:sz="4" w:space="0"/>
              <w:right w:val="single" w:color="auto" w:sz="4" w:space="0"/>
            </w:tcBorders>
            <w:vAlign w:val="center"/>
          </w:tcPr>
          <w:p w14:paraId="1377118E">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合同签订时间</w:t>
            </w:r>
          </w:p>
        </w:tc>
      </w:tr>
      <w:tr w14:paraId="232BE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72FEB144">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365" w:type="dxa"/>
            <w:tcBorders>
              <w:top w:val="single" w:color="auto" w:sz="4" w:space="0"/>
              <w:left w:val="single" w:color="auto" w:sz="4" w:space="0"/>
              <w:bottom w:val="single" w:color="auto" w:sz="4" w:space="0"/>
              <w:right w:val="single" w:color="auto" w:sz="4" w:space="0"/>
            </w:tcBorders>
            <w:vAlign w:val="center"/>
          </w:tcPr>
          <w:p w14:paraId="684A76BB">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6E9667EB">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36" w:type="dxa"/>
            <w:tcBorders>
              <w:top w:val="single" w:color="auto" w:sz="4" w:space="0"/>
              <w:left w:val="single" w:color="auto" w:sz="4" w:space="0"/>
              <w:bottom w:val="single" w:color="auto" w:sz="4" w:space="0"/>
              <w:right w:val="single" w:color="auto" w:sz="4" w:space="0"/>
            </w:tcBorders>
            <w:vAlign w:val="center"/>
          </w:tcPr>
          <w:p w14:paraId="65EBB157">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vAlign w:val="center"/>
          </w:tcPr>
          <w:p w14:paraId="1F4FDFCB">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792" w:type="dxa"/>
            <w:tcBorders>
              <w:top w:val="single" w:color="auto" w:sz="4" w:space="0"/>
              <w:left w:val="single" w:color="auto" w:sz="4" w:space="0"/>
              <w:bottom w:val="single" w:color="auto" w:sz="4" w:space="0"/>
              <w:right w:val="single" w:color="auto" w:sz="4" w:space="0"/>
            </w:tcBorders>
            <w:vAlign w:val="center"/>
          </w:tcPr>
          <w:p w14:paraId="46996A21">
            <w:pPr>
              <w:spacing w:line="360" w:lineRule="exact"/>
              <w:jc w:val="left"/>
              <w:rPr>
                <w:rFonts w:ascii="宋体" w:hAnsi="宋体" w:cs="宋体"/>
                <w:color w:val="000000" w:themeColor="text1"/>
                <w:kern w:val="0"/>
                <w:sz w:val="24"/>
                <w:highlight w:val="none"/>
                <w14:textFill>
                  <w14:solidFill>
                    <w14:schemeClr w14:val="tx1"/>
                  </w14:solidFill>
                </w14:textFill>
              </w:rPr>
            </w:pPr>
          </w:p>
        </w:tc>
      </w:tr>
      <w:tr w14:paraId="3794A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3065C8CB">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1365" w:type="dxa"/>
            <w:tcBorders>
              <w:top w:val="single" w:color="auto" w:sz="4" w:space="0"/>
              <w:left w:val="single" w:color="auto" w:sz="4" w:space="0"/>
              <w:bottom w:val="single" w:color="auto" w:sz="4" w:space="0"/>
              <w:right w:val="single" w:color="auto" w:sz="4" w:space="0"/>
            </w:tcBorders>
            <w:vAlign w:val="center"/>
          </w:tcPr>
          <w:p w14:paraId="5BC6B5E3">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0E5B2B43">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36" w:type="dxa"/>
            <w:tcBorders>
              <w:top w:val="single" w:color="auto" w:sz="4" w:space="0"/>
              <w:left w:val="single" w:color="auto" w:sz="4" w:space="0"/>
              <w:bottom w:val="single" w:color="auto" w:sz="4" w:space="0"/>
              <w:right w:val="single" w:color="auto" w:sz="4" w:space="0"/>
            </w:tcBorders>
            <w:vAlign w:val="center"/>
          </w:tcPr>
          <w:p w14:paraId="5918A974">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vAlign w:val="center"/>
          </w:tcPr>
          <w:p w14:paraId="50A0BB15">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792" w:type="dxa"/>
            <w:tcBorders>
              <w:top w:val="single" w:color="auto" w:sz="4" w:space="0"/>
              <w:left w:val="single" w:color="auto" w:sz="4" w:space="0"/>
              <w:bottom w:val="single" w:color="auto" w:sz="4" w:space="0"/>
              <w:right w:val="single" w:color="auto" w:sz="4" w:space="0"/>
            </w:tcBorders>
            <w:vAlign w:val="center"/>
          </w:tcPr>
          <w:p w14:paraId="43B600E1">
            <w:pPr>
              <w:spacing w:line="360" w:lineRule="exact"/>
              <w:jc w:val="left"/>
              <w:rPr>
                <w:rFonts w:ascii="宋体" w:hAnsi="宋体" w:cs="宋体"/>
                <w:color w:val="000000" w:themeColor="text1"/>
                <w:kern w:val="0"/>
                <w:sz w:val="24"/>
                <w:highlight w:val="none"/>
                <w14:textFill>
                  <w14:solidFill>
                    <w14:schemeClr w14:val="tx1"/>
                  </w14:solidFill>
                </w14:textFill>
              </w:rPr>
            </w:pPr>
          </w:p>
        </w:tc>
      </w:tr>
      <w:tr w14:paraId="5D28A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6A441BFF">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1365" w:type="dxa"/>
            <w:tcBorders>
              <w:top w:val="single" w:color="auto" w:sz="4" w:space="0"/>
              <w:left w:val="single" w:color="auto" w:sz="4" w:space="0"/>
              <w:bottom w:val="single" w:color="auto" w:sz="4" w:space="0"/>
              <w:right w:val="single" w:color="auto" w:sz="4" w:space="0"/>
            </w:tcBorders>
            <w:vAlign w:val="center"/>
          </w:tcPr>
          <w:p w14:paraId="640E7188">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5BFF1D98">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36" w:type="dxa"/>
            <w:tcBorders>
              <w:top w:val="single" w:color="auto" w:sz="4" w:space="0"/>
              <w:left w:val="single" w:color="auto" w:sz="4" w:space="0"/>
              <w:bottom w:val="single" w:color="auto" w:sz="4" w:space="0"/>
              <w:right w:val="single" w:color="auto" w:sz="4" w:space="0"/>
            </w:tcBorders>
            <w:vAlign w:val="center"/>
          </w:tcPr>
          <w:p w14:paraId="3E599061">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vAlign w:val="center"/>
          </w:tcPr>
          <w:p w14:paraId="0702FA81">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792" w:type="dxa"/>
            <w:tcBorders>
              <w:top w:val="single" w:color="auto" w:sz="4" w:space="0"/>
              <w:left w:val="single" w:color="auto" w:sz="4" w:space="0"/>
              <w:bottom w:val="single" w:color="auto" w:sz="4" w:space="0"/>
              <w:right w:val="single" w:color="auto" w:sz="4" w:space="0"/>
            </w:tcBorders>
            <w:vAlign w:val="center"/>
          </w:tcPr>
          <w:p w14:paraId="6F173CB3">
            <w:pPr>
              <w:spacing w:line="360" w:lineRule="exact"/>
              <w:jc w:val="left"/>
              <w:rPr>
                <w:rFonts w:ascii="宋体" w:hAnsi="宋体" w:cs="宋体"/>
                <w:color w:val="000000" w:themeColor="text1"/>
                <w:kern w:val="0"/>
                <w:sz w:val="24"/>
                <w:highlight w:val="none"/>
                <w14:textFill>
                  <w14:solidFill>
                    <w14:schemeClr w14:val="tx1"/>
                  </w14:solidFill>
                </w14:textFill>
              </w:rPr>
            </w:pPr>
          </w:p>
        </w:tc>
      </w:tr>
      <w:tr w14:paraId="78428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5BC83E3C">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1365" w:type="dxa"/>
            <w:tcBorders>
              <w:top w:val="single" w:color="auto" w:sz="4" w:space="0"/>
              <w:left w:val="single" w:color="auto" w:sz="4" w:space="0"/>
              <w:bottom w:val="single" w:color="auto" w:sz="4" w:space="0"/>
              <w:right w:val="single" w:color="auto" w:sz="4" w:space="0"/>
            </w:tcBorders>
            <w:vAlign w:val="center"/>
          </w:tcPr>
          <w:p w14:paraId="72CF30C7">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2F2F9ACE">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36" w:type="dxa"/>
            <w:tcBorders>
              <w:top w:val="single" w:color="auto" w:sz="4" w:space="0"/>
              <w:left w:val="single" w:color="auto" w:sz="4" w:space="0"/>
              <w:bottom w:val="single" w:color="auto" w:sz="4" w:space="0"/>
              <w:right w:val="single" w:color="auto" w:sz="4" w:space="0"/>
            </w:tcBorders>
            <w:vAlign w:val="center"/>
          </w:tcPr>
          <w:p w14:paraId="470517A8">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vAlign w:val="center"/>
          </w:tcPr>
          <w:p w14:paraId="5DE0B0ED">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792" w:type="dxa"/>
            <w:tcBorders>
              <w:top w:val="single" w:color="auto" w:sz="4" w:space="0"/>
              <w:left w:val="single" w:color="auto" w:sz="4" w:space="0"/>
              <w:bottom w:val="single" w:color="auto" w:sz="4" w:space="0"/>
              <w:right w:val="single" w:color="auto" w:sz="4" w:space="0"/>
            </w:tcBorders>
            <w:vAlign w:val="center"/>
          </w:tcPr>
          <w:p w14:paraId="29A91116">
            <w:pPr>
              <w:spacing w:line="360" w:lineRule="exact"/>
              <w:jc w:val="left"/>
              <w:rPr>
                <w:rFonts w:ascii="宋体" w:hAnsi="宋体" w:cs="宋体"/>
                <w:color w:val="000000" w:themeColor="text1"/>
                <w:kern w:val="0"/>
                <w:sz w:val="24"/>
                <w:highlight w:val="none"/>
                <w14:textFill>
                  <w14:solidFill>
                    <w14:schemeClr w14:val="tx1"/>
                  </w14:solidFill>
                </w14:textFill>
              </w:rPr>
            </w:pPr>
          </w:p>
        </w:tc>
      </w:tr>
      <w:tr w14:paraId="315E2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7DB6A3A0">
            <w:pPr>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p>
        </w:tc>
        <w:tc>
          <w:tcPr>
            <w:tcW w:w="1365" w:type="dxa"/>
            <w:tcBorders>
              <w:top w:val="single" w:color="auto" w:sz="4" w:space="0"/>
              <w:left w:val="single" w:color="auto" w:sz="4" w:space="0"/>
              <w:bottom w:val="single" w:color="auto" w:sz="4" w:space="0"/>
              <w:right w:val="single" w:color="auto" w:sz="4" w:space="0"/>
            </w:tcBorders>
            <w:vAlign w:val="center"/>
          </w:tcPr>
          <w:p w14:paraId="09B3F070">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14:paraId="1B524785">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36" w:type="dxa"/>
            <w:tcBorders>
              <w:top w:val="single" w:color="auto" w:sz="4" w:space="0"/>
              <w:left w:val="single" w:color="auto" w:sz="4" w:space="0"/>
              <w:bottom w:val="single" w:color="auto" w:sz="4" w:space="0"/>
              <w:right w:val="single" w:color="auto" w:sz="4" w:space="0"/>
            </w:tcBorders>
            <w:vAlign w:val="center"/>
          </w:tcPr>
          <w:p w14:paraId="573CCA75">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vAlign w:val="center"/>
          </w:tcPr>
          <w:p w14:paraId="24CD4FBD">
            <w:pPr>
              <w:spacing w:line="360" w:lineRule="exact"/>
              <w:jc w:val="left"/>
              <w:rPr>
                <w:rFonts w:ascii="宋体" w:hAnsi="宋体" w:cs="宋体"/>
                <w:color w:val="000000" w:themeColor="text1"/>
                <w:kern w:val="0"/>
                <w:sz w:val="24"/>
                <w:highlight w:val="none"/>
                <w14:textFill>
                  <w14:solidFill>
                    <w14:schemeClr w14:val="tx1"/>
                  </w14:solidFill>
                </w14:textFill>
              </w:rPr>
            </w:pPr>
          </w:p>
        </w:tc>
        <w:tc>
          <w:tcPr>
            <w:tcW w:w="1792" w:type="dxa"/>
            <w:tcBorders>
              <w:top w:val="single" w:color="auto" w:sz="4" w:space="0"/>
              <w:left w:val="single" w:color="auto" w:sz="4" w:space="0"/>
              <w:bottom w:val="single" w:color="auto" w:sz="4" w:space="0"/>
              <w:right w:val="single" w:color="auto" w:sz="4" w:space="0"/>
            </w:tcBorders>
            <w:vAlign w:val="center"/>
          </w:tcPr>
          <w:p w14:paraId="2D958435">
            <w:pPr>
              <w:spacing w:line="360" w:lineRule="exact"/>
              <w:jc w:val="left"/>
              <w:rPr>
                <w:rFonts w:ascii="宋体" w:hAnsi="宋体" w:cs="宋体"/>
                <w:color w:val="000000" w:themeColor="text1"/>
                <w:kern w:val="0"/>
                <w:sz w:val="24"/>
                <w:highlight w:val="none"/>
                <w14:textFill>
                  <w14:solidFill>
                    <w14:schemeClr w14:val="tx1"/>
                  </w14:solidFill>
                </w14:textFill>
              </w:rPr>
            </w:pPr>
          </w:p>
        </w:tc>
      </w:tr>
    </w:tbl>
    <w:p w14:paraId="7F40494A">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附合同</w:t>
      </w:r>
      <w:r>
        <w:rPr>
          <w:rFonts w:hint="eastAsia" w:ascii="宋体" w:hAnsi="宋体" w:cs="宋体"/>
          <w:color w:val="000000" w:themeColor="text1"/>
          <w:kern w:val="0"/>
          <w:sz w:val="24"/>
          <w:highlight w:val="none"/>
          <w:lang w:val="en-US" w:eastAsia="zh-CN"/>
          <w14:textFill>
            <w14:solidFill>
              <w14:schemeClr w14:val="tx1"/>
            </w14:solidFill>
          </w14:textFill>
        </w:rPr>
        <w:t>扫描件</w:t>
      </w:r>
      <w:r>
        <w:rPr>
          <w:rFonts w:hint="eastAsia" w:ascii="宋体" w:hAnsi="宋体" w:cs="宋体"/>
          <w:color w:val="000000" w:themeColor="text1"/>
          <w:kern w:val="0"/>
          <w:sz w:val="24"/>
          <w:highlight w:val="none"/>
          <w14:textFill>
            <w14:solidFill>
              <w14:schemeClr w14:val="tx1"/>
            </w14:solidFill>
          </w14:textFill>
        </w:rPr>
        <w:t>加盖公章</w:t>
      </w:r>
    </w:p>
    <w:p w14:paraId="60CD9739">
      <w:pPr>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p>
    <w:p w14:paraId="7E3B9FAE">
      <w:pPr>
        <w:spacing w:line="360" w:lineRule="auto"/>
        <w:ind w:firstLine="480" w:firstLineChars="200"/>
        <w:jc w:val="left"/>
        <w:rPr>
          <w:rFonts w:ascii="宋体" w:hAnsi="宋体" w:cs="宋体"/>
          <w:color w:val="000000" w:themeColor="text1"/>
          <w:kern w:val="0"/>
          <w:sz w:val="24"/>
          <w:highlight w:val="none"/>
          <w:lang w:val="zh-CN"/>
          <w14:textFill>
            <w14:solidFill>
              <w14:schemeClr w14:val="tx1"/>
            </w14:solidFill>
          </w14:textFill>
        </w:rPr>
      </w:pPr>
    </w:p>
    <w:p w14:paraId="62319FA5">
      <w:pPr>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sz w:val="24"/>
          <w:highlight w:val="none"/>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 xml:space="preserve">         </w:t>
      </w:r>
    </w:p>
    <w:p w14:paraId="35CE9B9E">
      <w:pPr>
        <w:pStyle w:val="24"/>
        <w:rPr>
          <w:color w:val="000000" w:themeColor="text1"/>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日  期：</w:t>
      </w:r>
    </w:p>
    <w:p w14:paraId="49508A6F">
      <w:pPr>
        <w:pStyle w:val="24"/>
        <w:ind w:firstLine="482"/>
        <w:rPr>
          <w:b/>
          <w:bCs/>
          <w:color w:val="000000" w:themeColor="text1"/>
          <w:highlight w:val="none"/>
          <w14:textFill>
            <w14:solidFill>
              <w14:schemeClr w14:val="tx1"/>
            </w14:solidFill>
          </w14:textFill>
        </w:rPr>
      </w:pPr>
    </w:p>
    <w:p w14:paraId="14A5D7EF">
      <w:pPr>
        <w:pStyle w:val="24"/>
        <w:rPr>
          <w:color w:val="000000" w:themeColor="text1"/>
          <w:highlight w:val="none"/>
          <w14:textFill>
            <w14:solidFill>
              <w14:schemeClr w14:val="tx1"/>
            </w14:solidFill>
          </w14:textFill>
        </w:rPr>
      </w:pPr>
    </w:p>
    <w:p w14:paraId="29AB6050">
      <w:pP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p>
    <w:p w14:paraId="4BDA37CC">
      <w:pPr>
        <w:jc w:val="center"/>
        <w:rPr>
          <w:b/>
          <w:bCs/>
          <w:color w:val="000000" w:themeColor="text1"/>
          <w:sz w:val="36"/>
          <w:szCs w:val="36"/>
          <w:highlight w:val="none"/>
          <w14:textFill>
            <w14:solidFill>
              <w14:schemeClr w14:val="tx1"/>
            </w14:solidFill>
          </w14:textFill>
        </w:rPr>
      </w:pPr>
      <w:bookmarkStart w:id="472" w:name="_Toc16712"/>
    </w:p>
    <w:p w14:paraId="26723B24">
      <w:pPr>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报价文件部分</w:t>
      </w:r>
      <w:bookmarkEnd w:id="472"/>
    </w:p>
    <w:p w14:paraId="795999E2">
      <w:pPr>
        <w:spacing w:line="360" w:lineRule="auto"/>
        <w:jc w:val="center"/>
        <w:outlineLvl w:val="0"/>
        <w:rPr>
          <w:rFonts w:ascii="宋体" w:hAnsi="宋体" w:cs="宋体"/>
          <w:b/>
          <w:color w:val="000000" w:themeColor="text1"/>
          <w:kern w:val="0"/>
          <w:sz w:val="36"/>
          <w:szCs w:val="36"/>
          <w:highlight w:val="none"/>
          <w14:textFill>
            <w14:solidFill>
              <w14:schemeClr w14:val="tx1"/>
            </w14:solidFill>
          </w14:textFill>
        </w:rPr>
      </w:pPr>
      <w:bookmarkStart w:id="473" w:name="_Toc31513"/>
    </w:p>
    <w:bookmarkEnd w:id="473"/>
    <w:p w14:paraId="5D7ADA60">
      <w:pPr>
        <w:jc w:val="center"/>
        <w:rPr>
          <w:b/>
          <w:bCs/>
          <w:color w:val="000000" w:themeColor="text1"/>
          <w:sz w:val="30"/>
          <w:szCs w:val="30"/>
          <w:highlight w:val="none"/>
          <w14:textFill>
            <w14:solidFill>
              <w14:schemeClr w14:val="tx1"/>
            </w14:solidFill>
          </w14:textFill>
        </w:rPr>
      </w:pPr>
      <w:bookmarkStart w:id="474" w:name="_Toc21159"/>
      <w:r>
        <w:rPr>
          <w:rFonts w:hint="eastAsia"/>
          <w:b/>
          <w:bCs/>
          <w:color w:val="000000" w:themeColor="text1"/>
          <w:sz w:val="30"/>
          <w:szCs w:val="30"/>
          <w:highlight w:val="none"/>
          <w14:textFill>
            <w14:solidFill>
              <w14:schemeClr w14:val="tx1"/>
            </w14:solidFill>
          </w14:textFill>
        </w:rPr>
        <w:t>一、开标一览表</w:t>
      </w:r>
      <w:bookmarkEnd w:id="474"/>
    </w:p>
    <w:p w14:paraId="3B59FDD0">
      <w:pPr>
        <w:spacing w:after="120" w:afterLines="50" w:line="540" w:lineRule="exact"/>
        <w:ind w:right="25" w:rightChars="12"/>
        <w:rPr>
          <w:rFonts w:ascii="宋体" w:hAnsi="宋体" w:cs="宋体"/>
          <w:color w:val="000000" w:themeColor="text1"/>
          <w:sz w:val="24"/>
          <w:highlight w:val="none"/>
          <w14:textFill>
            <w14:solidFill>
              <w14:schemeClr w14:val="tx1"/>
            </w14:solidFill>
          </w14:textFill>
        </w:rPr>
      </w:pP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3473"/>
        <w:gridCol w:w="4665"/>
      </w:tblGrid>
      <w:tr w14:paraId="4C01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17" w:type="pct"/>
            <w:vAlign w:val="center"/>
          </w:tcPr>
          <w:p w14:paraId="5892F89C">
            <w:pPr>
              <w:spacing w:line="500" w:lineRule="exact"/>
              <w:ind w:right="25" w:rightChars="1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标项号</w:t>
            </w:r>
          </w:p>
        </w:tc>
        <w:tc>
          <w:tcPr>
            <w:tcW w:w="1870" w:type="pct"/>
            <w:vAlign w:val="center"/>
          </w:tcPr>
          <w:p w14:paraId="21D5D9FA">
            <w:pPr>
              <w:spacing w:line="500" w:lineRule="exact"/>
              <w:ind w:left="297" w:right="25" w:rightChars="12"/>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采购内容</w:t>
            </w:r>
          </w:p>
        </w:tc>
        <w:tc>
          <w:tcPr>
            <w:tcW w:w="2512" w:type="pct"/>
            <w:vAlign w:val="center"/>
          </w:tcPr>
          <w:p w14:paraId="5DE2451E">
            <w:pPr>
              <w:spacing w:line="500" w:lineRule="exact"/>
              <w:ind w:right="25" w:rightChars="12"/>
              <w:jc w:val="center"/>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w:t>
            </w:r>
            <w:r>
              <w:rPr>
                <w:rFonts w:hint="eastAsia" w:ascii="宋体" w:hAnsi="宋体" w:cs="宋体"/>
                <w:b/>
                <w:color w:val="000000" w:themeColor="text1"/>
                <w:sz w:val="24"/>
                <w:highlight w:val="none"/>
                <w:lang w:val="en-US" w:eastAsia="zh-CN"/>
                <w14:textFill>
                  <w14:solidFill>
                    <w14:schemeClr w14:val="tx1"/>
                  </w14:solidFill>
                </w14:textFill>
              </w:rPr>
              <w:t>报价（元）</w:t>
            </w:r>
          </w:p>
        </w:tc>
      </w:tr>
      <w:tr w14:paraId="4C0B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617" w:type="pct"/>
            <w:vAlign w:val="center"/>
          </w:tcPr>
          <w:p w14:paraId="282578B2">
            <w:pPr>
              <w:spacing w:line="500" w:lineRule="exact"/>
              <w:ind w:right="25" w:rightChars="12"/>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870" w:type="pct"/>
            <w:vAlign w:val="center"/>
          </w:tcPr>
          <w:p w14:paraId="683F598B">
            <w:pPr>
              <w:spacing w:line="500" w:lineRule="exact"/>
              <w:ind w:right="25" w:rightChars="12"/>
              <w:jc w:val="center"/>
              <w:rPr>
                <w:rFonts w:hint="default" w:ascii="宋体" w:hAnsi="宋体" w:eastAsia="宋体" w:cs="宋体"/>
                <w:color w:val="000000" w:themeColor="text1"/>
                <w:sz w:val="24"/>
                <w:highlight w:val="none"/>
                <w:lang w:val="en-US" w:eastAsia="zh-CN"/>
                <w14:textFill>
                  <w14:solidFill>
                    <w14:schemeClr w14:val="tx1"/>
                  </w14:solidFill>
                </w14:textFill>
              </w:rPr>
            </w:pPr>
          </w:p>
        </w:tc>
        <w:tc>
          <w:tcPr>
            <w:tcW w:w="2512" w:type="pct"/>
            <w:vAlign w:val="center"/>
          </w:tcPr>
          <w:p w14:paraId="79F79287">
            <w:pPr>
              <w:spacing w:line="500" w:lineRule="exact"/>
              <w:ind w:right="25" w:rightChars="12"/>
              <w:jc w:val="center"/>
              <w:rPr>
                <w:rFonts w:ascii="宋体" w:hAnsi="宋体" w:cs="宋体"/>
                <w:color w:val="000000" w:themeColor="text1"/>
                <w:sz w:val="24"/>
                <w:highlight w:val="none"/>
                <w14:textFill>
                  <w14:solidFill>
                    <w14:schemeClr w14:val="tx1"/>
                  </w14:solidFill>
                </w14:textFill>
              </w:rPr>
            </w:pPr>
          </w:p>
        </w:tc>
      </w:tr>
    </w:tbl>
    <w:p w14:paraId="73F67F78">
      <w:pPr>
        <w:snapToGrid w:val="0"/>
        <w:spacing w:before="50" w:after="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10B014AE">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 报价一经涂改，应在涂改处加盖单位公章或者由法定代表人或授权委托人签字或盖章，否则其投标作无效标处理。</w:t>
      </w:r>
    </w:p>
    <w:p w14:paraId="17166085">
      <w:pPr>
        <w:snapToGrid w:val="0"/>
        <w:spacing w:line="360" w:lineRule="auto"/>
        <w:ind w:left="-21" w:leftChars="-72" w:right="-817" w:rightChars="-389" w:hanging="130" w:hangingChars="62"/>
        <w:rPr>
          <w:rFonts w:ascii="宋体" w:hAnsi="宋体" w:cs="宋体"/>
          <w:color w:val="000000" w:themeColor="text1"/>
          <w:szCs w:val="21"/>
          <w:highlight w:val="none"/>
          <w14:textFill>
            <w14:solidFill>
              <w14:schemeClr w14:val="tx1"/>
            </w14:solidFill>
          </w14:textFill>
        </w:rPr>
      </w:pPr>
    </w:p>
    <w:p w14:paraId="0E0028E3">
      <w:pPr>
        <w:snapToGrid w:val="0"/>
        <w:spacing w:line="360" w:lineRule="auto"/>
        <w:ind w:left="-21" w:leftChars="-72" w:right="-817" w:rightChars="-389" w:hanging="130" w:hangingChars="62"/>
        <w:rPr>
          <w:rFonts w:ascii="宋体" w:hAnsi="宋体" w:cs="宋体"/>
          <w:color w:val="000000" w:themeColor="text1"/>
          <w:szCs w:val="21"/>
          <w:highlight w:val="none"/>
          <w14:textFill>
            <w14:solidFill>
              <w14:schemeClr w14:val="tx1"/>
            </w14:solidFill>
          </w14:textFill>
        </w:rPr>
      </w:pPr>
    </w:p>
    <w:p w14:paraId="122DD9C8">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投标人名称(电子签章):___________________</w:t>
      </w:r>
    </w:p>
    <w:p w14:paraId="30FF1CD7">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6043941B">
      <w:pPr>
        <w:pStyle w:val="32"/>
        <w:snapToGrid w:val="0"/>
        <w:spacing w:before="295" w:after="29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日期:_____年___月___日</w:t>
      </w:r>
    </w:p>
    <w:p w14:paraId="7D08DE4C">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br w:type="page"/>
      </w:r>
    </w:p>
    <w:p w14:paraId="25C313BC">
      <w:pPr>
        <w:pStyle w:val="32"/>
        <w:snapToGrid w:val="0"/>
        <w:spacing w:before="295" w:after="295"/>
        <w:jc w:val="center"/>
        <w:rPr>
          <w:rFonts w:ascii="Times New Roman" w:hAnsi="Times New Roman" w:cs="Times New Roman"/>
          <w:b/>
          <w:bCs/>
          <w:snapToGrid/>
          <w:color w:val="000000" w:themeColor="text1"/>
          <w:sz w:val="30"/>
          <w:szCs w:val="30"/>
          <w:highlight w:val="none"/>
          <w14:textFill>
            <w14:solidFill>
              <w14:schemeClr w14:val="tx1"/>
            </w14:solidFill>
          </w14:textFill>
        </w:rPr>
      </w:pPr>
      <w:r>
        <w:rPr>
          <w:rFonts w:hint="eastAsia" w:ascii="Times New Roman" w:hAnsi="Times New Roman" w:cs="Times New Roman"/>
          <w:b/>
          <w:bCs/>
          <w:snapToGrid/>
          <w:color w:val="000000" w:themeColor="text1"/>
          <w:sz w:val="30"/>
          <w:szCs w:val="30"/>
          <w:highlight w:val="none"/>
          <w14:textFill>
            <w14:solidFill>
              <w14:schemeClr w14:val="tx1"/>
            </w14:solidFill>
          </w14:textFill>
        </w:rPr>
        <w:t>二、投标报价明细表</w:t>
      </w:r>
    </w:p>
    <w:p w14:paraId="2B63BFEC">
      <w:pPr>
        <w:pStyle w:val="32"/>
        <w:snapToGrid w:val="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金额单位：人民币（元）</w:t>
      </w:r>
    </w:p>
    <w:tbl>
      <w:tblPr>
        <w:tblStyle w:val="6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454"/>
        <w:gridCol w:w="1440"/>
        <w:gridCol w:w="1620"/>
        <w:gridCol w:w="1260"/>
        <w:gridCol w:w="1440"/>
      </w:tblGrid>
      <w:tr w14:paraId="74AB5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vAlign w:val="center"/>
          </w:tcPr>
          <w:p w14:paraId="3BB273C0">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454" w:type="dxa"/>
            <w:tcBorders>
              <w:top w:val="single" w:color="auto" w:sz="4" w:space="0"/>
              <w:left w:val="single" w:color="auto" w:sz="4" w:space="0"/>
              <w:bottom w:val="single" w:color="auto" w:sz="4" w:space="0"/>
              <w:right w:val="single" w:color="auto" w:sz="4" w:space="0"/>
            </w:tcBorders>
            <w:vAlign w:val="center"/>
          </w:tcPr>
          <w:p w14:paraId="7E9EB6AD">
            <w:pPr>
              <w:tabs>
                <w:tab w:val="left" w:pos="1418"/>
              </w:tabs>
              <w:snapToGrid w:val="0"/>
              <w:spacing w:before="50" w:after="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c>
          <w:tcPr>
            <w:tcW w:w="1440" w:type="dxa"/>
            <w:tcBorders>
              <w:top w:val="single" w:color="auto" w:sz="4" w:space="0"/>
              <w:left w:val="single" w:color="auto" w:sz="4" w:space="0"/>
              <w:bottom w:val="single" w:color="auto" w:sz="4" w:space="0"/>
              <w:right w:val="single" w:color="auto" w:sz="4" w:space="0"/>
            </w:tcBorders>
            <w:vAlign w:val="center"/>
          </w:tcPr>
          <w:p w14:paraId="4CFF824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单位及数量</w:t>
            </w:r>
          </w:p>
        </w:tc>
        <w:tc>
          <w:tcPr>
            <w:tcW w:w="1620" w:type="dxa"/>
            <w:tcBorders>
              <w:top w:val="single" w:color="auto" w:sz="4" w:space="0"/>
              <w:left w:val="single" w:color="auto" w:sz="4" w:space="0"/>
              <w:bottom w:val="single" w:color="auto" w:sz="4" w:space="0"/>
              <w:right w:val="single" w:color="auto" w:sz="4" w:space="0"/>
            </w:tcBorders>
            <w:vAlign w:val="center"/>
          </w:tcPr>
          <w:p w14:paraId="2FD00C1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w:t>
            </w:r>
          </w:p>
        </w:tc>
        <w:tc>
          <w:tcPr>
            <w:tcW w:w="1260" w:type="dxa"/>
            <w:tcBorders>
              <w:top w:val="single" w:color="auto" w:sz="4" w:space="0"/>
              <w:left w:val="single" w:color="auto" w:sz="4" w:space="0"/>
              <w:bottom w:val="single" w:color="auto" w:sz="4" w:space="0"/>
              <w:right w:val="single" w:color="auto" w:sz="4" w:space="0"/>
            </w:tcBorders>
            <w:vAlign w:val="center"/>
          </w:tcPr>
          <w:p w14:paraId="4C020C4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440" w:type="dxa"/>
            <w:tcBorders>
              <w:top w:val="single" w:color="auto" w:sz="4" w:space="0"/>
              <w:left w:val="single" w:color="auto" w:sz="4" w:space="0"/>
              <w:bottom w:val="single" w:color="auto" w:sz="4" w:space="0"/>
              <w:right w:val="single" w:color="auto" w:sz="4" w:space="0"/>
            </w:tcBorders>
            <w:vAlign w:val="center"/>
          </w:tcPr>
          <w:p w14:paraId="0C723F14">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备注</w:t>
            </w:r>
          </w:p>
        </w:tc>
      </w:tr>
      <w:tr w14:paraId="1C724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00ECF5F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2DC439D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EAB453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EB0CD7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CA8AD4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0C24F5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5E0EF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023D11C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0904B50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74763B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4A403BE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5AB7B3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955DA1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288C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27FFCEA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27062E2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82B8602">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3E5E855">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1FDE51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F2764A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6D3B0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06E16D80">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6AC9F73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208E8C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4413D90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3CD7464">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31E1C7D">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5718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1E3E8E7E">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3504AF5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30C43E1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1F8CB75C">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E9EFE13">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A15487F">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28835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546538E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75B13BD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B90103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8285C11">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85D19D6">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58026BA">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6223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6" w:type="dxa"/>
            <w:tcBorders>
              <w:top w:val="single" w:color="auto" w:sz="4" w:space="0"/>
              <w:left w:val="single" w:color="auto" w:sz="4" w:space="0"/>
              <w:bottom w:val="single" w:color="auto" w:sz="4" w:space="0"/>
              <w:right w:val="single" w:color="auto" w:sz="4" w:space="0"/>
            </w:tcBorders>
          </w:tcPr>
          <w:p w14:paraId="4742E97F">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5BC84938">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31AC3FD">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0233CC9C">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6DCB2D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AAC6A9F">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7ABDB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786" w:type="dxa"/>
            <w:tcBorders>
              <w:top w:val="single" w:color="auto" w:sz="4" w:space="0"/>
              <w:left w:val="single" w:color="auto" w:sz="4" w:space="0"/>
              <w:bottom w:val="single" w:color="auto" w:sz="4" w:space="0"/>
              <w:right w:val="single" w:color="auto" w:sz="4" w:space="0"/>
            </w:tcBorders>
          </w:tcPr>
          <w:p w14:paraId="68682EC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2454" w:type="dxa"/>
            <w:tcBorders>
              <w:top w:val="single" w:color="auto" w:sz="4" w:space="0"/>
              <w:left w:val="single" w:color="auto" w:sz="4" w:space="0"/>
              <w:bottom w:val="single" w:color="auto" w:sz="4" w:space="0"/>
              <w:right w:val="single" w:color="auto" w:sz="4" w:space="0"/>
            </w:tcBorders>
          </w:tcPr>
          <w:p w14:paraId="3EB31D1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71262754">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200BFD1">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A1436E7">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0222194C">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r w14:paraId="6C996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5"/>
            <w:tcBorders>
              <w:top w:val="single" w:color="auto" w:sz="4" w:space="0"/>
              <w:left w:val="single" w:color="auto" w:sz="4" w:space="0"/>
              <w:bottom w:val="single" w:color="auto" w:sz="4" w:space="0"/>
              <w:right w:val="single" w:color="auto" w:sz="4" w:space="0"/>
            </w:tcBorders>
          </w:tcPr>
          <w:p w14:paraId="0C5A4DF9">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r>
              <w:rPr>
                <w:rFonts w:hint="eastAsia" w:ascii="宋体" w:hAnsi="宋体" w:cs="宋体"/>
                <w:color w:val="000000" w:themeColor="text1"/>
                <w:spacing w:val="20"/>
                <w:szCs w:val="21"/>
                <w:highlight w:val="none"/>
                <w14:textFill>
                  <w14:solidFill>
                    <w14:schemeClr w14:val="tx1"/>
                  </w14:solidFill>
                </w14:textFill>
              </w:rPr>
              <w:t>投标</w:t>
            </w:r>
            <w:r>
              <w:rPr>
                <w:rFonts w:hint="eastAsia" w:ascii="宋体" w:hAnsi="宋体" w:cs="宋体"/>
                <w:color w:val="000000" w:themeColor="text1"/>
                <w:spacing w:val="20"/>
                <w:szCs w:val="21"/>
                <w:highlight w:val="none"/>
                <w:lang w:val="en-US" w:eastAsia="zh-CN"/>
                <w14:textFill>
                  <w14:solidFill>
                    <w14:schemeClr w14:val="tx1"/>
                  </w14:solidFill>
                </w14:textFill>
              </w:rPr>
              <w:t>报价</w:t>
            </w:r>
            <w:r>
              <w:rPr>
                <w:rFonts w:hint="eastAsia" w:ascii="宋体" w:hAnsi="宋体" w:cs="Arial"/>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元</w:t>
            </w:r>
            <w:r>
              <w:rPr>
                <w:rFonts w:hint="eastAsia" w:ascii="宋体" w:hAnsi="宋体" w:cs="Arial"/>
                <w:bCs/>
                <w:color w:val="000000" w:themeColor="text1"/>
                <w:sz w:val="24"/>
                <w:highlight w:val="none"/>
                <w14:textFill>
                  <w14:solidFill>
                    <w14:schemeClr w14:val="tx1"/>
                  </w14:solidFill>
                </w14:textFill>
              </w:rPr>
              <w:t>）</w:t>
            </w:r>
          </w:p>
        </w:tc>
        <w:tc>
          <w:tcPr>
            <w:tcW w:w="1440" w:type="dxa"/>
            <w:tcBorders>
              <w:top w:val="single" w:color="auto" w:sz="4" w:space="0"/>
              <w:left w:val="single" w:color="auto" w:sz="4" w:space="0"/>
              <w:bottom w:val="single" w:color="auto" w:sz="4" w:space="0"/>
              <w:right w:val="single" w:color="auto" w:sz="4" w:space="0"/>
            </w:tcBorders>
          </w:tcPr>
          <w:p w14:paraId="67407C41">
            <w:pPr>
              <w:tabs>
                <w:tab w:val="left" w:pos="1418"/>
              </w:tabs>
              <w:snapToGrid w:val="0"/>
              <w:spacing w:before="50" w:after="50" w:line="360" w:lineRule="auto"/>
              <w:jc w:val="center"/>
              <w:rPr>
                <w:rFonts w:ascii="宋体" w:hAnsi="宋体" w:cs="宋体"/>
                <w:color w:val="000000" w:themeColor="text1"/>
                <w:spacing w:val="20"/>
                <w:szCs w:val="21"/>
                <w:highlight w:val="none"/>
                <w14:textFill>
                  <w14:solidFill>
                    <w14:schemeClr w14:val="tx1"/>
                  </w14:solidFill>
                </w14:textFill>
              </w:rPr>
            </w:pPr>
          </w:p>
        </w:tc>
      </w:tr>
    </w:tbl>
    <w:p w14:paraId="2FECA565">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p>
    <w:p w14:paraId="183C944B">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p>
    <w:p w14:paraId="297AC33B">
      <w:pPr>
        <w:tabs>
          <w:tab w:val="left" w:pos="1418"/>
        </w:tabs>
        <w:snapToGrid w:val="0"/>
        <w:spacing w:before="50" w:after="50"/>
        <w:ind w:left="1418" w:hanging="567"/>
        <w:jc w:val="center"/>
        <w:rPr>
          <w:rFonts w:ascii="宋体" w:hAnsi="宋体" w:cs="宋体"/>
          <w:color w:val="000000" w:themeColor="text1"/>
          <w:spacing w:val="20"/>
          <w:szCs w:val="21"/>
          <w:highlight w:val="none"/>
          <w:u w:val="single"/>
          <w14:textFill>
            <w14:solidFill>
              <w14:schemeClr w14:val="tx1"/>
            </w14:solidFill>
          </w14:textFill>
        </w:rPr>
      </w:pPr>
    </w:p>
    <w:p w14:paraId="1799EAEA">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投标人名称(电子签章):___________________</w:t>
      </w:r>
    </w:p>
    <w:p w14:paraId="317AD6E2">
      <w:pPr>
        <w:pStyle w:val="32"/>
        <w:tabs>
          <w:tab w:val="left" w:pos="2472"/>
        </w:tabs>
        <w:snapToGrid w:val="0"/>
        <w:spacing w:line="360" w:lineRule="auto"/>
        <w:jc w:val="lef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6CAA265A">
      <w:pPr>
        <w:snapToGrid w:val="0"/>
        <w:spacing w:before="50" w:after="50"/>
        <w:rPr>
          <w:rFonts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日期:_____年___月___日</w:t>
      </w:r>
    </w:p>
    <w:p w14:paraId="3C76E254">
      <w:pPr>
        <w:pStyle w:val="32"/>
        <w:snapToGrid w:val="0"/>
        <w:spacing w:before="295" w:after="295"/>
        <w:rPr>
          <w:rFonts w:hAnsi="宋体" w:cs="宋体"/>
          <w:color w:val="000000" w:themeColor="text1"/>
          <w:highlight w:val="none"/>
          <w14:textFill>
            <w14:solidFill>
              <w14:schemeClr w14:val="tx1"/>
            </w14:solidFill>
          </w14:textFill>
        </w:rPr>
      </w:pPr>
    </w:p>
    <w:p w14:paraId="540F2A8B">
      <w:pPr>
        <w:pStyle w:val="62"/>
        <w:rPr>
          <w:color w:val="000000" w:themeColor="text1"/>
          <w:highlight w:val="none"/>
          <w14:textFill>
            <w14:solidFill>
              <w14:schemeClr w14:val="tx1"/>
            </w14:solidFill>
          </w14:textFill>
        </w:rPr>
      </w:pPr>
    </w:p>
    <w:p w14:paraId="653B4DD2">
      <w:pPr>
        <w:snapToGrid w:val="0"/>
        <w:spacing w:line="360" w:lineRule="auto"/>
        <w:rPr>
          <w:rFonts w:ascii="宋体" w:hAnsi="宋体" w:cs="宋体"/>
          <w:color w:val="000000" w:themeColor="text1"/>
          <w:sz w:val="24"/>
          <w:highlight w:val="none"/>
          <w14:textFill>
            <w14:solidFill>
              <w14:schemeClr w14:val="tx1"/>
            </w14:solidFill>
          </w14:textFill>
        </w:rPr>
      </w:pPr>
    </w:p>
    <w:p w14:paraId="2383DD41">
      <w:pPr>
        <w:rPr>
          <w:rFonts w:ascii="宋体" w:hAnsi="宋体" w:cs="宋体"/>
          <w:color w:val="000000" w:themeColor="text1"/>
          <w:sz w:val="32"/>
          <w:szCs w:val="32"/>
          <w:highlight w:val="none"/>
          <w14:textFill>
            <w14:solidFill>
              <w14:schemeClr w14:val="tx1"/>
            </w14:solidFill>
          </w14:textFill>
        </w:rPr>
      </w:pPr>
      <w:r>
        <w:rPr>
          <w:rFonts w:ascii="宋体" w:hAnsi="宋体" w:cs="宋体"/>
          <w:color w:val="000000" w:themeColor="text1"/>
          <w:sz w:val="32"/>
          <w:szCs w:val="32"/>
          <w:highlight w:val="none"/>
          <w14:textFill>
            <w14:solidFill>
              <w14:schemeClr w14:val="tx1"/>
            </w14:solidFill>
          </w14:textFill>
        </w:rPr>
        <w:br w:type="page"/>
      </w:r>
    </w:p>
    <w:p w14:paraId="055C8462">
      <w:pPr>
        <w:pStyle w:val="693"/>
        <w:keepNext w:val="0"/>
        <w:pageBreakBefore w:val="0"/>
        <w:tabs>
          <w:tab w:val="clear" w:pos="720"/>
        </w:tabs>
        <w:snapToGrid w:val="0"/>
        <w:spacing w:before="120" w:after="120"/>
        <w:ind w:firstLine="643"/>
        <w:jc w:val="both"/>
        <w:outlineLvl w:val="9"/>
        <w:rPr>
          <w:rFonts w:ascii="宋体" w:hAnsi="宋体" w:eastAsia="宋体" w:cs="宋体"/>
          <w:color w:val="000000" w:themeColor="text1"/>
          <w:kern w:val="2"/>
          <w:sz w:val="32"/>
          <w:szCs w:val="32"/>
          <w:highlight w:val="none"/>
          <w14:textFill>
            <w14:solidFill>
              <w14:schemeClr w14:val="tx1"/>
            </w14:solidFill>
          </w14:textFill>
        </w:rPr>
        <w:sectPr>
          <w:headerReference r:id="rId10" w:type="first"/>
          <w:footerReference r:id="rId12" w:type="first"/>
          <w:headerReference r:id="rId9" w:type="default"/>
          <w:footerReference r:id="rId11" w:type="default"/>
          <w:pgSz w:w="11905" w:h="16838"/>
          <w:pgMar w:top="1474" w:right="1417" w:bottom="1247" w:left="1417" w:header="851" w:footer="850" w:gutter="0"/>
          <w:pgBorders>
            <w:top w:val="none" w:sz="0" w:space="0"/>
            <w:left w:val="none" w:sz="0" w:space="0"/>
            <w:bottom w:val="none" w:sz="0" w:space="0"/>
            <w:right w:val="none" w:sz="0" w:space="0"/>
          </w:pgBorders>
          <w:cols w:space="0" w:num="1"/>
          <w:rtlGutter w:val="0"/>
          <w:docGrid w:linePitch="312" w:charSpace="0"/>
        </w:sectPr>
      </w:pPr>
    </w:p>
    <w:p w14:paraId="42D8C8F7">
      <w:pPr>
        <w:adjustRightInd/>
        <w:spacing w:line="360" w:lineRule="auto"/>
        <w:jc w:val="center"/>
        <w:rPr>
          <w:rFonts w:hint="eastAsia" w:ascii="宋体" w:hAnsi="宋体" w:eastAsia="宋体" w:cs="宋体"/>
          <w:b/>
          <w:color w:val="000000" w:themeColor="text1"/>
          <w:kern w:val="0"/>
          <w:sz w:val="30"/>
          <w:szCs w:val="30"/>
          <w:highlight w:val="none"/>
          <w:lang w:val="zh-CN" w:eastAsia="zh-CN"/>
          <w14:textFill>
            <w14:solidFill>
              <w14:schemeClr w14:val="tx1"/>
            </w14:solidFill>
          </w14:textFill>
        </w:rPr>
      </w:pPr>
      <w:bookmarkStart w:id="475" w:name="_Toc8239"/>
      <w:r>
        <w:rPr>
          <w:rFonts w:hint="eastAsia"/>
          <w:b/>
          <w:bCs/>
          <w:color w:val="000000" w:themeColor="text1"/>
          <w:sz w:val="32"/>
          <w:szCs w:val="32"/>
          <w:highlight w:val="none"/>
          <w:lang w:val="en-US" w:eastAsia="zh-CN"/>
          <w14:textFill>
            <w14:solidFill>
              <w14:schemeClr w14:val="tx1"/>
            </w14:solidFill>
          </w14:textFill>
        </w:rPr>
        <w:t>三</w:t>
      </w:r>
      <w:r>
        <w:rPr>
          <w:rFonts w:hint="eastAsia"/>
          <w:b/>
          <w:bCs/>
          <w:color w:val="000000" w:themeColor="text1"/>
          <w:sz w:val="32"/>
          <w:szCs w:val="32"/>
          <w:highlight w:val="none"/>
          <w14:textFill>
            <w14:solidFill>
              <w14:schemeClr w14:val="tx1"/>
            </w14:solidFill>
          </w14:textFill>
        </w:rPr>
        <w:t>、</w:t>
      </w:r>
      <w:bookmarkEnd w:id="475"/>
      <w:r>
        <w:rPr>
          <w:rFonts w:hint="eastAsia" w:ascii="宋体" w:hAnsi="宋体" w:eastAsia="宋体" w:cs="宋体"/>
          <w:b/>
          <w:color w:val="000000" w:themeColor="text1"/>
          <w:kern w:val="0"/>
          <w:sz w:val="30"/>
          <w:szCs w:val="30"/>
          <w:highlight w:val="none"/>
          <w:lang w:val="zh-CN" w:eastAsia="zh-CN"/>
          <w14:textFill>
            <w14:solidFill>
              <w14:schemeClr w14:val="tx1"/>
            </w14:solidFill>
          </w14:textFill>
        </w:rPr>
        <w:t>关于符合本国产品标准的声明函或财政部会同有关部门规定的有关证明文件（如适用）</w:t>
      </w:r>
    </w:p>
    <w:p w14:paraId="3830EEFE">
      <w:pPr>
        <w:widowControl/>
        <w:ind w:firstLine="0" w:firstLineChars="0"/>
        <w:jc w:val="left"/>
        <w:rPr>
          <w:rFonts w:hint="eastAsia" w:ascii="宋体" w:hAnsi="宋体" w:eastAsia="宋体" w:cs="宋体"/>
          <w:b/>
          <w:color w:val="000000" w:themeColor="text1"/>
          <w:kern w:val="0"/>
          <w:sz w:val="36"/>
          <w:szCs w:val="36"/>
          <w:highlight w:val="none"/>
          <w14:textFill>
            <w14:solidFill>
              <w14:schemeClr w14:val="tx1"/>
            </w14:solidFill>
          </w14:textFill>
        </w:rPr>
      </w:pPr>
    </w:p>
    <w:p w14:paraId="188C894F">
      <w:pPr>
        <w:widowControl/>
        <w:spacing w:line="360" w:lineRule="auto"/>
        <w:ind w:firstLine="120" w:firstLineChars="5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[符合《</w:t>
      </w:r>
      <w:r>
        <w:rPr>
          <w:rFonts w:hint="eastAsia" w:ascii="宋体" w:hAnsi="宋体" w:eastAsia="宋体" w:cs="宋体"/>
          <w:b/>
          <w:color w:val="000000" w:themeColor="text1"/>
          <w:sz w:val="24"/>
          <w:highlight w:val="none"/>
          <w:lang w:val="en-US" w:eastAsia="zh-CN"/>
          <w14:textFill>
            <w14:solidFill>
              <w14:schemeClr w14:val="tx1"/>
            </w14:solidFill>
          </w14:textFill>
        </w:rPr>
        <w:t>国务院办公厅关于在政府采购中实施本国产品标准及相关政策的通知</w:t>
      </w:r>
      <w:r>
        <w:rPr>
          <w:rFonts w:hint="eastAsia" w:ascii="宋体" w:hAnsi="宋体" w:eastAsia="宋体" w:cs="宋体"/>
          <w:b/>
          <w:color w:val="000000" w:themeColor="text1"/>
          <w:sz w:val="24"/>
          <w:highlight w:val="none"/>
          <w14:textFill>
            <w14:solidFill>
              <w14:schemeClr w14:val="tx1"/>
            </w14:solidFill>
          </w14:textFill>
        </w:rPr>
        <w:t>》规定的</w:t>
      </w:r>
      <w:r>
        <w:rPr>
          <w:rFonts w:hint="eastAsia" w:ascii="宋体" w:hAnsi="宋体" w:eastAsia="宋体" w:cs="宋体"/>
          <w:b/>
          <w:color w:val="000000" w:themeColor="text1"/>
          <w:sz w:val="24"/>
          <w:highlight w:val="none"/>
          <w:lang w:val="en-US" w:eastAsia="zh-CN"/>
          <w14:textFill>
            <w14:solidFill>
              <w14:schemeClr w14:val="tx1"/>
            </w14:solidFill>
          </w14:textFill>
        </w:rPr>
        <w:t>本国产品</w:t>
      </w:r>
      <w:r>
        <w:rPr>
          <w:rFonts w:hint="eastAsia" w:ascii="宋体" w:hAnsi="宋体" w:eastAsia="宋体" w:cs="宋体"/>
          <w:b/>
          <w:color w:val="000000" w:themeColor="text1"/>
          <w:sz w:val="24"/>
          <w:highlight w:val="none"/>
          <w14:textFill>
            <w14:solidFill>
              <w14:schemeClr w14:val="tx1"/>
            </w14:solidFill>
          </w14:textFill>
        </w:rPr>
        <w:t>拟享受价格扣除政策的，需提供</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关于符合本国产品标准的声明函》</w:t>
      </w:r>
      <w:r>
        <w:rPr>
          <w:rFonts w:hint="eastAsia" w:ascii="宋体" w:hAnsi="宋体" w:eastAsia="宋体" w:cs="宋体"/>
          <w:b/>
          <w:color w:val="000000" w:themeColor="text1"/>
          <w:sz w:val="24"/>
          <w:highlight w:val="none"/>
          <w14:textFill>
            <w14:solidFill>
              <w14:schemeClr w14:val="tx1"/>
            </w14:solidFill>
          </w14:textFill>
        </w:rPr>
        <w:t>（附件</w:t>
      </w:r>
      <w:r>
        <w:rPr>
          <w:rFonts w:hint="eastAsia" w:ascii="宋体" w:hAnsi="宋体" w:eastAsia="宋体" w:cs="宋体"/>
          <w:b/>
          <w:color w:val="000000" w:themeColor="text1"/>
          <w:sz w:val="24"/>
          <w:highlight w:val="none"/>
          <w:lang w:val="en-US" w:eastAsia="zh-CN"/>
          <w14:textFill>
            <w14:solidFill>
              <w14:schemeClr w14:val="tx1"/>
            </w14:solidFill>
          </w14:textFill>
        </w:rPr>
        <w:t>6</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lang w:val="zh-CN" w:eastAsia="zh-CN"/>
          <w14:textFill>
            <w14:solidFill>
              <w14:schemeClr w14:val="tx1"/>
            </w14:solidFill>
          </w14:textFill>
        </w:rPr>
        <w:t>或财政部会同有关部门规定的有关证明文件</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注：投标人既未提供符合要求的《关于符合本国产品标准的声明函》，也未提供财政部会同有关部门规定的有关证明文件的，不享受该价格扣除政策。</w:t>
      </w:r>
      <w:r>
        <w:rPr>
          <w:rFonts w:hint="eastAsia" w:ascii="宋体" w:hAnsi="宋体" w:eastAsia="宋体" w:cs="宋体"/>
          <w:b/>
          <w:color w:val="000000" w:themeColor="text1"/>
          <w:sz w:val="24"/>
          <w:highlight w:val="none"/>
          <w14:textFill>
            <w14:solidFill>
              <w14:schemeClr w14:val="tx1"/>
            </w14:solidFill>
          </w14:textFill>
        </w:rPr>
        <w:t>]</w:t>
      </w:r>
    </w:p>
    <w:p w14:paraId="0B7E6481">
      <w:pPr>
        <w:pStyle w:val="695"/>
        <w:ind w:firstLine="0"/>
        <w:jc w:val="center"/>
        <w:rPr>
          <w:b/>
          <w:bCs/>
          <w:color w:val="000000" w:themeColor="text1"/>
          <w:sz w:val="32"/>
          <w:szCs w:val="32"/>
          <w:highlight w:val="none"/>
          <w14:textFill>
            <w14:solidFill>
              <w14:schemeClr w14:val="tx1"/>
            </w14:solidFill>
          </w14:textFill>
        </w:rPr>
      </w:pPr>
    </w:p>
    <w:p w14:paraId="4955B20C">
      <w:pPr>
        <w:pStyle w:val="695"/>
        <w:ind w:firstLine="0"/>
        <w:jc w:val="both"/>
        <w:rPr>
          <w:b/>
          <w:bCs/>
          <w:color w:val="000000" w:themeColor="text1"/>
          <w:sz w:val="32"/>
          <w:szCs w:val="32"/>
          <w:highlight w:val="none"/>
          <w14:textFill>
            <w14:solidFill>
              <w14:schemeClr w14:val="tx1"/>
            </w14:solidFill>
          </w14:textFill>
        </w:rPr>
      </w:pPr>
    </w:p>
    <w:p w14:paraId="0740B07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116BA07E">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66A030BD">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4DF20363">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42B578C7">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61A52A60">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724EBB6F">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7258F90C">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17CDD02B">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51E9B9DC">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0F27106A">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5EE6DA4C">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4F051A98">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2B6374B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000000" w:themeColor="text1"/>
          <w:spacing w:val="0"/>
          <w:kern w:val="0"/>
          <w:sz w:val="30"/>
          <w:szCs w:val="30"/>
          <w:highlight w:val="none"/>
          <w:lang w:val="zh-CN" w:eastAsia="zh-CN" w:bidi="ar-SA"/>
          <w14:textFill>
            <w14:solidFill>
              <w14:schemeClr w14:val="tx1"/>
            </w14:solidFill>
          </w14:textFill>
        </w:rPr>
      </w:pPr>
      <w:r>
        <w:rPr>
          <w:rFonts w:hint="eastAsia" w:ascii="宋体" w:hAnsi="宋体" w:eastAsia="宋体" w:cs="宋体"/>
          <w:b/>
          <w:bCs w:val="0"/>
          <w:color w:val="000000" w:themeColor="text1"/>
          <w:spacing w:val="0"/>
          <w:kern w:val="0"/>
          <w:sz w:val="30"/>
          <w:szCs w:val="30"/>
          <w:highlight w:val="none"/>
          <w:lang w:val="en-US" w:eastAsia="zh-CN" w:bidi="ar-SA"/>
          <w14:textFill>
            <w14:solidFill>
              <w14:schemeClr w14:val="tx1"/>
            </w14:solidFill>
          </w14:textFill>
        </w:rPr>
        <w:t>四、</w:t>
      </w:r>
      <w:r>
        <w:rPr>
          <w:rFonts w:hint="eastAsia" w:ascii="宋体" w:hAnsi="宋体" w:eastAsia="宋体" w:cs="宋体"/>
          <w:b/>
          <w:bCs w:val="0"/>
          <w:color w:val="000000" w:themeColor="text1"/>
          <w:spacing w:val="0"/>
          <w:kern w:val="0"/>
          <w:sz w:val="30"/>
          <w:szCs w:val="30"/>
          <w:highlight w:val="none"/>
          <w:lang w:val="zh-CN" w:eastAsia="zh-CN" w:bidi="ar-SA"/>
          <w14:textFill>
            <w14:solidFill>
              <w14:schemeClr w14:val="tx1"/>
            </w14:solidFill>
          </w14:textFill>
        </w:rPr>
        <w:t>关于本国产品成本比例的声明函</w:t>
      </w:r>
    </w:p>
    <w:p w14:paraId="570109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highlight w:val="none"/>
          <w14:textFill>
            <w14:solidFill>
              <w14:schemeClr w14:val="tx1"/>
            </w14:solidFill>
          </w14:textFill>
        </w:rPr>
      </w:pPr>
    </w:p>
    <w:p w14:paraId="481152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highlight w:val="none"/>
          <w14:textFill>
            <w14:solidFill>
              <w14:schemeClr w14:val="tx1"/>
            </w14:solidFill>
          </w14:textFill>
        </w:rPr>
      </w:pPr>
    </w:p>
    <w:p w14:paraId="228163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highlight w:val="none"/>
          <w14:textFill>
            <w14:solidFill>
              <w14:schemeClr w14:val="tx1"/>
            </w14:solidFill>
          </w14:textFill>
        </w:rPr>
      </w:pPr>
    </w:p>
    <w:p w14:paraId="7B44E0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highlight w:val="none"/>
          <w14:textFill>
            <w14:solidFill>
              <w14:schemeClr w14:val="tx1"/>
            </w14:solidFill>
          </w14:textFill>
        </w:rPr>
      </w:pPr>
    </w:p>
    <w:p w14:paraId="57C2C9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themeColor="text1"/>
          <w:spacing w:val="0"/>
          <w:kern w:val="0"/>
          <w:sz w:val="30"/>
          <w:szCs w:val="30"/>
          <w:highlight w:val="none"/>
          <w:lang w:val="zh-CN" w:eastAsia="zh-CN" w:bidi="ar-SA"/>
          <w14:textFill>
            <w14:solidFill>
              <w14:schemeClr w14:val="tx1"/>
            </w14:solidFill>
          </w14:textFill>
        </w:rPr>
      </w:pPr>
      <w:r>
        <w:rPr>
          <w:rFonts w:hint="eastAsia" w:ascii="宋体" w:hAnsi="宋体" w:eastAsia="宋体" w:cs="宋体"/>
          <w:b/>
          <w:bCs w:val="0"/>
          <w:color w:val="000000" w:themeColor="text1"/>
          <w:spacing w:val="0"/>
          <w:kern w:val="0"/>
          <w:sz w:val="30"/>
          <w:szCs w:val="30"/>
          <w:highlight w:val="none"/>
          <w:lang w:val="zh-CN" w:eastAsia="zh-CN" w:bidi="ar-SA"/>
          <w14:textFill>
            <w14:solidFill>
              <w14:schemeClr w14:val="tx1"/>
            </w14:solidFill>
          </w14:textFill>
        </w:rPr>
        <w:t>关于本国产品成本比例的声明函</w:t>
      </w:r>
    </w:p>
    <w:p w14:paraId="42AA0C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0"/>
          <w:kern w:val="0"/>
          <w:sz w:val="24"/>
          <w:szCs w:val="24"/>
          <w:highlight w:val="none"/>
          <w:lang w:val="zh-CN" w:eastAsia="zh-CN" w:bidi="ar-SA"/>
          <w14:textFill>
            <w14:solidFill>
              <w14:schemeClr w14:val="tx1"/>
            </w14:solidFill>
          </w14:textFill>
        </w:rPr>
      </w:pPr>
      <w:r>
        <w:rPr>
          <w:rFonts w:hint="eastAsia" w:ascii="宋体" w:hAnsi="宋体" w:eastAsia="宋体" w:cs="宋体"/>
          <w:b/>
          <w:color w:val="000000" w:themeColor="text1"/>
          <w:spacing w:val="0"/>
          <w:kern w:val="0"/>
          <w:sz w:val="24"/>
          <w:szCs w:val="24"/>
          <w:highlight w:val="none"/>
          <w:lang w:val="zh-CN"/>
          <w14:textFill>
            <w14:solidFill>
              <w14:schemeClr w14:val="tx1"/>
            </w14:solidFill>
          </w14:textFill>
        </w:rPr>
        <w:t>（当采购项目或者采购包中含有多种产品</w:t>
      </w:r>
      <w:r>
        <w:rPr>
          <w:rFonts w:hint="eastAsia" w:ascii="宋体" w:hAnsi="宋体" w:eastAsia="宋体" w:cs="宋体"/>
          <w:b/>
          <w:color w:val="000000" w:themeColor="text1"/>
          <w:spacing w:val="0"/>
          <w:kern w:val="0"/>
          <w:sz w:val="24"/>
          <w:szCs w:val="24"/>
          <w:highlight w:val="none"/>
          <w:lang w:val="zh-CN" w:eastAsia="zh-CN"/>
          <w14:textFill>
            <w14:solidFill>
              <w14:schemeClr w14:val="tx1"/>
            </w14:solidFill>
          </w14:textFill>
        </w:rPr>
        <w:t>时</w:t>
      </w:r>
      <w:r>
        <w:rPr>
          <w:rFonts w:hint="eastAsia" w:ascii="宋体" w:hAnsi="宋体" w:eastAsia="宋体" w:cs="宋体"/>
          <w:b/>
          <w:color w:val="000000" w:themeColor="text1"/>
          <w:spacing w:val="0"/>
          <w:kern w:val="0"/>
          <w:sz w:val="24"/>
          <w:szCs w:val="24"/>
          <w:highlight w:val="none"/>
          <w:lang w:val="zh-CN"/>
          <w14:textFill>
            <w14:solidFill>
              <w14:schemeClr w14:val="tx1"/>
            </w14:solidFill>
          </w14:textFill>
        </w:rPr>
        <w:t>）</w:t>
      </w:r>
    </w:p>
    <w:p w14:paraId="2DA99EB9">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pPr>
    </w:p>
    <w:p w14:paraId="2F5BEC17">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eastAsia="宋体" w:cs="宋体"/>
          <w:color w:val="000000" w:themeColor="text1"/>
          <w:spacing w:val="6"/>
          <w:kern w:val="0"/>
          <w:sz w:val="24"/>
          <w:szCs w:val="24"/>
          <w:highlight w:val="none"/>
          <w:u w:val="single"/>
          <w:lang w:val="en-US" w:eastAsia="zh-CN" w:bidi="ar-SA"/>
          <w14:textFill>
            <w14:solidFill>
              <w14:schemeClr w14:val="tx1"/>
            </w14:solidFill>
          </w14:textFill>
        </w:rPr>
        <w:t>80</w:t>
      </w:r>
      <w:r>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t>%以上。</w:t>
      </w:r>
    </w:p>
    <w:p w14:paraId="23889B06">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t>本公司（单位）对上述声明内容的真实性负责。如有虚假，愿承担相应法律责任。</w:t>
      </w:r>
    </w:p>
    <w:p w14:paraId="51202A8D">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000000" w:themeColor="text1"/>
          <w:spacing w:val="6"/>
          <w:kern w:val="0"/>
          <w:sz w:val="24"/>
          <w:szCs w:val="24"/>
          <w:highlight w:val="none"/>
          <w:lang w:val="en-US" w:eastAsia="zh-CN" w:bidi="ar-SA"/>
          <w14:textFill>
            <w14:solidFill>
              <w14:schemeClr w14:val="tx1"/>
            </w14:solidFill>
          </w14:textFill>
        </w:rPr>
      </w:pPr>
    </w:p>
    <w:p w14:paraId="6835547C">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p>
    <w:p w14:paraId="71B8D1E9">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p>
    <w:p w14:paraId="634B219F">
      <w:pPr>
        <w:spacing w:line="360" w:lineRule="auto"/>
        <w:ind w:firstLine="4800" w:firstLineChars="20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投标人名称（电子签名）：</w:t>
      </w:r>
    </w:p>
    <w:p w14:paraId="612195D5">
      <w:pPr>
        <w:spacing w:line="360" w:lineRule="auto"/>
        <w:ind w:firstLine="4800" w:firstLineChars="2000"/>
        <w:jc w:val="both"/>
        <w:rPr>
          <w:rFonts w:hint="eastAsia" w:ascii="宋体" w:hAnsi="宋体" w:eastAsia="宋体" w:cs="宋体"/>
          <w:color w:val="000000" w:themeColor="text1"/>
          <w:kern w:val="0"/>
          <w:sz w:val="24"/>
          <w:highlight w:val="none"/>
          <w:u w:val="singl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年</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5D98506">
      <w:pPr>
        <w:rPr>
          <w:rFonts w:hint="eastAsia" w:ascii="宋体" w:hAnsi="宋体" w:eastAsia="宋体" w:cs="宋体"/>
          <w:b/>
          <w:bCs/>
          <w:color w:val="000000" w:themeColor="text1"/>
          <w:sz w:val="44"/>
          <w:szCs w:val="44"/>
          <w:highlight w:val="none"/>
          <w14:textFill>
            <w14:solidFill>
              <w14:schemeClr w14:val="tx1"/>
            </w14:solidFill>
          </w14:textFill>
        </w:rPr>
      </w:pPr>
    </w:p>
    <w:p w14:paraId="7B4A0FE2">
      <w:pPr>
        <w:rPr>
          <w:rFonts w:hint="eastAsia" w:ascii="宋体" w:hAnsi="宋体" w:eastAsia="宋体" w:cs="宋体"/>
          <w:b/>
          <w:bCs/>
          <w:color w:val="000000" w:themeColor="text1"/>
          <w:sz w:val="44"/>
          <w:szCs w:val="44"/>
          <w:highlight w:val="none"/>
          <w14:textFill>
            <w14:solidFill>
              <w14:schemeClr w14:val="tx1"/>
            </w14:solidFill>
          </w14:textFill>
        </w:rPr>
      </w:pPr>
    </w:p>
    <w:p w14:paraId="797D38BD">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01A95CEC">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6408C762">
      <w:pPr>
        <w:spacing w:line="360" w:lineRule="auto"/>
        <w:ind w:right="420" w:firstLine="3614" w:firstLineChars="1000"/>
        <w:rPr>
          <w:rFonts w:ascii="宋体" w:hAnsi="宋体" w:cs="宋体"/>
          <w:b/>
          <w:color w:val="000000" w:themeColor="text1"/>
          <w:kern w:val="0"/>
          <w:sz w:val="36"/>
          <w:szCs w:val="36"/>
          <w:highlight w:val="none"/>
          <w14:textFill>
            <w14:solidFill>
              <w14:schemeClr w14:val="tx1"/>
            </w14:solidFill>
          </w14:textFill>
        </w:rPr>
      </w:pPr>
    </w:p>
    <w:p w14:paraId="4FC04791">
      <w:pPr>
        <w:rPr>
          <w:b/>
          <w:bCs/>
          <w:color w:val="000000" w:themeColor="text1"/>
          <w:sz w:val="44"/>
          <w:szCs w:val="44"/>
          <w:highlight w:val="none"/>
          <w14:textFill>
            <w14:solidFill>
              <w14:schemeClr w14:val="tx1"/>
            </w14:solidFill>
          </w14:textFill>
        </w:rPr>
      </w:pPr>
      <w:bookmarkStart w:id="476" w:name="_Toc20847"/>
      <w:bookmarkStart w:id="477" w:name="_Toc465665161"/>
      <w:r>
        <w:rPr>
          <w:rFonts w:hint="eastAsia"/>
          <w:b/>
          <w:bCs/>
          <w:color w:val="000000" w:themeColor="text1"/>
          <w:sz w:val="44"/>
          <w:szCs w:val="44"/>
          <w:highlight w:val="none"/>
          <w14:textFill>
            <w14:solidFill>
              <w14:schemeClr w14:val="tx1"/>
            </w14:solidFill>
          </w14:textFill>
        </w:rPr>
        <w:br w:type="page"/>
      </w:r>
    </w:p>
    <w:p w14:paraId="3191CB57">
      <w:pPr>
        <w:jc w:val="cente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附件</w:t>
      </w:r>
      <w:bookmarkEnd w:id="476"/>
      <w:bookmarkEnd w:id="477"/>
    </w:p>
    <w:p w14:paraId="40C6F4EA">
      <w:pPr>
        <w:spacing w:line="360" w:lineRule="auto"/>
        <w:rPr>
          <w:rFonts w:ascii="宋体" w:hAnsi="宋体" w:cs="宋体"/>
          <w:b/>
          <w:color w:val="000000" w:themeColor="text1"/>
          <w:spacing w:val="6"/>
          <w:sz w:val="32"/>
          <w:szCs w:val="32"/>
          <w:highlight w:val="none"/>
          <w14:textFill>
            <w14:solidFill>
              <w14:schemeClr w14:val="tx1"/>
            </w14:solidFill>
          </w14:textFill>
        </w:rPr>
      </w:pPr>
    </w:p>
    <w:p w14:paraId="3474B320">
      <w:pPr>
        <w:spacing w:line="360" w:lineRule="auto"/>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w:t>
      </w:r>
    </w:p>
    <w:p w14:paraId="0BC3EE4A">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bookmarkStart w:id="478" w:name="OLE_LINK14"/>
      <w:bookmarkStart w:id="479" w:name="OLE_LINK13"/>
      <w:r>
        <w:rPr>
          <w:rFonts w:hint="eastAsia" w:ascii="宋体" w:hAnsi="宋体" w:cs="宋体"/>
          <w:b/>
          <w:color w:val="000000" w:themeColor="text1"/>
          <w:spacing w:val="6"/>
          <w:sz w:val="32"/>
          <w:szCs w:val="32"/>
          <w:highlight w:val="none"/>
          <w14:textFill>
            <w14:solidFill>
              <w14:schemeClr w14:val="tx1"/>
            </w14:solidFill>
          </w14:textFill>
        </w:rPr>
        <w:t>残疾人福利性单位声明函</w:t>
      </w:r>
    </w:p>
    <w:bookmarkEnd w:id="478"/>
    <w:bookmarkEnd w:id="479"/>
    <w:p w14:paraId="23E06E0F">
      <w:pPr>
        <w:spacing w:line="360" w:lineRule="auto"/>
        <w:rPr>
          <w:rFonts w:ascii="宋体" w:hAnsi="宋体" w:cs="宋体"/>
          <w:b/>
          <w:color w:val="000000" w:themeColor="text1"/>
          <w:spacing w:val="6"/>
          <w:sz w:val="30"/>
          <w:szCs w:val="30"/>
          <w:highlight w:val="none"/>
          <w14:textFill>
            <w14:solidFill>
              <w14:schemeClr w14:val="tx1"/>
            </w14:solidFill>
          </w14:textFill>
        </w:rPr>
      </w:pPr>
    </w:p>
    <w:p w14:paraId="0F9F8C5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000000" w:themeColor="text1"/>
          <w:sz w:val="24"/>
          <w:highlight w:val="none"/>
          <w:u w:val="single"/>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_单位的</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C04F9A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本单位对上述声明的真实性负责。如有虚假，将依法承担相应责任。</w:t>
      </w:r>
    </w:p>
    <w:p w14:paraId="062CE09E">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728BCE2">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B13CBFF">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电子盖章</w:t>
      </w:r>
      <w:r>
        <w:rPr>
          <w:rFonts w:hint="eastAsia" w:ascii="宋体" w:hAnsi="宋体" w:cs="宋体"/>
          <w:color w:val="000000" w:themeColor="text1"/>
          <w:kern w:val="0"/>
          <w:sz w:val="24"/>
          <w:highlight w:val="none"/>
          <w:lang w:val="zh-CN"/>
          <w14:textFill>
            <w14:solidFill>
              <w14:schemeClr w14:val="tx1"/>
            </w14:solidFill>
          </w14:textFill>
        </w:rPr>
        <w:t>）：</w:t>
      </w:r>
    </w:p>
    <w:p w14:paraId="65827656">
      <w:pPr>
        <w:tabs>
          <w:tab w:val="left" w:pos="4860"/>
        </w:tabs>
        <w:spacing w:line="360" w:lineRule="auto"/>
        <w:ind w:right="1560"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w:t>
      </w:r>
    </w:p>
    <w:p w14:paraId="293E9F6B">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6A07032D">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备注：享受政府采购支持政策的残疾人福利性单位应当同时满足以下条件：</w:t>
      </w:r>
    </w:p>
    <w:p w14:paraId="11867AEB">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（一）安置的残疾人占本单位在职职工人数的比例不低于25%（含25%），并且安置的残疾人人数不少于10人（含10人）；</w:t>
      </w:r>
    </w:p>
    <w:p w14:paraId="38F51D14">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（二）依法与安置的每位残疾人签订了一年以上（含一年）的劳动合同或服务协议；</w:t>
      </w:r>
    </w:p>
    <w:p w14:paraId="4FC8F118">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（三）为安置的每位残疾人按月足额缴纳了基本养老保险、基本医疗保险、失业保险、工伤保险和生育保险等社会保险费；</w:t>
      </w:r>
    </w:p>
    <w:p w14:paraId="7BE5FB08">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（四）通过银行等金融机构向安置的每位残疾人，按月支付了不低于单位所在区县适用的经省级人民政府批准的月最低工资标准的工资；</w:t>
      </w:r>
    </w:p>
    <w:p w14:paraId="2C1DD727">
      <w:pPr>
        <w:spacing w:line="360" w:lineRule="auto"/>
        <w:ind w:firstLine="360" w:firstLineChars="200"/>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0B5A67A0">
      <w:pPr>
        <w:spacing w:line="360" w:lineRule="auto"/>
        <w:ind w:firstLine="360" w:firstLineChars="200"/>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4D5B8CC">
      <w:pPr>
        <w:spacing w:line="360" w:lineRule="auto"/>
        <w:ind w:firstLine="420" w:firstLineChars="200"/>
        <w:rPr>
          <w:rFonts w:ascii="宋体" w:hAnsi="宋体" w:cs="宋体"/>
          <w:color w:val="000000" w:themeColor="text1"/>
          <w:highlight w:val="none"/>
          <w14:textFill>
            <w14:solidFill>
              <w14:schemeClr w14:val="tx1"/>
            </w14:solidFill>
          </w14:textFill>
        </w:rPr>
      </w:pPr>
    </w:p>
    <w:p w14:paraId="7C0B1B96">
      <w:pPr>
        <w:spacing w:line="360" w:lineRule="auto"/>
        <w:ind w:firstLine="420" w:firstLineChars="200"/>
        <w:rPr>
          <w:rFonts w:ascii="宋体" w:hAnsi="宋体" w:cs="宋体"/>
          <w:color w:val="000000" w:themeColor="text1"/>
          <w:highlight w:val="none"/>
          <w14:textFill>
            <w14:solidFill>
              <w14:schemeClr w14:val="tx1"/>
            </w14:solidFill>
          </w14:textFill>
        </w:rPr>
      </w:pPr>
    </w:p>
    <w:p w14:paraId="2FDF092B">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219268">
      <w:pPr>
        <w:autoSpaceDE w:val="0"/>
        <w:autoSpaceDN w:val="0"/>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w:t>
      </w:r>
      <w:r>
        <w:rPr>
          <w:rFonts w:hint="eastAsia" w:ascii="宋体" w:hAnsi="宋体" w:cs="宋体"/>
          <w:b/>
          <w:bCs/>
          <w:color w:val="000000" w:themeColor="text1"/>
          <w:sz w:val="32"/>
          <w:szCs w:val="32"/>
          <w:highlight w:val="none"/>
          <w14:textFill>
            <w14:solidFill>
              <w14:schemeClr w14:val="tx1"/>
            </w14:solidFill>
          </w14:textFill>
        </w:rPr>
        <w:t>业务专用章使用说明函</w:t>
      </w:r>
    </w:p>
    <w:p w14:paraId="2AFAF053">
      <w:pPr>
        <w:spacing w:line="360" w:lineRule="auto"/>
        <w:rPr>
          <w:rFonts w:ascii="宋体" w:hAnsi="宋体" w:cs="宋体"/>
          <w:color w:val="000000" w:themeColor="text1"/>
          <w:sz w:val="24"/>
          <w:highlight w:val="none"/>
          <w:u w:val="single"/>
          <w14:textFill>
            <w14:solidFill>
              <w14:schemeClr w14:val="tx1"/>
            </w14:solidFill>
          </w14:textFill>
        </w:rPr>
      </w:pPr>
    </w:p>
    <w:p w14:paraId="44D7AF8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（采购人）、（采购代理机构）：</w:t>
      </w:r>
    </w:p>
    <w:p w14:paraId="0800DAB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5FC2661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14:paraId="4E9056A6">
      <w:pPr>
        <w:spacing w:line="360" w:lineRule="auto"/>
        <w:ind w:firstLine="494"/>
        <w:rPr>
          <w:rFonts w:ascii="宋体" w:hAnsi="宋体" w:cs="宋体"/>
          <w:color w:val="000000" w:themeColor="text1"/>
          <w:sz w:val="24"/>
          <w:highlight w:val="none"/>
          <w14:textFill>
            <w14:solidFill>
              <w14:schemeClr w14:val="tx1"/>
            </w14:solidFill>
          </w14:textFill>
        </w:rPr>
      </w:pPr>
    </w:p>
    <w:p w14:paraId="7289B851">
      <w:pPr>
        <w:spacing w:line="360" w:lineRule="auto"/>
        <w:ind w:firstLine="494"/>
        <w:rPr>
          <w:rFonts w:ascii="宋体" w:hAnsi="宋体" w:cs="宋体"/>
          <w:color w:val="000000" w:themeColor="text1"/>
          <w:sz w:val="24"/>
          <w:highlight w:val="none"/>
          <w14:textFill>
            <w14:solidFill>
              <w14:schemeClr w14:val="tx1"/>
            </w14:solidFill>
          </w14:textFill>
        </w:rPr>
      </w:pPr>
    </w:p>
    <w:p w14:paraId="38906120">
      <w:pPr>
        <w:spacing w:line="360" w:lineRule="auto"/>
        <w:ind w:firstLine="494"/>
        <w:rPr>
          <w:rFonts w:ascii="宋体" w:hAnsi="宋体" w:cs="宋体"/>
          <w:color w:val="000000" w:themeColor="text1"/>
          <w:sz w:val="24"/>
          <w:highlight w:val="none"/>
          <w14:textFill>
            <w14:solidFill>
              <w14:schemeClr w14:val="tx1"/>
            </w14:solidFill>
          </w14:textFill>
        </w:rPr>
      </w:pPr>
    </w:p>
    <w:p w14:paraId="57F123C5">
      <w:pPr>
        <w:spacing w:line="360" w:lineRule="auto"/>
        <w:ind w:right="480" w:firstLine="4080" w:firstLineChars="17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投标单位（电子签章）：</w:t>
      </w:r>
    </w:p>
    <w:p w14:paraId="4F776560">
      <w:pPr>
        <w:ind w:right="1440" w:firstLine="494"/>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1C222B3A">
      <w:pP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w:t>
      </w:r>
    </w:p>
    <w:p w14:paraId="43FE8AEC">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45B8C2B9">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ILD+2LwIAAH8EAAAOAAAAAAAAAAEAIAAAACcBAABkcnMvZTJvRG9jLnht&#10;bFBLBQYAAAAABgAGAFkBAADIBQAAAAA=&#10;">
                <v:fill on="t" focussize="0,0"/>
                <v:stroke color="#000000" miterlimit="2" joinstyle="miter"/>
                <v:imagedata o:title=""/>
                <o:lock v:ext="edit" aspectratio="f"/>
                <v:textbox>
                  <w:txbxContent>
                    <w:p w14:paraId="45B8C2B9">
                      <w:pPr>
                        <w:jc w:val="center"/>
                      </w:pPr>
                    </w:p>
                  </w:txbxContent>
                </v:textbox>
              </v:rect>
            </w:pict>
          </mc:Fallback>
        </mc:AlternateContent>
      </w:r>
      <w:r>
        <w:rPr>
          <w:rFonts w:hint="eastAsia" w:ascii="宋体" w:hAnsi="宋体"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58A01B9D">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58A01B9D">
                      <w:pPr>
                        <w:jc w:val="center"/>
                      </w:pPr>
                    </w:p>
                  </w:txbxContent>
                </v:textbox>
              </v:rect>
            </w:pict>
          </mc:Fallback>
        </mc:AlternateContent>
      </w:r>
      <w:r>
        <w:rPr>
          <w:rFonts w:hint="eastAsia" w:ascii="宋体" w:hAnsi="宋体" w:cs="宋体"/>
          <w:color w:val="000000" w:themeColor="text1"/>
          <w:sz w:val="24"/>
          <w:highlight w:val="none"/>
          <w14:textFill>
            <w14:solidFill>
              <w14:schemeClr w14:val="tx1"/>
            </w14:solidFill>
          </w14:textFill>
        </w:rPr>
        <w:t>投标单位法定名称章（印模）                投标单位“XX专用章”（印模）</w:t>
      </w:r>
    </w:p>
    <w:p w14:paraId="5ABEE18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90120E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0C15F93">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519A68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004D22D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AA838C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870AFD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4D654E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71DE9A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62FBB7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AF1F6EE">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F91B8CE">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B04C7D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42780B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699495D">
      <w:pPr>
        <w:autoSpaceDE w:val="0"/>
        <w:autoSpaceDN w:val="0"/>
        <w:jc w:val="both"/>
        <w:rPr>
          <w:rFonts w:ascii="宋体" w:hAnsi="宋体" w:cs="宋体"/>
          <w:b/>
          <w:color w:val="000000" w:themeColor="text1"/>
          <w:spacing w:val="6"/>
          <w:sz w:val="32"/>
          <w:szCs w:val="32"/>
          <w:highlight w:val="none"/>
          <w14:textFill>
            <w14:solidFill>
              <w14:schemeClr w14:val="tx1"/>
            </w14:solidFill>
          </w14:textFill>
        </w:rPr>
      </w:pPr>
    </w:p>
    <w:p w14:paraId="6C030510">
      <w:pPr>
        <w:rPr>
          <w:b/>
          <w:bCs/>
          <w:color w:val="000000" w:themeColor="text1"/>
          <w:sz w:val="32"/>
          <w:szCs w:val="32"/>
          <w:highlight w:val="none"/>
          <w14:textFill>
            <w14:solidFill>
              <w14:schemeClr w14:val="tx1"/>
            </w14:solidFill>
          </w14:textFill>
        </w:rPr>
      </w:pPr>
      <w:bookmarkStart w:id="480" w:name="_Toc27865"/>
      <w:r>
        <w:rPr>
          <w:rFonts w:hint="eastAsia"/>
          <w:b/>
          <w:bCs/>
          <w:color w:val="000000" w:themeColor="text1"/>
          <w:sz w:val="32"/>
          <w:szCs w:val="32"/>
          <w:highlight w:val="none"/>
          <w14:textFill>
            <w14:solidFill>
              <w14:schemeClr w14:val="tx1"/>
            </w14:solidFill>
          </w14:textFill>
        </w:rPr>
        <w:br w:type="page"/>
      </w:r>
    </w:p>
    <w:p w14:paraId="576020DF">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附件3：联合协议</w:t>
      </w:r>
      <w:bookmarkEnd w:id="480"/>
      <w:r>
        <w:rPr>
          <w:rFonts w:hint="eastAsia"/>
          <w:b/>
          <w:bCs/>
          <w:color w:val="000000" w:themeColor="text1"/>
          <w:sz w:val="32"/>
          <w:szCs w:val="32"/>
          <w:highlight w:val="none"/>
          <w14:textFill>
            <w14:solidFill>
              <w14:schemeClr w14:val="tx1"/>
            </w14:solidFill>
          </w14:textFill>
        </w:rPr>
        <w:t>（如适用）</w:t>
      </w:r>
    </w:p>
    <w:p w14:paraId="324160B2">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1290D35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14:paraId="014407B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14:paraId="79AA361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响应</w:t>
      </w:r>
      <w:r>
        <w:rPr>
          <w:rFonts w:hint="eastAsia" w:ascii="宋体" w:hAnsi="宋体" w:cs="宋体"/>
          <w:color w:val="000000" w:themeColor="text1"/>
          <w:kern w:val="0"/>
          <w:sz w:val="24"/>
          <w:highlight w:val="none"/>
          <w:lang w:val="zh-CN"/>
          <w14:textFill>
            <w14:solidFill>
              <w14:schemeClr w14:val="tx1"/>
            </w14:solidFill>
          </w14:textFill>
        </w:rPr>
        <w:t>等均对联合投标各方产生约束力。</w:t>
      </w:r>
    </w:p>
    <w:p w14:paraId="1BC47AA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三、本次联合投标中，分工如下：</w:t>
      </w:r>
    </w:p>
    <w:p w14:paraId="5DEA13B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bookmarkStart w:id="481" w:name="_Hlk101134295"/>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710B4EAE">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5AA37CAC">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bookmarkEnd w:id="481"/>
    <w:p w14:paraId="083DCE55">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p>
    <w:p w14:paraId="6A3923FF">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X,</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提供的全部</w:t>
      </w:r>
      <w:r>
        <w:rPr>
          <w:rFonts w:hint="eastAsia" w:ascii="宋体" w:hAnsi="宋体" w:cs="宋体"/>
          <w:color w:val="000000" w:themeColor="text1"/>
          <w:kern w:val="0"/>
          <w:sz w:val="24"/>
          <w:highlight w:val="none"/>
          <w:lang w:val="en-US" w:eastAsia="zh-CN"/>
          <w14:textFill>
            <w14:solidFill>
              <w14:schemeClr w14:val="tx1"/>
            </w14:solidFill>
          </w14:textFill>
        </w:rPr>
        <w:t>服务</w:t>
      </w:r>
      <w:r>
        <w:rPr>
          <w:rFonts w:hint="eastAsia" w:ascii="宋体" w:hAnsi="宋体" w:cs="宋体"/>
          <w:color w:val="000000" w:themeColor="text1"/>
          <w:kern w:val="0"/>
          <w:sz w:val="24"/>
          <w:highlight w:val="none"/>
          <w14:textFill>
            <w14:solidFill>
              <w14:schemeClr w14:val="tx1"/>
            </w14:solidFill>
          </w14:textFill>
        </w:rPr>
        <w:t>由小微企业</w:t>
      </w:r>
      <w:r>
        <w:rPr>
          <w:rFonts w:hint="eastAsia" w:ascii="宋体" w:hAnsi="宋体" w:cs="宋体"/>
          <w:color w:val="000000" w:themeColor="text1"/>
          <w:kern w:val="0"/>
          <w:sz w:val="24"/>
          <w:highlight w:val="none"/>
          <w:lang w:val="en-US" w:eastAsia="zh-CN"/>
          <w14:textFill>
            <w14:solidFill>
              <w14:schemeClr w14:val="tx1"/>
            </w14:solidFill>
          </w14:textFill>
        </w:rPr>
        <w:t>提供</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484EC20D">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14:paraId="586AAA3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5D3EEAB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14:paraId="34DB3F0F">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731F2A60">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03569841">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3F1E0CEE">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w:t>
      </w:r>
      <w:r>
        <w:rPr>
          <w:rFonts w:hint="eastAsia" w:ascii="宋体" w:hAnsi="宋体" w:cs="宋体"/>
          <w:color w:val="000000" w:themeColor="text1"/>
          <w:kern w:val="0"/>
          <w:sz w:val="24"/>
          <w:highlight w:val="none"/>
          <w:lang w:val="en-US" w:eastAsia="zh-CN"/>
          <w14:textFill>
            <w14:solidFill>
              <w14:schemeClr w14:val="tx1"/>
            </w14:solidFill>
          </w14:textFill>
        </w:rPr>
        <w:t>电子签章/公章）</w:t>
      </w:r>
      <w:r>
        <w:rPr>
          <w:rFonts w:hint="eastAsia" w:ascii="宋体" w:hAnsi="宋体" w:cs="宋体"/>
          <w:color w:val="000000" w:themeColor="text1"/>
          <w:kern w:val="0"/>
          <w:sz w:val="24"/>
          <w:highlight w:val="none"/>
          <w:lang w:val="zh-CN"/>
          <w14:textFill>
            <w14:solidFill>
              <w14:schemeClr w14:val="tx1"/>
            </w14:solidFill>
          </w14:textFill>
        </w:rPr>
        <w:t>：</w:t>
      </w:r>
    </w:p>
    <w:p w14:paraId="228E75BB">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w:t>
      </w:r>
      <w:r>
        <w:rPr>
          <w:rFonts w:hint="eastAsia" w:ascii="宋体" w:hAnsi="宋体" w:cs="宋体"/>
          <w:color w:val="000000" w:themeColor="text1"/>
          <w:kern w:val="0"/>
          <w:sz w:val="24"/>
          <w:highlight w:val="none"/>
          <w:lang w:val="en-US" w:eastAsia="zh-CN"/>
          <w14:textFill>
            <w14:solidFill>
              <w14:schemeClr w14:val="tx1"/>
            </w14:solidFill>
          </w14:textFill>
        </w:rPr>
        <w:t>电子签章/公章）</w:t>
      </w:r>
      <w:r>
        <w:rPr>
          <w:rFonts w:hint="eastAsia" w:ascii="宋体" w:hAnsi="宋体" w:cs="宋体"/>
          <w:color w:val="000000" w:themeColor="text1"/>
          <w:kern w:val="0"/>
          <w:sz w:val="24"/>
          <w:highlight w:val="none"/>
          <w:lang w:val="zh-CN"/>
          <w14:textFill>
            <w14:solidFill>
              <w14:schemeClr w14:val="tx1"/>
            </w14:solidFill>
          </w14:textFill>
        </w:rPr>
        <w:t>：</w:t>
      </w:r>
    </w:p>
    <w:p w14:paraId="5206CFDA">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5A3B659F">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428E375E">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40E9D18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34405A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1EFC39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EDE48C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B96BCC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6A1F961">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FD2910C">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084CF7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A7278D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B1156CA">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997BEF9">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4DE67C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F9B6FA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38D228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00B22F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AB50026">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95B5BE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954BFB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24AAEB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D104F8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8BEA1E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50443F2">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E10A57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2B853EF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0F2A238">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49E5B57F">
      <w:pPr>
        <w:rPr>
          <w:rFonts w:ascii="宋体" w:hAnsi="宋体" w:cs="宋体"/>
          <w:b/>
          <w:color w:val="000000" w:themeColor="text1"/>
          <w:spacing w:val="6"/>
          <w:sz w:val="32"/>
          <w:szCs w:val="32"/>
          <w:highlight w:val="none"/>
          <w14:textFill>
            <w14:solidFill>
              <w14:schemeClr w14:val="tx1"/>
            </w14:solidFill>
          </w14:textFill>
        </w:rPr>
      </w:pPr>
      <w:r>
        <w:rPr>
          <w:rFonts w:ascii="宋体" w:hAnsi="宋体" w:cs="宋体"/>
          <w:b/>
          <w:color w:val="000000" w:themeColor="text1"/>
          <w:spacing w:val="6"/>
          <w:sz w:val="32"/>
          <w:szCs w:val="32"/>
          <w:highlight w:val="none"/>
          <w14:textFill>
            <w14:solidFill>
              <w14:schemeClr w14:val="tx1"/>
            </w14:solidFill>
          </w14:textFill>
        </w:rPr>
        <w:br w:type="page"/>
      </w:r>
    </w:p>
    <w:p w14:paraId="04F5998E">
      <w:pPr>
        <w:jc w:val="center"/>
        <w:rPr>
          <w:b/>
          <w:bCs/>
          <w:color w:val="000000" w:themeColor="text1"/>
          <w:sz w:val="32"/>
          <w:szCs w:val="32"/>
          <w:highlight w:val="none"/>
          <w14:textFill>
            <w14:solidFill>
              <w14:schemeClr w14:val="tx1"/>
            </w14:solidFill>
          </w14:textFill>
        </w:rPr>
      </w:pPr>
      <w:bookmarkStart w:id="482" w:name="_Toc22286"/>
      <w:r>
        <w:rPr>
          <w:rFonts w:hint="eastAsia"/>
          <w:b/>
          <w:bCs/>
          <w:color w:val="000000" w:themeColor="text1"/>
          <w:sz w:val="32"/>
          <w:szCs w:val="32"/>
          <w:highlight w:val="none"/>
          <w14:textFill>
            <w14:solidFill>
              <w14:schemeClr w14:val="tx1"/>
            </w14:solidFill>
          </w14:textFill>
        </w:rPr>
        <w:t>附件4：分包意向协议</w:t>
      </w:r>
      <w:bookmarkEnd w:id="482"/>
      <w:r>
        <w:rPr>
          <w:rFonts w:hint="eastAsia"/>
          <w:b/>
          <w:bCs/>
          <w:color w:val="000000" w:themeColor="text1"/>
          <w:sz w:val="32"/>
          <w:szCs w:val="32"/>
          <w:highlight w:val="none"/>
          <w14:textFill>
            <w14:solidFill>
              <w14:schemeClr w14:val="tx1"/>
            </w14:solidFill>
          </w14:textFill>
        </w:rPr>
        <w:t>（如适用）</w:t>
      </w:r>
    </w:p>
    <w:p w14:paraId="65631FC9">
      <w:pPr>
        <w:widowControl/>
        <w:spacing w:line="360" w:lineRule="auto"/>
        <w:ind w:firstLine="120" w:firstLineChars="50"/>
        <w:jc w:val="left"/>
        <w:rPr>
          <w:rFonts w:ascii="宋体" w:hAnsi="宋体" w:cs="宋体"/>
          <w:b/>
          <w:bCs/>
          <w:color w:val="000000" w:themeColor="text1"/>
          <w:sz w:val="24"/>
          <w:highlight w:val="none"/>
          <w14:textFill>
            <w14:solidFill>
              <w14:schemeClr w14:val="tx1"/>
            </w14:solidFill>
          </w14:textFill>
        </w:rPr>
      </w:pPr>
      <w:bookmarkStart w:id="483" w:name="_Toc3460"/>
      <w:r>
        <w:rPr>
          <w:rFonts w:hint="eastAsia" w:ascii="宋体" w:hAnsi="宋体" w:cs="宋体"/>
          <w:b/>
          <w:bCs/>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p>
    <w:p w14:paraId="3CD2C41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713BCDA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一、分包标的及数量</w:t>
      </w:r>
    </w:p>
    <w:p w14:paraId="4A02F88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lang w:val="zh-CN"/>
          <w14:textFill>
            <w14:solidFill>
              <w14:schemeClr w14:val="tx1"/>
            </w14:solidFill>
          </w14:textFill>
        </w:rPr>
        <w:t>具备承</w:t>
      </w:r>
      <w:r>
        <w:rPr>
          <w:rFonts w:hint="eastAsia" w:ascii="宋体" w:hAnsi="宋体" w:cs="宋体"/>
          <w:color w:val="000000" w:themeColor="text1"/>
          <w:kern w:val="0"/>
          <w:sz w:val="24"/>
          <w:highlight w:val="none"/>
          <w14:textFill>
            <w14:solidFill>
              <w14:schemeClr w14:val="tx1"/>
            </w14:solidFill>
          </w14:textFill>
        </w:rPr>
        <w:t>担</w:t>
      </w:r>
      <w:r>
        <w:rPr>
          <w:rFonts w:hint="eastAsia" w:ascii="宋体" w:hAnsi="宋体" w:cs="宋体"/>
          <w:color w:val="000000" w:themeColor="text1"/>
          <w:kern w:val="0"/>
          <w:sz w:val="24"/>
          <w:highlight w:val="none"/>
          <w:u w:val="single"/>
          <w:lang w:val="zh-CN"/>
          <w14:textFill>
            <w14:solidFill>
              <w14:schemeClr w14:val="tx1"/>
            </w14:solidFill>
          </w14:textFill>
        </w:rPr>
        <w:t>XX工作内容</w:t>
      </w:r>
      <w:r>
        <w:rPr>
          <w:rFonts w:hint="eastAsia" w:ascii="宋体" w:hAnsi="宋体" w:cs="宋体"/>
          <w:color w:val="000000" w:themeColor="text1"/>
          <w:kern w:val="0"/>
          <w:sz w:val="24"/>
          <w:highlight w:val="none"/>
          <w:lang w:val="zh-CN"/>
          <w14:textFill>
            <w14:solidFill>
              <w14:schemeClr w14:val="tx1"/>
            </w14:solidFill>
          </w14:textFill>
        </w:rPr>
        <w:t>相应资质条件且不得再次分包；</w:t>
      </w:r>
    </w:p>
    <w:p w14:paraId="6F020A41">
      <w:pPr>
        <w:pStyle w:val="3"/>
        <w:ind w:left="664" w:leftChars="316" w:firstLine="229" w:firstLineChars="95"/>
        <w:rPr>
          <w:rFonts w:ascii="宋体" w:hAnsi="宋体" w:eastAsia="宋体" w:cs="宋体"/>
          <w:color w:val="000000" w:themeColor="text1"/>
          <w:kern w:val="0"/>
          <w:sz w:val="24"/>
          <w:szCs w:val="24"/>
          <w:highlight w:val="none"/>
          <w14:textFill>
            <w14:solidFill>
              <w14:schemeClr w14:val="tx1"/>
            </w14:solidFill>
          </w14:textFill>
        </w:rPr>
      </w:pPr>
      <w:bookmarkStart w:id="484" w:name="_Toc17735"/>
      <w:r>
        <w:rPr>
          <w:rFonts w:hint="eastAsia" w:ascii="宋体" w:hAnsi="宋体" w:eastAsia="宋体" w:cs="宋体"/>
          <w:color w:val="000000" w:themeColor="text1"/>
          <w:kern w:val="0"/>
          <w:sz w:val="24"/>
          <w:szCs w:val="24"/>
          <w:highlight w:val="none"/>
          <w14:textFill>
            <w14:solidFill>
              <w14:schemeClr w14:val="tx1"/>
            </w14:solidFill>
          </w14:textFill>
        </w:rPr>
        <w:t>……</w:t>
      </w:r>
      <w:bookmarkEnd w:id="484"/>
    </w:p>
    <w:p w14:paraId="59B3A18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p>
    <w:p w14:paraId="1AFF16E8">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w:t>
      </w:r>
      <w:r>
        <w:rPr>
          <w:rFonts w:hint="eastAsia" w:ascii="宋体" w:hAnsi="宋体" w:cs="宋体"/>
          <w:color w:val="000000" w:themeColor="text1"/>
          <w:kern w:val="0"/>
          <w:sz w:val="24"/>
          <w:highlight w:val="none"/>
          <w:u w:val="single"/>
          <w:lang w:val="en-US" w:eastAsia="zh-CN"/>
          <w14:textFill>
            <w14:solidFill>
              <w14:schemeClr w14:val="tx1"/>
            </w14:solidFill>
          </w14:textFill>
        </w:rPr>
        <w:t>服务</w:t>
      </w:r>
      <w:r>
        <w:rPr>
          <w:rFonts w:hint="eastAsia" w:ascii="宋体" w:hAnsi="宋体" w:cs="宋体"/>
          <w:color w:val="000000" w:themeColor="text1"/>
          <w:kern w:val="0"/>
          <w:sz w:val="24"/>
          <w:highlight w:val="none"/>
          <w:u w:val="single"/>
          <w14:textFill>
            <w14:solidFill>
              <w14:schemeClr w14:val="tx1"/>
            </w14:solidFill>
          </w14:textFill>
        </w:rPr>
        <w:t>全部由小微企业</w:t>
      </w:r>
      <w:r>
        <w:rPr>
          <w:rFonts w:hint="eastAsia" w:ascii="宋体" w:hAnsi="宋体" w:cs="宋体"/>
          <w:color w:val="000000" w:themeColor="text1"/>
          <w:kern w:val="0"/>
          <w:sz w:val="24"/>
          <w:highlight w:val="none"/>
          <w:u w:val="single"/>
          <w:lang w:val="en-US" w:eastAsia="zh-CN"/>
          <w14:textFill>
            <w14:solidFill>
              <w14:schemeClr w14:val="tx1"/>
            </w14:solidFill>
          </w14:textFill>
        </w:rPr>
        <w:t>提供</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08543F1B">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bookmarkStart w:id="485" w:name="_Hlk101133173"/>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485"/>
    </w:p>
    <w:p w14:paraId="522EE74C">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14:paraId="49CC596A">
      <w:pPr>
        <w:snapToGrid w:val="0"/>
        <w:spacing w:line="24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2766DC6B">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14:paraId="081B6C54">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1BA94838">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14:paraId="08773A20">
      <w:pPr>
        <w:snapToGrid w:val="0"/>
        <w:spacing w:line="24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36FC835">
      <w:pPr>
        <w:snapToGrid w:val="0"/>
        <w:spacing w:line="24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14:paraId="15EC2DAE">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4123DA6">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14:paraId="533223A7">
      <w:pPr>
        <w:snapToGrid w:val="0"/>
        <w:spacing w:line="24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084D478C">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投标人名称(</w:t>
      </w:r>
      <w:r>
        <w:rPr>
          <w:rFonts w:hint="eastAsia" w:ascii="宋体" w:hAnsi="宋体" w:cs="宋体"/>
          <w:color w:val="000000" w:themeColor="text1"/>
          <w:kern w:val="0"/>
          <w:sz w:val="24"/>
          <w:highlight w:val="none"/>
          <w:lang w:val="en-US" w:eastAsia="zh-CN"/>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p>
    <w:p w14:paraId="5CA6A26C">
      <w:pPr>
        <w:snapToGrid w:val="0"/>
        <w:spacing w:line="360" w:lineRule="auto"/>
        <w:ind w:left="5746" w:leftChars="2736" w:firstLine="0" w:firstLineChars="0"/>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w:t>
      </w:r>
      <w:r>
        <w:rPr>
          <w:rFonts w:hint="eastAsia" w:ascii="宋体" w:hAnsi="宋体" w:cs="宋体"/>
          <w:color w:val="000000" w:themeColor="text1"/>
          <w:kern w:val="0"/>
          <w:sz w:val="24"/>
          <w:highlight w:val="none"/>
          <w:lang w:val="en-US" w:eastAsia="zh-CN"/>
          <w14:textFill>
            <w14:solidFill>
              <w14:schemeClr w14:val="tx1"/>
            </w14:solidFill>
          </w14:textFill>
        </w:rPr>
        <w:t>电子签章</w:t>
      </w:r>
      <w:r>
        <w:rPr>
          <w:rFonts w:hint="eastAsia" w:ascii="宋体" w:hAnsi="宋体" w:cs="宋体"/>
          <w:color w:val="000000" w:themeColor="text1"/>
          <w:kern w:val="0"/>
          <w:sz w:val="24"/>
          <w:highlight w:val="none"/>
          <w:lang w:val="zh-CN"/>
          <w14:textFill>
            <w14:solidFill>
              <w14:schemeClr w14:val="tx1"/>
            </w14:solidFill>
          </w14:textFill>
        </w:rPr>
        <w:t>)：</w:t>
      </w:r>
    </w:p>
    <w:p w14:paraId="708F2197">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5BAFEA59">
      <w:pPr>
        <w:spacing w:line="360" w:lineRule="auto"/>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2D9F30BF">
      <w:pPr>
        <w:spacing w:line="360" w:lineRule="auto"/>
        <w:ind w:right="420"/>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5DDC5442">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附件5：中小企业声明函</w:t>
      </w:r>
      <w:bookmarkEnd w:id="483"/>
    </w:p>
    <w:p w14:paraId="5BB8879C">
      <w:pPr>
        <w:spacing w:line="360" w:lineRule="auto"/>
        <w:jc w:val="center"/>
        <w:rPr>
          <w:rFonts w:ascii="宋体" w:hAnsi="宋体" w:cs="宋体"/>
          <w:color w:val="000000" w:themeColor="text1"/>
          <w:sz w:val="24"/>
          <w:highlight w:val="none"/>
          <w:u w:val="single"/>
          <w14:textFill>
            <w14:solidFill>
              <w14:schemeClr w14:val="tx1"/>
            </w14:solidFill>
          </w14:textFill>
        </w:rPr>
      </w:pPr>
    </w:p>
    <w:p w14:paraId="1C3BEF58">
      <w:pPr>
        <w:jc w:val="center"/>
        <w:rPr>
          <w:rFonts w:ascii="宋体" w:cs="宋体"/>
          <w:b/>
          <w:color w:val="000000" w:themeColor="text1"/>
          <w:kern w:val="0"/>
          <w:sz w:val="32"/>
          <w:szCs w:val="32"/>
          <w:highlight w:val="none"/>
          <w14:textFill>
            <w14:solidFill>
              <w14:schemeClr w14:val="tx1"/>
            </w14:solidFill>
          </w14:textFill>
        </w:rPr>
      </w:pPr>
      <w:r>
        <w:rPr>
          <w:rFonts w:hint="eastAsia" w:ascii="宋体" w:cs="宋体"/>
          <w:b/>
          <w:color w:val="000000" w:themeColor="text1"/>
          <w:kern w:val="0"/>
          <w:sz w:val="32"/>
          <w:szCs w:val="32"/>
          <w:highlight w:val="none"/>
          <w14:textFill>
            <w14:solidFill>
              <w14:schemeClr w14:val="tx1"/>
            </w14:solidFill>
          </w14:textFill>
        </w:rPr>
        <w:t>中小企业声明函（服务）</w:t>
      </w:r>
    </w:p>
    <w:p w14:paraId="27D6E10D">
      <w:pPr>
        <w:jc w:val="center"/>
        <w:rPr>
          <w:rFonts w:ascii="宋体" w:cs="宋体"/>
          <w:b/>
          <w:color w:val="000000" w:themeColor="text1"/>
          <w:kern w:val="0"/>
          <w:sz w:val="28"/>
          <w:szCs w:val="28"/>
          <w:highlight w:val="none"/>
          <w14:textFill>
            <w14:solidFill>
              <w14:schemeClr w14:val="tx1"/>
            </w14:solidFill>
          </w14:textFill>
        </w:rPr>
      </w:pPr>
    </w:p>
    <w:p w14:paraId="3A888E0B">
      <w:pPr>
        <w:snapToGrid w:val="0"/>
        <w:spacing w:line="360" w:lineRule="auto"/>
        <w:ind w:firstLine="720" w:firstLineChars="3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lang w:eastAsia="zh-CN"/>
          <w14:textFill>
            <w14:solidFill>
              <w14:schemeClr w14:val="tx1"/>
            </w14:solidFill>
          </w14:textFill>
        </w:rPr>
        <w:t>宁波市北仑区人民医院成本核算管理系统采购项目（</w:t>
      </w:r>
      <w:r>
        <w:rPr>
          <w:rFonts w:hint="eastAsia" w:ascii="宋体" w:hAnsi="宋体" w:cs="宋体"/>
          <w:color w:val="000000" w:themeColor="text1"/>
          <w:sz w:val="24"/>
          <w:highlight w:val="none"/>
          <w:u w:val="single"/>
          <w:lang w:val="en-US" w:eastAsia="zh-CN"/>
          <w14:textFill>
            <w14:solidFill>
              <w14:schemeClr w14:val="tx1"/>
            </w14:solidFill>
          </w14:textFill>
        </w:rPr>
        <w:t>项目编号：CBNB-20261133-BL019G</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7F8C5497">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u w:val="single"/>
          <w:lang w:eastAsia="zh-CN"/>
          <w14:textFill>
            <w14:solidFill>
              <w14:schemeClr w14:val="tx1"/>
            </w14:solidFill>
          </w14:textFill>
        </w:rPr>
        <w:t>成本核算管理系统</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none"/>
          <w14:textFill>
            <w14:solidFill>
              <w14:schemeClr w14:val="tx1"/>
            </w14:solidFill>
          </w14:textFill>
        </w:rPr>
        <w:t>属于</w:t>
      </w:r>
      <w:r>
        <w:rPr>
          <w:rFonts w:hint="eastAsia" w:ascii="宋体" w:hAnsi="宋体" w:cs="宋体"/>
          <w:color w:val="000000" w:themeColor="text1"/>
          <w:sz w:val="24"/>
          <w:highlight w:val="none"/>
          <w:u w:val="single"/>
          <w:lang w:val="en-US" w:eastAsia="zh-CN"/>
          <w14:textFill>
            <w14:solidFill>
              <w14:schemeClr w14:val="tx1"/>
            </w14:solidFill>
          </w14:textFill>
        </w:rPr>
        <w:t>软件和信息技术服务业</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承接企业为</w:t>
      </w:r>
      <w:r>
        <w:rPr>
          <w:rFonts w:hint="eastAsia" w:ascii="宋体" w:hAnsi="宋体" w:cs="宋体"/>
          <w:bCs/>
          <w:color w:val="000000" w:themeColor="text1"/>
          <w:sz w:val="24"/>
          <w:highlight w:val="none"/>
          <w:u w:val="single"/>
          <w14:textFill>
            <w14:solidFill>
              <w14:schemeClr w14:val="tx1"/>
            </w14:solidFill>
          </w14:textFill>
        </w:rPr>
        <w:t xml:space="preserve">（企业名称）            </w:t>
      </w:r>
      <w:r>
        <w:rPr>
          <w:rFonts w:hint="eastAsia" w:ascii="宋体" w:hAnsi="宋体" w:cs="宋体"/>
          <w:bCs/>
          <w:color w:val="000000" w:themeColor="text1"/>
          <w:sz w:val="24"/>
          <w:highlight w:val="none"/>
          <w14:textFill>
            <w14:solidFill>
              <w14:schemeClr w14:val="tx1"/>
            </w14:solidFill>
          </w14:textFill>
        </w:rPr>
        <w:t>，从业人员</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人，营业收入为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万元，资产总额为</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万元，属于</w:t>
      </w:r>
      <w:r>
        <w:rPr>
          <w:rFonts w:hint="eastAsia" w:ascii="宋体" w:hAnsi="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中型企业</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小型企业</w:t>
      </w: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微型企业</w:t>
      </w:r>
      <w:r>
        <w:rPr>
          <w:rFonts w:hint="eastAsia" w:ascii="宋体" w:hAnsi="宋体" w:cs="宋体"/>
          <w:bCs/>
          <w:color w:val="000000" w:themeColor="text1"/>
          <w:sz w:val="24"/>
          <w:highlight w:val="none"/>
          <w14:textFill>
            <w14:solidFill>
              <w14:schemeClr w14:val="tx1"/>
            </w14:solidFill>
          </w14:textFill>
        </w:rPr>
        <w:t>）；</w:t>
      </w:r>
    </w:p>
    <w:p w14:paraId="25E4573C">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1343177">
      <w:pPr>
        <w:snapToGrid w:val="0"/>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本企业对上述声明内容的真实性负责。如有虚假，将依法承担相应责任。</w:t>
      </w:r>
    </w:p>
    <w:p w14:paraId="5FAB2A48">
      <w:pPr>
        <w:snapToGrid w:val="0"/>
        <w:spacing w:line="360" w:lineRule="auto"/>
        <w:ind w:firstLine="720" w:firstLineChars="3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6E41F548">
      <w:pPr>
        <w:snapToGrid w:val="0"/>
        <w:spacing w:line="360" w:lineRule="auto"/>
        <w:ind w:firstLine="3600" w:firstLineChars="15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企业名称（盖章）：</w:t>
      </w:r>
    </w:p>
    <w:p w14:paraId="22B73E41">
      <w:pPr>
        <w:snapToGrid w:val="0"/>
        <w:spacing w:line="360" w:lineRule="auto"/>
        <w:ind w:firstLine="720" w:firstLineChars="3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日期：</w:t>
      </w:r>
    </w:p>
    <w:p w14:paraId="44AECA12">
      <w:pPr>
        <w:spacing w:line="500" w:lineRule="exact"/>
        <w:rPr>
          <w:rFonts w:ascii="仿宋" w:hAnsi="仿宋" w:eastAsia="仿宋"/>
          <w:color w:val="000000" w:themeColor="text1"/>
          <w:sz w:val="32"/>
          <w:szCs w:val="32"/>
          <w:highlight w:val="none"/>
          <w:u w:val="single"/>
          <w14:textFill>
            <w14:solidFill>
              <w14:schemeClr w14:val="tx1"/>
            </w14:solidFill>
          </w14:textFill>
        </w:rPr>
      </w:pPr>
    </w:p>
    <w:p w14:paraId="7F044114">
      <w:pPr>
        <w:spacing w:line="500" w:lineRule="exact"/>
        <w:rPr>
          <w:rFonts w:ascii="仿宋" w:hAnsi="仿宋" w:eastAsia="仿宋"/>
          <w:color w:val="000000" w:themeColor="text1"/>
          <w:sz w:val="32"/>
          <w:szCs w:val="32"/>
          <w:highlight w:val="none"/>
          <w:u w:val="single"/>
          <w14:textFill>
            <w14:solidFill>
              <w14:schemeClr w14:val="tx1"/>
            </w14:solidFill>
          </w14:textFill>
        </w:rPr>
      </w:pPr>
    </w:p>
    <w:p w14:paraId="2A6625B6">
      <w:pPr>
        <w:snapToGrid w:val="0"/>
        <w:spacing w:line="360" w:lineRule="auto"/>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1.从业人员、营业收入、资产总额填报上一年度数据，无上一年度数据的新成立企业可不填报。</w:t>
      </w:r>
    </w:p>
    <w:p w14:paraId="5E13C6F2">
      <w:pPr>
        <w:snapToGrid w:val="0"/>
        <w:spacing w:line="360" w:lineRule="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2.</w:t>
      </w:r>
      <w:r>
        <w:rPr>
          <w:rFonts w:hint="eastAsia" w:ascii="宋体" w:hAnsi="宋体" w:cs="宋体"/>
          <w:b/>
          <w:bCs w:val="0"/>
          <w:color w:val="000000" w:themeColor="text1"/>
          <w:szCs w:val="21"/>
          <w:highlight w:val="none"/>
          <w:lang w:val="en-US" w:eastAsia="zh-CN"/>
          <w14:textFill>
            <w14:solidFill>
              <w14:schemeClr w14:val="tx1"/>
            </w14:solidFill>
          </w14:textFill>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bCs w:val="0"/>
          <w:color w:val="000000" w:themeColor="text1"/>
          <w:szCs w:val="21"/>
          <w:highlight w:val="none"/>
          <w:lang w:val="en-US"/>
          <w14:textFill>
            <w14:solidFill>
              <w14:schemeClr w14:val="tx1"/>
            </w14:solidFill>
          </w14:textFill>
        </w:rPr>
        <w:t xml:space="preserve"> </w:t>
      </w:r>
    </w:p>
    <w:p w14:paraId="20522F67">
      <w:pPr>
        <w:snapToGrid w:val="0"/>
        <w:spacing w:line="360" w:lineRule="auto"/>
        <w:rPr>
          <w:rFonts w:hint="eastAsia" w:ascii="宋体" w:hAnsi="宋体" w:cs="宋体"/>
          <w:bCs/>
          <w:color w:val="000000" w:themeColor="text1"/>
          <w:szCs w:val="21"/>
          <w:highlight w:val="none"/>
          <w14:textFill>
            <w14:solidFill>
              <w14:schemeClr w14:val="tx1"/>
            </w14:solidFill>
          </w14:textFill>
        </w:rPr>
      </w:pPr>
    </w:p>
    <w:p w14:paraId="34ABA953">
      <w:pPr>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风险提示：</w:t>
      </w:r>
      <w:r>
        <w:rPr>
          <w:rFonts w:hint="eastAsia" w:ascii="宋体" w:hAnsi="宋体" w:cs="宋体"/>
          <w:bCs/>
          <w:color w:val="000000" w:themeColor="text1"/>
          <w:szCs w:val="21"/>
          <w:highlight w:val="none"/>
          <w14:textFill>
            <w14:solidFill>
              <w14:schemeClr w14:val="tx1"/>
            </w14:solidFill>
          </w14:textFill>
        </w:rPr>
        <w:br w:type="textWrapping"/>
      </w:r>
      <w:r>
        <w:rPr>
          <w:rFonts w:hint="eastAsia" w:ascii="宋体" w:hAnsi="宋体" w:cs="宋体"/>
          <w:bCs/>
          <w:color w:val="000000" w:themeColor="text1"/>
          <w:szCs w:val="21"/>
          <w:highlight w:val="none"/>
          <w14:textFill>
            <w14:solidFill>
              <w14:schemeClr w14:val="tx1"/>
            </w14:solidFill>
          </w14:textFill>
        </w:rPr>
        <w:t>1.投标人应当对其出具的《中小企业声明函》真实性负责，投标人出具的《中小企业声明函》内容不实的，属于提供虚假材料谋取中标。在实际操作中，投标人希望获得《办法》规定政策支持的，应从制造商处获得充分、准确的信息。对相关制造商信息了解不充分，或者不能确定相关信息真实、准确的，不建议出具《中小企业声明函》。</w:t>
      </w:r>
    </w:p>
    <w:p w14:paraId="1A5FA357">
      <w:pPr>
        <w:spacing w:line="360" w:lineRule="auto"/>
        <w:jc w:val="center"/>
        <w:rPr>
          <w:rFonts w:ascii="宋体" w:hAnsi="宋体" w:cs="宋体"/>
          <w:b/>
          <w:color w:val="000000" w:themeColor="text1"/>
          <w:sz w:val="32"/>
          <w:szCs w:val="32"/>
          <w:highlight w:val="none"/>
          <w14:textFill>
            <w14:solidFill>
              <w14:schemeClr w14:val="tx1"/>
            </w14:solidFill>
          </w14:textFill>
        </w:rPr>
      </w:pPr>
    </w:p>
    <w:sectPr>
      <w:headerReference r:id="rId14" w:type="first"/>
      <w:footerReference r:id="rId17" w:type="first"/>
      <w:headerReference r:id="rId13" w:type="default"/>
      <w:footerReference r:id="rId15" w:type="default"/>
      <w:footerReference r:id="rId16" w:type="even"/>
      <w:pgSz w:w="11905" w:h="16838"/>
      <w:pgMar w:top="1474" w:right="1417" w:bottom="1247" w:left="1417" w:header="851" w:footer="85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0" w:usb3="00000000" w:csb0="00020000"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31EC">
    <w:pPr>
      <w:pStyle w:val="3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37DA9">
                          <w:pPr>
                            <w:pStyle w:val="3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D37DA9">
                    <w:pPr>
                      <w:pStyle w:val="3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201C">
    <w:pPr>
      <w:pStyle w:val="3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49EFD">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849EFD">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4AE7">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25163">
                          <w:pPr>
                            <w:pStyle w:val="3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5B25163">
                    <w:pPr>
                      <w:pStyle w:val="3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233F">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1E497">
                          <w:pPr>
                            <w:pStyle w:val="3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A21E497">
                    <w:pPr>
                      <w:pStyle w:val="3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BACB">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F6A6">
                          <w:pPr>
                            <w:pStyle w:val="3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0E4F6A6">
                    <w:pPr>
                      <w:pStyle w:val="3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8BA2">
    <w:pPr>
      <w:pStyle w:val="39"/>
      <w:rPr>
        <w:rFonts w:ascii="仿宋_GB2312" w:eastAsia="仿宋_GB2312"/>
        <w:szCs w:val="24"/>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122C6">
                          <w:pPr>
                            <w:pStyle w:val="3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BB122C6">
                    <w:pPr>
                      <w:pStyle w:val="3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4895">
    <w:pPr>
      <w:pStyle w:val="39"/>
      <w:framePr w:wrap="around" w:vAnchor="text" w:hAnchor="margin" w:xAlign="right" w:y="1"/>
      <w:rPr>
        <w:rStyle w:val="74"/>
      </w:rPr>
    </w:pPr>
    <w:r>
      <w:fldChar w:fldCharType="begin"/>
    </w:r>
    <w:r>
      <w:rPr>
        <w:rStyle w:val="74"/>
      </w:rPr>
      <w:instrText xml:space="preserve">PAGE  </w:instrText>
    </w:r>
    <w:r>
      <w:fldChar w:fldCharType="end"/>
    </w:r>
  </w:p>
  <w:p w14:paraId="0C2156B6">
    <w:pPr>
      <w:pStyle w:val="3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2EE1">
    <w:pPr>
      <w:pStyle w:val="39"/>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14">
                          <w:pPr>
                            <w:pStyle w:val="3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0FFC14">
                    <w:pPr>
                      <w:pStyle w:val="3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5BF5F">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2A73">
    <w:pPr>
      <w:pStyle w:val="41"/>
      <w:pBdr>
        <w:bottom w:val="none" w:color="auto" w:sz="0" w:space="1"/>
      </w:pBd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3CA3">
    <w:pPr>
      <w:pStyle w:val="41"/>
      <w:pBdr>
        <w:bottom w:val="none" w:color="auto" w:sz="0" w:space="1"/>
      </w:pBdr>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7B1E">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A974E">
    <w:pPr>
      <w:pStyle w:val="41"/>
      <w:pBdr>
        <w:bottom w:val="none" w:color="auto" w:sz="0" w:space="1"/>
      </w:pBdr>
      <w:jc w:val="both"/>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27A6">
    <w:pPr>
      <w:pStyle w:val="41"/>
      <w:pBdr>
        <w:bottom w:val="none" w:color="auto" w:sz="0" w:space="1"/>
      </w:pBdr>
      <w:jc w:val="right"/>
      <w:rPr>
        <w:rFonts w:ascii="仿宋_GB2312" w:eastAsia="仿宋_GB2312"/>
        <w:b/>
        <w:i/>
        <w:iCs/>
        <w:u w:val="single"/>
      </w:rPr>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190F6">
    <w:pPr>
      <w:pStyle w:val="41"/>
      <w:pBdr>
        <w:bottom w:val="none" w:color="auto" w:sz="0" w:space="1"/>
      </w:pBd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DCBF0"/>
    <w:multiLevelType w:val="singleLevel"/>
    <w:tmpl w:val="802DCBF0"/>
    <w:lvl w:ilvl="0" w:tentative="0">
      <w:start w:val="1"/>
      <w:numFmt w:val="decimal"/>
      <w:lvlText w:val="(%1)"/>
      <w:lvlJc w:val="left"/>
      <w:pPr>
        <w:ind w:left="425" w:hanging="425"/>
      </w:pPr>
      <w:rPr>
        <w:rFonts w:hint="default"/>
      </w:rPr>
    </w:lvl>
  </w:abstractNum>
  <w:abstractNum w:abstractNumId="1">
    <w:nsid w:val="8ADEA3B4"/>
    <w:multiLevelType w:val="singleLevel"/>
    <w:tmpl w:val="8ADEA3B4"/>
    <w:lvl w:ilvl="0" w:tentative="0">
      <w:start w:val="1"/>
      <w:numFmt w:val="decimal"/>
      <w:lvlText w:val="%1."/>
      <w:lvlJc w:val="left"/>
      <w:pPr>
        <w:ind w:left="425" w:hanging="425"/>
      </w:pPr>
      <w:rPr>
        <w:rFonts w:hint="default"/>
        <w:b/>
        <w:bCs/>
      </w:rPr>
    </w:lvl>
  </w:abstractNum>
  <w:abstractNum w:abstractNumId="2">
    <w:nsid w:val="8D725E59"/>
    <w:multiLevelType w:val="singleLevel"/>
    <w:tmpl w:val="8D725E59"/>
    <w:lvl w:ilvl="0" w:tentative="0">
      <w:start w:val="1"/>
      <w:numFmt w:val="decimal"/>
      <w:lvlText w:val="%1."/>
      <w:lvlJc w:val="left"/>
      <w:pPr>
        <w:ind w:left="425" w:hanging="425"/>
      </w:pPr>
      <w:rPr>
        <w:rFonts w:hint="default"/>
      </w:rPr>
    </w:lvl>
  </w:abstractNum>
  <w:abstractNum w:abstractNumId="3">
    <w:nsid w:val="8EBB1D5F"/>
    <w:multiLevelType w:val="singleLevel"/>
    <w:tmpl w:val="8EBB1D5F"/>
    <w:lvl w:ilvl="0" w:tentative="0">
      <w:start w:val="1"/>
      <w:numFmt w:val="decimal"/>
      <w:lvlText w:val="%1."/>
      <w:lvlJc w:val="left"/>
      <w:pPr>
        <w:ind w:left="425" w:hanging="425"/>
      </w:pPr>
      <w:rPr>
        <w:rFonts w:hint="default"/>
      </w:rPr>
    </w:lvl>
  </w:abstractNum>
  <w:abstractNum w:abstractNumId="4">
    <w:nsid w:val="8FFBD068"/>
    <w:multiLevelType w:val="singleLevel"/>
    <w:tmpl w:val="8FFBD068"/>
    <w:lvl w:ilvl="0" w:tentative="0">
      <w:start w:val="1"/>
      <w:numFmt w:val="decimal"/>
      <w:lvlText w:val="%1."/>
      <w:lvlJc w:val="left"/>
      <w:pPr>
        <w:ind w:left="425" w:hanging="425"/>
      </w:pPr>
      <w:rPr>
        <w:rFonts w:hint="default"/>
      </w:rPr>
    </w:lvl>
  </w:abstractNum>
  <w:abstractNum w:abstractNumId="5">
    <w:nsid w:val="9726C7F9"/>
    <w:multiLevelType w:val="singleLevel"/>
    <w:tmpl w:val="9726C7F9"/>
    <w:lvl w:ilvl="0" w:tentative="0">
      <w:start w:val="5"/>
      <w:numFmt w:val="chineseCounting"/>
      <w:suff w:val="space"/>
      <w:lvlText w:val="第%1部分"/>
      <w:lvlJc w:val="left"/>
      <w:rPr>
        <w:rFonts w:hint="eastAsia"/>
      </w:rPr>
    </w:lvl>
  </w:abstractNum>
  <w:abstractNum w:abstractNumId="6">
    <w:nsid w:val="9B3A8B03"/>
    <w:multiLevelType w:val="singleLevel"/>
    <w:tmpl w:val="9B3A8B03"/>
    <w:lvl w:ilvl="0" w:tentative="0">
      <w:start w:val="1"/>
      <w:numFmt w:val="decimal"/>
      <w:lvlText w:val="(%1)"/>
      <w:lvlJc w:val="left"/>
      <w:pPr>
        <w:ind w:left="425" w:hanging="425"/>
      </w:pPr>
      <w:rPr>
        <w:rFonts w:hint="default"/>
      </w:rPr>
    </w:lvl>
  </w:abstractNum>
  <w:abstractNum w:abstractNumId="7">
    <w:nsid w:val="AA104A9E"/>
    <w:multiLevelType w:val="singleLevel"/>
    <w:tmpl w:val="AA104A9E"/>
    <w:lvl w:ilvl="0" w:tentative="0">
      <w:start w:val="2"/>
      <w:numFmt w:val="chineseCounting"/>
      <w:suff w:val="nothing"/>
      <w:lvlText w:val="%1、"/>
      <w:lvlJc w:val="left"/>
      <w:rPr>
        <w:rFonts w:hint="eastAsia"/>
      </w:rPr>
    </w:lvl>
  </w:abstractNum>
  <w:abstractNum w:abstractNumId="8">
    <w:nsid w:val="BA623F57"/>
    <w:multiLevelType w:val="singleLevel"/>
    <w:tmpl w:val="BA623F57"/>
    <w:lvl w:ilvl="0" w:tentative="0">
      <w:start w:val="3"/>
      <w:numFmt w:val="chineseCounting"/>
      <w:suff w:val="nothing"/>
      <w:lvlText w:val="%1、"/>
      <w:lvlJc w:val="left"/>
      <w:rPr>
        <w:rFonts w:hint="eastAsia"/>
      </w:rPr>
    </w:lvl>
  </w:abstractNum>
  <w:abstractNum w:abstractNumId="9">
    <w:nsid w:val="C25499DA"/>
    <w:multiLevelType w:val="singleLevel"/>
    <w:tmpl w:val="C25499DA"/>
    <w:lvl w:ilvl="0" w:tentative="0">
      <w:start w:val="2"/>
      <w:numFmt w:val="decimal"/>
      <w:suff w:val="nothing"/>
      <w:lvlText w:val="%1、"/>
      <w:lvlJc w:val="left"/>
    </w:lvl>
  </w:abstractNum>
  <w:abstractNum w:abstractNumId="10">
    <w:nsid w:val="CD08A0E5"/>
    <w:multiLevelType w:val="singleLevel"/>
    <w:tmpl w:val="CD08A0E5"/>
    <w:lvl w:ilvl="0" w:tentative="0">
      <w:start w:val="1"/>
      <w:numFmt w:val="decimal"/>
      <w:lvlText w:val="(%1)"/>
      <w:lvlJc w:val="left"/>
      <w:pPr>
        <w:ind w:left="425" w:hanging="425"/>
      </w:pPr>
      <w:rPr>
        <w:rFonts w:hint="default"/>
        <w:b w:val="0"/>
        <w:bCs w:val="0"/>
      </w:rPr>
    </w:lvl>
  </w:abstractNum>
  <w:abstractNum w:abstractNumId="11">
    <w:nsid w:val="DA9F932A"/>
    <w:multiLevelType w:val="singleLevel"/>
    <w:tmpl w:val="DA9F932A"/>
    <w:lvl w:ilvl="0" w:tentative="0">
      <w:start w:val="1"/>
      <w:numFmt w:val="decimal"/>
      <w:lvlText w:val="%1."/>
      <w:lvlJc w:val="left"/>
      <w:pPr>
        <w:ind w:left="425" w:hanging="425"/>
      </w:pPr>
      <w:rPr>
        <w:rFonts w:hint="default"/>
      </w:rPr>
    </w:lvl>
  </w:abstractNum>
  <w:abstractNum w:abstractNumId="12">
    <w:nsid w:val="E03D40C6"/>
    <w:multiLevelType w:val="singleLevel"/>
    <w:tmpl w:val="E03D40C6"/>
    <w:lvl w:ilvl="0" w:tentative="0">
      <w:start w:val="1"/>
      <w:numFmt w:val="decimal"/>
      <w:lvlText w:val="(%1)"/>
      <w:lvlJc w:val="left"/>
      <w:pPr>
        <w:ind w:left="425" w:hanging="425"/>
      </w:pPr>
      <w:rPr>
        <w:rFonts w:hint="default"/>
      </w:rPr>
    </w:lvl>
  </w:abstractNum>
  <w:abstractNum w:abstractNumId="13">
    <w:nsid w:val="E596B22D"/>
    <w:multiLevelType w:val="singleLevel"/>
    <w:tmpl w:val="E596B22D"/>
    <w:lvl w:ilvl="0" w:tentative="0">
      <w:start w:val="6"/>
      <w:numFmt w:val="chineseCounting"/>
      <w:suff w:val="nothing"/>
      <w:lvlText w:val="%1、"/>
      <w:lvlJc w:val="left"/>
      <w:rPr>
        <w:rFonts w:hint="eastAsia"/>
      </w:rPr>
    </w:lvl>
  </w:abstractNum>
  <w:abstractNum w:abstractNumId="14">
    <w:nsid w:val="E87A841A"/>
    <w:multiLevelType w:val="singleLevel"/>
    <w:tmpl w:val="E87A841A"/>
    <w:lvl w:ilvl="0" w:tentative="0">
      <w:start w:val="1"/>
      <w:numFmt w:val="decimal"/>
      <w:lvlText w:val="(%1)"/>
      <w:lvlJc w:val="left"/>
      <w:pPr>
        <w:ind w:left="425" w:hanging="425"/>
      </w:pPr>
      <w:rPr>
        <w:rFonts w:hint="default"/>
        <w:b w:val="0"/>
        <w:bCs w:val="0"/>
      </w:rPr>
    </w:lvl>
  </w:abstractNum>
  <w:abstractNum w:abstractNumId="15">
    <w:nsid w:val="E97DAF9F"/>
    <w:multiLevelType w:val="singleLevel"/>
    <w:tmpl w:val="E97DAF9F"/>
    <w:lvl w:ilvl="0" w:tentative="0">
      <w:start w:val="3"/>
      <w:numFmt w:val="chineseCounting"/>
      <w:suff w:val="nothing"/>
      <w:lvlText w:val="（%1）"/>
      <w:lvlJc w:val="left"/>
      <w:rPr>
        <w:rFonts w:hint="eastAsia"/>
      </w:rPr>
    </w:lvl>
  </w:abstractNum>
  <w:abstractNum w:abstractNumId="16">
    <w:nsid w:val="F5E80F08"/>
    <w:multiLevelType w:val="singleLevel"/>
    <w:tmpl w:val="F5E80F08"/>
    <w:lvl w:ilvl="0" w:tentative="0">
      <w:start w:val="23"/>
      <w:numFmt w:val="decimal"/>
      <w:suff w:val="space"/>
      <w:lvlText w:val="%1."/>
      <w:lvlJc w:val="left"/>
    </w:lvl>
  </w:abstractNum>
  <w:abstractNum w:abstractNumId="17">
    <w:nsid w:val="0212323E"/>
    <w:multiLevelType w:val="singleLevel"/>
    <w:tmpl w:val="0212323E"/>
    <w:lvl w:ilvl="0" w:tentative="0">
      <w:start w:val="1"/>
      <w:numFmt w:val="decimal"/>
      <w:lvlText w:val="%1."/>
      <w:lvlJc w:val="left"/>
      <w:pPr>
        <w:ind w:left="425" w:hanging="425"/>
      </w:pPr>
      <w:rPr>
        <w:rFonts w:hint="default"/>
      </w:rPr>
    </w:lvl>
  </w:abstractNum>
  <w:abstractNum w:abstractNumId="18">
    <w:nsid w:val="04965973"/>
    <w:multiLevelType w:val="singleLevel"/>
    <w:tmpl w:val="04965973"/>
    <w:lvl w:ilvl="0" w:tentative="0">
      <w:start w:val="1"/>
      <w:numFmt w:val="decimal"/>
      <w:lvlText w:val="%1."/>
      <w:lvlJc w:val="left"/>
      <w:pPr>
        <w:ind w:left="425" w:hanging="425"/>
      </w:pPr>
      <w:rPr>
        <w:rFonts w:hint="default"/>
      </w:rPr>
    </w:lvl>
  </w:abstractNum>
  <w:abstractNum w:abstractNumId="19">
    <w:nsid w:val="0526A16D"/>
    <w:multiLevelType w:val="singleLevel"/>
    <w:tmpl w:val="0526A16D"/>
    <w:lvl w:ilvl="0" w:tentative="0">
      <w:start w:val="1"/>
      <w:numFmt w:val="decimal"/>
      <w:lvlText w:val="%1."/>
      <w:lvlJc w:val="left"/>
      <w:pPr>
        <w:ind w:left="425" w:hanging="425"/>
      </w:pPr>
      <w:rPr>
        <w:rFonts w:hint="default"/>
      </w:rPr>
    </w:lvl>
  </w:abstractNum>
  <w:abstractNum w:abstractNumId="20">
    <w:nsid w:val="07482468"/>
    <w:multiLevelType w:val="singleLevel"/>
    <w:tmpl w:val="07482468"/>
    <w:lvl w:ilvl="0" w:tentative="0">
      <w:start w:val="1"/>
      <w:numFmt w:val="decimal"/>
      <w:lvlText w:val="%1."/>
      <w:lvlJc w:val="left"/>
      <w:pPr>
        <w:ind w:left="425" w:hanging="425"/>
      </w:pPr>
      <w:rPr>
        <w:rFonts w:hint="default"/>
      </w:rPr>
    </w:lvl>
  </w:abstractNum>
  <w:abstractNum w:abstractNumId="21">
    <w:nsid w:val="09AA3548"/>
    <w:multiLevelType w:val="singleLevel"/>
    <w:tmpl w:val="09AA3548"/>
    <w:lvl w:ilvl="0" w:tentative="0">
      <w:start w:val="1"/>
      <w:numFmt w:val="decimal"/>
      <w:lvlText w:val="%1."/>
      <w:lvlJc w:val="left"/>
      <w:pPr>
        <w:ind w:left="425" w:hanging="425"/>
      </w:pPr>
      <w:rPr>
        <w:rFonts w:hint="default"/>
      </w:rPr>
    </w:lvl>
  </w:abstractNum>
  <w:abstractNum w:abstractNumId="22">
    <w:nsid w:val="0D43D065"/>
    <w:multiLevelType w:val="singleLevel"/>
    <w:tmpl w:val="0D43D065"/>
    <w:lvl w:ilvl="0" w:tentative="0">
      <w:start w:val="1"/>
      <w:numFmt w:val="chineseCounting"/>
      <w:suff w:val="nothing"/>
      <w:lvlText w:val="%1、"/>
      <w:lvlJc w:val="left"/>
      <w:pPr>
        <w:ind w:left="3360"/>
      </w:pPr>
      <w:rPr>
        <w:rFonts w:hint="eastAsia"/>
      </w:rPr>
    </w:lvl>
  </w:abstractNum>
  <w:abstractNum w:abstractNumId="23">
    <w:nsid w:val="157927F4"/>
    <w:multiLevelType w:val="singleLevel"/>
    <w:tmpl w:val="157927F4"/>
    <w:lvl w:ilvl="0" w:tentative="0">
      <w:start w:val="7"/>
      <w:numFmt w:val="chineseCounting"/>
      <w:suff w:val="nothing"/>
      <w:lvlText w:val="%1、"/>
      <w:lvlJc w:val="left"/>
      <w:rPr>
        <w:rFonts w:hint="eastAsia"/>
      </w:rPr>
    </w:lvl>
  </w:abstractNum>
  <w:abstractNum w:abstractNumId="24">
    <w:nsid w:val="16747D06"/>
    <w:multiLevelType w:val="singleLevel"/>
    <w:tmpl w:val="16747D06"/>
    <w:lvl w:ilvl="0" w:tentative="0">
      <w:start w:val="1"/>
      <w:numFmt w:val="decimal"/>
      <w:lvlText w:val="%1."/>
      <w:lvlJc w:val="left"/>
      <w:pPr>
        <w:ind w:left="425" w:hanging="425"/>
      </w:pPr>
      <w:rPr>
        <w:rFonts w:hint="default"/>
      </w:rPr>
    </w:lvl>
  </w:abstractNum>
  <w:abstractNum w:abstractNumId="25">
    <w:nsid w:val="2DA8FE3C"/>
    <w:multiLevelType w:val="singleLevel"/>
    <w:tmpl w:val="2DA8FE3C"/>
    <w:lvl w:ilvl="0" w:tentative="0">
      <w:start w:val="1"/>
      <w:numFmt w:val="decimal"/>
      <w:lvlText w:val="%1."/>
      <w:lvlJc w:val="left"/>
      <w:pPr>
        <w:ind w:left="425" w:hanging="425"/>
      </w:pPr>
      <w:rPr>
        <w:rFonts w:hint="default"/>
      </w:rPr>
    </w:lvl>
  </w:abstractNum>
  <w:abstractNum w:abstractNumId="26">
    <w:nsid w:val="33B535B8"/>
    <w:multiLevelType w:val="singleLevel"/>
    <w:tmpl w:val="33B535B8"/>
    <w:lvl w:ilvl="0" w:tentative="0">
      <w:start w:val="1"/>
      <w:numFmt w:val="decimal"/>
      <w:lvlText w:val="%1."/>
      <w:lvlJc w:val="left"/>
      <w:pPr>
        <w:ind w:left="425" w:hanging="425"/>
      </w:pPr>
      <w:rPr>
        <w:rFonts w:hint="default"/>
      </w:rPr>
    </w:lvl>
  </w:abstractNum>
  <w:abstractNum w:abstractNumId="27">
    <w:nsid w:val="39305887"/>
    <w:multiLevelType w:val="singleLevel"/>
    <w:tmpl w:val="39305887"/>
    <w:lvl w:ilvl="0" w:tentative="0">
      <w:start w:val="1"/>
      <w:numFmt w:val="decimal"/>
      <w:lvlText w:val="%1."/>
      <w:lvlJc w:val="left"/>
      <w:pPr>
        <w:ind w:left="425" w:hanging="425"/>
      </w:pPr>
      <w:rPr>
        <w:rFonts w:hint="default"/>
      </w:rPr>
    </w:lvl>
  </w:abstractNum>
  <w:abstractNum w:abstractNumId="28">
    <w:nsid w:val="3B500D3E"/>
    <w:multiLevelType w:val="singleLevel"/>
    <w:tmpl w:val="3B500D3E"/>
    <w:lvl w:ilvl="0" w:tentative="0">
      <w:start w:val="1"/>
      <w:numFmt w:val="decimal"/>
      <w:suff w:val="nothing"/>
      <w:lvlText w:val="%1、"/>
      <w:lvlJc w:val="left"/>
    </w:lvl>
  </w:abstractNum>
  <w:abstractNum w:abstractNumId="29">
    <w:nsid w:val="3F544571"/>
    <w:multiLevelType w:val="singleLevel"/>
    <w:tmpl w:val="3F544571"/>
    <w:lvl w:ilvl="0" w:tentative="0">
      <w:start w:val="1"/>
      <w:numFmt w:val="decimal"/>
      <w:lvlText w:val="%1."/>
      <w:lvlJc w:val="left"/>
      <w:pPr>
        <w:ind w:left="425" w:hanging="425"/>
      </w:pPr>
      <w:rPr>
        <w:rFonts w:hint="default"/>
      </w:rPr>
    </w:lvl>
  </w:abstractNum>
  <w:abstractNum w:abstractNumId="30">
    <w:nsid w:val="501521BE"/>
    <w:multiLevelType w:val="singleLevel"/>
    <w:tmpl w:val="501521BE"/>
    <w:lvl w:ilvl="0" w:tentative="0">
      <w:start w:val="1"/>
      <w:numFmt w:val="decimal"/>
      <w:lvlText w:val="(%1)"/>
      <w:lvlJc w:val="left"/>
      <w:pPr>
        <w:ind w:left="425" w:hanging="425"/>
      </w:pPr>
      <w:rPr>
        <w:rFonts w:hint="default"/>
      </w:rPr>
    </w:lvl>
  </w:abstractNum>
  <w:abstractNum w:abstractNumId="31">
    <w:nsid w:val="5A07ACDD"/>
    <w:multiLevelType w:val="singleLevel"/>
    <w:tmpl w:val="5A07ACDD"/>
    <w:lvl w:ilvl="0" w:tentative="0">
      <w:start w:val="1"/>
      <w:numFmt w:val="decimal"/>
      <w:lvlText w:val="%1."/>
      <w:lvlJc w:val="left"/>
      <w:pPr>
        <w:ind w:left="425" w:hanging="425"/>
      </w:pPr>
      <w:rPr>
        <w:rFonts w:hint="default"/>
      </w:rPr>
    </w:lvl>
  </w:abstractNum>
  <w:abstractNum w:abstractNumId="32">
    <w:nsid w:val="5A3FA8F6"/>
    <w:multiLevelType w:val="singleLevel"/>
    <w:tmpl w:val="5A3FA8F6"/>
    <w:lvl w:ilvl="0" w:tentative="0">
      <w:start w:val="1"/>
      <w:numFmt w:val="decimal"/>
      <w:lvlText w:val="%1."/>
      <w:lvlJc w:val="left"/>
      <w:pPr>
        <w:ind w:left="425" w:hanging="425"/>
      </w:pPr>
      <w:rPr>
        <w:rFonts w:hint="default"/>
      </w:rPr>
    </w:lvl>
  </w:abstractNum>
  <w:abstractNum w:abstractNumId="33">
    <w:nsid w:val="5F0B451A"/>
    <w:multiLevelType w:val="singleLevel"/>
    <w:tmpl w:val="5F0B451A"/>
    <w:lvl w:ilvl="0" w:tentative="0">
      <w:start w:val="1"/>
      <w:numFmt w:val="decimal"/>
      <w:lvlText w:val="%1."/>
      <w:lvlJc w:val="left"/>
      <w:pPr>
        <w:ind w:left="425" w:hanging="425"/>
      </w:pPr>
      <w:rPr>
        <w:rFonts w:hint="default"/>
      </w:rPr>
    </w:lvl>
  </w:abstractNum>
  <w:abstractNum w:abstractNumId="34">
    <w:nsid w:val="5F96AF98"/>
    <w:multiLevelType w:val="singleLevel"/>
    <w:tmpl w:val="5F96AF98"/>
    <w:lvl w:ilvl="0" w:tentative="0">
      <w:start w:val="1"/>
      <w:numFmt w:val="decimal"/>
      <w:lvlText w:val="%1."/>
      <w:lvlJc w:val="left"/>
      <w:pPr>
        <w:ind w:left="425" w:hanging="425"/>
      </w:pPr>
      <w:rPr>
        <w:rFonts w:hint="default"/>
      </w:rPr>
    </w:lvl>
  </w:abstractNum>
  <w:abstractNum w:abstractNumId="35">
    <w:nsid w:val="601438F2"/>
    <w:multiLevelType w:val="multilevel"/>
    <w:tmpl w:val="601438F2"/>
    <w:lvl w:ilvl="0" w:tentative="0">
      <w:start w:val="1"/>
      <w:numFmt w:val="decimal"/>
      <w:lvlText w:val="%1."/>
      <w:lvlJc w:val="left"/>
      <w:pPr>
        <w:ind w:left="1302" w:hanging="440"/>
      </w:pPr>
    </w:lvl>
    <w:lvl w:ilvl="1" w:tentative="0">
      <w:start w:val="1"/>
      <w:numFmt w:val="lowerLetter"/>
      <w:lvlText w:val="%2)"/>
      <w:lvlJc w:val="left"/>
      <w:pPr>
        <w:ind w:left="1742" w:hanging="440"/>
      </w:pPr>
    </w:lvl>
    <w:lvl w:ilvl="2" w:tentative="0">
      <w:start w:val="1"/>
      <w:numFmt w:val="lowerRoman"/>
      <w:lvlText w:val="%3."/>
      <w:lvlJc w:val="right"/>
      <w:pPr>
        <w:ind w:left="2182" w:hanging="440"/>
      </w:pPr>
    </w:lvl>
    <w:lvl w:ilvl="3" w:tentative="0">
      <w:start w:val="1"/>
      <w:numFmt w:val="decimal"/>
      <w:lvlText w:val="%4."/>
      <w:lvlJc w:val="left"/>
      <w:pPr>
        <w:ind w:left="2622" w:hanging="440"/>
      </w:pPr>
    </w:lvl>
    <w:lvl w:ilvl="4" w:tentative="0">
      <w:start w:val="1"/>
      <w:numFmt w:val="lowerLetter"/>
      <w:lvlText w:val="%5)"/>
      <w:lvlJc w:val="left"/>
      <w:pPr>
        <w:ind w:left="3062" w:hanging="440"/>
      </w:pPr>
    </w:lvl>
    <w:lvl w:ilvl="5" w:tentative="0">
      <w:start w:val="1"/>
      <w:numFmt w:val="lowerRoman"/>
      <w:lvlText w:val="%6."/>
      <w:lvlJc w:val="right"/>
      <w:pPr>
        <w:ind w:left="3502" w:hanging="440"/>
      </w:pPr>
    </w:lvl>
    <w:lvl w:ilvl="6" w:tentative="0">
      <w:start w:val="1"/>
      <w:numFmt w:val="decimal"/>
      <w:lvlText w:val="%7."/>
      <w:lvlJc w:val="left"/>
      <w:pPr>
        <w:ind w:left="3942" w:hanging="440"/>
      </w:pPr>
    </w:lvl>
    <w:lvl w:ilvl="7" w:tentative="0">
      <w:start w:val="1"/>
      <w:numFmt w:val="lowerLetter"/>
      <w:lvlText w:val="%8)"/>
      <w:lvlJc w:val="left"/>
      <w:pPr>
        <w:ind w:left="4382" w:hanging="440"/>
      </w:pPr>
    </w:lvl>
    <w:lvl w:ilvl="8" w:tentative="0">
      <w:start w:val="1"/>
      <w:numFmt w:val="lowerRoman"/>
      <w:lvlText w:val="%9."/>
      <w:lvlJc w:val="right"/>
      <w:pPr>
        <w:ind w:left="4822" w:hanging="440"/>
      </w:pPr>
    </w:lvl>
  </w:abstractNum>
  <w:abstractNum w:abstractNumId="36">
    <w:nsid w:val="610C65F1"/>
    <w:multiLevelType w:val="multilevel"/>
    <w:tmpl w:val="610C65F1"/>
    <w:lvl w:ilvl="0" w:tentative="0">
      <w:start w:val="1"/>
      <w:numFmt w:val="decimal"/>
      <w:lvlText w:val="5.%1."/>
      <w:lvlJc w:val="left"/>
      <w:pPr>
        <w:ind w:left="2180" w:hanging="440"/>
      </w:pPr>
      <w:rPr>
        <w:rFonts w:hint="eastAsia"/>
        <w:b w:val="0"/>
        <w:bCs/>
        <w:sz w:val="21"/>
        <w:szCs w:val="21"/>
      </w:rPr>
    </w:lvl>
    <w:lvl w:ilvl="1" w:tentative="0">
      <w:start w:val="1"/>
      <w:numFmt w:val="lowerLetter"/>
      <w:lvlText w:val="%2)"/>
      <w:lvlJc w:val="left"/>
      <w:pPr>
        <w:ind w:left="2620" w:hanging="440"/>
      </w:pPr>
    </w:lvl>
    <w:lvl w:ilvl="2" w:tentative="0">
      <w:start w:val="1"/>
      <w:numFmt w:val="lowerRoman"/>
      <w:lvlText w:val="%3."/>
      <w:lvlJc w:val="right"/>
      <w:pPr>
        <w:ind w:left="3060" w:hanging="440"/>
      </w:pPr>
    </w:lvl>
    <w:lvl w:ilvl="3" w:tentative="0">
      <w:start w:val="1"/>
      <w:numFmt w:val="decimal"/>
      <w:lvlText w:val="%4."/>
      <w:lvlJc w:val="left"/>
      <w:pPr>
        <w:ind w:left="3500" w:hanging="440"/>
      </w:pPr>
    </w:lvl>
    <w:lvl w:ilvl="4" w:tentative="0">
      <w:start w:val="1"/>
      <w:numFmt w:val="lowerLetter"/>
      <w:lvlText w:val="%5)"/>
      <w:lvlJc w:val="left"/>
      <w:pPr>
        <w:ind w:left="3940" w:hanging="440"/>
      </w:pPr>
    </w:lvl>
    <w:lvl w:ilvl="5" w:tentative="0">
      <w:start w:val="1"/>
      <w:numFmt w:val="lowerRoman"/>
      <w:lvlText w:val="%6."/>
      <w:lvlJc w:val="right"/>
      <w:pPr>
        <w:ind w:left="4380" w:hanging="440"/>
      </w:pPr>
    </w:lvl>
    <w:lvl w:ilvl="6" w:tentative="0">
      <w:start w:val="1"/>
      <w:numFmt w:val="decimal"/>
      <w:lvlText w:val="%7."/>
      <w:lvlJc w:val="left"/>
      <w:pPr>
        <w:ind w:left="4820" w:hanging="440"/>
      </w:pPr>
    </w:lvl>
    <w:lvl w:ilvl="7" w:tentative="0">
      <w:start w:val="1"/>
      <w:numFmt w:val="lowerLetter"/>
      <w:lvlText w:val="%8)"/>
      <w:lvlJc w:val="left"/>
      <w:pPr>
        <w:ind w:left="5260" w:hanging="440"/>
      </w:pPr>
    </w:lvl>
    <w:lvl w:ilvl="8" w:tentative="0">
      <w:start w:val="1"/>
      <w:numFmt w:val="lowerRoman"/>
      <w:lvlText w:val="%9."/>
      <w:lvlJc w:val="right"/>
      <w:pPr>
        <w:ind w:left="5700" w:hanging="440"/>
      </w:pPr>
    </w:lvl>
  </w:abstractNum>
  <w:abstractNum w:abstractNumId="37">
    <w:nsid w:val="64D46694"/>
    <w:multiLevelType w:val="multilevel"/>
    <w:tmpl w:val="64D46694"/>
    <w:lvl w:ilvl="0" w:tentative="0">
      <w:start w:val="1"/>
      <w:numFmt w:val="decimal"/>
      <w:lvlText w:val="%1."/>
      <w:lvlJc w:val="left"/>
      <w:pPr>
        <w:ind w:left="860" w:hanging="440"/>
      </w:p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8">
    <w:nsid w:val="65705626"/>
    <w:multiLevelType w:val="multilevel"/>
    <w:tmpl w:val="65705626"/>
    <w:lvl w:ilvl="0" w:tentative="0">
      <w:start w:val="1"/>
      <w:numFmt w:val="decimal"/>
      <w:lvlText w:val="(%1)"/>
      <w:lvlJc w:val="left"/>
      <w:pPr>
        <w:ind w:left="860" w:hanging="44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9">
    <w:nsid w:val="70A11952"/>
    <w:multiLevelType w:val="singleLevel"/>
    <w:tmpl w:val="70A11952"/>
    <w:lvl w:ilvl="0" w:tentative="0">
      <w:start w:val="1"/>
      <w:numFmt w:val="decimal"/>
      <w:lvlText w:val="%1."/>
      <w:lvlJc w:val="left"/>
      <w:pPr>
        <w:ind w:left="425" w:hanging="425"/>
      </w:pPr>
      <w:rPr>
        <w:rFonts w:hint="default"/>
      </w:rPr>
    </w:lvl>
  </w:abstractNum>
  <w:abstractNum w:abstractNumId="40">
    <w:nsid w:val="71372A56"/>
    <w:multiLevelType w:val="multilevel"/>
    <w:tmpl w:val="71372A56"/>
    <w:lvl w:ilvl="0" w:tentative="0">
      <w:start w:val="1"/>
      <w:numFmt w:val="decimal"/>
      <w:lvlText w:val="2.%1"/>
      <w:lvlJc w:val="left"/>
      <w:pPr>
        <w:ind w:left="440" w:hanging="440"/>
      </w:pPr>
      <w:rPr>
        <w:rFonts w:hint="eastAsia"/>
        <w:b/>
      </w:rPr>
    </w:lvl>
    <w:lvl w:ilvl="1" w:tentative="0">
      <w:start w:val="1"/>
      <w:numFmt w:val="decimal"/>
      <w:lvlText w:val="%2."/>
      <w:lvlJc w:val="left"/>
      <w:pPr>
        <w:ind w:left="860" w:hanging="4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1">
    <w:nsid w:val="76CDABB7"/>
    <w:multiLevelType w:val="singleLevel"/>
    <w:tmpl w:val="76CDABB7"/>
    <w:lvl w:ilvl="0" w:tentative="0">
      <w:start w:val="1"/>
      <w:numFmt w:val="decimal"/>
      <w:lvlText w:val="%1."/>
      <w:lvlJc w:val="left"/>
      <w:pPr>
        <w:ind w:left="425" w:hanging="425"/>
      </w:pPr>
      <w:rPr>
        <w:rFonts w:hint="default"/>
        <w:b w:val="0"/>
        <w:bCs w:val="0"/>
      </w:rPr>
    </w:lvl>
  </w:abstractNum>
  <w:abstractNum w:abstractNumId="42">
    <w:nsid w:val="7B2931DF"/>
    <w:multiLevelType w:val="singleLevel"/>
    <w:tmpl w:val="7B2931DF"/>
    <w:lvl w:ilvl="0" w:tentative="0">
      <w:start w:val="1"/>
      <w:numFmt w:val="decimal"/>
      <w:lvlText w:val="(%1)"/>
      <w:lvlJc w:val="left"/>
      <w:pPr>
        <w:ind w:left="425" w:hanging="425"/>
      </w:pPr>
      <w:rPr>
        <w:rFonts w:hint="default"/>
      </w:rPr>
    </w:lvl>
  </w:abstractNum>
  <w:num w:numId="1">
    <w:abstractNumId w:val="16"/>
  </w:num>
  <w:num w:numId="2">
    <w:abstractNumId w:val="15"/>
  </w:num>
  <w:num w:numId="3">
    <w:abstractNumId w:val="38"/>
  </w:num>
  <w:num w:numId="4">
    <w:abstractNumId w:val="37"/>
  </w:num>
  <w:num w:numId="5">
    <w:abstractNumId w:val="9"/>
  </w:num>
  <w:num w:numId="6">
    <w:abstractNumId w:val="40"/>
  </w:num>
  <w:num w:numId="7">
    <w:abstractNumId w:val="35"/>
  </w:num>
  <w:num w:numId="8">
    <w:abstractNumId w:val="36"/>
  </w:num>
  <w:num w:numId="9">
    <w:abstractNumId w:val="5"/>
  </w:num>
  <w:num w:numId="10">
    <w:abstractNumId w:val="11"/>
  </w:num>
  <w:num w:numId="11">
    <w:abstractNumId w:val="33"/>
  </w:num>
  <w:num w:numId="12">
    <w:abstractNumId w:val="7"/>
  </w:num>
  <w:num w:numId="13">
    <w:abstractNumId w:val="8"/>
  </w:num>
  <w:num w:numId="14">
    <w:abstractNumId w:val="32"/>
  </w:num>
  <w:num w:numId="15">
    <w:abstractNumId w:val="1"/>
  </w:num>
  <w:num w:numId="16">
    <w:abstractNumId w:val="21"/>
  </w:num>
  <w:num w:numId="17">
    <w:abstractNumId w:val="4"/>
  </w:num>
  <w:num w:numId="18">
    <w:abstractNumId w:val="23"/>
  </w:num>
  <w:num w:numId="19">
    <w:abstractNumId w:val="27"/>
  </w:num>
  <w:num w:numId="20">
    <w:abstractNumId w:val="41"/>
  </w:num>
  <w:num w:numId="21">
    <w:abstractNumId w:val="39"/>
  </w:num>
  <w:num w:numId="22">
    <w:abstractNumId w:val="34"/>
  </w:num>
  <w:num w:numId="23">
    <w:abstractNumId w:val="30"/>
  </w:num>
  <w:num w:numId="24">
    <w:abstractNumId w:val="10"/>
  </w:num>
  <w:num w:numId="25">
    <w:abstractNumId w:val="14"/>
  </w:num>
  <w:num w:numId="26">
    <w:abstractNumId w:val="17"/>
  </w:num>
  <w:num w:numId="27">
    <w:abstractNumId w:val="12"/>
  </w:num>
  <w:num w:numId="28">
    <w:abstractNumId w:val="31"/>
  </w:num>
  <w:num w:numId="29">
    <w:abstractNumId w:val="0"/>
  </w:num>
  <w:num w:numId="30">
    <w:abstractNumId w:val="20"/>
  </w:num>
  <w:num w:numId="31">
    <w:abstractNumId w:val="42"/>
  </w:num>
  <w:num w:numId="32">
    <w:abstractNumId w:val="6"/>
  </w:num>
  <w:num w:numId="33">
    <w:abstractNumId w:val="26"/>
  </w:num>
  <w:num w:numId="34">
    <w:abstractNumId w:val="29"/>
  </w:num>
  <w:num w:numId="35">
    <w:abstractNumId w:val="24"/>
  </w:num>
  <w:num w:numId="36">
    <w:abstractNumId w:val="2"/>
  </w:num>
  <w:num w:numId="37">
    <w:abstractNumId w:val="18"/>
  </w:num>
  <w:num w:numId="38">
    <w:abstractNumId w:val="25"/>
  </w:num>
  <w:num w:numId="39">
    <w:abstractNumId w:val="19"/>
  </w:num>
  <w:num w:numId="40">
    <w:abstractNumId w:val="3"/>
  </w:num>
  <w:num w:numId="41">
    <w:abstractNumId w:val="13"/>
  </w:num>
  <w:num w:numId="42">
    <w:abstractNumId w:val="2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DU5NGYxMTI0OGI2YjA3MGJkNWJmYzJmNzNiODEifQ=="/>
    <w:docVar w:name="KSO_WPS_MARK_KEY" w:val="e7379ba6-b342-4f64-9d1c-01821ca1ca73"/>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1996"/>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D67"/>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7A"/>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20C5"/>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228"/>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27F09"/>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5275"/>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0609"/>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192"/>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3F3B"/>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0F58"/>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B7BB6"/>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44CF"/>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B58"/>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1F65"/>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15"/>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9BB"/>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2E9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1EC2"/>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5D2C"/>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19B"/>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BC2"/>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D6B73"/>
    <w:rsid w:val="011F6449"/>
    <w:rsid w:val="01236AFB"/>
    <w:rsid w:val="015E0632"/>
    <w:rsid w:val="019F7441"/>
    <w:rsid w:val="01B37585"/>
    <w:rsid w:val="01C725F7"/>
    <w:rsid w:val="01D55165"/>
    <w:rsid w:val="01DD2EED"/>
    <w:rsid w:val="01DF6BF8"/>
    <w:rsid w:val="01EA162D"/>
    <w:rsid w:val="01EC2C57"/>
    <w:rsid w:val="020A533B"/>
    <w:rsid w:val="022F3B60"/>
    <w:rsid w:val="023D7C26"/>
    <w:rsid w:val="0250663C"/>
    <w:rsid w:val="025F0711"/>
    <w:rsid w:val="026B2E25"/>
    <w:rsid w:val="02824D4D"/>
    <w:rsid w:val="028E3199"/>
    <w:rsid w:val="02B17AA1"/>
    <w:rsid w:val="02DC4B10"/>
    <w:rsid w:val="02DD76CE"/>
    <w:rsid w:val="02F2136E"/>
    <w:rsid w:val="02F36323"/>
    <w:rsid w:val="02F5619C"/>
    <w:rsid w:val="0326446A"/>
    <w:rsid w:val="032D5555"/>
    <w:rsid w:val="035046C2"/>
    <w:rsid w:val="036634D2"/>
    <w:rsid w:val="03772E0C"/>
    <w:rsid w:val="03807DCC"/>
    <w:rsid w:val="039A756D"/>
    <w:rsid w:val="03BF6CEB"/>
    <w:rsid w:val="03C12BF4"/>
    <w:rsid w:val="03CB2A7D"/>
    <w:rsid w:val="03DD35E4"/>
    <w:rsid w:val="03F659CC"/>
    <w:rsid w:val="04076900"/>
    <w:rsid w:val="041A5A3B"/>
    <w:rsid w:val="042311BA"/>
    <w:rsid w:val="042B157A"/>
    <w:rsid w:val="04355195"/>
    <w:rsid w:val="045E39DC"/>
    <w:rsid w:val="04646B75"/>
    <w:rsid w:val="048F763B"/>
    <w:rsid w:val="049A7F93"/>
    <w:rsid w:val="049F330E"/>
    <w:rsid w:val="04AA775C"/>
    <w:rsid w:val="04AF1889"/>
    <w:rsid w:val="04F66F48"/>
    <w:rsid w:val="05251E14"/>
    <w:rsid w:val="05415DC1"/>
    <w:rsid w:val="054E447B"/>
    <w:rsid w:val="05684DD5"/>
    <w:rsid w:val="05842FE2"/>
    <w:rsid w:val="059B1FB3"/>
    <w:rsid w:val="05A16594"/>
    <w:rsid w:val="05A7762D"/>
    <w:rsid w:val="05A81268"/>
    <w:rsid w:val="05D4686F"/>
    <w:rsid w:val="060321AA"/>
    <w:rsid w:val="060E2E9D"/>
    <w:rsid w:val="060E5941"/>
    <w:rsid w:val="06110FAF"/>
    <w:rsid w:val="06493CA7"/>
    <w:rsid w:val="065A6178"/>
    <w:rsid w:val="066F1CF3"/>
    <w:rsid w:val="06930BB8"/>
    <w:rsid w:val="06BD60A6"/>
    <w:rsid w:val="06C831BB"/>
    <w:rsid w:val="070A6C9E"/>
    <w:rsid w:val="07103C1A"/>
    <w:rsid w:val="071858B2"/>
    <w:rsid w:val="07245D42"/>
    <w:rsid w:val="07264C62"/>
    <w:rsid w:val="07361D96"/>
    <w:rsid w:val="07524BBB"/>
    <w:rsid w:val="0779354C"/>
    <w:rsid w:val="07927789"/>
    <w:rsid w:val="07CB2669"/>
    <w:rsid w:val="07E37F3A"/>
    <w:rsid w:val="08061376"/>
    <w:rsid w:val="08237763"/>
    <w:rsid w:val="08452D77"/>
    <w:rsid w:val="086401F8"/>
    <w:rsid w:val="08751CAA"/>
    <w:rsid w:val="087E4C40"/>
    <w:rsid w:val="08A1141E"/>
    <w:rsid w:val="08A871D0"/>
    <w:rsid w:val="08C77EDE"/>
    <w:rsid w:val="08D179A2"/>
    <w:rsid w:val="08D66AD6"/>
    <w:rsid w:val="08DA33A3"/>
    <w:rsid w:val="08E80F13"/>
    <w:rsid w:val="09335624"/>
    <w:rsid w:val="0944690F"/>
    <w:rsid w:val="09535675"/>
    <w:rsid w:val="095F057D"/>
    <w:rsid w:val="09642282"/>
    <w:rsid w:val="09733572"/>
    <w:rsid w:val="0974583A"/>
    <w:rsid w:val="09772C16"/>
    <w:rsid w:val="098353B5"/>
    <w:rsid w:val="09A92330"/>
    <w:rsid w:val="09B06B87"/>
    <w:rsid w:val="09C13146"/>
    <w:rsid w:val="09E04166"/>
    <w:rsid w:val="0A1C0718"/>
    <w:rsid w:val="0A3D5E32"/>
    <w:rsid w:val="0A3E7710"/>
    <w:rsid w:val="0A5A2926"/>
    <w:rsid w:val="0A5B7E63"/>
    <w:rsid w:val="0A631A57"/>
    <w:rsid w:val="0AA374A5"/>
    <w:rsid w:val="0AAB7649"/>
    <w:rsid w:val="0AB35169"/>
    <w:rsid w:val="0ABC5606"/>
    <w:rsid w:val="0B1E1CDD"/>
    <w:rsid w:val="0B30404E"/>
    <w:rsid w:val="0B4C6C14"/>
    <w:rsid w:val="0B547599"/>
    <w:rsid w:val="0B555B89"/>
    <w:rsid w:val="0B575693"/>
    <w:rsid w:val="0B631A88"/>
    <w:rsid w:val="0B683D45"/>
    <w:rsid w:val="0B7F3F11"/>
    <w:rsid w:val="0B884417"/>
    <w:rsid w:val="0B9D2952"/>
    <w:rsid w:val="0BA4375D"/>
    <w:rsid w:val="0BEE69CD"/>
    <w:rsid w:val="0BF6188C"/>
    <w:rsid w:val="0BF73C91"/>
    <w:rsid w:val="0BF8699B"/>
    <w:rsid w:val="0C170175"/>
    <w:rsid w:val="0C1C1816"/>
    <w:rsid w:val="0C1E1FC0"/>
    <w:rsid w:val="0C4164BA"/>
    <w:rsid w:val="0C571A41"/>
    <w:rsid w:val="0C5B233E"/>
    <w:rsid w:val="0C5C1171"/>
    <w:rsid w:val="0C5E1CBC"/>
    <w:rsid w:val="0C615B50"/>
    <w:rsid w:val="0C6630E7"/>
    <w:rsid w:val="0C7C1F80"/>
    <w:rsid w:val="0C841CBD"/>
    <w:rsid w:val="0C8445DA"/>
    <w:rsid w:val="0C87121B"/>
    <w:rsid w:val="0CA520B2"/>
    <w:rsid w:val="0CAE1D7A"/>
    <w:rsid w:val="0CC007F7"/>
    <w:rsid w:val="0CC617AC"/>
    <w:rsid w:val="0CD01471"/>
    <w:rsid w:val="0CD90FF1"/>
    <w:rsid w:val="0CDD028F"/>
    <w:rsid w:val="0CE618DF"/>
    <w:rsid w:val="0CF41708"/>
    <w:rsid w:val="0CFE707A"/>
    <w:rsid w:val="0D063BDA"/>
    <w:rsid w:val="0D08375F"/>
    <w:rsid w:val="0D0A5704"/>
    <w:rsid w:val="0D184CFB"/>
    <w:rsid w:val="0D205087"/>
    <w:rsid w:val="0D4A7419"/>
    <w:rsid w:val="0D4B03DD"/>
    <w:rsid w:val="0D50643D"/>
    <w:rsid w:val="0D73545D"/>
    <w:rsid w:val="0D827401"/>
    <w:rsid w:val="0D84094E"/>
    <w:rsid w:val="0D8A00E9"/>
    <w:rsid w:val="0D8D589E"/>
    <w:rsid w:val="0DA01C73"/>
    <w:rsid w:val="0DA111EB"/>
    <w:rsid w:val="0DD63300"/>
    <w:rsid w:val="0DE21F87"/>
    <w:rsid w:val="0DE47FA6"/>
    <w:rsid w:val="0DF50604"/>
    <w:rsid w:val="0DF702FE"/>
    <w:rsid w:val="0E060E51"/>
    <w:rsid w:val="0E5604B2"/>
    <w:rsid w:val="0E6D5D79"/>
    <w:rsid w:val="0E907C1D"/>
    <w:rsid w:val="0E9D0089"/>
    <w:rsid w:val="0EB803EE"/>
    <w:rsid w:val="0EC948FB"/>
    <w:rsid w:val="0EF93F0B"/>
    <w:rsid w:val="0EF94D4B"/>
    <w:rsid w:val="0F4958DC"/>
    <w:rsid w:val="0F515DF7"/>
    <w:rsid w:val="0F596BA8"/>
    <w:rsid w:val="0F6248D2"/>
    <w:rsid w:val="0F693536"/>
    <w:rsid w:val="0F7B0511"/>
    <w:rsid w:val="0F7B76D9"/>
    <w:rsid w:val="0F816ACD"/>
    <w:rsid w:val="0F833462"/>
    <w:rsid w:val="0F9832DB"/>
    <w:rsid w:val="0FBF3FD2"/>
    <w:rsid w:val="0FBF7FF3"/>
    <w:rsid w:val="0FC908B0"/>
    <w:rsid w:val="0FCE5613"/>
    <w:rsid w:val="0FDE284E"/>
    <w:rsid w:val="101E2C79"/>
    <w:rsid w:val="105F1059"/>
    <w:rsid w:val="10601B53"/>
    <w:rsid w:val="10646583"/>
    <w:rsid w:val="107D4B15"/>
    <w:rsid w:val="108A3C80"/>
    <w:rsid w:val="10C26171"/>
    <w:rsid w:val="10D064BB"/>
    <w:rsid w:val="10F33360"/>
    <w:rsid w:val="10FC16EA"/>
    <w:rsid w:val="110F1D40"/>
    <w:rsid w:val="11266F33"/>
    <w:rsid w:val="11507751"/>
    <w:rsid w:val="1162599E"/>
    <w:rsid w:val="118963A1"/>
    <w:rsid w:val="118F1DEA"/>
    <w:rsid w:val="119419EC"/>
    <w:rsid w:val="11AF44AC"/>
    <w:rsid w:val="11BC24C2"/>
    <w:rsid w:val="11BC3956"/>
    <w:rsid w:val="11C6522A"/>
    <w:rsid w:val="11D010D8"/>
    <w:rsid w:val="11E104CC"/>
    <w:rsid w:val="11E20309"/>
    <w:rsid w:val="11EC1D1D"/>
    <w:rsid w:val="12040CA9"/>
    <w:rsid w:val="12255233"/>
    <w:rsid w:val="12530213"/>
    <w:rsid w:val="1265440D"/>
    <w:rsid w:val="127723A9"/>
    <w:rsid w:val="12862074"/>
    <w:rsid w:val="12883966"/>
    <w:rsid w:val="129E45B4"/>
    <w:rsid w:val="12CC2D3E"/>
    <w:rsid w:val="12D81596"/>
    <w:rsid w:val="12E61BD1"/>
    <w:rsid w:val="1301270F"/>
    <w:rsid w:val="13072A44"/>
    <w:rsid w:val="13291EB0"/>
    <w:rsid w:val="1332653D"/>
    <w:rsid w:val="133E70C5"/>
    <w:rsid w:val="134834E2"/>
    <w:rsid w:val="135F4BE2"/>
    <w:rsid w:val="137B2A7B"/>
    <w:rsid w:val="139B1A0A"/>
    <w:rsid w:val="139D25C7"/>
    <w:rsid w:val="13A20753"/>
    <w:rsid w:val="13BF3CE4"/>
    <w:rsid w:val="141008D8"/>
    <w:rsid w:val="14125FE6"/>
    <w:rsid w:val="146D271E"/>
    <w:rsid w:val="14982588"/>
    <w:rsid w:val="149A5AD9"/>
    <w:rsid w:val="14A7619D"/>
    <w:rsid w:val="14A82665"/>
    <w:rsid w:val="150536C3"/>
    <w:rsid w:val="150613FD"/>
    <w:rsid w:val="1509664E"/>
    <w:rsid w:val="150C1963"/>
    <w:rsid w:val="151447A0"/>
    <w:rsid w:val="15434404"/>
    <w:rsid w:val="154A6454"/>
    <w:rsid w:val="15720D94"/>
    <w:rsid w:val="157421B5"/>
    <w:rsid w:val="15762120"/>
    <w:rsid w:val="16367E70"/>
    <w:rsid w:val="16A8729C"/>
    <w:rsid w:val="16B33777"/>
    <w:rsid w:val="16BC70A7"/>
    <w:rsid w:val="16C6339E"/>
    <w:rsid w:val="16CB3F3E"/>
    <w:rsid w:val="1714795E"/>
    <w:rsid w:val="172F2D79"/>
    <w:rsid w:val="17557BEF"/>
    <w:rsid w:val="178A5777"/>
    <w:rsid w:val="1790796C"/>
    <w:rsid w:val="17C942A7"/>
    <w:rsid w:val="17D1049D"/>
    <w:rsid w:val="17D349C1"/>
    <w:rsid w:val="18244F26"/>
    <w:rsid w:val="182D03D8"/>
    <w:rsid w:val="1830729E"/>
    <w:rsid w:val="1870062C"/>
    <w:rsid w:val="18817102"/>
    <w:rsid w:val="18830A15"/>
    <w:rsid w:val="18852B28"/>
    <w:rsid w:val="188B5321"/>
    <w:rsid w:val="1898330E"/>
    <w:rsid w:val="189C32CA"/>
    <w:rsid w:val="18AE2F08"/>
    <w:rsid w:val="194435C4"/>
    <w:rsid w:val="197B2D25"/>
    <w:rsid w:val="19932372"/>
    <w:rsid w:val="19A20DD5"/>
    <w:rsid w:val="19AE03F1"/>
    <w:rsid w:val="19BE215E"/>
    <w:rsid w:val="1A071A03"/>
    <w:rsid w:val="1A1F16AE"/>
    <w:rsid w:val="1A3B5C77"/>
    <w:rsid w:val="1A6C3968"/>
    <w:rsid w:val="1A804F9D"/>
    <w:rsid w:val="1A8F4728"/>
    <w:rsid w:val="1A984BAD"/>
    <w:rsid w:val="1AB8220E"/>
    <w:rsid w:val="1AE4166C"/>
    <w:rsid w:val="1AF06CFB"/>
    <w:rsid w:val="1AF10637"/>
    <w:rsid w:val="1AF11B8D"/>
    <w:rsid w:val="1B11359C"/>
    <w:rsid w:val="1B2776FF"/>
    <w:rsid w:val="1B2A271F"/>
    <w:rsid w:val="1B363E1A"/>
    <w:rsid w:val="1B530544"/>
    <w:rsid w:val="1B713184"/>
    <w:rsid w:val="1B86304B"/>
    <w:rsid w:val="1BA209CF"/>
    <w:rsid w:val="1BB4777D"/>
    <w:rsid w:val="1BD75AB8"/>
    <w:rsid w:val="1BFA76C4"/>
    <w:rsid w:val="1C0459C2"/>
    <w:rsid w:val="1C1737F0"/>
    <w:rsid w:val="1C1B3B4A"/>
    <w:rsid w:val="1C88086E"/>
    <w:rsid w:val="1CBD4819"/>
    <w:rsid w:val="1CC022B7"/>
    <w:rsid w:val="1CC57C7F"/>
    <w:rsid w:val="1CE7157E"/>
    <w:rsid w:val="1D0D0C8C"/>
    <w:rsid w:val="1D266CE1"/>
    <w:rsid w:val="1D3963AF"/>
    <w:rsid w:val="1D3A1AFC"/>
    <w:rsid w:val="1D3D55C7"/>
    <w:rsid w:val="1D4A31E4"/>
    <w:rsid w:val="1D4A664D"/>
    <w:rsid w:val="1D6A673C"/>
    <w:rsid w:val="1D6D3EEF"/>
    <w:rsid w:val="1D792624"/>
    <w:rsid w:val="1D8B0538"/>
    <w:rsid w:val="1D9247AE"/>
    <w:rsid w:val="1DA61329"/>
    <w:rsid w:val="1DB567EC"/>
    <w:rsid w:val="1DCC1345"/>
    <w:rsid w:val="1DEE6419"/>
    <w:rsid w:val="1DF51A98"/>
    <w:rsid w:val="1E051CD9"/>
    <w:rsid w:val="1E081DB7"/>
    <w:rsid w:val="1E3D060F"/>
    <w:rsid w:val="1E3F7D2E"/>
    <w:rsid w:val="1E4134E4"/>
    <w:rsid w:val="1E5062B3"/>
    <w:rsid w:val="1E523514"/>
    <w:rsid w:val="1E6C2AF8"/>
    <w:rsid w:val="1E714A66"/>
    <w:rsid w:val="1E802593"/>
    <w:rsid w:val="1E8B6156"/>
    <w:rsid w:val="1EA176BE"/>
    <w:rsid w:val="1EA703CC"/>
    <w:rsid w:val="1EAD11F7"/>
    <w:rsid w:val="1EB7330C"/>
    <w:rsid w:val="1EDC2C27"/>
    <w:rsid w:val="1F0A0FF3"/>
    <w:rsid w:val="1F5771FF"/>
    <w:rsid w:val="1F744118"/>
    <w:rsid w:val="1FA41A90"/>
    <w:rsid w:val="1FB87851"/>
    <w:rsid w:val="1FBE2977"/>
    <w:rsid w:val="1FD52574"/>
    <w:rsid w:val="1FE63BE8"/>
    <w:rsid w:val="1FE868A9"/>
    <w:rsid w:val="20034907"/>
    <w:rsid w:val="200603BB"/>
    <w:rsid w:val="20173E4B"/>
    <w:rsid w:val="20320828"/>
    <w:rsid w:val="20392D4B"/>
    <w:rsid w:val="204E48BC"/>
    <w:rsid w:val="20505DFA"/>
    <w:rsid w:val="208921B3"/>
    <w:rsid w:val="20973DEB"/>
    <w:rsid w:val="20A63D96"/>
    <w:rsid w:val="20AB0F20"/>
    <w:rsid w:val="20B26522"/>
    <w:rsid w:val="20B43D2D"/>
    <w:rsid w:val="20B44310"/>
    <w:rsid w:val="20B87907"/>
    <w:rsid w:val="20CD55CC"/>
    <w:rsid w:val="20F47A6D"/>
    <w:rsid w:val="211116EB"/>
    <w:rsid w:val="21554B52"/>
    <w:rsid w:val="216133FC"/>
    <w:rsid w:val="217C42C4"/>
    <w:rsid w:val="21D56769"/>
    <w:rsid w:val="21E52EF3"/>
    <w:rsid w:val="21FB5D7B"/>
    <w:rsid w:val="22015E94"/>
    <w:rsid w:val="220B1C3D"/>
    <w:rsid w:val="2217240B"/>
    <w:rsid w:val="22196E8D"/>
    <w:rsid w:val="221D1D20"/>
    <w:rsid w:val="221E6CF9"/>
    <w:rsid w:val="2229724F"/>
    <w:rsid w:val="22334A87"/>
    <w:rsid w:val="225B2CCF"/>
    <w:rsid w:val="22A2702D"/>
    <w:rsid w:val="22BE6801"/>
    <w:rsid w:val="22CD0415"/>
    <w:rsid w:val="22E95145"/>
    <w:rsid w:val="22FF657D"/>
    <w:rsid w:val="2302564C"/>
    <w:rsid w:val="230B2CB7"/>
    <w:rsid w:val="23111551"/>
    <w:rsid w:val="233500BF"/>
    <w:rsid w:val="23377FF7"/>
    <w:rsid w:val="23511E39"/>
    <w:rsid w:val="2368378F"/>
    <w:rsid w:val="236B425F"/>
    <w:rsid w:val="23836192"/>
    <w:rsid w:val="23901F29"/>
    <w:rsid w:val="239C0061"/>
    <w:rsid w:val="23B908A4"/>
    <w:rsid w:val="23CA4F53"/>
    <w:rsid w:val="23E95BEF"/>
    <w:rsid w:val="23E96F21"/>
    <w:rsid w:val="23FD0064"/>
    <w:rsid w:val="24082954"/>
    <w:rsid w:val="24243ABF"/>
    <w:rsid w:val="245375B0"/>
    <w:rsid w:val="24613E12"/>
    <w:rsid w:val="2461424B"/>
    <w:rsid w:val="24642C0A"/>
    <w:rsid w:val="24970DA1"/>
    <w:rsid w:val="24B22173"/>
    <w:rsid w:val="24B95AD9"/>
    <w:rsid w:val="24BE24DA"/>
    <w:rsid w:val="24CF5825"/>
    <w:rsid w:val="24D663E6"/>
    <w:rsid w:val="24D77F2B"/>
    <w:rsid w:val="251057BD"/>
    <w:rsid w:val="25526515"/>
    <w:rsid w:val="2585779A"/>
    <w:rsid w:val="258B00E2"/>
    <w:rsid w:val="25A416A2"/>
    <w:rsid w:val="25A917A6"/>
    <w:rsid w:val="25B6013B"/>
    <w:rsid w:val="25BE27CC"/>
    <w:rsid w:val="25E06FCB"/>
    <w:rsid w:val="25F74A5C"/>
    <w:rsid w:val="26075651"/>
    <w:rsid w:val="2628662C"/>
    <w:rsid w:val="262D45DE"/>
    <w:rsid w:val="267621AB"/>
    <w:rsid w:val="26871DC8"/>
    <w:rsid w:val="26987AFC"/>
    <w:rsid w:val="26A53EF9"/>
    <w:rsid w:val="26A94201"/>
    <w:rsid w:val="26AC274F"/>
    <w:rsid w:val="26AE40F6"/>
    <w:rsid w:val="26AE6CBB"/>
    <w:rsid w:val="26C54491"/>
    <w:rsid w:val="27044A29"/>
    <w:rsid w:val="271550A2"/>
    <w:rsid w:val="271C7216"/>
    <w:rsid w:val="271D34C8"/>
    <w:rsid w:val="272E3D16"/>
    <w:rsid w:val="27372229"/>
    <w:rsid w:val="273F7692"/>
    <w:rsid w:val="276142BF"/>
    <w:rsid w:val="27783712"/>
    <w:rsid w:val="278E7D82"/>
    <w:rsid w:val="27907362"/>
    <w:rsid w:val="27AB268C"/>
    <w:rsid w:val="27C543F8"/>
    <w:rsid w:val="27D31084"/>
    <w:rsid w:val="27EE6F42"/>
    <w:rsid w:val="27F00191"/>
    <w:rsid w:val="27FB3137"/>
    <w:rsid w:val="280451E0"/>
    <w:rsid w:val="28233942"/>
    <w:rsid w:val="28320C0D"/>
    <w:rsid w:val="28333E1D"/>
    <w:rsid w:val="28454BD6"/>
    <w:rsid w:val="28455253"/>
    <w:rsid w:val="28551971"/>
    <w:rsid w:val="285B1C53"/>
    <w:rsid w:val="286D7392"/>
    <w:rsid w:val="289812AF"/>
    <w:rsid w:val="289F7086"/>
    <w:rsid w:val="28C32028"/>
    <w:rsid w:val="28CC490F"/>
    <w:rsid w:val="28DC2474"/>
    <w:rsid w:val="28DE40AA"/>
    <w:rsid w:val="28E90F62"/>
    <w:rsid w:val="292439B7"/>
    <w:rsid w:val="29345E77"/>
    <w:rsid w:val="294C65AD"/>
    <w:rsid w:val="295945F7"/>
    <w:rsid w:val="297E5272"/>
    <w:rsid w:val="29806583"/>
    <w:rsid w:val="298B3C4C"/>
    <w:rsid w:val="29B42C36"/>
    <w:rsid w:val="29EA524C"/>
    <w:rsid w:val="29F26D24"/>
    <w:rsid w:val="2A15033F"/>
    <w:rsid w:val="2A1662C1"/>
    <w:rsid w:val="2A1C7367"/>
    <w:rsid w:val="2A2815FA"/>
    <w:rsid w:val="2A2A0122"/>
    <w:rsid w:val="2A48258A"/>
    <w:rsid w:val="2A6D6092"/>
    <w:rsid w:val="2A7D76B4"/>
    <w:rsid w:val="2AC01A0D"/>
    <w:rsid w:val="2B023EDE"/>
    <w:rsid w:val="2B09293F"/>
    <w:rsid w:val="2B1D7A62"/>
    <w:rsid w:val="2B20195C"/>
    <w:rsid w:val="2B437463"/>
    <w:rsid w:val="2B7807EE"/>
    <w:rsid w:val="2B9B3DE8"/>
    <w:rsid w:val="2BA50BF7"/>
    <w:rsid w:val="2BBF00EC"/>
    <w:rsid w:val="2BC37CFD"/>
    <w:rsid w:val="2BD5237F"/>
    <w:rsid w:val="2BDE5160"/>
    <w:rsid w:val="2BE0593F"/>
    <w:rsid w:val="2BE536CE"/>
    <w:rsid w:val="2BE5638C"/>
    <w:rsid w:val="2BE758D9"/>
    <w:rsid w:val="2BF346BB"/>
    <w:rsid w:val="2BFE6CED"/>
    <w:rsid w:val="2C017B11"/>
    <w:rsid w:val="2C041743"/>
    <w:rsid w:val="2C09049E"/>
    <w:rsid w:val="2C0A653C"/>
    <w:rsid w:val="2C0F23A5"/>
    <w:rsid w:val="2C191F85"/>
    <w:rsid w:val="2C3F6EC9"/>
    <w:rsid w:val="2C5B3CA9"/>
    <w:rsid w:val="2CAC6A50"/>
    <w:rsid w:val="2CE82D6F"/>
    <w:rsid w:val="2CF1073B"/>
    <w:rsid w:val="2D052664"/>
    <w:rsid w:val="2D0B1745"/>
    <w:rsid w:val="2D343236"/>
    <w:rsid w:val="2D413EF0"/>
    <w:rsid w:val="2D575011"/>
    <w:rsid w:val="2D5A6691"/>
    <w:rsid w:val="2D5B014B"/>
    <w:rsid w:val="2D6D38A5"/>
    <w:rsid w:val="2DBD4B32"/>
    <w:rsid w:val="2DD15014"/>
    <w:rsid w:val="2DD747E8"/>
    <w:rsid w:val="2DEE1C87"/>
    <w:rsid w:val="2DF72DE4"/>
    <w:rsid w:val="2DFE597F"/>
    <w:rsid w:val="2E0220AF"/>
    <w:rsid w:val="2E1A39AF"/>
    <w:rsid w:val="2E3330F9"/>
    <w:rsid w:val="2E4B082A"/>
    <w:rsid w:val="2E5D4E86"/>
    <w:rsid w:val="2E5D790B"/>
    <w:rsid w:val="2E6932C2"/>
    <w:rsid w:val="2E9A3C18"/>
    <w:rsid w:val="2EBB0FEE"/>
    <w:rsid w:val="2EC63002"/>
    <w:rsid w:val="2F0A6B38"/>
    <w:rsid w:val="2F157A16"/>
    <w:rsid w:val="2F633E2C"/>
    <w:rsid w:val="2F7366F2"/>
    <w:rsid w:val="2F946CCB"/>
    <w:rsid w:val="2F9E23BE"/>
    <w:rsid w:val="2FB11F5C"/>
    <w:rsid w:val="2FD25781"/>
    <w:rsid w:val="2FDC745C"/>
    <w:rsid w:val="2FFD7934"/>
    <w:rsid w:val="301275D0"/>
    <w:rsid w:val="3019631B"/>
    <w:rsid w:val="303843F5"/>
    <w:rsid w:val="303C2BA8"/>
    <w:rsid w:val="304F0FEB"/>
    <w:rsid w:val="305B6ED8"/>
    <w:rsid w:val="30666833"/>
    <w:rsid w:val="30733ACD"/>
    <w:rsid w:val="308C3862"/>
    <w:rsid w:val="30927CA0"/>
    <w:rsid w:val="309379D8"/>
    <w:rsid w:val="30A20676"/>
    <w:rsid w:val="30A270F7"/>
    <w:rsid w:val="30AB012D"/>
    <w:rsid w:val="30DC0597"/>
    <w:rsid w:val="30DF1478"/>
    <w:rsid w:val="30EC586F"/>
    <w:rsid w:val="31045716"/>
    <w:rsid w:val="310D77FB"/>
    <w:rsid w:val="31484D84"/>
    <w:rsid w:val="31540198"/>
    <w:rsid w:val="317315BA"/>
    <w:rsid w:val="3183186B"/>
    <w:rsid w:val="319C6071"/>
    <w:rsid w:val="31AC537E"/>
    <w:rsid w:val="31D75713"/>
    <w:rsid w:val="31E3679B"/>
    <w:rsid w:val="31E732FD"/>
    <w:rsid w:val="32517576"/>
    <w:rsid w:val="328D7756"/>
    <w:rsid w:val="32B23C2D"/>
    <w:rsid w:val="32BE5C2C"/>
    <w:rsid w:val="32CD7542"/>
    <w:rsid w:val="32EB1476"/>
    <w:rsid w:val="32F14D54"/>
    <w:rsid w:val="32FB6478"/>
    <w:rsid w:val="330876E7"/>
    <w:rsid w:val="330E7B7F"/>
    <w:rsid w:val="33263B3F"/>
    <w:rsid w:val="336963EB"/>
    <w:rsid w:val="33810A0F"/>
    <w:rsid w:val="33816EEB"/>
    <w:rsid w:val="338423DD"/>
    <w:rsid w:val="338E2A02"/>
    <w:rsid w:val="33925AD0"/>
    <w:rsid w:val="33EB55CD"/>
    <w:rsid w:val="33EC4C02"/>
    <w:rsid w:val="340D2360"/>
    <w:rsid w:val="3410665D"/>
    <w:rsid w:val="34211214"/>
    <w:rsid w:val="342E63AB"/>
    <w:rsid w:val="34340B78"/>
    <w:rsid w:val="345A62D7"/>
    <w:rsid w:val="34950E68"/>
    <w:rsid w:val="34986E94"/>
    <w:rsid w:val="349D0BF0"/>
    <w:rsid w:val="34AF62C9"/>
    <w:rsid w:val="34CB4388"/>
    <w:rsid w:val="34F565DC"/>
    <w:rsid w:val="34FA6E12"/>
    <w:rsid w:val="3528662F"/>
    <w:rsid w:val="3548033E"/>
    <w:rsid w:val="354D7158"/>
    <w:rsid w:val="35595DBB"/>
    <w:rsid w:val="358D5588"/>
    <w:rsid w:val="35B357AD"/>
    <w:rsid w:val="35E45E4B"/>
    <w:rsid w:val="35F94ECD"/>
    <w:rsid w:val="35FF6287"/>
    <w:rsid w:val="36070CBD"/>
    <w:rsid w:val="36304469"/>
    <w:rsid w:val="363A3B40"/>
    <w:rsid w:val="365302AE"/>
    <w:rsid w:val="36607A0A"/>
    <w:rsid w:val="366E227C"/>
    <w:rsid w:val="366F2E0D"/>
    <w:rsid w:val="367B6A5C"/>
    <w:rsid w:val="36A56352"/>
    <w:rsid w:val="36A74ADA"/>
    <w:rsid w:val="36AD60D5"/>
    <w:rsid w:val="36B224F9"/>
    <w:rsid w:val="36C11399"/>
    <w:rsid w:val="36DD1ABC"/>
    <w:rsid w:val="36EC0CC9"/>
    <w:rsid w:val="372D476F"/>
    <w:rsid w:val="372E04CB"/>
    <w:rsid w:val="373F410B"/>
    <w:rsid w:val="37425456"/>
    <w:rsid w:val="37632CC9"/>
    <w:rsid w:val="37AA7D4E"/>
    <w:rsid w:val="37E7582E"/>
    <w:rsid w:val="37EC250A"/>
    <w:rsid w:val="37EE7094"/>
    <w:rsid w:val="38296C89"/>
    <w:rsid w:val="383002EB"/>
    <w:rsid w:val="38586797"/>
    <w:rsid w:val="385D15DF"/>
    <w:rsid w:val="386D1D8B"/>
    <w:rsid w:val="38762617"/>
    <w:rsid w:val="388B46F7"/>
    <w:rsid w:val="38BC0149"/>
    <w:rsid w:val="38D46327"/>
    <w:rsid w:val="38D87D1C"/>
    <w:rsid w:val="39351138"/>
    <w:rsid w:val="39636459"/>
    <w:rsid w:val="396B7F6C"/>
    <w:rsid w:val="39B142B9"/>
    <w:rsid w:val="39B2402C"/>
    <w:rsid w:val="39B417A9"/>
    <w:rsid w:val="39C608ED"/>
    <w:rsid w:val="39CD7683"/>
    <w:rsid w:val="39E47A3D"/>
    <w:rsid w:val="39FC5695"/>
    <w:rsid w:val="39FD1201"/>
    <w:rsid w:val="3A006D8E"/>
    <w:rsid w:val="3A085499"/>
    <w:rsid w:val="3A3651E5"/>
    <w:rsid w:val="3A744481"/>
    <w:rsid w:val="3A7E7A4E"/>
    <w:rsid w:val="3A8C7BEF"/>
    <w:rsid w:val="3A906246"/>
    <w:rsid w:val="3AD75A2E"/>
    <w:rsid w:val="3AFB6916"/>
    <w:rsid w:val="3B0935E6"/>
    <w:rsid w:val="3B103F10"/>
    <w:rsid w:val="3B1918E3"/>
    <w:rsid w:val="3B2349B7"/>
    <w:rsid w:val="3B616CFF"/>
    <w:rsid w:val="3B6259F6"/>
    <w:rsid w:val="3B7B6023"/>
    <w:rsid w:val="3B832E41"/>
    <w:rsid w:val="3B94788E"/>
    <w:rsid w:val="3B976654"/>
    <w:rsid w:val="3BA43EEC"/>
    <w:rsid w:val="3BB83F2C"/>
    <w:rsid w:val="3BC01EFC"/>
    <w:rsid w:val="3BCA786A"/>
    <w:rsid w:val="3BD178DB"/>
    <w:rsid w:val="3BD31E2F"/>
    <w:rsid w:val="3BE42827"/>
    <w:rsid w:val="3BF15831"/>
    <w:rsid w:val="3BF15873"/>
    <w:rsid w:val="3BFF79DD"/>
    <w:rsid w:val="3C105946"/>
    <w:rsid w:val="3C2C537B"/>
    <w:rsid w:val="3C471448"/>
    <w:rsid w:val="3C49026A"/>
    <w:rsid w:val="3C5F759A"/>
    <w:rsid w:val="3C6C525A"/>
    <w:rsid w:val="3C724E1E"/>
    <w:rsid w:val="3C727F5D"/>
    <w:rsid w:val="3C8E413E"/>
    <w:rsid w:val="3CA75181"/>
    <w:rsid w:val="3CCE23CB"/>
    <w:rsid w:val="3CD17D17"/>
    <w:rsid w:val="3CE40C04"/>
    <w:rsid w:val="3CF57EC0"/>
    <w:rsid w:val="3D095D87"/>
    <w:rsid w:val="3D3C7F39"/>
    <w:rsid w:val="3D440F09"/>
    <w:rsid w:val="3D4504A0"/>
    <w:rsid w:val="3D584147"/>
    <w:rsid w:val="3D8734BB"/>
    <w:rsid w:val="3D9A11D4"/>
    <w:rsid w:val="3DA16D89"/>
    <w:rsid w:val="3DA364BE"/>
    <w:rsid w:val="3DCB5B49"/>
    <w:rsid w:val="3DE041CB"/>
    <w:rsid w:val="3E0D48F6"/>
    <w:rsid w:val="3E1868B4"/>
    <w:rsid w:val="3E377251"/>
    <w:rsid w:val="3E42664B"/>
    <w:rsid w:val="3E5A7334"/>
    <w:rsid w:val="3E750A7A"/>
    <w:rsid w:val="3E7B5D6B"/>
    <w:rsid w:val="3E843E66"/>
    <w:rsid w:val="3E8F51FE"/>
    <w:rsid w:val="3E926F87"/>
    <w:rsid w:val="3E9A59DE"/>
    <w:rsid w:val="3EAF4836"/>
    <w:rsid w:val="3EC33DFA"/>
    <w:rsid w:val="3EEC611C"/>
    <w:rsid w:val="3EEF0E2E"/>
    <w:rsid w:val="3EF56568"/>
    <w:rsid w:val="3F060E16"/>
    <w:rsid w:val="3F174BDD"/>
    <w:rsid w:val="3F1D1096"/>
    <w:rsid w:val="3F2F0234"/>
    <w:rsid w:val="3F4759C4"/>
    <w:rsid w:val="3F557A91"/>
    <w:rsid w:val="3F6363FE"/>
    <w:rsid w:val="3F6414DE"/>
    <w:rsid w:val="3F670307"/>
    <w:rsid w:val="3F756B8F"/>
    <w:rsid w:val="3F95482B"/>
    <w:rsid w:val="3F9945FF"/>
    <w:rsid w:val="3FC715CE"/>
    <w:rsid w:val="3FD132FB"/>
    <w:rsid w:val="3FD24232"/>
    <w:rsid w:val="3FE16B9F"/>
    <w:rsid w:val="40045C0D"/>
    <w:rsid w:val="400D7869"/>
    <w:rsid w:val="4019356B"/>
    <w:rsid w:val="404C24B4"/>
    <w:rsid w:val="40592157"/>
    <w:rsid w:val="406E1CAE"/>
    <w:rsid w:val="409775EA"/>
    <w:rsid w:val="409A4101"/>
    <w:rsid w:val="40A0133A"/>
    <w:rsid w:val="40C24465"/>
    <w:rsid w:val="40C31A53"/>
    <w:rsid w:val="40F1625F"/>
    <w:rsid w:val="40FF545D"/>
    <w:rsid w:val="410067C8"/>
    <w:rsid w:val="410718EA"/>
    <w:rsid w:val="411C7BAE"/>
    <w:rsid w:val="41302EBB"/>
    <w:rsid w:val="418459FB"/>
    <w:rsid w:val="418F0D2A"/>
    <w:rsid w:val="419A1B3F"/>
    <w:rsid w:val="41A118EB"/>
    <w:rsid w:val="41C04EEB"/>
    <w:rsid w:val="41C25D13"/>
    <w:rsid w:val="41C5321A"/>
    <w:rsid w:val="41D01505"/>
    <w:rsid w:val="420109C6"/>
    <w:rsid w:val="42021CC8"/>
    <w:rsid w:val="420E7F6A"/>
    <w:rsid w:val="42250FE1"/>
    <w:rsid w:val="422E79CE"/>
    <w:rsid w:val="42474939"/>
    <w:rsid w:val="424C3C57"/>
    <w:rsid w:val="42613FF3"/>
    <w:rsid w:val="42660D96"/>
    <w:rsid w:val="427C7EC8"/>
    <w:rsid w:val="42825A3B"/>
    <w:rsid w:val="428667D2"/>
    <w:rsid w:val="42CD1CE0"/>
    <w:rsid w:val="42E1381E"/>
    <w:rsid w:val="42ED6459"/>
    <w:rsid w:val="42FD3149"/>
    <w:rsid w:val="42FE58DD"/>
    <w:rsid w:val="43174B3D"/>
    <w:rsid w:val="431A627B"/>
    <w:rsid w:val="434B790E"/>
    <w:rsid w:val="43507058"/>
    <w:rsid w:val="4360274F"/>
    <w:rsid w:val="438533CB"/>
    <w:rsid w:val="43977AB6"/>
    <w:rsid w:val="43A3342B"/>
    <w:rsid w:val="43C77C27"/>
    <w:rsid w:val="43DE09EE"/>
    <w:rsid w:val="44002FAD"/>
    <w:rsid w:val="443231BD"/>
    <w:rsid w:val="443D2D9B"/>
    <w:rsid w:val="44522D5A"/>
    <w:rsid w:val="449101DD"/>
    <w:rsid w:val="449663BD"/>
    <w:rsid w:val="44D636C6"/>
    <w:rsid w:val="44DE1391"/>
    <w:rsid w:val="451B225C"/>
    <w:rsid w:val="452410C9"/>
    <w:rsid w:val="45317DFB"/>
    <w:rsid w:val="456D3CE4"/>
    <w:rsid w:val="4579042C"/>
    <w:rsid w:val="457F0571"/>
    <w:rsid w:val="45851176"/>
    <w:rsid w:val="458F382B"/>
    <w:rsid w:val="45C63B94"/>
    <w:rsid w:val="460E7DA5"/>
    <w:rsid w:val="462C3A25"/>
    <w:rsid w:val="46422483"/>
    <w:rsid w:val="465054AF"/>
    <w:rsid w:val="4659254A"/>
    <w:rsid w:val="465B0637"/>
    <w:rsid w:val="465E3F0D"/>
    <w:rsid w:val="466A16E6"/>
    <w:rsid w:val="467F145A"/>
    <w:rsid w:val="46802308"/>
    <w:rsid w:val="46893F2B"/>
    <w:rsid w:val="46AE6F33"/>
    <w:rsid w:val="46C4686E"/>
    <w:rsid w:val="46F838C8"/>
    <w:rsid w:val="47517D3A"/>
    <w:rsid w:val="477B778F"/>
    <w:rsid w:val="477C7B9D"/>
    <w:rsid w:val="478203EC"/>
    <w:rsid w:val="479A7419"/>
    <w:rsid w:val="47AD3020"/>
    <w:rsid w:val="47B025FA"/>
    <w:rsid w:val="47C90B25"/>
    <w:rsid w:val="47F83F98"/>
    <w:rsid w:val="4809698F"/>
    <w:rsid w:val="480C231E"/>
    <w:rsid w:val="4811697D"/>
    <w:rsid w:val="48383CC7"/>
    <w:rsid w:val="486D4A20"/>
    <w:rsid w:val="4871646A"/>
    <w:rsid w:val="487A3E25"/>
    <w:rsid w:val="488B5503"/>
    <w:rsid w:val="48937E21"/>
    <w:rsid w:val="489A0361"/>
    <w:rsid w:val="48B94FF3"/>
    <w:rsid w:val="48D21567"/>
    <w:rsid w:val="48D47FCD"/>
    <w:rsid w:val="48E12201"/>
    <w:rsid w:val="48E37AAB"/>
    <w:rsid w:val="48FD4B4C"/>
    <w:rsid w:val="490A68E0"/>
    <w:rsid w:val="491055FE"/>
    <w:rsid w:val="49210164"/>
    <w:rsid w:val="49242907"/>
    <w:rsid w:val="495F5B3E"/>
    <w:rsid w:val="4966204E"/>
    <w:rsid w:val="496F77D7"/>
    <w:rsid w:val="497654FD"/>
    <w:rsid w:val="49896419"/>
    <w:rsid w:val="49B00A5E"/>
    <w:rsid w:val="49B64211"/>
    <w:rsid w:val="49F6167F"/>
    <w:rsid w:val="4A064FA0"/>
    <w:rsid w:val="4A16615C"/>
    <w:rsid w:val="4A2E473D"/>
    <w:rsid w:val="4A421E6C"/>
    <w:rsid w:val="4A4424D7"/>
    <w:rsid w:val="4A6D67B0"/>
    <w:rsid w:val="4A6D6E2B"/>
    <w:rsid w:val="4A87617A"/>
    <w:rsid w:val="4A8810AE"/>
    <w:rsid w:val="4A922767"/>
    <w:rsid w:val="4AB758DB"/>
    <w:rsid w:val="4AB82D0F"/>
    <w:rsid w:val="4AC0562C"/>
    <w:rsid w:val="4AEB7664"/>
    <w:rsid w:val="4AF41157"/>
    <w:rsid w:val="4AFD7C19"/>
    <w:rsid w:val="4B0567D1"/>
    <w:rsid w:val="4B0A1C6E"/>
    <w:rsid w:val="4B1405DC"/>
    <w:rsid w:val="4B236AAE"/>
    <w:rsid w:val="4B343D27"/>
    <w:rsid w:val="4B4F5D43"/>
    <w:rsid w:val="4B707271"/>
    <w:rsid w:val="4B9739F7"/>
    <w:rsid w:val="4BBB014E"/>
    <w:rsid w:val="4BBB2B5B"/>
    <w:rsid w:val="4BCD427D"/>
    <w:rsid w:val="4BE85FBF"/>
    <w:rsid w:val="4BEE2503"/>
    <w:rsid w:val="4C121C6C"/>
    <w:rsid w:val="4C245A30"/>
    <w:rsid w:val="4C5A5CCD"/>
    <w:rsid w:val="4C5C2EBE"/>
    <w:rsid w:val="4C607846"/>
    <w:rsid w:val="4C753C6F"/>
    <w:rsid w:val="4CB6685F"/>
    <w:rsid w:val="4CC367FE"/>
    <w:rsid w:val="4CC456E9"/>
    <w:rsid w:val="4CE0596C"/>
    <w:rsid w:val="4CE75EFE"/>
    <w:rsid w:val="4D077F3C"/>
    <w:rsid w:val="4D123355"/>
    <w:rsid w:val="4D2A3B31"/>
    <w:rsid w:val="4D2C25FB"/>
    <w:rsid w:val="4D312C52"/>
    <w:rsid w:val="4D721765"/>
    <w:rsid w:val="4D8114AA"/>
    <w:rsid w:val="4D905305"/>
    <w:rsid w:val="4D964A72"/>
    <w:rsid w:val="4D9C1254"/>
    <w:rsid w:val="4DD437AE"/>
    <w:rsid w:val="4DFF48C8"/>
    <w:rsid w:val="4E280B54"/>
    <w:rsid w:val="4E350309"/>
    <w:rsid w:val="4E3E2CA6"/>
    <w:rsid w:val="4E793892"/>
    <w:rsid w:val="4E800872"/>
    <w:rsid w:val="4E8A451F"/>
    <w:rsid w:val="4EA72391"/>
    <w:rsid w:val="4EAB3480"/>
    <w:rsid w:val="4EC569ED"/>
    <w:rsid w:val="4ED50EA1"/>
    <w:rsid w:val="4EEC050C"/>
    <w:rsid w:val="4EED0B45"/>
    <w:rsid w:val="4F104EC3"/>
    <w:rsid w:val="4F254237"/>
    <w:rsid w:val="4F47354A"/>
    <w:rsid w:val="4F6C4AC7"/>
    <w:rsid w:val="4F87118C"/>
    <w:rsid w:val="4F911C54"/>
    <w:rsid w:val="4FAA2A0F"/>
    <w:rsid w:val="4FB25807"/>
    <w:rsid w:val="4FB6552F"/>
    <w:rsid w:val="4FC844FF"/>
    <w:rsid w:val="4FE625E0"/>
    <w:rsid w:val="4FF83E26"/>
    <w:rsid w:val="4FF9121F"/>
    <w:rsid w:val="5021480F"/>
    <w:rsid w:val="5079410E"/>
    <w:rsid w:val="50962ECB"/>
    <w:rsid w:val="509B2C02"/>
    <w:rsid w:val="50A42E38"/>
    <w:rsid w:val="50A4577F"/>
    <w:rsid w:val="50B73D1F"/>
    <w:rsid w:val="50BD5BC9"/>
    <w:rsid w:val="50C11EEE"/>
    <w:rsid w:val="50E97CFC"/>
    <w:rsid w:val="50F736A5"/>
    <w:rsid w:val="50FA4028"/>
    <w:rsid w:val="510D65B7"/>
    <w:rsid w:val="510E0CFA"/>
    <w:rsid w:val="511157AB"/>
    <w:rsid w:val="51173130"/>
    <w:rsid w:val="5142540C"/>
    <w:rsid w:val="51811DBB"/>
    <w:rsid w:val="518832C8"/>
    <w:rsid w:val="519D3C50"/>
    <w:rsid w:val="51A0432A"/>
    <w:rsid w:val="51A86090"/>
    <w:rsid w:val="51B7396D"/>
    <w:rsid w:val="51FF1C91"/>
    <w:rsid w:val="522E4CC3"/>
    <w:rsid w:val="5244713B"/>
    <w:rsid w:val="52615633"/>
    <w:rsid w:val="526A39E9"/>
    <w:rsid w:val="526F4DE4"/>
    <w:rsid w:val="52751CB0"/>
    <w:rsid w:val="527E5CE1"/>
    <w:rsid w:val="527F76EB"/>
    <w:rsid w:val="52925A3C"/>
    <w:rsid w:val="52977FD4"/>
    <w:rsid w:val="52A116FA"/>
    <w:rsid w:val="52A25790"/>
    <w:rsid w:val="52A96B6F"/>
    <w:rsid w:val="52B24F04"/>
    <w:rsid w:val="52B45975"/>
    <w:rsid w:val="52C253CE"/>
    <w:rsid w:val="52D81E54"/>
    <w:rsid w:val="52D94AA4"/>
    <w:rsid w:val="52DA5108"/>
    <w:rsid w:val="52EA3A62"/>
    <w:rsid w:val="52EC2AA9"/>
    <w:rsid w:val="52F50BB8"/>
    <w:rsid w:val="53097272"/>
    <w:rsid w:val="531427E9"/>
    <w:rsid w:val="53507BCF"/>
    <w:rsid w:val="53544462"/>
    <w:rsid w:val="53865B77"/>
    <w:rsid w:val="53910532"/>
    <w:rsid w:val="5397158E"/>
    <w:rsid w:val="539A44B0"/>
    <w:rsid w:val="53C5485D"/>
    <w:rsid w:val="54013861"/>
    <w:rsid w:val="541F7E14"/>
    <w:rsid w:val="54487265"/>
    <w:rsid w:val="544D6070"/>
    <w:rsid w:val="54605E1E"/>
    <w:rsid w:val="548B440F"/>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5FB6E97"/>
    <w:rsid w:val="5644008B"/>
    <w:rsid w:val="5649430D"/>
    <w:rsid w:val="56575AA0"/>
    <w:rsid w:val="566B6D1E"/>
    <w:rsid w:val="569A12AC"/>
    <w:rsid w:val="56CA261A"/>
    <w:rsid w:val="57032A2C"/>
    <w:rsid w:val="570F5219"/>
    <w:rsid w:val="57452401"/>
    <w:rsid w:val="575D12B5"/>
    <w:rsid w:val="57610A87"/>
    <w:rsid w:val="577B1140"/>
    <w:rsid w:val="577B7F21"/>
    <w:rsid w:val="577E3A1C"/>
    <w:rsid w:val="577F181B"/>
    <w:rsid w:val="578942F7"/>
    <w:rsid w:val="57921984"/>
    <w:rsid w:val="579737F0"/>
    <w:rsid w:val="57A468C2"/>
    <w:rsid w:val="57A66C3F"/>
    <w:rsid w:val="57AB7B30"/>
    <w:rsid w:val="57AF5251"/>
    <w:rsid w:val="57B26373"/>
    <w:rsid w:val="57B63F04"/>
    <w:rsid w:val="57CD20C2"/>
    <w:rsid w:val="57D675AB"/>
    <w:rsid w:val="57D73717"/>
    <w:rsid w:val="57D95FDD"/>
    <w:rsid w:val="58917D2F"/>
    <w:rsid w:val="5894085C"/>
    <w:rsid w:val="58AE4F0C"/>
    <w:rsid w:val="58B85899"/>
    <w:rsid w:val="58C05D90"/>
    <w:rsid w:val="58D1496F"/>
    <w:rsid w:val="58E363A9"/>
    <w:rsid w:val="59066352"/>
    <w:rsid w:val="59166304"/>
    <w:rsid w:val="5952570D"/>
    <w:rsid w:val="595263FD"/>
    <w:rsid w:val="595E1678"/>
    <w:rsid w:val="596D5BD4"/>
    <w:rsid w:val="597B1AE1"/>
    <w:rsid w:val="597E3DD8"/>
    <w:rsid w:val="598337CC"/>
    <w:rsid w:val="59917398"/>
    <w:rsid w:val="59D6612D"/>
    <w:rsid w:val="59E33A83"/>
    <w:rsid w:val="59F80043"/>
    <w:rsid w:val="5A09252F"/>
    <w:rsid w:val="5A0B2778"/>
    <w:rsid w:val="5A2A5DE1"/>
    <w:rsid w:val="5A2A7C7B"/>
    <w:rsid w:val="5A3E2560"/>
    <w:rsid w:val="5A4411FB"/>
    <w:rsid w:val="5A4A4B31"/>
    <w:rsid w:val="5A5379E1"/>
    <w:rsid w:val="5A5D3B6E"/>
    <w:rsid w:val="5A637A76"/>
    <w:rsid w:val="5A6D33BA"/>
    <w:rsid w:val="5A792B1F"/>
    <w:rsid w:val="5A874767"/>
    <w:rsid w:val="5AA85BE2"/>
    <w:rsid w:val="5AAD6F28"/>
    <w:rsid w:val="5AD63A24"/>
    <w:rsid w:val="5AFF1A90"/>
    <w:rsid w:val="5B2E1A1D"/>
    <w:rsid w:val="5B4A1CB5"/>
    <w:rsid w:val="5B843A1C"/>
    <w:rsid w:val="5B873E3F"/>
    <w:rsid w:val="5BDF44D5"/>
    <w:rsid w:val="5C02690E"/>
    <w:rsid w:val="5C196DA7"/>
    <w:rsid w:val="5C2A048C"/>
    <w:rsid w:val="5C435E21"/>
    <w:rsid w:val="5C80234E"/>
    <w:rsid w:val="5C8A680C"/>
    <w:rsid w:val="5C9A11AC"/>
    <w:rsid w:val="5CA035DF"/>
    <w:rsid w:val="5CA14138"/>
    <w:rsid w:val="5D0C4701"/>
    <w:rsid w:val="5D0F0395"/>
    <w:rsid w:val="5D1527FA"/>
    <w:rsid w:val="5D221076"/>
    <w:rsid w:val="5D2E62B6"/>
    <w:rsid w:val="5D397964"/>
    <w:rsid w:val="5D597720"/>
    <w:rsid w:val="5D5A391C"/>
    <w:rsid w:val="5D5F10C0"/>
    <w:rsid w:val="5D891B7B"/>
    <w:rsid w:val="5D920C30"/>
    <w:rsid w:val="5D98106B"/>
    <w:rsid w:val="5DA57B3B"/>
    <w:rsid w:val="5DAD38EE"/>
    <w:rsid w:val="5DB16269"/>
    <w:rsid w:val="5DB85AE5"/>
    <w:rsid w:val="5E006862"/>
    <w:rsid w:val="5E0207B9"/>
    <w:rsid w:val="5E1834A1"/>
    <w:rsid w:val="5E261785"/>
    <w:rsid w:val="5E4A7017"/>
    <w:rsid w:val="5E4B7C64"/>
    <w:rsid w:val="5E552BBA"/>
    <w:rsid w:val="5E565770"/>
    <w:rsid w:val="5E611C10"/>
    <w:rsid w:val="5E7A0F3F"/>
    <w:rsid w:val="5E852AC1"/>
    <w:rsid w:val="5EC11E59"/>
    <w:rsid w:val="5EFC7377"/>
    <w:rsid w:val="5F06174D"/>
    <w:rsid w:val="5F174152"/>
    <w:rsid w:val="5F287061"/>
    <w:rsid w:val="5F3A3602"/>
    <w:rsid w:val="5F45733B"/>
    <w:rsid w:val="5F5F0972"/>
    <w:rsid w:val="5F6277C6"/>
    <w:rsid w:val="5F6D0B1D"/>
    <w:rsid w:val="5F8D0B82"/>
    <w:rsid w:val="5F9E149B"/>
    <w:rsid w:val="5FCC5339"/>
    <w:rsid w:val="5FE34A5B"/>
    <w:rsid w:val="5FFE1E36"/>
    <w:rsid w:val="60232584"/>
    <w:rsid w:val="60335C18"/>
    <w:rsid w:val="607330CE"/>
    <w:rsid w:val="60825176"/>
    <w:rsid w:val="608F65EA"/>
    <w:rsid w:val="609F2AC4"/>
    <w:rsid w:val="60A64EAA"/>
    <w:rsid w:val="60FA2EE8"/>
    <w:rsid w:val="61054A27"/>
    <w:rsid w:val="610A52BC"/>
    <w:rsid w:val="61150FCA"/>
    <w:rsid w:val="611B77DC"/>
    <w:rsid w:val="611D2366"/>
    <w:rsid w:val="612A23C1"/>
    <w:rsid w:val="612B5BC3"/>
    <w:rsid w:val="61421856"/>
    <w:rsid w:val="615227C4"/>
    <w:rsid w:val="61573A1C"/>
    <w:rsid w:val="615B5B9D"/>
    <w:rsid w:val="61654E3F"/>
    <w:rsid w:val="6182292A"/>
    <w:rsid w:val="61926C4E"/>
    <w:rsid w:val="619F7F92"/>
    <w:rsid w:val="61D415F5"/>
    <w:rsid w:val="61E81EE3"/>
    <w:rsid w:val="61F94C26"/>
    <w:rsid w:val="62000E56"/>
    <w:rsid w:val="6203649B"/>
    <w:rsid w:val="621B5160"/>
    <w:rsid w:val="622163B3"/>
    <w:rsid w:val="624F3E49"/>
    <w:rsid w:val="62632286"/>
    <w:rsid w:val="627E4805"/>
    <w:rsid w:val="62885958"/>
    <w:rsid w:val="62906C9E"/>
    <w:rsid w:val="62BD3AAC"/>
    <w:rsid w:val="62CA6831"/>
    <w:rsid w:val="62D42564"/>
    <w:rsid w:val="62D47A8F"/>
    <w:rsid w:val="62E53885"/>
    <w:rsid w:val="62F40B65"/>
    <w:rsid w:val="62FC2CFE"/>
    <w:rsid w:val="63024505"/>
    <w:rsid w:val="63076678"/>
    <w:rsid w:val="630E6E75"/>
    <w:rsid w:val="631808D5"/>
    <w:rsid w:val="635600A5"/>
    <w:rsid w:val="635B1DB5"/>
    <w:rsid w:val="63711FED"/>
    <w:rsid w:val="63765901"/>
    <w:rsid w:val="63880DDC"/>
    <w:rsid w:val="638D750D"/>
    <w:rsid w:val="63AC6CC0"/>
    <w:rsid w:val="63AD0A3D"/>
    <w:rsid w:val="63BE484B"/>
    <w:rsid w:val="63DE512B"/>
    <w:rsid w:val="64055776"/>
    <w:rsid w:val="640A1EDC"/>
    <w:rsid w:val="640F6E0B"/>
    <w:rsid w:val="641B4F98"/>
    <w:rsid w:val="64240056"/>
    <w:rsid w:val="643E143A"/>
    <w:rsid w:val="64491666"/>
    <w:rsid w:val="6458256F"/>
    <w:rsid w:val="64853F32"/>
    <w:rsid w:val="648B6EEF"/>
    <w:rsid w:val="64C158BF"/>
    <w:rsid w:val="64CD1605"/>
    <w:rsid w:val="64CE2EAA"/>
    <w:rsid w:val="64FB7E3A"/>
    <w:rsid w:val="6519316D"/>
    <w:rsid w:val="653C3090"/>
    <w:rsid w:val="65854376"/>
    <w:rsid w:val="658767BE"/>
    <w:rsid w:val="65892531"/>
    <w:rsid w:val="659C47D8"/>
    <w:rsid w:val="65A40F87"/>
    <w:rsid w:val="65A5070E"/>
    <w:rsid w:val="65BE3902"/>
    <w:rsid w:val="65C23955"/>
    <w:rsid w:val="65C54610"/>
    <w:rsid w:val="65C672A9"/>
    <w:rsid w:val="65CC1539"/>
    <w:rsid w:val="66195831"/>
    <w:rsid w:val="662E75B1"/>
    <w:rsid w:val="66342C2E"/>
    <w:rsid w:val="663E784C"/>
    <w:rsid w:val="664452C4"/>
    <w:rsid w:val="664E2877"/>
    <w:rsid w:val="6660164E"/>
    <w:rsid w:val="667524A1"/>
    <w:rsid w:val="668B6A45"/>
    <w:rsid w:val="669B1168"/>
    <w:rsid w:val="66A15D14"/>
    <w:rsid w:val="66B23906"/>
    <w:rsid w:val="66E86699"/>
    <w:rsid w:val="671372D5"/>
    <w:rsid w:val="672F3F24"/>
    <w:rsid w:val="673E055F"/>
    <w:rsid w:val="67551CE3"/>
    <w:rsid w:val="67777CD5"/>
    <w:rsid w:val="67A22552"/>
    <w:rsid w:val="67B02053"/>
    <w:rsid w:val="67B22DCC"/>
    <w:rsid w:val="67BE71AA"/>
    <w:rsid w:val="67C00981"/>
    <w:rsid w:val="67D90273"/>
    <w:rsid w:val="67DB698C"/>
    <w:rsid w:val="67DE5875"/>
    <w:rsid w:val="67E55852"/>
    <w:rsid w:val="67EB1AB4"/>
    <w:rsid w:val="67FA1285"/>
    <w:rsid w:val="68551F4F"/>
    <w:rsid w:val="687C10C9"/>
    <w:rsid w:val="68840C16"/>
    <w:rsid w:val="68876EFB"/>
    <w:rsid w:val="68884654"/>
    <w:rsid w:val="689F444F"/>
    <w:rsid w:val="68B96DBB"/>
    <w:rsid w:val="68CA2805"/>
    <w:rsid w:val="68E00250"/>
    <w:rsid w:val="68E937A3"/>
    <w:rsid w:val="693E15D3"/>
    <w:rsid w:val="69623539"/>
    <w:rsid w:val="69623E63"/>
    <w:rsid w:val="69627681"/>
    <w:rsid w:val="6977531D"/>
    <w:rsid w:val="69825305"/>
    <w:rsid w:val="69C15E0F"/>
    <w:rsid w:val="69CC2BFF"/>
    <w:rsid w:val="69FD55B8"/>
    <w:rsid w:val="6A0B1C62"/>
    <w:rsid w:val="6A2406C8"/>
    <w:rsid w:val="6A500068"/>
    <w:rsid w:val="6A5505B6"/>
    <w:rsid w:val="6A69091A"/>
    <w:rsid w:val="6A8D40E1"/>
    <w:rsid w:val="6A907028"/>
    <w:rsid w:val="6ADC2325"/>
    <w:rsid w:val="6ADE0BD1"/>
    <w:rsid w:val="6AE96859"/>
    <w:rsid w:val="6B147746"/>
    <w:rsid w:val="6B24787C"/>
    <w:rsid w:val="6B573233"/>
    <w:rsid w:val="6B5B6274"/>
    <w:rsid w:val="6B5E582C"/>
    <w:rsid w:val="6B71025C"/>
    <w:rsid w:val="6B935D53"/>
    <w:rsid w:val="6BC946AA"/>
    <w:rsid w:val="6C196F71"/>
    <w:rsid w:val="6C226FCB"/>
    <w:rsid w:val="6C23202A"/>
    <w:rsid w:val="6C2602CA"/>
    <w:rsid w:val="6C31226F"/>
    <w:rsid w:val="6C552F0B"/>
    <w:rsid w:val="6C56268E"/>
    <w:rsid w:val="6C5D2F7C"/>
    <w:rsid w:val="6C604C93"/>
    <w:rsid w:val="6C7A3290"/>
    <w:rsid w:val="6C8C67B7"/>
    <w:rsid w:val="6C9142B9"/>
    <w:rsid w:val="6C967015"/>
    <w:rsid w:val="6C9D744C"/>
    <w:rsid w:val="6CEC129F"/>
    <w:rsid w:val="6CF25111"/>
    <w:rsid w:val="6D167928"/>
    <w:rsid w:val="6D26299B"/>
    <w:rsid w:val="6D287196"/>
    <w:rsid w:val="6D3F3199"/>
    <w:rsid w:val="6D4772EC"/>
    <w:rsid w:val="6D5D6613"/>
    <w:rsid w:val="6D7B7659"/>
    <w:rsid w:val="6D8620A6"/>
    <w:rsid w:val="6D9078AF"/>
    <w:rsid w:val="6DAA3FEF"/>
    <w:rsid w:val="6DC0172B"/>
    <w:rsid w:val="6DCB690C"/>
    <w:rsid w:val="6DD41A5B"/>
    <w:rsid w:val="6DF43C2E"/>
    <w:rsid w:val="6DF51CA3"/>
    <w:rsid w:val="6E0732C3"/>
    <w:rsid w:val="6E313E22"/>
    <w:rsid w:val="6E5A255E"/>
    <w:rsid w:val="6E7A7F0B"/>
    <w:rsid w:val="6E8335BD"/>
    <w:rsid w:val="6E8E12EF"/>
    <w:rsid w:val="6E972936"/>
    <w:rsid w:val="6EBE33EB"/>
    <w:rsid w:val="6EC66EAA"/>
    <w:rsid w:val="6EC72862"/>
    <w:rsid w:val="6ED446C5"/>
    <w:rsid w:val="6F1E43C5"/>
    <w:rsid w:val="6F2A7D94"/>
    <w:rsid w:val="6F327E52"/>
    <w:rsid w:val="6F66117C"/>
    <w:rsid w:val="6F8331F1"/>
    <w:rsid w:val="6FAE1A09"/>
    <w:rsid w:val="6FB344DE"/>
    <w:rsid w:val="6FB6638D"/>
    <w:rsid w:val="6FD75BF8"/>
    <w:rsid w:val="70697BE0"/>
    <w:rsid w:val="707723D0"/>
    <w:rsid w:val="70A628A5"/>
    <w:rsid w:val="70DC2853"/>
    <w:rsid w:val="70F5661B"/>
    <w:rsid w:val="71360107"/>
    <w:rsid w:val="713B688E"/>
    <w:rsid w:val="71715E92"/>
    <w:rsid w:val="717F6C52"/>
    <w:rsid w:val="71C0067F"/>
    <w:rsid w:val="71D43752"/>
    <w:rsid w:val="71E52F59"/>
    <w:rsid w:val="71F1796A"/>
    <w:rsid w:val="72154626"/>
    <w:rsid w:val="72163347"/>
    <w:rsid w:val="72233A82"/>
    <w:rsid w:val="72262B5D"/>
    <w:rsid w:val="72283FF7"/>
    <w:rsid w:val="722E287E"/>
    <w:rsid w:val="722E7212"/>
    <w:rsid w:val="722E73AC"/>
    <w:rsid w:val="723A0474"/>
    <w:rsid w:val="725923E4"/>
    <w:rsid w:val="728006BC"/>
    <w:rsid w:val="72864BF7"/>
    <w:rsid w:val="729023FC"/>
    <w:rsid w:val="72C505D3"/>
    <w:rsid w:val="72DA5137"/>
    <w:rsid w:val="732B25B2"/>
    <w:rsid w:val="733A0C17"/>
    <w:rsid w:val="736554B6"/>
    <w:rsid w:val="73C0646E"/>
    <w:rsid w:val="74015934"/>
    <w:rsid w:val="742222F5"/>
    <w:rsid w:val="74476126"/>
    <w:rsid w:val="74706664"/>
    <w:rsid w:val="747F3682"/>
    <w:rsid w:val="74876886"/>
    <w:rsid w:val="749C4185"/>
    <w:rsid w:val="74CC3316"/>
    <w:rsid w:val="75067759"/>
    <w:rsid w:val="752E6DCD"/>
    <w:rsid w:val="7551380D"/>
    <w:rsid w:val="75600BE5"/>
    <w:rsid w:val="7564475C"/>
    <w:rsid w:val="75662603"/>
    <w:rsid w:val="7583797F"/>
    <w:rsid w:val="75A5137D"/>
    <w:rsid w:val="75D20F1D"/>
    <w:rsid w:val="75DA2C18"/>
    <w:rsid w:val="75E51219"/>
    <w:rsid w:val="75F54412"/>
    <w:rsid w:val="76071C6A"/>
    <w:rsid w:val="761D08E0"/>
    <w:rsid w:val="764A18F1"/>
    <w:rsid w:val="765D347C"/>
    <w:rsid w:val="76826699"/>
    <w:rsid w:val="76A170A8"/>
    <w:rsid w:val="76A41635"/>
    <w:rsid w:val="76C73713"/>
    <w:rsid w:val="76C87133"/>
    <w:rsid w:val="76CD08D5"/>
    <w:rsid w:val="76D3618F"/>
    <w:rsid w:val="76DB4B92"/>
    <w:rsid w:val="77052AA4"/>
    <w:rsid w:val="77136511"/>
    <w:rsid w:val="77340A39"/>
    <w:rsid w:val="77351FD0"/>
    <w:rsid w:val="773B4B1C"/>
    <w:rsid w:val="77472422"/>
    <w:rsid w:val="7772528F"/>
    <w:rsid w:val="777F31F2"/>
    <w:rsid w:val="77810DF6"/>
    <w:rsid w:val="77A51B4E"/>
    <w:rsid w:val="77B50C16"/>
    <w:rsid w:val="77D1700D"/>
    <w:rsid w:val="77E369E1"/>
    <w:rsid w:val="77EC04CC"/>
    <w:rsid w:val="783C132D"/>
    <w:rsid w:val="78765133"/>
    <w:rsid w:val="78775729"/>
    <w:rsid w:val="78787924"/>
    <w:rsid w:val="787E6B6B"/>
    <w:rsid w:val="788832AD"/>
    <w:rsid w:val="78A42DB0"/>
    <w:rsid w:val="78A656AB"/>
    <w:rsid w:val="78A924DA"/>
    <w:rsid w:val="78B2245C"/>
    <w:rsid w:val="78E172CC"/>
    <w:rsid w:val="78E21F60"/>
    <w:rsid w:val="78EA1D1F"/>
    <w:rsid w:val="78FA09E4"/>
    <w:rsid w:val="7904172F"/>
    <w:rsid w:val="79075A38"/>
    <w:rsid w:val="790F7E27"/>
    <w:rsid w:val="792417BB"/>
    <w:rsid w:val="792A231A"/>
    <w:rsid w:val="79316829"/>
    <w:rsid w:val="796B2926"/>
    <w:rsid w:val="797E66A9"/>
    <w:rsid w:val="798518A4"/>
    <w:rsid w:val="79A97383"/>
    <w:rsid w:val="79B563A8"/>
    <w:rsid w:val="79E0418E"/>
    <w:rsid w:val="79E27E8B"/>
    <w:rsid w:val="79F850CE"/>
    <w:rsid w:val="79FD443C"/>
    <w:rsid w:val="7A1D1975"/>
    <w:rsid w:val="7A282137"/>
    <w:rsid w:val="7A3E5150"/>
    <w:rsid w:val="7A4670D6"/>
    <w:rsid w:val="7A4F4A5A"/>
    <w:rsid w:val="7A534B63"/>
    <w:rsid w:val="7A5C2227"/>
    <w:rsid w:val="7A615382"/>
    <w:rsid w:val="7A67303B"/>
    <w:rsid w:val="7AA51A51"/>
    <w:rsid w:val="7AAB1D04"/>
    <w:rsid w:val="7AB80583"/>
    <w:rsid w:val="7ABA4368"/>
    <w:rsid w:val="7AD05746"/>
    <w:rsid w:val="7B257FFD"/>
    <w:rsid w:val="7B29035B"/>
    <w:rsid w:val="7B343476"/>
    <w:rsid w:val="7B5571D5"/>
    <w:rsid w:val="7B5A2978"/>
    <w:rsid w:val="7B5A7E4C"/>
    <w:rsid w:val="7B667AF9"/>
    <w:rsid w:val="7B7268E6"/>
    <w:rsid w:val="7B7468F8"/>
    <w:rsid w:val="7BDB45A7"/>
    <w:rsid w:val="7BEE0103"/>
    <w:rsid w:val="7C0A0FE4"/>
    <w:rsid w:val="7C0C65A0"/>
    <w:rsid w:val="7C254906"/>
    <w:rsid w:val="7C576CB1"/>
    <w:rsid w:val="7C590818"/>
    <w:rsid w:val="7C651E12"/>
    <w:rsid w:val="7C7C10F6"/>
    <w:rsid w:val="7C853BEA"/>
    <w:rsid w:val="7C881368"/>
    <w:rsid w:val="7CE27788"/>
    <w:rsid w:val="7CE6183D"/>
    <w:rsid w:val="7D0C32F1"/>
    <w:rsid w:val="7D0F408D"/>
    <w:rsid w:val="7D2F0C1E"/>
    <w:rsid w:val="7D491C6C"/>
    <w:rsid w:val="7D520560"/>
    <w:rsid w:val="7D5429C0"/>
    <w:rsid w:val="7D6E6D43"/>
    <w:rsid w:val="7D9365DF"/>
    <w:rsid w:val="7DA168CE"/>
    <w:rsid w:val="7DB57A34"/>
    <w:rsid w:val="7DC6485A"/>
    <w:rsid w:val="7DC7444F"/>
    <w:rsid w:val="7DE44A64"/>
    <w:rsid w:val="7DE60973"/>
    <w:rsid w:val="7DEC75C0"/>
    <w:rsid w:val="7DEF0916"/>
    <w:rsid w:val="7E1D3512"/>
    <w:rsid w:val="7E1E5218"/>
    <w:rsid w:val="7E3463D7"/>
    <w:rsid w:val="7E885371"/>
    <w:rsid w:val="7E8D3856"/>
    <w:rsid w:val="7E8E6727"/>
    <w:rsid w:val="7E9A4E1F"/>
    <w:rsid w:val="7EA7723A"/>
    <w:rsid w:val="7EB361E0"/>
    <w:rsid w:val="7EB81432"/>
    <w:rsid w:val="7EBE44FA"/>
    <w:rsid w:val="7EC12984"/>
    <w:rsid w:val="7EE53E9B"/>
    <w:rsid w:val="7EF065CA"/>
    <w:rsid w:val="7EF56FBB"/>
    <w:rsid w:val="7F0768EB"/>
    <w:rsid w:val="7F143BEC"/>
    <w:rsid w:val="7F715AF2"/>
    <w:rsid w:val="7F886E69"/>
    <w:rsid w:val="7FA42800"/>
    <w:rsid w:val="7FF961D8"/>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4"/>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2"/>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267"/>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27"/>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3"/>
    <w:qFormat/>
    <w:uiPriority w:val="0"/>
    <w:pPr>
      <w:ind w:left="100" w:leftChars="2500"/>
    </w:pPr>
    <w:rPr>
      <w:rFonts w:ascii="宋体"/>
      <w:sz w:val="24"/>
      <w:szCs w:val="21"/>
      <w:lang w:val="zh-CN"/>
    </w:rPr>
  </w:style>
  <w:style w:type="paragraph" w:styleId="36">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7">
    <w:name w:val="endnote text"/>
    <w:basedOn w:val="1"/>
    <w:link w:val="931"/>
    <w:qFormat/>
    <w:uiPriority w:val="0"/>
    <w:rPr>
      <w:lang w:val="zh-CN"/>
    </w:rPr>
  </w:style>
  <w:style w:type="paragraph" w:styleId="38">
    <w:name w:val="Balloon Text"/>
    <w:basedOn w:val="1"/>
    <w:link w:val="190"/>
    <w:qFormat/>
    <w:uiPriority w:val="0"/>
    <w:rPr>
      <w:sz w:val="18"/>
      <w:szCs w:val="18"/>
    </w:rPr>
  </w:style>
  <w:style w:type="paragraph" w:styleId="39">
    <w:name w:val="footer"/>
    <w:basedOn w:val="1"/>
    <w:link w:val="385"/>
    <w:qFormat/>
    <w:uiPriority w:val="99"/>
    <w:pPr>
      <w:tabs>
        <w:tab w:val="center" w:pos="4153"/>
        <w:tab w:val="right" w:pos="8306"/>
      </w:tabs>
      <w:snapToGrid w:val="0"/>
      <w:jc w:val="left"/>
    </w:pPr>
    <w:rPr>
      <w:sz w:val="18"/>
      <w:szCs w:val="18"/>
    </w:rPr>
  </w:style>
  <w:style w:type="paragraph" w:styleId="40">
    <w:name w:val="envelope return"/>
    <w:basedOn w:val="1"/>
    <w:qFormat/>
    <w:uiPriority w:val="0"/>
    <w:pPr>
      <w:snapToGrid w:val="0"/>
    </w:pPr>
    <w:rPr>
      <w:rFonts w:ascii="Arial" w:hAnsi="Arial"/>
    </w:rPr>
  </w:style>
  <w:style w:type="paragraph" w:styleId="41">
    <w:name w:val="header"/>
    <w:basedOn w:val="1"/>
    <w:next w:val="42"/>
    <w:link w:val="394"/>
    <w:qFormat/>
    <w:uiPriority w:val="99"/>
    <w:pPr>
      <w:pBdr>
        <w:bottom w:val="single" w:color="auto" w:sz="6" w:space="1"/>
      </w:pBdr>
      <w:tabs>
        <w:tab w:val="center" w:pos="4153"/>
        <w:tab w:val="right" w:pos="8306"/>
      </w:tabs>
      <w:snapToGrid w:val="0"/>
      <w:jc w:val="center"/>
    </w:pPr>
    <w:rPr>
      <w:sz w:val="18"/>
      <w:szCs w:val="18"/>
    </w:rPr>
  </w:style>
  <w:style w:type="paragraph" w:customStyle="1" w:styleId="4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8"/>
    <w:qFormat/>
    <w:uiPriority w:val="0"/>
    <w:rPr>
      <w:b/>
      <w:bCs/>
    </w:rPr>
  </w:style>
  <w:style w:type="paragraph" w:styleId="62">
    <w:name w:val="Body Text First Indent"/>
    <w:basedOn w:val="23"/>
    <w:next w:val="1"/>
    <w:link w:val="323"/>
    <w:qFormat/>
    <w:uiPriority w:val="0"/>
    <w:pPr>
      <w:ind w:firstLine="420"/>
    </w:pPr>
    <w:rPr>
      <w:rFonts w:hAnsi="Calibri" w:cs="Times New Roman"/>
      <w:snapToGrid/>
      <w:szCs w:val="20"/>
    </w:rPr>
  </w:style>
  <w:style w:type="paragraph" w:styleId="63">
    <w:name w:val="Body Text First Indent 2"/>
    <w:basedOn w:val="24"/>
    <w:next w:val="1"/>
    <w:link w:val="123"/>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2">
    <w:name w:val="_Style 3"/>
    <w:basedOn w:val="1"/>
    <w:qFormat/>
    <w:uiPriority w:val="0"/>
    <w:pPr>
      <w:adjustRightInd/>
      <w:ind w:firstLine="420" w:firstLineChars="200"/>
    </w:pPr>
    <w:rPr>
      <w:rFonts w:eastAsia="仿宋_GB2312"/>
      <w:sz w:val="28"/>
    </w:rPr>
  </w:style>
  <w:style w:type="paragraph" w:customStyle="1" w:styleId="83">
    <w:name w:val="表格文字"/>
    <w:basedOn w:val="1"/>
    <w:next w:val="23"/>
    <w:qFormat/>
    <w:uiPriority w:val="0"/>
    <w:pPr>
      <w:adjustRightInd/>
      <w:ind w:firstLine="200" w:firstLineChars="200"/>
    </w:pPr>
    <w:rPr>
      <w:rFonts w:ascii="Arial" w:hAnsi="Arial"/>
      <w:spacing w:val="-5"/>
      <w:kern w:val="0"/>
      <w:sz w:val="24"/>
      <w:szCs w:val="20"/>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1"/>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3"/>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1"/>
    <w:qFormat/>
    <w:uiPriority w:val="0"/>
    <w:rPr>
      <w:rFonts w:ascii="Arial" w:hAnsi="Arial" w:eastAsia="黑体" w:cs="Arial"/>
      <w:snapToGrid w:val="0"/>
      <w:kern w:val="0"/>
      <w:szCs w:val="21"/>
    </w:rPr>
  </w:style>
  <w:style w:type="character" w:customStyle="1" w:styleId="12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8"/>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8"/>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3"/>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5"/>
    <w:qFormat/>
    <w:uiPriority w:val="0"/>
    <w:rPr>
      <w:rFonts w:ascii="宋体"/>
      <w:kern w:val="2"/>
      <w:sz w:val="24"/>
      <w:szCs w:val="21"/>
      <w:lang w:val="zh-CN"/>
    </w:rPr>
  </w:style>
  <w:style w:type="character" w:customStyle="1" w:styleId="184">
    <w:name w:val="标题 9 Char"/>
    <w:link w:val="11"/>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0"/>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38"/>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5"/>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8"/>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1"/>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29"/>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6"/>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6"/>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4"/>
    <w:qFormat/>
    <w:uiPriority w:val="0"/>
    <w:rPr>
      <w:rFonts w:ascii="宋体" w:hAnsi="宋体"/>
      <w:kern w:val="2"/>
      <w:sz w:val="24"/>
      <w:szCs w:val="24"/>
    </w:rPr>
  </w:style>
  <w:style w:type="character" w:customStyle="1" w:styleId="268">
    <w:name w:val="font01"/>
    <w:basedOn w:val="7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2"/>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60"/>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7"/>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8"/>
    <w:qFormat/>
    <w:uiPriority w:val="0"/>
    <w:rPr>
      <w:rFonts w:ascii="黑体" w:hAnsi="Courier New" w:eastAsia="黑体"/>
    </w:rPr>
  </w:style>
  <w:style w:type="character" w:customStyle="1" w:styleId="304">
    <w:name w:val="正文文本 2 Char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6"/>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9"/>
    <w:qFormat/>
    <w:uiPriority w:val="0"/>
    <w:rPr>
      <w:b/>
      <w:bCs/>
      <w:kern w:val="2"/>
      <w:sz w:val="24"/>
      <w:szCs w:val="24"/>
    </w:rPr>
  </w:style>
  <w:style w:type="character" w:customStyle="1" w:styleId="310">
    <w:name w:val="正文文本缩进 2 Char"/>
    <w:link w:val="36"/>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basedOn w:val="7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62"/>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6"/>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1"/>
    <w:qFormat/>
    <w:uiPriority w:val="0"/>
    <w:rPr>
      <w:kern w:val="2"/>
      <w:sz w:val="21"/>
    </w:rPr>
  </w:style>
  <w:style w:type="character" w:customStyle="1" w:styleId="333">
    <w:name w:val="font31"/>
    <w:basedOn w:val="7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19"/>
    <w:qFormat/>
    <w:uiPriority w:val="0"/>
    <w:rPr>
      <w:kern w:val="2"/>
      <w:sz w:val="21"/>
      <w:szCs w:val="24"/>
    </w:rPr>
  </w:style>
  <w:style w:type="character" w:customStyle="1" w:styleId="347">
    <w:name w:val="签名 Char"/>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39"/>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1"/>
    <w:qFormat/>
    <w:uiPriority w:val="99"/>
    <w:rPr>
      <w:rFonts w:ascii="Times New Roman" w:hAnsi="Times New Roman" w:eastAsia="宋体"/>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1"/>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71"/>
    <w:qFormat/>
    <w:uiPriority w:val="0"/>
    <w:rPr>
      <w:rFonts w:ascii="Arial" w:hAnsi="Arial" w:eastAsia="黑体" w:cs="Arial"/>
      <w:snapToGrid w:val="0"/>
      <w:kern w:val="0"/>
      <w:szCs w:val="21"/>
    </w:rPr>
  </w:style>
  <w:style w:type="character" w:customStyle="1" w:styleId="434">
    <w:name w:val="hui"/>
    <w:basedOn w:val="71"/>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32"/>
    <w:next w:val="1"/>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2"/>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7"/>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7"/>
    <w:next w:val="237"/>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7"/>
    <w:next w:val="237"/>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40"/>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5"/>
    <w:next w:val="640"/>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4"/>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42"/>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8"/>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2"/>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9"/>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5"/>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5"/>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60"/>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1"/>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WPSOffice手动目录 1"/>
    <w:qFormat/>
    <w:uiPriority w:val="0"/>
    <w:rPr>
      <w:rFonts w:ascii="Times New Roman" w:hAnsi="Times New Roman" w:eastAsia="宋体" w:cs="Times New Roman"/>
      <w:lang w:val="en-US" w:eastAsia="zh-CN" w:bidi="ar-SA"/>
    </w:rPr>
  </w:style>
  <w:style w:type="paragraph" w:customStyle="1" w:styleId="9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66">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967">
    <w:name w:val="NormalCharacter"/>
    <w:qFormat/>
    <w:uiPriority w:val="0"/>
  </w:style>
  <w:style w:type="paragraph" w:customStyle="1" w:styleId="968">
    <w:name w:val="p18"/>
    <w:basedOn w:val="1"/>
    <w:qFormat/>
    <w:uiPriority w:val="0"/>
    <w:pPr>
      <w:widowControl/>
    </w:pPr>
    <w:rPr>
      <w:kern w:val="0"/>
      <w:sz w:val="24"/>
    </w:rPr>
  </w:style>
  <w:style w:type="paragraph" w:customStyle="1" w:styleId="969">
    <w:name w:val="UserStyle_66"/>
    <w:basedOn w:val="1"/>
    <w:qFormat/>
    <w:uiPriority w:val="0"/>
    <w:rPr>
      <w:kern w:val="0"/>
    </w:rPr>
  </w:style>
  <w:style w:type="paragraph" w:customStyle="1" w:styleId="970">
    <w:name w:val="正文缩进2字符"/>
    <w:basedOn w:val="1"/>
    <w:qFormat/>
    <w:uiPriority w:val="0"/>
    <w:pPr>
      <w:ind w:firstLine="480" w:firstLineChars="200"/>
    </w:pPr>
    <w:rPr>
      <w:rFonts w:ascii="Times New Roman" w:hAnsi="Times New Roman"/>
      <w:szCs w:val="20"/>
    </w:rPr>
  </w:style>
  <w:style w:type="paragraph" w:customStyle="1" w:styleId="971">
    <w:name w:val="_Style 7"/>
    <w:basedOn w:val="1"/>
    <w:qFormat/>
    <w:uiPriority w:val="99"/>
    <w:pPr>
      <w:ind w:firstLine="420" w:firstLineChars="200"/>
    </w:pPr>
  </w:style>
  <w:style w:type="paragraph" w:customStyle="1" w:styleId="972">
    <w:name w:val="表"/>
    <w:basedOn w:val="1"/>
    <w:qFormat/>
    <w:uiPriority w:val="0"/>
    <w:pPr>
      <w:spacing w:line="240" w:lineRule="auto"/>
      <w:jc w:val="center"/>
    </w:pPr>
    <w:rPr>
      <w:rFonts w:hint="eastAsia"/>
      <w:bCs/>
      <w:sz w:val="21"/>
    </w:rPr>
  </w:style>
  <w:style w:type="paragraph" w:customStyle="1" w:styleId="9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14584</Words>
  <Characters>15749</Characters>
  <Lines>46</Lines>
  <Paragraphs>63</Paragraphs>
  <TotalTime>2</TotalTime>
  <ScaleCrop>false</ScaleCrop>
  <LinksUpToDate>false</LinksUpToDate>
  <CharactersWithSpaces>16118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DELL</dc:creator>
  <cp:lastModifiedBy>宁波中基</cp:lastModifiedBy>
  <cp:lastPrinted>2025-07-15T06:30:00Z</cp:lastPrinted>
  <dcterms:modified xsi:type="dcterms:W3CDTF">2026-04-01T08:44:03Z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2046F90F4EA1422ABDE57B734C133539_13</vt:lpwstr>
  </property>
  <property fmtid="{D5CDD505-2E9C-101B-9397-08002B2CF9AE}" pid="5" name="KSOTemplateDocerSaveRecord">
    <vt:lpwstr>eyJoZGlkIjoiYWIxNjU0MmQ4ZmEzZTIzZDJiM2I3MmZiMGRlMjJkYzQiLCJ1c2VySWQiOiIyNTM4NzI1MzQifQ==</vt:lpwstr>
  </property>
</Properties>
</file>