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DDDE28">
      <w:pPr>
        <w:autoSpaceDE w:val="0"/>
        <w:autoSpaceDN w:val="0"/>
        <w:rPr>
          <w:rFonts w:hint="eastAsia" w:ascii="宋体" w:hAnsi="宋体" w:eastAsia="宋体" w:cs="宋体"/>
          <w:b/>
          <w:bCs w:val="0"/>
          <w:color w:val="auto"/>
          <w:sz w:val="30"/>
          <w:highlight w:val="none"/>
          <w:lang w:eastAsia="zh-CN"/>
        </w:rPr>
      </w:pPr>
      <w:r>
        <w:rPr>
          <w:rFonts w:hint="eastAsia" w:ascii="宋体" w:hAnsi="宋体" w:eastAsia="宋体" w:cs="宋体"/>
          <w:b/>
          <w:bCs w:val="0"/>
          <w:color w:val="auto"/>
          <w:sz w:val="30"/>
          <w:highlight w:val="none"/>
        </w:rPr>
        <w:t>采购项目编号：</w:t>
      </w:r>
      <w:r>
        <w:rPr>
          <w:rFonts w:hint="eastAsia" w:ascii="宋体" w:hAnsi="宋体" w:cs="宋体"/>
          <w:b/>
          <w:bCs w:val="0"/>
          <w:color w:val="auto"/>
          <w:sz w:val="30"/>
          <w:highlight w:val="none"/>
          <w:lang w:eastAsia="zh-CN"/>
        </w:rPr>
        <w:t>青海海际竞磋（服务）2026-037</w:t>
      </w:r>
    </w:p>
    <w:p w14:paraId="78C1BBE0">
      <w:pPr>
        <w:pStyle w:val="57"/>
        <w:ind w:left="0" w:leftChars="0" w:firstLine="0" w:firstLineChars="0"/>
        <w:rPr>
          <w:color w:val="auto"/>
          <w:highlight w:val="none"/>
        </w:rPr>
      </w:pPr>
    </w:p>
    <w:p w14:paraId="6DDCEDC0">
      <w:pPr>
        <w:pStyle w:val="57"/>
        <w:rPr>
          <w:color w:val="auto"/>
          <w:highlight w:val="none"/>
        </w:rPr>
      </w:pPr>
    </w:p>
    <w:p w14:paraId="07DC53DA">
      <w:pPr>
        <w:pStyle w:val="57"/>
        <w:rPr>
          <w:color w:val="auto"/>
          <w:highlight w:val="none"/>
        </w:rPr>
      </w:pPr>
    </w:p>
    <w:p w14:paraId="5F43F845">
      <w:pPr>
        <w:pStyle w:val="57"/>
        <w:rPr>
          <w:color w:val="auto"/>
          <w:highlight w:val="none"/>
        </w:rPr>
      </w:pPr>
    </w:p>
    <w:p w14:paraId="4D5AC958">
      <w:pPr>
        <w:widowControl/>
        <w:adjustRightInd w:val="0"/>
        <w:snapToGrid w:val="0"/>
        <w:spacing w:line="360" w:lineRule="auto"/>
        <w:ind w:firstLine="0" w:firstLineChars="0"/>
        <w:jc w:val="center"/>
        <w:rPr>
          <w:rFonts w:hint="eastAsia" w:ascii="宋体" w:hAnsi="宋体" w:eastAsia="宋体" w:cs="宋体"/>
          <w:b/>
          <w:color w:val="auto"/>
          <w:kern w:val="0"/>
          <w:sz w:val="52"/>
          <w:szCs w:val="52"/>
          <w:highlight w:val="none"/>
          <w:lang w:val="en-US" w:eastAsia="zh-CN"/>
        </w:rPr>
      </w:pPr>
      <w:r>
        <w:rPr>
          <w:rFonts w:hint="eastAsia" w:ascii="宋体" w:hAnsi="宋体" w:eastAsia="宋体" w:cs="宋体"/>
          <w:b/>
          <w:color w:val="auto"/>
          <w:kern w:val="0"/>
          <w:sz w:val="52"/>
          <w:szCs w:val="52"/>
          <w:highlight w:val="none"/>
          <w:lang w:val="en-US" w:eastAsia="zh-CN"/>
        </w:rPr>
        <w:t>青海省成矿远景区划</w:t>
      </w:r>
    </w:p>
    <w:p w14:paraId="2E44D6F1">
      <w:pPr>
        <w:pStyle w:val="52"/>
        <w:rPr>
          <w:rFonts w:hint="eastAsia" w:ascii="宋体" w:hAnsi="宋体" w:eastAsia="宋体" w:cs="宋体"/>
          <w:b/>
          <w:color w:val="auto"/>
          <w:kern w:val="0"/>
          <w:sz w:val="52"/>
          <w:szCs w:val="52"/>
          <w:highlight w:val="none"/>
          <w:lang w:val="en-US" w:eastAsia="zh-CN"/>
        </w:rPr>
      </w:pPr>
    </w:p>
    <w:p w14:paraId="0ED2EC02">
      <w:pPr>
        <w:pStyle w:val="52"/>
        <w:rPr>
          <w:rFonts w:hint="eastAsia" w:ascii="宋体" w:hAnsi="宋体" w:eastAsia="宋体" w:cs="宋体"/>
          <w:b/>
          <w:color w:val="auto"/>
          <w:kern w:val="0"/>
          <w:sz w:val="52"/>
          <w:szCs w:val="52"/>
          <w:highlight w:val="none"/>
          <w:lang w:val="en-US" w:eastAsia="zh-CN"/>
        </w:rPr>
      </w:pPr>
    </w:p>
    <w:p w14:paraId="33AC6BA7">
      <w:pPr>
        <w:pStyle w:val="52"/>
        <w:rPr>
          <w:rFonts w:hint="eastAsia" w:ascii="宋体" w:hAnsi="宋体" w:eastAsia="宋体" w:cs="宋体"/>
          <w:b/>
          <w:color w:val="auto"/>
          <w:kern w:val="0"/>
          <w:sz w:val="52"/>
          <w:szCs w:val="52"/>
          <w:highlight w:val="none"/>
          <w:lang w:val="en-US" w:eastAsia="zh-CN"/>
        </w:rPr>
      </w:pPr>
    </w:p>
    <w:p w14:paraId="32183909">
      <w:pPr>
        <w:pStyle w:val="17"/>
        <w:rPr>
          <w:color w:val="auto"/>
          <w:highlight w:val="none"/>
        </w:rPr>
      </w:pPr>
    </w:p>
    <w:p w14:paraId="64933DB4">
      <w:pPr>
        <w:pStyle w:val="17"/>
        <w:rPr>
          <w:color w:val="auto"/>
          <w:highlight w:val="none"/>
        </w:rPr>
      </w:pPr>
    </w:p>
    <w:p w14:paraId="2C314525">
      <w:pPr>
        <w:jc w:val="center"/>
        <w:textAlignment w:val="baseline"/>
        <w:rPr>
          <w:rFonts w:cs="Arial"/>
          <w:b/>
          <w:color w:val="auto"/>
          <w:sz w:val="84"/>
          <w:szCs w:val="84"/>
          <w:highlight w:val="none"/>
        </w:rPr>
      </w:pPr>
      <w:r>
        <w:rPr>
          <w:rFonts w:cs="Arial"/>
          <w:b/>
          <w:color w:val="auto"/>
          <w:sz w:val="84"/>
          <w:szCs w:val="84"/>
          <w:highlight w:val="none"/>
        </w:rPr>
        <w:t>竞争性磋商文件</w:t>
      </w:r>
    </w:p>
    <w:p w14:paraId="6B78E4EC">
      <w:pPr>
        <w:pStyle w:val="34"/>
        <w:ind w:firstLine="0"/>
        <w:rPr>
          <w:color w:val="auto"/>
          <w:highlight w:val="none"/>
        </w:rPr>
      </w:pPr>
    </w:p>
    <w:p w14:paraId="55021AA0">
      <w:pPr>
        <w:rPr>
          <w:color w:val="auto"/>
          <w:highlight w:val="none"/>
        </w:rPr>
      </w:pPr>
    </w:p>
    <w:p w14:paraId="305A4EE9">
      <w:pPr>
        <w:textAlignment w:val="baseline"/>
        <w:rPr>
          <w:rFonts w:eastAsia="黑体" w:cs="Arial"/>
          <w:color w:val="auto"/>
          <w:sz w:val="32"/>
          <w:szCs w:val="32"/>
          <w:highlight w:val="none"/>
        </w:rPr>
      </w:pPr>
    </w:p>
    <w:p w14:paraId="4ADE0EF4">
      <w:pPr>
        <w:pStyle w:val="12"/>
        <w:rPr>
          <w:color w:val="auto"/>
          <w:highlight w:val="none"/>
        </w:rPr>
      </w:pPr>
    </w:p>
    <w:p w14:paraId="753F3B2C">
      <w:pPr>
        <w:ind w:left="2833" w:leftChars="266" w:hanging="2195" w:hangingChars="686"/>
        <w:textAlignment w:val="baseline"/>
        <w:rPr>
          <w:rFonts w:hint="eastAsia" w:eastAsia="黑体" w:cs="Arial"/>
          <w:color w:val="auto"/>
          <w:sz w:val="32"/>
          <w:szCs w:val="32"/>
          <w:highlight w:val="none"/>
          <w:lang w:eastAsia="zh-CN"/>
        </w:rPr>
      </w:pPr>
      <w:r>
        <w:rPr>
          <w:rFonts w:eastAsia="黑体" w:cs="Arial"/>
          <w:color w:val="auto"/>
          <w:sz w:val="32"/>
          <w:szCs w:val="32"/>
          <w:highlight w:val="none"/>
        </w:rPr>
        <w:t>采</w:t>
      </w:r>
      <w:r>
        <w:rPr>
          <w:rFonts w:hint="eastAsia" w:eastAsia="黑体" w:cs="Arial"/>
          <w:color w:val="auto"/>
          <w:sz w:val="32"/>
          <w:szCs w:val="32"/>
          <w:highlight w:val="none"/>
        </w:rPr>
        <w:t xml:space="preserve">   </w:t>
      </w:r>
      <w:r>
        <w:rPr>
          <w:rFonts w:eastAsia="黑体" w:cs="Arial"/>
          <w:color w:val="auto"/>
          <w:sz w:val="32"/>
          <w:szCs w:val="32"/>
          <w:highlight w:val="none"/>
        </w:rPr>
        <w:t>购</w:t>
      </w:r>
      <w:r>
        <w:rPr>
          <w:rFonts w:hint="eastAsia" w:eastAsia="黑体" w:cs="Arial"/>
          <w:color w:val="auto"/>
          <w:sz w:val="32"/>
          <w:szCs w:val="32"/>
          <w:highlight w:val="none"/>
        </w:rPr>
        <w:t xml:space="preserve">  </w:t>
      </w:r>
      <w:r>
        <w:rPr>
          <w:rFonts w:eastAsia="黑体" w:cs="Arial"/>
          <w:color w:val="auto"/>
          <w:sz w:val="32"/>
          <w:szCs w:val="32"/>
          <w:highlight w:val="none"/>
        </w:rPr>
        <w:t xml:space="preserve"> 人：</w:t>
      </w:r>
      <w:r>
        <w:rPr>
          <w:rFonts w:hint="eastAsia" w:eastAsia="黑体" w:cs="Arial"/>
          <w:color w:val="auto"/>
          <w:sz w:val="32"/>
          <w:szCs w:val="32"/>
          <w:highlight w:val="none"/>
          <w:lang w:val="en-US" w:eastAsia="zh-CN"/>
        </w:rPr>
        <w:t>青海省地质调查局</w:t>
      </w:r>
    </w:p>
    <w:p w14:paraId="6BD9C905">
      <w:pPr>
        <w:ind w:firstLine="640" w:firstLineChars="200"/>
        <w:textAlignment w:val="baseline"/>
        <w:rPr>
          <w:rFonts w:eastAsia="黑体" w:cs="Arial"/>
          <w:color w:val="auto"/>
          <w:sz w:val="32"/>
          <w:szCs w:val="32"/>
          <w:highlight w:val="none"/>
        </w:rPr>
      </w:pPr>
      <w:r>
        <w:rPr>
          <w:rFonts w:eastAsia="黑体" w:cs="Arial"/>
          <w:color w:val="auto"/>
          <w:sz w:val="32"/>
          <w:szCs w:val="32"/>
          <w:highlight w:val="none"/>
        </w:rPr>
        <w:t>采购代理机构：</w:t>
      </w:r>
      <w:r>
        <w:rPr>
          <w:rFonts w:hint="eastAsia" w:eastAsia="黑体" w:cs="Arial"/>
          <w:color w:val="auto"/>
          <w:sz w:val="32"/>
          <w:szCs w:val="32"/>
          <w:highlight w:val="none"/>
        </w:rPr>
        <w:t xml:space="preserve">青海海际项目咨询管理有限公司 </w:t>
      </w:r>
    </w:p>
    <w:p w14:paraId="6DB84E52">
      <w:pPr>
        <w:jc w:val="both"/>
        <w:textAlignment w:val="baseline"/>
        <w:rPr>
          <w:rFonts w:eastAsia="黑体" w:cs="Arial"/>
          <w:color w:val="auto"/>
          <w:sz w:val="32"/>
          <w:szCs w:val="32"/>
          <w:highlight w:val="none"/>
        </w:rPr>
      </w:pPr>
    </w:p>
    <w:p w14:paraId="36A11AC3">
      <w:pPr>
        <w:jc w:val="center"/>
        <w:textAlignment w:val="baseline"/>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202</w:t>
      </w:r>
      <w:r>
        <w:rPr>
          <w:rFonts w:hint="eastAsia" w:ascii="黑体" w:hAnsi="黑体" w:eastAsia="黑体" w:cs="黑体"/>
          <w:color w:val="auto"/>
          <w:sz w:val="32"/>
          <w:szCs w:val="32"/>
          <w:highlight w:val="none"/>
          <w:lang w:val="en-US" w:eastAsia="zh-CN"/>
        </w:rPr>
        <w:t>6</w:t>
      </w:r>
      <w:r>
        <w:rPr>
          <w:rFonts w:hint="eastAsia" w:ascii="黑体" w:hAnsi="黑体" w:eastAsia="黑体" w:cs="黑体"/>
          <w:color w:val="auto"/>
          <w:sz w:val="32"/>
          <w:szCs w:val="32"/>
          <w:highlight w:val="none"/>
          <w:lang w:eastAsia="zh-CN"/>
        </w:rPr>
        <w:t>年</w:t>
      </w:r>
      <w:r>
        <w:rPr>
          <w:rFonts w:hint="eastAsia" w:ascii="黑体" w:hAnsi="黑体" w:eastAsia="黑体" w:cs="黑体"/>
          <w:color w:val="auto"/>
          <w:sz w:val="32"/>
          <w:szCs w:val="32"/>
          <w:highlight w:val="none"/>
          <w:lang w:val="en-US" w:eastAsia="zh-CN"/>
        </w:rPr>
        <w:t>04</w:t>
      </w:r>
      <w:r>
        <w:rPr>
          <w:rFonts w:hint="eastAsia" w:ascii="黑体" w:hAnsi="黑体" w:eastAsia="黑体" w:cs="黑体"/>
          <w:color w:val="auto"/>
          <w:sz w:val="32"/>
          <w:szCs w:val="32"/>
          <w:highlight w:val="none"/>
          <w:lang w:eastAsia="zh-CN"/>
        </w:rPr>
        <w:t>月</w:t>
      </w:r>
    </w:p>
    <w:p w14:paraId="68C6DFB6">
      <w:pPr>
        <w:jc w:val="center"/>
        <w:textAlignment w:val="baseline"/>
        <w:rPr>
          <w:rFonts w:eastAsia="黑体" w:cs="Arial"/>
          <w:color w:val="auto"/>
          <w:sz w:val="32"/>
          <w:szCs w:val="32"/>
          <w:highlight w:val="none"/>
        </w:rPr>
      </w:pPr>
      <w:r>
        <w:rPr>
          <w:rFonts w:eastAsia="黑体" w:cs="Arial"/>
          <w:color w:val="auto"/>
          <w:sz w:val="32"/>
          <w:szCs w:val="32"/>
          <w:highlight w:val="none"/>
        </w:rPr>
        <w:t>青海</w:t>
      </w:r>
      <w:r>
        <w:rPr>
          <w:rFonts w:hint="eastAsia" w:eastAsia="黑体" w:cs="Arial"/>
          <w:color w:val="auto"/>
          <w:sz w:val="32"/>
          <w:szCs w:val="32"/>
          <w:highlight w:val="none"/>
        </w:rPr>
        <w:t>·</w:t>
      </w:r>
      <w:r>
        <w:rPr>
          <w:rFonts w:eastAsia="黑体" w:cs="Arial"/>
          <w:color w:val="auto"/>
          <w:sz w:val="32"/>
          <w:szCs w:val="32"/>
          <w:highlight w:val="none"/>
        </w:rPr>
        <w:t>西宁</w:t>
      </w:r>
    </w:p>
    <w:p w14:paraId="7B17DB8E">
      <w:pPr>
        <w:jc w:val="center"/>
        <w:textAlignment w:val="baseline"/>
        <w:rPr>
          <w:rFonts w:ascii="宋体" w:hAnsi="宋体" w:cs="Arial"/>
          <w:b/>
          <w:color w:val="auto"/>
          <w:sz w:val="30"/>
          <w:szCs w:val="30"/>
          <w:highlight w:val="none"/>
        </w:rPr>
        <w:sectPr>
          <w:headerReference r:id="rId6" w:type="first"/>
          <w:headerReference r:id="rId5" w:type="default"/>
          <w:footerReference r:id="rId7" w:type="default"/>
          <w:pgSz w:w="11849" w:h="16781"/>
          <w:pgMar w:top="1247" w:right="1417" w:bottom="1247" w:left="1417" w:header="709" w:footer="510" w:gutter="0"/>
          <w:pgBorders w:offsetFrom="page">
            <w:top w:val="single" w:color="BFBFBF" w:sz="18" w:space="24"/>
            <w:left w:val="single" w:color="BFBFBF" w:sz="18" w:space="24"/>
            <w:bottom w:val="single" w:color="BFBFBF" w:sz="18" w:space="24"/>
            <w:right w:val="single" w:color="BFBFBF" w:sz="18" w:space="24"/>
          </w:pgBorders>
          <w:cols w:space="720" w:num="1"/>
          <w:docGrid w:linePitch="397" w:charSpace="0"/>
        </w:sectPr>
      </w:pPr>
    </w:p>
    <w:p w14:paraId="140B64E3">
      <w:pPr>
        <w:jc w:val="center"/>
        <w:textAlignment w:val="baseline"/>
        <w:rPr>
          <w:rFonts w:ascii="宋体" w:hAnsi="宋体" w:cs="Arial"/>
          <w:b/>
          <w:color w:val="auto"/>
          <w:sz w:val="30"/>
          <w:szCs w:val="30"/>
          <w:highlight w:val="none"/>
        </w:rPr>
      </w:pPr>
      <w:r>
        <w:rPr>
          <w:rFonts w:ascii="宋体" w:hAnsi="宋体" w:cs="Arial"/>
          <w:b/>
          <w:color w:val="auto"/>
          <w:sz w:val="30"/>
          <w:szCs w:val="30"/>
          <w:highlight w:val="none"/>
        </w:rPr>
        <w:t>目  录</w:t>
      </w:r>
    </w:p>
    <w:sdt>
      <w:sdtPr>
        <w:rPr>
          <w:rFonts w:ascii="宋体" w:hAnsi="宋体" w:eastAsia="宋体" w:cs="Times New Roman"/>
          <w:color w:val="auto"/>
          <w:sz w:val="21"/>
          <w:szCs w:val="22"/>
          <w:highlight w:val="none"/>
          <w:lang w:val="en-US" w:eastAsia="zh-CN" w:bidi="ar-SA"/>
        </w:rPr>
        <w:id w:val="147472567"/>
        <w15:color w:val="DBDBDB"/>
        <w:docPartObj>
          <w:docPartGallery w:val="Table of Contents"/>
          <w:docPartUnique/>
        </w:docPartObj>
      </w:sdtPr>
      <w:sdtEndPr>
        <w:rPr>
          <w:rFonts w:ascii="Times New Roman" w:hAnsi="Times New Roman" w:eastAsia="宋体" w:cs="Times New Roman"/>
          <w:color w:val="auto"/>
          <w:sz w:val="24"/>
          <w:szCs w:val="22"/>
          <w:highlight w:val="none"/>
          <w:lang w:val="en-US" w:eastAsia="zh-CN" w:bidi="ar-SA"/>
        </w:rPr>
      </w:sdtEndPr>
      <w:sdtContent>
        <w:p w14:paraId="1B604D84">
          <w:pPr>
            <w:spacing w:before="0" w:beforeLines="0" w:after="0" w:afterLines="0" w:line="240" w:lineRule="auto"/>
            <w:ind w:left="0" w:leftChars="0" w:right="0" w:rightChars="0" w:firstLine="0" w:firstLineChars="0"/>
            <w:jc w:val="center"/>
            <w:rPr>
              <w:rFonts w:hint="eastAsia" w:ascii="宋体" w:hAnsi="宋体" w:eastAsia="宋体" w:cs="宋体"/>
              <w:b w:val="0"/>
              <w:bCs w:val="0"/>
              <w:color w:val="auto"/>
              <w:highlight w:val="none"/>
            </w:rPr>
          </w:pPr>
        </w:p>
        <w:p w14:paraId="59500FE6">
          <w:pPr>
            <w:pStyle w:val="23"/>
            <w:tabs>
              <w:tab w:val="right" w:leader="dot" w:pos="9120"/>
              <w:tab w:val="clear" w:pos="9402"/>
            </w:tabs>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TOC \o "1-3" \h \u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HYPERLINK \l _Toc610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szCs w:val="32"/>
              <w:highlight w:val="none"/>
              <w:lang w:val="zh-CN"/>
            </w:rPr>
            <w:t>第一部分  投标邀请</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PAGEREF _Toc610 \h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highlight w:val="none"/>
            </w:rPr>
            <w:t>5</w:t>
          </w:r>
          <w:r>
            <w:rPr>
              <w:rFonts w:hint="eastAsia" w:ascii="宋体" w:hAnsi="宋体" w:eastAsia="宋体" w:cs="宋体"/>
              <w:b w:val="0"/>
              <w:bCs w:val="0"/>
              <w:color w:val="auto"/>
              <w:highlight w:val="none"/>
            </w:rPr>
            <w:fldChar w:fldCharType="end"/>
          </w:r>
          <w:r>
            <w:rPr>
              <w:rFonts w:hint="eastAsia" w:ascii="宋体" w:hAnsi="宋体" w:eastAsia="宋体" w:cs="宋体"/>
              <w:b w:val="0"/>
              <w:bCs w:val="0"/>
              <w:color w:val="auto"/>
              <w:highlight w:val="none"/>
            </w:rPr>
            <w:fldChar w:fldCharType="end"/>
          </w:r>
        </w:p>
        <w:p w14:paraId="7B1E3852">
          <w:pPr>
            <w:pStyle w:val="28"/>
            <w:tabs>
              <w:tab w:val="right" w:leader="dot" w:pos="9120"/>
              <w:tab w:val="clear" w:pos="9402"/>
            </w:tabs>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HYPERLINK \l _Toc105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szCs w:val="36"/>
              <w:highlight w:val="none"/>
              <w:lang w:val="zh-CN"/>
            </w:rPr>
            <w:t>第二部分  供应商须知前附表</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PAGEREF _Toc105 \h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highlight w:val="none"/>
            </w:rPr>
            <w:t>9</w:t>
          </w:r>
          <w:r>
            <w:rPr>
              <w:rFonts w:hint="eastAsia" w:ascii="宋体" w:hAnsi="宋体" w:eastAsia="宋体" w:cs="宋体"/>
              <w:b w:val="0"/>
              <w:bCs w:val="0"/>
              <w:color w:val="auto"/>
              <w:highlight w:val="none"/>
            </w:rPr>
            <w:fldChar w:fldCharType="end"/>
          </w:r>
          <w:r>
            <w:rPr>
              <w:rFonts w:hint="eastAsia" w:ascii="宋体" w:hAnsi="宋体" w:eastAsia="宋体" w:cs="宋体"/>
              <w:b w:val="0"/>
              <w:bCs w:val="0"/>
              <w:color w:val="auto"/>
              <w:highlight w:val="none"/>
            </w:rPr>
            <w:fldChar w:fldCharType="end"/>
          </w:r>
        </w:p>
        <w:p w14:paraId="778C53BD">
          <w:pPr>
            <w:pStyle w:val="23"/>
            <w:tabs>
              <w:tab w:val="right" w:leader="dot" w:pos="9120"/>
              <w:tab w:val="clear" w:pos="9402"/>
            </w:tabs>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HYPERLINK \l _Toc8036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kern w:val="28"/>
              <w:szCs w:val="20"/>
              <w:highlight w:val="none"/>
            </w:rPr>
            <w:t>第三部分  供应商须知</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PAGEREF _Toc8036 \h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highlight w:val="none"/>
            </w:rPr>
            <w:t>13</w:t>
          </w:r>
          <w:r>
            <w:rPr>
              <w:rFonts w:hint="eastAsia" w:ascii="宋体" w:hAnsi="宋体" w:eastAsia="宋体" w:cs="宋体"/>
              <w:b w:val="0"/>
              <w:bCs w:val="0"/>
              <w:color w:val="auto"/>
              <w:highlight w:val="none"/>
            </w:rPr>
            <w:fldChar w:fldCharType="end"/>
          </w:r>
          <w:r>
            <w:rPr>
              <w:rFonts w:hint="eastAsia" w:ascii="宋体" w:hAnsi="宋体" w:eastAsia="宋体" w:cs="宋体"/>
              <w:b w:val="0"/>
              <w:bCs w:val="0"/>
              <w:color w:val="auto"/>
              <w:highlight w:val="none"/>
            </w:rPr>
            <w:fldChar w:fldCharType="end"/>
          </w:r>
        </w:p>
        <w:p w14:paraId="2D299989">
          <w:pPr>
            <w:pStyle w:val="28"/>
            <w:tabs>
              <w:tab w:val="right" w:leader="dot" w:pos="9120"/>
              <w:tab w:val="clear" w:pos="9402"/>
            </w:tabs>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HYPERLINK \l _Toc112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szCs w:val="36"/>
              <w:highlight w:val="none"/>
            </w:rPr>
            <w:t>一、说  明</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PAGEREF _Toc112 \h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highlight w:val="none"/>
            </w:rPr>
            <w:t>13</w:t>
          </w:r>
          <w:r>
            <w:rPr>
              <w:rFonts w:hint="eastAsia" w:ascii="宋体" w:hAnsi="宋体" w:eastAsia="宋体" w:cs="宋体"/>
              <w:b w:val="0"/>
              <w:bCs w:val="0"/>
              <w:color w:val="auto"/>
              <w:highlight w:val="none"/>
            </w:rPr>
            <w:fldChar w:fldCharType="end"/>
          </w:r>
          <w:r>
            <w:rPr>
              <w:rFonts w:hint="eastAsia" w:ascii="宋体" w:hAnsi="宋体" w:eastAsia="宋体" w:cs="宋体"/>
              <w:b w:val="0"/>
              <w:bCs w:val="0"/>
              <w:color w:val="auto"/>
              <w:highlight w:val="none"/>
            </w:rPr>
            <w:fldChar w:fldCharType="end"/>
          </w:r>
        </w:p>
        <w:p w14:paraId="3B33101A">
          <w:pPr>
            <w:pStyle w:val="16"/>
            <w:tabs>
              <w:tab w:val="right" w:leader="dot" w:pos="9120"/>
            </w:tabs>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HYPERLINK \l _Toc18368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kern w:val="2"/>
              <w:szCs w:val="24"/>
              <w:highlight w:val="none"/>
              <w:lang w:val="zh-CN"/>
            </w:rPr>
            <w:t>1.适用范围</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PAGEREF _Toc18368 \h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highlight w:val="none"/>
            </w:rPr>
            <w:t>13</w:t>
          </w:r>
          <w:r>
            <w:rPr>
              <w:rFonts w:hint="eastAsia" w:ascii="宋体" w:hAnsi="宋体" w:eastAsia="宋体" w:cs="宋体"/>
              <w:b w:val="0"/>
              <w:bCs w:val="0"/>
              <w:color w:val="auto"/>
              <w:highlight w:val="none"/>
            </w:rPr>
            <w:fldChar w:fldCharType="end"/>
          </w:r>
          <w:r>
            <w:rPr>
              <w:rFonts w:hint="eastAsia" w:ascii="宋体" w:hAnsi="宋体" w:eastAsia="宋体" w:cs="宋体"/>
              <w:b w:val="0"/>
              <w:bCs w:val="0"/>
              <w:color w:val="auto"/>
              <w:highlight w:val="none"/>
            </w:rPr>
            <w:fldChar w:fldCharType="end"/>
          </w:r>
        </w:p>
        <w:p w14:paraId="4961BB43">
          <w:pPr>
            <w:pStyle w:val="16"/>
            <w:tabs>
              <w:tab w:val="right" w:leader="dot" w:pos="9120"/>
            </w:tabs>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HYPERLINK \l _Toc1314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kern w:val="2"/>
              <w:szCs w:val="24"/>
              <w:highlight w:val="none"/>
              <w:lang w:val="zh-CN"/>
            </w:rPr>
            <w:t>2.采购方式、合格的供应商</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PAGEREF _Toc1314 \h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highlight w:val="none"/>
            </w:rPr>
            <w:t>13</w:t>
          </w:r>
          <w:r>
            <w:rPr>
              <w:rFonts w:hint="eastAsia" w:ascii="宋体" w:hAnsi="宋体" w:eastAsia="宋体" w:cs="宋体"/>
              <w:b w:val="0"/>
              <w:bCs w:val="0"/>
              <w:color w:val="auto"/>
              <w:highlight w:val="none"/>
            </w:rPr>
            <w:fldChar w:fldCharType="end"/>
          </w:r>
          <w:r>
            <w:rPr>
              <w:rFonts w:hint="eastAsia" w:ascii="宋体" w:hAnsi="宋体" w:eastAsia="宋体" w:cs="宋体"/>
              <w:b w:val="0"/>
              <w:bCs w:val="0"/>
              <w:color w:val="auto"/>
              <w:highlight w:val="none"/>
            </w:rPr>
            <w:fldChar w:fldCharType="end"/>
          </w:r>
        </w:p>
        <w:p w14:paraId="5365E2B9">
          <w:pPr>
            <w:pStyle w:val="16"/>
            <w:tabs>
              <w:tab w:val="right" w:leader="dot" w:pos="9120"/>
            </w:tabs>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HYPERLINK \l _Toc23289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kern w:val="2"/>
              <w:szCs w:val="24"/>
              <w:highlight w:val="none"/>
              <w:lang w:val="zh-CN"/>
            </w:rPr>
            <w:t>3.磋商费用</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PAGEREF _Toc23289 \h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highlight w:val="none"/>
            </w:rPr>
            <w:t>13</w:t>
          </w:r>
          <w:r>
            <w:rPr>
              <w:rFonts w:hint="eastAsia" w:ascii="宋体" w:hAnsi="宋体" w:eastAsia="宋体" w:cs="宋体"/>
              <w:b w:val="0"/>
              <w:bCs w:val="0"/>
              <w:color w:val="auto"/>
              <w:highlight w:val="none"/>
            </w:rPr>
            <w:fldChar w:fldCharType="end"/>
          </w:r>
          <w:r>
            <w:rPr>
              <w:rFonts w:hint="eastAsia" w:ascii="宋体" w:hAnsi="宋体" w:eastAsia="宋体" w:cs="宋体"/>
              <w:b w:val="0"/>
              <w:bCs w:val="0"/>
              <w:color w:val="auto"/>
              <w:highlight w:val="none"/>
            </w:rPr>
            <w:fldChar w:fldCharType="end"/>
          </w:r>
        </w:p>
        <w:p w14:paraId="7FEB7116">
          <w:pPr>
            <w:pStyle w:val="28"/>
            <w:tabs>
              <w:tab w:val="right" w:leader="dot" w:pos="9120"/>
              <w:tab w:val="clear" w:pos="9402"/>
            </w:tabs>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HYPERLINK \l _Toc6064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szCs w:val="36"/>
              <w:highlight w:val="none"/>
            </w:rPr>
            <w:t>二、磋商文件说明</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PAGEREF _Toc6064 \h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highlight w:val="none"/>
            </w:rPr>
            <w:t>13</w:t>
          </w:r>
          <w:r>
            <w:rPr>
              <w:rFonts w:hint="eastAsia" w:ascii="宋体" w:hAnsi="宋体" w:eastAsia="宋体" w:cs="宋体"/>
              <w:b w:val="0"/>
              <w:bCs w:val="0"/>
              <w:color w:val="auto"/>
              <w:highlight w:val="none"/>
            </w:rPr>
            <w:fldChar w:fldCharType="end"/>
          </w:r>
          <w:r>
            <w:rPr>
              <w:rFonts w:hint="eastAsia" w:ascii="宋体" w:hAnsi="宋体" w:eastAsia="宋体" w:cs="宋体"/>
              <w:b w:val="0"/>
              <w:bCs w:val="0"/>
              <w:color w:val="auto"/>
              <w:highlight w:val="none"/>
            </w:rPr>
            <w:fldChar w:fldCharType="end"/>
          </w:r>
        </w:p>
        <w:p w14:paraId="3ABFDBEA">
          <w:pPr>
            <w:pStyle w:val="16"/>
            <w:tabs>
              <w:tab w:val="right" w:leader="dot" w:pos="9120"/>
            </w:tabs>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HYPERLINK \l _Toc11850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kern w:val="2"/>
              <w:szCs w:val="24"/>
              <w:highlight w:val="none"/>
              <w:lang w:val="zh-CN"/>
            </w:rPr>
            <w:t>4.磋商文件的构成</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PAGEREF _Toc11850 \h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highlight w:val="none"/>
            </w:rPr>
            <w:t>13</w:t>
          </w:r>
          <w:r>
            <w:rPr>
              <w:rFonts w:hint="eastAsia" w:ascii="宋体" w:hAnsi="宋体" w:eastAsia="宋体" w:cs="宋体"/>
              <w:b w:val="0"/>
              <w:bCs w:val="0"/>
              <w:color w:val="auto"/>
              <w:highlight w:val="none"/>
            </w:rPr>
            <w:fldChar w:fldCharType="end"/>
          </w:r>
          <w:r>
            <w:rPr>
              <w:rFonts w:hint="eastAsia" w:ascii="宋体" w:hAnsi="宋体" w:eastAsia="宋体" w:cs="宋体"/>
              <w:b w:val="0"/>
              <w:bCs w:val="0"/>
              <w:color w:val="auto"/>
              <w:highlight w:val="none"/>
            </w:rPr>
            <w:fldChar w:fldCharType="end"/>
          </w:r>
        </w:p>
        <w:p w14:paraId="08A1C2FA">
          <w:pPr>
            <w:pStyle w:val="16"/>
            <w:tabs>
              <w:tab w:val="right" w:leader="dot" w:pos="9120"/>
            </w:tabs>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HYPERLINK \l _Toc11760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kern w:val="2"/>
              <w:szCs w:val="24"/>
              <w:highlight w:val="none"/>
              <w:lang w:val="zh-CN"/>
            </w:rPr>
            <w:t>5.磋商文件的质疑</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PAGEREF _Toc11760 \h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highlight w:val="none"/>
            </w:rPr>
            <w:t>13</w:t>
          </w:r>
          <w:r>
            <w:rPr>
              <w:rFonts w:hint="eastAsia" w:ascii="宋体" w:hAnsi="宋体" w:eastAsia="宋体" w:cs="宋体"/>
              <w:b w:val="0"/>
              <w:bCs w:val="0"/>
              <w:color w:val="auto"/>
              <w:highlight w:val="none"/>
            </w:rPr>
            <w:fldChar w:fldCharType="end"/>
          </w:r>
          <w:r>
            <w:rPr>
              <w:rFonts w:hint="eastAsia" w:ascii="宋体" w:hAnsi="宋体" w:eastAsia="宋体" w:cs="宋体"/>
              <w:b w:val="0"/>
              <w:bCs w:val="0"/>
              <w:color w:val="auto"/>
              <w:highlight w:val="none"/>
            </w:rPr>
            <w:fldChar w:fldCharType="end"/>
          </w:r>
        </w:p>
        <w:p w14:paraId="4ECD8C5A">
          <w:pPr>
            <w:pStyle w:val="16"/>
            <w:tabs>
              <w:tab w:val="right" w:leader="dot" w:pos="9120"/>
            </w:tabs>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HYPERLINK \l _Toc10129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kern w:val="2"/>
              <w:szCs w:val="24"/>
              <w:highlight w:val="none"/>
              <w:lang w:val="zh-CN"/>
            </w:rPr>
            <w:t>6.磋商文件的澄清、修改</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PAGEREF _Toc10129 \h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highlight w:val="none"/>
            </w:rPr>
            <w:t>14</w:t>
          </w:r>
          <w:r>
            <w:rPr>
              <w:rFonts w:hint="eastAsia" w:ascii="宋体" w:hAnsi="宋体" w:eastAsia="宋体" w:cs="宋体"/>
              <w:b w:val="0"/>
              <w:bCs w:val="0"/>
              <w:color w:val="auto"/>
              <w:highlight w:val="none"/>
            </w:rPr>
            <w:fldChar w:fldCharType="end"/>
          </w:r>
          <w:r>
            <w:rPr>
              <w:rFonts w:hint="eastAsia" w:ascii="宋体" w:hAnsi="宋体" w:eastAsia="宋体" w:cs="宋体"/>
              <w:b w:val="0"/>
              <w:bCs w:val="0"/>
              <w:color w:val="auto"/>
              <w:highlight w:val="none"/>
            </w:rPr>
            <w:fldChar w:fldCharType="end"/>
          </w:r>
        </w:p>
        <w:p w14:paraId="53A870EC">
          <w:pPr>
            <w:pStyle w:val="28"/>
            <w:tabs>
              <w:tab w:val="right" w:leader="dot" w:pos="9120"/>
              <w:tab w:val="clear" w:pos="9402"/>
            </w:tabs>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HYPERLINK \l _Toc18464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szCs w:val="36"/>
              <w:highlight w:val="none"/>
            </w:rPr>
            <w:t>三、响应文件的编制</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PAGEREF _Toc18464 \h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highlight w:val="none"/>
            </w:rPr>
            <w:t>14</w:t>
          </w:r>
          <w:r>
            <w:rPr>
              <w:rFonts w:hint="eastAsia" w:ascii="宋体" w:hAnsi="宋体" w:eastAsia="宋体" w:cs="宋体"/>
              <w:b w:val="0"/>
              <w:bCs w:val="0"/>
              <w:color w:val="auto"/>
              <w:highlight w:val="none"/>
            </w:rPr>
            <w:fldChar w:fldCharType="end"/>
          </w:r>
          <w:r>
            <w:rPr>
              <w:rFonts w:hint="eastAsia" w:ascii="宋体" w:hAnsi="宋体" w:eastAsia="宋体" w:cs="宋体"/>
              <w:b w:val="0"/>
              <w:bCs w:val="0"/>
              <w:color w:val="auto"/>
              <w:highlight w:val="none"/>
            </w:rPr>
            <w:fldChar w:fldCharType="end"/>
          </w:r>
        </w:p>
        <w:p w14:paraId="4A103565">
          <w:pPr>
            <w:pStyle w:val="16"/>
            <w:tabs>
              <w:tab w:val="right" w:leader="dot" w:pos="9120"/>
            </w:tabs>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HYPERLINK \l _Toc6280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kern w:val="2"/>
              <w:szCs w:val="24"/>
              <w:highlight w:val="none"/>
              <w:lang w:val="zh-CN"/>
            </w:rPr>
            <w:t>7.响应文件的语言及度量衡单位</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PAGEREF _Toc6280 \h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highlight w:val="none"/>
            </w:rPr>
            <w:t>14</w:t>
          </w:r>
          <w:r>
            <w:rPr>
              <w:rFonts w:hint="eastAsia" w:ascii="宋体" w:hAnsi="宋体" w:eastAsia="宋体" w:cs="宋体"/>
              <w:b w:val="0"/>
              <w:bCs w:val="0"/>
              <w:color w:val="auto"/>
              <w:highlight w:val="none"/>
            </w:rPr>
            <w:fldChar w:fldCharType="end"/>
          </w:r>
          <w:r>
            <w:rPr>
              <w:rFonts w:hint="eastAsia" w:ascii="宋体" w:hAnsi="宋体" w:eastAsia="宋体" w:cs="宋体"/>
              <w:b w:val="0"/>
              <w:bCs w:val="0"/>
              <w:color w:val="auto"/>
              <w:highlight w:val="none"/>
            </w:rPr>
            <w:fldChar w:fldCharType="end"/>
          </w:r>
        </w:p>
        <w:p w14:paraId="4112C3F7">
          <w:pPr>
            <w:pStyle w:val="16"/>
            <w:tabs>
              <w:tab w:val="right" w:leader="dot" w:pos="9120"/>
            </w:tabs>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HYPERLINK \l _Toc16835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kern w:val="2"/>
              <w:szCs w:val="24"/>
              <w:highlight w:val="none"/>
              <w:lang w:val="zh-CN"/>
            </w:rPr>
            <w:t>8.投标报价及币种</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PAGEREF _Toc16835 \h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highlight w:val="none"/>
            </w:rPr>
            <w:t>14</w:t>
          </w:r>
          <w:r>
            <w:rPr>
              <w:rFonts w:hint="eastAsia" w:ascii="宋体" w:hAnsi="宋体" w:eastAsia="宋体" w:cs="宋体"/>
              <w:b w:val="0"/>
              <w:bCs w:val="0"/>
              <w:color w:val="auto"/>
              <w:highlight w:val="none"/>
            </w:rPr>
            <w:fldChar w:fldCharType="end"/>
          </w:r>
          <w:r>
            <w:rPr>
              <w:rFonts w:hint="eastAsia" w:ascii="宋体" w:hAnsi="宋体" w:eastAsia="宋体" w:cs="宋体"/>
              <w:b w:val="0"/>
              <w:bCs w:val="0"/>
              <w:color w:val="auto"/>
              <w:highlight w:val="none"/>
            </w:rPr>
            <w:fldChar w:fldCharType="end"/>
          </w:r>
        </w:p>
        <w:p w14:paraId="34BB5F67">
          <w:pPr>
            <w:pStyle w:val="16"/>
            <w:tabs>
              <w:tab w:val="right" w:leader="dot" w:pos="9120"/>
            </w:tabs>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HYPERLINK \l _Toc9388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kern w:val="2"/>
              <w:szCs w:val="24"/>
              <w:highlight w:val="none"/>
              <w:lang w:val="zh-CN"/>
            </w:rPr>
            <w:t>9.磋商保证金</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PAGEREF _Toc9388 \h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highlight w:val="none"/>
            </w:rPr>
            <w:t>15</w:t>
          </w:r>
          <w:r>
            <w:rPr>
              <w:rFonts w:hint="eastAsia" w:ascii="宋体" w:hAnsi="宋体" w:eastAsia="宋体" w:cs="宋体"/>
              <w:b w:val="0"/>
              <w:bCs w:val="0"/>
              <w:color w:val="auto"/>
              <w:highlight w:val="none"/>
            </w:rPr>
            <w:fldChar w:fldCharType="end"/>
          </w:r>
          <w:r>
            <w:rPr>
              <w:rFonts w:hint="eastAsia" w:ascii="宋体" w:hAnsi="宋体" w:eastAsia="宋体" w:cs="宋体"/>
              <w:b w:val="0"/>
              <w:bCs w:val="0"/>
              <w:color w:val="auto"/>
              <w:highlight w:val="none"/>
            </w:rPr>
            <w:fldChar w:fldCharType="end"/>
          </w:r>
        </w:p>
        <w:p w14:paraId="2FFE636B">
          <w:pPr>
            <w:pStyle w:val="16"/>
            <w:tabs>
              <w:tab w:val="right" w:leader="dot" w:pos="9120"/>
            </w:tabs>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HYPERLINK \l _Toc5721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kern w:val="2"/>
              <w:szCs w:val="24"/>
              <w:highlight w:val="none"/>
            </w:rPr>
            <w:t>10.磋商有效期</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PAGEREF _Toc5721 \h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highlight w:val="none"/>
            </w:rPr>
            <w:t>15</w:t>
          </w:r>
          <w:r>
            <w:rPr>
              <w:rFonts w:hint="eastAsia" w:ascii="宋体" w:hAnsi="宋体" w:eastAsia="宋体" w:cs="宋体"/>
              <w:b w:val="0"/>
              <w:bCs w:val="0"/>
              <w:color w:val="auto"/>
              <w:highlight w:val="none"/>
            </w:rPr>
            <w:fldChar w:fldCharType="end"/>
          </w:r>
          <w:r>
            <w:rPr>
              <w:rFonts w:hint="eastAsia" w:ascii="宋体" w:hAnsi="宋体" w:eastAsia="宋体" w:cs="宋体"/>
              <w:b w:val="0"/>
              <w:bCs w:val="0"/>
              <w:color w:val="auto"/>
              <w:highlight w:val="none"/>
            </w:rPr>
            <w:fldChar w:fldCharType="end"/>
          </w:r>
        </w:p>
        <w:p w14:paraId="24F6EDB9">
          <w:pPr>
            <w:pStyle w:val="28"/>
            <w:tabs>
              <w:tab w:val="right" w:leader="dot" w:pos="9120"/>
              <w:tab w:val="clear" w:pos="9402"/>
            </w:tabs>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HYPERLINK \l _Toc3974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szCs w:val="36"/>
              <w:highlight w:val="none"/>
              <w:lang w:val="zh-CN"/>
            </w:rPr>
            <w:t>四、磋商响应文件的构成</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PAGEREF _Toc3974 \h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highlight w:val="none"/>
            </w:rPr>
            <w:t>15</w:t>
          </w:r>
          <w:r>
            <w:rPr>
              <w:rFonts w:hint="eastAsia" w:ascii="宋体" w:hAnsi="宋体" w:eastAsia="宋体" w:cs="宋体"/>
              <w:b w:val="0"/>
              <w:bCs w:val="0"/>
              <w:color w:val="auto"/>
              <w:highlight w:val="none"/>
            </w:rPr>
            <w:fldChar w:fldCharType="end"/>
          </w:r>
          <w:r>
            <w:rPr>
              <w:rFonts w:hint="eastAsia" w:ascii="宋体" w:hAnsi="宋体" w:eastAsia="宋体" w:cs="宋体"/>
              <w:b w:val="0"/>
              <w:bCs w:val="0"/>
              <w:color w:val="auto"/>
              <w:highlight w:val="none"/>
            </w:rPr>
            <w:fldChar w:fldCharType="end"/>
          </w:r>
        </w:p>
        <w:p w14:paraId="444CFE9C">
          <w:pPr>
            <w:pStyle w:val="16"/>
            <w:tabs>
              <w:tab w:val="right" w:leader="dot" w:pos="9120"/>
            </w:tabs>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HYPERLINK \l _Toc8462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kern w:val="2"/>
              <w:szCs w:val="24"/>
              <w:highlight w:val="none"/>
            </w:rPr>
            <w:t>11.响应文件构成</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PAGEREF _Toc8462 \h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highlight w:val="none"/>
            </w:rPr>
            <w:t>15</w:t>
          </w:r>
          <w:r>
            <w:rPr>
              <w:rFonts w:hint="eastAsia" w:ascii="宋体" w:hAnsi="宋体" w:eastAsia="宋体" w:cs="宋体"/>
              <w:b w:val="0"/>
              <w:bCs w:val="0"/>
              <w:color w:val="auto"/>
              <w:highlight w:val="none"/>
            </w:rPr>
            <w:fldChar w:fldCharType="end"/>
          </w:r>
          <w:r>
            <w:rPr>
              <w:rFonts w:hint="eastAsia" w:ascii="宋体" w:hAnsi="宋体" w:eastAsia="宋体" w:cs="宋体"/>
              <w:b w:val="0"/>
              <w:bCs w:val="0"/>
              <w:color w:val="auto"/>
              <w:highlight w:val="none"/>
            </w:rPr>
            <w:fldChar w:fldCharType="end"/>
          </w:r>
        </w:p>
        <w:p w14:paraId="2BA60A4B">
          <w:pPr>
            <w:pStyle w:val="16"/>
            <w:tabs>
              <w:tab w:val="right" w:leader="dot" w:pos="9120"/>
            </w:tabs>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HYPERLINK \l _Toc32318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kern w:val="2"/>
              <w:szCs w:val="24"/>
              <w:highlight w:val="none"/>
              <w:lang w:val="en-US" w:eastAsia="zh-CN"/>
            </w:rPr>
            <w:t>12.磋商响应文件格式及编制要求</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PAGEREF _Toc32318 \h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highlight w:val="none"/>
            </w:rPr>
            <w:t>16</w:t>
          </w:r>
          <w:r>
            <w:rPr>
              <w:rFonts w:hint="eastAsia" w:ascii="宋体" w:hAnsi="宋体" w:eastAsia="宋体" w:cs="宋体"/>
              <w:b w:val="0"/>
              <w:bCs w:val="0"/>
              <w:color w:val="auto"/>
              <w:highlight w:val="none"/>
            </w:rPr>
            <w:fldChar w:fldCharType="end"/>
          </w:r>
          <w:r>
            <w:rPr>
              <w:rFonts w:hint="eastAsia" w:ascii="宋体" w:hAnsi="宋体" w:eastAsia="宋体" w:cs="宋体"/>
              <w:b w:val="0"/>
              <w:bCs w:val="0"/>
              <w:color w:val="auto"/>
              <w:highlight w:val="none"/>
            </w:rPr>
            <w:fldChar w:fldCharType="end"/>
          </w:r>
        </w:p>
        <w:p w14:paraId="0B685055">
          <w:pPr>
            <w:pStyle w:val="28"/>
            <w:tabs>
              <w:tab w:val="right" w:leader="dot" w:pos="9120"/>
              <w:tab w:val="clear" w:pos="9402"/>
            </w:tabs>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HYPERLINK \l _Toc22151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szCs w:val="36"/>
              <w:highlight w:val="none"/>
            </w:rPr>
            <w:t>五、响应文件的递交</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PAGEREF _Toc22151 \h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highlight w:val="none"/>
            </w:rPr>
            <w:t>17</w:t>
          </w:r>
          <w:r>
            <w:rPr>
              <w:rFonts w:hint="eastAsia" w:ascii="宋体" w:hAnsi="宋体" w:eastAsia="宋体" w:cs="宋体"/>
              <w:b w:val="0"/>
              <w:bCs w:val="0"/>
              <w:color w:val="auto"/>
              <w:highlight w:val="none"/>
            </w:rPr>
            <w:fldChar w:fldCharType="end"/>
          </w:r>
          <w:r>
            <w:rPr>
              <w:rFonts w:hint="eastAsia" w:ascii="宋体" w:hAnsi="宋体" w:eastAsia="宋体" w:cs="宋体"/>
              <w:b w:val="0"/>
              <w:bCs w:val="0"/>
              <w:color w:val="auto"/>
              <w:highlight w:val="none"/>
            </w:rPr>
            <w:fldChar w:fldCharType="end"/>
          </w:r>
        </w:p>
        <w:p w14:paraId="6D0656AD">
          <w:pPr>
            <w:pStyle w:val="16"/>
            <w:tabs>
              <w:tab w:val="right" w:leader="dot" w:pos="9120"/>
            </w:tabs>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HYPERLINK \l _Toc20111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kern w:val="2"/>
              <w:szCs w:val="24"/>
              <w:highlight w:val="none"/>
              <w:lang w:val="zh-CN"/>
            </w:rPr>
            <w:t>13.网上投标</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PAGEREF _Toc20111 \h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highlight w:val="none"/>
            </w:rPr>
            <w:t>17</w:t>
          </w:r>
          <w:r>
            <w:rPr>
              <w:rFonts w:hint="eastAsia" w:ascii="宋体" w:hAnsi="宋体" w:eastAsia="宋体" w:cs="宋体"/>
              <w:b w:val="0"/>
              <w:bCs w:val="0"/>
              <w:color w:val="auto"/>
              <w:highlight w:val="none"/>
            </w:rPr>
            <w:fldChar w:fldCharType="end"/>
          </w:r>
          <w:r>
            <w:rPr>
              <w:rFonts w:hint="eastAsia" w:ascii="宋体" w:hAnsi="宋体" w:eastAsia="宋体" w:cs="宋体"/>
              <w:b w:val="0"/>
              <w:bCs w:val="0"/>
              <w:color w:val="auto"/>
              <w:highlight w:val="none"/>
            </w:rPr>
            <w:fldChar w:fldCharType="end"/>
          </w:r>
        </w:p>
        <w:p w14:paraId="2173F338">
          <w:pPr>
            <w:pStyle w:val="16"/>
            <w:tabs>
              <w:tab w:val="right" w:leader="dot" w:pos="9120"/>
            </w:tabs>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HYPERLINK \l _Toc12923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kern w:val="2"/>
              <w:szCs w:val="24"/>
              <w:highlight w:val="none"/>
              <w:lang w:val="zh-CN"/>
            </w:rPr>
            <w:t>14.提交响应文件截止时间、地点及撤回</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PAGEREF _Toc12923 \h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highlight w:val="none"/>
            </w:rPr>
            <w:t>17</w:t>
          </w:r>
          <w:r>
            <w:rPr>
              <w:rFonts w:hint="eastAsia" w:ascii="宋体" w:hAnsi="宋体" w:eastAsia="宋体" w:cs="宋体"/>
              <w:b w:val="0"/>
              <w:bCs w:val="0"/>
              <w:color w:val="auto"/>
              <w:highlight w:val="none"/>
            </w:rPr>
            <w:fldChar w:fldCharType="end"/>
          </w:r>
          <w:r>
            <w:rPr>
              <w:rFonts w:hint="eastAsia" w:ascii="宋体" w:hAnsi="宋体" w:eastAsia="宋体" w:cs="宋体"/>
              <w:b w:val="0"/>
              <w:bCs w:val="0"/>
              <w:color w:val="auto"/>
              <w:highlight w:val="none"/>
            </w:rPr>
            <w:fldChar w:fldCharType="end"/>
          </w:r>
        </w:p>
        <w:p w14:paraId="6B81767A">
          <w:pPr>
            <w:pStyle w:val="16"/>
            <w:tabs>
              <w:tab w:val="right" w:leader="dot" w:pos="9120"/>
            </w:tabs>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HYPERLINK \l _Toc30364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kern w:val="2"/>
              <w:szCs w:val="24"/>
              <w:highlight w:val="none"/>
              <w:lang w:val="zh-CN"/>
            </w:rPr>
            <w:t>15.磋商响应文件的补充、修改或者撤回</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PAGEREF _Toc30364 \h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highlight w:val="none"/>
            </w:rPr>
            <w:t>17</w:t>
          </w:r>
          <w:r>
            <w:rPr>
              <w:rFonts w:hint="eastAsia" w:ascii="宋体" w:hAnsi="宋体" w:eastAsia="宋体" w:cs="宋体"/>
              <w:b w:val="0"/>
              <w:bCs w:val="0"/>
              <w:color w:val="auto"/>
              <w:highlight w:val="none"/>
            </w:rPr>
            <w:fldChar w:fldCharType="end"/>
          </w:r>
          <w:r>
            <w:rPr>
              <w:rFonts w:hint="eastAsia" w:ascii="宋体" w:hAnsi="宋体" w:eastAsia="宋体" w:cs="宋体"/>
              <w:b w:val="0"/>
              <w:bCs w:val="0"/>
              <w:color w:val="auto"/>
              <w:highlight w:val="none"/>
            </w:rPr>
            <w:fldChar w:fldCharType="end"/>
          </w:r>
        </w:p>
        <w:p w14:paraId="7A4D6DCB">
          <w:pPr>
            <w:pStyle w:val="16"/>
            <w:tabs>
              <w:tab w:val="right" w:leader="dot" w:pos="9120"/>
            </w:tabs>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HYPERLINK \l _Toc7869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kern w:val="2"/>
              <w:szCs w:val="24"/>
              <w:highlight w:val="none"/>
              <w:lang w:val="zh-CN"/>
            </w:rPr>
            <w:t>16.磋商过程</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PAGEREF _Toc7869 \h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highlight w:val="none"/>
            </w:rPr>
            <w:t>17</w:t>
          </w:r>
          <w:r>
            <w:rPr>
              <w:rFonts w:hint="eastAsia" w:ascii="宋体" w:hAnsi="宋体" w:eastAsia="宋体" w:cs="宋体"/>
              <w:b w:val="0"/>
              <w:bCs w:val="0"/>
              <w:color w:val="auto"/>
              <w:highlight w:val="none"/>
            </w:rPr>
            <w:fldChar w:fldCharType="end"/>
          </w:r>
          <w:r>
            <w:rPr>
              <w:rFonts w:hint="eastAsia" w:ascii="宋体" w:hAnsi="宋体" w:eastAsia="宋体" w:cs="宋体"/>
              <w:b w:val="0"/>
              <w:bCs w:val="0"/>
              <w:color w:val="auto"/>
              <w:highlight w:val="none"/>
            </w:rPr>
            <w:fldChar w:fldCharType="end"/>
          </w:r>
        </w:p>
        <w:p w14:paraId="10F04E92">
          <w:pPr>
            <w:pStyle w:val="28"/>
            <w:tabs>
              <w:tab w:val="right" w:leader="dot" w:pos="9120"/>
              <w:tab w:val="clear" w:pos="9402"/>
            </w:tabs>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HYPERLINK \l _Toc15417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szCs w:val="36"/>
              <w:highlight w:val="none"/>
            </w:rPr>
            <w:t>六、磋商程序及方法</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PAGEREF _Toc15417 \h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highlight w:val="none"/>
            </w:rPr>
            <w:t>18</w:t>
          </w:r>
          <w:r>
            <w:rPr>
              <w:rFonts w:hint="eastAsia" w:ascii="宋体" w:hAnsi="宋体" w:eastAsia="宋体" w:cs="宋体"/>
              <w:b w:val="0"/>
              <w:bCs w:val="0"/>
              <w:color w:val="auto"/>
              <w:highlight w:val="none"/>
            </w:rPr>
            <w:fldChar w:fldCharType="end"/>
          </w:r>
          <w:r>
            <w:rPr>
              <w:rFonts w:hint="eastAsia" w:ascii="宋体" w:hAnsi="宋体" w:eastAsia="宋体" w:cs="宋体"/>
              <w:b w:val="0"/>
              <w:bCs w:val="0"/>
              <w:color w:val="auto"/>
              <w:highlight w:val="none"/>
            </w:rPr>
            <w:fldChar w:fldCharType="end"/>
          </w:r>
        </w:p>
        <w:p w14:paraId="4BD6A951">
          <w:pPr>
            <w:pStyle w:val="16"/>
            <w:tabs>
              <w:tab w:val="right" w:leader="dot" w:pos="9120"/>
            </w:tabs>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HYPERLINK \l _Toc2013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kern w:val="2"/>
              <w:szCs w:val="24"/>
              <w:highlight w:val="none"/>
              <w:lang w:val="zh-CN"/>
            </w:rPr>
            <w:t>1</w:t>
          </w:r>
          <w:r>
            <w:rPr>
              <w:rFonts w:hint="eastAsia" w:ascii="宋体" w:hAnsi="宋体" w:eastAsia="宋体" w:cs="宋体"/>
              <w:b w:val="0"/>
              <w:bCs w:val="0"/>
              <w:color w:val="auto"/>
              <w:kern w:val="2"/>
              <w:szCs w:val="24"/>
              <w:highlight w:val="none"/>
              <w:lang w:val="en-US" w:eastAsia="zh-CN"/>
            </w:rPr>
            <w:t>7</w:t>
          </w:r>
          <w:r>
            <w:rPr>
              <w:rFonts w:hint="eastAsia" w:ascii="宋体" w:hAnsi="宋体" w:eastAsia="宋体" w:cs="宋体"/>
              <w:b w:val="0"/>
              <w:bCs w:val="0"/>
              <w:color w:val="auto"/>
              <w:kern w:val="2"/>
              <w:szCs w:val="24"/>
              <w:highlight w:val="none"/>
              <w:lang w:val="zh-CN"/>
            </w:rPr>
            <w:t>.资格审查程序</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PAGEREF _Toc2013 \h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highlight w:val="none"/>
            </w:rPr>
            <w:t>18</w:t>
          </w:r>
          <w:r>
            <w:rPr>
              <w:rFonts w:hint="eastAsia" w:ascii="宋体" w:hAnsi="宋体" w:eastAsia="宋体" w:cs="宋体"/>
              <w:b w:val="0"/>
              <w:bCs w:val="0"/>
              <w:color w:val="auto"/>
              <w:highlight w:val="none"/>
            </w:rPr>
            <w:fldChar w:fldCharType="end"/>
          </w:r>
          <w:r>
            <w:rPr>
              <w:rFonts w:hint="eastAsia" w:ascii="宋体" w:hAnsi="宋体" w:eastAsia="宋体" w:cs="宋体"/>
              <w:b w:val="0"/>
              <w:bCs w:val="0"/>
              <w:color w:val="auto"/>
              <w:highlight w:val="none"/>
            </w:rPr>
            <w:fldChar w:fldCharType="end"/>
          </w:r>
        </w:p>
        <w:p w14:paraId="11132445">
          <w:pPr>
            <w:pStyle w:val="16"/>
            <w:tabs>
              <w:tab w:val="right" w:leader="dot" w:pos="9120"/>
            </w:tabs>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HYPERLINK \l _Toc18332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kern w:val="2"/>
              <w:szCs w:val="24"/>
              <w:highlight w:val="none"/>
              <w:lang w:val="zh-CN"/>
            </w:rPr>
            <w:t>1</w:t>
          </w:r>
          <w:r>
            <w:rPr>
              <w:rFonts w:hint="eastAsia" w:ascii="宋体" w:hAnsi="宋体" w:eastAsia="宋体" w:cs="宋体"/>
              <w:b w:val="0"/>
              <w:bCs w:val="0"/>
              <w:color w:val="auto"/>
              <w:kern w:val="2"/>
              <w:szCs w:val="24"/>
              <w:highlight w:val="none"/>
              <w:lang w:val="en-US" w:eastAsia="zh-CN"/>
            </w:rPr>
            <w:t>8</w:t>
          </w:r>
          <w:r>
            <w:rPr>
              <w:rFonts w:hint="eastAsia" w:ascii="宋体" w:hAnsi="宋体" w:eastAsia="宋体" w:cs="宋体"/>
              <w:b w:val="0"/>
              <w:bCs w:val="0"/>
              <w:color w:val="auto"/>
              <w:kern w:val="2"/>
              <w:szCs w:val="24"/>
              <w:highlight w:val="none"/>
              <w:lang w:val="zh-CN"/>
            </w:rPr>
            <w:t>.资格审查不通过的情形</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PAGEREF _Toc18332 \h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highlight w:val="none"/>
            </w:rPr>
            <w:t>18</w:t>
          </w:r>
          <w:r>
            <w:rPr>
              <w:rFonts w:hint="eastAsia" w:ascii="宋体" w:hAnsi="宋体" w:eastAsia="宋体" w:cs="宋体"/>
              <w:b w:val="0"/>
              <w:bCs w:val="0"/>
              <w:color w:val="auto"/>
              <w:highlight w:val="none"/>
            </w:rPr>
            <w:fldChar w:fldCharType="end"/>
          </w:r>
          <w:r>
            <w:rPr>
              <w:rFonts w:hint="eastAsia" w:ascii="宋体" w:hAnsi="宋体" w:eastAsia="宋体" w:cs="宋体"/>
              <w:b w:val="0"/>
              <w:bCs w:val="0"/>
              <w:color w:val="auto"/>
              <w:highlight w:val="none"/>
            </w:rPr>
            <w:fldChar w:fldCharType="end"/>
          </w:r>
        </w:p>
        <w:p w14:paraId="07690C42">
          <w:pPr>
            <w:pStyle w:val="28"/>
            <w:tabs>
              <w:tab w:val="right" w:leader="dot" w:pos="9120"/>
              <w:tab w:val="clear" w:pos="9402"/>
            </w:tabs>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HYPERLINK \l _Toc13196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kern w:val="0"/>
              <w:szCs w:val="36"/>
              <w:highlight w:val="none"/>
              <w:lang w:val="en-US" w:eastAsia="zh-CN"/>
            </w:rPr>
            <w:t>七</w:t>
          </w:r>
          <w:r>
            <w:rPr>
              <w:rFonts w:hint="eastAsia" w:ascii="宋体" w:hAnsi="宋体" w:eastAsia="宋体" w:cs="宋体"/>
              <w:b w:val="0"/>
              <w:bCs w:val="0"/>
              <w:color w:val="auto"/>
              <w:kern w:val="0"/>
              <w:szCs w:val="36"/>
              <w:highlight w:val="none"/>
            </w:rPr>
            <w:t>、磋商程序及方法</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PAGEREF _Toc13196 \h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highlight w:val="none"/>
            </w:rPr>
            <w:t>18</w:t>
          </w:r>
          <w:r>
            <w:rPr>
              <w:rFonts w:hint="eastAsia" w:ascii="宋体" w:hAnsi="宋体" w:eastAsia="宋体" w:cs="宋体"/>
              <w:b w:val="0"/>
              <w:bCs w:val="0"/>
              <w:color w:val="auto"/>
              <w:highlight w:val="none"/>
            </w:rPr>
            <w:fldChar w:fldCharType="end"/>
          </w:r>
          <w:r>
            <w:rPr>
              <w:rFonts w:hint="eastAsia" w:ascii="宋体" w:hAnsi="宋体" w:eastAsia="宋体" w:cs="宋体"/>
              <w:b w:val="0"/>
              <w:bCs w:val="0"/>
              <w:color w:val="auto"/>
              <w:highlight w:val="none"/>
            </w:rPr>
            <w:fldChar w:fldCharType="end"/>
          </w:r>
        </w:p>
        <w:p w14:paraId="3EC8E34C">
          <w:pPr>
            <w:pStyle w:val="16"/>
            <w:tabs>
              <w:tab w:val="right" w:leader="dot" w:pos="9120"/>
            </w:tabs>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HYPERLINK \l _Toc29858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kern w:val="2"/>
              <w:szCs w:val="24"/>
              <w:highlight w:val="none"/>
              <w:lang w:val="zh-CN"/>
            </w:rPr>
            <w:t>1</w:t>
          </w:r>
          <w:r>
            <w:rPr>
              <w:rFonts w:hint="eastAsia" w:ascii="宋体" w:hAnsi="宋体" w:eastAsia="宋体" w:cs="宋体"/>
              <w:b w:val="0"/>
              <w:bCs w:val="0"/>
              <w:color w:val="auto"/>
              <w:kern w:val="2"/>
              <w:szCs w:val="24"/>
              <w:highlight w:val="none"/>
              <w:lang w:val="en-US" w:eastAsia="zh-CN"/>
            </w:rPr>
            <w:t>9</w:t>
          </w:r>
          <w:r>
            <w:rPr>
              <w:rFonts w:hint="eastAsia" w:ascii="宋体" w:hAnsi="宋体" w:eastAsia="宋体" w:cs="宋体"/>
              <w:b w:val="0"/>
              <w:bCs w:val="0"/>
              <w:color w:val="auto"/>
              <w:kern w:val="2"/>
              <w:szCs w:val="24"/>
              <w:highlight w:val="none"/>
              <w:lang w:val="zh-CN"/>
            </w:rPr>
            <w:t>.磋商小组</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PAGEREF _Toc29858 \h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highlight w:val="none"/>
            </w:rPr>
            <w:t>18</w:t>
          </w:r>
          <w:r>
            <w:rPr>
              <w:rFonts w:hint="eastAsia" w:ascii="宋体" w:hAnsi="宋体" w:eastAsia="宋体" w:cs="宋体"/>
              <w:b w:val="0"/>
              <w:bCs w:val="0"/>
              <w:color w:val="auto"/>
              <w:highlight w:val="none"/>
            </w:rPr>
            <w:fldChar w:fldCharType="end"/>
          </w:r>
          <w:r>
            <w:rPr>
              <w:rFonts w:hint="eastAsia" w:ascii="宋体" w:hAnsi="宋体" w:eastAsia="宋体" w:cs="宋体"/>
              <w:b w:val="0"/>
              <w:bCs w:val="0"/>
              <w:color w:val="auto"/>
              <w:highlight w:val="none"/>
            </w:rPr>
            <w:fldChar w:fldCharType="end"/>
          </w:r>
        </w:p>
        <w:p w14:paraId="050D34A0">
          <w:pPr>
            <w:pStyle w:val="16"/>
            <w:tabs>
              <w:tab w:val="right" w:leader="dot" w:pos="9120"/>
            </w:tabs>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HYPERLINK \l _Toc20325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kern w:val="2"/>
              <w:szCs w:val="24"/>
              <w:highlight w:val="none"/>
              <w:lang w:val="en-US" w:eastAsia="zh-CN"/>
            </w:rPr>
            <w:t>20</w:t>
          </w:r>
          <w:r>
            <w:rPr>
              <w:rFonts w:hint="eastAsia" w:ascii="宋体" w:hAnsi="宋体" w:eastAsia="宋体" w:cs="宋体"/>
              <w:b w:val="0"/>
              <w:bCs w:val="0"/>
              <w:color w:val="auto"/>
              <w:kern w:val="2"/>
              <w:szCs w:val="24"/>
              <w:highlight w:val="none"/>
              <w:lang w:val="zh-CN"/>
            </w:rPr>
            <w:t>.磋商程序</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PAGEREF _Toc20325 \h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highlight w:val="none"/>
            </w:rPr>
            <w:t>20</w:t>
          </w:r>
          <w:r>
            <w:rPr>
              <w:rFonts w:hint="eastAsia" w:ascii="宋体" w:hAnsi="宋体" w:eastAsia="宋体" w:cs="宋体"/>
              <w:b w:val="0"/>
              <w:bCs w:val="0"/>
              <w:color w:val="auto"/>
              <w:highlight w:val="none"/>
            </w:rPr>
            <w:fldChar w:fldCharType="end"/>
          </w:r>
          <w:r>
            <w:rPr>
              <w:rFonts w:hint="eastAsia" w:ascii="宋体" w:hAnsi="宋体" w:eastAsia="宋体" w:cs="宋体"/>
              <w:b w:val="0"/>
              <w:bCs w:val="0"/>
              <w:color w:val="auto"/>
              <w:highlight w:val="none"/>
            </w:rPr>
            <w:fldChar w:fldCharType="end"/>
          </w:r>
        </w:p>
        <w:p w14:paraId="046D4EA6">
          <w:pPr>
            <w:pStyle w:val="16"/>
            <w:tabs>
              <w:tab w:val="right" w:leader="dot" w:pos="9120"/>
            </w:tabs>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HYPERLINK \l _Toc7928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kern w:val="0"/>
              <w:szCs w:val="27"/>
              <w:highlight w:val="none"/>
              <w:lang w:val="en-US" w:eastAsia="zh-CN"/>
            </w:rPr>
            <w:t>21</w:t>
          </w:r>
          <w:r>
            <w:rPr>
              <w:rFonts w:hint="eastAsia" w:ascii="宋体" w:hAnsi="宋体" w:eastAsia="宋体" w:cs="宋体"/>
              <w:b w:val="0"/>
              <w:bCs w:val="0"/>
              <w:color w:val="auto"/>
              <w:kern w:val="0"/>
              <w:szCs w:val="27"/>
              <w:highlight w:val="none"/>
            </w:rPr>
            <w:t>.答疑的方式和情形</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PAGEREF _Toc7928 \h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highlight w:val="none"/>
            </w:rPr>
            <w:t>21</w:t>
          </w:r>
          <w:r>
            <w:rPr>
              <w:rFonts w:hint="eastAsia" w:ascii="宋体" w:hAnsi="宋体" w:eastAsia="宋体" w:cs="宋体"/>
              <w:b w:val="0"/>
              <w:bCs w:val="0"/>
              <w:color w:val="auto"/>
              <w:highlight w:val="none"/>
            </w:rPr>
            <w:fldChar w:fldCharType="end"/>
          </w:r>
          <w:r>
            <w:rPr>
              <w:rFonts w:hint="eastAsia" w:ascii="宋体" w:hAnsi="宋体" w:eastAsia="宋体" w:cs="宋体"/>
              <w:b w:val="0"/>
              <w:bCs w:val="0"/>
              <w:color w:val="auto"/>
              <w:highlight w:val="none"/>
            </w:rPr>
            <w:fldChar w:fldCharType="end"/>
          </w:r>
        </w:p>
        <w:p w14:paraId="5BD3646A">
          <w:pPr>
            <w:pStyle w:val="16"/>
            <w:tabs>
              <w:tab w:val="right" w:leader="dot" w:pos="9120"/>
            </w:tabs>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HYPERLINK \l _Toc8915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kern w:val="2"/>
              <w:szCs w:val="24"/>
              <w:highlight w:val="none"/>
              <w:lang w:val="en-US" w:eastAsia="zh-CN"/>
            </w:rPr>
            <w:t>22</w:t>
          </w:r>
          <w:r>
            <w:rPr>
              <w:rFonts w:hint="eastAsia" w:ascii="宋体" w:hAnsi="宋体" w:eastAsia="宋体" w:cs="宋体"/>
              <w:b w:val="0"/>
              <w:bCs w:val="0"/>
              <w:color w:val="auto"/>
              <w:kern w:val="2"/>
              <w:szCs w:val="24"/>
              <w:highlight w:val="none"/>
              <w:lang w:val="zh-CN"/>
            </w:rPr>
            <w:t>.评审办法</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PAGEREF _Toc8915 \h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highlight w:val="none"/>
            </w:rPr>
            <w:t>22</w:t>
          </w:r>
          <w:r>
            <w:rPr>
              <w:rFonts w:hint="eastAsia" w:ascii="宋体" w:hAnsi="宋体" w:eastAsia="宋体" w:cs="宋体"/>
              <w:b w:val="0"/>
              <w:bCs w:val="0"/>
              <w:color w:val="auto"/>
              <w:highlight w:val="none"/>
            </w:rPr>
            <w:fldChar w:fldCharType="end"/>
          </w:r>
          <w:r>
            <w:rPr>
              <w:rFonts w:hint="eastAsia" w:ascii="宋体" w:hAnsi="宋体" w:eastAsia="宋体" w:cs="宋体"/>
              <w:b w:val="0"/>
              <w:bCs w:val="0"/>
              <w:color w:val="auto"/>
              <w:highlight w:val="none"/>
            </w:rPr>
            <w:fldChar w:fldCharType="end"/>
          </w:r>
        </w:p>
        <w:p w14:paraId="53125561">
          <w:pPr>
            <w:pStyle w:val="28"/>
            <w:tabs>
              <w:tab w:val="right" w:leader="dot" w:pos="9120"/>
              <w:tab w:val="clear" w:pos="9402"/>
            </w:tabs>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HYPERLINK \l _Toc18680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kern w:val="0"/>
              <w:szCs w:val="36"/>
              <w:highlight w:val="none"/>
              <w:lang w:val="en-US" w:eastAsia="zh-CN"/>
            </w:rPr>
            <w:t>八</w:t>
          </w:r>
          <w:r>
            <w:rPr>
              <w:rFonts w:hint="eastAsia" w:ascii="宋体" w:hAnsi="宋体" w:eastAsia="宋体" w:cs="宋体"/>
              <w:b w:val="0"/>
              <w:bCs w:val="0"/>
              <w:color w:val="auto"/>
              <w:kern w:val="0"/>
              <w:szCs w:val="36"/>
              <w:highlight w:val="none"/>
            </w:rPr>
            <w:t>、成交</w:t>
          </w:r>
          <w:r>
            <w:rPr>
              <w:rFonts w:hint="eastAsia" w:ascii="宋体" w:hAnsi="宋体" w:eastAsia="宋体" w:cs="宋体"/>
              <w:b w:val="0"/>
              <w:bCs w:val="0"/>
              <w:color w:val="auto"/>
              <w:kern w:val="0"/>
              <w:szCs w:val="36"/>
              <w:highlight w:val="none"/>
              <w:lang w:val="en-US" w:eastAsia="zh-CN"/>
            </w:rPr>
            <w:t>办法</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PAGEREF _Toc18680 \h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highlight w:val="none"/>
            </w:rPr>
            <w:t>28</w:t>
          </w:r>
          <w:r>
            <w:rPr>
              <w:rFonts w:hint="eastAsia" w:ascii="宋体" w:hAnsi="宋体" w:eastAsia="宋体" w:cs="宋体"/>
              <w:b w:val="0"/>
              <w:bCs w:val="0"/>
              <w:color w:val="auto"/>
              <w:highlight w:val="none"/>
            </w:rPr>
            <w:fldChar w:fldCharType="end"/>
          </w:r>
          <w:r>
            <w:rPr>
              <w:rFonts w:hint="eastAsia" w:ascii="宋体" w:hAnsi="宋体" w:eastAsia="宋体" w:cs="宋体"/>
              <w:b w:val="0"/>
              <w:bCs w:val="0"/>
              <w:color w:val="auto"/>
              <w:highlight w:val="none"/>
            </w:rPr>
            <w:fldChar w:fldCharType="end"/>
          </w:r>
        </w:p>
        <w:p w14:paraId="3764EE37">
          <w:pPr>
            <w:pStyle w:val="16"/>
            <w:tabs>
              <w:tab w:val="right" w:leader="dot" w:pos="9120"/>
            </w:tabs>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HYPERLINK \l _Toc25882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kern w:val="2"/>
              <w:szCs w:val="24"/>
              <w:highlight w:val="none"/>
              <w:lang w:val="en-US" w:eastAsia="zh-CN"/>
            </w:rPr>
            <w:t>23</w:t>
          </w:r>
          <w:r>
            <w:rPr>
              <w:rFonts w:hint="eastAsia" w:ascii="宋体" w:hAnsi="宋体" w:eastAsia="宋体" w:cs="宋体"/>
              <w:b w:val="0"/>
              <w:bCs w:val="0"/>
              <w:color w:val="auto"/>
              <w:kern w:val="2"/>
              <w:szCs w:val="24"/>
              <w:highlight w:val="none"/>
              <w:lang w:val="zh-CN"/>
            </w:rPr>
            <w:t>.推荐并确定成交供应商</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PAGEREF _Toc25882 \h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highlight w:val="none"/>
            </w:rPr>
            <w:t>28</w:t>
          </w:r>
          <w:r>
            <w:rPr>
              <w:rFonts w:hint="eastAsia" w:ascii="宋体" w:hAnsi="宋体" w:eastAsia="宋体" w:cs="宋体"/>
              <w:b w:val="0"/>
              <w:bCs w:val="0"/>
              <w:color w:val="auto"/>
              <w:highlight w:val="none"/>
            </w:rPr>
            <w:fldChar w:fldCharType="end"/>
          </w:r>
          <w:r>
            <w:rPr>
              <w:rFonts w:hint="eastAsia" w:ascii="宋体" w:hAnsi="宋体" w:eastAsia="宋体" w:cs="宋体"/>
              <w:b w:val="0"/>
              <w:bCs w:val="0"/>
              <w:color w:val="auto"/>
              <w:highlight w:val="none"/>
            </w:rPr>
            <w:fldChar w:fldCharType="end"/>
          </w:r>
        </w:p>
        <w:p w14:paraId="269B0CFF">
          <w:pPr>
            <w:pStyle w:val="16"/>
            <w:tabs>
              <w:tab w:val="right" w:leader="dot" w:pos="9120"/>
            </w:tabs>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HYPERLINK \l _Toc14836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kern w:val="2"/>
              <w:szCs w:val="24"/>
              <w:highlight w:val="none"/>
              <w:lang w:val="zh-CN"/>
            </w:rPr>
            <w:t>2</w:t>
          </w:r>
          <w:r>
            <w:rPr>
              <w:rFonts w:hint="eastAsia" w:ascii="宋体" w:hAnsi="宋体" w:eastAsia="宋体" w:cs="宋体"/>
              <w:b w:val="0"/>
              <w:bCs w:val="0"/>
              <w:color w:val="auto"/>
              <w:kern w:val="2"/>
              <w:szCs w:val="24"/>
              <w:highlight w:val="none"/>
              <w:lang w:val="en-US" w:eastAsia="zh-CN"/>
            </w:rPr>
            <w:t>4</w:t>
          </w:r>
          <w:r>
            <w:rPr>
              <w:rFonts w:hint="eastAsia" w:ascii="宋体" w:hAnsi="宋体" w:eastAsia="宋体" w:cs="宋体"/>
              <w:b w:val="0"/>
              <w:bCs w:val="0"/>
              <w:color w:val="auto"/>
              <w:kern w:val="2"/>
              <w:szCs w:val="24"/>
              <w:highlight w:val="none"/>
              <w:lang w:val="zh-CN"/>
            </w:rPr>
            <w:t>.成交通知</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PAGEREF _Toc14836 \h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highlight w:val="none"/>
            </w:rPr>
            <w:t>28</w:t>
          </w:r>
          <w:r>
            <w:rPr>
              <w:rFonts w:hint="eastAsia" w:ascii="宋体" w:hAnsi="宋体" w:eastAsia="宋体" w:cs="宋体"/>
              <w:b w:val="0"/>
              <w:bCs w:val="0"/>
              <w:color w:val="auto"/>
              <w:highlight w:val="none"/>
            </w:rPr>
            <w:fldChar w:fldCharType="end"/>
          </w:r>
          <w:r>
            <w:rPr>
              <w:rFonts w:hint="eastAsia" w:ascii="宋体" w:hAnsi="宋体" w:eastAsia="宋体" w:cs="宋体"/>
              <w:b w:val="0"/>
              <w:bCs w:val="0"/>
              <w:color w:val="auto"/>
              <w:highlight w:val="none"/>
            </w:rPr>
            <w:fldChar w:fldCharType="end"/>
          </w:r>
        </w:p>
        <w:p w14:paraId="20BB661C">
          <w:pPr>
            <w:pStyle w:val="28"/>
            <w:tabs>
              <w:tab w:val="right" w:leader="dot" w:pos="9120"/>
              <w:tab w:val="clear" w:pos="9402"/>
            </w:tabs>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HYPERLINK \l _Toc216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kern w:val="0"/>
              <w:szCs w:val="36"/>
              <w:highlight w:val="none"/>
              <w:lang w:val="en-US" w:eastAsia="zh-CN"/>
            </w:rPr>
            <w:t>九</w:t>
          </w:r>
          <w:r>
            <w:rPr>
              <w:rFonts w:hint="eastAsia" w:ascii="宋体" w:hAnsi="宋体" w:eastAsia="宋体" w:cs="宋体"/>
              <w:b w:val="0"/>
              <w:bCs w:val="0"/>
              <w:color w:val="auto"/>
              <w:kern w:val="0"/>
              <w:szCs w:val="36"/>
              <w:highlight w:val="none"/>
            </w:rPr>
            <w:t>、授予合同</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PAGEREF _Toc216 \h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highlight w:val="none"/>
            </w:rPr>
            <w:t>28</w:t>
          </w:r>
          <w:r>
            <w:rPr>
              <w:rFonts w:hint="eastAsia" w:ascii="宋体" w:hAnsi="宋体" w:eastAsia="宋体" w:cs="宋体"/>
              <w:b w:val="0"/>
              <w:bCs w:val="0"/>
              <w:color w:val="auto"/>
              <w:highlight w:val="none"/>
            </w:rPr>
            <w:fldChar w:fldCharType="end"/>
          </w:r>
          <w:r>
            <w:rPr>
              <w:rFonts w:hint="eastAsia" w:ascii="宋体" w:hAnsi="宋体" w:eastAsia="宋体" w:cs="宋体"/>
              <w:b w:val="0"/>
              <w:bCs w:val="0"/>
              <w:color w:val="auto"/>
              <w:highlight w:val="none"/>
            </w:rPr>
            <w:fldChar w:fldCharType="end"/>
          </w:r>
        </w:p>
        <w:p w14:paraId="7643D1EB">
          <w:pPr>
            <w:pStyle w:val="16"/>
            <w:tabs>
              <w:tab w:val="right" w:leader="dot" w:pos="9120"/>
            </w:tabs>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HYPERLINK \l _Toc22591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kern w:val="2"/>
              <w:szCs w:val="24"/>
              <w:highlight w:val="none"/>
              <w:lang w:val="zh-CN"/>
            </w:rPr>
            <w:t>2</w:t>
          </w:r>
          <w:r>
            <w:rPr>
              <w:rFonts w:hint="eastAsia" w:ascii="宋体" w:hAnsi="宋体" w:eastAsia="宋体" w:cs="宋体"/>
              <w:b w:val="0"/>
              <w:bCs w:val="0"/>
              <w:color w:val="auto"/>
              <w:kern w:val="2"/>
              <w:szCs w:val="24"/>
              <w:highlight w:val="none"/>
              <w:lang w:val="en-US" w:eastAsia="zh-CN"/>
            </w:rPr>
            <w:t>5</w:t>
          </w:r>
          <w:r>
            <w:rPr>
              <w:rFonts w:hint="eastAsia" w:ascii="宋体" w:hAnsi="宋体" w:eastAsia="宋体" w:cs="宋体"/>
              <w:b w:val="0"/>
              <w:bCs w:val="0"/>
              <w:color w:val="auto"/>
              <w:kern w:val="2"/>
              <w:szCs w:val="24"/>
              <w:highlight w:val="none"/>
              <w:lang w:val="zh-CN"/>
            </w:rPr>
            <w:t>.签订合同</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PAGEREF _Toc22591 \h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highlight w:val="none"/>
            </w:rPr>
            <w:t>28</w:t>
          </w:r>
          <w:r>
            <w:rPr>
              <w:rFonts w:hint="eastAsia" w:ascii="宋体" w:hAnsi="宋体" w:eastAsia="宋体" w:cs="宋体"/>
              <w:b w:val="0"/>
              <w:bCs w:val="0"/>
              <w:color w:val="auto"/>
              <w:highlight w:val="none"/>
            </w:rPr>
            <w:fldChar w:fldCharType="end"/>
          </w:r>
          <w:r>
            <w:rPr>
              <w:rFonts w:hint="eastAsia" w:ascii="宋体" w:hAnsi="宋体" w:eastAsia="宋体" w:cs="宋体"/>
              <w:b w:val="0"/>
              <w:bCs w:val="0"/>
              <w:color w:val="auto"/>
              <w:highlight w:val="none"/>
            </w:rPr>
            <w:fldChar w:fldCharType="end"/>
          </w:r>
        </w:p>
        <w:p w14:paraId="2DF1F0D2">
          <w:pPr>
            <w:pStyle w:val="28"/>
            <w:tabs>
              <w:tab w:val="right" w:leader="dot" w:pos="9120"/>
              <w:tab w:val="clear" w:pos="9402"/>
            </w:tabs>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HYPERLINK \l _Toc6275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kern w:val="0"/>
              <w:szCs w:val="36"/>
              <w:highlight w:val="none"/>
              <w:lang w:val="en-US" w:eastAsia="zh-CN"/>
            </w:rPr>
            <w:t>十</w:t>
          </w:r>
          <w:r>
            <w:rPr>
              <w:rFonts w:hint="eastAsia" w:ascii="宋体" w:hAnsi="宋体" w:eastAsia="宋体" w:cs="宋体"/>
              <w:b w:val="0"/>
              <w:bCs w:val="0"/>
              <w:color w:val="auto"/>
              <w:kern w:val="0"/>
              <w:szCs w:val="36"/>
              <w:highlight w:val="none"/>
            </w:rPr>
            <w:t>、磋商活动终止</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PAGEREF _Toc6275 \h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highlight w:val="none"/>
            </w:rPr>
            <w:t>29</w:t>
          </w:r>
          <w:r>
            <w:rPr>
              <w:rFonts w:hint="eastAsia" w:ascii="宋体" w:hAnsi="宋体" w:eastAsia="宋体" w:cs="宋体"/>
              <w:b w:val="0"/>
              <w:bCs w:val="0"/>
              <w:color w:val="auto"/>
              <w:highlight w:val="none"/>
            </w:rPr>
            <w:fldChar w:fldCharType="end"/>
          </w:r>
          <w:r>
            <w:rPr>
              <w:rFonts w:hint="eastAsia" w:ascii="宋体" w:hAnsi="宋体" w:eastAsia="宋体" w:cs="宋体"/>
              <w:b w:val="0"/>
              <w:bCs w:val="0"/>
              <w:color w:val="auto"/>
              <w:highlight w:val="none"/>
            </w:rPr>
            <w:fldChar w:fldCharType="end"/>
          </w:r>
        </w:p>
        <w:p w14:paraId="71975D65">
          <w:pPr>
            <w:pStyle w:val="16"/>
            <w:tabs>
              <w:tab w:val="right" w:leader="dot" w:pos="9120"/>
            </w:tabs>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HYPERLINK \l _Toc25665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kern w:val="2"/>
              <w:szCs w:val="24"/>
              <w:highlight w:val="none"/>
              <w:lang w:val="zh-CN"/>
            </w:rPr>
            <w:t>2</w:t>
          </w:r>
          <w:r>
            <w:rPr>
              <w:rFonts w:hint="eastAsia" w:ascii="宋体" w:hAnsi="宋体" w:eastAsia="宋体" w:cs="宋体"/>
              <w:b w:val="0"/>
              <w:bCs w:val="0"/>
              <w:color w:val="auto"/>
              <w:kern w:val="2"/>
              <w:szCs w:val="24"/>
              <w:highlight w:val="none"/>
              <w:lang w:val="en-US" w:eastAsia="zh-CN"/>
            </w:rPr>
            <w:t>6</w:t>
          </w:r>
          <w:r>
            <w:rPr>
              <w:rFonts w:hint="eastAsia" w:ascii="宋体" w:hAnsi="宋体" w:eastAsia="宋体" w:cs="宋体"/>
              <w:b w:val="0"/>
              <w:bCs w:val="0"/>
              <w:color w:val="auto"/>
              <w:kern w:val="2"/>
              <w:szCs w:val="24"/>
              <w:highlight w:val="none"/>
              <w:lang w:val="zh-CN"/>
            </w:rPr>
            <w:t>.终止情形</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PAGEREF _Toc25665 \h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highlight w:val="none"/>
            </w:rPr>
            <w:t>29</w:t>
          </w:r>
          <w:r>
            <w:rPr>
              <w:rFonts w:hint="eastAsia" w:ascii="宋体" w:hAnsi="宋体" w:eastAsia="宋体" w:cs="宋体"/>
              <w:b w:val="0"/>
              <w:bCs w:val="0"/>
              <w:color w:val="auto"/>
              <w:highlight w:val="none"/>
            </w:rPr>
            <w:fldChar w:fldCharType="end"/>
          </w:r>
          <w:r>
            <w:rPr>
              <w:rFonts w:hint="eastAsia" w:ascii="宋体" w:hAnsi="宋体" w:eastAsia="宋体" w:cs="宋体"/>
              <w:b w:val="0"/>
              <w:bCs w:val="0"/>
              <w:color w:val="auto"/>
              <w:highlight w:val="none"/>
            </w:rPr>
            <w:fldChar w:fldCharType="end"/>
          </w:r>
        </w:p>
        <w:p w14:paraId="753E56F8">
          <w:pPr>
            <w:pStyle w:val="28"/>
            <w:tabs>
              <w:tab w:val="right" w:leader="dot" w:pos="9120"/>
              <w:tab w:val="clear" w:pos="9402"/>
            </w:tabs>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HYPERLINK \l _Toc31640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kern w:val="0"/>
              <w:szCs w:val="36"/>
              <w:highlight w:val="none"/>
            </w:rPr>
            <w:t>十</w:t>
          </w:r>
          <w:r>
            <w:rPr>
              <w:rFonts w:hint="eastAsia" w:ascii="宋体" w:hAnsi="宋体" w:eastAsia="宋体" w:cs="宋体"/>
              <w:b w:val="0"/>
              <w:bCs w:val="0"/>
              <w:color w:val="auto"/>
              <w:kern w:val="0"/>
              <w:szCs w:val="36"/>
              <w:highlight w:val="none"/>
              <w:lang w:val="en-US" w:eastAsia="zh-CN"/>
            </w:rPr>
            <w:t>一</w:t>
          </w:r>
          <w:r>
            <w:rPr>
              <w:rFonts w:hint="eastAsia" w:ascii="宋体" w:hAnsi="宋体" w:eastAsia="宋体" w:cs="宋体"/>
              <w:b w:val="0"/>
              <w:bCs w:val="0"/>
              <w:color w:val="auto"/>
              <w:kern w:val="0"/>
              <w:szCs w:val="36"/>
              <w:highlight w:val="none"/>
            </w:rPr>
            <w:t>、处罚</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PAGEREF _Toc31640 \h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highlight w:val="none"/>
            </w:rPr>
            <w:t>29</w:t>
          </w:r>
          <w:r>
            <w:rPr>
              <w:rFonts w:hint="eastAsia" w:ascii="宋体" w:hAnsi="宋体" w:eastAsia="宋体" w:cs="宋体"/>
              <w:b w:val="0"/>
              <w:bCs w:val="0"/>
              <w:color w:val="auto"/>
              <w:highlight w:val="none"/>
            </w:rPr>
            <w:fldChar w:fldCharType="end"/>
          </w:r>
          <w:r>
            <w:rPr>
              <w:rFonts w:hint="eastAsia" w:ascii="宋体" w:hAnsi="宋体" w:eastAsia="宋体" w:cs="宋体"/>
              <w:b w:val="0"/>
              <w:bCs w:val="0"/>
              <w:color w:val="auto"/>
              <w:highlight w:val="none"/>
            </w:rPr>
            <w:fldChar w:fldCharType="end"/>
          </w:r>
        </w:p>
        <w:p w14:paraId="6B51B020">
          <w:pPr>
            <w:pStyle w:val="16"/>
            <w:tabs>
              <w:tab w:val="right" w:leader="dot" w:pos="9120"/>
            </w:tabs>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HYPERLINK \l _Toc9550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kern w:val="2"/>
              <w:szCs w:val="24"/>
              <w:highlight w:val="none"/>
              <w:lang w:val="zh-CN"/>
            </w:rPr>
            <w:t>2</w:t>
          </w:r>
          <w:r>
            <w:rPr>
              <w:rFonts w:hint="eastAsia" w:ascii="宋体" w:hAnsi="宋体" w:eastAsia="宋体" w:cs="宋体"/>
              <w:b w:val="0"/>
              <w:bCs w:val="0"/>
              <w:color w:val="auto"/>
              <w:kern w:val="2"/>
              <w:szCs w:val="24"/>
              <w:highlight w:val="none"/>
              <w:lang w:val="en-US" w:eastAsia="zh-CN"/>
            </w:rPr>
            <w:t>7</w:t>
          </w:r>
          <w:r>
            <w:rPr>
              <w:rFonts w:hint="eastAsia" w:ascii="宋体" w:hAnsi="宋体" w:eastAsia="宋体" w:cs="宋体"/>
              <w:b w:val="0"/>
              <w:bCs w:val="0"/>
              <w:color w:val="auto"/>
              <w:kern w:val="2"/>
              <w:szCs w:val="24"/>
              <w:highlight w:val="none"/>
              <w:lang w:val="zh-CN"/>
            </w:rPr>
            <w:t>.处罚情形</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PAGEREF _Toc9550 \h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highlight w:val="none"/>
            </w:rPr>
            <w:t>29</w:t>
          </w:r>
          <w:r>
            <w:rPr>
              <w:rFonts w:hint="eastAsia" w:ascii="宋体" w:hAnsi="宋体" w:eastAsia="宋体" w:cs="宋体"/>
              <w:b w:val="0"/>
              <w:bCs w:val="0"/>
              <w:color w:val="auto"/>
              <w:highlight w:val="none"/>
            </w:rPr>
            <w:fldChar w:fldCharType="end"/>
          </w:r>
          <w:r>
            <w:rPr>
              <w:rFonts w:hint="eastAsia" w:ascii="宋体" w:hAnsi="宋体" w:eastAsia="宋体" w:cs="宋体"/>
              <w:b w:val="0"/>
              <w:bCs w:val="0"/>
              <w:color w:val="auto"/>
              <w:highlight w:val="none"/>
            </w:rPr>
            <w:fldChar w:fldCharType="end"/>
          </w:r>
        </w:p>
        <w:p w14:paraId="40742BA3">
          <w:pPr>
            <w:pStyle w:val="28"/>
            <w:tabs>
              <w:tab w:val="right" w:leader="dot" w:pos="9120"/>
              <w:tab w:val="clear" w:pos="9402"/>
            </w:tabs>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HYPERLINK \l _Toc31398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kern w:val="0"/>
              <w:szCs w:val="36"/>
              <w:highlight w:val="none"/>
            </w:rPr>
            <w:t>十</w:t>
          </w:r>
          <w:r>
            <w:rPr>
              <w:rFonts w:hint="eastAsia" w:ascii="宋体" w:hAnsi="宋体" w:eastAsia="宋体" w:cs="宋体"/>
              <w:b w:val="0"/>
              <w:bCs w:val="0"/>
              <w:color w:val="auto"/>
              <w:kern w:val="0"/>
              <w:szCs w:val="36"/>
              <w:highlight w:val="none"/>
              <w:lang w:val="en-US" w:eastAsia="zh-CN"/>
            </w:rPr>
            <w:t>二</w:t>
          </w:r>
          <w:r>
            <w:rPr>
              <w:rFonts w:hint="eastAsia" w:ascii="宋体" w:hAnsi="宋体" w:eastAsia="宋体" w:cs="宋体"/>
              <w:b w:val="0"/>
              <w:bCs w:val="0"/>
              <w:color w:val="auto"/>
              <w:kern w:val="0"/>
              <w:szCs w:val="36"/>
              <w:highlight w:val="none"/>
            </w:rPr>
            <w:t>、其他</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PAGEREF _Toc31398 \h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highlight w:val="none"/>
            </w:rPr>
            <w:t>30</w:t>
          </w:r>
          <w:r>
            <w:rPr>
              <w:rFonts w:hint="eastAsia" w:ascii="宋体" w:hAnsi="宋体" w:eastAsia="宋体" w:cs="宋体"/>
              <w:b w:val="0"/>
              <w:bCs w:val="0"/>
              <w:color w:val="auto"/>
              <w:highlight w:val="none"/>
            </w:rPr>
            <w:fldChar w:fldCharType="end"/>
          </w:r>
          <w:r>
            <w:rPr>
              <w:rFonts w:hint="eastAsia" w:ascii="宋体" w:hAnsi="宋体" w:eastAsia="宋体" w:cs="宋体"/>
              <w:b w:val="0"/>
              <w:bCs w:val="0"/>
              <w:color w:val="auto"/>
              <w:highlight w:val="none"/>
            </w:rPr>
            <w:fldChar w:fldCharType="end"/>
          </w:r>
        </w:p>
        <w:p w14:paraId="0712E397">
          <w:pPr>
            <w:pStyle w:val="23"/>
            <w:tabs>
              <w:tab w:val="right" w:leader="dot" w:pos="9120"/>
              <w:tab w:val="clear" w:pos="9402"/>
            </w:tabs>
            <w:jc w:val="both"/>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HYPERLINK \l _Toc14428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kern w:val="28"/>
              <w:szCs w:val="20"/>
              <w:highlight w:val="none"/>
            </w:rPr>
            <w:t>第四部分  青海省政府采购合同文本样式</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PAGEREF _Toc14428 \h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highlight w:val="none"/>
            </w:rPr>
            <w:t>30</w:t>
          </w:r>
          <w:r>
            <w:rPr>
              <w:rFonts w:hint="eastAsia" w:ascii="宋体" w:hAnsi="宋体" w:eastAsia="宋体" w:cs="宋体"/>
              <w:b w:val="0"/>
              <w:bCs w:val="0"/>
              <w:color w:val="auto"/>
              <w:highlight w:val="none"/>
            </w:rPr>
            <w:fldChar w:fldCharType="end"/>
          </w:r>
          <w:r>
            <w:rPr>
              <w:rFonts w:hint="eastAsia" w:ascii="宋体" w:hAnsi="宋体" w:eastAsia="宋体" w:cs="宋体"/>
              <w:b w:val="0"/>
              <w:bCs w:val="0"/>
              <w:color w:val="auto"/>
              <w:highlight w:val="none"/>
            </w:rPr>
            <w:fldChar w:fldCharType="end"/>
          </w:r>
        </w:p>
        <w:p w14:paraId="5D3AD90E">
          <w:pPr>
            <w:pStyle w:val="23"/>
            <w:tabs>
              <w:tab w:val="right" w:leader="dot" w:pos="9120"/>
              <w:tab w:val="clear" w:pos="9402"/>
            </w:tabs>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HYPERLINK \l _Toc28107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kern w:val="28"/>
              <w:szCs w:val="20"/>
              <w:highlight w:val="none"/>
            </w:rPr>
            <w:t>第</w:t>
          </w:r>
          <w:r>
            <w:rPr>
              <w:rFonts w:hint="eastAsia" w:ascii="宋体" w:hAnsi="宋体" w:eastAsia="宋体" w:cs="宋体"/>
              <w:b w:val="0"/>
              <w:bCs w:val="0"/>
              <w:color w:val="auto"/>
              <w:kern w:val="28"/>
              <w:szCs w:val="20"/>
              <w:highlight w:val="none"/>
              <w:lang w:val="en-US" w:eastAsia="zh-CN"/>
            </w:rPr>
            <w:t>五</w:t>
          </w:r>
          <w:r>
            <w:rPr>
              <w:rFonts w:hint="eastAsia" w:ascii="宋体" w:hAnsi="宋体" w:eastAsia="宋体" w:cs="宋体"/>
              <w:b w:val="0"/>
              <w:bCs w:val="0"/>
              <w:color w:val="auto"/>
              <w:kern w:val="28"/>
              <w:szCs w:val="20"/>
              <w:highlight w:val="none"/>
            </w:rPr>
            <w:t>部分  磋商响应文件格式</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PAGEREF _Toc28107 \h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highlight w:val="none"/>
            </w:rPr>
            <w:t>35</w:t>
          </w:r>
          <w:r>
            <w:rPr>
              <w:rFonts w:hint="eastAsia" w:ascii="宋体" w:hAnsi="宋体" w:eastAsia="宋体" w:cs="宋体"/>
              <w:b w:val="0"/>
              <w:bCs w:val="0"/>
              <w:color w:val="auto"/>
              <w:highlight w:val="none"/>
            </w:rPr>
            <w:fldChar w:fldCharType="end"/>
          </w:r>
          <w:r>
            <w:rPr>
              <w:rFonts w:hint="eastAsia" w:ascii="宋体" w:hAnsi="宋体" w:eastAsia="宋体" w:cs="宋体"/>
              <w:b w:val="0"/>
              <w:bCs w:val="0"/>
              <w:color w:val="auto"/>
              <w:highlight w:val="none"/>
            </w:rPr>
            <w:fldChar w:fldCharType="end"/>
          </w:r>
        </w:p>
        <w:p w14:paraId="6D4B4F19">
          <w:pPr>
            <w:pStyle w:val="16"/>
            <w:tabs>
              <w:tab w:val="right" w:leader="dot" w:pos="9120"/>
            </w:tabs>
            <w:rPr>
              <w:rFonts w:hint="eastAsia" w:ascii="宋体" w:hAnsi="宋体" w:eastAsia="宋体" w:cs="宋体"/>
              <w:b w:val="0"/>
              <w:bCs w:val="0"/>
              <w:color w:val="auto"/>
              <w:highlight w:val="none"/>
              <w:lang w:val="zh-CN"/>
            </w:rPr>
          </w:pPr>
          <w:r>
            <w:rPr>
              <w:rFonts w:hint="eastAsia" w:ascii="宋体" w:hAnsi="宋体" w:eastAsia="宋体" w:cs="宋体"/>
              <w:b w:val="0"/>
              <w:bCs w:val="0"/>
              <w:color w:val="auto"/>
              <w:highlight w:val="none"/>
              <w:lang w:val="zh-CN"/>
            </w:rPr>
            <w:t xml:space="preserve"> </w:t>
          </w:r>
          <w:r>
            <w:rPr>
              <w:rFonts w:hint="eastAsia" w:ascii="宋体" w:hAnsi="宋体" w:eastAsia="宋体" w:cs="宋体"/>
              <w:b w:val="0"/>
              <w:bCs w:val="0"/>
              <w:color w:val="auto"/>
              <w:highlight w:val="none"/>
              <w:lang w:val="zh-CN"/>
            </w:rPr>
            <w:t>磋商响应文件封面(</w:t>
          </w:r>
          <w:r>
            <w:rPr>
              <w:rFonts w:hint="eastAsia" w:ascii="宋体" w:hAnsi="宋体" w:eastAsia="宋体" w:cs="宋体"/>
              <w:b w:val="0"/>
              <w:bCs w:val="0"/>
              <w:color w:val="auto"/>
              <w:highlight w:val="none"/>
              <w:lang w:val="en-US" w:eastAsia="zh-CN"/>
            </w:rPr>
            <w:t>上</w:t>
          </w:r>
          <w:r>
            <w:rPr>
              <w:rFonts w:hint="eastAsia" w:ascii="宋体" w:hAnsi="宋体" w:eastAsia="宋体" w:cs="宋体"/>
              <w:b w:val="0"/>
              <w:bCs w:val="0"/>
              <w:color w:val="auto"/>
              <w:highlight w:val="none"/>
              <w:lang w:val="zh-CN"/>
            </w:rPr>
            <w:t>册)</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PAGEREF _Toc12173 \h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highlight w:val="none"/>
            </w:rPr>
            <w:t>37</w:t>
          </w:r>
          <w:r>
            <w:rPr>
              <w:rFonts w:hint="eastAsia" w:ascii="宋体" w:hAnsi="宋体" w:eastAsia="宋体" w:cs="宋体"/>
              <w:b w:val="0"/>
              <w:bCs w:val="0"/>
              <w:color w:val="auto"/>
              <w:highlight w:val="none"/>
            </w:rPr>
            <w:fldChar w:fldCharType="end"/>
          </w:r>
        </w:p>
        <w:p w14:paraId="0CD4746D">
          <w:pPr>
            <w:pStyle w:val="16"/>
            <w:tabs>
              <w:tab w:val="right" w:leader="dot" w:pos="9120"/>
            </w:tabs>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HYPERLINK \l _Toc12173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kern w:val="2"/>
              <w:szCs w:val="32"/>
              <w:highlight w:val="none"/>
              <w:lang w:val="en-US" w:eastAsia="zh-CN" w:bidi="ar-SA"/>
            </w:rPr>
            <w:t>1．</w:t>
          </w:r>
          <w:r>
            <w:rPr>
              <w:rFonts w:hint="eastAsia" w:ascii="宋体" w:hAnsi="宋体" w:eastAsia="宋体" w:cs="宋体"/>
              <w:b w:val="0"/>
              <w:bCs w:val="0"/>
              <w:color w:val="auto"/>
              <w:kern w:val="2"/>
              <w:szCs w:val="32"/>
              <w:highlight w:val="none"/>
              <w:lang w:val="zh-CN" w:eastAsia="zh-CN" w:bidi="ar-SA"/>
            </w:rPr>
            <w:t>磋商函</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PAGEREF _Toc12173 \h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highlight w:val="none"/>
            </w:rPr>
            <w:t>37</w:t>
          </w:r>
          <w:r>
            <w:rPr>
              <w:rFonts w:hint="eastAsia" w:ascii="宋体" w:hAnsi="宋体" w:eastAsia="宋体" w:cs="宋体"/>
              <w:b w:val="0"/>
              <w:bCs w:val="0"/>
              <w:color w:val="auto"/>
              <w:highlight w:val="none"/>
            </w:rPr>
            <w:fldChar w:fldCharType="end"/>
          </w:r>
          <w:r>
            <w:rPr>
              <w:rFonts w:hint="eastAsia" w:ascii="宋体" w:hAnsi="宋体" w:eastAsia="宋体" w:cs="宋体"/>
              <w:b w:val="0"/>
              <w:bCs w:val="0"/>
              <w:color w:val="auto"/>
              <w:highlight w:val="none"/>
            </w:rPr>
            <w:fldChar w:fldCharType="end"/>
          </w:r>
        </w:p>
        <w:p w14:paraId="2D8379B4">
          <w:pPr>
            <w:pStyle w:val="16"/>
            <w:tabs>
              <w:tab w:val="right" w:leader="dot" w:pos="9120"/>
            </w:tabs>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HYPERLINK \l _Toc18489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kern w:val="2"/>
              <w:szCs w:val="32"/>
              <w:highlight w:val="none"/>
              <w:lang w:val="zh-CN" w:eastAsia="zh-CN" w:bidi="ar-SA"/>
            </w:rPr>
            <w:t>2． 法定代表人证明书</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PAGEREF _Toc18489 \h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highlight w:val="none"/>
            </w:rPr>
            <w:t>38</w:t>
          </w:r>
          <w:r>
            <w:rPr>
              <w:rFonts w:hint="eastAsia" w:ascii="宋体" w:hAnsi="宋体" w:eastAsia="宋体" w:cs="宋体"/>
              <w:b w:val="0"/>
              <w:bCs w:val="0"/>
              <w:color w:val="auto"/>
              <w:highlight w:val="none"/>
            </w:rPr>
            <w:fldChar w:fldCharType="end"/>
          </w:r>
          <w:r>
            <w:rPr>
              <w:rFonts w:hint="eastAsia" w:ascii="宋体" w:hAnsi="宋体" w:eastAsia="宋体" w:cs="宋体"/>
              <w:b w:val="0"/>
              <w:bCs w:val="0"/>
              <w:color w:val="auto"/>
              <w:highlight w:val="none"/>
            </w:rPr>
            <w:fldChar w:fldCharType="end"/>
          </w:r>
        </w:p>
        <w:p w14:paraId="27681FA2">
          <w:pPr>
            <w:pStyle w:val="16"/>
            <w:tabs>
              <w:tab w:val="right" w:leader="dot" w:pos="9120"/>
            </w:tabs>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HYPERLINK \l _Toc17417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kern w:val="2"/>
              <w:szCs w:val="32"/>
              <w:highlight w:val="none"/>
              <w:lang w:val="en-US" w:eastAsia="zh-CN" w:bidi="ar-SA"/>
            </w:rPr>
            <w:t>3.</w:t>
          </w:r>
          <w:r>
            <w:rPr>
              <w:rFonts w:hint="eastAsia" w:ascii="宋体" w:hAnsi="宋体" w:eastAsia="宋体" w:cs="宋体"/>
              <w:b w:val="0"/>
              <w:bCs w:val="0"/>
              <w:color w:val="auto"/>
              <w:kern w:val="2"/>
              <w:szCs w:val="32"/>
              <w:highlight w:val="none"/>
              <w:lang w:val="zh-CN" w:eastAsia="zh-CN" w:bidi="ar-SA"/>
            </w:rPr>
            <w:t>法定代表人授权书</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PAGEREF _Toc17417 \h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highlight w:val="none"/>
            </w:rPr>
            <w:t>39</w:t>
          </w:r>
          <w:r>
            <w:rPr>
              <w:rFonts w:hint="eastAsia" w:ascii="宋体" w:hAnsi="宋体" w:eastAsia="宋体" w:cs="宋体"/>
              <w:b w:val="0"/>
              <w:bCs w:val="0"/>
              <w:color w:val="auto"/>
              <w:highlight w:val="none"/>
            </w:rPr>
            <w:fldChar w:fldCharType="end"/>
          </w:r>
          <w:r>
            <w:rPr>
              <w:rFonts w:hint="eastAsia" w:ascii="宋体" w:hAnsi="宋体" w:eastAsia="宋体" w:cs="宋体"/>
              <w:b w:val="0"/>
              <w:bCs w:val="0"/>
              <w:color w:val="auto"/>
              <w:highlight w:val="none"/>
            </w:rPr>
            <w:fldChar w:fldCharType="end"/>
          </w:r>
        </w:p>
        <w:p w14:paraId="777D1E78">
          <w:pPr>
            <w:pStyle w:val="16"/>
            <w:tabs>
              <w:tab w:val="right" w:leader="dot" w:pos="9120"/>
            </w:tabs>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HYPERLINK \l _Toc8208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kern w:val="2"/>
              <w:szCs w:val="32"/>
              <w:highlight w:val="none"/>
              <w:lang w:val="en-US" w:eastAsia="zh-CN" w:bidi="ar-SA"/>
            </w:rPr>
            <w:t>4．联合体协议书（如有）</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PAGEREF _Toc8208 \h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highlight w:val="none"/>
            </w:rPr>
            <w:t>40</w:t>
          </w:r>
          <w:r>
            <w:rPr>
              <w:rFonts w:hint="eastAsia" w:ascii="宋体" w:hAnsi="宋体" w:eastAsia="宋体" w:cs="宋体"/>
              <w:b w:val="0"/>
              <w:bCs w:val="0"/>
              <w:color w:val="auto"/>
              <w:highlight w:val="none"/>
            </w:rPr>
            <w:fldChar w:fldCharType="end"/>
          </w:r>
          <w:r>
            <w:rPr>
              <w:rFonts w:hint="eastAsia" w:ascii="宋体" w:hAnsi="宋体" w:eastAsia="宋体" w:cs="宋体"/>
              <w:b w:val="0"/>
              <w:bCs w:val="0"/>
              <w:color w:val="auto"/>
              <w:highlight w:val="none"/>
            </w:rPr>
            <w:fldChar w:fldCharType="end"/>
          </w:r>
        </w:p>
        <w:p w14:paraId="0F9A721C">
          <w:pPr>
            <w:pStyle w:val="16"/>
            <w:tabs>
              <w:tab w:val="right" w:leader="dot" w:pos="9120"/>
            </w:tabs>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HYPERLINK \l _Toc31433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kern w:val="2"/>
              <w:szCs w:val="32"/>
              <w:highlight w:val="none"/>
              <w:lang w:val="zh-CN" w:eastAsia="zh-CN" w:bidi="ar-SA"/>
            </w:rPr>
            <w:t>5．投标供应商承诺函</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PAGEREF _Toc31433 \h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highlight w:val="none"/>
            </w:rPr>
            <w:t>41</w:t>
          </w:r>
          <w:r>
            <w:rPr>
              <w:rFonts w:hint="eastAsia" w:ascii="宋体" w:hAnsi="宋体" w:eastAsia="宋体" w:cs="宋体"/>
              <w:b w:val="0"/>
              <w:bCs w:val="0"/>
              <w:color w:val="auto"/>
              <w:highlight w:val="none"/>
            </w:rPr>
            <w:fldChar w:fldCharType="end"/>
          </w:r>
          <w:r>
            <w:rPr>
              <w:rFonts w:hint="eastAsia" w:ascii="宋体" w:hAnsi="宋体" w:eastAsia="宋体" w:cs="宋体"/>
              <w:b w:val="0"/>
              <w:bCs w:val="0"/>
              <w:color w:val="auto"/>
              <w:highlight w:val="none"/>
            </w:rPr>
            <w:fldChar w:fldCharType="end"/>
          </w:r>
        </w:p>
        <w:p w14:paraId="223DBE66">
          <w:pPr>
            <w:pStyle w:val="16"/>
            <w:tabs>
              <w:tab w:val="right" w:leader="dot" w:pos="9120"/>
            </w:tabs>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HYPERLINK \l _Toc18079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kern w:val="2"/>
              <w:szCs w:val="32"/>
              <w:highlight w:val="none"/>
              <w:lang w:val="zh-CN" w:eastAsia="zh-CN" w:bidi="ar-SA"/>
            </w:rPr>
            <w:t>6．供应商诚信承诺书</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PAGEREF _Toc18079 \h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highlight w:val="none"/>
            </w:rPr>
            <w:t>42</w:t>
          </w:r>
          <w:r>
            <w:rPr>
              <w:rFonts w:hint="eastAsia" w:ascii="宋体" w:hAnsi="宋体" w:eastAsia="宋体" w:cs="宋体"/>
              <w:b w:val="0"/>
              <w:bCs w:val="0"/>
              <w:color w:val="auto"/>
              <w:highlight w:val="none"/>
            </w:rPr>
            <w:fldChar w:fldCharType="end"/>
          </w:r>
          <w:r>
            <w:rPr>
              <w:rFonts w:hint="eastAsia" w:ascii="宋体" w:hAnsi="宋体" w:eastAsia="宋体" w:cs="宋体"/>
              <w:b w:val="0"/>
              <w:bCs w:val="0"/>
              <w:color w:val="auto"/>
              <w:highlight w:val="none"/>
            </w:rPr>
            <w:fldChar w:fldCharType="end"/>
          </w:r>
        </w:p>
        <w:p w14:paraId="32BD7FAE">
          <w:pPr>
            <w:pStyle w:val="16"/>
            <w:tabs>
              <w:tab w:val="right" w:leader="dot" w:pos="9120"/>
            </w:tabs>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HYPERLINK \l _Toc5576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kern w:val="2"/>
              <w:szCs w:val="32"/>
              <w:highlight w:val="none"/>
              <w:lang w:val="en-US" w:eastAsia="zh-CN" w:bidi="ar-SA"/>
            </w:rPr>
            <w:t>7.</w:t>
          </w:r>
          <w:r>
            <w:rPr>
              <w:rFonts w:hint="eastAsia" w:ascii="宋体" w:hAnsi="宋体" w:eastAsia="宋体" w:cs="宋体"/>
              <w:b w:val="0"/>
              <w:bCs w:val="0"/>
              <w:color w:val="auto"/>
              <w:kern w:val="2"/>
              <w:szCs w:val="32"/>
              <w:highlight w:val="none"/>
              <w:lang w:val="zh-CN" w:eastAsia="zh-CN" w:bidi="ar-SA"/>
            </w:rPr>
            <w:t>资格证明材料</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PAGEREF _Toc5576 \h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highlight w:val="none"/>
            </w:rPr>
            <w:t>43</w:t>
          </w:r>
          <w:r>
            <w:rPr>
              <w:rFonts w:hint="eastAsia" w:ascii="宋体" w:hAnsi="宋体" w:eastAsia="宋体" w:cs="宋体"/>
              <w:b w:val="0"/>
              <w:bCs w:val="0"/>
              <w:color w:val="auto"/>
              <w:highlight w:val="none"/>
            </w:rPr>
            <w:fldChar w:fldCharType="end"/>
          </w:r>
          <w:r>
            <w:rPr>
              <w:rFonts w:hint="eastAsia" w:ascii="宋体" w:hAnsi="宋体" w:eastAsia="宋体" w:cs="宋体"/>
              <w:b w:val="0"/>
              <w:bCs w:val="0"/>
              <w:color w:val="auto"/>
              <w:highlight w:val="none"/>
            </w:rPr>
            <w:fldChar w:fldCharType="end"/>
          </w:r>
        </w:p>
        <w:p w14:paraId="7C98ABE6">
          <w:pPr>
            <w:pStyle w:val="16"/>
            <w:tabs>
              <w:tab w:val="right" w:leader="dot" w:pos="9120"/>
            </w:tabs>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HYPERLINK \l _Toc31807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kern w:val="2"/>
              <w:szCs w:val="32"/>
              <w:highlight w:val="none"/>
              <w:lang w:val="en-US" w:eastAsia="zh-CN" w:bidi="ar-SA"/>
            </w:rPr>
            <w:t>8.</w:t>
          </w:r>
          <w:r>
            <w:rPr>
              <w:rFonts w:hint="eastAsia" w:ascii="宋体" w:hAnsi="宋体" w:eastAsia="宋体" w:cs="宋体"/>
              <w:b w:val="0"/>
              <w:bCs w:val="0"/>
              <w:color w:val="auto"/>
              <w:kern w:val="2"/>
              <w:szCs w:val="32"/>
              <w:highlight w:val="none"/>
              <w:lang w:val="zh-CN" w:eastAsia="zh-CN" w:bidi="ar-SA"/>
            </w:rPr>
            <w:t>财务状况、缴纳税收和社会保障资金证明</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PAGEREF _Toc31807 \h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highlight w:val="none"/>
            </w:rPr>
            <w:t>44</w:t>
          </w:r>
          <w:r>
            <w:rPr>
              <w:rFonts w:hint="eastAsia" w:ascii="宋体" w:hAnsi="宋体" w:eastAsia="宋体" w:cs="宋体"/>
              <w:b w:val="0"/>
              <w:bCs w:val="0"/>
              <w:color w:val="auto"/>
              <w:highlight w:val="none"/>
            </w:rPr>
            <w:fldChar w:fldCharType="end"/>
          </w:r>
          <w:r>
            <w:rPr>
              <w:rFonts w:hint="eastAsia" w:ascii="宋体" w:hAnsi="宋体" w:eastAsia="宋体" w:cs="宋体"/>
              <w:b w:val="0"/>
              <w:bCs w:val="0"/>
              <w:color w:val="auto"/>
              <w:highlight w:val="none"/>
            </w:rPr>
            <w:fldChar w:fldCharType="end"/>
          </w:r>
        </w:p>
        <w:p w14:paraId="4F7ED7F1">
          <w:pPr>
            <w:pStyle w:val="16"/>
            <w:tabs>
              <w:tab w:val="right" w:leader="dot" w:pos="9120"/>
            </w:tabs>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HYPERLINK \l _Toc18742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kern w:val="2"/>
              <w:szCs w:val="32"/>
              <w:highlight w:val="none"/>
              <w:lang w:val="zh-CN" w:eastAsia="zh-CN" w:bidi="ar-SA"/>
            </w:rPr>
            <w:t>9．具备履行合同所必须的设备和专业技术能力证明</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PAGEREF _Toc18742 \h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highlight w:val="none"/>
            </w:rPr>
            <w:t>45</w:t>
          </w:r>
          <w:r>
            <w:rPr>
              <w:rFonts w:hint="eastAsia" w:ascii="宋体" w:hAnsi="宋体" w:eastAsia="宋体" w:cs="宋体"/>
              <w:b w:val="0"/>
              <w:bCs w:val="0"/>
              <w:color w:val="auto"/>
              <w:highlight w:val="none"/>
            </w:rPr>
            <w:fldChar w:fldCharType="end"/>
          </w:r>
          <w:r>
            <w:rPr>
              <w:rFonts w:hint="eastAsia" w:ascii="宋体" w:hAnsi="宋体" w:eastAsia="宋体" w:cs="宋体"/>
              <w:b w:val="0"/>
              <w:bCs w:val="0"/>
              <w:color w:val="auto"/>
              <w:highlight w:val="none"/>
            </w:rPr>
            <w:fldChar w:fldCharType="end"/>
          </w:r>
        </w:p>
        <w:p w14:paraId="7B02E429">
          <w:pPr>
            <w:pStyle w:val="16"/>
            <w:tabs>
              <w:tab w:val="right" w:leader="dot" w:pos="9120"/>
            </w:tabs>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HYPERLINK \l _Toc11435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kern w:val="2"/>
              <w:szCs w:val="32"/>
              <w:highlight w:val="none"/>
              <w:lang w:val="zh-CN" w:eastAsia="zh-CN" w:bidi="ar-SA"/>
            </w:rPr>
            <w:t>10．无重大违法记录声明</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PAGEREF _Toc11435 \h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highlight w:val="none"/>
            </w:rPr>
            <w:t>46</w:t>
          </w:r>
          <w:r>
            <w:rPr>
              <w:rFonts w:hint="eastAsia" w:ascii="宋体" w:hAnsi="宋体" w:eastAsia="宋体" w:cs="宋体"/>
              <w:b w:val="0"/>
              <w:bCs w:val="0"/>
              <w:color w:val="auto"/>
              <w:highlight w:val="none"/>
            </w:rPr>
            <w:fldChar w:fldCharType="end"/>
          </w:r>
          <w:r>
            <w:rPr>
              <w:rFonts w:hint="eastAsia" w:ascii="宋体" w:hAnsi="宋体" w:eastAsia="宋体" w:cs="宋体"/>
              <w:b w:val="0"/>
              <w:bCs w:val="0"/>
              <w:color w:val="auto"/>
              <w:highlight w:val="none"/>
            </w:rPr>
            <w:fldChar w:fldCharType="end"/>
          </w:r>
        </w:p>
        <w:p w14:paraId="3657DA84">
          <w:pPr>
            <w:pStyle w:val="16"/>
            <w:tabs>
              <w:tab w:val="right" w:leader="dot" w:pos="9120"/>
            </w:tabs>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HYPERLINK \l _Toc234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kern w:val="2"/>
              <w:szCs w:val="32"/>
              <w:highlight w:val="none"/>
              <w:lang w:val="zh-CN" w:eastAsia="zh-CN" w:bidi="ar-SA"/>
            </w:rPr>
            <w:t>11．磋商保证金证明</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PAGEREF _Toc234 \h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highlight w:val="none"/>
            </w:rPr>
            <w:t>47</w:t>
          </w:r>
          <w:r>
            <w:rPr>
              <w:rFonts w:hint="eastAsia" w:ascii="宋体" w:hAnsi="宋体" w:eastAsia="宋体" w:cs="宋体"/>
              <w:b w:val="0"/>
              <w:bCs w:val="0"/>
              <w:color w:val="auto"/>
              <w:highlight w:val="none"/>
            </w:rPr>
            <w:fldChar w:fldCharType="end"/>
          </w:r>
          <w:r>
            <w:rPr>
              <w:rFonts w:hint="eastAsia" w:ascii="宋体" w:hAnsi="宋体" w:eastAsia="宋体" w:cs="宋体"/>
              <w:b w:val="0"/>
              <w:bCs w:val="0"/>
              <w:color w:val="auto"/>
              <w:highlight w:val="none"/>
            </w:rPr>
            <w:fldChar w:fldCharType="end"/>
          </w:r>
        </w:p>
        <w:p w14:paraId="7662BB45">
          <w:pPr>
            <w:pStyle w:val="16"/>
            <w:tabs>
              <w:tab w:val="right" w:leader="dot" w:pos="9120"/>
            </w:tabs>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HYPERLINK \l _Toc12102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highlight w:val="none"/>
              <w:lang w:val="zh-CN"/>
            </w:rPr>
            <w:t xml:space="preserve"> </w:t>
          </w:r>
          <w:r>
            <w:rPr>
              <w:rFonts w:hint="eastAsia" w:ascii="宋体" w:hAnsi="宋体" w:eastAsia="宋体" w:cs="宋体"/>
              <w:b w:val="0"/>
              <w:bCs w:val="0"/>
              <w:color w:val="auto"/>
              <w:highlight w:val="none"/>
              <w:lang w:val="zh-CN"/>
            </w:rPr>
            <w:t>磋商响应文件封面(下册)</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PAGEREF _Toc12102 \h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highlight w:val="none"/>
            </w:rPr>
            <w:t>48</w:t>
          </w:r>
          <w:r>
            <w:rPr>
              <w:rFonts w:hint="eastAsia" w:ascii="宋体" w:hAnsi="宋体" w:eastAsia="宋体" w:cs="宋体"/>
              <w:b w:val="0"/>
              <w:bCs w:val="0"/>
              <w:color w:val="auto"/>
              <w:highlight w:val="none"/>
            </w:rPr>
            <w:fldChar w:fldCharType="end"/>
          </w:r>
          <w:r>
            <w:rPr>
              <w:rFonts w:hint="eastAsia" w:ascii="宋体" w:hAnsi="宋体" w:eastAsia="宋体" w:cs="宋体"/>
              <w:b w:val="0"/>
              <w:bCs w:val="0"/>
              <w:color w:val="auto"/>
              <w:highlight w:val="none"/>
            </w:rPr>
            <w:fldChar w:fldCharType="end"/>
          </w:r>
        </w:p>
        <w:p w14:paraId="78DADE3D">
          <w:pPr>
            <w:pStyle w:val="16"/>
            <w:tabs>
              <w:tab w:val="right" w:leader="dot" w:pos="9120"/>
            </w:tabs>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HYPERLINK \l _Toc28183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kern w:val="2"/>
              <w:szCs w:val="32"/>
              <w:highlight w:val="none"/>
              <w:lang w:val="zh-CN" w:eastAsia="zh-CN" w:bidi="ar-SA"/>
            </w:rPr>
            <w:t>12．</w:t>
          </w:r>
          <w:r>
            <w:rPr>
              <w:rFonts w:hint="eastAsia" w:ascii="宋体" w:hAnsi="宋体" w:eastAsia="宋体" w:cs="宋体"/>
              <w:b w:val="0"/>
              <w:bCs w:val="0"/>
              <w:color w:val="auto"/>
              <w:kern w:val="2"/>
              <w:szCs w:val="32"/>
              <w:highlight w:val="none"/>
              <w:lang w:val="en-US" w:eastAsia="zh-CN" w:bidi="ar-SA"/>
            </w:rPr>
            <w:t>报价一览表</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PAGEREF _Toc28183 \h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highlight w:val="none"/>
            </w:rPr>
            <w:t>49</w:t>
          </w:r>
          <w:r>
            <w:rPr>
              <w:rFonts w:hint="eastAsia" w:ascii="宋体" w:hAnsi="宋体" w:eastAsia="宋体" w:cs="宋体"/>
              <w:b w:val="0"/>
              <w:bCs w:val="0"/>
              <w:color w:val="auto"/>
              <w:highlight w:val="none"/>
            </w:rPr>
            <w:fldChar w:fldCharType="end"/>
          </w:r>
          <w:r>
            <w:rPr>
              <w:rFonts w:hint="eastAsia" w:ascii="宋体" w:hAnsi="宋体" w:eastAsia="宋体" w:cs="宋体"/>
              <w:b w:val="0"/>
              <w:bCs w:val="0"/>
              <w:color w:val="auto"/>
              <w:highlight w:val="none"/>
            </w:rPr>
            <w:fldChar w:fldCharType="end"/>
          </w:r>
        </w:p>
        <w:p w14:paraId="14E48711">
          <w:pPr>
            <w:pStyle w:val="16"/>
            <w:tabs>
              <w:tab w:val="right" w:leader="dot" w:pos="9120"/>
            </w:tabs>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HYPERLINK \l _Toc12903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szCs w:val="32"/>
              <w:highlight w:val="none"/>
              <w:lang w:val="en-US" w:eastAsia="zh-CN" w:bidi="ar-SA"/>
            </w:rPr>
            <w:t>13．</w:t>
          </w:r>
          <w:r>
            <w:rPr>
              <w:rFonts w:hint="eastAsia" w:ascii="宋体" w:hAnsi="宋体" w:eastAsia="宋体" w:cs="宋体"/>
              <w:b w:val="0"/>
              <w:bCs w:val="0"/>
              <w:color w:val="auto"/>
              <w:kern w:val="2"/>
              <w:szCs w:val="32"/>
              <w:highlight w:val="none"/>
              <w:lang w:val="zh-CN" w:eastAsia="zh-CN" w:bidi="ar-SA"/>
            </w:rPr>
            <w:t>分项报价表</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PAGEREF _Toc12903 \h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highlight w:val="none"/>
            </w:rPr>
            <w:t>50</w:t>
          </w:r>
          <w:r>
            <w:rPr>
              <w:rFonts w:hint="eastAsia" w:ascii="宋体" w:hAnsi="宋体" w:eastAsia="宋体" w:cs="宋体"/>
              <w:b w:val="0"/>
              <w:bCs w:val="0"/>
              <w:color w:val="auto"/>
              <w:highlight w:val="none"/>
            </w:rPr>
            <w:fldChar w:fldCharType="end"/>
          </w:r>
          <w:r>
            <w:rPr>
              <w:rFonts w:hint="eastAsia" w:ascii="宋体" w:hAnsi="宋体" w:eastAsia="宋体" w:cs="宋体"/>
              <w:b w:val="0"/>
              <w:bCs w:val="0"/>
              <w:color w:val="auto"/>
              <w:highlight w:val="none"/>
            </w:rPr>
            <w:fldChar w:fldCharType="end"/>
          </w:r>
        </w:p>
        <w:p w14:paraId="1E7816CC">
          <w:pPr>
            <w:pStyle w:val="16"/>
            <w:tabs>
              <w:tab w:val="right" w:leader="dot" w:pos="9120"/>
            </w:tabs>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HYPERLINK \l _Toc2019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szCs w:val="32"/>
              <w:highlight w:val="none"/>
              <w:lang w:val="en-US" w:eastAsia="zh-CN" w:bidi="ar-SA"/>
            </w:rPr>
            <w:t>14．</w:t>
          </w:r>
          <w:r>
            <w:rPr>
              <w:rFonts w:hint="eastAsia" w:ascii="宋体" w:hAnsi="宋体" w:eastAsia="宋体" w:cs="宋体"/>
              <w:b w:val="0"/>
              <w:bCs w:val="0"/>
              <w:color w:val="auto"/>
              <w:kern w:val="2"/>
              <w:szCs w:val="32"/>
              <w:highlight w:val="none"/>
              <w:lang w:val="zh-CN" w:eastAsia="zh-CN" w:bidi="ar-SA"/>
            </w:rPr>
            <w:t>其他资格证明</w:t>
          </w:r>
          <w:r>
            <w:rPr>
              <w:rFonts w:hint="eastAsia" w:ascii="宋体" w:hAnsi="宋体" w:eastAsia="宋体" w:cs="宋体"/>
              <w:b w:val="0"/>
              <w:bCs w:val="0"/>
              <w:color w:val="auto"/>
              <w:szCs w:val="32"/>
              <w:highlight w:val="none"/>
            </w:rPr>
            <w:t>材料</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PAGEREF _Toc2019 \h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highlight w:val="none"/>
            </w:rPr>
            <w:t>51</w:t>
          </w:r>
          <w:r>
            <w:rPr>
              <w:rFonts w:hint="eastAsia" w:ascii="宋体" w:hAnsi="宋体" w:eastAsia="宋体" w:cs="宋体"/>
              <w:b w:val="0"/>
              <w:bCs w:val="0"/>
              <w:color w:val="auto"/>
              <w:highlight w:val="none"/>
            </w:rPr>
            <w:fldChar w:fldCharType="end"/>
          </w:r>
          <w:r>
            <w:rPr>
              <w:rFonts w:hint="eastAsia" w:ascii="宋体" w:hAnsi="宋体" w:eastAsia="宋体" w:cs="宋体"/>
              <w:b w:val="0"/>
              <w:bCs w:val="0"/>
              <w:color w:val="auto"/>
              <w:highlight w:val="none"/>
            </w:rPr>
            <w:fldChar w:fldCharType="end"/>
          </w:r>
        </w:p>
        <w:p w14:paraId="0B1D3A0F">
          <w:pPr>
            <w:pStyle w:val="16"/>
            <w:tabs>
              <w:tab w:val="right" w:leader="dot" w:pos="9120"/>
            </w:tabs>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HYPERLINK \l _Toc29211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szCs w:val="32"/>
              <w:highlight w:val="none"/>
              <w:lang w:val="en-US" w:eastAsia="zh-CN" w:bidi="ar-SA"/>
            </w:rPr>
            <w:t>15．</w:t>
          </w:r>
          <w:r>
            <w:rPr>
              <w:rFonts w:hint="eastAsia" w:ascii="宋体" w:hAnsi="宋体" w:eastAsia="宋体" w:cs="宋体"/>
              <w:b w:val="0"/>
              <w:bCs w:val="0"/>
              <w:color w:val="auto"/>
              <w:szCs w:val="32"/>
              <w:highlight w:val="none"/>
            </w:rPr>
            <w:t>技术</w:t>
          </w:r>
          <w:r>
            <w:rPr>
              <w:rFonts w:hint="eastAsia" w:ascii="宋体" w:hAnsi="宋体" w:eastAsia="宋体" w:cs="宋体"/>
              <w:b w:val="0"/>
              <w:bCs w:val="0"/>
              <w:color w:val="auto"/>
              <w:kern w:val="2"/>
              <w:szCs w:val="32"/>
              <w:highlight w:val="none"/>
              <w:lang w:val="zh-CN" w:eastAsia="zh-CN" w:bidi="ar-SA"/>
            </w:rPr>
            <w:t>服务</w:t>
          </w:r>
          <w:r>
            <w:rPr>
              <w:rFonts w:hint="eastAsia" w:ascii="宋体" w:hAnsi="宋体" w:eastAsia="宋体" w:cs="宋体"/>
              <w:b w:val="0"/>
              <w:bCs w:val="0"/>
              <w:color w:val="auto"/>
              <w:szCs w:val="32"/>
              <w:highlight w:val="none"/>
            </w:rPr>
            <w:t>方</w:t>
          </w:r>
          <w:r>
            <w:rPr>
              <w:rFonts w:hint="eastAsia" w:ascii="宋体" w:hAnsi="宋体" w:eastAsia="宋体" w:cs="宋体"/>
              <w:b w:val="0"/>
              <w:bCs w:val="0"/>
              <w:color w:val="auto"/>
              <w:kern w:val="2"/>
              <w:szCs w:val="32"/>
              <w:highlight w:val="none"/>
              <w:lang w:val="zh-CN" w:eastAsia="zh-CN" w:bidi="ar-SA"/>
            </w:rPr>
            <w:t>案及</w:t>
          </w:r>
          <w:r>
            <w:rPr>
              <w:rFonts w:hint="eastAsia" w:ascii="宋体" w:hAnsi="宋体" w:eastAsia="宋体" w:cs="宋体"/>
              <w:b w:val="0"/>
              <w:bCs w:val="0"/>
              <w:color w:val="auto"/>
              <w:szCs w:val="32"/>
              <w:highlight w:val="none"/>
            </w:rPr>
            <w:t>质量保障</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PAGEREF _Toc29211 \h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highlight w:val="none"/>
            </w:rPr>
            <w:t>52</w:t>
          </w:r>
          <w:r>
            <w:rPr>
              <w:rFonts w:hint="eastAsia" w:ascii="宋体" w:hAnsi="宋体" w:eastAsia="宋体" w:cs="宋体"/>
              <w:b w:val="0"/>
              <w:bCs w:val="0"/>
              <w:color w:val="auto"/>
              <w:highlight w:val="none"/>
            </w:rPr>
            <w:fldChar w:fldCharType="end"/>
          </w:r>
          <w:r>
            <w:rPr>
              <w:rFonts w:hint="eastAsia" w:ascii="宋体" w:hAnsi="宋体" w:eastAsia="宋体" w:cs="宋体"/>
              <w:b w:val="0"/>
              <w:bCs w:val="0"/>
              <w:color w:val="auto"/>
              <w:highlight w:val="none"/>
            </w:rPr>
            <w:fldChar w:fldCharType="end"/>
          </w:r>
        </w:p>
        <w:p w14:paraId="266CEE6A">
          <w:pPr>
            <w:pStyle w:val="16"/>
            <w:tabs>
              <w:tab w:val="right" w:leader="dot" w:pos="9120"/>
            </w:tabs>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HYPERLINK \l _Toc15773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szCs w:val="32"/>
              <w:highlight w:val="none"/>
              <w:lang w:val="en-US" w:eastAsia="zh-CN" w:bidi="ar-SA"/>
            </w:rPr>
            <w:t>16．</w:t>
          </w:r>
          <w:r>
            <w:rPr>
              <w:rFonts w:hint="eastAsia" w:ascii="宋体" w:hAnsi="宋体" w:eastAsia="宋体" w:cs="宋体"/>
              <w:b w:val="0"/>
              <w:bCs w:val="0"/>
              <w:color w:val="auto"/>
              <w:kern w:val="2"/>
              <w:szCs w:val="32"/>
              <w:highlight w:val="none"/>
              <w:lang w:val="zh-CN" w:eastAsia="zh-CN" w:bidi="ar-SA"/>
            </w:rPr>
            <w:t>供应商的类似</w:t>
          </w:r>
          <w:r>
            <w:rPr>
              <w:rFonts w:hint="eastAsia" w:ascii="宋体" w:hAnsi="宋体" w:eastAsia="宋体" w:cs="宋体"/>
              <w:b w:val="0"/>
              <w:bCs w:val="0"/>
              <w:color w:val="auto"/>
              <w:szCs w:val="32"/>
              <w:highlight w:val="none"/>
            </w:rPr>
            <w:t>业绩证明材料</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PAGEREF _Toc15773 \h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highlight w:val="none"/>
            </w:rPr>
            <w:t>53</w:t>
          </w:r>
          <w:r>
            <w:rPr>
              <w:rFonts w:hint="eastAsia" w:ascii="宋体" w:hAnsi="宋体" w:eastAsia="宋体" w:cs="宋体"/>
              <w:b w:val="0"/>
              <w:bCs w:val="0"/>
              <w:color w:val="auto"/>
              <w:highlight w:val="none"/>
            </w:rPr>
            <w:fldChar w:fldCharType="end"/>
          </w:r>
          <w:r>
            <w:rPr>
              <w:rFonts w:hint="eastAsia" w:ascii="宋体" w:hAnsi="宋体" w:eastAsia="宋体" w:cs="宋体"/>
              <w:b w:val="0"/>
              <w:bCs w:val="0"/>
              <w:color w:val="auto"/>
              <w:highlight w:val="none"/>
            </w:rPr>
            <w:fldChar w:fldCharType="end"/>
          </w:r>
        </w:p>
        <w:p w14:paraId="785E3BAE">
          <w:pPr>
            <w:pStyle w:val="16"/>
            <w:tabs>
              <w:tab w:val="right" w:leader="dot" w:pos="9120"/>
            </w:tabs>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HYPERLINK \l _Toc7690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kern w:val="2"/>
              <w:szCs w:val="32"/>
              <w:highlight w:val="none"/>
              <w:lang w:val="en-US" w:eastAsia="zh-CN"/>
            </w:rPr>
            <w:t>17.1</w:t>
          </w:r>
          <w:r>
            <w:rPr>
              <w:rFonts w:hint="eastAsia" w:ascii="宋体" w:hAnsi="宋体" w:eastAsia="宋体" w:cs="宋体"/>
              <w:b w:val="0"/>
              <w:bCs w:val="0"/>
              <w:color w:val="auto"/>
              <w:kern w:val="2"/>
              <w:szCs w:val="32"/>
              <w:highlight w:val="none"/>
              <w:lang w:val="zh-CN"/>
            </w:rPr>
            <w:t>中小企业声明函（工程、服务）</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PAGEREF _Toc7690 \h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highlight w:val="none"/>
            </w:rPr>
            <w:t>54</w:t>
          </w:r>
          <w:r>
            <w:rPr>
              <w:rFonts w:hint="eastAsia" w:ascii="宋体" w:hAnsi="宋体" w:eastAsia="宋体" w:cs="宋体"/>
              <w:b w:val="0"/>
              <w:bCs w:val="0"/>
              <w:color w:val="auto"/>
              <w:highlight w:val="none"/>
            </w:rPr>
            <w:fldChar w:fldCharType="end"/>
          </w:r>
          <w:r>
            <w:rPr>
              <w:rFonts w:hint="eastAsia" w:ascii="宋体" w:hAnsi="宋体" w:eastAsia="宋体" w:cs="宋体"/>
              <w:b w:val="0"/>
              <w:bCs w:val="0"/>
              <w:color w:val="auto"/>
              <w:highlight w:val="none"/>
            </w:rPr>
            <w:fldChar w:fldCharType="end"/>
          </w:r>
        </w:p>
        <w:p w14:paraId="27D39B4E">
          <w:pPr>
            <w:pStyle w:val="28"/>
            <w:tabs>
              <w:tab w:val="right" w:leader="dot" w:pos="9120"/>
              <w:tab w:val="clear" w:pos="9402"/>
            </w:tabs>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HYPERLINK \l _Toc20376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kern w:val="2"/>
              <w:szCs w:val="32"/>
              <w:highlight w:val="none"/>
              <w:lang w:val="en-US" w:eastAsia="zh-CN" w:bidi="ar-SA"/>
            </w:rPr>
            <w:t>17.2</w:t>
          </w:r>
          <w:r>
            <w:rPr>
              <w:rFonts w:hint="eastAsia" w:ascii="宋体" w:hAnsi="宋体" w:eastAsia="宋体" w:cs="宋体"/>
              <w:b w:val="0"/>
              <w:bCs w:val="0"/>
              <w:color w:val="auto"/>
              <w:kern w:val="2"/>
              <w:szCs w:val="32"/>
              <w:highlight w:val="none"/>
              <w:lang w:val="zh-CN" w:eastAsia="zh-CN" w:bidi="ar-SA"/>
            </w:rPr>
            <w:t>残疾人福利性单位声明函</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PAGEREF _Toc20376 \h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highlight w:val="none"/>
            </w:rPr>
            <w:t>55</w:t>
          </w:r>
          <w:r>
            <w:rPr>
              <w:rFonts w:hint="eastAsia" w:ascii="宋体" w:hAnsi="宋体" w:eastAsia="宋体" w:cs="宋体"/>
              <w:b w:val="0"/>
              <w:bCs w:val="0"/>
              <w:color w:val="auto"/>
              <w:highlight w:val="none"/>
            </w:rPr>
            <w:fldChar w:fldCharType="end"/>
          </w:r>
          <w:r>
            <w:rPr>
              <w:rFonts w:hint="eastAsia" w:ascii="宋体" w:hAnsi="宋体" w:eastAsia="宋体" w:cs="宋体"/>
              <w:b w:val="0"/>
              <w:bCs w:val="0"/>
              <w:color w:val="auto"/>
              <w:highlight w:val="none"/>
            </w:rPr>
            <w:fldChar w:fldCharType="end"/>
          </w:r>
        </w:p>
        <w:p w14:paraId="3D98B62C">
          <w:pPr>
            <w:pStyle w:val="16"/>
            <w:tabs>
              <w:tab w:val="right" w:leader="dot" w:pos="9120"/>
            </w:tabs>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HYPERLINK \l _Toc12122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szCs w:val="32"/>
              <w:highlight w:val="none"/>
              <w:lang w:val="en-US" w:eastAsia="zh-CN"/>
            </w:rPr>
            <w:t>18.</w:t>
          </w:r>
          <w:r>
            <w:rPr>
              <w:rFonts w:hint="eastAsia" w:ascii="宋体" w:hAnsi="宋体" w:eastAsia="宋体" w:cs="宋体"/>
              <w:b w:val="0"/>
              <w:bCs w:val="0"/>
              <w:color w:val="auto"/>
              <w:kern w:val="2"/>
              <w:szCs w:val="32"/>
              <w:highlight w:val="none"/>
              <w:lang w:val="zh-CN" w:eastAsia="zh-CN" w:bidi="ar-SA"/>
            </w:rPr>
            <w:t>服务相关内容</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PAGEREF _Toc12122 \h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highlight w:val="none"/>
            </w:rPr>
            <w:t>57</w:t>
          </w:r>
          <w:r>
            <w:rPr>
              <w:rFonts w:hint="eastAsia" w:ascii="宋体" w:hAnsi="宋体" w:eastAsia="宋体" w:cs="宋体"/>
              <w:b w:val="0"/>
              <w:bCs w:val="0"/>
              <w:color w:val="auto"/>
              <w:highlight w:val="none"/>
            </w:rPr>
            <w:fldChar w:fldCharType="end"/>
          </w:r>
          <w:r>
            <w:rPr>
              <w:rFonts w:hint="eastAsia" w:ascii="宋体" w:hAnsi="宋体" w:eastAsia="宋体" w:cs="宋体"/>
              <w:b w:val="0"/>
              <w:bCs w:val="0"/>
              <w:color w:val="auto"/>
              <w:highlight w:val="none"/>
            </w:rPr>
            <w:fldChar w:fldCharType="end"/>
          </w:r>
        </w:p>
        <w:p w14:paraId="11DEB94D">
          <w:pPr>
            <w:pStyle w:val="16"/>
            <w:tabs>
              <w:tab w:val="right" w:leader="dot" w:pos="9120"/>
            </w:tabs>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HYPERLINK \l _Toc11263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szCs w:val="32"/>
              <w:highlight w:val="none"/>
              <w:lang w:val="en-US" w:eastAsia="zh-CN"/>
            </w:rPr>
            <w:t>19.</w:t>
          </w:r>
          <w:r>
            <w:rPr>
              <w:rFonts w:hint="eastAsia" w:ascii="宋体" w:hAnsi="宋体" w:eastAsia="宋体" w:cs="宋体"/>
              <w:b w:val="0"/>
              <w:bCs w:val="0"/>
              <w:color w:val="auto"/>
              <w:kern w:val="2"/>
              <w:szCs w:val="32"/>
              <w:highlight w:val="none"/>
              <w:lang w:val="zh-CN" w:eastAsia="zh-CN" w:bidi="ar-SA"/>
            </w:rPr>
            <w:t>供应商认为在其他方面有必要说明的事项</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PAGEREF _Toc11263 \h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highlight w:val="none"/>
            </w:rPr>
            <w:t>60</w:t>
          </w:r>
          <w:r>
            <w:rPr>
              <w:rFonts w:hint="eastAsia" w:ascii="宋体" w:hAnsi="宋体" w:eastAsia="宋体" w:cs="宋体"/>
              <w:b w:val="0"/>
              <w:bCs w:val="0"/>
              <w:color w:val="auto"/>
              <w:highlight w:val="none"/>
            </w:rPr>
            <w:fldChar w:fldCharType="end"/>
          </w:r>
          <w:r>
            <w:rPr>
              <w:rFonts w:hint="eastAsia" w:ascii="宋体" w:hAnsi="宋体" w:eastAsia="宋体" w:cs="宋体"/>
              <w:b w:val="0"/>
              <w:bCs w:val="0"/>
              <w:color w:val="auto"/>
              <w:highlight w:val="none"/>
            </w:rPr>
            <w:fldChar w:fldCharType="end"/>
          </w:r>
        </w:p>
        <w:p w14:paraId="2EC5B853">
          <w:pPr>
            <w:pStyle w:val="23"/>
            <w:tabs>
              <w:tab w:val="right" w:leader="dot" w:pos="9120"/>
              <w:tab w:val="clear" w:pos="9402"/>
            </w:tabs>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HYPERLINK \l _Toc14018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kern w:val="28"/>
              <w:szCs w:val="20"/>
              <w:highlight w:val="none"/>
            </w:rPr>
            <w:t>第</w:t>
          </w:r>
          <w:r>
            <w:rPr>
              <w:rFonts w:hint="eastAsia" w:ascii="宋体" w:hAnsi="宋体" w:eastAsia="宋体" w:cs="宋体"/>
              <w:b w:val="0"/>
              <w:bCs w:val="0"/>
              <w:color w:val="auto"/>
              <w:kern w:val="28"/>
              <w:szCs w:val="20"/>
              <w:highlight w:val="none"/>
              <w:lang w:val="en-US" w:eastAsia="zh-CN"/>
            </w:rPr>
            <w:t>六</w:t>
          </w:r>
          <w:r>
            <w:rPr>
              <w:rFonts w:hint="eastAsia" w:ascii="宋体" w:hAnsi="宋体" w:eastAsia="宋体" w:cs="宋体"/>
              <w:b w:val="0"/>
              <w:bCs w:val="0"/>
              <w:color w:val="auto"/>
              <w:kern w:val="28"/>
              <w:szCs w:val="20"/>
              <w:highlight w:val="none"/>
            </w:rPr>
            <w:t>部分  磋商及采购项目服务要求</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PAGEREF _Toc14018 \h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highlight w:val="none"/>
            </w:rPr>
            <w:t>61</w:t>
          </w:r>
          <w:r>
            <w:rPr>
              <w:rFonts w:hint="eastAsia" w:ascii="宋体" w:hAnsi="宋体" w:eastAsia="宋体" w:cs="宋体"/>
              <w:b w:val="0"/>
              <w:bCs w:val="0"/>
              <w:color w:val="auto"/>
              <w:highlight w:val="none"/>
            </w:rPr>
            <w:fldChar w:fldCharType="end"/>
          </w:r>
          <w:r>
            <w:rPr>
              <w:rFonts w:hint="eastAsia" w:ascii="宋体" w:hAnsi="宋体" w:eastAsia="宋体" w:cs="宋体"/>
              <w:b w:val="0"/>
              <w:bCs w:val="0"/>
              <w:color w:val="auto"/>
              <w:highlight w:val="none"/>
            </w:rPr>
            <w:fldChar w:fldCharType="end"/>
          </w:r>
        </w:p>
        <w:p w14:paraId="58F500D1">
          <w:pPr>
            <w:pStyle w:val="28"/>
            <w:tabs>
              <w:tab w:val="right" w:leader="dot" w:pos="9120"/>
              <w:tab w:val="clear" w:pos="9402"/>
            </w:tabs>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HYPERLINK \l _Toc22295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kern w:val="0"/>
              <w:szCs w:val="36"/>
              <w:highlight w:val="none"/>
            </w:rPr>
            <w:t>一、磋商要求</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PAGEREF _Toc22295 \h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highlight w:val="none"/>
            </w:rPr>
            <w:t>61</w:t>
          </w:r>
          <w:r>
            <w:rPr>
              <w:rFonts w:hint="eastAsia" w:ascii="宋体" w:hAnsi="宋体" w:eastAsia="宋体" w:cs="宋体"/>
              <w:b w:val="0"/>
              <w:bCs w:val="0"/>
              <w:color w:val="auto"/>
              <w:highlight w:val="none"/>
            </w:rPr>
            <w:fldChar w:fldCharType="end"/>
          </w:r>
          <w:r>
            <w:rPr>
              <w:rFonts w:hint="eastAsia" w:ascii="宋体" w:hAnsi="宋体" w:eastAsia="宋体" w:cs="宋体"/>
              <w:b w:val="0"/>
              <w:bCs w:val="0"/>
              <w:color w:val="auto"/>
              <w:highlight w:val="none"/>
            </w:rPr>
            <w:fldChar w:fldCharType="end"/>
          </w:r>
        </w:p>
        <w:p w14:paraId="588B3F5D">
          <w:pPr>
            <w:pStyle w:val="16"/>
            <w:tabs>
              <w:tab w:val="right" w:leader="dot" w:pos="9120"/>
            </w:tabs>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HYPERLINK \l _Toc11312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kern w:val="0"/>
              <w:szCs w:val="27"/>
              <w:highlight w:val="none"/>
            </w:rPr>
            <w:t>1.磋商说明</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PAGEREF _Toc11312 \h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highlight w:val="none"/>
            </w:rPr>
            <w:t>61</w:t>
          </w:r>
          <w:r>
            <w:rPr>
              <w:rFonts w:hint="eastAsia" w:ascii="宋体" w:hAnsi="宋体" w:eastAsia="宋体" w:cs="宋体"/>
              <w:b w:val="0"/>
              <w:bCs w:val="0"/>
              <w:color w:val="auto"/>
              <w:highlight w:val="none"/>
            </w:rPr>
            <w:fldChar w:fldCharType="end"/>
          </w:r>
          <w:r>
            <w:rPr>
              <w:rFonts w:hint="eastAsia" w:ascii="宋体" w:hAnsi="宋体" w:eastAsia="宋体" w:cs="宋体"/>
              <w:b w:val="0"/>
              <w:bCs w:val="0"/>
              <w:color w:val="auto"/>
              <w:highlight w:val="none"/>
            </w:rPr>
            <w:fldChar w:fldCharType="end"/>
          </w:r>
        </w:p>
        <w:p w14:paraId="4CF9E3BB">
          <w:pPr>
            <w:pStyle w:val="16"/>
            <w:tabs>
              <w:tab w:val="right" w:leader="dot" w:pos="9120"/>
            </w:tabs>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HYPERLINK \l _Toc25293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kern w:val="0"/>
              <w:szCs w:val="27"/>
              <w:highlight w:val="none"/>
            </w:rPr>
            <w:t>2.报价说明</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PAGEREF _Toc25293 \h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highlight w:val="none"/>
            </w:rPr>
            <w:t>61</w:t>
          </w:r>
          <w:r>
            <w:rPr>
              <w:rFonts w:hint="eastAsia" w:ascii="宋体" w:hAnsi="宋体" w:eastAsia="宋体" w:cs="宋体"/>
              <w:b w:val="0"/>
              <w:bCs w:val="0"/>
              <w:color w:val="auto"/>
              <w:highlight w:val="none"/>
            </w:rPr>
            <w:fldChar w:fldCharType="end"/>
          </w:r>
          <w:r>
            <w:rPr>
              <w:rFonts w:hint="eastAsia" w:ascii="宋体" w:hAnsi="宋体" w:eastAsia="宋体" w:cs="宋体"/>
              <w:b w:val="0"/>
              <w:bCs w:val="0"/>
              <w:color w:val="auto"/>
              <w:highlight w:val="none"/>
            </w:rPr>
            <w:fldChar w:fldCharType="end"/>
          </w:r>
        </w:p>
        <w:p w14:paraId="626547D4">
          <w:pPr>
            <w:pStyle w:val="16"/>
            <w:tabs>
              <w:tab w:val="right" w:leader="dot" w:pos="9120"/>
            </w:tabs>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HYPERLINK \l _Toc21680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kern w:val="0"/>
              <w:szCs w:val="27"/>
              <w:highlight w:val="none"/>
            </w:rPr>
            <w:t>3.重要指标</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PAGEREF _Toc21680 \h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highlight w:val="none"/>
            </w:rPr>
            <w:t>61</w:t>
          </w:r>
          <w:r>
            <w:rPr>
              <w:rFonts w:hint="eastAsia" w:ascii="宋体" w:hAnsi="宋体" w:eastAsia="宋体" w:cs="宋体"/>
              <w:b w:val="0"/>
              <w:bCs w:val="0"/>
              <w:color w:val="auto"/>
              <w:highlight w:val="none"/>
            </w:rPr>
            <w:fldChar w:fldCharType="end"/>
          </w:r>
          <w:r>
            <w:rPr>
              <w:rFonts w:hint="eastAsia" w:ascii="宋体" w:hAnsi="宋体" w:eastAsia="宋体" w:cs="宋体"/>
              <w:b w:val="0"/>
              <w:bCs w:val="0"/>
              <w:color w:val="auto"/>
              <w:highlight w:val="none"/>
            </w:rPr>
            <w:fldChar w:fldCharType="end"/>
          </w:r>
        </w:p>
        <w:p w14:paraId="728E0D61">
          <w:pPr>
            <w:pStyle w:val="28"/>
            <w:tabs>
              <w:tab w:val="right" w:leader="dot" w:pos="9120"/>
              <w:tab w:val="clear" w:pos="9402"/>
            </w:tabs>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HYPERLINK \l _Toc22405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kern w:val="0"/>
              <w:szCs w:val="36"/>
              <w:highlight w:val="none"/>
            </w:rPr>
            <w:t>二、项目概况及服务内容</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PAGEREF _Toc22405 \h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highlight w:val="none"/>
            </w:rPr>
            <w:t>62</w:t>
          </w:r>
          <w:r>
            <w:rPr>
              <w:rFonts w:hint="eastAsia" w:ascii="宋体" w:hAnsi="宋体" w:eastAsia="宋体" w:cs="宋体"/>
              <w:b w:val="0"/>
              <w:bCs w:val="0"/>
              <w:color w:val="auto"/>
              <w:highlight w:val="none"/>
            </w:rPr>
            <w:fldChar w:fldCharType="end"/>
          </w:r>
          <w:r>
            <w:rPr>
              <w:rFonts w:hint="eastAsia" w:ascii="宋体" w:hAnsi="宋体" w:eastAsia="宋体" w:cs="宋体"/>
              <w:b w:val="0"/>
              <w:bCs w:val="0"/>
              <w:color w:val="auto"/>
              <w:highlight w:val="none"/>
            </w:rPr>
            <w:fldChar w:fldCharType="end"/>
          </w:r>
        </w:p>
        <w:p w14:paraId="6A5D8DC3">
          <w:pPr>
            <w:pStyle w:val="16"/>
            <w:tabs>
              <w:tab w:val="right" w:leader="dot" w:pos="9120"/>
            </w:tabs>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HYPERLINK \l _Toc14455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kern w:val="0"/>
              <w:szCs w:val="27"/>
              <w:highlight w:val="none"/>
            </w:rPr>
            <w:t>1.项目概况</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PAGEREF _Toc14455 \h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highlight w:val="none"/>
            </w:rPr>
            <w:t>62</w:t>
          </w:r>
          <w:r>
            <w:rPr>
              <w:rFonts w:hint="eastAsia" w:ascii="宋体" w:hAnsi="宋体" w:eastAsia="宋体" w:cs="宋体"/>
              <w:b w:val="0"/>
              <w:bCs w:val="0"/>
              <w:color w:val="auto"/>
              <w:highlight w:val="none"/>
            </w:rPr>
            <w:fldChar w:fldCharType="end"/>
          </w:r>
          <w:r>
            <w:rPr>
              <w:rFonts w:hint="eastAsia" w:ascii="宋体" w:hAnsi="宋体" w:eastAsia="宋体" w:cs="宋体"/>
              <w:b w:val="0"/>
              <w:bCs w:val="0"/>
              <w:color w:val="auto"/>
              <w:highlight w:val="none"/>
            </w:rPr>
            <w:fldChar w:fldCharType="end"/>
          </w:r>
        </w:p>
        <w:p w14:paraId="28511073">
          <w:pPr>
            <w:pStyle w:val="16"/>
            <w:tabs>
              <w:tab w:val="right" w:leader="dot" w:pos="9120"/>
            </w:tabs>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HYPERLINK \l _Toc16513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kern w:val="0"/>
              <w:szCs w:val="27"/>
              <w:highlight w:val="none"/>
            </w:rPr>
            <w:t>2.采购一览表及服务内容</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PAGEREF _Toc16513 \h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highlight w:val="none"/>
            </w:rPr>
            <w:t>62</w:t>
          </w:r>
          <w:r>
            <w:rPr>
              <w:rFonts w:hint="eastAsia" w:ascii="宋体" w:hAnsi="宋体" w:eastAsia="宋体" w:cs="宋体"/>
              <w:b w:val="0"/>
              <w:bCs w:val="0"/>
              <w:color w:val="auto"/>
              <w:highlight w:val="none"/>
            </w:rPr>
            <w:fldChar w:fldCharType="end"/>
          </w:r>
          <w:r>
            <w:rPr>
              <w:rFonts w:hint="eastAsia" w:ascii="宋体" w:hAnsi="宋体" w:eastAsia="宋体" w:cs="宋体"/>
              <w:b w:val="0"/>
              <w:bCs w:val="0"/>
              <w:color w:val="auto"/>
              <w:highlight w:val="none"/>
            </w:rPr>
            <w:fldChar w:fldCharType="end"/>
          </w:r>
        </w:p>
        <w:p w14:paraId="7E1BCBBC">
          <w:pPr>
            <w:pStyle w:val="23"/>
            <w:tabs>
              <w:tab w:val="right" w:leader="dot" w:pos="9120"/>
              <w:tab w:val="clear" w:pos="9402"/>
            </w:tabs>
            <w:rPr>
              <w:rFonts w:hint="eastAsia" w:ascii="宋体" w:hAnsi="宋体" w:eastAsia="宋体" w:cs="宋体"/>
              <w:b w:val="0"/>
              <w:bCs w:val="0"/>
              <w:color w:val="auto"/>
              <w:highlight w:val="none"/>
            </w:rPr>
          </w:pPr>
        </w:p>
        <w:p w14:paraId="34D33848">
          <w:pPr>
            <w:pStyle w:val="52"/>
            <w:rPr>
              <w:rFonts w:ascii="Times New Roman" w:hAnsi="Times New Roman" w:eastAsia="宋体" w:cs="Times New Roman"/>
              <w:color w:val="auto"/>
              <w:sz w:val="24"/>
              <w:szCs w:val="22"/>
              <w:highlight w:val="none"/>
              <w:lang w:val="en-US" w:eastAsia="zh-CN" w:bidi="ar-SA"/>
            </w:rPr>
          </w:pPr>
          <w:r>
            <w:rPr>
              <w:rFonts w:hint="eastAsia" w:ascii="宋体" w:hAnsi="宋体" w:eastAsia="宋体" w:cs="宋体"/>
              <w:b w:val="0"/>
              <w:bCs w:val="0"/>
              <w:color w:val="auto"/>
              <w:highlight w:val="none"/>
            </w:rPr>
            <w:fldChar w:fldCharType="end"/>
          </w:r>
        </w:p>
      </w:sdtContent>
    </w:sdt>
    <w:p w14:paraId="12A545ED">
      <w:pPr>
        <w:pStyle w:val="52"/>
        <w:rPr>
          <w:rFonts w:ascii="Times New Roman" w:hAnsi="Times New Roman" w:eastAsia="宋体" w:cs="Times New Roman"/>
          <w:color w:val="auto"/>
          <w:sz w:val="24"/>
          <w:szCs w:val="22"/>
          <w:highlight w:val="none"/>
          <w:lang w:val="en-US" w:eastAsia="zh-CN" w:bidi="ar-SA"/>
        </w:rPr>
      </w:pPr>
    </w:p>
    <w:p w14:paraId="3697795D">
      <w:pPr>
        <w:pStyle w:val="28"/>
        <w:widowControl/>
        <w:tabs>
          <w:tab w:val="right" w:leader="dot" w:pos="9072"/>
          <w:tab w:val="right" w:leader="dot" w:pos="9356"/>
          <w:tab w:val="clear" w:pos="9402"/>
        </w:tabs>
        <w:spacing w:after="240" w:line="360" w:lineRule="auto"/>
        <w:ind w:left="142" w:leftChars="59" w:right="-1"/>
        <w:jc w:val="center"/>
        <w:outlineLvl w:val="0"/>
        <w:rPr>
          <w:rFonts w:ascii="宋体" w:hAnsi="宋体" w:eastAsia="宋体" w:cs="Arial"/>
          <w:b/>
          <w:bCs/>
          <w:color w:val="auto"/>
          <w:sz w:val="36"/>
          <w:szCs w:val="32"/>
          <w:highlight w:val="none"/>
          <w:lang w:val="zh-CN"/>
        </w:rPr>
        <w:sectPr>
          <w:headerReference r:id="rId9" w:type="first"/>
          <w:footerReference r:id="rId11" w:type="first"/>
          <w:headerReference r:id="rId8" w:type="default"/>
          <w:footerReference r:id="rId10" w:type="default"/>
          <w:pgSz w:w="11849" w:h="16781"/>
          <w:pgMar w:top="1247" w:right="1312" w:bottom="1134" w:left="1417" w:header="709" w:footer="510" w:gutter="0"/>
          <w:pgBorders w:offsetFrom="page">
            <w:top w:val="single" w:color="BFBFBF" w:sz="18" w:space="24"/>
            <w:left w:val="single" w:color="BFBFBF" w:sz="18" w:space="24"/>
            <w:bottom w:val="single" w:color="BFBFBF" w:sz="18" w:space="24"/>
            <w:right w:val="single" w:color="BFBFBF" w:sz="18" w:space="24"/>
          </w:pgBorders>
          <w:cols w:space="720" w:num="1"/>
          <w:titlePg/>
          <w:docGrid w:linePitch="397" w:charSpace="0"/>
        </w:sectPr>
      </w:pPr>
      <w:bookmarkStart w:id="0" w:name="_Toc59135306"/>
    </w:p>
    <w:p w14:paraId="545AB5DE">
      <w:pPr>
        <w:pStyle w:val="28"/>
        <w:widowControl/>
        <w:tabs>
          <w:tab w:val="right" w:leader="dot" w:pos="9072"/>
          <w:tab w:val="right" w:leader="dot" w:pos="9356"/>
          <w:tab w:val="clear" w:pos="9402"/>
        </w:tabs>
        <w:spacing w:after="240" w:line="360" w:lineRule="auto"/>
        <w:ind w:left="142" w:leftChars="59" w:right="-1"/>
        <w:jc w:val="center"/>
        <w:outlineLvl w:val="0"/>
        <w:rPr>
          <w:rFonts w:ascii="宋体" w:hAnsi="宋体" w:eastAsia="宋体" w:cs="Arial"/>
          <w:b/>
          <w:bCs/>
          <w:color w:val="auto"/>
          <w:sz w:val="36"/>
          <w:szCs w:val="32"/>
          <w:highlight w:val="none"/>
          <w:lang w:val="zh-CN"/>
        </w:rPr>
      </w:pPr>
      <w:bookmarkStart w:id="1" w:name="_Toc610"/>
      <w:r>
        <w:rPr>
          <w:rFonts w:ascii="宋体" w:hAnsi="宋体" w:eastAsia="宋体" w:cs="Arial"/>
          <w:b/>
          <w:bCs/>
          <w:color w:val="auto"/>
          <w:sz w:val="36"/>
          <w:szCs w:val="32"/>
          <w:highlight w:val="none"/>
          <w:lang w:val="zh-CN"/>
        </w:rPr>
        <w:t>第一部分  投标邀请</w:t>
      </w:r>
      <w:bookmarkEnd w:id="0"/>
      <w:bookmarkEnd w:id="1"/>
    </w:p>
    <w:tbl>
      <w:tblPr>
        <w:tblStyle w:val="36"/>
        <w:tblW w:w="9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5"/>
      </w:tblGrid>
      <w:tr w14:paraId="44BFB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trPr>
        <w:tc>
          <w:tcPr>
            <w:tcW w:w="9505" w:type="dxa"/>
            <w:noWrap w:val="0"/>
            <w:vAlign w:val="center"/>
          </w:tcPr>
          <w:p w14:paraId="6590BCE1">
            <w:pPr>
              <w:kinsoku/>
              <w:overflowPunct/>
              <w:topLinePunct w:val="0"/>
              <w:bidi w:val="0"/>
              <w:spacing w:before="121" w:beforeLines="30" w:line="360" w:lineRule="auto"/>
              <w:ind w:firstLine="480" w:firstLineChars="20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项目概况</w:t>
            </w:r>
          </w:p>
          <w:p w14:paraId="7582E5C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u w:val="none"/>
                <w:vertAlign w:val="baseline"/>
                <w:lang w:val="en-US" w:eastAsia="zh-CN"/>
              </w:rPr>
            </w:pPr>
            <w:r>
              <w:rPr>
                <w:rFonts w:hint="eastAsia" w:ascii="宋体" w:hAnsi="宋体" w:cs="宋体"/>
                <w:color w:val="auto"/>
                <w:sz w:val="24"/>
                <w:szCs w:val="24"/>
                <w:highlight w:val="none"/>
                <w:u w:val="none"/>
                <w:vertAlign w:val="baseline"/>
                <w:lang w:val="en-US" w:eastAsia="zh-CN"/>
              </w:rPr>
              <w:t>青海省成矿远景区划</w:t>
            </w:r>
            <w:r>
              <w:rPr>
                <w:rFonts w:hint="eastAsia" w:ascii="宋体" w:hAnsi="宋体" w:eastAsia="宋体" w:cs="宋体"/>
                <w:color w:val="auto"/>
                <w:sz w:val="24"/>
                <w:szCs w:val="24"/>
                <w:highlight w:val="none"/>
                <w:vertAlign w:val="baseline"/>
                <w:lang w:val="en-US" w:eastAsia="zh-CN"/>
              </w:rPr>
              <w:t>的潜在供应商应在政采云平台线上获取采购文件，并于</w:t>
            </w:r>
            <w:r>
              <w:rPr>
                <w:rFonts w:hint="eastAsia" w:ascii="宋体" w:hAnsi="宋体" w:cs="宋体"/>
                <w:color w:val="auto"/>
                <w:sz w:val="24"/>
                <w:szCs w:val="24"/>
                <w:highlight w:val="none"/>
                <w:vertAlign w:val="baseline"/>
                <w:lang w:val="en-US" w:eastAsia="zh-CN"/>
              </w:rPr>
              <w:t>2026年05月08日14时00分（北京时间）</w:t>
            </w:r>
            <w:r>
              <w:rPr>
                <w:rFonts w:hint="eastAsia" w:ascii="宋体" w:hAnsi="宋体" w:eastAsia="宋体" w:cs="宋体"/>
                <w:color w:val="auto"/>
                <w:sz w:val="24"/>
                <w:szCs w:val="24"/>
                <w:highlight w:val="none"/>
                <w:u w:val="none"/>
                <w:vertAlign w:val="baseline"/>
                <w:lang w:val="en-US" w:eastAsia="zh-CN"/>
              </w:rPr>
              <w:t>前递交响应文件。</w:t>
            </w:r>
          </w:p>
        </w:tc>
      </w:tr>
    </w:tbl>
    <w:p w14:paraId="77A0731F">
      <w:pPr>
        <w:rPr>
          <w:b/>
          <w:bCs/>
          <w:color w:val="auto"/>
          <w:highlight w:val="none"/>
        </w:rPr>
      </w:pPr>
    </w:p>
    <w:p w14:paraId="5A7611AE">
      <w:pPr>
        <w:numPr>
          <w:ilvl w:val="0"/>
          <w:numId w:val="3"/>
        </w:numPr>
        <w:kinsoku/>
        <w:overflowPunct/>
        <w:topLinePunct w:val="0"/>
        <w:bidi w:val="0"/>
        <w:spacing w:before="121" w:beforeLines="30"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项目基本情况</w:t>
      </w:r>
    </w:p>
    <w:p w14:paraId="13BE1957">
      <w:pPr>
        <w:keepNext w:val="0"/>
        <w:keepLines w:val="0"/>
        <w:pageBreakBefore w:val="0"/>
        <w:widowControl w:val="0"/>
        <w:numPr>
          <w:ilvl w:val="0"/>
          <w:numId w:val="0"/>
        </w:numPr>
        <w:kinsoku/>
        <w:wordWrap/>
        <w:overflowPunct/>
        <w:topLinePunct w:val="0"/>
        <w:autoSpaceDE/>
        <w:autoSpaceDN/>
        <w:bidi w:val="0"/>
        <w:adjustRightInd/>
        <w:snapToGrid/>
        <w:spacing w:before="121" w:beforeLines="30"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项目编号：</w:t>
      </w:r>
      <w:r>
        <w:rPr>
          <w:rFonts w:hint="eastAsia" w:ascii="宋体" w:hAnsi="宋体" w:cs="宋体"/>
          <w:color w:val="auto"/>
          <w:sz w:val="24"/>
          <w:szCs w:val="24"/>
          <w:highlight w:val="none"/>
          <w:lang w:val="en-US" w:eastAsia="zh-CN"/>
        </w:rPr>
        <w:t>青海海际竞磋（服务）2026-037</w:t>
      </w:r>
    </w:p>
    <w:p w14:paraId="7BEBF6C1">
      <w:pPr>
        <w:keepNext w:val="0"/>
        <w:keepLines w:val="0"/>
        <w:pageBreakBefore w:val="0"/>
        <w:widowControl w:val="0"/>
        <w:numPr>
          <w:ilvl w:val="0"/>
          <w:numId w:val="0"/>
        </w:numPr>
        <w:kinsoku/>
        <w:wordWrap/>
        <w:overflowPunct/>
        <w:topLinePunct w:val="0"/>
        <w:autoSpaceDE/>
        <w:autoSpaceDN/>
        <w:bidi w:val="0"/>
        <w:adjustRightInd/>
        <w:snapToGrid/>
        <w:spacing w:before="121" w:beforeLines="3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项目名称：</w:t>
      </w:r>
      <w:r>
        <w:rPr>
          <w:rFonts w:hint="eastAsia" w:ascii="宋体" w:hAnsi="宋体" w:cs="宋体"/>
          <w:color w:val="auto"/>
          <w:sz w:val="24"/>
          <w:szCs w:val="24"/>
          <w:highlight w:val="none"/>
          <w:u w:val="none"/>
          <w:vertAlign w:val="baseline"/>
          <w:lang w:val="en-US" w:eastAsia="zh-CN"/>
        </w:rPr>
        <w:t>青海省成矿远景区划</w:t>
      </w:r>
      <w:r>
        <w:rPr>
          <w:rFonts w:hint="eastAsia" w:ascii="宋体" w:hAnsi="宋体" w:cs="宋体"/>
          <w:color w:val="auto"/>
          <w:sz w:val="24"/>
          <w:szCs w:val="24"/>
          <w:highlight w:val="none"/>
          <w:u w:val="single"/>
          <w:vertAlign w:val="baseline"/>
          <w:lang w:val="en-US" w:eastAsia="zh-CN"/>
        </w:rPr>
        <w:t xml:space="preserve"> </w:t>
      </w:r>
    </w:p>
    <w:p w14:paraId="21E82848">
      <w:pPr>
        <w:keepNext w:val="0"/>
        <w:keepLines w:val="0"/>
        <w:pageBreakBefore w:val="0"/>
        <w:widowControl w:val="0"/>
        <w:numPr>
          <w:ilvl w:val="0"/>
          <w:numId w:val="0"/>
        </w:numPr>
        <w:kinsoku/>
        <w:wordWrap/>
        <w:overflowPunct/>
        <w:topLinePunct w:val="0"/>
        <w:autoSpaceDE/>
        <w:autoSpaceDN/>
        <w:bidi w:val="0"/>
        <w:adjustRightInd/>
        <w:snapToGrid/>
        <w:spacing w:before="121" w:beforeLines="3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采购方式：竞争性磋商</w:t>
      </w:r>
    </w:p>
    <w:p w14:paraId="033A9232">
      <w:pPr>
        <w:keepNext w:val="0"/>
        <w:keepLines w:val="0"/>
        <w:pageBreakBefore w:val="0"/>
        <w:widowControl w:val="0"/>
        <w:numPr>
          <w:ilvl w:val="0"/>
          <w:numId w:val="0"/>
        </w:numPr>
        <w:kinsoku/>
        <w:wordWrap/>
        <w:overflowPunct/>
        <w:topLinePunct w:val="0"/>
        <w:autoSpaceDE/>
        <w:autoSpaceDN/>
        <w:bidi w:val="0"/>
        <w:adjustRightInd/>
        <w:snapToGrid/>
        <w:spacing w:before="121" w:beforeLines="30" w:line="360" w:lineRule="auto"/>
        <w:ind w:left="2400" w:leftChars="200" w:hanging="1920" w:hangingChars="8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预算金额（元）</w:t>
      </w:r>
      <w:r>
        <w:rPr>
          <w:rFonts w:hint="eastAsia" w:ascii="宋体" w:hAnsi="宋体" w:cs="宋体"/>
          <w:color w:val="auto"/>
          <w:sz w:val="24"/>
          <w:szCs w:val="24"/>
          <w:highlight w:val="none"/>
          <w:lang w:val="en-US" w:eastAsia="zh-CN"/>
        </w:rPr>
        <w:t>：2000000.00</w:t>
      </w:r>
    </w:p>
    <w:p w14:paraId="18510B58">
      <w:pPr>
        <w:keepNext w:val="0"/>
        <w:keepLines w:val="0"/>
        <w:pageBreakBefore w:val="0"/>
        <w:widowControl w:val="0"/>
        <w:numPr>
          <w:ilvl w:val="0"/>
          <w:numId w:val="0"/>
        </w:numPr>
        <w:kinsoku/>
        <w:wordWrap/>
        <w:overflowPunct/>
        <w:topLinePunct w:val="0"/>
        <w:autoSpaceDE/>
        <w:autoSpaceDN/>
        <w:bidi w:val="0"/>
        <w:adjustRightInd/>
        <w:snapToGrid/>
        <w:spacing w:before="121" w:beforeLines="30" w:line="360" w:lineRule="auto"/>
        <w:ind w:left="2400" w:leftChars="200" w:hanging="1920" w:hangingChars="8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最高限价（元）：</w:t>
      </w:r>
      <w:r>
        <w:rPr>
          <w:rFonts w:hint="eastAsia" w:ascii="宋体" w:hAnsi="宋体" w:cs="宋体"/>
          <w:color w:val="auto"/>
          <w:sz w:val="24"/>
          <w:szCs w:val="24"/>
          <w:highlight w:val="none"/>
          <w:lang w:val="en-US" w:eastAsia="zh-CN"/>
        </w:rPr>
        <w:t>2000000.00</w:t>
      </w:r>
    </w:p>
    <w:p w14:paraId="23631FEE">
      <w:pPr>
        <w:keepNext w:val="0"/>
        <w:keepLines w:val="0"/>
        <w:pageBreakBefore w:val="0"/>
        <w:widowControl w:val="0"/>
        <w:numPr>
          <w:ilvl w:val="0"/>
          <w:numId w:val="0"/>
        </w:numPr>
        <w:kinsoku/>
        <w:wordWrap/>
        <w:overflowPunct/>
        <w:topLinePunct w:val="0"/>
        <w:autoSpaceDE/>
        <w:autoSpaceDN/>
        <w:bidi w:val="0"/>
        <w:adjustRightInd/>
        <w:snapToGrid/>
        <w:spacing w:before="121" w:beforeLines="30"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采购需求</w:t>
      </w:r>
      <w:r>
        <w:rPr>
          <w:rFonts w:hint="eastAsia" w:ascii="宋体" w:hAnsi="宋体" w:eastAsia="宋体" w:cs="宋体"/>
          <w:color w:val="auto"/>
          <w:sz w:val="24"/>
          <w:szCs w:val="24"/>
          <w:highlight w:val="none"/>
          <w:lang w:val="en-US" w:eastAsia="zh-CN"/>
        </w:rPr>
        <w:t>：</w:t>
      </w:r>
    </w:p>
    <w:p w14:paraId="656A86ED">
      <w:pPr>
        <w:keepNext w:val="0"/>
        <w:keepLines w:val="0"/>
        <w:pageBreakBefore w:val="0"/>
        <w:widowControl w:val="0"/>
        <w:numPr>
          <w:ilvl w:val="0"/>
          <w:numId w:val="0"/>
        </w:numPr>
        <w:kinsoku/>
        <w:wordWrap/>
        <w:overflowPunct/>
        <w:topLinePunct w:val="0"/>
        <w:autoSpaceDE/>
        <w:autoSpaceDN/>
        <w:bidi w:val="0"/>
        <w:adjustRightInd/>
        <w:snapToGrid/>
        <w:spacing w:before="121" w:beforeLines="30"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标项一</w:t>
      </w:r>
    </w:p>
    <w:p w14:paraId="1090DFDB">
      <w:pPr>
        <w:keepNext w:val="0"/>
        <w:keepLines w:val="0"/>
        <w:pageBreakBefore w:val="0"/>
        <w:widowControl w:val="0"/>
        <w:numPr>
          <w:ilvl w:val="0"/>
          <w:numId w:val="0"/>
        </w:numPr>
        <w:kinsoku/>
        <w:wordWrap/>
        <w:overflowPunct/>
        <w:topLinePunct w:val="0"/>
        <w:autoSpaceDE/>
        <w:autoSpaceDN/>
        <w:bidi w:val="0"/>
        <w:adjustRightInd/>
        <w:snapToGrid/>
        <w:spacing w:before="121" w:beforeLines="30" w:line="360" w:lineRule="auto"/>
        <w:ind w:left="480" w:leftChars="20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标项名称：</w:t>
      </w:r>
      <w:r>
        <w:rPr>
          <w:rFonts w:hint="eastAsia" w:ascii="宋体" w:hAnsi="宋体" w:cs="宋体"/>
          <w:color w:val="auto"/>
          <w:sz w:val="24"/>
          <w:szCs w:val="24"/>
          <w:highlight w:val="none"/>
          <w:u w:val="none"/>
          <w:vertAlign w:val="baseline"/>
          <w:lang w:val="en-US" w:eastAsia="zh-CN"/>
        </w:rPr>
        <w:t>青海省成矿远景区划</w:t>
      </w:r>
      <w:r>
        <w:rPr>
          <w:rFonts w:hint="eastAsia" w:ascii="宋体" w:hAnsi="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lang w:val="en-US" w:eastAsia="zh-CN"/>
        </w:rPr>
        <w:t>数量：1</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预算金额（元）：</w:t>
      </w:r>
      <w:r>
        <w:rPr>
          <w:rFonts w:hint="eastAsia" w:ascii="宋体" w:hAnsi="宋体" w:cs="宋体"/>
          <w:color w:val="auto"/>
          <w:sz w:val="24"/>
          <w:szCs w:val="24"/>
          <w:highlight w:val="none"/>
          <w:lang w:val="en-US" w:eastAsia="zh-CN"/>
        </w:rPr>
        <w:t>2000000.00</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单位：</w:t>
      </w:r>
      <w:r>
        <w:rPr>
          <w:rFonts w:hint="eastAsia" w:ascii="宋体" w:hAnsi="宋体" w:cs="宋体"/>
          <w:color w:val="auto"/>
          <w:sz w:val="24"/>
          <w:szCs w:val="24"/>
          <w:highlight w:val="none"/>
          <w:lang w:val="en-US" w:eastAsia="zh-CN"/>
        </w:rPr>
        <w:t>项</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简要规格描述：</w:t>
      </w:r>
      <w:r>
        <w:rPr>
          <w:rFonts w:hint="eastAsia" w:cs="Arial"/>
          <w:color w:val="auto"/>
          <w:szCs w:val="24"/>
          <w:highlight w:val="none"/>
          <w:lang w:eastAsia="zh-CN"/>
        </w:rPr>
        <w:t>具体内容详见《磋商文件》</w:t>
      </w:r>
    </w:p>
    <w:p w14:paraId="452C6823">
      <w:pPr>
        <w:keepNext w:val="0"/>
        <w:keepLines w:val="0"/>
        <w:pageBreakBefore w:val="0"/>
        <w:widowControl w:val="0"/>
        <w:numPr>
          <w:ilvl w:val="0"/>
          <w:numId w:val="0"/>
        </w:numPr>
        <w:kinsoku/>
        <w:wordWrap/>
        <w:overflowPunct/>
        <w:topLinePunct w:val="0"/>
        <w:autoSpaceDE/>
        <w:autoSpaceDN/>
        <w:bidi w:val="0"/>
        <w:adjustRightInd/>
        <w:snapToGrid/>
        <w:spacing w:before="121" w:beforeLines="30" w:line="360" w:lineRule="auto"/>
        <w:ind w:left="480" w:leftChars="200" w:firstLine="0" w:firstLineChars="0"/>
        <w:jc w:val="both"/>
        <w:textAlignment w:val="auto"/>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备注：</w:t>
      </w:r>
      <w:r>
        <w:rPr>
          <w:rFonts w:hint="eastAsia" w:ascii="宋体" w:hAnsi="宋体" w:cs="宋体"/>
          <w:color w:val="auto"/>
          <w:sz w:val="24"/>
          <w:szCs w:val="24"/>
          <w:highlight w:val="none"/>
          <w:lang w:val="en-US" w:eastAsia="zh-CN"/>
        </w:rPr>
        <w:t>/</w:t>
      </w:r>
    </w:p>
    <w:p w14:paraId="1C2133D2">
      <w:pPr>
        <w:keepNext w:val="0"/>
        <w:keepLines w:val="0"/>
        <w:pageBreakBefore w:val="0"/>
        <w:widowControl w:val="0"/>
        <w:numPr>
          <w:ilvl w:val="0"/>
          <w:numId w:val="0"/>
        </w:numPr>
        <w:kinsoku/>
        <w:wordWrap/>
        <w:overflowPunct/>
        <w:topLinePunct w:val="0"/>
        <w:autoSpaceDE/>
        <w:autoSpaceDN/>
        <w:bidi w:val="0"/>
        <w:adjustRightInd/>
        <w:snapToGrid/>
        <w:spacing w:before="121" w:beforeLines="30" w:line="360" w:lineRule="auto"/>
        <w:ind w:firstLine="480" w:firstLineChars="200"/>
        <w:textAlignment w:val="auto"/>
        <w:rPr>
          <w:rFonts w:hint="eastAsia" w:ascii="宋体" w:hAnsi="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合同履约期限：</w:t>
      </w:r>
      <w:r>
        <w:rPr>
          <w:rFonts w:hint="eastAsia" w:ascii="宋体" w:hAnsi="宋体" w:cs="宋体"/>
          <w:color w:val="auto"/>
          <w:sz w:val="24"/>
          <w:szCs w:val="24"/>
          <w:highlight w:val="none"/>
          <w:u w:val="none"/>
          <w:lang w:val="en-US" w:eastAsia="zh-CN"/>
        </w:rPr>
        <w:t>自合同签订之日起-2026年12月；</w:t>
      </w:r>
    </w:p>
    <w:p w14:paraId="0189AA9B">
      <w:pPr>
        <w:keepNext w:val="0"/>
        <w:keepLines w:val="0"/>
        <w:pageBreakBefore w:val="0"/>
        <w:widowControl w:val="0"/>
        <w:numPr>
          <w:ilvl w:val="0"/>
          <w:numId w:val="0"/>
        </w:numPr>
        <w:kinsoku/>
        <w:wordWrap/>
        <w:overflowPunct/>
        <w:topLinePunct w:val="0"/>
        <w:autoSpaceDE/>
        <w:autoSpaceDN/>
        <w:bidi w:val="0"/>
        <w:adjustRightInd/>
        <w:snapToGrid/>
        <w:spacing w:before="121" w:beforeLines="30" w:line="360" w:lineRule="auto"/>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本项目</w:t>
      </w:r>
      <w:r>
        <w:rPr>
          <w:rFonts w:hint="eastAsia" w:ascii="宋体" w:hAnsi="宋体" w:cs="宋体"/>
          <w:color w:val="auto"/>
          <w:sz w:val="24"/>
          <w:szCs w:val="24"/>
          <w:highlight w:val="none"/>
          <w:u w:val="none"/>
          <w:lang w:val="en-US" w:eastAsia="zh-CN"/>
        </w:rPr>
        <w:t>（否）</w:t>
      </w:r>
      <w:r>
        <w:rPr>
          <w:rFonts w:hint="eastAsia" w:ascii="宋体" w:hAnsi="宋体" w:eastAsia="宋体" w:cs="宋体"/>
          <w:color w:val="auto"/>
          <w:sz w:val="24"/>
          <w:szCs w:val="24"/>
          <w:highlight w:val="none"/>
          <w:u w:val="none"/>
          <w:lang w:val="en-US" w:eastAsia="zh-CN"/>
        </w:rPr>
        <w:t>接受联合体投标</w:t>
      </w:r>
    </w:p>
    <w:p w14:paraId="1A635217">
      <w:pPr>
        <w:numPr>
          <w:ilvl w:val="0"/>
          <w:numId w:val="3"/>
        </w:numPr>
        <w:kinsoku/>
        <w:overflowPunct/>
        <w:topLinePunct w:val="0"/>
        <w:bidi w:val="0"/>
        <w:spacing w:before="121" w:beforeLines="30"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申请人的资格要求</w:t>
      </w:r>
    </w:p>
    <w:p w14:paraId="6EC3C8A0">
      <w:pPr>
        <w:keepNext w:val="0"/>
        <w:keepLines w:val="0"/>
        <w:pageBreakBefore w:val="0"/>
        <w:widowControl w:val="0"/>
        <w:numPr>
          <w:ilvl w:val="0"/>
          <w:numId w:val="0"/>
        </w:numPr>
        <w:kinsoku/>
        <w:wordWrap/>
        <w:overflowPunct/>
        <w:topLinePunct w:val="0"/>
        <w:autoSpaceDE/>
        <w:autoSpaceDN/>
        <w:bidi w:val="0"/>
        <w:adjustRightInd/>
        <w:snapToGrid/>
        <w:spacing w:before="121" w:beforeLines="30" w:line="360" w:lineRule="auto"/>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1.符合《政府采购法》第22条条件，并提供下列材料：</w:t>
      </w:r>
    </w:p>
    <w:p w14:paraId="6C43FAA7">
      <w:pPr>
        <w:keepNext w:val="0"/>
        <w:keepLines w:val="0"/>
        <w:pageBreakBefore w:val="0"/>
        <w:widowControl w:val="0"/>
        <w:numPr>
          <w:ilvl w:val="0"/>
          <w:numId w:val="0"/>
        </w:numPr>
        <w:kinsoku/>
        <w:wordWrap/>
        <w:overflowPunct/>
        <w:topLinePunct w:val="0"/>
        <w:autoSpaceDE/>
        <w:autoSpaceDN/>
        <w:bidi w:val="0"/>
        <w:adjustRightInd/>
        <w:snapToGrid/>
        <w:spacing w:before="121" w:beforeLines="30" w:line="360" w:lineRule="auto"/>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（1）供应商的营业执照等证明文件，自然人的身份证明</w:t>
      </w:r>
      <w:r>
        <w:rPr>
          <w:rFonts w:hint="eastAsia" w:ascii="宋体" w:hAnsi="宋体" w:cs="宋体"/>
          <w:color w:val="auto"/>
          <w:sz w:val="24"/>
          <w:szCs w:val="24"/>
          <w:highlight w:val="none"/>
          <w:u w:val="none"/>
          <w:lang w:val="en-US" w:eastAsia="zh-CN"/>
        </w:rPr>
        <w:t>；</w:t>
      </w:r>
    </w:p>
    <w:p w14:paraId="401156D6">
      <w:pPr>
        <w:keepNext w:val="0"/>
        <w:keepLines w:val="0"/>
        <w:pageBreakBefore w:val="0"/>
        <w:widowControl w:val="0"/>
        <w:numPr>
          <w:ilvl w:val="0"/>
          <w:numId w:val="0"/>
        </w:numPr>
        <w:kinsoku/>
        <w:wordWrap/>
        <w:overflowPunct/>
        <w:topLinePunct w:val="0"/>
        <w:autoSpaceDE/>
        <w:autoSpaceDN/>
        <w:bidi w:val="0"/>
        <w:adjustRightInd/>
        <w:snapToGrid/>
        <w:spacing w:before="121" w:beforeLines="30" w:line="360" w:lineRule="auto"/>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（2）财务状况报告，依法缴纳税收和社会保障资金的相关材料</w:t>
      </w:r>
      <w:r>
        <w:rPr>
          <w:rFonts w:hint="eastAsia" w:ascii="宋体" w:hAnsi="宋体" w:cs="宋体"/>
          <w:color w:val="auto"/>
          <w:sz w:val="24"/>
          <w:szCs w:val="24"/>
          <w:highlight w:val="none"/>
          <w:u w:val="none"/>
          <w:lang w:val="en-US" w:eastAsia="zh-CN"/>
        </w:rPr>
        <w:t>；</w:t>
      </w:r>
    </w:p>
    <w:p w14:paraId="1FFAC6BE">
      <w:pPr>
        <w:keepNext w:val="0"/>
        <w:keepLines w:val="0"/>
        <w:pageBreakBefore w:val="0"/>
        <w:widowControl w:val="0"/>
        <w:numPr>
          <w:ilvl w:val="0"/>
          <w:numId w:val="0"/>
        </w:numPr>
        <w:kinsoku/>
        <w:wordWrap/>
        <w:overflowPunct/>
        <w:topLinePunct w:val="0"/>
        <w:autoSpaceDE/>
        <w:autoSpaceDN/>
        <w:bidi w:val="0"/>
        <w:adjustRightInd/>
        <w:snapToGrid/>
        <w:spacing w:before="121" w:beforeLines="30" w:line="360" w:lineRule="auto"/>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（3）具备履行合同所必需的设备和专业技术能力的证明材料</w:t>
      </w:r>
      <w:r>
        <w:rPr>
          <w:rFonts w:hint="eastAsia" w:ascii="宋体" w:hAnsi="宋体" w:cs="宋体"/>
          <w:color w:val="auto"/>
          <w:sz w:val="24"/>
          <w:szCs w:val="24"/>
          <w:highlight w:val="none"/>
          <w:u w:val="none"/>
          <w:lang w:val="en-US" w:eastAsia="zh-CN"/>
        </w:rPr>
        <w:t>；</w:t>
      </w:r>
    </w:p>
    <w:p w14:paraId="45BDED58">
      <w:pPr>
        <w:keepNext w:val="0"/>
        <w:keepLines w:val="0"/>
        <w:pageBreakBefore w:val="0"/>
        <w:widowControl w:val="0"/>
        <w:numPr>
          <w:ilvl w:val="0"/>
          <w:numId w:val="0"/>
        </w:numPr>
        <w:kinsoku/>
        <w:wordWrap/>
        <w:overflowPunct/>
        <w:topLinePunct w:val="0"/>
        <w:autoSpaceDE/>
        <w:autoSpaceDN/>
        <w:bidi w:val="0"/>
        <w:adjustRightInd/>
        <w:snapToGrid/>
        <w:spacing w:before="121" w:beforeLines="30" w:line="360" w:lineRule="auto"/>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（4）参加政府采购活动前3年内在经营活动中没有重大违法记录的书面</w:t>
      </w:r>
      <w:r>
        <w:rPr>
          <w:rFonts w:hint="eastAsia" w:ascii="宋体" w:hAnsi="宋体" w:cs="宋体"/>
          <w:color w:val="auto"/>
          <w:sz w:val="24"/>
          <w:szCs w:val="24"/>
          <w:highlight w:val="none"/>
          <w:u w:val="none"/>
          <w:lang w:val="en-US" w:eastAsia="zh-CN"/>
        </w:rPr>
        <w:t>声明；</w:t>
      </w:r>
    </w:p>
    <w:p w14:paraId="030082E1">
      <w:pPr>
        <w:keepNext w:val="0"/>
        <w:keepLines w:val="0"/>
        <w:pageBreakBefore w:val="0"/>
        <w:widowControl w:val="0"/>
        <w:numPr>
          <w:ilvl w:val="0"/>
          <w:numId w:val="0"/>
        </w:numPr>
        <w:kinsoku/>
        <w:wordWrap/>
        <w:overflowPunct/>
        <w:topLinePunct w:val="0"/>
        <w:autoSpaceDE/>
        <w:autoSpaceDN/>
        <w:bidi w:val="0"/>
        <w:adjustRightInd/>
        <w:snapToGrid/>
        <w:spacing w:before="121" w:beforeLines="30" w:line="360" w:lineRule="auto"/>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（5）具备法律、行政法规规定的其他条件的证明材料</w:t>
      </w:r>
      <w:r>
        <w:rPr>
          <w:rFonts w:hint="eastAsia" w:ascii="宋体" w:hAnsi="宋体" w:cs="宋体"/>
          <w:color w:val="auto"/>
          <w:sz w:val="24"/>
          <w:szCs w:val="24"/>
          <w:highlight w:val="none"/>
          <w:u w:val="none"/>
          <w:lang w:val="en-US" w:eastAsia="zh-CN"/>
        </w:rPr>
        <w:t>；</w:t>
      </w:r>
    </w:p>
    <w:p w14:paraId="3F55FDFA">
      <w:pPr>
        <w:pStyle w:val="11"/>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2.公益一类事业单位、纳入事业编制管理且经费完全或主要由财政保障的群团组织，不作为本次政府购买服务的承接主体。</w:t>
      </w:r>
    </w:p>
    <w:p w14:paraId="05C6DED8">
      <w:pPr>
        <w:pStyle w:val="11"/>
        <w:ind w:firstLine="480" w:firstLineChars="200"/>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3</w:t>
      </w:r>
      <w:r>
        <w:rPr>
          <w:rFonts w:hint="eastAsia" w:ascii="宋体" w:hAnsi="宋体" w:eastAsia="宋体" w:cs="宋体"/>
          <w:color w:val="auto"/>
          <w:sz w:val="24"/>
          <w:szCs w:val="24"/>
          <w:highlight w:val="none"/>
          <w:u w:val="none"/>
          <w:lang w:val="en-US" w:eastAsia="zh-CN"/>
        </w:rPr>
        <w:t>.经信用中国（www.creditchina.gov.cn）、中国政府采购网（www.ccgp.gov.cn）等渠道查询后，列入失信被执行人、</w:t>
      </w:r>
      <w:r>
        <w:rPr>
          <w:rFonts w:hint="eastAsia" w:ascii="宋体" w:hAnsi="宋体" w:cs="宋体"/>
          <w:color w:val="auto"/>
          <w:sz w:val="24"/>
          <w:szCs w:val="24"/>
          <w:highlight w:val="none"/>
          <w:u w:val="none"/>
          <w:lang w:val="en-US" w:eastAsia="zh-CN"/>
        </w:rPr>
        <w:t>重大税收违法失信主体</w:t>
      </w:r>
      <w:r>
        <w:rPr>
          <w:rFonts w:hint="eastAsia" w:ascii="宋体" w:hAnsi="宋体" w:eastAsia="宋体" w:cs="宋体"/>
          <w:color w:val="auto"/>
          <w:sz w:val="24"/>
          <w:szCs w:val="24"/>
          <w:highlight w:val="none"/>
          <w:u w:val="none"/>
          <w:lang w:val="en-US" w:eastAsia="zh-CN"/>
        </w:rPr>
        <w:t>、政府采购严重违法失信行为记录名单的，取消投标资格</w:t>
      </w:r>
      <w:r>
        <w:rPr>
          <w:rFonts w:hint="eastAsia" w:ascii="宋体" w:hAnsi="宋体" w:cs="宋体"/>
          <w:color w:val="auto"/>
          <w:sz w:val="24"/>
          <w:szCs w:val="24"/>
          <w:highlight w:val="none"/>
          <w:u w:val="none"/>
          <w:lang w:val="en-US" w:eastAsia="zh-CN"/>
        </w:rPr>
        <w:t>；</w:t>
      </w:r>
    </w:p>
    <w:p w14:paraId="7BC0A314">
      <w:pPr>
        <w:pStyle w:val="11"/>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4.</w:t>
      </w:r>
      <w:r>
        <w:rPr>
          <w:rFonts w:hint="eastAsia" w:ascii="宋体" w:hAnsi="宋体" w:eastAsia="宋体" w:cs="宋体"/>
          <w:color w:val="auto"/>
          <w:sz w:val="24"/>
          <w:szCs w:val="24"/>
          <w:highlight w:val="none"/>
          <w:u w:val="none"/>
          <w:lang w:val="en-US" w:eastAsia="zh-CN"/>
        </w:rPr>
        <w:t>单位负责人为同一人或者存在直接控股、管理关系的不同供应商，不得参加同一合同项下的政府采购活动。否则，皆取消投标资格；</w:t>
      </w:r>
    </w:p>
    <w:p w14:paraId="3185B234">
      <w:pPr>
        <w:keepNext w:val="0"/>
        <w:keepLines w:val="0"/>
        <w:pageBreakBefore w:val="0"/>
        <w:widowControl w:val="0"/>
        <w:numPr>
          <w:ilvl w:val="0"/>
          <w:numId w:val="0"/>
        </w:numPr>
        <w:kinsoku/>
        <w:wordWrap/>
        <w:overflowPunct/>
        <w:topLinePunct w:val="0"/>
        <w:autoSpaceDE/>
        <w:autoSpaceDN/>
        <w:bidi w:val="0"/>
        <w:adjustRightInd/>
        <w:snapToGrid/>
        <w:spacing w:before="121" w:beforeLines="30" w:line="360" w:lineRule="auto"/>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5</w:t>
      </w:r>
      <w:r>
        <w:rPr>
          <w:rFonts w:hint="eastAsia" w:ascii="宋体" w:hAnsi="宋体" w:eastAsia="宋体" w:cs="宋体"/>
          <w:color w:val="auto"/>
          <w:sz w:val="24"/>
          <w:szCs w:val="24"/>
          <w:highlight w:val="none"/>
          <w:u w:val="none"/>
          <w:lang w:val="en-US" w:eastAsia="zh-CN"/>
        </w:rPr>
        <w:t>.为本采购项目提供整体设计、规范编制或者项目管理、监理、检测等服务的供应商，不得再参加该采购项目的其他采购活动；</w:t>
      </w:r>
    </w:p>
    <w:p w14:paraId="77F295B3">
      <w:pPr>
        <w:pStyle w:val="11"/>
        <w:ind w:firstLine="480" w:firstLineChars="200"/>
        <w:rPr>
          <w:rFonts w:hint="eastAsia" w:ascii="宋体" w:hAnsi="宋体" w:eastAsia="宋体" w:cs="宋体"/>
          <w:color w:val="auto"/>
          <w:sz w:val="24"/>
          <w:szCs w:val="32"/>
          <w:highlight w:val="none"/>
          <w:lang w:val="zh-CN"/>
        </w:rPr>
      </w:pPr>
      <w:r>
        <w:rPr>
          <w:rFonts w:hint="eastAsia" w:ascii="宋体" w:hAnsi="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lang w:val="en-US" w:eastAsia="zh-CN"/>
        </w:rPr>
        <w:t>.不具备独立承担民事责任的分公司不能以分公司名义参与政府采购活动（除银行、保险、石油石化、电力、通信等特殊行业外）。分公司参与本项目政府采购活动须提供总公司针对本项目的授权。</w:t>
      </w:r>
    </w:p>
    <w:p w14:paraId="7601701E">
      <w:pPr>
        <w:keepNext w:val="0"/>
        <w:keepLines w:val="0"/>
        <w:pageBreakBefore w:val="0"/>
        <w:widowControl w:val="0"/>
        <w:numPr>
          <w:ilvl w:val="0"/>
          <w:numId w:val="0"/>
        </w:numPr>
        <w:kinsoku/>
        <w:wordWrap/>
        <w:overflowPunct/>
        <w:topLinePunct w:val="0"/>
        <w:autoSpaceDE/>
        <w:autoSpaceDN/>
        <w:bidi w:val="0"/>
        <w:adjustRightInd/>
        <w:snapToGrid/>
        <w:spacing w:before="121" w:beforeLines="30" w:line="360" w:lineRule="auto"/>
        <w:ind w:firstLine="480" w:firstLineChars="200"/>
        <w:textAlignment w:val="auto"/>
        <w:rPr>
          <w:rFonts w:hint="default"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7.落实政府采购政策需满足的资格要求：无</w:t>
      </w:r>
    </w:p>
    <w:p w14:paraId="553B4F5A">
      <w:pPr>
        <w:numPr>
          <w:ilvl w:val="0"/>
          <w:numId w:val="3"/>
        </w:numPr>
        <w:kinsoku/>
        <w:overflowPunct/>
        <w:topLinePunct w:val="0"/>
        <w:bidi w:val="0"/>
        <w:spacing w:before="121" w:beforeLines="30"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获取采购文件</w:t>
      </w:r>
    </w:p>
    <w:p w14:paraId="65E65675">
      <w:pPr>
        <w:pStyle w:val="31"/>
        <w:spacing w:before="0" w:beforeAutospacing="0" w:after="0" w:afterAutospacing="0"/>
        <w:ind w:firstLine="420"/>
        <w:rPr>
          <w:rFonts w:hint="eastAsia"/>
          <w:color w:val="auto"/>
          <w:highlight w:val="none"/>
        </w:rPr>
      </w:pPr>
      <w:r>
        <w:rPr>
          <w:rFonts w:hint="eastAsia" w:ascii="宋体" w:hAnsi="宋体" w:eastAsia="宋体" w:cs="宋体"/>
          <w:color w:val="auto"/>
          <w:sz w:val="24"/>
          <w:szCs w:val="24"/>
          <w:highlight w:val="none"/>
          <w:u w:val="none"/>
          <w:lang w:val="en-US" w:eastAsia="zh-CN"/>
        </w:rPr>
        <w:t>时间：202</w:t>
      </w:r>
      <w:r>
        <w:rPr>
          <w:rFonts w:hint="eastAsia"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lang w:val="en-US" w:eastAsia="zh-CN"/>
        </w:rPr>
        <w:t>年</w:t>
      </w:r>
      <w:r>
        <w:rPr>
          <w:rFonts w:hint="eastAsia" w:cs="宋体"/>
          <w:color w:val="auto"/>
          <w:sz w:val="24"/>
          <w:szCs w:val="24"/>
          <w:highlight w:val="none"/>
          <w:u w:val="none"/>
          <w:lang w:val="en-US" w:eastAsia="zh-CN"/>
        </w:rPr>
        <w:t>04</w:t>
      </w:r>
      <w:r>
        <w:rPr>
          <w:rFonts w:hint="eastAsia" w:ascii="宋体" w:hAnsi="宋体" w:eastAsia="宋体" w:cs="宋体"/>
          <w:color w:val="auto"/>
          <w:sz w:val="24"/>
          <w:szCs w:val="24"/>
          <w:highlight w:val="none"/>
          <w:u w:val="none"/>
          <w:lang w:val="en-US" w:eastAsia="zh-CN"/>
        </w:rPr>
        <w:t>月</w:t>
      </w:r>
      <w:r>
        <w:rPr>
          <w:rFonts w:hint="eastAsia" w:cs="宋体"/>
          <w:color w:val="auto"/>
          <w:sz w:val="24"/>
          <w:szCs w:val="24"/>
          <w:highlight w:val="none"/>
          <w:u w:val="none"/>
          <w:lang w:val="en-US" w:eastAsia="zh-CN"/>
        </w:rPr>
        <w:t>27</w:t>
      </w:r>
      <w:r>
        <w:rPr>
          <w:rFonts w:hint="eastAsia" w:ascii="宋体" w:hAnsi="宋体" w:eastAsia="宋体" w:cs="宋体"/>
          <w:color w:val="auto"/>
          <w:sz w:val="24"/>
          <w:szCs w:val="24"/>
          <w:highlight w:val="none"/>
          <w:u w:val="none"/>
          <w:lang w:val="en-US" w:eastAsia="zh-CN"/>
        </w:rPr>
        <w:t>日至202</w:t>
      </w:r>
      <w:r>
        <w:rPr>
          <w:rFonts w:hint="eastAsia"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lang w:val="en-US" w:eastAsia="zh-CN"/>
        </w:rPr>
        <w:t>年</w:t>
      </w:r>
      <w:r>
        <w:rPr>
          <w:rFonts w:hint="eastAsia" w:cs="宋体"/>
          <w:color w:val="auto"/>
          <w:sz w:val="24"/>
          <w:szCs w:val="24"/>
          <w:highlight w:val="none"/>
          <w:u w:val="none"/>
          <w:lang w:val="en-US" w:eastAsia="zh-CN"/>
        </w:rPr>
        <w:t>05</w:t>
      </w:r>
      <w:r>
        <w:rPr>
          <w:rFonts w:hint="eastAsia" w:ascii="宋体" w:hAnsi="宋体" w:eastAsia="宋体" w:cs="宋体"/>
          <w:color w:val="auto"/>
          <w:sz w:val="24"/>
          <w:szCs w:val="24"/>
          <w:highlight w:val="none"/>
          <w:u w:val="none"/>
          <w:lang w:val="en-US" w:eastAsia="zh-CN"/>
        </w:rPr>
        <w:t>月</w:t>
      </w:r>
      <w:r>
        <w:rPr>
          <w:rFonts w:hint="eastAsia" w:cs="宋体"/>
          <w:color w:val="auto"/>
          <w:sz w:val="24"/>
          <w:szCs w:val="24"/>
          <w:highlight w:val="none"/>
          <w:u w:val="none"/>
          <w:lang w:val="en-US" w:eastAsia="zh-CN"/>
        </w:rPr>
        <w:t>06</w:t>
      </w:r>
      <w:r>
        <w:rPr>
          <w:rFonts w:hint="eastAsia" w:ascii="宋体" w:hAnsi="宋体" w:eastAsia="宋体" w:cs="宋体"/>
          <w:color w:val="auto"/>
          <w:sz w:val="24"/>
          <w:szCs w:val="24"/>
          <w:highlight w:val="none"/>
          <w:u w:val="none"/>
          <w:lang w:val="en-US" w:eastAsia="zh-CN"/>
        </w:rPr>
        <w:t>日</w:t>
      </w:r>
      <w:r>
        <w:rPr>
          <w:rFonts w:hint="eastAsia" w:cs="宋体"/>
          <w:color w:val="auto"/>
          <w:sz w:val="24"/>
          <w:szCs w:val="24"/>
          <w:highlight w:val="none"/>
          <w:u w:val="none"/>
          <w:lang w:val="en-US" w:eastAsia="zh-CN"/>
        </w:rPr>
        <w:t>，</w:t>
      </w:r>
      <w:r>
        <w:rPr>
          <w:rFonts w:hint="eastAsia"/>
          <w:color w:val="auto"/>
          <w:highlight w:val="none"/>
        </w:rPr>
        <w:t>每天上午00:00至12:00，下午12:00至23:59（北京时间，法定节假日除外）</w:t>
      </w:r>
    </w:p>
    <w:p w14:paraId="6828D52D">
      <w:pPr>
        <w:keepNext w:val="0"/>
        <w:keepLines w:val="0"/>
        <w:pageBreakBefore w:val="0"/>
        <w:widowControl w:val="0"/>
        <w:numPr>
          <w:ilvl w:val="0"/>
          <w:numId w:val="0"/>
        </w:numPr>
        <w:kinsoku/>
        <w:wordWrap/>
        <w:overflowPunct/>
        <w:topLinePunct w:val="0"/>
        <w:autoSpaceDE/>
        <w:autoSpaceDN/>
        <w:bidi w:val="0"/>
        <w:adjustRightInd/>
        <w:snapToGrid/>
        <w:spacing w:before="121" w:beforeLines="30" w:line="360" w:lineRule="auto"/>
        <w:ind w:left="557" w:leftChars="232" w:firstLine="0" w:firstLineChars="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地点：政采云平台线上获取；</w:t>
      </w:r>
    </w:p>
    <w:p w14:paraId="6B080E39">
      <w:pPr>
        <w:keepNext w:val="0"/>
        <w:keepLines w:val="0"/>
        <w:pageBreakBefore w:val="0"/>
        <w:widowControl w:val="0"/>
        <w:numPr>
          <w:ilvl w:val="0"/>
          <w:numId w:val="0"/>
        </w:numPr>
        <w:kinsoku/>
        <w:wordWrap/>
        <w:overflowPunct/>
        <w:topLinePunct w:val="0"/>
        <w:autoSpaceDE/>
        <w:autoSpaceDN/>
        <w:bidi w:val="0"/>
        <w:adjustRightInd/>
        <w:snapToGrid/>
        <w:spacing w:before="121" w:beforeLines="30" w:line="360" w:lineRule="auto"/>
        <w:ind w:leftChars="0"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方式：供应商登录政采云平台https://www.zcygov.cn/在线申请获取采购文件（进入“项目采购”应用，在获取采购文件菜单中选择项目，申请获取采购文件）</w:t>
      </w:r>
    </w:p>
    <w:p w14:paraId="01755BA5">
      <w:pPr>
        <w:keepNext w:val="0"/>
        <w:keepLines w:val="0"/>
        <w:pageBreakBefore w:val="0"/>
        <w:widowControl w:val="0"/>
        <w:numPr>
          <w:ilvl w:val="0"/>
          <w:numId w:val="0"/>
        </w:numPr>
        <w:kinsoku/>
        <w:wordWrap/>
        <w:overflowPunct/>
        <w:topLinePunct w:val="0"/>
        <w:autoSpaceDE/>
        <w:autoSpaceDN/>
        <w:bidi w:val="0"/>
        <w:adjustRightInd/>
        <w:snapToGrid/>
        <w:spacing w:before="121" w:beforeLines="30" w:line="360" w:lineRule="auto"/>
        <w:ind w:lef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none"/>
          <w:lang w:val="en-US" w:eastAsia="zh-CN"/>
        </w:rPr>
        <w:t>售价：0元</w:t>
      </w:r>
    </w:p>
    <w:p w14:paraId="48A125DD">
      <w:pPr>
        <w:numPr>
          <w:ilvl w:val="0"/>
          <w:numId w:val="3"/>
        </w:numPr>
        <w:kinsoku/>
        <w:overflowPunct/>
        <w:topLinePunct w:val="0"/>
        <w:bidi w:val="0"/>
        <w:spacing w:before="121" w:beforeLines="30"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响应文件提交</w:t>
      </w:r>
    </w:p>
    <w:p w14:paraId="5A0F793B">
      <w:pPr>
        <w:keepNext w:val="0"/>
        <w:keepLines w:val="0"/>
        <w:pageBreakBefore w:val="0"/>
        <w:widowControl w:val="0"/>
        <w:numPr>
          <w:ilvl w:val="0"/>
          <w:numId w:val="0"/>
        </w:numPr>
        <w:kinsoku/>
        <w:wordWrap/>
        <w:overflowPunct/>
        <w:topLinePunct w:val="0"/>
        <w:autoSpaceDE/>
        <w:autoSpaceDN/>
        <w:bidi w:val="0"/>
        <w:adjustRightInd/>
        <w:snapToGrid/>
        <w:spacing w:before="121" w:beforeLines="30" w:line="360" w:lineRule="auto"/>
        <w:ind w:leftChars="0"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截止时间：</w:t>
      </w:r>
      <w:r>
        <w:rPr>
          <w:rFonts w:hint="eastAsia" w:ascii="宋体" w:hAnsi="宋体" w:cs="宋体"/>
          <w:color w:val="auto"/>
          <w:sz w:val="24"/>
          <w:szCs w:val="24"/>
          <w:highlight w:val="none"/>
          <w:u w:val="none"/>
          <w:lang w:val="en-US" w:eastAsia="zh-CN"/>
        </w:rPr>
        <w:t>2026年05月08日14时00分（北京时间）</w:t>
      </w:r>
    </w:p>
    <w:p w14:paraId="13692523">
      <w:pPr>
        <w:keepNext w:val="0"/>
        <w:keepLines w:val="0"/>
        <w:pageBreakBefore w:val="0"/>
        <w:widowControl w:val="0"/>
        <w:numPr>
          <w:ilvl w:val="0"/>
          <w:numId w:val="0"/>
        </w:numPr>
        <w:kinsoku/>
        <w:wordWrap/>
        <w:overflowPunct/>
        <w:topLinePunct w:val="0"/>
        <w:autoSpaceDE/>
        <w:autoSpaceDN/>
        <w:bidi w:val="0"/>
        <w:adjustRightInd/>
        <w:snapToGrid/>
        <w:spacing w:before="121" w:beforeLines="30" w:line="360" w:lineRule="auto"/>
        <w:ind w:leftChars="0"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地点：请登录政采云投标客户端投标</w:t>
      </w:r>
    </w:p>
    <w:p w14:paraId="4DE48421">
      <w:pPr>
        <w:numPr>
          <w:ilvl w:val="0"/>
          <w:numId w:val="3"/>
        </w:numPr>
        <w:kinsoku/>
        <w:overflowPunct/>
        <w:topLinePunct w:val="0"/>
        <w:bidi w:val="0"/>
        <w:spacing w:before="121" w:beforeLines="30"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响应文件开启</w:t>
      </w:r>
    </w:p>
    <w:p w14:paraId="5EDB94D3">
      <w:pPr>
        <w:keepNext w:val="0"/>
        <w:keepLines w:val="0"/>
        <w:pageBreakBefore w:val="0"/>
        <w:widowControl w:val="0"/>
        <w:numPr>
          <w:ilvl w:val="0"/>
          <w:numId w:val="0"/>
        </w:numPr>
        <w:kinsoku/>
        <w:wordWrap/>
        <w:overflowPunct/>
        <w:topLinePunct w:val="0"/>
        <w:autoSpaceDE/>
        <w:autoSpaceDN/>
        <w:bidi w:val="0"/>
        <w:adjustRightInd/>
        <w:snapToGrid/>
        <w:spacing w:before="121" w:beforeLines="30" w:line="360" w:lineRule="auto"/>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color w:val="auto"/>
          <w:highlight w:val="none"/>
        </w:rPr>
        <w:t>开启时间</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u w:val="none"/>
          <w:lang w:val="en-US" w:eastAsia="zh-CN"/>
        </w:rPr>
        <w:t>2026年05月08日14时00分（北京时间）</w:t>
      </w:r>
    </w:p>
    <w:p w14:paraId="3FD5B684">
      <w:pPr>
        <w:pStyle w:val="31"/>
        <w:spacing w:before="0" w:beforeAutospacing="0" w:after="0" w:afterAutospacing="0" w:line="300" w:lineRule="auto"/>
        <w:ind w:firstLine="420"/>
        <w:rPr>
          <w:rFonts w:hint="eastAsia"/>
          <w:color w:val="auto"/>
          <w:highlight w:val="none"/>
          <w:lang w:val="en-US" w:eastAsia="zh-CN"/>
        </w:rPr>
      </w:pPr>
      <w:r>
        <w:rPr>
          <w:rFonts w:hint="eastAsia"/>
          <w:color w:val="auto"/>
          <w:highlight w:val="none"/>
        </w:rPr>
        <w:t>地点：西宁市城西区海湖新区五四西路91号卢浮公馆双子座B座17楼</w:t>
      </w:r>
    </w:p>
    <w:p w14:paraId="12F8C734">
      <w:pPr>
        <w:numPr>
          <w:ilvl w:val="0"/>
          <w:numId w:val="3"/>
        </w:numPr>
        <w:kinsoku/>
        <w:overflowPunct/>
        <w:topLinePunct w:val="0"/>
        <w:bidi w:val="0"/>
        <w:spacing w:before="121" w:beforeLines="30"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公告期限</w:t>
      </w:r>
    </w:p>
    <w:p w14:paraId="5D0F0D5B">
      <w:pPr>
        <w:keepNext w:val="0"/>
        <w:keepLines w:val="0"/>
        <w:pageBreakBefore w:val="0"/>
        <w:widowControl w:val="0"/>
        <w:numPr>
          <w:ilvl w:val="0"/>
          <w:numId w:val="0"/>
        </w:numPr>
        <w:kinsoku/>
        <w:wordWrap/>
        <w:overflowPunct/>
        <w:topLinePunct w:val="0"/>
        <w:autoSpaceDE/>
        <w:autoSpaceDN/>
        <w:bidi w:val="0"/>
        <w:adjustRightInd/>
        <w:snapToGrid/>
        <w:spacing w:before="121" w:beforeLines="30" w:line="360" w:lineRule="auto"/>
        <w:ind w:leftChars="0" w:firstLine="480" w:firstLineChars="200"/>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自本公告发布之日起</w:t>
      </w:r>
      <w:r>
        <w:rPr>
          <w:rFonts w:hint="eastAsia" w:ascii="宋体" w:hAnsi="宋体" w:cs="宋体"/>
          <w:color w:val="auto"/>
          <w:sz w:val="24"/>
          <w:szCs w:val="24"/>
          <w:highlight w:val="none"/>
          <w:u w:val="none"/>
          <w:lang w:val="en-US" w:eastAsia="zh-CN"/>
        </w:rPr>
        <w:t>5</w:t>
      </w:r>
      <w:r>
        <w:rPr>
          <w:rFonts w:hint="eastAsia" w:ascii="宋体" w:hAnsi="宋体" w:eastAsia="宋体" w:cs="宋体"/>
          <w:color w:val="auto"/>
          <w:sz w:val="24"/>
          <w:szCs w:val="24"/>
          <w:highlight w:val="none"/>
          <w:u w:val="none"/>
          <w:lang w:val="en-US" w:eastAsia="zh-CN"/>
        </w:rPr>
        <w:t>个工作日。</w:t>
      </w:r>
    </w:p>
    <w:p w14:paraId="7EB18C13">
      <w:pPr>
        <w:numPr>
          <w:ilvl w:val="0"/>
          <w:numId w:val="3"/>
        </w:numPr>
        <w:kinsoku/>
        <w:overflowPunct/>
        <w:topLinePunct w:val="0"/>
        <w:bidi w:val="0"/>
        <w:spacing w:before="121" w:beforeLines="30"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其他补充事宜</w:t>
      </w:r>
    </w:p>
    <w:p w14:paraId="41C227CE">
      <w:pPr>
        <w:ind w:firstLine="480" w:firstLineChars="200"/>
        <w:rPr>
          <w:rFonts w:hint="eastAsia" w:ascii="宋体" w:hAnsi="宋体" w:cs="宋体"/>
          <w:color w:val="auto"/>
          <w:szCs w:val="24"/>
          <w:highlight w:val="none"/>
          <w:lang w:val="zh-CN"/>
        </w:rPr>
      </w:pPr>
      <w:r>
        <w:rPr>
          <w:rFonts w:hint="eastAsia" w:ascii="宋体" w:hAnsi="宋体" w:cs="宋体"/>
          <w:color w:val="auto"/>
          <w:szCs w:val="24"/>
          <w:highlight w:val="none"/>
          <w:lang w:val="zh-CN"/>
        </w:rPr>
        <w:t>1.本次招标采用线上提交响应文件的方式进行评审，线上响应文件必须在响应文件递交截止时间前上传政采云平台。</w:t>
      </w:r>
    </w:p>
    <w:p w14:paraId="69015B2B">
      <w:pPr>
        <w:ind w:firstLine="480" w:firstLineChars="200"/>
        <w:jc w:val="both"/>
        <w:rPr>
          <w:rFonts w:hint="eastAsia" w:ascii="宋体" w:hAnsi="宋体" w:cs="宋体"/>
          <w:color w:val="auto"/>
          <w:szCs w:val="24"/>
          <w:highlight w:val="none"/>
          <w:lang w:val="zh-CN"/>
        </w:rPr>
      </w:pPr>
      <w:r>
        <w:rPr>
          <w:rFonts w:hint="eastAsia" w:ascii="宋体" w:hAnsi="宋体" w:cs="宋体"/>
          <w:color w:val="auto"/>
          <w:szCs w:val="24"/>
          <w:highlight w:val="none"/>
          <w:lang w:val="zh-CN"/>
        </w:rPr>
        <w:t>2.若对项目采购电子交易系统操作有疑问，可登录政采云（https://www.zcygov.cn/），点击右侧咨询小采，获取采小蜜智能服务管家帮助，或拨打政采云服务热线</w:t>
      </w:r>
      <w:r>
        <w:rPr>
          <w:rFonts w:hint="eastAsia" w:ascii="宋体" w:hAnsi="宋体" w:cs="宋体"/>
          <w:color w:val="auto"/>
          <w:szCs w:val="24"/>
          <w:highlight w:val="none"/>
        </w:rPr>
        <w:t>95763</w:t>
      </w:r>
      <w:r>
        <w:rPr>
          <w:rFonts w:hint="eastAsia" w:ascii="宋体" w:hAnsi="宋体" w:cs="宋体"/>
          <w:color w:val="auto"/>
          <w:szCs w:val="24"/>
          <w:highlight w:val="none"/>
          <w:lang w:val="zh-CN"/>
        </w:rPr>
        <w:t>获取热线服务帮助。CA问题联系电话（人工）；天谷CA400-087-8198。</w:t>
      </w:r>
    </w:p>
    <w:p w14:paraId="14708629">
      <w:pPr>
        <w:pStyle w:val="31"/>
        <w:spacing w:before="0" w:beforeAutospacing="0" w:after="0" w:afterAutospacing="0"/>
        <w:ind w:firstLine="480" w:firstLineChars="200"/>
        <w:jc w:val="both"/>
        <w:rPr>
          <w:rFonts w:hint="eastAsia"/>
          <w:color w:val="auto"/>
          <w:highlight w:val="none"/>
          <w:lang w:val="zh-CN"/>
        </w:rPr>
      </w:pPr>
      <w:r>
        <w:rPr>
          <w:rFonts w:hint="eastAsia"/>
          <w:color w:val="auto"/>
          <w:highlight w:val="none"/>
          <w:lang w:val="zh-CN"/>
        </w:rPr>
        <w:t>3.本项</w:t>
      </w:r>
      <w:r>
        <w:rPr>
          <w:rFonts w:hint="eastAsia"/>
          <w:color w:val="auto"/>
          <w:highlight w:val="none"/>
        </w:rPr>
        <w:t>目招标公告在</w:t>
      </w:r>
      <w:r>
        <w:rPr>
          <w:rFonts w:hint="eastAsia"/>
          <w:color w:val="auto"/>
          <w:highlight w:val="none"/>
          <w:lang w:eastAsia="zh-CN"/>
        </w:rPr>
        <w:t>《青海省政府采购网》、《青海省公共资源交易网》、《青海项目信息网》</w:t>
      </w:r>
      <w:r>
        <w:rPr>
          <w:rFonts w:hint="eastAsia"/>
          <w:color w:val="auto"/>
          <w:highlight w:val="none"/>
          <w:lang w:val="zh-CN"/>
        </w:rPr>
        <w:t>同时发布，公告内容</w:t>
      </w:r>
      <w:r>
        <w:rPr>
          <w:rFonts w:hint="eastAsia"/>
          <w:color w:val="auto"/>
          <w:highlight w:val="none"/>
        </w:rPr>
        <w:t>以青海政府采购网发布的为准。</w:t>
      </w:r>
    </w:p>
    <w:p w14:paraId="4D75E5A4">
      <w:pPr>
        <w:numPr>
          <w:ilvl w:val="0"/>
          <w:numId w:val="0"/>
        </w:numPr>
        <w:kinsoku/>
        <w:overflowPunct/>
        <w:topLinePunct w:val="0"/>
        <w:bidi w:val="0"/>
        <w:spacing w:before="121" w:beforeLines="30" w:line="360" w:lineRule="auto"/>
        <w:ind w:firstLine="480" w:firstLineChars="200"/>
        <w:rPr>
          <w:rStyle w:val="51"/>
          <w:rFonts w:ascii="宋体" w:hAnsi="宋体" w:eastAsia="宋体" w:cs="宋体"/>
          <w:color w:val="auto"/>
          <w:highlight w:val="none"/>
        </w:rPr>
      </w:pPr>
      <w:r>
        <w:rPr>
          <w:rFonts w:hint="eastAsia"/>
          <w:color w:val="auto"/>
          <w:highlight w:val="none"/>
          <w:lang w:val="zh-CN"/>
        </w:rPr>
        <w:t>4.</w:t>
      </w:r>
      <w:r>
        <w:rPr>
          <w:rStyle w:val="51"/>
          <w:rFonts w:ascii="宋体" w:hAnsi="宋体" w:eastAsia="宋体" w:cs="宋体"/>
          <w:color w:val="auto"/>
          <w:highlight w:val="none"/>
        </w:rPr>
        <w:t>本次采购为全流程电子化，解密时长为30分钟，未在招标文件规定的时间内解密的，自行承担后果。</w:t>
      </w:r>
    </w:p>
    <w:p w14:paraId="369A1A27">
      <w:pPr>
        <w:numPr>
          <w:ilvl w:val="0"/>
          <w:numId w:val="0"/>
        </w:numPr>
        <w:kinsoku/>
        <w:overflowPunct/>
        <w:topLinePunct w:val="0"/>
        <w:bidi w:val="0"/>
        <w:spacing w:before="121" w:beforeLines="30" w:line="360" w:lineRule="auto"/>
        <w:ind w:firstLine="482" w:firstLineChars="200"/>
        <w:rPr>
          <w:rFonts w:hint="eastAsia" w:eastAsia="宋体" w:cs="Times New Roman"/>
          <w:b/>
          <w:bCs/>
          <w:color w:val="auto"/>
          <w:highlight w:val="none"/>
          <w:lang w:val="en-US" w:eastAsia="zh-CN"/>
        </w:rPr>
      </w:pPr>
      <w:r>
        <w:rPr>
          <w:rFonts w:hint="eastAsia" w:eastAsia="宋体" w:cs="Times New Roman"/>
          <w:b/>
          <w:bCs/>
          <w:color w:val="auto"/>
          <w:highlight w:val="none"/>
          <w:lang w:val="en-US" w:eastAsia="zh-CN"/>
        </w:rPr>
        <w:t>5.在开、评标过程中发现投标供应商 IP 地址、m</w:t>
      </w:r>
      <w:r>
        <w:rPr>
          <w:rFonts w:hint="eastAsia" w:cs="Times New Roman"/>
          <w:b/>
          <w:bCs/>
          <w:color w:val="auto"/>
          <w:highlight w:val="none"/>
          <w:lang w:val="en-US" w:eastAsia="zh-CN"/>
        </w:rPr>
        <w:t>a</w:t>
      </w:r>
      <w:r>
        <w:rPr>
          <w:rFonts w:hint="eastAsia" w:eastAsia="宋体" w:cs="Times New Roman"/>
          <w:b/>
          <w:bCs/>
          <w:color w:val="auto"/>
          <w:highlight w:val="none"/>
          <w:lang w:val="en-US" w:eastAsia="zh-CN"/>
        </w:rPr>
        <w:t>c 地址、硬件号等存在异常预警情形，对预警的投标供应商按无效投标处理，若由此原因导致投标无效的责任自负。</w:t>
      </w:r>
    </w:p>
    <w:p w14:paraId="3F1424A0">
      <w:pPr>
        <w:pStyle w:val="31"/>
        <w:spacing w:before="0" w:beforeAutospacing="0" w:after="0" w:afterAutospacing="0"/>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6.答疑方式：</w:t>
      </w:r>
      <w:r>
        <w:rPr>
          <w:rFonts w:hint="eastAsia" w:cs="宋体"/>
          <w:color w:val="auto"/>
          <w:highlight w:val="none"/>
          <w:lang w:val="en-US" w:eastAsia="zh-CN"/>
        </w:rPr>
        <w:t>磋商小组</w:t>
      </w:r>
      <w:r>
        <w:rPr>
          <w:rFonts w:hint="eastAsia" w:ascii="宋体" w:hAnsi="宋体" w:eastAsia="宋体" w:cs="宋体"/>
          <w:color w:val="auto"/>
          <w:highlight w:val="none"/>
          <w:lang w:val="en-US" w:eastAsia="zh-CN"/>
        </w:rPr>
        <w:t>根据响应情况确定答疑时间，答疑或澄清采用在青海省政府采购电子化平台上进行，供应商可在青海省政府采购电子化平台上的“我的澄清”界面了解答疑时间等信息。如在青海省政府采购电子化平台上未回复的答疑者，视同放弃答疑。</w:t>
      </w:r>
    </w:p>
    <w:p w14:paraId="10CD038C">
      <w:pPr>
        <w:numPr>
          <w:ilvl w:val="0"/>
          <w:numId w:val="3"/>
        </w:numPr>
        <w:kinsoku/>
        <w:overflowPunct/>
        <w:topLinePunct w:val="0"/>
        <w:bidi w:val="0"/>
        <w:spacing w:before="121" w:beforeLines="30"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对本次招标提出询问，请按以下方式联系</w:t>
      </w:r>
    </w:p>
    <w:p w14:paraId="1C0F8C62">
      <w:pPr>
        <w:keepNext w:val="0"/>
        <w:keepLines w:val="0"/>
        <w:pageBreakBefore w:val="0"/>
        <w:widowControl w:val="0"/>
        <w:numPr>
          <w:ilvl w:val="0"/>
          <w:numId w:val="0"/>
        </w:numPr>
        <w:kinsoku/>
        <w:wordWrap/>
        <w:overflowPunct/>
        <w:topLinePunct w:val="0"/>
        <w:autoSpaceDE/>
        <w:autoSpaceDN/>
        <w:bidi w:val="0"/>
        <w:adjustRightInd/>
        <w:snapToGrid/>
        <w:spacing w:before="121" w:beforeLines="30" w:line="360" w:lineRule="auto"/>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1.采购人信息</w:t>
      </w:r>
    </w:p>
    <w:p w14:paraId="2C70CAE0">
      <w:pPr>
        <w:keepNext w:val="0"/>
        <w:keepLines w:val="0"/>
        <w:pageBreakBefore w:val="0"/>
        <w:widowControl w:val="0"/>
        <w:numPr>
          <w:ilvl w:val="0"/>
          <w:numId w:val="0"/>
        </w:numPr>
        <w:kinsoku/>
        <w:wordWrap/>
        <w:overflowPunct/>
        <w:topLinePunct w:val="0"/>
        <w:autoSpaceDE/>
        <w:autoSpaceDN/>
        <w:bidi w:val="0"/>
        <w:adjustRightInd/>
        <w:snapToGrid/>
        <w:spacing w:before="121" w:beforeLines="30" w:line="360" w:lineRule="auto"/>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采 购 人：青海省地质调查局</w:t>
      </w:r>
    </w:p>
    <w:p w14:paraId="3574C411">
      <w:pPr>
        <w:keepNext w:val="0"/>
        <w:keepLines w:val="0"/>
        <w:pageBreakBefore w:val="0"/>
        <w:widowControl w:val="0"/>
        <w:numPr>
          <w:ilvl w:val="0"/>
          <w:numId w:val="0"/>
        </w:numPr>
        <w:kinsoku/>
        <w:wordWrap/>
        <w:overflowPunct/>
        <w:topLinePunct w:val="0"/>
        <w:autoSpaceDE/>
        <w:autoSpaceDN/>
        <w:bidi w:val="0"/>
        <w:adjustRightInd/>
        <w:snapToGrid/>
        <w:spacing w:before="121" w:beforeLines="30" w:line="360" w:lineRule="auto"/>
        <w:ind w:firstLine="480" w:firstLineChars="200"/>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联 系 人：</w:t>
      </w:r>
      <w:r>
        <w:rPr>
          <w:rFonts w:hint="eastAsia" w:ascii="宋体" w:hAnsi="宋体" w:cs="宋体"/>
          <w:b w:val="0"/>
          <w:bCs w:val="0"/>
          <w:color w:val="auto"/>
          <w:sz w:val="24"/>
          <w:szCs w:val="24"/>
          <w:highlight w:val="none"/>
          <w:u w:val="none"/>
          <w:lang w:val="en-US" w:eastAsia="zh-CN"/>
        </w:rPr>
        <w:t>董</w:t>
      </w:r>
      <w:r>
        <w:rPr>
          <w:rFonts w:hint="eastAsia" w:ascii="宋体" w:hAnsi="宋体" w:eastAsia="宋体" w:cs="宋体"/>
          <w:b w:val="0"/>
          <w:bCs w:val="0"/>
          <w:color w:val="auto"/>
          <w:sz w:val="24"/>
          <w:szCs w:val="24"/>
          <w:highlight w:val="none"/>
          <w:u w:val="none"/>
          <w:lang w:val="en-US" w:eastAsia="zh-CN"/>
        </w:rPr>
        <w:t>老师</w:t>
      </w:r>
    </w:p>
    <w:p w14:paraId="228CFBE6">
      <w:pPr>
        <w:keepNext w:val="0"/>
        <w:keepLines w:val="0"/>
        <w:pageBreakBefore w:val="0"/>
        <w:widowControl w:val="0"/>
        <w:numPr>
          <w:ilvl w:val="0"/>
          <w:numId w:val="0"/>
        </w:numPr>
        <w:kinsoku/>
        <w:wordWrap/>
        <w:overflowPunct/>
        <w:topLinePunct w:val="0"/>
        <w:autoSpaceDE/>
        <w:autoSpaceDN/>
        <w:bidi w:val="0"/>
        <w:adjustRightInd/>
        <w:snapToGrid/>
        <w:spacing w:before="121" w:beforeLines="30" w:line="360" w:lineRule="auto"/>
        <w:ind w:firstLine="480" w:firstLineChars="200"/>
        <w:textAlignment w:val="auto"/>
        <w:rPr>
          <w:rFonts w:hint="default"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联系电话：</w:t>
      </w:r>
      <w:r>
        <w:rPr>
          <w:rFonts w:hint="eastAsia" w:ascii="宋体" w:hAnsi="宋体" w:cs="宋体"/>
          <w:color w:val="auto"/>
          <w:kern w:val="0"/>
          <w:highlight w:val="none"/>
        </w:rPr>
        <w:t>0971-61</w:t>
      </w:r>
      <w:r>
        <w:rPr>
          <w:rFonts w:hint="eastAsia" w:ascii="宋体" w:hAnsi="宋体" w:cs="宋体"/>
          <w:color w:val="auto"/>
          <w:kern w:val="0"/>
          <w:highlight w:val="none"/>
          <w:lang w:val="en-US" w:eastAsia="zh-CN"/>
        </w:rPr>
        <w:t>07963</w:t>
      </w:r>
    </w:p>
    <w:p w14:paraId="5BE5B6CF">
      <w:pPr>
        <w:keepNext w:val="0"/>
        <w:keepLines w:val="0"/>
        <w:pageBreakBefore w:val="0"/>
        <w:widowControl w:val="0"/>
        <w:numPr>
          <w:ilvl w:val="0"/>
          <w:numId w:val="0"/>
        </w:numPr>
        <w:kinsoku/>
        <w:wordWrap/>
        <w:overflowPunct/>
        <w:topLinePunct w:val="0"/>
        <w:autoSpaceDE/>
        <w:autoSpaceDN/>
        <w:bidi w:val="0"/>
        <w:adjustRightInd/>
        <w:snapToGrid/>
        <w:spacing w:before="121" w:beforeLines="30" w:line="360" w:lineRule="auto"/>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联系地址：</w:t>
      </w:r>
      <w:r>
        <w:rPr>
          <w:rFonts w:hint="eastAsia" w:ascii="宋体" w:hAnsi="宋体" w:cs="宋体"/>
          <w:color w:val="auto"/>
          <w:spacing w:val="-3"/>
          <w:sz w:val="24"/>
          <w:highlight w:val="none"/>
          <w:lang w:eastAsia="zh-CN"/>
        </w:rPr>
        <w:t>青海省西宁市城西区胜利路22号地矿花园C座</w:t>
      </w:r>
    </w:p>
    <w:p w14:paraId="4C8E88B0">
      <w:pPr>
        <w:keepNext w:val="0"/>
        <w:keepLines w:val="0"/>
        <w:pageBreakBefore w:val="0"/>
        <w:widowControl w:val="0"/>
        <w:numPr>
          <w:ilvl w:val="0"/>
          <w:numId w:val="0"/>
        </w:numPr>
        <w:kinsoku/>
        <w:wordWrap/>
        <w:overflowPunct/>
        <w:topLinePunct w:val="0"/>
        <w:autoSpaceDE/>
        <w:autoSpaceDN/>
        <w:bidi w:val="0"/>
        <w:adjustRightInd/>
        <w:snapToGrid/>
        <w:spacing w:before="121" w:beforeLines="30" w:line="360" w:lineRule="auto"/>
        <w:ind w:left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2.采购代理机构信息</w:t>
      </w:r>
    </w:p>
    <w:p w14:paraId="2F095097">
      <w:pPr>
        <w:keepNext w:val="0"/>
        <w:keepLines w:val="0"/>
        <w:pageBreakBefore w:val="0"/>
        <w:widowControl w:val="0"/>
        <w:numPr>
          <w:ilvl w:val="0"/>
          <w:numId w:val="0"/>
        </w:numPr>
        <w:kinsoku/>
        <w:wordWrap/>
        <w:overflowPunct/>
        <w:topLinePunct w:val="0"/>
        <w:autoSpaceDE/>
        <w:autoSpaceDN/>
        <w:bidi w:val="0"/>
        <w:adjustRightInd/>
        <w:snapToGrid/>
        <w:spacing w:before="121" w:beforeLines="30" w:line="360" w:lineRule="auto"/>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名 称：青海海际项目咨询管理有限公司</w:t>
      </w:r>
    </w:p>
    <w:p w14:paraId="3FBF3232">
      <w:pPr>
        <w:keepNext w:val="0"/>
        <w:keepLines w:val="0"/>
        <w:pageBreakBefore w:val="0"/>
        <w:widowControl w:val="0"/>
        <w:numPr>
          <w:ilvl w:val="0"/>
          <w:numId w:val="0"/>
        </w:numPr>
        <w:kinsoku/>
        <w:wordWrap/>
        <w:overflowPunct/>
        <w:topLinePunct w:val="0"/>
        <w:autoSpaceDE/>
        <w:autoSpaceDN/>
        <w:bidi w:val="0"/>
        <w:adjustRightInd/>
        <w:snapToGrid/>
        <w:spacing w:before="121" w:beforeLines="30" w:line="360" w:lineRule="auto"/>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地 址：青海省西宁市城西区海湖新区五四西路91号卢浮公馆双子座B座17楼</w:t>
      </w:r>
      <w:r>
        <w:rPr>
          <w:rFonts w:hint="eastAsia" w:ascii="宋体" w:hAnsi="宋体" w:eastAsia="宋体" w:cs="宋体"/>
          <w:color w:val="auto"/>
          <w:sz w:val="24"/>
          <w:szCs w:val="24"/>
          <w:highlight w:val="none"/>
          <w:u w:val="single"/>
          <w:lang w:val="en-US" w:eastAsia="zh-CN"/>
        </w:rPr>
        <w:t xml:space="preserve">         </w:t>
      </w:r>
    </w:p>
    <w:p w14:paraId="06F880AD">
      <w:pPr>
        <w:keepNext w:val="0"/>
        <w:keepLines w:val="0"/>
        <w:pageBreakBefore w:val="0"/>
        <w:widowControl w:val="0"/>
        <w:numPr>
          <w:ilvl w:val="0"/>
          <w:numId w:val="0"/>
        </w:numPr>
        <w:kinsoku/>
        <w:wordWrap/>
        <w:overflowPunct/>
        <w:topLinePunct w:val="0"/>
        <w:autoSpaceDE/>
        <w:autoSpaceDN/>
        <w:bidi w:val="0"/>
        <w:adjustRightInd/>
        <w:snapToGrid/>
        <w:spacing w:before="121" w:beforeLines="30" w:line="360" w:lineRule="auto"/>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联系方式：0971-4327809</w:t>
      </w:r>
    </w:p>
    <w:p w14:paraId="76498524">
      <w:pPr>
        <w:keepNext w:val="0"/>
        <w:keepLines w:val="0"/>
        <w:pageBreakBefore w:val="0"/>
        <w:widowControl w:val="0"/>
        <w:numPr>
          <w:ilvl w:val="0"/>
          <w:numId w:val="0"/>
        </w:numPr>
        <w:kinsoku/>
        <w:wordWrap/>
        <w:overflowPunct/>
        <w:topLinePunct w:val="0"/>
        <w:autoSpaceDE/>
        <w:autoSpaceDN/>
        <w:bidi w:val="0"/>
        <w:adjustRightInd/>
        <w:snapToGrid/>
        <w:spacing w:before="121" w:beforeLines="30" w:line="360" w:lineRule="auto"/>
        <w:ind w:left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3.项目联系方式</w:t>
      </w:r>
    </w:p>
    <w:p w14:paraId="136CD220">
      <w:pPr>
        <w:keepNext w:val="0"/>
        <w:keepLines w:val="0"/>
        <w:pageBreakBefore w:val="0"/>
        <w:widowControl w:val="0"/>
        <w:numPr>
          <w:ilvl w:val="0"/>
          <w:numId w:val="0"/>
        </w:numPr>
        <w:kinsoku/>
        <w:wordWrap/>
        <w:overflowPunct/>
        <w:topLinePunct w:val="0"/>
        <w:autoSpaceDE/>
        <w:autoSpaceDN/>
        <w:bidi w:val="0"/>
        <w:adjustRightInd/>
        <w:snapToGrid/>
        <w:spacing w:before="121" w:beforeLines="30" w:line="360" w:lineRule="auto"/>
        <w:ind w:leftChars="0"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项目联系人：姜婷</w:t>
      </w:r>
    </w:p>
    <w:p w14:paraId="6ACFAE4E">
      <w:pPr>
        <w:keepNext w:val="0"/>
        <w:keepLines w:val="0"/>
        <w:pageBreakBefore w:val="0"/>
        <w:widowControl w:val="0"/>
        <w:numPr>
          <w:ilvl w:val="0"/>
          <w:numId w:val="0"/>
        </w:numPr>
        <w:kinsoku/>
        <w:wordWrap/>
        <w:overflowPunct/>
        <w:topLinePunct w:val="0"/>
        <w:autoSpaceDE/>
        <w:autoSpaceDN/>
        <w:bidi w:val="0"/>
        <w:adjustRightInd/>
        <w:snapToGrid/>
        <w:spacing w:before="121" w:beforeLines="30" w:line="360" w:lineRule="auto"/>
        <w:ind w:leftChars="0"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电话：0971-4327809</w:t>
      </w:r>
      <w:bookmarkStart w:id="2" w:name="_Toc19487"/>
      <w:bookmarkStart w:id="3" w:name="_Toc59135307"/>
      <w:bookmarkStart w:id="4" w:name="_Toc3201"/>
    </w:p>
    <w:p w14:paraId="071AFAA8">
      <w:pPr>
        <w:keepNext w:val="0"/>
        <w:keepLines w:val="0"/>
        <w:pageBreakBefore w:val="0"/>
        <w:widowControl w:val="0"/>
        <w:numPr>
          <w:ilvl w:val="0"/>
          <w:numId w:val="0"/>
        </w:numPr>
        <w:kinsoku/>
        <w:wordWrap/>
        <w:overflowPunct/>
        <w:topLinePunct w:val="0"/>
        <w:autoSpaceDE/>
        <w:autoSpaceDN/>
        <w:bidi w:val="0"/>
        <w:adjustRightInd/>
        <w:snapToGrid/>
        <w:spacing w:before="121" w:beforeLines="30" w:line="360" w:lineRule="auto"/>
        <w:ind w:leftChars="0"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邮箱：</w:t>
      </w:r>
      <w:r>
        <w:rPr>
          <w:rFonts w:hint="eastAsia" w:ascii="宋体" w:hAnsi="宋体" w:eastAsia="宋体" w:cs="宋体"/>
          <w:color w:val="auto"/>
          <w:sz w:val="24"/>
          <w:szCs w:val="24"/>
          <w:highlight w:val="none"/>
          <w:u w:val="none"/>
          <w:lang w:val="en-US" w:eastAsia="zh-CN"/>
        </w:rPr>
        <w:fldChar w:fldCharType="begin"/>
      </w:r>
      <w:r>
        <w:rPr>
          <w:rFonts w:hint="eastAsia" w:ascii="宋体" w:hAnsi="宋体" w:eastAsia="宋体" w:cs="宋体"/>
          <w:color w:val="auto"/>
          <w:sz w:val="24"/>
          <w:szCs w:val="24"/>
          <w:highlight w:val="none"/>
          <w:u w:val="none"/>
          <w:lang w:val="en-US" w:eastAsia="zh-CN"/>
        </w:rPr>
        <w:instrText xml:space="preserve"> HYPERLINK "mailto:hjxmzxgl@163.com" </w:instrText>
      </w:r>
      <w:r>
        <w:rPr>
          <w:rFonts w:hint="eastAsia" w:ascii="宋体" w:hAnsi="宋体" w:eastAsia="宋体" w:cs="宋体"/>
          <w:color w:val="auto"/>
          <w:sz w:val="24"/>
          <w:szCs w:val="24"/>
          <w:highlight w:val="none"/>
          <w:u w:val="none"/>
          <w:lang w:val="en-US" w:eastAsia="zh-CN"/>
        </w:rPr>
        <w:fldChar w:fldCharType="separate"/>
      </w:r>
      <w:r>
        <w:rPr>
          <w:rFonts w:hint="eastAsia" w:ascii="宋体" w:hAnsi="宋体" w:eastAsia="宋体" w:cs="宋体"/>
          <w:color w:val="auto"/>
          <w:sz w:val="24"/>
          <w:szCs w:val="24"/>
          <w:highlight w:val="none"/>
          <w:u w:val="none"/>
          <w:lang w:val="en-US" w:eastAsia="zh-CN"/>
        </w:rPr>
        <w:t>hjxmzxgl@163.com</w:t>
      </w:r>
      <w:r>
        <w:rPr>
          <w:rFonts w:hint="eastAsia" w:ascii="宋体" w:hAnsi="宋体" w:eastAsia="宋体" w:cs="宋体"/>
          <w:color w:val="auto"/>
          <w:sz w:val="24"/>
          <w:szCs w:val="24"/>
          <w:highlight w:val="none"/>
          <w:u w:val="none"/>
          <w:lang w:val="en-US" w:eastAsia="zh-CN"/>
        </w:rPr>
        <w:fldChar w:fldCharType="end"/>
      </w:r>
    </w:p>
    <w:p w14:paraId="5B70E1D5">
      <w:pPr>
        <w:keepNext w:val="0"/>
        <w:keepLines w:val="0"/>
        <w:pageBreakBefore w:val="0"/>
        <w:widowControl w:val="0"/>
        <w:numPr>
          <w:ilvl w:val="0"/>
          <w:numId w:val="0"/>
        </w:numPr>
        <w:kinsoku/>
        <w:wordWrap/>
        <w:overflowPunct/>
        <w:topLinePunct w:val="0"/>
        <w:autoSpaceDE/>
        <w:autoSpaceDN/>
        <w:bidi w:val="0"/>
        <w:adjustRightInd/>
        <w:snapToGrid/>
        <w:spacing w:before="121" w:beforeLines="30" w:line="360" w:lineRule="auto"/>
        <w:ind w:leftChars="0"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4.财政监督部门及电话</w:t>
      </w:r>
    </w:p>
    <w:p w14:paraId="40B52111">
      <w:pPr>
        <w:keepNext w:val="0"/>
        <w:keepLines w:val="0"/>
        <w:pageBreakBefore w:val="0"/>
        <w:widowControl w:val="0"/>
        <w:numPr>
          <w:ilvl w:val="0"/>
          <w:numId w:val="0"/>
        </w:numPr>
        <w:kinsoku/>
        <w:wordWrap/>
        <w:overflowPunct/>
        <w:topLinePunct w:val="0"/>
        <w:autoSpaceDE/>
        <w:autoSpaceDN/>
        <w:bidi w:val="0"/>
        <w:adjustRightInd/>
        <w:snapToGrid/>
        <w:spacing w:before="121" w:beforeLines="30" w:line="360" w:lineRule="auto"/>
        <w:ind w:leftChars="0"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单位名称：青海省财政厅</w:t>
      </w:r>
    </w:p>
    <w:p w14:paraId="41258D6F">
      <w:pPr>
        <w:keepNext w:val="0"/>
        <w:keepLines w:val="0"/>
        <w:pageBreakBefore w:val="0"/>
        <w:widowControl w:val="0"/>
        <w:numPr>
          <w:ilvl w:val="0"/>
          <w:numId w:val="0"/>
        </w:numPr>
        <w:kinsoku/>
        <w:wordWrap/>
        <w:overflowPunct/>
        <w:topLinePunct w:val="0"/>
        <w:autoSpaceDE/>
        <w:autoSpaceDN/>
        <w:bidi w:val="0"/>
        <w:adjustRightInd/>
        <w:snapToGrid/>
        <w:spacing w:before="121" w:beforeLines="30" w:line="360" w:lineRule="auto"/>
        <w:ind w:leftChars="0"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联系电话：0971-366035</w:t>
      </w:r>
      <w:r>
        <w:rPr>
          <w:rFonts w:hint="eastAsia" w:ascii="宋体" w:hAnsi="宋体" w:cs="宋体"/>
          <w:color w:val="auto"/>
          <w:sz w:val="24"/>
          <w:szCs w:val="24"/>
          <w:highlight w:val="none"/>
          <w:u w:val="none"/>
          <w:lang w:val="en-US" w:eastAsia="zh-CN"/>
        </w:rPr>
        <w:t>6</w:t>
      </w:r>
    </w:p>
    <w:p w14:paraId="1CB19243">
      <w:pPr>
        <w:keepNext w:val="0"/>
        <w:keepLines w:val="0"/>
        <w:pageBreakBefore w:val="0"/>
        <w:widowControl w:val="0"/>
        <w:numPr>
          <w:ilvl w:val="0"/>
          <w:numId w:val="0"/>
        </w:numPr>
        <w:kinsoku/>
        <w:wordWrap/>
        <w:overflowPunct/>
        <w:topLinePunct w:val="0"/>
        <w:autoSpaceDE/>
        <w:autoSpaceDN/>
        <w:bidi w:val="0"/>
        <w:adjustRightInd/>
        <w:snapToGrid/>
        <w:spacing w:before="121" w:beforeLines="30" w:line="360" w:lineRule="auto"/>
        <w:ind w:leftChars="0" w:firstLine="720" w:firstLineChars="200"/>
        <w:textAlignment w:val="auto"/>
        <w:rPr>
          <w:rFonts w:ascii="Arial" w:hAnsi="Arial" w:cs="Arial"/>
          <w:color w:val="auto"/>
          <w:highlight w:val="none"/>
          <w:lang w:val="zh-CN"/>
        </w:rPr>
      </w:pPr>
      <w:r>
        <w:rPr>
          <w:rFonts w:hint="eastAsia" w:ascii="宋体" w:hAnsi="宋体" w:eastAsia="宋体" w:cs="宋体"/>
          <w:color w:val="auto"/>
          <w:sz w:val="36"/>
          <w:highlight w:val="none"/>
          <w:lang w:val="zh-CN"/>
        </w:rPr>
        <w:br w:type="page"/>
      </w:r>
      <w:r>
        <w:rPr>
          <w:rFonts w:hint="eastAsia" w:cs="Arial"/>
          <w:color w:val="auto"/>
          <w:sz w:val="36"/>
          <w:highlight w:val="none"/>
          <w:lang w:val="en-US" w:eastAsia="zh-CN"/>
        </w:rPr>
        <w:t xml:space="preserve">      </w:t>
      </w:r>
      <w:r>
        <w:rPr>
          <w:rFonts w:hint="eastAsia" w:ascii="宋体" w:hAnsi="宋体" w:eastAsia="宋体" w:cs="Arial"/>
          <w:b/>
          <w:bCs/>
          <w:color w:val="auto"/>
          <w:kern w:val="2"/>
          <w:sz w:val="36"/>
          <w:szCs w:val="32"/>
          <w:highlight w:val="none"/>
          <w:lang w:val="en-US" w:eastAsia="zh-CN" w:bidi="ar-SA"/>
        </w:rPr>
        <w:t xml:space="preserve">     </w:t>
      </w:r>
      <w:bookmarkStart w:id="5" w:name="_Toc105"/>
      <w:r>
        <w:rPr>
          <w:rFonts w:hint="eastAsia" w:ascii="宋体" w:hAnsi="宋体" w:eastAsia="宋体" w:cs="Arial"/>
          <w:b/>
          <w:bCs/>
          <w:color w:val="auto"/>
          <w:kern w:val="2"/>
          <w:sz w:val="36"/>
          <w:szCs w:val="32"/>
          <w:highlight w:val="none"/>
          <w:lang w:val="zh-CN" w:eastAsia="zh-CN" w:bidi="ar-SA"/>
        </w:rPr>
        <w:t>第二部分  供应商须知前附表</w:t>
      </w:r>
      <w:bookmarkEnd w:id="2"/>
      <w:bookmarkEnd w:id="3"/>
      <w:bookmarkEnd w:id="4"/>
      <w:bookmarkEnd w:id="5"/>
    </w:p>
    <w:tbl>
      <w:tblPr>
        <w:tblStyle w:val="35"/>
        <w:tblW w:w="9137" w:type="dxa"/>
        <w:jc w:val="center"/>
        <w:tblLayout w:type="fixed"/>
        <w:tblCellMar>
          <w:top w:w="0" w:type="dxa"/>
          <w:left w:w="57" w:type="dxa"/>
          <w:bottom w:w="0" w:type="dxa"/>
          <w:right w:w="57" w:type="dxa"/>
        </w:tblCellMar>
      </w:tblPr>
      <w:tblGrid>
        <w:gridCol w:w="798"/>
        <w:gridCol w:w="1617"/>
        <w:gridCol w:w="6722"/>
      </w:tblGrid>
      <w:tr w14:paraId="0440349C">
        <w:tblPrEx>
          <w:tblCellMar>
            <w:top w:w="0" w:type="dxa"/>
            <w:left w:w="57" w:type="dxa"/>
            <w:bottom w:w="0" w:type="dxa"/>
            <w:right w:w="57" w:type="dxa"/>
          </w:tblCellMar>
        </w:tblPrEx>
        <w:trPr>
          <w:trHeight w:val="454" w:hRule="atLeast"/>
          <w:jc w:val="center"/>
        </w:trPr>
        <w:tc>
          <w:tcPr>
            <w:tcW w:w="798" w:type="dxa"/>
            <w:tcBorders>
              <w:top w:val="single" w:color="000000" w:sz="6" w:space="0"/>
              <w:left w:val="single" w:color="000000" w:sz="6" w:space="0"/>
              <w:bottom w:val="single" w:color="000000" w:sz="6" w:space="0"/>
              <w:right w:val="single" w:color="000000" w:sz="6" w:space="0"/>
            </w:tcBorders>
            <w:vAlign w:val="center"/>
          </w:tcPr>
          <w:p w14:paraId="63B8EDB9">
            <w:pPr>
              <w:pageBreakBefore w:val="0"/>
              <w:kinsoku/>
              <w:wordWrap/>
              <w:overflowPunct/>
              <w:topLinePunct w:val="0"/>
              <w:autoSpaceDE w:val="0"/>
              <w:autoSpaceDN w:val="0"/>
              <w:bidi w:val="0"/>
              <w:adjustRightInd w:val="0"/>
              <w:snapToGrid w:val="0"/>
              <w:spacing w:before="121" w:beforeLines="30" w:after="72" w:afterLines="30" w:line="312" w:lineRule="auto"/>
              <w:jc w:val="center"/>
              <w:textAlignment w:val="auto"/>
              <w:rPr>
                <w:rFonts w:cs="Arial"/>
                <w:color w:val="auto"/>
                <w:szCs w:val="24"/>
                <w:highlight w:val="none"/>
                <w:lang w:val="zh-CN"/>
              </w:rPr>
            </w:pPr>
            <w:r>
              <w:rPr>
                <w:rFonts w:cs="Arial"/>
                <w:b/>
                <w:bCs/>
                <w:color w:val="auto"/>
                <w:szCs w:val="24"/>
                <w:highlight w:val="none"/>
                <w:lang w:val="zh-CN"/>
              </w:rPr>
              <w:t>序号</w:t>
            </w:r>
          </w:p>
        </w:tc>
        <w:tc>
          <w:tcPr>
            <w:tcW w:w="8339" w:type="dxa"/>
            <w:gridSpan w:val="2"/>
            <w:tcBorders>
              <w:top w:val="single" w:color="000000" w:sz="6" w:space="0"/>
              <w:left w:val="single" w:color="000000" w:sz="6" w:space="0"/>
              <w:bottom w:val="single" w:color="000000" w:sz="6" w:space="0"/>
              <w:right w:val="single" w:color="000000" w:sz="6" w:space="0"/>
            </w:tcBorders>
            <w:vAlign w:val="center"/>
          </w:tcPr>
          <w:p w14:paraId="3ED05201">
            <w:pPr>
              <w:pageBreakBefore w:val="0"/>
              <w:kinsoku/>
              <w:wordWrap/>
              <w:overflowPunct/>
              <w:topLinePunct w:val="0"/>
              <w:autoSpaceDE w:val="0"/>
              <w:autoSpaceDN w:val="0"/>
              <w:bidi w:val="0"/>
              <w:adjustRightInd w:val="0"/>
              <w:snapToGrid w:val="0"/>
              <w:spacing w:before="121" w:beforeLines="30" w:after="72" w:afterLines="30" w:line="312" w:lineRule="auto"/>
              <w:jc w:val="center"/>
              <w:textAlignment w:val="auto"/>
              <w:rPr>
                <w:rFonts w:cs="Arial"/>
                <w:color w:val="auto"/>
                <w:szCs w:val="24"/>
                <w:highlight w:val="none"/>
                <w:lang w:val="zh-CN"/>
              </w:rPr>
            </w:pPr>
            <w:r>
              <w:rPr>
                <w:rFonts w:cs="Arial"/>
                <w:b/>
                <w:bCs/>
                <w:color w:val="auto"/>
                <w:szCs w:val="24"/>
                <w:highlight w:val="none"/>
                <w:lang w:val="zh-CN"/>
              </w:rPr>
              <w:t>内容</w:t>
            </w:r>
          </w:p>
        </w:tc>
      </w:tr>
      <w:tr w14:paraId="4F6698F3">
        <w:tblPrEx>
          <w:tblCellMar>
            <w:top w:w="0" w:type="dxa"/>
            <w:left w:w="57" w:type="dxa"/>
            <w:bottom w:w="0" w:type="dxa"/>
            <w:right w:w="57" w:type="dxa"/>
          </w:tblCellMar>
        </w:tblPrEx>
        <w:trPr>
          <w:trHeight w:val="454" w:hRule="atLeast"/>
          <w:jc w:val="center"/>
        </w:trPr>
        <w:tc>
          <w:tcPr>
            <w:tcW w:w="798" w:type="dxa"/>
            <w:tcBorders>
              <w:top w:val="single" w:color="000000" w:sz="6" w:space="0"/>
              <w:left w:val="single" w:color="000000" w:sz="6" w:space="0"/>
              <w:bottom w:val="single" w:color="000000" w:sz="6" w:space="0"/>
              <w:right w:val="single" w:color="000000" w:sz="6" w:space="0"/>
            </w:tcBorders>
            <w:vAlign w:val="center"/>
          </w:tcPr>
          <w:p w14:paraId="4128FC4B">
            <w:pPr>
              <w:pageBreakBefore w:val="0"/>
              <w:widowControl w:val="0"/>
              <w:numPr>
                <w:ilvl w:val="0"/>
                <w:numId w:val="4"/>
              </w:numPr>
              <w:tabs>
                <w:tab w:val="left" w:pos="95"/>
              </w:tabs>
              <w:kinsoku/>
              <w:wordWrap/>
              <w:overflowPunct/>
              <w:topLinePunct w:val="0"/>
              <w:autoSpaceDE w:val="0"/>
              <w:autoSpaceDN w:val="0"/>
              <w:bidi w:val="0"/>
              <w:adjustRightInd w:val="0"/>
              <w:snapToGrid w:val="0"/>
              <w:spacing w:before="121" w:beforeLines="30" w:after="72" w:afterLines="30" w:line="312" w:lineRule="auto"/>
              <w:ind w:left="180" w:hanging="180"/>
              <w:jc w:val="center"/>
              <w:textAlignment w:val="auto"/>
              <w:rPr>
                <w:rFonts w:cs="Arial"/>
                <w:color w:val="auto"/>
                <w:szCs w:val="24"/>
                <w:highlight w:val="none"/>
              </w:rPr>
            </w:pPr>
          </w:p>
        </w:tc>
        <w:tc>
          <w:tcPr>
            <w:tcW w:w="1617" w:type="dxa"/>
            <w:tcBorders>
              <w:top w:val="single" w:color="000000" w:sz="6" w:space="0"/>
              <w:left w:val="single" w:color="000000" w:sz="6" w:space="0"/>
              <w:bottom w:val="single" w:color="000000" w:sz="6" w:space="0"/>
              <w:right w:val="single" w:color="000000" w:sz="6" w:space="0"/>
            </w:tcBorders>
            <w:vAlign w:val="center"/>
          </w:tcPr>
          <w:p w14:paraId="4FD45F0C">
            <w:pPr>
              <w:pageBreakBefore w:val="0"/>
              <w:kinsoku/>
              <w:wordWrap/>
              <w:overflowPunct/>
              <w:topLinePunct w:val="0"/>
              <w:autoSpaceDE w:val="0"/>
              <w:autoSpaceDN w:val="0"/>
              <w:bidi w:val="0"/>
              <w:adjustRightInd w:val="0"/>
              <w:snapToGrid w:val="0"/>
              <w:spacing w:before="121" w:beforeLines="30" w:after="72" w:afterLines="30" w:line="312" w:lineRule="auto"/>
              <w:jc w:val="center"/>
              <w:textAlignment w:val="auto"/>
              <w:rPr>
                <w:rFonts w:cs="Arial"/>
                <w:color w:val="auto"/>
                <w:szCs w:val="24"/>
                <w:highlight w:val="none"/>
              </w:rPr>
            </w:pPr>
            <w:r>
              <w:rPr>
                <w:rFonts w:hint="eastAsia" w:cs="Arial"/>
                <w:color w:val="auto"/>
                <w:szCs w:val="24"/>
                <w:highlight w:val="none"/>
              </w:rPr>
              <w:t>采购项目编号</w:t>
            </w:r>
          </w:p>
        </w:tc>
        <w:tc>
          <w:tcPr>
            <w:tcW w:w="6722" w:type="dxa"/>
            <w:tcBorders>
              <w:top w:val="single" w:color="000000" w:sz="6" w:space="0"/>
              <w:left w:val="single" w:color="000000" w:sz="6" w:space="0"/>
              <w:bottom w:val="single" w:color="000000" w:sz="6" w:space="0"/>
              <w:right w:val="single" w:color="000000" w:sz="6" w:space="0"/>
            </w:tcBorders>
            <w:vAlign w:val="center"/>
          </w:tcPr>
          <w:p w14:paraId="3F973B88">
            <w:pPr>
              <w:pageBreakBefore w:val="0"/>
              <w:kinsoku/>
              <w:wordWrap/>
              <w:overflowPunct/>
              <w:topLinePunct w:val="0"/>
              <w:autoSpaceDE w:val="0"/>
              <w:autoSpaceDN w:val="0"/>
              <w:bidi w:val="0"/>
              <w:adjustRightInd w:val="0"/>
              <w:snapToGrid w:val="0"/>
              <w:spacing w:before="121" w:beforeLines="30" w:after="72" w:afterLines="30" w:line="312" w:lineRule="auto"/>
              <w:textAlignment w:val="auto"/>
              <w:rPr>
                <w:rFonts w:hint="eastAsia" w:eastAsia="宋体" w:cs="Arial"/>
                <w:color w:val="auto"/>
                <w:szCs w:val="24"/>
                <w:highlight w:val="none"/>
                <w:lang w:eastAsia="zh-CN"/>
              </w:rPr>
            </w:pPr>
            <w:r>
              <w:rPr>
                <w:rFonts w:hint="eastAsia" w:cs="Arial"/>
                <w:bCs/>
                <w:color w:val="auto"/>
                <w:szCs w:val="24"/>
                <w:highlight w:val="none"/>
                <w:lang w:eastAsia="zh-CN"/>
              </w:rPr>
              <w:t>青海海际竞磋（服务）2026-037</w:t>
            </w:r>
          </w:p>
        </w:tc>
      </w:tr>
      <w:tr w14:paraId="22DF9E86">
        <w:tblPrEx>
          <w:tblCellMar>
            <w:top w:w="0" w:type="dxa"/>
            <w:left w:w="57" w:type="dxa"/>
            <w:bottom w:w="0" w:type="dxa"/>
            <w:right w:w="57" w:type="dxa"/>
          </w:tblCellMar>
        </w:tblPrEx>
        <w:trPr>
          <w:trHeight w:val="454" w:hRule="atLeast"/>
          <w:jc w:val="center"/>
        </w:trPr>
        <w:tc>
          <w:tcPr>
            <w:tcW w:w="798" w:type="dxa"/>
            <w:tcBorders>
              <w:top w:val="single" w:color="000000" w:sz="6" w:space="0"/>
              <w:left w:val="single" w:color="000000" w:sz="6" w:space="0"/>
              <w:bottom w:val="single" w:color="000000" w:sz="6" w:space="0"/>
              <w:right w:val="single" w:color="000000" w:sz="6" w:space="0"/>
            </w:tcBorders>
            <w:vAlign w:val="center"/>
          </w:tcPr>
          <w:p w14:paraId="18BA58D5">
            <w:pPr>
              <w:pageBreakBefore w:val="0"/>
              <w:widowControl w:val="0"/>
              <w:numPr>
                <w:ilvl w:val="0"/>
                <w:numId w:val="4"/>
              </w:numPr>
              <w:tabs>
                <w:tab w:val="left" w:pos="95"/>
              </w:tabs>
              <w:kinsoku/>
              <w:wordWrap/>
              <w:overflowPunct/>
              <w:topLinePunct w:val="0"/>
              <w:autoSpaceDE w:val="0"/>
              <w:autoSpaceDN w:val="0"/>
              <w:bidi w:val="0"/>
              <w:adjustRightInd w:val="0"/>
              <w:snapToGrid w:val="0"/>
              <w:spacing w:before="121" w:beforeLines="30" w:after="72" w:afterLines="30" w:line="312" w:lineRule="auto"/>
              <w:ind w:left="180" w:hanging="180"/>
              <w:jc w:val="center"/>
              <w:textAlignment w:val="auto"/>
              <w:rPr>
                <w:rFonts w:cs="Arial"/>
                <w:color w:val="auto"/>
                <w:szCs w:val="24"/>
                <w:highlight w:val="none"/>
              </w:rPr>
            </w:pPr>
          </w:p>
        </w:tc>
        <w:tc>
          <w:tcPr>
            <w:tcW w:w="1617" w:type="dxa"/>
            <w:tcBorders>
              <w:top w:val="single" w:color="000000" w:sz="6" w:space="0"/>
              <w:left w:val="single" w:color="000000" w:sz="6" w:space="0"/>
              <w:bottom w:val="single" w:color="000000" w:sz="6" w:space="0"/>
              <w:right w:val="single" w:color="000000" w:sz="6" w:space="0"/>
            </w:tcBorders>
            <w:vAlign w:val="center"/>
          </w:tcPr>
          <w:p w14:paraId="370E7E6A">
            <w:pPr>
              <w:pageBreakBefore w:val="0"/>
              <w:kinsoku/>
              <w:wordWrap/>
              <w:overflowPunct/>
              <w:topLinePunct w:val="0"/>
              <w:autoSpaceDE w:val="0"/>
              <w:autoSpaceDN w:val="0"/>
              <w:bidi w:val="0"/>
              <w:adjustRightInd w:val="0"/>
              <w:snapToGrid w:val="0"/>
              <w:spacing w:before="121" w:beforeLines="30" w:after="72" w:afterLines="30" w:line="312" w:lineRule="auto"/>
              <w:jc w:val="center"/>
              <w:textAlignment w:val="auto"/>
              <w:rPr>
                <w:rFonts w:cs="Arial"/>
                <w:color w:val="auto"/>
                <w:szCs w:val="24"/>
                <w:highlight w:val="none"/>
              </w:rPr>
            </w:pPr>
            <w:r>
              <w:rPr>
                <w:rFonts w:cs="Arial"/>
                <w:color w:val="auto"/>
                <w:szCs w:val="24"/>
                <w:highlight w:val="none"/>
              </w:rPr>
              <w:t>采购项目名称</w:t>
            </w:r>
          </w:p>
        </w:tc>
        <w:tc>
          <w:tcPr>
            <w:tcW w:w="6722" w:type="dxa"/>
            <w:tcBorders>
              <w:top w:val="single" w:color="000000" w:sz="6" w:space="0"/>
              <w:left w:val="single" w:color="000000" w:sz="6" w:space="0"/>
              <w:bottom w:val="single" w:color="000000" w:sz="6" w:space="0"/>
              <w:right w:val="single" w:color="000000" w:sz="6" w:space="0"/>
            </w:tcBorders>
            <w:vAlign w:val="center"/>
          </w:tcPr>
          <w:p w14:paraId="06410CE8">
            <w:pPr>
              <w:pageBreakBefore w:val="0"/>
              <w:kinsoku/>
              <w:wordWrap/>
              <w:overflowPunct/>
              <w:topLinePunct w:val="0"/>
              <w:autoSpaceDE w:val="0"/>
              <w:autoSpaceDN w:val="0"/>
              <w:bidi w:val="0"/>
              <w:adjustRightInd w:val="0"/>
              <w:snapToGrid w:val="0"/>
              <w:spacing w:before="121" w:beforeLines="30" w:after="72" w:afterLines="30" w:line="312" w:lineRule="auto"/>
              <w:textAlignment w:val="auto"/>
              <w:rPr>
                <w:rFonts w:hint="eastAsia" w:eastAsia="宋体" w:cs="Arial"/>
                <w:color w:val="auto"/>
                <w:szCs w:val="24"/>
                <w:highlight w:val="none"/>
                <w:lang w:eastAsia="zh-CN"/>
              </w:rPr>
            </w:pPr>
            <w:r>
              <w:rPr>
                <w:rFonts w:hint="eastAsia" w:asciiTheme="minorEastAsia" w:hAnsiTheme="minorEastAsia" w:eastAsiaTheme="minorEastAsia" w:cstheme="minorEastAsia"/>
                <w:color w:val="auto"/>
                <w:szCs w:val="24"/>
                <w:highlight w:val="none"/>
                <w:lang w:eastAsia="zh-CN"/>
              </w:rPr>
              <w:t>青海省成矿远景区划</w:t>
            </w:r>
            <w:r>
              <w:rPr>
                <w:rFonts w:hint="eastAsia" w:cs="Arial"/>
                <w:color w:val="auto"/>
                <w:szCs w:val="24"/>
                <w:highlight w:val="none"/>
                <w:lang w:eastAsia="zh-CN"/>
              </w:rPr>
              <w:t xml:space="preserve"> </w:t>
            </w:r>
          </w:p>
        </w:tc>
      </w:tr>
      <w:tr w14:paraId="01F1C00A">
        <w:tblPrEx>
          <w:tblCellMar>
            <w:top w:w="0" w:type="dxa"/>
            <w:left w:w="57" w:type="dxa"/>
            <w:bottom w:w="0" w:type="dxa"/>
            <w:right w:w="57" w:type="dxa"/>
          </w:tblCellMar>
        </w:tblPrEx>
        <w:trPr>
          <w:trHeight w:val="454" w:hRule="atLeast"/>
          <w:jc w:val="center"/>
        </w:trPr>
        <w:tc>
          <w:tcPr>
            <w:tcW w:w="798" w:type="dxa"/>
            <w:tcBorders>
              <w:top w:val="single" w:color="000000" w:sz="6" w:space="0"/>
              <w:left w:val="single" w:color="000000" w:sz="6" w:space="0"/>
              <w:bottom w:val="single" w:color="000000" w:sz="6" w:space="0"/>
              <w:right w:val="single" w:color="000000" w:sz="6" w:space="0"/>
            </w:tcBorders>
            <w:vAlign w:val="center"/>
          </w:tcPr>
          <w:p w14:paraId="30676799">
            <w:pPr>
              <w:pageBreakBefore w:val="0"/>
              <w:widowControl w:val="0"/>
              <w:numPr>
                <w:ilvl w:val="0"/>
                <w:numId w:val="4"/>
              </w:numPr>
              <w:tabs>
                <w:tab w:val="left" w:pos="95"/>
              </w:tabs>
              <w:kinsoku/>
              <w:wordWrap/>
              <w:overflowPunct/>
              <w:topLinePunct w:val="0"/>
              <w:autoSpaceDE w:val="0"/>
              <w:autoSpaceDN w:val="0"/>
              <w:bidi w:val="0"/>
              <w:adjustRightInd w:val="0"/>
              <w:snapToGrid w:val="0"/>
              <w:spacing w:before="121" w:beforeLines="30" w:after="72" w:afterLines="30" w:line="312" w:lineRule="auto"/>
              <w:ind w:left="180" w:hanging="180"/>
              <w:jc w:val="center"/>
              <w:textAlignment w:val="auto"/>
              <w:rPr>
                <w:rFonts w:cs="Arial"/>
                <w:color w:val="auto"/>
                <w:szCs w:val="24"/>
                <w:highlight w:val="none"/>
              </w:rPr>
            </w:pPr>
          </w:p>
        </w:tc>
        <w:tc>
          <w:tcPr>
            <w:tcW w:w="1617" w:type="dxa"/>
            <w:tcBorders>
              <w:top w:val="single" w:color="000000" w:sz="6" w:space="0"/>
              <w:left w:val="single" w:color="000000" w:sz="6" w:space="0"/>
              <w:bottom w:val="single" w:color="000000" w:sz="6" w:space="0"/>
              <w:right w:val="single" w:color="000000" w:sz="6" w:space="0"/>
            </w:tcBorders>
            <w:vAlign w:val="center"/>
          </w:tcPr>
          <w:p w14:paraId="2FDB08BC">
            <w:pPr>
              <w:pageBreakBefore w:val="0"/>
              <w:kinsoku/>
              <w:wordWrap/>
              <w:overflowPunct/>
              <w:topLinePunct w:val="0"/>
              <w:autoSpaceDE w:val="0"/>
              <w:autoSpaceDN w:val="0"/>
              <w:bidi w:val="0"/>
              <w:adjustRightInd w:val="0"/>
              <w:snapToGrid w:val="0"/>
              <w:spacing w:before="121" w:beforeLines="30" w:after="72" w:afterLines="30" w:line="312" w:lineRule="auto"/>
              <w:jc w:val="center"/>
              <w:textAlignment w:val="auto"/>
              <w:rPr>
                <w:rFonts w:cs="Arial"/>
                <w:color w:val="auto"/>
                <w:szCs w:val="24"/>
                <w:highlight w:val="none"/>
              </w:rPr>
            </w:pPr>
            <w:r>
              <w:rPr>
                <w:rFonts w:cs="Arial"/>
                <w:color w:val="auto"/>
                <w:szCs w:val="24"/>
                <w:highlight w:val="none"/>
              </w:rPr>
              <w:t>采购人</w:t>
            </w:r>
          </w:p>
        </w:tc>
        <w:tc>
          <w:tcPr>
            <w:tcW w:w="6722" w:type="dxa"/>
            <w:tcBorders>
              <w:top w:val="single" w:color="000000" w:sz="6" w:space="0"/>
              <w:left w:val="single" w:color="000000" w:sz="6" w:space="0"/>
              <w:bottom w:val="single" w:color="000000" w:sz="6" w:space="0"/>
              <w:right w:val="single" w:color="000000" w:sz="6" w:space="0"/>
            </w:tcBorders>
            <w:vAlign w:val="center"/>
          </w:tcPr>
          <w:p w14:paraId="1027CE51">
            <w:pPr>
              <w:pageBreakBefore w:val="0"/>
              <w:kinsoku/>
              <w:wordWrap/>
              <w:overflowPunct/>
              <w:topLinePunct w:val="0"/>
              <w:autoSpaceDE w:val="0"/>
              <w:autoSpaceDN w:val="0"/>
              <w:bidi w:val="0"/>
              <w:adjustRightInd w:val="0"/>
              <w:snapToGrid w:val="0"/>
              <w:spacing w:before="121" w:beforeLines="30" w:after="72" w:afterLines="30" w:line="312" w:lineRule="auto"/>
              <w:textAlignment w:val="auto"/>
              <w:rPr>
                <w:rFonts w:hint="eastAsia"/>
                <w:color w:val="auto"/>
                <w:highlight w:val="none"/>
                <w:lang w:eastAsia="zh-CN"/>
              </w:rPr>
            </w:pPr>
            <w:r>
              <w:rPr>
                <w:rFonts w:hint="eastAsia" w:ascii="宋体" w:hAnsi="宋体" w:cs="宋体"/>
                <w:color w:val="auto"/>
                <w:sz w:val="24"/>
                <w:szCs w:val="24"/>
                <w:highlight w:val="none"/>
                <w:u w:val="none"/>
                <w:lang w:val="en-US" w:eastAsia="zh-CN"/>
              </w:rPr>
              <w:t>青海省地质调查局</w:t>
            </w:r>
          </w:p>
        </w:tc>
      </w:tr>
      <w:tr w14:paraId="14D06041">
        <w:tblPrEx>
          <w:tblCellMar>
            <w:top w:w="0" w:type="dxa"/>
            <w:left w:w="57" w:type="dxa"/>
            <w:bottom w:w="0" w:type="dxa"/>
            <w:right w:w="57" w:type="dxa"/>
          </w:tblCellMar>
        </w:tblPrEx>
        <w:trPr>
          <w:trHeight w:val="454" w:hRule="atLeast"/>
          <w:jc w:val="center"/>
        </w:trPr>
        <w:tc>
          <w:tcPr>
            <w:tcW w:w="798" w:type="dxa"/>
            <w:tcBorders>
              <w:top w:val="single" w:color="000000" w:sz="6" w:space="0"/>
              <w:left w:val="single" w:color="000000" w:sz="6" w:space="0"/>
              <w:bottom w:val="single" w:color="000000" w:sz="6" w:space="0"/>
              <w:right w:val="single" w:color="000000" w:sz="6" w:space="0"/>
            </w:tcBorders>
            <w:vAlign w:val="center"/>
          </w:tcPr>
          <w:p w14:paraId="553EA126">
            <w:pPr>
              <w:pageBreakBefore w:val="0"/>
              <w:widowControl w:val="0"/>
              <w:numPr>
                <w:ilvl w:val="0"/>
                <w:numId w:val="4"/>
              </w:numPr>
              <w:tabs>
                <w:tab w:val="left" w:pos="95"/>
              </w:tabs>
              <w:kinsoku/>
              <w:wordWrap/>
              <w:overflowPunct/>
              <w:topLinePunct w:val="0"/>
              <w:autoSpaceDE w:val="0"/>
              <w:autoSpaceDN w:val="0"/>
              <w:bidi w:val="0"/>
              <w:adjustRightInd w:val="0"/>
              <w:snapToGrid w:val="0"/>
              <w:spacing w:before="121" w:beforeLines="30" w:after="72" w:afterLines="30" w:line="312" w:lineRule="auto"/>
              <w:ind w:left="180" w:hanging="180"/>
              <w:jc w:val="center"/>
              <w:textAlignment w:val="auto"/>
              <w:rPr>
                <w:rFonts w:cs="Arial"/>
                <w:color w:val="auto"/>
                <w:szCs w:val="24"/>
                <w:highlight w:val="none"/>
              </w:rPr>
            </w:pPr>
          </w:p>
        </w:tc>
        <w:tc>
          <w:tcPr>
            <w:tcW w:w="1617" w:type="dxa"/>
            <w:tcBorders>
              <w:top w:val="single" w:color="000000" w:sz="6" w:space="0"/>
              <w:left w:val="single" w:color="000000" w:sz="6" w:space="0"/>
              <w:bottom w:val="single" w:color="000000" w:sz="6" w:space="0"/>
              <w:right w:val="single" w:color="000000" w:sz="6" w:space="0"/>
            </w:tcBorders>
            <w:vAlign w:val="center"/>
          </w:tcPr>
          <w:p w14:paraId="39522096">
            <w:pPr>
              <w:pageBreakBefore w:val="0"/>
              <w:kinsoku/>
              <w:wordWrap/>
              <w:overflowPunct/>
              <w:topLinePunct w:val="0"/>
              <w:autoSpaceDE w:val="0"/>
              <w:autoSpaceDN w:val="0"/>
              <w:bidi w:val="0"/>
              <w:adjustRightInd w:val="0"/>
              <w:snapToGrid w:val="0"/>
              <w:spacing w:before="121" w:beforeLines="30" w:after="72" w:afterLines="30" w:line="312" w:lineRule="auto"/>
              <w:jc w:val="center"/>
              <w:textAlignment w:val="auto"/>
              <w:rPr>
                <w:rFonts w:cs="Arial"/>
                <w:color w:val="auto"/>
                <w:szCs w:val="24"/>
                <w:highlight w:val="none"/>
              </w:rPr>
            </w:pPr>
            <w:r>
              <w:rPr>
                <w:rFonts w:cs="Arial"/>
                <w:color w:val="auto"/>
                <w:szCs w:val="24"/>
                <w:highlight w:val="none"/>
              </w:rPr>
              <w:t>采购代理机构</w:t>
            </w:r>
          </w:p>
        </w:tc>
        <w:tc>
          <w:tcPr>
            <w:tcW w:w="6722" w:type="dxa"/>
            <w:tcBorders>
              <w:top w:val="single" w:color="000000" w:sz="6" w:space="0"/>
              <w:left w:val="single" w:color="000000" w:sz="6" w:space="0"/>
              <w:bottom w:val="single" w:color="000000" w:sz="6" w:space="0"/>
              <w:right w:val="single" w:color="000000" w:sz="6" w:space="0"/>
            </w:tcBorders>
            <w:vAlign w:val="center"/>
          </w:tcPr>
          <w:p w14:paraId="495F6345">
            <w:pPr>
              <w:pageBreakBefore w:val="0"/>
              <w:kinsoku/>
              <w:wordWrap/>
              <w:overflowPunct/>
              <w:topLinePunct w:val="0"/>
              <w:autoSpaceDE w:val="0"/>
              <w:autoSpaceDN w:val="0"/>
              <w:bidi w:val="0"/>
              <w:adjustRightInd w:val="0"/>
              <w:snapToGrid w:val="0"/>
              <w:spacing w:before="121" w:beforeLines="30" w:after="72" w:afterLines="30" w:line="312" w:lineRule="auto"/>
              <w:textAlignment w:val="auto"/>
              <w:rPr>
                <w:rFonts w:cs="Arial"/>
                <w:color w:val="auto"/>
                <w:szCs w:val="24"/>
                <w:highlight w:val="none"/>
              </w:rPr>
            </w:pPr>
            <w:r>
              <w:rPr>
                <w:rFonts w:hint="eastAsia" w:cs="Arial"/>
                <w:color w:val="auto"/>
                <w:szCs w:val="24"/>
                <w:highlight w:val="none"/>
              </w:rPr>
              <w:t>青海海际项目咨询管理有限公司</w:t>
            </w:r>
          </w:p>
        </w:tc>
      </w:tr>
      <w:tr w14:paraId="28F3A9AC">
        <w:tblPrEx>
          <w:tblCellMar>
            <w:top w:w="0" w:type="dxa"/>
            <w:left w:w="57" w:type="dxa"/>
            <w:bottom w:w="0" w:type="dxa"/>
            <w:right w:w="57" w:type="dxa"/>
          </w:tblCellMar>
        </w:tblPrEx>
        <w:trPr>
          <w:trHeight w:val="454" w:hRule="atLeast"/>
          <w:jc w:val="center"/>
        </w:trPr>
        <w:tc>
          <w:tcPr>
            <w:tcW w:w="798" w:type="dxa"/>
            <w:tcBorders>
              <w:top w:val="single" w:color="000000" w:sz="6" w:space="0"/>
              <w:left w:val="single" w:color="000000" w:sz="6" w:space="0"/>
              <w:bottom w:val="single" w:color="000000" w:sz="6" w:space="0"/>
              <w:right w:val="single" w:color="000000" w:sz="6" w:space="0"/>
            </w:tcBorders>
            <w:vAlign w:val="center"/>
          </w:tcPr>
          <w:p w14:paraId="32C21652">
            <w:pPr>
              <w:pageBreakBefore w:val="0"/>
              <w:widowControl w:val="0"/>
              <w:numPr>
                <w:ilvl w:val="0"/>
                <w:numId w:val="4"/>
              </w:numPr>
              <w:tabs>
                <w:tab w:val="left" w:pos="95"/>
              </w:tabs>
              <w:kinsoku/>
              <w:wordWrap/>
              <w:overflowPunct/>
              <w:topLinePunct w:val="0"/>
              <w:autoSpaceDE w:val="0"/>
              <w:autoSpaceDN w:val="0"/>
              <w:bidi w:val="0"/>
              <w:adjustRightInd w:val="0"/>
              <w:snapToGrid w:val="0"/>
              <w:spacing w:before="121" w:beforeLines="30" w:after="72" w:afterLines="30" w:line="312" w:lineRule="auto"/>
              <w:ind w:left="180" w:hanging="180"/>
              <w:jc w:val="center"/>
              <w:textAlignment w:val="auto"/>
              <w:rPr>
                <w:rFonts w:cs="Arial"/>
                <w:color w:val="auto"/>
                <w:szCs w:val="24"/>
                <w:highlight w:val="none"/>
              </w:rPr>
            </w:pPr>
          </w:p>
        </w:tc>
        <w:tc>
          <w:tcPr>
            <w:tcW w:w="1617" w:type="dxa"/>
            <w:tcBorders>
              <w:top w:val="single" w:color="000000" w:sz="6" w:space="0"/>
              <w:left w:val="single" w:color="000000" w:sz="6" w:space="0"/>
              <w:bottom w:val="single" w:color="000000" w:sz="6" w:space="0"/>
              <w:right w:val="single" w:color="000000" w:sz="6" w:space="0"/>
            </w:tcBorders>
            <w:vAlign w:val="center"/>
          </w:tcPr>
          <w:p w14:paraId="24CD8DA9">
            <w:pPr>
              <w:pageBreakBefore w:val="0"/>
              <w:kinsoku/>
              <w:wordWrap/>
              <w:overflowPunct/>
              <w:topLinePunct w:val="0"/>
              <w:autoSpaceDE w:val="0"/>
              <w:autoSpaceDN w:val="0"/>
              <w:bidi w:val="0"/>
              <w:adjustRightInd w:val="0"/>
              <w:snapToGrid w:val="0"/>
              <w:spacing w:before="121" w:beforeLines="30" w:after="72" w:afterLines="30" w:line="312" w:lineRule="auto"/>
              <w:jc w:val="center"/>
              <w:textAlignment w:val="auto"/>
              <w:rPr>
                <w:rFonts w:cs="Arial"/>
                <w:color w:val="auto"/>
                <w:szCs w:val="24"/>
                <w:highlight w:val="none"/>
              </w:rPr>
            </w:pPr>
            <w:r>
              <w:rPr>
                <w:rFonts w:cs="Arial"/>
                <w:color w:val="auto"/>
                <w:szCs w:val="24"/>
                <w:highlight w:val="none"/>
              </w:rPr>
              <w:t>采购方式</w:t>
            </w:r>
          </w:p>
        </w:tc>
        <w:tc>
          <w:tcPr>
            <w:tcW w:w="6722" w:type="dxa"/>
            <w:tcBorders>
              <w:top w:val="single" w:color="000000" w:sz="6" w:space="0"/>
              <w:left w:val="single" w:color="000000" w:sz="6" w:space="0"/>
              <w:bottom w:val="single" w:color="000000" w:sz="6" w:space="0"/>
              <w:right w:val="single" w:color="000000" w:sz="6" w:space="0"/>
            </w:tcBorders>
            <w:vAlign w:val="center"/>
          </w:tcPr>
          <w:p w14:paraId="28C0F337">
            <w:pPr>
              <w:pageBreakBefore w:val="0"/>
              <w:kinsoku/>
              <w:wordWrap/>
              <w:overflowPunct/>
              <w:topLinePunct w:val="0"/>
              <w:autoSpaceDE w:val="0"/>
              <w:autoSpaceDN w:val="0"/>
              <w:bidi w:val="0"/>
              <w:adjustRightInd w:val="0"/>
              <w:snapToGrid w:val="0"/>
              <w:spacing w:before="121" w:beforeLines="30" w:after="72" w:afterLines="30" w:line="312" w:lineRule="auto"/>
              <w:textAlignment w:val="auto"/>
              <w:rPr>
                <w:rFonts w:cs="Arial"/>
                <w:color w:val="auto"/>
                <w:szCs w:val="24"/>
                <w:highlight w:val="none"/>
              </w:rPr>
            </w:pPr>
            <w:r>
              <w:rPr>
                <w:rFonts w:cs="Arial"/>
                <w:color w:val="auto"/>
                <w:szCs w:val="24"/>
                <w:highlight w:val="none"/>
              </w:rPr>
              <w:t>竞争性磋商</w:t>
            </w:r>
          </w:p>
        </w:tc>
      </w:tr>
      <w:tr w14:paraId="5B62860E">
        <w:tblPrEx>
          <w:tblCellMar>
            <w:top w:w="0" w:type="dxa"/>
            <w:left w:w="57" w:type="dxa"/>
            <w:bottom w:w="0" w:type="dxa"/>
            <w:right w:w="57" w:type="dxa"/>
          </w:tblCellMar>
        </w:tblPrEx>
        <w:trPr>
          <w:trHeight w:val="454" w:hRule="atLeast"/>
          <w:jc w:val="center"/>
        </w:trPr>
        <w:tc>
          <w:tcPr>
            <w:tcW w:w="798" w:type="dxa"/>
            <w:tcBorders>
              <w:top w:val="single" w:color="000000" w:sz="6" w:space="0"/>
              <w:left w:val="single" w:color="000000" w:sz="6" w:space="0"/>
              <w:bottom w:val="single" w:color="000000" w:sz="6" w:space="0"/>
              <w:right w:val="single" w:color="000000" w:sz="6" w:space="0"/>
            </w:tcBorders>
            <w:vAlign w:val="center"/>
          </w:tcPr>
          <w:p w14:paraId="54C3C253">
            <w:pPr>
              <w:pageBreakBefore w:val="0"/>
              <w:widowControl w:val="0"/>
              <w:numPr>
                <w:ilvl w:val="0"/>
                <w:numId w:val="4"/>
              </w:numPr>
              <w:tabs>
                <w:tab w:val="left" w:pos="95"/>
              </w:tabs>
              <w:kinsoku/>
              <w:wordWrap/>
              <w:overflowPunct/>
              <w:topLinePunct w:val="0"/>
              <w:autoSpaceDE w:val="0"/>
              <w:autoSpaceDN w:val="0"/>
              <w:bidi w:val="0"/>
              <w:adjustRightInd w:val="0"/>
              <w:snapToGrid w:val="0"/>
              <w:spacing w:before="121" w:beforeLines="30" w:after="72" w:afterLines="30" w:line="312" w:lineRule="auto"/>
              <w:ind w:left="180" w:hanging="180"/>
              <w:jc w:val="center"/>
              <w:textAlignment w:val="auto"/>
              <w:rPr>
                <w:rFonts w:cs="Arial"/>
                <w:color w:val="auto"/>
                <w:szCs w:val="24"/>
                <w:highlight w:val="none"/>
              </w:rPr>
            </w:pPr>
          </w:p>
        </w:tc>
        <w:tc>
          <w:tcPr>
            <w:tcW w:w="1617" w:type="dxa"/>
            <w:tcBorders>
              <w:top w:val="single" w:color="000000" w:sz="6" w:space="0"/>
              <w:left w:val="single" w:color="000000" w:sz="6" w:space="0"/>
              <w:bottom w:val="single" w:color="000000" w:sz="6" w:space="0"/>
              <w:right w:val="single" w:color="000000" w:sz="6" w:space="0"/>
            </w:tcBorders>
            <w:vAlign w:val="center"/>
          </w:tcPr>
          <w:p w14:paraId="36EECAED">
            <w:pPr>
              <w:pageBreakBefore w:val="0"/>
              <w:kinsoku/>
              <w:wordWrap/>
              <w:overflowPunct/>
              <w:topLinePunct w:val="0"/>
              <w:autoSpaceDE w:val="0"/>
              <w:autoSpaceDN w:val="0"/>
              <w:bidi w:val="0"/>
              <w:adjustRightInd w:val="0"/>
              <w:snapToGrid w:val="0"/>
              <w:spacing w:before="121" w:beforeLines="30" w:after="72" w:afterLines="30" w:line="312" w:lineRule="auto"/>
              <w:jc w:val="center"/>
              <w:textAlignment w:val="auto"/>
              <w:rPr>
                <w:rFonts w:cs="Arial"/>
                <w:color w:val="auto"/>
                <w:szCs w:val="24"/>
                <w:highlight w:val="none"/>
              </w:rPr>
            </w:pPr>
            <w:r>
              <w:rPr>
                <w:rFonts w:cs="Arial"/>
                <w:color w:val="auto"/>
                <w:szCs w:val="24"/>
                <w:highlight w:val="none"/>
              </w:rPr>
              <w:t>评分办法</w:t>
            </w:r>
          </w:p>
        </w:tc>
        <w:tc>
          <w:tcPr>
            <w:tcW w:w="6722" w:type="dxa"/>
            <w:tcBorders>
              <w:top w:val="single" w:color="000000" w:sz="6" w:space="0"/>
              <w:left w:val="single" w:color="000000" w:sz="6" w:space="0"/>
              <w:bottom w:val="single" w:color="000000" w:sz="6" w:space="0"/>
              <w:right w:val="single" w:color="000000" w:sz="6" w:space="0"/>
            </w:tcBorders>
            <w:vAlign w:val="center"/>
          </w:tcPr>
          <w:p w14:paraId="07484CA3">
            <w:pPr>
              <w:pageBreakBefore w:val="0"/>
              <w:kinsoku/>
              <w:wordWrap/>
              <w:overflowPunct/>
              <w:topLinePunct w:val="0"/>
              <w:autoSpaceDE w:val="0"/>
              <w:autoSpaceDN w:val="0"/>
              <w:bidi w:val="0"/>
              <w:adjustRightInd w:val="0"/>
              <w:snapToGrid w:val="0"/>
              <w:spacing w:before="121" w:beforeLines="30" w:after="72" w:afterLines="30" w:line="312" w:lineRule="auto"/>
              <w:textAlignment w:val="auto"/>
              <w:rPr>
                <w:rFonts w:cs="Arial"/>
                <w:color w:val="auto"/>
                <w:szCs w:val="24"/>
                <w:highlight w:val="none"/>
              </w:rPr>
            </w:pPr>
            <w:r>
              <w:rPr>
                <w:rFonts w:cs="Arial"/>
                <w:color w:val="auto"/>
                <w:szCs w:val="24"/>
                <w:highlight w:val="none"/>
              </w:rPr>
              <w:t>综合评分法</w:t>
            </w:r>
          </w:p>
        </w:tc>
      </w:tr>
      <w:tr w14:paraId="2FE6B7F0">
        <w:tblPrEx>
          <w:tblCellMar>
            <w:top w:w="0" w:type="dxa"/>
            <w:left w:w="57" w:type="dxa"/>
            <w:bottom w:w="0" w:type="dxa"/>
            <w:right w:w="57" w:type="dxa"/>
          </w:tblCellMar>
        </w:tblPrEx>
        <w:trPr>
          <w:trHeight w:val="454" w:hRule="atLeast"/>
          <w:jc w:val="center"/>
        </w:trPr>
        <w:tc>
          <w:tcPr>
            <w:tcW w:w="798" w:type="dxa"/>
            <w:tcBorders>
              <w:top w:val="single" w:color="000000" w:sz="6" w:space="0"/>
              <w:left w:val="single" w:color="000000" w:sz="6" w:space="0"/>
              <w:bottom w:val="single" w:color="000000" w:sz="6" w:space="0"/>
              <w:right w:val="single" w:color="000000" w:sz="6" w:space="0"/>
            </w:tcBorders>
            <w:vAlign w:val="center"/>
          </w:tcPr>
          <w:p w14:paraId="61B08C4B">
            <w:pPr>
              <w:pageBreakBefore w:val="0"/>
              <w:widowControl w:val="0"/>
              <w:numPr>
                <w:ilvl w:val="0"/>
                <w:numId w:val="4"/>
              </w:numPr>
              <w:tabs>
                <w:tab w:val="left" w:pos="95"/>
              </w:tabs>
              <w:kinsoku/>
              <w:wordWrap/>
              <w:overflowPunct/>
              <w:topLinePunct w:val="0"/>
              <w:autoSpaceDE w:val="0"/>
              <w:autoSpaceDN w:val="0"/>
              <w:bidi w:val="0"/>
              <w:adjustRightInd w:val="0"/>
              <w:snapToGrid w:val="0"/>
              <w:spacing w:before="121" w:beforeLines="30" w:after="72" w:afterLines="30" w:line="312" w:lineRule="auto"/>
              <w:ind w:left="180" w:hanging="180"/>
              <w:jc w:val="center"/>
              <w:textAlignment w:val="auto"/>
              <w:rPr>
                <w:rFonts w:cs="Arial"/>
                <w:color w:val="auto"/>
                <w:szCs w:val="24"/>
                <w:highlight w:val="none"/>
              </w:rPr>
            </w:pPr>
          </w:p>
        </w:tc>
        <w:tc>
          <w:tcPr>
            <w:tcW w:w="1617" w:type="dxa"/>
            <w:tcBorders>
              <w:top w:val="single" w:color="000000" w:sz="6" w:space="0"/>
              <w:left w:val="single" w:color="000000" w:sz="6" w:space="0"/>
              <w:bottom w:val="single" w:color="000000" w:sz="6" w:space="0"/>
              <w:right w:val="single" w:color="000000" w:sz="6" w:space="0"/>
            </w:tcBorders>
            <w:vAlign w:val="center"/>
          </w:tcPr>
          <w:p w14:paraId="7843430E">
            <w:pPr>
              <w:pageBreakBefore w:val="0"/>
              <w:kinsoku/>
              <w:wordWrap/>
              <w:overflowPunct/>
              <w:topLinePunct w:val="0"/>
              <w:autoSpaceDE w:val="0"/>
              <w:autoSpaceDN w:val="0"/>
              <w:bidi w:val="0"/>
              <w:adjustRightInd w:val="0"/>
              <w:snapToGrid w:val="0"/>
              <w:spacing w:before="121" w:beforeLines="30" w:after="72" w:afterLines="30" w:line="312" w:lineRule="auto"/>
              <w:jc w:val="center"/>
              <w:textAlignment w:val="auto"/>
              <w:rPr>
                <w:rFonts w:hint="default" w:eastAsia="宋体" w:cs="Arial"/>
                <w:color w:val="auto"/>
                <w:szCs w:val="24"/>
                <w:highlight w:val="none"/>
                <w:lang w:val="en-US" w:eastAsia="zh-CN"/>
              </w:rPr>
            </w:pPr>
            <w:r>
              <w:rPr>
                <w:rFonts w:cs="Arial"/>
                <w:color w:val="auto"/>
                <w:szCs w:val="24"/>
                <w:highlight w:val="none"/>
              </w:rPr>
              <w:t>采购预算控制额度</w:t>
            </w:r>
            <w:r>
              <w:rPr>
                <w:rFonts w:hint="eastAsia" w:cs="Arial"/>
                <w:color w:val="auto"/>
                <w:szCs w:val="24"/>
                <w:highlight w:val="none"/>
                <w:lang w:eastAsia="zh-CN"/>
              </w:rPr>
              <w:t>（</w:t>
            </w:r>
            <w:r>
              <w:rPr>
                <w:rFonts w:hint="eastAsia" w:cs="Arial"/>
                <w:color w:val="auto"/>
                <w:szCs w:val="24"/>
                <w:highlight w:val="none"/>
                <w:lang w:val="en-US" w:eastAsia="zh-CN"/>
              </w:rPr>
              <w:t>元）</w:t>
            </w:r>
          </w:p>
        </w:tc>
        <w:tc>
          <w:tcPr>
            <w:tcW w:w="6722" w:type="dxa"/>
            <w:tcBorders>
              <w:top w:val="single" w:color="000000" w:sz="6" w:space="0"/>
              <w:left w:val="single" w:color="000000" w:sz="6" w:space="0"/>
              <w:bottom w:val="single" w:color="000000" w:sz="6" w:space="0"/>
              <w:right w:val="single" w:color="000000" w:sz="6" w:space="0"/>
            </w:tcBorders>
            <w:vAlign w:val="center"/>
          </w:tcPr>
          <w:p w14:paraId="61C5B858">
            <w:pPr>
              <w:pageBreakBefore w:val="0"/>
              <w:kinsoku/>
              <w:wordWrap/>
              <w:overflowPunct/>
              <w:topLinePunct w:val="0"/>
              <w:bidi w:val="0"/>
              <w:adjustRightInd w:val="0"/>
              <w:snapToGrid w:val="0"/>
              <w:spacing w:before="121" w:beforeLines="30" w:after="96" w:afterLines="40" w:line="312" w:lineRule="auto"/>
              <w:textAlignment w:val="auto"/>
              <w:rPr>
                <w:rFonts w:cs="Arial"/>
                <w:color w:val="auto"/>
                <w:szCs w:val="24"/>
                <w:highlight w:val="none"/>
              </w:rPr>
            </w:pPr>
            <w:r>
              <w:rPr>
                <w:rFonts w:hint="eastAsia" w:ascii="宋体" w:hAnsi="宋体" w:cs="宋体"/>
                <w:color w:val="auto"/>
                <w:sz w:val="24"/>
                <w:szCs w:val="24"/>
                <w:highlight w:val="none"/>
                <w:lang w:val="en-US" w:eastAsia="zh-CN"/>
              </w:rPr>
              <w:t>2000000.00</w:t>
            </w:r>
          </w:p>
        </w:tc>
      </w:tr>
      <w:tr w14:paraId="5B842A9A">
        <w:tblPrEx>
          <w:tblCellMar>
            <w:top w:w="0" w:type="dxa"/>
            <w:left w:w="57" w:type="dxa"/>
            <w:bottom w:w="0" w:type="dxa"/>
            <w:right w:w="57" w:type="dxa"/>
          </w:tblCellMar>
        </w:tblPrEx>
        <w:trPr>
          <w:trHeight w:val="454" w:hRule="atLeast"/>
          <w:jc w:val="center"/>
        </w:trPr>
        <w:tc>
          <w:tcPr>
            <w:tcW w:w="798" w:type="dxa"/>
            <w:tcBorders>
              <w:top w:val="single" w:color="000000" w:sz="6" w:space="0"/>
              <w:left w:val="single" w:color="000000" w:sz="6" w:space="0"/>
              <w:bottom w:val="single" w:color="000000" w:sz="6" w:space="0"/>
              <w:right w:val="single" w:color="000000" w:sz="6" w:space="0"/>
            </w:tcBorders>
            <w:vAlign w:val="center"/>
          </w:tcPr>
          <w:p w14:paraId="4FA79CA2">
            <w:pPr>
              <w:pageBreakBefore w:val="0"/>
              <w:widowControl w:val="0"/>
              <w:numPr>
                <w:ilvl w:val="0"/>
                <w:numId w:val="4"/>
              </w:numPr>
              <w:tabs>
                <w:tab w:val="left" w:pos="95"/>
              </w:tabs>
              <w:kinsoku/>
              <w:wordWrap/>
              <w:overflowPunct/>
              <w:topLinePunct w:val="0"/>
              <w:autoSpaceDE w:val="0"/>
              <w:autoSpaceDN w:val="0"/>
              <w:bidi w:val="0"/>
              <w:adjustRightInd w:val="0"/>
              <w:snapToGrid w:val="0"/>
              <w:spacing w:before="121" w:beforeLines="30" w:after="72" w:afterLines="30" w:line="312" w:lineRule="auto"/>
              <w:ind w:left="180" w:hanging="180"/>
              <w:jc w:val="center"/>
              <w:textAlignment w:val="auto"/>
              <w:rPr>
                <w:rFonts w:cs="Arial"/>
                <w:color w:val="auto"/>
                <w:szCs w:val="24"/>
                <w:highlight w:val="none"/>
              </w:rPr>
            </w:pPr>
          </w:p>
        </w:tc>
        <w:tc>
          <w:tcPr>
            <w:tcW w:w="1617" w:type="dxa"/>
            <w:tcBorders>
              <w:top w:val="single" w:color="000000" w:sz="6" w:space="0"/>
              <w:left w:val="single" w:color="000000" w:sz="6" w:space="0"/>
              <w:bottom w:val="single" w:color="000000" w:sz="6" w:space="0"/>
              <w:right w:val="single" w:color="000000" w:sz="6" w:space="0"/>
            </w:tcBorders>
            <w:vAlign w:val="center"/>
          </w:tcPr>
          <w:p w14:paraId="51FA1601">
            <w:pPr>
              <w:pageBreakBefore w:val="0"/>
              <w:kinsoku/>
              <w:wordWrap/>
              <w:overflowPunct/>
              <w:topLinePunct w:val="0"/>
              <w:autoSpaceDE w:val="0"/>
              <w:autoSpaceDN w:val="0"/>
              <w:bidi w:val="0"/>
              <w:adjustRightInd w:val="0"/>
              <w:snapToGrid w:val="0"/>
              <w:spacing w:before="121" w:beforeLines="30" w:after="72" w:afterLines="30" w:line="312" w:lineRule="auto"/>
              <w:jc w:val="center"/>
              <w:textAlignment w:val="auto"/>
              <w:rPr>
                <w:rFonts w:cs="Arial"/>
                <w:color w:val="auto"/>
                <w:szCs w:val="24"/>
                <w:highlight w:val="none"/>
              </w:rPr>
            </w:pPr>
            <w:r>
              <w:rPr>
                <w:rFonts w:cs="Arial"/>
                <w:color w:val="auto"/>
                <w:szCs w:val="24"/>
                <w:highlight w:val="none"/>
              </w:rPr>
              <w:t>项目</w:t>
            </w:r>
            <w:r>
              <w:rPr>
                <w:rFonts w:hint="eastAsia" w:cs="Arial"/>
                <w:color w:val="auto"/>
                <w:szCs w:val="24"/>
                <w:highlight w:val="none"/>
              </w:rPr>
              <w:t>包</w:t>
            </w:r>
            <w:r>
              <w:rPr>
                <w:rFonts w:cs="Arial"/>
                <w:color w:val="auto"/>
                <w:szCs w:val="24"/>
                <w:highlight w:val="none"/>
              </w:rPr>
              <w:t>数</w:t>
            </w:r>
          </w:p>
        </w:tc>
        <w:tc>
          <w:tcPr>
            <w:tcW w:w="6722" w:type="dxa"/>
            <w:tcBorders>
              <w:top w:val="single" w:color="000000" w:sz="6" w:space="0"/>
              <w:left w:val="single" w:color="000000" w:sz="6" w:space="0"/>
              <w:bottom w:val="single" w:color="000000" w:sz="6" w:space="0"/>
              <w:right w:val="single" w:color="000000" w:sz="6" w:space="0"/>
            </w:tcBorders>
            <w:vAlign w:val="center"/>
          </w:tcPr>
          <w:p w14:paraId="1D2FF9F9">
            <w:pPr>
              <w:pageBreakBefore w:val="0"/>
              <w:kinsoku/>
              <w:wordWrap/>
              <w:overflowPunct/>
              <w:topLinePunct w:val="0"/>
              <w:bidi w:val="0"/>
              <w:adjustRightInd w:val="0"/>
              <w:snapToGrid w:val="0"/>
              <w:spacing w:before="121" w:beforeLines="30" w:after="72" w:afterLines="30" w:line="312" w:lineRule="auto"/>
              <w:textAlignment w:val="auto"/>
              <w:rPr>
                <w:rFonts w:hint="default" w:eastAsia="宋体" w:cs="Arial"/>
                <w:color w:val="auto"/>
                <w:szCs w:val="24"/>
                <w:highlight w:val="none"/>
                <w:lang w:val="en-US" w:eastAsia="zh-CN"/>
              </w:rPr>
            </w:pPr>
            <w:r>
              <w:rPr>
                <w:rFonts w:hint="eastAsia" w:cs="Arial"/>
                <w:color w:val="auto"/>
                <w:szCs w:val="24"/>
                <w:highlight w:val="none"/>
                <w:lang w:val="en-US" w:eastAsia="zh-CN"/>
              </w:rPr>
              <w:t>1个包</w:t>
            </w:r>
          </w:p>
        </w:tc>
      </w:tr>
      <w:tr w14:paraId="5399E3BE">
        <w:tblPrEx>
          <w:tblCellMar>
            <w:top w:w="0" w:type="dxa"/>
            <w:left w:w="57" w:type="dxa"/>
            <w:bottom w:w="0" w:type="dxa"/>
            <w:right w:w="57" w:type="dxa"/>
          </w:tblCellMar>
        </w:tblPrEx>
        <w:trPr>
          <w:trHeight w:val="454" w:hRule="atLeast"/>
          <w:jc w:val="center"/>
        </w:trPr>
        <w:tc>
          <w:tcPr>
            <w:tcW w:w="798" w:type="dxa"/>
            <w:tcBorders>
              <w:top w:val="single" w:color="000000" w:sz="6" w:space="0"/>
              <w:left w:val="single" w:color="000000" w:sz="6" w:space="0"/>
              <w:bottom w:val="single" w:color="000000" w:sz="6" w:space="0"/>
              <w:right w:val="single" w:color="000000" w:sz="6" w:space="0"/>
            </w:tcBorders>
            <w:vAlign w:val="center"/>
          </w:tcPr>
          <w:p w14:paraId="5BB90EF7">
            <w:pPr>
              <w:pageBreakBefore w:val="0"/>
              <w:widowControl w:val="0"/>
              <w:numPr>
                <w:ilvl w:val="0"/>
                <w:numId w:val="4"/>
              </w:numPr>
              <w:tabs>
                <w:tab w:val="left" w:pos="95"/>
              </w:tabs>
              <w:kinsoku/>
              <w:wordWrap/>
              <w:overflowPunct/>
              <w:topLinePunct w:val="0"/>
              <w:autoSpaceDE w:val="0"/>
              <w:autoSpaceDN w:val="0"/>
              <w:bidi w:val="0"/>
              <w:adjustRightInd w:val="0"/>
              <w:snapToGrid w:val="0"/>
              <w:spacing w:before="121" w:beforeLines="30" w:after="72" w:afterLines="30" w:line="312" w:lineRule="auto"/>
              <w:ind w:left="180" w:hanging="180"/>
              <w:jc w:val="center"/>
              <w:textAlignment w:val="auto"/>
              <w:rPr>
                <w:rFonts w:cs="Arial"/>
                <w:color w:val="auto"/>
                <w:szCs w:val="24"/>
                <w:highlight w:val="none"/>
              </w:rPr>
            </w:pPr>
          </w:p>
        </w:tc>
        <w:tc>
          <w:tcPr>
            <w:tcW w:w="1617" w:type="dxa"/>
            <w:tcBorders>
              <w:top w:val="single" w:color="000000" w:sz="6" w:space="0"/>
              <w:left w:val="single" w:color="000000" w:sz="6" w:space="0"/>
              <w:bottom w:val="single" w:color="000000" w:sz="6" w:space="0"/>
              <w:right w:val="single" w:color="000000" w:sz="6" w:space="0"/>
            </w:tcBorders>
            <w:vAlign w:val="center"/>
          </w:tcPr>
          <w:p w14:paraId="6258800F">
            <w:pPr>
              <w:pageBreakBefore w:val="0"/>
              <w:kinsoku/>
              <w:wordWrap/>
              <w:overflowPunct/>
              <w:topLinePunct w:val="0"/>
              <w:autoSpaceDE w:val="0"/>
              <w:autoSpaceDN w:val="0"/>
              <w:bidi w:val="0"/>
              <w:adjustRightInd w:val="0"/>
              <w:snapToGrid w:val="0"/>
              <w:spacing w:before="121" w:beforeLines="30" w:after="72" w:afterLines="30" w:line="312" w:lineRule="auto"/>
              <w:jc w:val="center"/>
              <w:textAlignment w:val="auto"/>
              <w:rPr>
                <w:rFonts w:cs="Arial"/>
                <w:color w:val="auto"/>
                <w:szCs w:val="24"/>
                <w:highlight w:val="none"/>
              </w:rPr>
            </w:pPr>
            <w:r>
              <w:rPr>
                <w:rFonts w:cs="Arial"/>
                <w:color w:val="auto"/>
                <w:szCs w:val="24"/>
                <w:highlight w:val="none"/>
              </w:rPr>
              <w:t>采购要求</w:t>
            </w:r>
          </w:p>
        </w:tc>
        <w:tc>
          <w:tcPr>
            <w:tcW w:w="6722" w:type="dxa"/>
            <w:tcBorders>
              <w:top w:val="single" w:color="000000" w:sz="6" w:space="0"/>
              <w:left w:val="single" w:color="000000" w:sz="6" w:space="0"/>
              <w:bottom w:val="single" w:color="000000" w:sz="6" w:space="0"/>
              <w:right w:val="single" w:color="000000" w:sz="6" w:space="0"/>
            </w:tcBorders>
            <w:vAlign w:val="center"/>
          </w:tcPr>
          <w:p w14:paraId="7FAB2203">
            <w:pPr>
              <w:pageBreakBefore w:val="0"/>
              <w:kinsoku/>
              <w:wordWrap/>
              <w:overflowPunct/>
              <w:topLinePunct w:val="0"/>
              <w:autoSpaceDE w:val="0"/>
              <w:autoSpaceDN w:val="0"/>
              <w:bidi w:val="0"/>
              <w:adjustRightInd w:val="0"/>
              <w:snapToGrid w:val="0"/>
              <w:spacing w:before="121" w:beforeLines="30" w:after="72" w:afterLines="30" w:line="312" w:lineRule="auto"/>
              <w:jc w:val="both"/>
              <w:textAlignment w:val="auto"/>
              <w:rPr>
                <w:rFonts w:cs="Arial"/>
                <w:color w:val="auto"/>
                <w:szCs w:val="24"/>
                <w:highlight w:val="none"/>
              </w:rPr>
            </w:pPr>
            <w:r>
              <w:rPr>
                <w:rFonts w:hint="eastAsia" w:asciiTheme="minorEastAsia" w:hAnsiTheme="minorEastAsia" w:eastAsiaTheme="minorEastAsia" w:cstheme="minorEastAsia"/>
                <w:color w:val="auto"/>
                <w:szCs w:val="24"/>
                <w:highlight w:val="none"/>
                <w:lang w:eastAsia="zh-CN"/>
              </w:rPr>
              <w:t>具体内容详见《磋商文件》</w:t>
            </w:r>
          </w:p>
        </w:tc>
      </w:tr>
      <w:tr w14:paraId="02FD9ED0">
        <w:tblPrEx>
          <w:tblCellMar>
            <w:top w:w="0" w:type="dxa"/>
            <w:left w:w="57" w:type="dxa"/>
            <w:bottom w:w="0" w:type="dxa"/>
            <w:right w:w="57" w:type="dxa"/>
          </w:tblCellMar>
        </w:tblPrEx>
        <w:trPr>
          <w:trHeight w:val="90" w:hRule="atLeast"/>
          <w:jc w:val="center"/>
        </w:trPr>
        <w:tc>
          <w:tcPr>
            <w:tcW w:w="798" w:type="dxa"/>
            <w:tcBorders>
              <w:top w:val="single" w:color="000000" w:sz="6" w:space="0"/>
              <w:left w:val="single" w:color="000000" w:sz="6" w:space="0"/>
              <w:bottom w:val="single" w:color="000000" w:sz="6" w:space="0"/>
              <w:right w:val="single" w:color="000000" w:sz="6" w:space="0"/>
            </w:tcBorders>
            <w:vAlign w:val="center"/>
          </w:tcPr>
          <w:p w14:paraId="1FAD7691">
            <w:pPr>
              <w:pageBreakBefore w:val="0"/>
              <w:widowControl w:val="0"/>
              <w:numPr>
                <w:ilvl w:val="0"/>
                <w:numId w:val="4"/>
              </w:numPr>
              <w:tabs>
                <w:tab w:val="left" w:pos="95"/>
              </w:tabs>
              <w:kinsoku/>
              <w:wordWrap/>
              <w:overflowPunct/>
              <w:topLinePunct w:val="0"/>
              <w:autoSpaceDE w:val="0"/>
              <w:autoSpaceDN w:val="0"/>
              <w:bidi w:val="0"/>
              <w:adjustRightInd w:val="0"/>
              <w:snapToGrid w:val="0"/>
              <w:spacing w:before="121" w:beforeLines="30" w:after="72" w:afterLines="30" w:line="312" w:lineRule="auto"/>
              <w:ind w:left="322" w:hanging="322"/>
              <w:jc w:val="center"/>
              <w:textAlignment w:val="auto"/>
              <w:rPr>
                <w:rFonts w:cs="Arial"/>
                <w:color w:val="auto"/>
                <w:szCs w:val="24"/>
                <w:highlight w:val="none"/>
              </w:rPr>
            </w:pPr>
          </w:p>
        </w:tc>
        <w:tc>
          <w:tcPr>
            <w:tcW w:w="1617" w:type="dxa"/>
            <w:tcBorders>
              <w:top w:val="single" w:color="000000" w:sz="6" w:space="0"/>
              <w:left w:val="single" w:color="000000" w:sz="6" w:space="0"/>
              <w:bottom w:val="single" w:color="000000" w:sz="6" w:space="0"/>
              <w:right w:val="single" w:color="000000" w:sz="6" w:space="0"/>
            </w:tcBorders>
            <w:vAlign w:val="center"/>
          </w:tcPr>
          <w:p w14:paraId="5B53CF12">
            <w:pPr>
              <w:pageBreakBefore w:val="0"/>
              <w:kinsoku/>
              <w:wordWrap/>
              <w:overflowPunct/>
              <w:topLinePunct w:val="0"/>
              <w:autoSpaceDE w:val="0"/>
              <w:autoSpaceDN w:val="0"/>
              <w:bidi w:val="0"/>
              <w:adjustRightInd w:val="0"/>
              <w:snapToGrid w:val="0"/>
              <w:spacing w:before="121" w:beforeLines="30" w:after="72" w:afterLines="30" w:line="312" w:lineRule="auto"/>
              <w:jc w:val="center"/>
              <w:textAlignment w:val="auto"/>
              <w:rPr>
                <w:rFonts w:cs="Arial"/>
                <w:color w:val="auto"/>
                <w:szCs w:val="24"/>
                <w:highlight w:val="none"/>
              </w:rPr>
            </w:pPr>
            <w:r>
              <w:rPr>
                <w:rFonts w:cs="Arial"/>
                <w:color w:val="auto"/>
                <w:szCs w:val="24"/>
                <w:highlight w:val="none"/>
              </w:rPr>
              <w:t>供应商资格条件</w:t>
            </w:r>
          </w:p>
        </w:tc>
        <w:tc>
          <w:tcPr>
            <w:tcW w:w="6722" w:type="dxa"/>
            <w:tcBorders>
              <w:top w:val="single" w:color="000000" w:sz="6" w:space="0"/>
              <w:left w:val="single" w:color="000000" w:sz="6" w:space="0"/>
              <w:bottom w:val="single" w:color="000000" w:sz="6" w:space="0"/>
              <w:right w:val="single" w:color="000000" w:sz="6" w:space="0"/>
            </w:tcBorders>
            <w:vAlign w:val="center"/>
          </w:tcPr>
          <w:p w14:paraId="2C7C2EFC">
            <w:pPr>
              <w:keepNext w:val="0"/>
              <w:keepLines w:val="0"/>
              <w:pageBreakBefore w:val="0"/>
              <w:widowControl w:val="0"/>
              <w:numPr>
                <w:ilvl w:val="0"/>
                <w:numId w:val="0"/>
              </w:numPr>
              <w:kinsoku/>
              <w:wordWrap/>
              <w:overflowPunct/>
              <w:topLinePunct w:val="0"/>
              <w:autoSpaceDE/>
              <w:autoSpaceDN/>
              <w:bidi w:val="0"/>
              <w:adjustRightInd/>
              <w:snapToGrid/>
              <w:spacing w:before="121" w:beforeLines="30" w:line="360" w:lineRule="auto"/>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1.符合《政府采购法》第22条条件，并提供下列材料：</w:t>
            </w:r>
          </w:p>
          <w:p w14:paraId="3D2D1C2B">
            <w:pPr>
              <w:keepNext w:val="0"/>
              <w:keepLines w:val="0"/>
              <w:pageBreakBefore w:val="0"/>
              <w:widowControl w:val="0"/>
              <w:numPr>
                <w:ilvl w:val="0"/>
                <w:numId w:val="0"/>
              </w:numPr>
              <w:kinsoku/>
              <w:wordWrap/>
              <w:overflowPunct/>
              <w:topLinePunct w:val="0"/>
              <w:autoSpaceDE/>
              <w:autoSpaceDN/>
              <w:bidi w:val="0"/>
              <w:adjustRightInd/>
              <w:snapToGrid/>
              <w:spacing w:before="121" w:beforeLines="30" w:line="360" w:lineRule="auto"/>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（1）供应商的营业执照等证明文件，自然人的身份证明</w:t>
            </w:r>
            <w:r>
              <w:rPr>
                <w:rFonts w:hint="eastAsia" w:ascii="宋体" w:hAnsi="宋体" w:cs="宋体"/>
                <w:color w:val="auto"/>
                <w:sz w:val="24"/>
                <w:szCs w:val="24"/>
                <w:highlight w:val="none"/>
                <w:u w:val="none"/>
                <w:lang w:val="en-US" w:eastAsia="zh-CN"/>
              </w:rPr>
              <w:t>；</w:t>
            </w:r>
          </w:p>
          <w:p w14:paraId="69A1851B">
            <w:pPr>
              <w:keepNext w:val="0"/>
              <w:keepLines w:val="0"/>
              <w:pageBreakBefore w:val="0"/>
              <w:widowControl w:val="0"/>
              <w:numPr>
                <w:ilvl w:val="0"/>
                <w:numId w:val="0"/>
              </w:numPr>
              <w:kinsoku/>
              <w:wordWrap/>
              <w:overflowPunct/>
              <w:topLinePunct w:val="0"/>
              <w:autoSpaceDE/>
              <w:autoSpaceDN/>
              <w:bidi w:val="0"/>
              <w:adjustRightInd/>
              <w:snapToGrid/>
              <w:spacing w:before="121" w:beforeLines="30" w:line="360" w:lineRule="auto"/>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（2）财务状况报告，依法缴纳税收和社会保障资金的相关材料</w:t>
            </w:r>
            <w:r>
              <w:rPr>
                <w:rFonts w:hint="eastAsia" w:ascii="宋体" w:hAnsi="宋体" w:cs="宋体"/>
                <w:color w:val="auto"/>
                <w:sz w:val="24"/>
                <w:szCs w:val="24"/>
                <w:highlight w:val="none"/>
                <w:u w:val="none"/>
                <w:lang w:val="en-US" w:eastAsia="zh-CN"/>
              </w:rPr>
              <w:t>；</w:t>
            </w:r>
          </w:p>
          <w:p w14:paraId="21EF1903">
            <w:pPr>
              <w:keepNext w:val="0"/>
              <w:keepLines w:val="0"/>
              <w:pageBreakBefore w:val="0"/>
              <w:widowControl w:val="0"/>
              <w:numPr>
                <w:ilvl w:val="0"/>
                <w:numId w:val="0"/>
              </w:numPr>
              <w:kinsoku/>
              <w:wordWrap/>
              <w:overflowPunct/>
              <w:topLinePunct w:val="0"/>
              <w:autoSpaceDE/>
              <w:autoSpaceDN/>
              <w:bidi w:val="0"/>
              <w:adjustRightInd/>
              <w:snapToGrid/>
              <w:spacing w:before="121" w:beforeLines="30" w:line="360" w:lineRule="auto"/>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（3）具备履行合同所必需的设备和专业技术能力的证明材料</w:t>
            </w:r>
            <w:r>
              <w:rPr>
                <w:rFonts w:hint="eastAsia" w:ascii="宋体" w:hAnsi="宋体" w:cs="宋体"/>
                <w:color w:val="auto"/>
                <w:sz w:val="24"/>
                <w:szCs w:val="24"/>
                <w:highlight w:val="none"/>
                <w:u w:val="none"/>
                <w:lang w:val="en-US" w:eastAsia="zh-CN"/>
              </w:rPr>
              <w:t>；</w:t>
            </w:r>
          </w:p>
          <w:p w14:paraId="63D088ED">
            <w:pPr>
              <w:keepNext w:val="0"/>
              <w:keepLines w:val="0"/>
              <w:pageBreakBefore w:val="0"/>
              <w:widowControl w:val="0"/>
              <w:numPr>
                <w:ilvl w:val="0"/>
                <w:numId w:val="0"/>
              </w:numPr>
              <w:kinsoku/>
              <w:wordWrap/>
              <w:overflowPunct/>
              <w:topLinePunct w:val="0"/>
              <w:autoSpaceDE/>
              <w:autoSpaceDN/>
              <w:bidi w:val="0"/>
              <w:adjustRightInd/>
              <w:snapToGrid/>
              <w:spacing w:before="121" w:beforeLines="30" w:line="360" w:lineRule="auto"/>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（4）参加政府采购活动前3年内在经营活动中没有重大违法记录的书面</w:t>
            </w:r>
            <w:r>
              <w:rPr>
                <w:rFonts w:hint="eastAsia" w:ascii="宋体" w:hAnsi="宋体" w:cs="宋体"/>
                <w:color w:val="auto"/>
                <w:sz w:val="24"/>
                <w:szCs w:val="24"/>
                <w:highlight w:val="none"/>
                <w:u w:val="none"/>
                <w:lang w:val="en-US" w:eastAsia="zh-CN"/>
              </w:rPr>
              <w:t>声明；</w:t>
            </w:r>
          </w:p>
          <w:p w14:paraId="3FB49D9B">
            <w:pPr>
              <w:keepNext w:val="0"/>
              <w:keepLines w:val="0"/>
              <w:pageBreakBefore w:val="0"/>
              <w:widowControl w:val="0"/>
              <w:numPr>
                <w:ilvl w:val="0"/>
                <w:numId w:val="0"/>
              </w:numPr>
              <w:kinsoku/>
              <w:wordWrap/>
              <w:overflowPunct/>
              <w:topLinePunct w:val="0"/>
              <w:autoSpaceDE/>
              <w:autoSpaceDN/>
              <w:bidi w:val="0"/>
              <w:adjustRightInd/>
              <w:snapToGrid/>
              <w:spacing w:before="121" w:beforeLines="30" w:line="360" w:lineRule="auto"/>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（5）具备法律、行政法规规定的其他条件的证明材料</w:t>
            </w:r>
            <w:r>
              <w:rPr>
                <w:rFonts w:hint="eastAsia" w:ascii="宋体" w:hAnsi="宋体" w:cs="宋体"/>
                <w:color w:val="auto"/>
                <w:sz w:val="24"/>
                <w:szCs w:val="24"/>
                <w:highlight w:val="none"/>
                <w:u w:val="none"/>
                <w:lang w:val="en-US" w:eastAsia="zh-CN"/>
              </w:rPr>
              <w:t>；</w:t>
            </w:r>
          </w:p>
          <w:p w14:paraId="6A95FB0D">
            <w:pPr>
              <w:pStyle w:val="11"/>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2.公益一类事业单位、纳入事业编制管理且经费完全或主要由财政保障的群团组织，不作为本次政府购买服务的承接主体。</w:t>
            </w:r>
          </w:p>
          <w:p w14:paraId="334EA6A5">
            <w:pPr>
              <w:pStyle w:val="11"/>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3</w:t>
            </w:r>
            <w:r>
              <w:rPr>
                <w:rFonts w:hint="eastAsia" w:ascii="宋体" w:hAnsi="宋体" w:eastAsia="宋体" w:cs="宋体"/>
                <w:color w:val="auto"/>
                <w:sz w:val="24"/>
                <w:szCs w:val="24"/>
                <w:highlight w:val="none"/>
                <w:u w:val="none"/>
                <w:lang w:val="en-US" w:eastAsia="zh-CN"/>
              </w:rPr>
              <w:t>.经信用中国（www.creditchina.gov.cn）、中国政府采购网（www.ccgp.gov.cn）等渠道查询后，列入失信被执行人、</w:t>
            </w:r>
            <w:r>
              <w:rPr>
                <w:rFonts w:hint="eastAsia" w:ascii="宋体" w:hAnsi="宋体" w:cs="宋体"/>
                <w:color w:val="auto"/>
                <w:sz w:val="24"/>
                <w:szCs w:val="24"/>
                <w:highlight w:val="none"/>
                <w:u w:val="none"/>
                <w:lang w:val="en-US" w:eastAsia="zh-CN"/>
              </w:rPr>
              <w:t>重大税收违法失信主体</w:t>
            </w:r>
            <w:r>
              <w:rPr>
                <w:rFonts w:hint="eastAsia" w:ascii="宋体" w:hAnsi="宋体" w:eastAsia="宋体" w:cs="宋体"/>
                <w:color w:val="auto"/>
                <w:sz w:val="24"/>
                <w:szCs w:val="24"/>
                <w:highlight w:val="none"/>
                <w:u w:val="none"/>
                <w:lang w:val="en-US" w:eastAsia="zh-CN"/>
              </w:rPr>
              <w:t>、政府采购严重违法失信行为记录名单的，取消投标资格</w:t>
            </w:r>
            <w:r>
              <w:rPr>
                <w:rFonts w:hint="eastAsia" w:ascii="宋体" w:hAnsi="宋体" w:cs="宋体"/>
                <w:color w:val="auto"/>
                <w:sz w:val="24"/>
                <w:szCs w:val="24"/>
                <w:highlight w:val="none"/>
                <w:u w:val="none"/>
                <w:lang w:val="en-US" w:eastAsia="zh-CN"/>
              </w:rPr>
              <w:t>；</w:t>
            </w:r>
          </w:p>
          <w:p w14:paraId="1BC2BD2F">
            <w:pPr>
              <w:pStyle w:val="11"/>
              <w:rPr>
                <w:rFonts w:hint="eastAsia" w:ascii="宋体" w:hAnsi="宋体" w:eastAsia="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4.</w:t>
            </w:r>
            <w:r>
              <w:rPr>
                <w:rFonts w:hint="eastAsia" w:ascii="宋体" w:hAnsi="宋体" w:eastAsia="宋体" w:cs="宋体"/>
                <w:color w:val="auto"/>
                <w:sz w:val="24"/>
                <w:szCs w:val="24"/>
                <w:highlight w:val="none"/>
                <w:u w:val="none"/>
                <w:lang w:val="en-US" w:eastAsia="zh-CN"/>
              </w:rPr>
              <w:t>单位负责人为同一人或者存在直接控股、管理关系的不同供应商，不得参加同一合同项下的政府采购活动。否则，皆取消投标资格；</w:t>
            </w:r>
          </w:p>
          <w:p w14:paraId="7483A36E">
            <w:pPr>
              <w:keepNext w:val="0"/>
              <w:keepLines w:val="0"/>
              <w:pageBreakBefore w:val="0"/>
              <w:widowControl w:val="0"/>
              <w:numPr>
                <w:ilvl w:val="0"/>
                <w:numId w:val="0"/>
              </w:numPr>
              <w:kinsoku/>
              <w:wordWrap/>
              <w:overflowPunct/>
              <w:topLinePunct w:val="0"/>
              <w:autoSpaceDE/>
              <w:autoSpaceDN/>
              <w:bidi w:val="0"/>
              <w:adjustRightInd/>
              <w:snapToGrid/>
              <w:spacing w:before="121" w:beforeLines="30" w:line="360" w:lineRule="auto"/>
              <w:textAlignment w:val="auto"/>
              <w:rPr>
                <w:rFonts w:hint="eastAsia" w:ascii="宋体" w:hAnsi="宋体" w:eastAsia="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5</w:t>
            </w:r>
            <w:r>
              <w:rPr>
                <w:rFonts w:hint="eastAsia" w:ascii="宋体" w:hAnsi="宋体" w:eastAsia="宋体" w:cs="宋体"/>
                <w:color w:val="auto"/>
                <w:sz w:val="24"/>
                <w:szCs w:val="24"/>
                <w:highlight w:val="none"/>
                <w:u w:val="none"/>
                <w:lang w:val="en-US" w:eastAsia="zh-CN"/>
              </w:rPr>
              <w:t>.为本采购项目提供整体设计、规范编制或者项目管理、监理、检测等服务的供应商，不得再参加该采购项目的其他采购活动；</w:t>
            </w:r>
          </w:p>
          <w:p w14:paraId="747A433E">
            <w:pPr>
              <w:pStyle w:val="11"/>
              <w:rPr>
                <w:rFonts w:hint="eastAsia" w:ascii="宋体" w:hAnsi="宋体" w:eastAsia="宋体" w:cs="宋体"/>
                <w:color w:val="auto"/>
                <w:sz w:val="24"/>
                <w:szCs w:val="32"/>
                <w:highlight w:val="none"/>
                <w:lang w:val="zh-CN"/>
              </w:rPr>
            </w:pPr>
            <w:r>
              <w:rPr>
                <w:rFonts w:hint="eastAsia" w:ascii="宋体" w:hAnsi="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lang w:val="en-US" w:eastAsia="zh-CN"/>
              </w:rPr>
              <w:t>.不具备独立承担民事责任的分公司不能以分公司名义参与政府采购活动（除银行、保险、石油石化、电力、通信等特殊行业外）。分公司参与本项目政府采购活动须提供总公司针对本项目的授权。</w:t>
            </w:r>
          </w:p>
          <w:p w14:paraId="41839723">
            <w:pPr>
              <w:keepNext w:val="0"/>
              <w:keepLines w:val="0"/>
              <w:pageBreakBefore w:val="0"/>
              <w:widowControl w:val="0"/>
              <w:numPr>
                <w:ilvl w:val="0"/>
                <w:numId w:val="0"/>
              </w:numPr>
              <w:kinsoku/>
              <w:wordWrap/>
              <w:overflowPunct/>
              <w:topLinePunct w:val="0"/>
              <w:autoSpaceDE/>
              <w:autoSpaceDN/>
              <w:bidi w:val="0"/>
              <w:adjustRightInd/>
              <w:snapToGrid/>
              <w:spacing w:before="121" w:beforeLines="30" w:line="360" w:lineRule="auto"/>
              <w:textAlignment w:val="auto"/>
              <w:rPr>
                <w:rFonts w:hint="default"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7.落实政府采购政策需满足的资格要求：无</w:t>
            </w:r>
          </w:p>
        </w:tc>
      </w:tr>
      <w:tr w14:paraId="2BE055EE">
        <w:tblPrEx>
          <w:tblCellMar>
            <w:top w:w="0" w:type="dxa"/>
            <w:left w:w="57" w:type="dxa"/>
            <w:bottom w:w="0" w:type="dxa"/>
            <w:right w:w="57" w:type="dxa"/>
          </w:tblCellMar>
        </w:tblPrEx>
        <w:trPr>
          <w:trHeight w:val="454" w:hRule="atLeast"/>
          <w:jc w:val="center"/>
        </w:trPr>
        <w:tc>
          <w:tcPr>
            <w:tcW w:w="798" w:type="dxa"/>
            <w:tcBorders>
              <w:top w:val="single" w:color="000000" w:sz="6" w:space="0"/>
              <w:left w:val="single" w:color="000000" w:sz="6" w:space="0"/>
              <w:bottom w:val="single" w:color="000000" w:sz="6" w:space="0"/>
              <w:right w:val="single" w:color="000000" w:sz="6" w:space="0"/>
            </w:tcBorders>
            <w:vAlign w:val="center"/>
          </w:tcPr>
          <w:p w14:paraId="11610045">
            <w:pPr>
              <w:pageBreakBefore w:val="0"/>
              <w:widowControl w:val="0"/>
              <w:numPr>
                <w:ilvl w:val="0"/>
                <w:numId w:val="4"/>
              </w:numPr>
              <w:tabs>
                <w:tab w:val="left" w:pos="95"/>
              </w:tabs>
              <w:kinsoku/>
              <w:wordWrap/>
              <w:overflowPunct/>
              <w:topLinePunct w:val="0"/>
              <w:autoSpaceDE w:val="0"/>
              <w:autoSpaceDN w:val="0"/>
              <w:bidi w:val="0"/>
              <w:adjustRightInd w:val="0"/>
              <w:snapToGrid w:val="0"/>
              <w:spacing w:before="121" w:beforeLines="30" w:after="72" w:afterLines="30" w:line="312" w:lineRule="auto"/>
              <w:jc w:val="center"/>
              <w:textAlignment w:val="auto"/>
              <w:rPr>
                <w:rFonts w:cs="Arial"/>
                <w:color w:val="auto"/>
                <w:szCs w:val="24"/>
                <w:highlight w:val="none"/>
              </w:rPr>
            </w:pPr>
          </w:p>
        </w:tc>
        <w:tc>
          <w:tcPr>
            <w:tcW w:w="1617" w:type="dxa"/>
            <w:tcBorders>
              <w:top w:val="single" w:color="000000" w:sz="6" w:space="0"/>
              <w:left w:val="single" w:color="000000" w:sz="6" w:space="0"/>
              <w:bottom w:val="single" w:color="000000" w:sz="6" w:space="0"/>
              <w:right w:val="single" w:color="000000" w:sz="6" w:space="0"/>
            </w:tcBorders>
            <w:vAlign w:val="center"/>
          </w:tcPr>
          <w:p w14:paraId="7B716808">
            <w:pPr>
              <w:pageBreakBefore w:val="0"/>
              <w:kinsoku/>
              <w:wordWrap/>
              <w:overflowPunct/>
              <w:topLinePunct w:val="0"/>
              <w:autoSpaceDE w:val="0"/>
              <w:autoSpaceDN w:val="0"/>
              <w:bidi w:val="0"/>
              <w:adjustRightInd w:val="0"/>
              <w:snapToGrid w:val="0"/>
              <w:spacing w:before="121" w:beforeLines="30" w:after="72" w:afterLines="30" w:line="312" w:lineRule="auto"/>
              <w:jc w:val="center"/>
              <w:textAlignment w:val="auto"/>
              <w:rPr>
                <w:rFonts w:cs="Arial"/>
                <w:color w:val="auto"/>
                <w:szCs w:val="24"/>
                <w:highlight w:val="none"/>
              </w:rPr>
            </w:pPr>
            <w:r>
              <w:rPr>
                <w:rFonts w:cs="Arial"/>
                <w:color w:val="auto"/>
                <w:szCs w:val="24"/>
                <w:highlight w:val="none"/>
              </w:rPr>
              <w:t>磋商保证金</w:t>
            </w:r>
          </w:p>
        </w:tc>
        <w:tc>
          <w:tcPr>
            <w:tcW w:w="6722" w:type="dxa"/>
            <w:tcBorders>
              <w:top w:val="single" w:color="000000" w:sz="6" w:space="0"/>
              <w:left w:val="single" w:color="000000" w:sz="6" w:space="0"/>
              <w:bottom w:val="single" w:color="000000" w:sz="6" w:space="0"/>
              <w:right w:val="single" w:color="000000" w:sz="6" w:space="0"/>
            </w:tcBorders>
            <w:vAlign w:val="center"/>
          </w:tcPr>
          <w:p w14:paraId="307998E4">
            <w:pPr>
              <w:spacing w:before="48" w:beforeLines="20" w:after="48" w:afterLines="20" w:line="288" w:lineRule="auto"/>
              <w:rPr>
                <w:rFonts w:eastAsia="宋体" w:cs="Arial"/>
                <w:b/>
                <w:bCs/>
                <w:color w:val="auto"/>
                <w:highlight w:val="none"/>
              </w:rPr>
            </w:pPr>
            <w:r>
              <w:rPr>
                <w:rFonts w:eastAsia="宋体" w:cs="Arial"/>
                <w:b/>
                <w:bCs/>
                <w:color w:val="auto"/>
                <w:highlight w:val="none"/>
              </w:rPr>
              <w:t>磋商保证金：</w:t>
            </w:r>
          </w:p>
          <w:p w14:paraId="2B02F252">
            <w:pPr>
              <w:spacing w:before="48" w:beforeLines="20" w:after="48" w:afterLines="20" w:line="288" w:lineRule="auto"/>
              <w:rPr>
                <w:rFonts w:hint="eastAsia" w:eastAsia="宋体" w:cs="Arial"/>
                <w:b/>
                <w:bCs/>
                <w:color w:val="auto"/>
                <w:highlight w:val="none"/>
                <w:lang w:val="en-US" w:eastAsia="zh-CN"/>
              </w:rPr>
            </w:pPr>
            <w:r>
              <w:rPr>
                <w:rFonts w:hint="eastAsia" w:eastAsia="宋体" w:cs="Arial"/>
                <w:b/>
                <w:bCs/>
                <w:color w:val="auto"/>
                <w:highlight w:val="none"/>
              </w:rPr>
              <w:t>人民币</w:t>
            </w:r>
            <w:r>
              <w:rPr>
                <w:rFonts w:hint="eastAsia" w:cs="Arial"/>
                <w:b/>
                <w:bCs/>
                <w:color w:val="auto"/>
                <w:highlight w:val="none"/>
                <w:lang w:val="en-US" w:eastAsia="zh-CN"/>
              </w:rPr>
              <w:t>40000</w:t>
            </w:r>
            <w:r>
              <w:rPr>
                <w:rFonts w:hint="eastAsia" w:eastAsia="宋体" w:cs="Arial"/>
                <w:b/>
                <w:bCs/>
                <w:color w:val="auto"/>
                <w:highlight w:val="none"/>
                <w:lang w:val="en-US" w:eastAsia="zh-CN"/>
              </w:rPr>
              <w:t>.00（大写：</w:t>
            </w:r>
            <w:r>
              <w:rPr>
                <w:rFonts w:hint="eastAsia" w:cs="Arial"/>
                <w:b/>
                <w:bCs/>
                <w:color w:val="auto"/>
                <w:highlight w:val="none"/>
                <w:lang w:val="en-US" w:eastAsia="zh-CN"/>
              </w:rPr>
              <w:t>肆万元整</w:t>
            </w:r>
            <w:r>
              <w:rPr>
                <w:rFonts w:hint="eastAsia" w:eastAsia="宋体" w:cs="Arial"/>
                <w:b/>
                <w:bCs/>
                <w:color w:val="auto"/>
                <w:highlight w:val="none"/>
                <w:lang w:val="en-US" w:eastAsia="zh-CN"/>
              </w:rPr>
              <w:t>）</w:t>
            </w:r>
          </w:p>
          <w:p w14:paraId="3891A121">
            <w:pPr>
              <w:spacing w:before="48" w:beforeLines="20" w:after="48" w:afterLines="20" w:line="288" w:lineRule="auto"/>
              <w:rPr>
                <w:rFonts w:eastAsia="宋体" w:cs="Arial"/>
                <w:b/>
                <w:bCs/>
                <w:color w:val="auto"/>
                <w:highlight w:val="none"/>
                <w:lang w:val="zh-CN"/>
              </w:rPr>
            </w:pPr>
            <w:r>
              <w:rPr>
                <w:rFonts w:hint="eastAsia" w:eastAsia="宋体" w:cs="Arial"/>
                <w:b/>
                <w:bCs/>
                <w:color w:val="auto"/>
                <w:highlight w:val="none"/>
                <w:lang w:val="zh-CN"/>
              </w:rPr>
              <w:t>收款单位：青海海际项目咨询管理有限公司</w:t>
            </w:r>
          </w:p>
          <w:p w14:paraId="7752D37B">
            <w:pPr>
              <w:spacing w:before="48" w:beforeLines="20" w:after="48" w:afterLines="20" w:line="288" w:lineRule="auto"/>
              <w:rPr>
                <w:rFonts w:eastAsia="宋体" w:cs="Arial"/>
                <w:b/>
                <w:bCs/>
                <w:color w:val="auto"/>
                <w:highlight w:val="none"/>
                <w:lang w:val="zh-CN"/>
              </w:rPr>
            </w:pPr>
            <w:r>
              <w:rPr>
                <w:rFonts w:hint="eastAsia" w:eastAsia="宋体" w:cs="Arial"/>
                <w:b/>
                <w:bCs/>
                <w:color w:val="auto"/>
                <w:highlight w:val="none"/>
                <w:lang w:val="zh-CN"/>
              </w:rPr>
              <w:t>开 户 行：</w:t>
            </w:r>
            <w:r>
              <w:rPr>
                <w:rFonts w:hint="eastAsia" w:cs="Arial"/>
                <w:b/>
                <w:bCs/>
                <w:color w:val="auto"/>
                <w:highlight w:val="none"/>
                <w:lang w:val="zh-CN"/>
              </w:rPr>
              <w:t>中信银行西宁五四西路支行</w:t>
            </w:r>
          </w:p>
          <w:p w14:paraId="63166EC1">
            <w:pPr>
              <w:spacing w:before="48" w:beforeLines="20" w:after="48" w:afterLines="20" w:line="288" w:lineRule="auto"/>
              <w:rPr>
                <w:rFonts w:eastAsia="宋体" w:cs="Arial"/>
                <w:b/>
                <w:bCs/>
                <w:color w:val="auto"/>
                <w:highlight w:val="none"/>
                <w:lang w:val="zh-CN"/>
              </w:rPr>
            </w:pPr>
            <w:r>
              <w:rPr>
                <w:rFonts w:hint="eastAsia" w:eastAsia="宋体" w:cs="Arial"/>
                <w:b/>
                <w:bCs/>
                <w:color w:val="auto"/>
                <w:highlight w:val="none"/>
                <w:lang w:val="zh-CN"/>
              </w:rPr>
              <w:t>银行账号：8112801013700034824（后附项目编号）</w:t>
            </w:r>
          </w:p>
          <w:p w14:paraId="371EDB8C">
            <w:pPr>
              <w:spacing w:before="48" w:beforeLines="20" w:after="48" w:afterLines="20" w:line="288" w:lineRule="auto"/>
              <w:rPr>
                <w:rFonts w:hint="default" w:ascii="宋体" w:hAnsi="宋体" w:eastAsia="宋体" w:cs="宋体"/>
                <w:b/>
                <w:color w:val="auto"/>
                <w:szCs w:val="24"/>
                <w:highlight w:val="none"/>
                <w:lang w:val="en-US" w:eastAsia="zh-CN"/>
              </w:rPr>
            </w:pPr>
            <w:r>
              <w:rPr>
                <w:rFonts w:hint="eastAsia" w:eastAsia="宋体" w:cs="Arial"/>
                <w:b/>
                <w:bCs/>
                <w:color w:val="auto"/>
                <w:highlight w:val="none"/>
                <w:lang w:val="zh-CN"/>
              </w:rPr>
              <w:t>行    号：302851059079</w:t>
            </w:r>
            <w:r>
              <w:rPr>
                <w:rFonts w:hint="eastAsia" w:eastAsia="宋体" w:cs="Arial"/>
                <w:b/>
                <w:bCs/>
                <w:color w:val="auto"/>
                <w:highlight w:val="none"/>
                <w:lang w:val="en-US" w:eastAsia="zh-CN"/>
              </w:rPr>
              <w:t xml:space="preserve">   </w:t>
            </w:r>
            <w:r>
              <w:rPr>
                <w:rFonts w:hint="eastAsia" w:ascii="宋体" w:hAnsi="宋体" w:cs="宋体"/>
                <w:b/>
                <w:color w:val="auto"/>
                <w:szCs w:val="24"/>
                <w:highlight w:val="none"/>
                <w:lang w:val="en-US" w:eastAsia="zh-CN"/>
              </w:rPr>
              <w:t xml:space="preserve">  </w:t>
            </w:r>
          </w:p>
          <w:p w14:paraId="32A1EF6E">
            <w:pPr>
              <w:pageBreakBefore w:val="0"/>
              <w:kinsoku/>
              <w:wordWrap/>
              <w:overflowPunct/>
              <w:topLinePunct w:val="0"/>
              <w:bidi w:val="0"/>
              <w:adjustRightInd w:val="0"/>
              <w:snapToGrid w:val="0"/>
              <w:spacing w:before="121" w:beforeLines="30" w:after="48" w:afterLines="20" w:line="312" w:lineRule="auto"/>
              <w:textAlignment w:val="auto"/>
              <w:rPr>
                <w:rFonts w:cs="Arial"/>
                <w:b/>
                <w:bCs/>
                <w:color w:val="auto"/>
                <w:highlight w:val="none"/>
                <w:lang w:val="zh-CN"/>
              </w:rPr>
            </w:pPr>
            <w:r>
              <w:rPr>
                <w:rFonts w:hint="eastAsia" w:cs="Arial"/>
                <w:b/>
                <w:bCs/>
                <w:color w:val="auto"/>
                <w:highlight w:val="none"/>
                <w:lang w:val="zh-CN"/>
              </w:rPr>
              <w:t>交纳时间：投标供应商须在投标截止时间前缴纳投标保证金，以银行到账时间为准。</w:t>
            </w:r>
          </w:p>
          <w:p w14:paraId="4FD1C322">
            <w:pPr>
              <w:pageBreakBefore w:val="0"/>
              <w:numPr>
                <w:ilvl w:val="0"/>
                <w:numId w:val="5"/>
              </w:numPr>
              <w:kinsoku/>
              <w:wordWrap/>
              <w:overflowPunct/>
              <w:topLinePunct w:val="0"/>
              <w:bidi w:val="0"/>
              <w:adjustRightInd w:val="0"/>
              <w:snapToGrid w:val="0"/>
              <w:spacing w:before="121" w:beforeLines="30" w:after="72" w:afterLines="30" w:line="312" w:lineRule="auto"/>
              <w:ind w:left="0" w:leftChars="0" w:firstLine="0" w:firstLineChars="0"/>
              <w:textAlignment w:val="auto"/>
              <w:rPr>
                <w:rFonts w:hint="eastAsia" w:cs="Arial"/>
                <w:color w:val="auto"/>
                <w:szCs w:val="24"/>
                <w:highlight w:val="none"/>
              </w:rPr>
            </w:pPr>
            <w:r>
              <w:rPr>
                <w:rFonts w:cs="Arial"/>
                <w:color w:val="auto"/>
                <w:szCs w:val="24"/>
                <w:highlight w:val="none"/>
              </w:rPr>
              <w:t>磋商</w:t>
            </w:r>
            <w:r>
              <w:rPr>
                <w:rFonts w:hint="eastAsia" w:cs="Arial"/>
                <w:color w:val="auto"/>
                <w:highlight w:val="none"/>
                <w:lang w:val="zh-CN"/>
              </w:rPr>
              <w:t>保证金</w:t>
            </w:r>
            <w:r>
              <w:rPr>
                <w:rFonts w:hint="eastAsia" w:cs="Arial"/>
                <w:color w:val="auto"/>
                <w:highlight w:val="none"/>
              </w:rPr>
              <w:t>若以</w:t>
            </w:r>
            <w:r>
              <w:rPr>
                <w:rFonts w:hint="eastAsia" w:cs="Arial"/>
                <w:color w:val="auto"/>
                <w:highlight w:val="none"/>
                <w:lang w:val="zh-CN"/>
              </w:rPr>
              <w:t>支票、汇票、本票或者金融机构或担保机构出具的保函等非现金形式提交</w:t>
            </w:r>
            <w:r>
              <w:rPr>
                <w:rFonts w:hint="eastAsia" w:cs="Arial"/>
                <w:color w:val="auto"/>
                <w:szCs w:val="24"/>
                <w:highlight w:val="none"/>
              </w:rPr>
              <w:t>，</w:t>
            </w:r>
            <w:r>
              <w:rPr>
                <w:rFonts w:hint="eastAsia" w:cs="Arial"/>
                <w:color w:val="auto"/>
                <w:highlight w:val="none"/>
              </w:rPr>
              <w:t>提交证明材料即可</w:t>
            </w:r>
            <w:r>
              <w:rPr>
                <w:rFonts w:hint="eastAsia" w:cs="Arial"/>
                <w:color w:val="auto"/>
                <w:szCs w:val="24"/>
                <w:highlight w:val="none"/>
              </w:rPr>
              <w:t>。</w:t>
            </w:r>
          </w:p>
          <w:p w14:paraId="6E743F07">
            <w:pPr>
              <w:pageBreakBefore w:val="0"/>
              <w:numPr>
                <w:ilvl w:val="0"/>
                <w:numId w:val="5"/>
              </w:numPr>
              <w:kinsoku/>
              <w:wordWrap/>
              <w:overflowPunct/>
              <w:topLinePunct w:val="0"/>
              <w:bidi w:val="0"/>
              <w:adjustRightInd w:val="0"/>
              <w:snapToGrid w:val="0"/>
              <w:spacing w:before="121" w:beforeLines="30" w:after="72" w:afterLines="30" w:line="312" w:lineRule="auto"/>
              <w:ind w:left="0" w:leftChars="0" w:firstLine="0" w:firstLineChars="0"/>
              <w:textAlignment w:val="auto"/>
              <w:rPr>
                <w:rFonts w:cs="Arial"/>
                <w:color w:val="auto"/>
                <w:highlight w:val="none"/>
              </w:rPr>
            </w:pPr>
            <w:r>
              <w:rPr>
                <w:rFonts w:cs="Arial"/>
                <w:color w:val="auto"/>
                <w:highlight w:val="none"/>
              </w:rPr>
              <w:t>不接受个人名义或现金形式递交的保证金，投标供应商应该单独提交磋商保证金；磋商保证金必须从企业基本账户中支付，磋商响应文件中须附企业开户许可证。</w:t>
            </w:r>
          </w:p>
          <w:p w14:paraId="4D6AE5D0">
            <w:pPr>
              <w:pageBreakBefore w:val="0"/>
              <w:numPr>
                <w:ilvl w:val="0"/>
                <w:numId w:val="5"/>
              </w:numPr>
              <w:kinsoku/>
              <w:wordWrap/>
              <w:overflowPunct/>
              <w:topLinePunct w:val="0"/>
              <w:bidi w:val="0"/>
              <w:adjustRightInd w:val="0"/>
              <w:snapToGrid w:val="0"/>
              <w:spacing w:before="121" w:beforeLines="30" w:after="72" w:afterLines="30" w:line="312" w:lineRule="auto"/>
              <w:ind w:left="0" w:leftChars="0" w:firstLine="0" w:firstLineChars="0"/>
              <w:textAlignment w:val="auto"/>
              <w:rPr>
                <w:rFonts w:cs="Arial"/>
                <w:color w:val="auto"/>
                <w:highlight w:val="none"/>
              </w:rPr>
            </w:pPr>
            <w:r>
              <w:rPr>
                <w:rFonts w:cs="Arial"/>
                <w:color w:val="auto"/>
                <w:highlight w:val="none"/>
              </w:rPr>
              <w:t>投标供应商未按磋商文件要求交纳磋商保证金的，招标代理机构将拒绝接收投标供应商的磋商响应文件。</w:t>
            </w:r>
          </w:p>
          <w:p w14:paraId="30701F97">
            <w:pPr>
              <w:pageBreakBefore w:val="0"/>
              <w:numPr>
                <w:ilvl w:val="0"/>
                <w:numId w:val="5"/>
              </w:numPr>
              <w:kinsoku/>
              <w:wordWrap/>
              <w:overflowPunct/>
              <w:topLinePunct w:val="0"/>
              <w:bidi w:val="0"/>
              <w:adjustRightInd w:val="0"/>
              <w:snapToGrid w:val="0"/>
              <w:spacing w:before="121" w:beforeLines="30" w:after="72" w:afterLines="30" w:line="312" w:lineRule="auto"/>
              <w:ind w:left="0" w:leftChars="0" w:firstLine="0" w:firstLineChars="0"/>
              <w:textAlignment w:val="auto"/>
              <w:rPr>
                <w:rFonts w:cs="Arial"/>
                <w:color w:val="auto"/>
                <w:szCs w:val="24"/>
                <w:highlight w:val="none"/>
              </w:rPr>
            </w:pPr>
            <w:r>
              <w:rPr>
                <w:rFonts w:cs="Arial"/>
                <w:color w:val="auto"/>
                <w:highlight w:val="none"/>
              </w:rPr>
              <w:t>投标供应商未按照磋商文件要求提交磋商保证金的，投标无效</w:t>
            </w:r>
            <w:r>
              <w:rPr>
                <w:rFonts w:hint="eastAsia" w:cs="Arial"/>
                <w:color w:val="auto"/>
                <w:highlight w:val="none"/>
                <w:lang w:eastAsia="zh-CN"/>
              </w:rPr>
              <w:t>。</w:t>
            </w:r>
          </w:p>
          <w:p w14:paraId="7A37D15D">
            <w:pPr>
              <w:pageBreakBefore w:val="0"/>
              <w:numPr>
                <w:ilvl w:val="0"/>
                <w:numId w:val="5"/>
              </w:numPr>
              <w:kinsoku/>
              <w:wordWrap/>
              <w:overflowPunct/>
              <w:topLinePunct w:val="0"/>
              <w:bidi w:val="0"/>
              <w:adjustRightInd w:val="0"/>
              <w:snapToGrid w:val="0"/>
              <w:spacing w:before="121" w:beforeLines="30" w:after="72" w:afterLines="30" w:line="312" w:lineRule="auto"/>
              <w:ind w:left="0" w:leftChars="0" w:firstLine="0" w:firstLineChars="0"/>
              <w:textAlignment w:val="auto"/>
              <w:rPr>
                <w:rFonts w:cs="Arial"/>
                <w:color w:val="auto"/>
                <w:szCs w:val="24"/>
                <w:highlight w:val="none"/>
              </w:rPr>
            </w:pPr>
            <w:r>
              <w:rPr>
                <w:rFonts w:cs="Arial"/>
                <w:color w:val="auto"/>
                <w:highlight w:val="none"/>
              </w:rPr>
              <w:t>投标供应商须自行查询保证金到账情况</w:t>
            </w:r>
            <w:r>
              <w:rPr>
                <w:rFonts w:hint="eastAsia" w:cs="Arial"/>
                <w:color w:val="auto"/>
                <w:highlight w:val="none"/>
              </w:rPr>
              <w:t>。</w:t>
            </w:r>
          </w:p>
          <w:p w14:paraId="13C3EB88">
            <w:pPr>
              <w:spacing w:line="360" w:lineRule="auto"/>
              <w:ind w:right="101" w:rightChars="42"/>
              <w:jc w:val="both"/>
              <w:rPr>
                <w:rFonts w:cs="Arial"/>
                <w:color w:val="auto"/>
                <w:szCs w:val="24"/>
                <w:highlight w:val="none"/>
              </w:rPr>
            </w:pPr>
            <w:r>
              <w:rPr>
                <w:rFonts w:hint="eastAsia" w:ascii="宋体" w:hAnsi="宋体" w:cs="宋体"/>
                <w:b/>
                <w:bCs w:val="0"/>
                <w:color w:val="auto"/>
                <w:highlight w:val="none"/>
              </w:rPr>
              <w:t>（注：投标</w:t>
            </w:r>
            <w:r>
              <w:rPr>
                <w:rFonts w:hint="eastAsia" w:ascii="宋体" w:hAnsi="宋体" w:cs="宋体"/>
                <w:b/>
                <w:bCs w:val="0"/>
                <w:color w:val="auto"/>
                <w:highlight w:val="none"/>
                <w:lang w:val="en-US" w:eastAsia="zh-CN"/>
              </w:rPr>
              <w:t>供应商</w:t>
            </w:r>
            <w:r>
              <w:rPr>
                <w:rFonts w:hint="eastAsia" w:ascii="宋体" w:hAnsi="宋体" w:cs="宋体"/>
                <w:b/>
                <w:bCs w:val="0"/>
                <w:color w:val="auto"/>
                <w:highlight w:val="none"/>
              </w:rPr>
              <w:t>提供的保函期限须≥</w:t>
            </w:r>
            <w:r>
              <w:rPr>
                <w:rFonts w:hint="eastAsia" w:ascii="宋体" w:hAnsi="宋体" w:cs="宋体"/>
                <w:b/>
                <w:bCs w:val="0"/>
                <w:color w:val="auto"/>
                <w:highlight w:val="none"/>
                <w:lang w:val="en-US" w:eastAsia="zh-CN"/>
              </w:rPr>
              <w:t>磋商</w:t>
            </w:r>
            <w:r>
              <w:rPr>
                <w:rFonts w:hint="eastAsia" w:ascii="宋体" w:hAnsi="宋体" w:cs="宋体"/>
                <w:b/>
                <w:bCs w:val="0"/>
                <w:color w:val="auto"/>
                <w:highlight w:val="none"/>
              </w:rPr>
              <w:t>文件规定的投标有效期期限，即保函承包期限不少于202</w:t>
            </w:r>
            <w:r>
              <w:rPr>
                <w:rFonts w:hint="eastAsia" w:ascii="宋体" w:hAnsi="宋体" w:cs="宋体"/>
                <w:b/>
                <w:bCs w:val="0"/>
                <w:color w:val="auto"/>
                <w:highlight w:val="none"/>
                <w:lang w:val="en-US" w:eastAsia="zh-CN"/>
              </w:rPr>
              <w:t>6</w:t>
            </w:r>
            <w:r>
              <w:rPr>
                <w:rFonts w:hint="eastAsia" w:ascii="宋体" w:hAnsi="宋体" w:cs="宋体"/>
                <w:b/>
                <w:bCs w:val="0"/>
                <w:color w:val="auto"/>
                <w:highlight w:val="none"/>
              </w:rPr>
              <w:t>.</w:t>
            </w:r>
            <w:r>
              <w:rPr>
                <w:rFonts w:hint="eastAsia" w:ascii="宋体" w:hAnsi="宋体" w:cs="宋体"/>
                <w:b/>
                <w:bCs w:val="0"/>
                <w:color w:val="auto"/>
                <w:highlight w:val="none"/>
                <w:lang w:val="en-US" w:eastAsia="zh-CN"/>
              </w:rPr>
              <w:t>04.27</w:t>
            </w:r>
            <w:r>
              <w:rPr>
                <w:rFonts w:hint="eastAsia" w:ascii="宋体" w:hAnsi="宋体" w:cs="宋体"/>
                <w:b/>
                <w:bCs w:val="0"/>
                <w:color w:val="auto"/>
                <w:highlight w:val="none"/>
              </w:rPr>
              <w:t>至2026.</w:t>
            </w:r>
            <w:r>
              <w:rPr>
                <w:rFonts w:hint="eastAsia" w:ascii="宋体" w:hAnsi="宋体" w:cs="宋体"/>
                <w:b/>
                <w:bCs w:val="0"/>
                <w:color w:val="auto"/>
                <w:highlight w:val="none"/>
                <w:lang w:val="en-US" w:eastAsia="zh-CN"/>
              </w:rPr>
              <w:t>07</w:t>
            </w:r>
            <w:r>
              <w:rPr>
                <w:rFonts w:hint="eastAsia" w:ascii="宋体" w:hAnsi="宋体" w:cs="宋体"/>
                <w:b/>
                <w:bCs w:val="0"/>
                <w:color w:val="auto"/>
                <w:highlight w:val="none"/>
              </w:rPr>
              <w:t>.</w:t>
            </w:r>
            <w:r>
              <w:rPr>
                <w:rFonts w:hint="eastAsia" w:ascii="宋体" w:hAnsi="宋体" w:cs="宋体"/>
                <w:b/>
                <w:bCs w:val="0"/>
                <w:color w:val="auto"/>
                <w:highlight w:val="none"/>
                <w:lang w:val="en-US" w:eastAsia="zh-CN"/>
              </w:rPr>
              <w:t>08</w:t>
            </w:r>
            <w:r>
              <w:rPr>
                <w:rFonts w:hint="eastAsia" w:ascii="宋体" w:hAnsi="宋体" w:cs="宋体"/>
                <w:b/>
                <w:bCs w:val="0"/>
                <w:color w:val="auto"/>
                <w:highlight w:val="none"/>
              </w:rPr>
              <w:t>）</w:t>
            </w:r>
          </w:p>
        </w:tc>
      </w:tr>
      <w:tr w14:paraId="256DF454">
        <w:tblPrEx>
          <w:tblCellMar>
            <w:top w:w="0" w:type="dxa"/>
            <w:left w:w="57" w:type="dxa"/>
            <w:bottom w:w="0" w:type="dxa"/>
            <w:right w:w="57" w:type="dxa"/>
          </w:tblCellMar>
        </w:tblPrEx>
        <w:trPr>
          <w:trHeight w:val="454" w:hRule="atLeast"/>
          <w:jc w:val="center"/>
        </w:trPr>
        <w:tc>
          <w:tcPr>
            <w:tcW w:w="798" w:type="dxa"/>
            <w:tcBorders>
              <w:top w:val="single" w:color="000000" w:sz="6" w:space="0"/>
              <w:left w:val="single" w:color="000000" w:sz="6" w:space="0"/>
              <w:bottom w:val="single" w:color="000000" w:sz="6" w:space="0"/>
              <w:right w:val="single" w:color="000000" w:sz="6" w:space="0"/>
            </w:tcBorders>
            <w:vAlign w:val="center"/>
          </w:tcPr>
          <w:p w14:paraId="44119015">
            <w:pPr>
              <w:pageBreakBefore w:val="0"/>
              <w:widowControl w:val="0"/>
              <w:numPr>
                <w:ilvl w:val="0"/>
                <w:numId w:val="4"/>
              </w:numPr>
              <w:tabs>
                <w:tab w:val="left" w:pos="95"/>
              </w:tabs>
              <w:kinsoku/>
              <w:wordWrap/>
              <w:overflowPunct/>
              <w:topLinePunct w:val="0"/>
              <w:autoSpaceDE w:val="0"/>
              <w:autoSpaceDN w:val="0"/>
              <w:bidi w:val="0"/>
              <w:adjustRightInd w:val="0"/>
              <w:snapToGrid w:val="0"/>
              <w:spacing w:before="121" w:beforeLines="30" w:after="72" w:afterLines="30" w:line="312" w:lineRule="auto"/>
              <w:jc w:val="center"/>
              <w:textAlignment w:val="auto"/>
              <w:rPr>
                <w:rFonts w:cs="Arial"/>
                <w:color w:val="auto"/>
                <w:szCs w:val="24"/>
                <w:highlight w:val="none"/>
              </w:rPr>
            </w:pPr>
          </w:p>
        </w:tc>
        <w:tc>
          <w:tcPr>
            <w:tcW w:w="1617" w:type="dxa"/>
            <w:tcBorders>
              <w:top w:val="single" w:color="000000" w:sz="6" w:space="0"/>
              <w:left w:val="single" w:color="000000" w:sz="6" w:space="0"/>
              <w:bottom w:val="single" w:color="000000" w:sz="6" w:space="0"/>
              <w:right w:val="single" w:color="000000" w:sz="6" w:space="0"/>
            </w:tcBorders>
            <w:vAlign w:val="center"/>
          </w:tcPr>
          <w:p w14:paraId="05FCB48E">
            <w:pPr>
              <w:pageBreakBefore w:val="0"/>
              <w:kinsoku/>
              <w:wordWrap/>
              <w:overflowPunct/>
              <w:topLinePunct w:val="0"/>
              <w:bidi w:val="0"/>
              <w:adjustRightInd w:val="0"/>
              <w:snapToGrid w:val="0"/>
              <w:spacing w:before="121" w:beforeLines="30" w:after="72" w:afterLines="30" w:line="312" w:lineRule="auto"/>
              <w:jc w:val="center"/>
              <w:textAlignment w:val="auto"/>
              <w:rPr>
                <w:rFonts w:cs="Arial"/>
                <w:color w:val="auto"/>
                <w:szCs w:val="24"/>
                <w:highlight w:val="none"/>
              </w:rPr>
            </w:pPr>
            <w:r>
              <w:rPr>
                <w:rFonts w:cs="Arial"/>
                <w:color w:val="auto"/>
                <w:szCs w:val="24"/>
                <w:highlight w:val="none"/>
              </w:rPr>
              <w:t>磋商保证金退还</w:t>
            </w:r>
          </w:p>
        </w:tc>
        <w:tc>
          <w:tcPr>
            <w:tcW w:w="6722" w:type="dxa"/>
            <w:tcBorders>
              <w:top w:val="single" w:color="000000" w:sz="6" w:space="0"/>
              <w:left w:val="single" w:color="000000" w:sz="6" w:space="0"/>
              <w:bottom w:val="single" w:color="000000" w:sz="6" w:space="0"/>
              <w:right w:val="single" w:color="000000" w:sz="6" w:space="0"/>
            </w:tcBorders>
            <w:vAlign w:val="center"/>
          </w:tcPr>
          <w:p w14:paraId="34A120EE">
            <w:pPr>
              <w:pageBreakBefore w:val="0"/>
              <w:kinsoku/>
              <w:wordWrap/>
              <w:overflowPunct/>
              <w:topLinePunct w:val="0"/>
              <w:bidi w:val="0"/>
              <w:adjustRightInd w:val="0"/>
              <w:snapToGrid w:val="0"/>
              <w:spacing w:before="121" w:beforeLines="30" w:after="72" w:afterLines="30" w:line="312" w:lineRule="auto"/>
              <w:jc w:val="both"/>
              <w:textAlignment w:val="auto"/>
              <w:rPr>
                <w:rFonts w:cs="Arial"/>
                <w:color w:val="auto"/>
                <w:szCs w:val="24"/>
                <w:highlight w:val="none"/>
              </w:rPr>
            </w:pPr>
            <w:r>
              <w:rPr>
                <w:rFonts w:cs="Arial"/>
                <w:color w:val="auto"/>
                <w:szCs w:val="24"/>
                <w:highlight w:val="none"/>
              </w:rPr>
              <w:t>未成交响应人的磋商保证金自成交通知书发出之日起5个工作日内退还（不退现金）；成交人的磋商保证金，自政府采购合同签订之日起5个工作日内退还（不退现金）</w:t>
            </w:r>
          </w:p>
        </w:tc>
      </w:tr>
      <w:tr w14:paraId="000B2091">
        <w:tblPrEx>
          <w:tblCellMar>
            <w:top w:w="0" w:type="dxa"/>
            <w:left w:w="57" w:type="dxa"/>
            <w:bottom w:w="0" w:type="dxa"/>
            <w:right w:w="57" w:type="dxa"/>
          </w:tblCellMar>
        </w:tblPrEx>
        <w:trPr>
          <w:trHeight w:val="454" w:hRule="atLeast"/>
          <w:jc w:val="center"/>
        </w:trPr>
        <w:tc>
          <w:tcPr>
            <w:tcW w:w="798" w:type="dxa"/>
            <w:tcBorders>
              <w:top w:val="single" w:color="000000" w:sz="6" w:space="0"/>
              <w:left w:val="single" w:color="000000" w:sz="6" w:space="0"/>
              <w:bottom w:val="single" w:color="000000" w:sz="6" w:space="0"/>
              <w:right w:val="single" w:color="000000" w:sz="6" w:space="0"/>
            </w:tcBorders>
            <w:vAlign w:val="center"/>
          </w:tcPr>
          <w:p w14:paraId="757315D4">
            <w:pPr>
              <w:pageBreakBefore w:val="0"/>
              <w:widowControl w:val="0"/>
              <w:numPr>
                <w:ilvl w:val="0"/>
                <w:numId w:val="4"/>
              </w:numPr>
              <w:tabs>
                <w:tab w:val="left" w:pos="95"/>
              </w:tabs>
              <w:kinsoku/>
              <w:wordWrap/>
              <w:overflowPunct/>
              <w:topLinePunct w:val="0"/>
              <w:autoSpaceDE w:val="0"/>
              <w:autoSpaceDN w:val="0"/>
              <w:bidi w:val="0"/>
              <w:adjustRightInd w:val="0"/>
              <w:snapToGrid w:val="0"/>
              <w:spacing w:before="121" w:beforeLines="30" w:after="72" w:afterLines="30" w:line="312" w:lineRule="auto"/>
              <w:jc w:val="center"/>
              <w:textAlignment w:val="auto"/>
              <w:rPr>
                <w:rFonts w:cs="Arial"/>
                <w:color w:val="auto"/>
                <w:szCs w:val="24"/>
                <w:highlight w:val="none"/>
              </w:rPr>
            </w:pPr>
          </w:p>
        </w:tc>
        <w:tc>
          <w:tcPr>
            <w:tcW w:w="1617" w:type="dxa"/>
            <w:tcBorders>
              <w:top w:val="single" w:color="000000" w:sz="6" w:space="0"/>
              <w:left w:val="single" w:color="000000" w:sz="6" w:space="0"/>
              <w:bottom w:val="single" w:color="000000" w:sz="6" w:space="0"/>
              <w:right w:val="single" w:color="000000" w:sz="6" w:space="0"/>
            </w:tcBorders>
            <w:vAlign w:val="center"/>
          </w:tcPr>
          <w:p w14:paraId="1ED3D476">
            <w:pPr>
              <w:pageBreakBefore w:val="0"/>
              <w:kinsoku/>
              <w:wordWrap/>
              <w:overflowPunct/>
              <w:topLinePunct w:val="0"/>
              <w:bidi w:val="0"/>
              <w:adjustRightInd w:val="0"/>
              <w:snapToGrid w:val="0"/>
              <w:spacing w:before="121" w:beforeLines="30" w:after="72" w:afterLines="30" w:line="312" w:lineRule="auto"/>
              <w:jc w:val="center"/>
              <w:textAlignment w:val="auto"/>
              <w:rPr>
                <w:rFonts w:cs="Arial"/>
                <w:color w:val="auto"/>
                <w:szCs w:val="24"/>
                <w:highlight w:val="none"/>
              </w:rPr>
            </w:pPr>
            <w:r>
              <w:rPr>
                <w:rFonts w:cs="Arial"/>
                <w:color w:val="auto"/>
                <w:szCs w:val="24"/>
                <w:highlight w:val="none"/>
              </w:rPr>
              <w:t>响应文件编制</w:t>
            </w:r>
          </w:p>
          <w:p w14:paraId="773C9064">
            <w:pPr>
              <w:pageBreakBefore w:val="0"/>
              <w:kinsoku/>
              <w:wordWrap/>
              <w:overflowPunct/>
              <w:topLinePunct w:val="0"/>
              <w:bidi w:val="0"/>
              <w:adjustRightInd w:val="0"/>
              <w:snapToGrid w:val="0"/>
              <w:spacing w:before="121" w:beforeLines="30" w:after="72" w:afterLines="30" w:line="312" w:lineRule="auto"/>
              <w:jc w:val="center"/>
              <w:textAlignment w:val="auto"/>
              <w:rPr>
                <w:rFonts w:cs="Arial"/>
                <w:color w:val="auto"/>
                <w:szCs w:val="24"/>
                <w:highlight w:val="none"/>
              </w:rPr>
            </w:pPr>
            <w:r>
              <w:rPr>
                <w:rFonts w:cs="Arial"/>
                <w:color w:val="auto"/>
                <w:szCs w:val="24"/>
                <w:highlight w:val="none"/>
              </w:rPr>
              <w:t>要求</w:t>
            </w:r>
          </w:p>
        </w:tc>
        <w:tc>
          <w:tcPr>
            <w:tcW w:w="672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501A9C5">
            <w:pPr>
              <w:pStyle w:val="52"/>
              <w:ind w:left="0" w:leftChars="0" w:firstLine="0" w:firstLineChars="0"/>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1.磋商响应文件编制格式为word系统签章保存后转换为pdf格式上传，格式须按磋商响应文件第</w:t>
            </w:r>
            <w:r>
              <w:rPr>
                <w:rFonts w:hint="eastAsia" w:ascii="宋体" w:hAnsi="宋体" w:eastAsia="宋体" w:cs="宋体"/>
                <w:color w:val="auto"/>
                <w:kern w:val="0"/>
                <w:szCs w:val="24"/>
                <w:highlight w:val="none"/>
                <w:lang w:val="en-US" w:eastAsia="zh-CN"/>
              </w:rPr>
              <w:t>五</w:t>
            </w:r>
            <w:r>
              <w:rPr>
                <w:rFonts w:hint="eastAsia" w:ascii="宋体" w:hAnsi="宋体" w:eastAsia="宋体" w:cs="宋体"/>
                <w:color w:val="auto"/>
                <w:kern w:val="0"/>
                <w:szCs w:val="24"/>
                <w:highlight w:val="none"/>
                <w:lang w:val="zh-CN"/>
              </w:rPr>
              <w:t>部分“磋商响应文件格式”要求制作，且目录索引定位到内容。</w:t>
            </w:r>
          </w:p>
          <w:p w14:paraId="07532B6D">
            <w:pPr>
              <w:pStyle w:val="52"/>
              <w:ind w:left="0" w:leftChars="0" w:firstLine="0" w:firstLineChars="0"/>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2.磋商响应文件中的扫描或复印件内容应清晰可辨，且要求正向放置。</w:t>
            </w:r>
          </w:p>
          <w:p w14:paraId="09A8F1A5">
            <w:pPr>
              <w:pStyle w:val="52"/>
              <w:ind w:left="0" w:leftChars="0" w:firstLine="0" w:firstLineChars="0"/>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3.磋商响应文件要求签字、盖章的地方必须由供应商的法定代表人或委托代理人按要求签字、盖章。</w:t>
            </w:r>
          </w:p>
          <w:p w14:paraId="7898727F">
            <w:pPr>
              <w:pStyle w:val="52"/>
              <w:ind w:left="0" w:leftChars="0" w:firstLine="0" w:firstLineChars="0"/>
              <w:rPr>
                <w:rFonts w:hint="eastAsia" w:ascii="宋体" w:hAnsi="宋体" w:eastAsia="宋体" w:cs="宋体"/>
                <w:color w:val="auto"/>
                <w:kern w:val="0"/>
                <w:szCs w:val="24"/>
                <w:highlight w:val="none"/>
                <w:lang w:val="zh-CN"/>
              </w:rPr>
            </w:pPr>
            <w:r>
              <w:rPr>
                <w:rFonts w:hint="eastAsia" w:ascii="宋体" w:hAnsi="宋体" w:cs="宋体"/>
                <w:color w:val="auto"/>
                <w:kern w:val="0"/>
                <w:szCs w:val="24"/>
                <w:highlight w:val="none"/>
                <w:lang w:val="en-US" w:eastAsia="zh-CN"/>
              </w:rPr>
              <w:t>4</w:t>
            </w:r>
            <w:r>
              <w:rPr>
                <w:rFonts w:hint="eastAsia" w:ascii="宋体" w:hAnsi="宋体" w:eastAsia="宋体" w:cs="宋体"/>
                <w:color w:val="auto"/>
                <w:kern w:val="0"/>
                <w:szCs w:val="24"/>
                <w:highlight w:val="none"/>
                <w:lang w:val="zh-CN"/>
              </w:rPr>
              <w:t>.供应商应在提交磋商响应文件截止时间前上传磋商响应文件。因目录格式不准确、不能索引定位到内容、文件过大、未提交全部文件内容或文件内容错误、上传效果差等原因导致无法评审的，有可能判定为无效投标。</w:t>
            </w:r>
          </w:p>
          <w:p w14:paraId="754E9CB1">
            <w:pPr>
              <w:pStyle w:val="52"/>
              <w:ind w:left="0" w:leftChars="0" w:firstLine="0" w:firstLineChars="0"/>
              <w:rPr>
                <w:rFonts w:hint="eastAsia" w:ascii="宋体" w:hAnsi="宋体" w:eastAsia="宋体" w:cs="宋体"/>
                <w:color w:val="auto"/>
                <w:kern w:val="0"/>
                <w:sz w:val="24"/>
                <w:szCs w:val="24"/>
                <w:highlight w:val="none"/>
                <w:lang w:val="zh-CN" w:eastAsia="zh-CN" w:bidi="ar-SA"/>
              </w:rPr>
            </w:pPr>
            <w:r>
              <w:rPr>
                <w:rFonts w:hint="eastAsia" w:ascii="宋体" w:hAnsi="宋体" w:cs="宋体"/>
                <w:color w:val="auto"/>
                <w:kern w:val="0"/>
                <w:szCs w:val="24"/>
                <w:highlight w:val="none"/>
                <w:lang w:val="en-US" w:eastAsia="zh-CN"/>
              </w:rPr>
              <w:t>5</w:t>
            </w:r>
            <w:r>
              <w:rPr>
                <w:rFonts w:hint="eastAsia" w:ascii="宋体" w:hAnsi="宋体" w:eastAsia="宋体" w:cs="宋体"/>
                <w:color w:val="auto"/>
                <w:kern w:val="0"/>
                <w:szCs w:val="24"/>
                <w:highlight w:val="none"/>
                <w:lang w:val="zh-CN"/>
              </w:rPr>
              <w:t>.各投标单位在编制磋商响应文件时须对磋商响应文件及附图进行脱密处理。脱密范围按《自然资源部国家保密局关于印发&lt;涉密地质资料管理细则&gt;的通知》(自然资发〔2022〕78号)、《自然资源部·国家保密局·关于印发&lt;自然资源工作国家秘密范围的规定&gt;的通知》(自然资发〔202</w:t>
            </w:r>
            <w:r>
              <w:rPr>
                <w:rFonts w:hint="eastAsia" w:ascii="宋体" w:hAnsi="宋体" w:cs="宋体"/>
                <w:color w:val="auto"/>
                <w:kern w:val="0"/>
                <w:szCs w:val="24"/>
                <w:highlight w:val="none"/>
                <w:lang w:val="en-US" w:eastAsia="zh-CN"/>
              </w:rPr>
              <w:t>1</w:t>
            </w:r>
            <w:r>
              <w:rPr>
                <w:rFonts w:hint="eastAsia" w:ascii="宋体" w:hAnsi="宋体" w:eastAsia="宋体" w:cs="宋体"/>
                <w:color w:val="auto"/>
                <w:kern w:val="0"/>
                <w:szCs w:val="24"/>
                <w:highlight w:val="none"/>
                <w:lang w:val="zh-CN"/>
              </w:rPr>
              <w:t>〕172号)、《自然资源部 国家保密局关于印发〈测绘地理信息管理工作国家秘密范围的规定〉的通知》（自然资发〔2020〕95号）有关规定执行。</w:t>
            </w:r>
          </w:p>
        </w:tc>
      </w:tr>
      <w:tr w14:paraId="0C35B464">
        <w:tblPrEx>
          <w:tblCellMar>
            <w:top w:w="0" w:type="dxa"/>
            <w:left w:w="57" w:type="dxa"/>
            <w:bottom w:w="0" w:type="dxa"/>
            <w:right w:w="57" w:type="dxa"/>
          </w:tblCellMar>
        </w:tblPrEx>
        <w:trPr>
          <w:trHeight w:val="454" w:hRule="atLeast"/>
          <w:jc w:val="center"/>
        </w:trPr>
        <w:tc>
          <w:tcPr>
            <w:tcW w:w="798" w:type="dxa"/>
            <w:tcBorders>
              <w:top w:val="single" w:color="000000" w:sz="6" w:space="0"/>
              <w:left w:val="single" w:color="000000" w:sz="6" w:space="0"/>
              <w:bottom w:val="single" w:color="000000" w:sz="6" w:space="0"/>
              <w:right w:val="single" w:color="000000" w:sz="6" w:space="0"/>
            </w:tcBorders>
            <w:vAlign w:val="center"/>
          </w:tcPr>
          <w:p w14:paraId="22DFECD9">
            <w:pPr>
              <w:pageBreakBefore w:val="0"/>
              <w:widowControl w:val="0"/>
              <w:numPr>
                <w:ilvl w:val="0"/>
                <w:numId w:val="4"/>
              </w:numPr>
              <w:tabs>
                <w:tab w:val="left" w:pos="95"/>
              </w:tabs>
              <w:kinsoku/>
              <w:wordWrap/>
              <w:overflowPunct/>
              <w:topLinePunct w:val="0"/>
              <w:autoSpaceDE w:val="0"/>
              <w:autoSpaceDN w:val="0"/>
              <w:bidi w:val="0"/>
              <w:adjustRightInd w:val="0"/>
              <w:snapToGrid w:val="0"/>
              <w:spacing w:before="121" w:beforeLines="30" w:after="72" w:afterLines="30" w:line="312" w:lineRule="auto"/>
              <w:jc w:val="center"/>
              <w:textAlignment w:val="auto"/>
              <w:rPr>
                <w:rFonts w:cs="Arial"/>
                <w:color w:val="auto"/>
                <w:szCs w:val="24"/>
                <w:highlight w:val="none"/>
              </w:rPr>
            </w:pPr>
          </w:p>
        </w:tc>
        <w:tc>
          <w:tcPr>
            <w:tcW w:w="1617" w:type="dxa"/>
            <w:tcBorders>
              <w:top w:val="single" w:color="000000" w:sz="6" w:space="0"/>
              <w:left w:val="single" w:color="000000" w:sz="6" w:space="0"/>
              <w:bottom w:val="single" w:color="000000" w:sz="6" w:space="0"/>
              <w:right w:val="single" w:color="000000" w:sz="6" w:space="0"/>
            </w:tcBorders>
            <w:vAlign w:val="center"/>
          </w:tcPr>
          <w:p w14:paraId="22548ABE">
            <w:pPr>
              <w:pageBreakBefore w:val="0"/>
              <w:kinsoku/>
              <w:wordWrap/>
              <w:overflowPunct/>
              <w:topLinePunct w:val="0"/>
              <w:autoSpaceDE w:val="0"/>
              <w:autoSpaceDN w:val="0"/>
              <w:bidi w:val="0"/>
              <w:adjustRightInd w:val="0"/>
              <w:snapToGrid w:val="0"/>
              <w:spacing w:before="121" w:beforeLines="30" w:line="312" w:lineRule="auto"/>
              <w:jc w:val="center"/>
              <w:textAlignment w:val="auto"/>
              <w:rPr>
                <w:rFonts w:cs="Arial"/>
                <w:color w:val="auto"/>
                <w:szCs w:val="24"/>
                <w:highlight w:val="none"/>
              </w:rPr>
            </w:pPr>
            <w:r>
              <w:rPr>
                <w:rFonts w:cs="Arial"/>
                <w:color w:val="auto"/>
                <w:szCs w:val="24"/>
                <w:highlight w:val="none"/>
              </w:rPr>
              <w:t>递交响应文件方式</w:t>
            </w:r>
          </w:p>
        </w:tc>
        <w:tc>
          <w:tcPr>
            <w:tcW w:w="6722" w:type="dxa"/>
            <w:tcBorders>
              <w:top w:val="single" w:color="000000" w:sz="6" w:space="0"/>
              <w:left w:val="single" w:color="000000" w:sz="6" w:space="0"/>
              <w:bottom w:val="single" w:color="000000" w:sz="6" w:space="0"/>
              <w:right w:val="single" w:color="000000" w:sz="6" w:space="0"/>
            </w:tcBorders>
            <w:vAlign w:val="center"/>
          </w:tcPr>
          <w:p w14:paraId="3F5D4EAF">
            <w:pPr>
              <w:pageBreakBefore w:val="0"/>
              <w:kinsoku/>
              <w:wordWrap/>
              <w:overflowPunct/>
              <w:topLinePunct w:val="0"/>
              <w:bidi w:val="0"/>
              <w:adjustRightInd w:val="0"/>
              <w:snapToGrid w:val="0"/>
              <w:spacing w:before="121" w:beforeLines="30" w:line="312" w:lineRule="auto"/>
              <w:textAlignment w:val="auto"/>
              <w:rPr>
                <w:rFonts w:cs="Arial"/>
                <w:b/>
                <w:bCs/>
                <w:color w:val="auto"/>
                <w:szCs w:val="24"/>
                <w:highlight w:val="none"/>
              </w:rPr>
            </w:pPr>
            <w:r>
              <w:rPr>
                <w:rFonts w:ascii="宋体" w:hAnsi="宋体" w:cs="仿宋"/>
                <w:b w:val="0"/>
                <w:bCs/>
                <w:color w:val="auto"/>
                <w:highlight w:val="none"/>
              </w:rPr>
              <w:t>本次</w:t>
            </w:r>
            <w:r>
              <w:rPr>
                <w:rFonts w:hint="eastAsia" w:ascii="宋体" w:hAnsi="宋体" w:cs="仿宋"/>
                <w:b w:val="0"/>
                <w:bCs/>
                <w:color w:val="auto"/>
                <w:highlight w:val="none"/>
              </w:rPr>
              <w:t>招标采用</w:t>
            </w:r>
            <w:r>
              <w:rPr>
                <w:rFonts w:ascii="宋体" w:hAnsi="宋体" w:cs="仿宋"/>
                <w:b w:val="0"/>
                <w:bCs/>
                <w:color w:val="auto"/>
                <w:highlight w:val="none"/>
              </w:rPr>
              <w:t>线上提交</w:t>
            </w:r>
            <w:r>
              <w:rPr>
                <w:rFonts w:hint="eastAsia" w:ascii="宋体" w:hAnsi="宋体" w:cs="仿宋"/>
                <w:b w:val="0"/>
                <w:bCs/>
                <w:color w:val="auto"/>
                <w:highlight w:val="none"/>
              </w:rPr>
              <w:t>投标</w:t>
            </w:r>
            <w:r>
              <w:rPr>
                <w:rFonts w:ascii="宋体" w:hAnsi="宋体" w:cs="仿宋"/>
                <w:b w:val="0"/>
                <w:bCs/>
                <w:color w:val="auto"/>
                <w:highlight w:val="none"/>
              </w:rPr>
              <w:t>文件</w:t>
            </w:r>
            <w:r>
              <w:rPr>
                <w:rFonts w:hint="eastAsia" w:ascii="宋体" w:hAnsi="宋体" w:cs="仿宋"/>
                <w:b w:val="0"/>
                <w:bCs/>
                <w:color w:val="auto"/>
                <w:highlight w:val="none"/>
              </w:rPr>
              <w:t>的</w:t>
            </w:r>
            <w:r>
              <w:rPr>
                <w:rFonts w:ascii="宋体" w:hAnsi="宋体" w:cs="仿宋"/>
                <w:b w:val="0"/>
                <w:bCs/>
                <w:color w:val="auto"/>
                <w:highlight w:val="none"/>
              </w:rPr>
              <w:t>方式进行</w:t>
            </w:r>
            <w:r>
              <w:rPr>
                <w:rFonts w:hint="eastAsia" w:ascii="宋体" w:hAnsi="宋体" w:cs="仿宋"/>
                <w:b w:val="0"/>
                <w:bCs/>
                <w:color w:val="auto"/>
                <w:highlight w:val="none"/>
              </w:rPr>
              <w:t>招标，线上投标文件必须在投标文件递交截止时间前上传至政采云平台</w:t>
            </w:r>
            <w:r>
              <w:rPr>
                <w:rFonts w:cs="Arial"/>
                <w:b w:val="0"/>
                <w:bCs/>
                <w:color w:val="auto"/>
                <w:szCs w:val="24"/>
                <w:highlight w:val="none"/>
              </w:rPr>
              <w:t>。</w:t>
            </w:r>
            <w:r>
              <w:rPr>
                <w:rFonts w:hint="eastAsia" w:cs="Calibri"/>
                <w:b w:val="0"/>
                <w:bCs/>
                <w:color w:val="auto"/>
                <w:szCs w:val="32"/>
                <w:highlight w:val="none"/>
              </w:rPr>
              <w:t>开评标当日随时保持电话畅通。</w:t>
            </w:r>
            <w:r>
              <w:rPr>
                <w:rFonts w:hint="eastAsia" w:ascii="宋体" w:hAnsi="宋体" w:cs="宋体"/>
                <w:b w:val="0"/>
                <w:bCs/>
                <w:color w:val="auto"/>
                <w:highlight w:val="none"/>
              </w:rPr>
              <w:t xml:space="preserve"> </w:t>
            </w:r>
          </w:p>
        </w:tc>
      </w:tr>
      <w:tr w14:paraId="0E879904">
        <w:tblPrEx>
          <w:tblCellMar>
            <w:top w:w="0" w:type="dxa"/>
            <w:left w:w="57" w:type="dxa"/>
            <w:bottom w:w="0" w:type="dxa"/>
            <w:right w:w="57" w:type="dxa"/>
          </w:tblCellMar>
        </w:tblPrEx>
        <w:trPr>
          <w:trHeight w:val="683" w:hRule="atLeast"/>
          <w:jc w:val="center"/>
        </w:trPr>
        <w:tc>
          <w:tcPr>
            <w:tcW w:w="798" w:type="dxa"/>
            <w:tcBorders>
              <w:top w:val="single" w:color="000000" w:sz="6" w:space="0"/>
              <w:left w:val="single" w:color="000000" w:sz="6" w:space="0"/>
              <w:bottom w:val="single" w:color="000000" w:sz="6" w:space="0"/>
              <w:right w:val="single" w:color="000000" w:sz="6" w:space="0"/>
            </w:tcBorders>
            <w:vAlign w:val="center"/>
          </w:tcPr>
          <w:p w14:paraId="5263F7B6">
            <w:pPr>
              <w:pageBreakBefore w:val="0"/>
              <w:widowControl w:val="0"/>
              <w:numPr>
                <w:ilvl w:val="0"/>
                <w:numId w:val="4"/>
              </w:numPr>
              <w:tabs>
                <w:tab w:val="left" w:pos="95"/>
              </w:tabs>
              <w:kinsoku/>
              <w:wordWrap/>
              <w:overflowPunct/>
              <w:topLinePunct w:val="0"/>
              <w:autoSpaceDE w:val="0"/>
              <w:autoSpaceDN w:val="0"/>
              <w:bidi w:val="0"/>
              <w:adjustRightInd w:val="0"/>
              <w:snapToGrid w:val="0"/>
              <w:spacing w:before="121" w:beforeLines="30" w:after="72" w:afterLines="30" w:line="312" w:lineRule="auto"/>
              <w:jc w:val="center"/>
              <w:textAlignment w:val="auto"/>
              <w:rPr>
                <w:rFonts w:cs="Arial"/>
                <w:color w:val="auto"/>
                <w:szCs w:val="24"/>
                <w:highlight w:val="none"/>
              </w:rPr>
            </w:pPr>
          </w:p>
        </w:tc>
        <w:tc>
          <w:tcPr>
            <w:tcW w:w="1617" w:type="dxa"/>
            <w:tcBorders>
              <w:top w:val="single" w:color="000000" w:sz="6" w:space="0"/>
              <w:left w:val="single" w:color="000000" w:sz="6" w:space="0"/>
              <w:bottom w:val="single" w:color="000000" w:sz="6" w:space="0"/>
              <w:right w:val="single" w:color="000000" w:sz="6" w:space="0"/>
            </w:tcBorders>
            <w:vAlign w:val="center"/>
          </w:tcPr>
          <w:p w14:paraId="6FB19D71">
            <w:pPr>
              <w:pageBreakBefore w:val="0"/>
              <w:kinsoku/>
              <w:wordWrap/>
              <w:overflowPunct/>
              <w:topLinePunct w:val="0"/>
              <w:bidi w:val="0"/>
              <w:adjustRightInd w:val="0"/>
              <w:snapToGrid w:val="0"/>
              <w:spacing w:before="121" w:beforeLines="30" w:line="312" w:lineRule="auto"/>
              <w:jc w:val="center"/>
              <w:textAlignment w:val="auto"/>
              <w:rPr>
                <w:rFonts w:cs="Arial"/>
                <w:color w:val="auto"/>
                <w:szCs w:val="24"/>
                <w:highlight w:val="none"/>
              </w:rPr>
            </w:pPr>
            <w:r>
              <w:rPr>
                <w:rFonts w:cs="Arial"/>
                <w:color w:val="auto"/>
                <w:szCs w:val="24"/>
                <w:highlight w:val="none"/>
              </w:rPr>
              <w:t>提交响应文件</w:t>
            </w:r>
          </w:p>
          <w:p w14:paraId="60160052">
            <w:pPr>
              <w:pageBreakBefore w:val="0"/>
              <w:kinsoku/>
              <w:wordWrap/>
              <w:overflowPunct/>
              <w:topLinePunct w:val="0"/>
              <w:bidi w:val="0"/>
              <w:adjustRightInd w:val="0"/>
              <w:snapToGrid w:val="0"/>
              <w:spacing w:before="121" w:beforeLines="30" w:line="312" w:lineRule="auto"/>
              <w:jc w:val="center"/>
              <w:textAlignment w:val="auto"/>
              <w:rPr>
                <w:rFonts w:cs="Arial"/>
                <w:color w:val="auto"/>
                <w:szCs w:val="24"/>
                <w:highlight w:val="none"/>
              </w:rPr>
            </w:pPr>
            <w:r>
              <w:rPr>
                <w:rFonts w:cs="Arial"/>
                <w:color w:val="auto"/>
                <w:szCs w:val="24"/>
                <w:highlight w:val="none"/>
              </w:rPr>
              <w:t>截止时间</w:t>
            </w:r>
          </w:p>
        </w:tc>
        <w:tc>
          <w:tcPr>
            <w:tcW w:w="6722" w:type="dxa"/>
            <w:tcBorders>
              <w:top w:val="single" w:color="000000" w:sz="6" w:space="0"/>
              <w:left w:val="single" w:color="000000" w:sz="6" w:space="0"/>
              <w:bottom w:val="single" w:color="000000" w:sz="6" w:space="0"/>
              <w:right w:val="single" w:color="000000" w:sz="6" w:space="0"/>
            </w:tcBorders>
            <w:vAlign w:val="center"/>
          </w:tcPr>
          <w:p w14:paraId="0F0128AA">
            <w:pPr>
              <w:pageBreakBefore w:val="0"/>
              <w:kinsoku/>
              <w:wordWrap/>
              <w:overflowPunct/>
              <w:topLinePunct w:val="0"/>
              <w:autoSpaceDE w:val="0"/>
              <w:autoSpaceDN w:val="0"/>
              <w:bidi w:val="0"/>
              <w:adjustRightInd w:val="0"/>
              <w:snapToGrid w:val="0"/>
              <w:spacing w:before="121" w:beforeLines="30" w:line="312" w:lineRule="auto"/>
              <w:textAlignment w:val="auto"/>
              <w:rPr>
                <w:rFonts w:hint="eastAsia" w:ascii="宋体" w:hAnsi="宋体" w:eastAsia="宋体" w:cs="宋体"/>
                <w:color w:val="auto"/>
                <w:kern w:val="0"/>
                <w:sz w:val="24"/>
                <w:szCs w:val="24"/>
                <w:highlight w:val="none"/>
                <w:lang w:val="zh-CN" w:eastAsia="zh-CN" w:bidi="ar-SA"/>
              </w:rPr>
            </w:pPr>
            <w:r>
              <w:rPr>
                <w:rFonts w:hint="eastAsia" w:ascii="宋体" w:hAnsi="宋体" w:cs="宋体"/>
                <w:color w:val="auto"/>
                <w:kern w:val="0"/>
                <w:sz w:val="24"/>
                <w:szCs w:val="24"/>
                <w:highlight w:val="none"/>
                <w:lang w:val="en-US" w:eastAsia="zh-CN" w:bidi="ar-SA"/>
              </w:rPr>
              <w:t>2026年05月08日14时00分（北京时间）</w:t>
            </w:r>
          </w:p>
        </w:tc>
      </w:tr>
      <w:tr w14:paraId="0D819059">
        <w:tblPrEx>
          <w:tblCellMar>
            <w:top w:w="0" w:type="dxa"/>
            <w:left w:w="57" w:type="dxa"/>
            <w:bottom w:w="0" w:type="dxa"/>
            <w:right w:w="57" w:type="dxa"/>
          </w:tblCellMar>
        </w:tblPrEx>
        <w:trPr>
          <w:trHeight w:val="454" w:hRule="atLeast"/>
          <w:jc w:val="center"/>
        </w:trPr>
        <w:tc>
          <w:tcPr>
            <w:tcW w:w="798" w:type="dxa"/>
            <w:tcBorders>
              <w:top w:val="single" w:color="000000" w:sz="6" w:space="0"/>
              <w:left w:val="single" w:color="000000" w:sz="6" w:space="0"/>
              <w:bottom w:val="single" w:color="000000" w:sz="6" w:space="0"/>
              <w:right w:val="single" w:color="000000" w:sz="6" w:space="0"/>
            </w:tcBorders>
            <w:vAlign w:val="center"/>
          </w:tcPr>
          <w:p w14:paraId="42F418E5">
            <w:pPr>
              <w:pageBreakBefore w:val="0"/>
              <w:widowControl w:val="0"/>
              <w:numPr>
                <w:ilvl w:val="0"/>
                <w:numId w:val="4"/>
              </w:numPr>
              <w:tabs>
                <w:tab w:val="left" w:pos="95"/>
              </w:tabs>
              <w:kinsoku/>
              <w:wordWrap/>
              <w:overflowPunct/>
              <w:topLinePunct w:val="0"/>
              <w:autoSpaceDE w:val="0"/>
              <w:autoSpaceDN w:val="0"/>
              <w:bidi w:val="0"/>
              <w:adjustRightInd w:val="0"/>
              <w:snapToGrid w:val="0"/>
              <w:spacing w:before="121" w:beforeLines="30" w:after="72" w:afterLines="30" w:line="312" w:lineRule="auto"/>
              <w:jc w:val="center"/>
              <w:textAlignment w:val="auto"/>
              <w:rPr>
                <w:rFonts w:cs="Arial"/>
                <w:color w:val="auto"/>
                <w:szCs w:val="24"/>
                <w:highlight w:val="none"/>
              </w:rPr>
            </w:pPr>
          </w:p>
        </w:tc>
        <w:tc>
          <w:tcPr>
            <w:tcW w:w="1617" w:type="dxa"/>
            <w:tcBorders>
              <w:top w:val="single" w:color="000000" w:sz="6" w:space="0"/>
              <w:left w:val="single" w:color="000000" w:sz="6" w:space="0"/>
              <w:bottom w:val="single" w:color="000000" w:sz="6" w:space="0"/>
              <w:right w:val="single" w:color="000000" w:sz="6" w:space="0"/>
            </w:tcBorders>
            <w:vAlign w:val="center"/>
          </w:tcPr>
          <w:p w14:paraId="614BFD05">
            <w:pPr>
              <w:pageBreakBefore w:val="0"/>
              <w:kinsoku/>
              <w:wordWrap/>
              <w:overflowPunct/>
              <w:topLinePunct w:val="0"/>
              <w:bidi w:val="0"/>
              <w:adjustRightInd w:val="0"/>
              <w:snapToGrid w:val="0"/>
              <w:spacing w:before="121" w:beforeLines="30" w:after="72" w:afterLines="30" w:line="312" w:lineRule="auto"/>
              <w:jc w:val="center"/>
              <w:textAlignment w:val="auto"/>
              <w:rPr>
                <w:rFonts w:cs="Arial"/>
                <w:color w:val="auto"/>
                <w:szCs w:val="24"/>
                <w:highlight w:val="none"/>
              </w:rPr>
            </w:pPr>
            <w:r>
              <w:rPr>
                <w:rFonts w:cs="Arial"/>
                <w:color w:val="auto"/>
                <w:szCs w:val="24"/>
                <w:highlight w:val="none"/>
              </w:rPr>
              <w:t>响应文件开启时间</w:t>
            </w:r>
          </w:p>
        </w:tc>
        <w:tc>
          <w:tcPr>
            <w:tcW w:w="6722" w:type="dxa"/>
            <w:tcBorders>
              <w:top w:val="single" w:color="000000" w:sz="6" w:space="0"/>
              <w:left w:val="single" w:color="000000" w:sz="6" w:space="0"/>
              <w:bottom w:val="single" w:color="000000" w:sz="6" w:space="0"/>
              <w:right w:val="single" w:color="000000" w:sz="6" w:space="0"/>
            </w:tcBorders>
            <w:vAlign w:val="center"/>
          </w:tcPr>
          <w:p w14:paraId="72456DA4">
            <w:pPr>
              <w:pageBreakBefore w:val="0"/>
              <w:kinsoku/>
              <w:wordWrap/>
              <w:overflowPunct/>
              <w:topLinePunct w:val="0"/>
              <w:autoSpaceDE w:val="0"/>
              <w:autoSpaceDN w:val="0"/>
              <w:bidi w:val="0"/>
              <w:adjustRightInd w:val="0"/>
              <w:snapToGrid w:val="0"/>
              <w:spacing w:before="121" w:beforeLines="30" w:line="312" w:lineRule="auto"/>
              <w:textAlignment w:val="auto"/>
              <w:rPr>
                <w:rFonts w:hint="eastAsia" w:ascii="宋体" w:hAnsi="宋体" w:eastAsia="宋体" w:cs="宋体"/>
                <w:color w:val="auto"/>
                <w:kern w:val="0"/>
                <w:sz w:val="24"/>
                <w:szCs w:val="24"/>
                <w:highlight w:val="none"/>
                <w:lang w:val="zh-CN" w:eastAsia="zh-CN" w:bidi="ar-SA"/>
              </w:rPr>
            </w:pPr>
            <w:r>
              <w:rPr>
                <w:rFonts w:hint="eastAsia" w:ascii="宋体" w:hAnsi="宋体" w:cs="宋体"/>
                <w:color w:val="auto"/>
                <w:kern w:val="0"/>
                <w:sz w:val="24"/>
                <w:szCs w:val="24"/>
                <w:highlight w:val="none"/>
                <w:lang w:val="en-US" w:eastAsia="zh-CN" w:bidi="ar-SA"/>
              </w:rPr>
              <w:t>2026年05月08日14时00分（北京时间）</w:t>
            </w:r>
          </w:p>
        </w:tc>
      </w:tr>
      <w:tr w14:paraId="4B2FDEE5">
        <w:tblPrEx>
          <w:tblCellMar>
            <w:top w:w="0" w:type="dxa"/>
            <w:left w:w="57" w:type="dxa"/>
            <w:bottom w:w="0" w:type="dxa"/>
            <w:right w:w="57" w:type="dxa"/>
          </w:tblCellMar>
        </w:tblPrEx>
        <w:trPr>
          <w:trHeight w:val="454" w:hRule="atLeast"/>
          <w:jc w:val="center"/>
        </w:trPr>
        <w:tc>
          <w:tcPr>
            <w:tcW w:w="798" w:type="dxa"/>
            <w:tcBorders>
              <w:top w:val="single" w:color="000000" w:sz="6" w:space="0"/>
              <w:left w:val="single" w:color="000000" w:sz="6" w:space="0"/>
              <w:bottom w:val="single" w:color="000000" w:sz="6" w:space="0"/>
              <w:right w:val="single" w:color="000000" w:sz="6" w:space="0"/>
            </w:tcBorders>
            <w:vAlign w:val="center"/>
          </w:tcPr>
          <w:p w14:paraId="2909340D">
            <w:pPr>
              <w:pageBreakBefore w:val="0"/>
              <w:widowControl w:val="0"/>
              <w:numPr>
                <w:ilvl w:val="0"/>
                <w:numId w:val="4"/>
              </w:numPr>
              <w:tabs>
                <w:tab w:val="left" w:pos="95"/>
              </w:tabs>
              <w:kinsoku/>
              <w:wordWrap/>
              <w:overflowPunct/>
              <w:topLinePunct w:val="0"/>
              <w:autoSpaceDE w:val="0"/>
              <w:autoSpaceDN w:val="0"/>
              <w:bidi w:val="0"/>
              <w:adjustRightInd w:val="0"/>
              <w:snapToGrid w:val="0"/>
              <w:spacing w:before="121" w:beforeLines="30" w:after="72" w:afterLines="30" w:line="312" w:lineRule="auto"/>
              <w:jc w:val="center"/>
              <w:textAlignment w:val="auto"/>
              <w:rPr>
                <w:rFonts w:cs="Arial"/>
                <w:color w:val="auto"/>
                <w:szCs w:val="24"/>
                <w:highlight w:val="none"/>
              </w:rPr>
            </w:pPr>
          </w:p>
        </w:tc>
        <w:tc>
          <w:tcPr>
            <w:tcW w:w="1617" w:type="dxa"/>
            <w:tcBorders>
              <w:top w:val="single" w:color="000000" w:sz="6" w:space="0"/>
              <w:left w:val="single" w:color="000000" w:sz="6" w:space="0"/>
              <w:bottom w:val="single" w:color="000000" w:sz="6" w:space="0"/>
              <w:right w:val="single" w:color="000000" w:sz="6" w:space="0"/>
            </w:tcBorders>
            <w:vAlign w:val="center"/>
          </w:tcPr>
          <w:p w14:paraId="639BE46C">
            <w:pPr>
              <w:pageBreakBefore w:val="0"/>
              <w:kinsoku/>
              <w:wordWrap/>
              <w:overflowPunct/>
              <w:topLinePunct w:val="0"/>
              <w:bidi w:val="0"/>
              <w:adjustRightInd w:val="0"/>
              <w:snapToGrid w:val="0"/>
              <w:spacing w:before="121" w:beforeLines="30" w:after="72" w:afterLines="30" w:line="312" w:lineRule="auto"/>
              <w:jc w:val="center"/>
              <w:textAlignment w:val="auto"/>
              <w:rPr>
                <w:rFonts w:cs="Arial"/>
                <w:color w:val="auto"/>
                <w:szCs w:val="24"/>
                <w:highlight w:val="none"/>
              </w:rPr>
            </w:pPr>
            <w:r>
              <w:rPr>
                <w:rFonts w:cs="Arial"/>
                <w:color w:val="auto"/>
                <w:szCs w:val="24"/>
                <w:highlight w:val="none"/>
              </w:rPr>
              <w:t>提交响应文件及开标地点</w:t>
            </w:r>
          </w:p>
        </w:tc>
        <w:tc>
          <w:tcPr>
            <w:tcW w:w="6722" w:type="dxa"/>
            <w:tcBorders>
              <w:top w:val="single" w:color="000000" w:sz="6" w:space="0"/>
              <w:left w:val="single" w:color="000000" w:sz="6" w:space="0"/>
              <w:bottom w:val="single" w:color="000000" w:sz="6" w:space="0"/>
              <w:right w:val="single" w:color="000000" w:sz="6" w:space="0"/>
            </w:tcBorders>
            <w:vAlign w:val="center"/>
          </w:tcPr>
          <w:p w14:paraId="298E8C9E">
            <w:pPr>
              <w:pageBreakBefore w:val="0"/>
              <w:kinsoku/>
              <w:wordWrap/>
              <w:overflowPunct/>
              <w:topLinePunct w:val="0"/>
              <w:bidi w:val="0"/>
              <w:adjustRightInd w:val="0"/>
              <w:snapToGrid w:val="0"/>
              <w:spacing w:before="121" w:beforeLines="30" w:after="72" w:afterLines="30" w:line="312" w:lineRule="auto"/>
              <w:ind w:right="-55" w:rightChars="-23"/>
              <w:textAlignment w:val="auto"/>
              <w:rPr>
                <w:rFonts w:ascii="华文仿宋" w:hAnsi="宋体" w:eastAsia="华文仿宋" w:cs="宋体"/>
                <w:color w:val="auto"/>
                <w:szCs w:val="24"/>
                <w:highlight w:val="none"/>
              </w:rPr>
            </w:pPr>
            <w:r>
              <w:rPr>
                <w:rFonts w:hint="eastAsia" w:cs="Arial"/>
                <w:color w:val="auto"/>
                <w:szCs w:val="24"/>
                <w:highlight w:val="none"/>
              </w:rPr>
              <w:t>政采云投标客户端 （供应商应在投标截止时间前按招标文件要求使用政采云电子投标客户端制作上传电子投标文件，并在开标后30分钟内远程解密投标文件。）</w:t>
            </w:r>
          </w:p>
        </w:tc>
      </w:tr>
      <w:tr w14:paraId="3C85923E">
        <w:tblPrEx>
          <w:tblCellMar>
            <w:top w:w="0" w:type="dxa"/>
            <w:left w:w="57" w:type="dxa"/>
            <w:bottom w:w="0" w:type="dxa"/>
            <w:right w:w="57" w:type="dxa"/>
          </w:tblCellMar>
        </w:tblPrEx>
        <w:trPr>
          <w:trHeight w:val="454" w:hRule="atLeast"/>
          <w:jc w:val="center"/>
        </w:trPr>
        <w:tc>
          <w:tcPr>
            <w:tcW w:w="798" w:type="dxa"/>
            <w:tcBorders>
              <w:top w:val="single" w:color="000000" w:sz="6" w:space="0"/>
              <w:left w:val="single" w:color="000000" w:sz="6" w:space="0"/>
              <w:bottom w:val="single" w:color="000000" w:sz="6" w:space="0"/>
              <w:right w:val="single" w:color="000000" w:sz="6" w:space="0"/>
            </w:tcBorders>
            <w:vAlign w:val="center"/>
          </w:tcPr>
          <w:p w14:paraId="42475085">
            <w:pPr>
              <w:pageBreakBefore w:val="0"/>
              <w:widowControl w:val="0"/>
              <w:numPr>
                <w:ilvl w:val="0"/>
                <w:numId w:val="4"/>
              </w:numPr>
              <w:tabs>
                <w:tab w:val="left" w:pos="95"/>
              </w:tabs>
              <w:kinsoku/>
              <w:wordWrap/>
              <w:overflowPunct/>
              <w:topLinePunct w:val="0"/>
              <w:autoSpaceDE w:val="0"/>
              <w:autoSpaceDN w:val="0"/>
              <w:bidi w:val="0"/>
              <w:adjustRightInd w:val="0"/>
              <w:snapToGrid w:val="0"/>
              <w:spacing w:before="121" w:beforeLines="30" w:after="72" w:afterLines="30" w:line="312" w:lineRule="auto"/>
              <w:jc w:val="center"/>
              <w:textAlignment w:val="auto"/>
              <w:rPr>
                <w:rFonts w:cs="Arial"/>
                <w:color w:val="auto"/>
                <w:szCs w:val="24"/>
                <w:highlight w:val="none"/>
              </w:rPr>
            </w:pPr>
          </w:p>
        </w:tc>
        <w:tc>
          <w:tcPr>
            <w:tcW w:w="1617" w:type="dxa"/>
            <w:tcBorders>
              <w:top w:val="single" w:color="000000" w:sz="6" w:space="0"/>
              <w:left w:val="single" w:color="000000" w:sz="6" w:space="0"/>
              <w:bottom w:val="single" w:color="000000" w:sz="6" w:space="0"/>
              <w:right w:val="single" w:color="000000" w:sz="6" w:space="0"/>
            </w:tcBorders>
            <w:vAlign w:val="center"/>
          </w:tcPr>
          <w:p w14:paraId="26E4C658">
            <w:pPr>
              <w:pageBreakBefore w:val="0"/>
              <w:kinsoku/>
              <w:wordWrap/>
              <w:overflowPunct/>
              <w:topLinePunct w:val="0"/>
              <w:autoSpaceDE w:val="0"/>
              <w:autoSpaceDN w:val="0"/>
              <w:bidi w:val="0"/>
              <w:adjustRightInd w:val="0"/>
              <w:snapToGrid w:val="0"/>
              <w:spacing w:before="121" w:beforeLines="30" w:after="72" w:afterLines="30" w:line="312" w:lineRule="auto"/>
              <w:jc w:val="center"/>
              <w:textAlignment w:val="auto"/>
              <w:rPr>
                <w:rFonts w:cs="Arial"/>
                <w:color w:val="auto"/>
                <w:szCs w:val="24"/>
                <w:highlight w:val="none"/>
              </w:rPr>
            </w:pPr>
            <w:r>
              <w:rPr>
                <w:rFonts w:cs="Arial"/>
                <w:color w:val="auto"/>
                <w:szCs w:val="24"/>
                <w:highlight w:val="none"/>
              </w:rPr>
              <w:t>答疑澄清方式</w:t>
            </w:r>
          </w:p>
        </w:tc>
        <w:tc>
          <w:tcPr>
            <w:tcW w:w="6722" w:type="dxa"/>
            <w:tcBorders>
              <w:top w:val="single" w:color="000000" w:sz="6" w:space="0"/>
              <w:left w:val="single" w:color="000000" w:sz="6" w:space="0"/>
              <w:bottom w:val="single" w:color="000000" w:sz="6" w:space="0"/>
              <w:right w:val="single" w:color="000000" w:sz="6" w:space="0"/>
            </w:tcBorders>
            <w:vAlign w:val="center"/>
          </w:tcPr>
          <w:p w14:paraId="4C03F216">
            <w:pPr>
              <w:pageBreakBefore w:val="0"/>
              <w:kinsoku/>
              <w:wordWrap/>
              <w:overflowPunct/>
              <w:topLinePunct w:val="0"/>
              <w:autoSpaceDE w:val="0"/>
              <w:autoSpaceDN w:val="0"/>
              <w:bidi w:val="0"/>
              <w:adjustRightInd w:val="0"/>
              <w:snapToGrid w:val="0"/>
              <w:spacing w:before="121" w:beforeLines="30" w:after="72" w:afterLines="30" w:line="312" w:lineRule="auto"/>
              <w:textAlignment w:val="auto"/>
              <w:rPr>
                <w:rFonts w:cs="Arial"/>
                <w:color w:val="auto"/>
                <w:szCs w:val="24"/>
                <w:highlight w:val="none"/>
              </w:rPr>
            </w:pPr>
            <w:r>
              <w:rPr>
                <w:rFonts w:hint="eastAsia" w:ascii="宋体" w:cs="Calibri"/>
                <w:color w:val="auto"/>
                <w:highlight w:val="none"/>
                <w:lang w:val="zh-CN"/>
              </w:rPr>
              <w:t>线上答疑，应在规定的时间内通过政采云平台进行答疑澄清，如在规定的时间内未按要求进行澄清，视同放弃答疑。</w:t>
            </w:r>
          </w:p>
        </w:tc>
      </w:tr>
      <w:tr w14:paraId="43CEC297">
        <w:tblPrEx>
          <w:tblCellMar>
            <w:top w:w="0" w:type="dxa"/>
            <w:left w:w="57" w:type="dxa"/>
            <w:bottom w:w="0" w:type="dxa"/>
            <w:right w:w="57" w:type="dxa"/>
          </w:tblCellMar>
        </w:tblPrEx>
        <w:trPr>
          <w:trHeight w:val="454" w:hRule="atLeast"/>
          <w:jc w:val="center"/>
        </w:trPr>
        <w:tc>
          <w:tcPr>
            <w:tcW w:w="798" w:type="dxa"/>
            <w:tcBorders>
              <w:top w:val="single" w:color="000000" w:sz="6" w:space="0"/>
              <w:left w:val="single" w:color="000000" w:sz="6" w:space="0"/>
              <w:bottom w:val="single" w:color="000000" w:sz="6" w:space="0"/>
              <w:right w:val="single" w:color="000000" w:sz="6" w:space="0"/>
            </w:tcBorders>
            <w:vAlign w:val="center"/>
          </w:tcPr>
          <w:p w14:paraId="23FE89D0">
            <w:pPr>
              <w:pageBreakBefore w:val="0"/>
              <w:widowControl w:val="0"/>
              <w:numPr>
                <w:ilvl w:val="0"/>
                <w:numId w:val="4"/>
              </w:numPr>
              <w:tabs>
                <w:tab w:val="left" w:pos="95"/>
              </w:tabs>
              <w:kinsoku/>
              <w:wordWrap/>
              <w:overflowPunct/>
              <w:topLinePunct w:val="0"/>
              <w:autoSpaceDE w:val="0"/>
              <w:autoSpaceDN w:val="0"/>
              <w:bidi w:val="0"/>
              <w:adjustRightInd w:val="0"/>
              <w:snapToGrid w:val="0"/>
              <w:spacing w:before="121" w:beforeLines="30" w:after="72" w:afterLines="30" w:line="312" w:lineRule="auto"/>
              <w:jc w:val="center"/>
              <w:textAlignment w:val="auto"/>
              <w:rPr>
                <w:rFonts w:cs="Arial"/>
                <w:color w:val="auto"/>
                <w:szCs w:val="24"/>
                <w:highlight w:val="none"/>
              </w:rPr>
            </w:pPr>
          </w:p>
        </w:tc>
        <w:tc>
          <w:tcPr>
            <w:tcW w:w="1617" w:type="dxa"/>
            <w:tcBorders>
              <w:top w:val="single" w:color="000000" w:sz="6" w:space="0"/>
              <w:left w:val="single" w:color="000000" w:sz="6" w:space="0"/>
              <w:bottom w:val="single" w:color="000000" w:sz="6" w:space="0"/>
              <w:right w:val="single" w:color="000000" w:sz="6" w:space="0"/>
            </w:tcBorders>
            <w:vAlign w:val="center"/>
          </w:tcPr>
          <w:p w14:paraId="16FBE3DB">
            <w:pPr>
              <w:pageBreakBefore w:val="0"/>
              <w:kinsoku/>
              <w:wordWrap/>
              <w:overflowPunct/>
              <w:topLinePunct w:val="0"/>
              <w:autoSpaceDE w:val="0"/>
              <w:autoSpaceDN w:val="0"/>
              <w:bidi w:val="0"/>
              <w:adjustRightInd w:val="0"/>
              <w:snapToGrid w:val="0"/>
              <w:spacing w:before="121" w:beforeLines="30" w:after="72" w:afterLines="30" w:line="312" w:lineRule="auto"/>
              <w:jc w:val="center"/>
              <w:textAlignment w:val="auto"/>
              <w:rPr>
                <w:rFonts w:cs="Arial"/>
                <w:color w:val="auto"/>
                <w:szCs w:val="24"/>
                <w:highlight w:val="none"/>
              </w:rPr>
            </w:pPr>
            <w:r>
              <w:rPr>
                <w:rFonts w:cs="Arial"/>
                <w:color w:val="auto"/>
                <w:szCs w:val="24"/>
                <w:highlight w:val="none"/>
              </w:rPr>
              <w:t>代理服务费收取</w:t>
            </w:r>
          </w:p>
        </w:tc>
        <w:tc>
          <w:tcPr>
            <w:tcW w:w="6722" w:type="dxa"/>
            <w:tcBorders>
              <w:top w:val="single" w:color="000000" w:sz="6" w:space="0"/>
              <w:left w:val="single" w:color="000000" w:sz="6" w:space="0"/>
              <w:bottom w:val="single" w:color="000000" w:sz="6" w:space="0"/>
              <w:right w:val="single" w:color="000000" w:sz="6" w:space="0"/>
            </w:tcBorders>
            <w:vAlign w:val="center"/>
          </w:tcPr>
          <w:p w14:paraId="31099DEE">
            <w:pPr>
              <w:pageBreakBefore w:val="0"/>
              <w:kinsoku/>
              <w:wordWrap/>
              <w:overflowPunct/>
              <w:topLinePunct w:val="0"/>
              <w:bidi w:val="0"/>
              <w:adjustRightInd w:val="0"/>
              <w:snapToGrid w:val="0"/>
              <w:spacing w:before="121" w:beforeLines="30" w:after="72" w:afterLines="30" w:line="312" w:lineRule="auto"/>
              <w:textAlignment w:val="auto"/>
              <w:rPr>
                <w:rFonts w:hint="default" w:ascii="宋体" w:hAnsi="宋体" w:eastAsia="宋体" w:cs="宋体"/>
                <w:color w:val="auto"/>
                <w:szCs w:val="24"/>
                <w:highlight w:val="none"/>
                <w:lang w:val="en-US" w:eastAsia="zh-CN"/>
              </w:rPr>
            </w:pPr>
            <w:r>
              <w:rPr>
                <w:rFonts w:ascii="宋体" w:hAnsi="宋体" w:cs="宋体"/>
                <w:color w:val="auto"/>
                <w:szCs w:val="24"/>
                <w:highlight w:val="none"/>
              </w:rPr>
              <w:t>收取对象：</w:t>
            </w:r>
            <w:r>
              <w:rPr>
                <w:rFonts w:hint="eastAsia" w:ascii="宋体" w:hAnsi="宋体" w:cs="宋体"/>
                <w:color w:val="auto"/>
                <w:szCs w:val="24"/>
                <w:highlight w:val="none"/>
                <w:lang w:val="en-US" w:eastAsia="zh-CN"/>
              </w:rPr>
              <w:t>成交人</w:t>
            </w:r>
          </w:p>
          <w:p w14:paraId="1A078945">
            <w:pPr>
              <w:widowControl/>
              <w:adjustRightInd w:val="0"/>
              <w:snapToGrid w:val="0"/>
              <w:spacing w:before="72" w:beforeLines="30" w:after="72" w:afterLines="30" w:line="264" w:lineRule="auto"/>
              <w:ind w:firstLine="0" w:firstLineChars="0"/>
              <w:jc w:val="left"/>
              <w:rPr>
                <w:rFonts w:hint="eastAsia" w:ascii="宋体" w:hAnsi="宋体" w:eastAsia="宋体" w:cs="宋体"/>
                <w:color w:val="auto"/>
                <w:highlight w:val="none"/>
                <w:lang w:val="zh-CN" w:eastAsia="zh-CN"/>
              </w:rPr>
            </w:pPr>
            <w:r>
              <w:rPr>
                <w:rFonts w:hint="eastAsia" w:ascii="宋体" w:hAnsi="宋体" w:eastAsia="宋体" w:cs="宋体"/>
                <w:color w:val="auto"/>
                <w:highlight w:val="none"/>
                <w:lang w:val="zh-CN"/>
              </w:rPr>
              <w:t>收费金额：</w:t>
            </w:r>
            <w:r>
              <w:rPr>
                <w:rFonts w:hint="eastAsia" w:ascii="宋体" w:hAnsi="宋体" w:eastAsia="宋体" w:cs="宋体"/>
                <w:color w:val="auto"/>
                <w:kern w:val="0"/>
                <w:szCs w:val="22"/>
                <w:highlight w:val="none"/>
                <w:lang w:val="zh-CN"/>
              </w:rPr>
              <w:t>按成交金额计算，再</w:t>
            </w:r>
            <w:r>
              <w:rPr>
                <w:rFonts w:hint="eastAsia" w:ascii="宋体" w:hAnsi="宋体" w:eastAsia="宋体" w:cs="宋体"/>
                <w:color w:val="auto"/>
                <w:kern w:val="0"/>
                <w:szCs w:val="22"/>
                <w:highlight w:val="none"/>
                <w:lang w:val="en-US" w:eastAsia="zh-CN"/>
              </w:rPr>
              <w:t>此</w:t>
            </w:r>
            <w:r>
              <w:rPr>
                <w:rFonts w:hint="eastAsia" w:ascii="宋体" w:hAnsi="宋体" w:eastAsia="宋体" w:cs="宋体"/>
                <w:color w:val="auto"/>
                <w:kern w:val="0"/>
                <w:szCs w:val="22"/>
                <w:highlight w:val="none"/>
                <w:lang w:val="zh-CN"/>
              </w:rPr>
              <w:t>基础上下浮</w:t>
            </w:r>
            <w:r>
              <w:rPr>
                <w:rFonts w:hint="eastAsia" w:ascii="Arial" w:hAnsi="Arial" w:eastAsia="宋体" w:cs="Arial"/>
                <w:b w:val="0"/>
                <w:bCs w:val="0"/>
                <w:color w:val="auto"/>
                <w:kern w:val="0"/>
                <w:sz w:val="24"/>
                <w:szCs w:val="24"/>
                <w:highlight w:val="none"/>
                <w:lang w:val="en-US" w:eastAsia="zh-CN"/>
              </w:rPr>
              <w:t>20%，一次性收取招标代理费。</w:t>
            </w:r>
          </w:p>
          <w:p w14:paraId="16B9FA0F">
            <w:pPr>
              <w:pageBreakBefore w:val="0"/>
              <w:kinsoku/>
              <w:wordWrap/>
              <w:overflowPunct/>
              <w:topLinePunct w:val="0"/>
              <w:bidi w:val="0"/>
              <w:adjustRightInd w:val="0"/>
              <w:snapToGrid w:val="0"/>
              <w:spacing w:before="121" w:beforeLines="30" w:after="72" w:afterLines="30" w:line="312" w:lineRule="auto"/>
              <w:ind w:right="127" w:rightChars="53"/>
              <w:textAlignment w:val="auto"/>
              <w:rPr>
                <w:rFonts w:ascii="宋体" w:hAnsi="宋体" w:cs="宋体"/>
                <w:color w:val="auto"/>
                <w:szCs w:val="24"/>
                <w:highlight w:val="none"/>
              </w:rPr>
            </w:pPr>
            <w:r>
              <w:rPr>
                <w:rFonts w:hint="eastAsia" w:ascii="宋体" w:hAnsi="宋体" w:cs="宋体"/>
                <w:color w:val="auto"/>
                <w:szCs w:val="24"/>
                <w:highlight w:val="none"/>
                <w:lang w:val="en-US" w:eastAsia="zh-CN"/>
              </w:rPr>
              <w:t>收费标准：</w:t>
            </w:r>
            <w:r>
              <w:rPr>
                <w:rFonts w:ascii="宋体" w:hAnsi="宋体" w:eastAsia="宋体" w:cs="宋体"/>
                <w:color w:val="auto"/>
                <w:kern w:val="0"/>
                <w:szCs w:val="24"/>
                <w:highlight w:val="none"/>
              </w:rPr>
              <w:t>根据《关于进一步放开建设项目专项业务服务价格的通知》（发改价格[2015]299号）规定，实行市场调节价，应严格遵守《价格法》、《关于商品和服务实行明码标价的规定》等法律法规的规定</w:t>
            </w:r>
            <w:r>
              <w:rPr>
                <w:rFonts w:hint="eastAsia" w:ascii="宋体" w:hAnsi="宋体" w:eastAsia="宋体" w:cs="宋体"/>
                <w:color w:val="auto"/>
                <w:kern w:val="0"/>
                <w:szCs w:val="24"/>
                <w:highlight w:val="none"/>
                <w:lang w:val="en-US" w:eastAsia="zh-CN"/>
              </w:rPr>
              <w:t>执行。</w:t>
            </w:r>
          </w:p>
          <w:p w14:paraId="0DD78264">
            <w:pPr>
              <w:pageBreakBefore w:val="0"/>
              <w:kinsoku/>
              <w:wordWrap/>
              <w:overflowPunct/>
              <w:topLinePunct w:val="0"/>
              <w:bidi w:val="0"/>
              <w:adjustRightInd w:val="0"/>
              <w:snapToGrid w:val="0"/>
              <w:spacing w:before="121" w:beforeLines="30" w:after="72" w:afterLines="30" w:line="312" w:lineRule="auto"/>
              <w:jc w:val="both"/>
              <w:textAlignment w:val="auto"/>
              <w:rPr>
                <w:rFonts w:hint="eastAsia" w:ascii="宋体" w:hAnsi="宋体" w:cs="宋体"/>
                <w:color w:val="auto"/>
                <w:szCs w:val="24"/>
                <w:highlight w:val="none"/>
              </w:rPr>
            </w:pPr>
            <w:r>
              <w:rPr>
                <w:rFonts w:hint="eastAsia" w:ascii="宋体" w:hAnsi="宋体" w:cs="宋体"/>
                <w:color w:val="auto"/>
                <w:szCs w:val="24"/>
                <w:highlight w:val="none"/>
              </w:rPr>
              <w:t>服务费的支付形式：电汇、支票</w:t>
            </w:r>
          </w:p>
          <w:p w14:paraId="66FDBC4D">
            <w:pPr>
              <w:pageBreakBefore w:val="0"/>
              <w:kinsoku/>
              <w:wordWrap/>
              <w:overflowPunct/>
              <w:topLinePunct w:val="0"/>
              <w:bidi w:val="0"/>
              <w:adjustRightInd w:val="0"/>
              <w:snapToGrid w:val="0"/>
              <w:spacing w:before="121" w:beforeLines="30" w:after="72" w:afterLines="30" w:line="312" w:lineRule="auto"/>
              <w:jc w:val="both"/>
              <w:textAlignment w:val="auto"/>
              <w:rPr>
                <w:rFonts w:ascii="宋体" w:hAnsi="宋体" w:cs="宋体"/>
                <w:b/>
                <w:bCs/>
                <w:color w:val="auto"/>
                <w:kern w:val="28"/>
                <w:szCs w:val="24"/>
                <w:highlight w:val="none"/>
              </w:rPr>
            </w:pPr>
            <w:r>
              <w:rPr>
                <w:rFonts w:hint="eastAsia" w:ascii="宋体" w:hAnsi="宋体" w:cs="宋体"/>
                <w:color w:val="auto"/>
                <w:szCs w:val="24"/>
                <w:highlight w:val="none"/>
              </w:rPr>
              <w:t>账户名：青海海际项目咨询管理有限公司</w:t>
            </w:r>
          </w:p>
          <w:p w14:paraId="001F7946">
            <w:pPr>
              <w:pageBreakBefore w:val="0"/>
              <w:kinsoku/>
              <w:wordWrap/>
              <w:overflowPunct/>
              <w:topLinePunct w:val="0"/>
              <w:bidi w:val="0"/>
              <w:adjustRightInd w:val="0"/>
              <w:snapToGrid w:val="0"/>
              <w:spacing w:before="121" w:beforeLines="30" w:after="72" w:afterLines="30" w:line="312" w:lineRule="auto"/>
              <w:jc w:val="both"/>
              <w:textAlignment w:val="auto"/>
              <w:rPr>
                <w:rFonts w:ascii="宋体" w:hAnsi="宋体" w:cs="宋体"/>
                <w:b/>
                <w:bCs/>
                <w:color w:val="auto"/>
                <w:kern w:val="28"/>
                <w:szCs w:val="24"/>
                <w:highlight w:val="none"/>
              </w:rPr>
            </w:pPr>
            <w:r>
              <w:rPr>
                <w:rFonts w:hint="eastAsia" w:ascii="宋体" w:hAnsi="宋体" w:cs="宋体"/>
                <w:color w:val="auto"/>
                <w:szCs w:val="24"/>
                <w:highlight w:val="none"/>
              </w:rPr>
              <w:t>账  号：8112801013700034824</w:t>
            </w:r>
          </w:p>
          <w:p w14:paraId="38D971FC">
            <w:pPr>
              <w:pageBreakBefore w:val="0"/>
              <w:kinsoku/>
              <w:wordWrap/>
              <w:overflowPunct/>
              <w:topLinePunct w:val="0"/>
              <w:bidi w:val="0"/>
              <w:adjustRightInd w:val="0"/>
              <w:snapToGrid w:val="0"/>
              <w:spacing w:before="121" w:beforeLines="30" w:after="72" w:afterLines="30" w:line="312" w:lineRule="auto"/>
              <w:jc w:val="both"/>
              <w:textAlignment w:val="auto"/>
              <w:rPr>
                <w:rFonts w:hint="eastAsia" w:ascii="宋体" w:hAnsi="宋体" w:eastAsia="宋体" w:cs="宋体"/>
                <w:color w:val="auto"/>
                <w:szCs w:val="24"/>
                <w:highlight w:val="none"/>
                <w:lang w:eastAsia="zh-CN"/>
              </w:rPr>
            </w:pPr>
            <w:r>
              <w:rPr>
                <w:rFonts w:hint="eastAsia" w:ascii="宋体" w:hAnsi="宋体" w:cs="宋体"/>
                <w:color w:val="auto"/>
                <w:szCs w:val="24"/>
                <w:highlight w:val="none"/>
              </w:rPr>
              <w:t>开户行：</w:t>
            </w:r>
            <w:r>
              <w:rPr>
                <w:rFonts w:hint="eastAsia" w:ascii="宋体" w:hAnsi="宋体" w:cs="宋体"/>
                <w:color w:val="auto"/>
                <w:szCs w:val="24"/>
                <w:highlight w:val="none"/>
                <w:lang w:eastAsia="zh-CN"/>
              </w:rPr>
              <w:t>中信银行西宁五四西路支行</w:t>
            </w:r>
          </w:p>
          <w:p w14:paraId="2FA17AF4">
            <w:pPr>
              <w:pageBreakBefore w:val="0"/>
              <w:kinsoku/>
              <w:wordWrap/>
              <w:overflowPunct/>
              <w:topLinePunct w:val="0"/>
              <w:bidi w:val="0"/>
              <w:adjustRightInd w:val="0"/>
              <w:snapToGrid w:val="0"/>
              <w:spacing w:before="121" w:beforeLines="30" w:after="72" w:afterLines="30" w:line="312" w:lineRule="auto"/>
              <w:jc w:val="both"/>
              <w:textAlignment w:val="auto"/>
              <w:rPr>
                <w:rFonts w:ascii="宋体" w:hAnsi="宋体" w:cs="宋体"/>
                <w:b/>
                <w:bCs/>
                <w:color w:val="auto"/>
                <w:kern w:val="28"/>
                <w:szCs w:val="24"/>
                <w:highlight w:val="none"/>
              </w:rPr>
            </w:pPr>
            <w:r>
              <w:rPr>
                <w:rFonts w:hint="eastAsia" w:ascii="宋体" w:hAnsi="宋体" w:cs="宋体"/>
                <w:color w:val="auto"/>
                <w:szCs w:val="24"/>
                <w:highlight w:val="none"/>
              </w:rPr>
              <w:t xml:space="preserve">行  号：302851059079 </w:t>
            </w:r>
          </w:p>
          <w:p w14:paraId="0AB81557">
            <w:pPr>
              <w:pStyle w:val="17"/>
              <w:pageBreakBefore w:val="0"/>
              <w:kinsoku/>
              <w:wordWrap/>
              <w:overflowPunct/>
              <w:topLinePunct w:val="0"/>
              <w:bidi w:val="0"/>
              <w:adjustRightInd w:val="0"/>
              <w:snapToGrid w:val="0"/>
              <w:spacing w:before="121" w:beforeLines="30" w:after="72" w:afterLines="30" w:line="312" w:lineRule="auto"/>
              <w:textAlignment w:val="auto"/>
              <w:rPr>
                <w:rFonts w:hint="eastAsia" w:ascii="Arial" w:hAnsi="Arial" w:eastAsia="宋体" w:cs="Arial"/>
                <w:color w:val="auto"/>
                <w:szCs w:val="24"/>
                <w:highlight w:val="none"/>
                <w:lang w:eastAsia="zh-CN"/>
              </w:rPr>
            </w:pPr>
            <w:r>
              <w:rPr>
                <w:rFonts w:ascii="Arial" w:hAnsi="Arial" w:cs="Arial"/>
                <w:color w:val="auto"/>
                <w:szCs w:val="24"/>
                <w:highlight w:val="none"/>
              </w:rPr>
              <w:t>成交服务费以人民币支付</w:t>
            </w:r>
          </w:p>
        </w:tc>
      </w:tr>
      <w:tr w14:paraId="2E0097D2">
        <w:tblPrEx>
          <w:tblCellMar>
            <w:top w:w="0" w:type="dxa"/>
            <w:left w:w="57" w:type="dxa"/>
            <w:bottom w:w="0" w:type="dxa"/>
            <w:right w:w="57" w:type="dxa"/>
          </w:tblCellMar>
        </w:tblPrEx>
        <w:trPr>
          <w:trHeight w:val="454" w:hRule="atLeast"/>
          <w:jc w:val="center"/>
        </w:trPr>
        <w:tc>
          <w:tcPr>
            <w:tcW w:w="798" w:type="dxa"/>
            <w:tcBorders>
              <w:top w:val="single" w:color="000000" w:sz="6" w:space="0"/>
              <w:left w:val="single" w:color="000000" w:sz="6" w:space="0"/>
              <w:bottom w:val="single" w:color="000000" w:sz="6" w:space="0"/>
              <w:right w:val="single" w:color="000000" w:sz="6" w:space="0"/>
            </w:tcBorders>
            <w:vAlign w:val="center"/>
          </w:tcPr>
          <w:p w14:paraId="252282F9">
            <w:pPr>
              <w:pageBreakBefore w:val="0"/>
              <w:widowControl w:val="0"/>
              <w:numPr>
                <w:ilvl w:val="0"/>
                <w:numId w:val="4"/>
              </w:numPr>
              <w:tabs>
                <w:tab w:val="left" w:pos="95"/>
              </w:tabs>
              <w:kinsoku/>
              <w:wordWrap/>
              <w:overflowPunct/>
              <w:topLinePunct w:val="0"/>
              <w:autoSpaceDE w:val="0"/>
              <w:autoSpaceDN w:val="0"/>
              <w:bidi w:val="0"/>
              <w:adjustRightInd w:val="0"/>
              <w:snapToGrid w:val="0"/>
              <w:spacing w:before="121" w:beforeLines="30" w:after="72" w:afterLines="30" w:line="312" w:lineRule="auto"/>
              <w:jc w:val="center"/>
              <w:textAlignment w:val="auto"/>
              <w:rPr>
                <w:rFonts w:cs="Arial"/>
                <w:color w:val="auto"/>
                <w:szCs w:val="24"/>
                <w:highlight w:val="none"/>
              </w:rPr>
            </w:pPr>
          </w:p>
        </w:tc>
        <w:tc>
          <w:tcPr>
            <w:tcW w:w="1617" w:type="dxa"/>
            <w:tcBorders>
              <w:top w:val="single" w:color="000000" w:sz="6" w:space="0"/>
              <w:left w:val="single" w:color="000000" w:sz="6" w:space="0"/>
              <w:bottom w:val="single" w:color="000000" w:sz="6" w:space="0"/>
              <w:right w:val="single" w:color="000000" w:sz="6" w:space="0"/>
            </w:tcBorders>
            <w:vAlign w:val="center"/>
          </w:tcPr>
          <w:p w14:paraId="0E07B417">
            <w:pPr>
              <w:pageBreakBefore w:val="0"/>
              <w:kinsoku/>
              <w:wordWrap/>
              <w:overflowPunct/>
              <w:topLinePunct w:val="0"/>
              <w:autoSpaceDE w:val="0"/>
              <w:autoSpaceDN w:val="0"/>
              <w:bidi w:val="0"/>
              <w:adjustRightInd w:val="0"/>
              <w:snapToGrid w:val="0"/>
              <w:spacing w:before="121" w:beforeLines="30" w:after="72" w:afterLines="30" w:line="312" w:lineRule="auto"/>
              <w:jc w:val="center"/>
              <w:textAlignment w:val="auto"/>
              <w:rPr>
                <w:rFonts w:cs="Arial"/>
                <w:color w:val="auto"/>
                <w:szCs w:val="24"/>
                <w:highlight w:val="none"/>
              </w:rPr>
            </w:pPr>
            <w:r>
              <w:rPr>
                <w:rFonts w:cs="Arial"/>
                <w:color w:val="auto"/>
                <w:szCs w:val="24"/>
                <w:highlight w:val="none"/>
              </w:rPr>
              <w:t>合同签订有效期</w:t>
            </w:r>
          </w:p>
        </w:tc>
        <w:tc>
          <w:tcPr>
            <w:tcW w:w="6722" w:type="dxa"/>
            <w:tcBorders>
              <w:top w:val="single" w:color="000000" w:sz="6" w:space="0"/>
              <w:left w:val="single" w:color="000000" w:sz="6" w:space="0"/>
              <w:bottom w:val="single" w:color="000000" w:sz="6" w:space="0"/>
              <w:right w:val="single" w:color="000000" w:sz="6" w:space="0"/>
            </w:tcBorders>
            <w:vAlign w:val="center"/>
          </w:tcPr>
          <w:p w14:paraId="319DDE0A">
            <w:pPr>
              <w:pageBreakBefore w:val="0"/>
              <w:kinsoku/>
              <w:wordWrap/>
              <w:overflowPunct/>
              <w:topLinePunct w:val="0"/>
              <w:autoSpaceDE w:val="0"/>
              <w:autoSpaceDN w:val="0"/>
              <w:bidi w:val="0"/>
              <w:adjustRightInd w:val="0"/>
              <w:snapToGrid w:val="0"/>
              <w:spacing w:before="121" w:beforeLines="30" w:after="72" w:afterLines="30" w:line="312" w:lineRule="auto"/>
              <w:textAlignment w:val="auto"/>
              <w:rPr>
                <w:rFonts w:cs="Arial"/>
                <w:color w:val="auto"/>
                <w:szCs w:val="24"/>
                <w:highlight w:val="none"/>
              </w:rPr>
            </w:pPr>
            <w:r>
              <w:rPr>
                <w:rFonts w:cs="Arial"/>
                <w:color w:val="auto"/>
                <w:szCs w:val="24"/>
                <w:highlight w:val="none"/>
              </w:rPr>
              <w:t>自成交通知书发出之日</w:t>
            </w:r>
            <w:r>
              <w:rPr>
                <w:rFonts w:hint="eastAsia" w:ascii="宋体" w:hAnsi="宋体" w:eastAsia="宋体" w:cs="宋体"/>
                <w:color w:val="auto"/>
                <w:szCs w:val="24"/>
                <w:highlight w:val="none"/>
              </w:rPr>
              <w:t>起30日内</w:t>
            </w:r>
            <w:r>
              <w:rPr>
                <w:rFonts w:cs="Arial"/>
                <w:color w:val="auto"/>
                <w:szCs w:val="24"/>
                <w:highlight w:val="none"/>
              </w:rPr>
              <w:t>与采购人签订合同</w:t>
            </w:r>
          </w:p>
        </w:tc>
      </w:tr>
      <w:tr w14:paraId="451FB8AA">
        <w:tblPrEx>
          <w:tblCellMar>
            <w:top w:w="0" w:type="dxa"/>
            <w:left w:w="57" w:type="dxa"/>
            <w:bottom w:w="0" w:type="dxa"/>
            <w:right w:w="57" w:type="dxa"/>
          </w:tblCellMar>
        </w:tblPrEx>
        <w:trPr>
          <w:trHeight w:val="454" w:hRule="atLeast"/>
          <w:jc w:val="center"/>
        </w:trPr>
        <w:tc>
          <w:tcPr>
            <w:tcW w:w="798" w:type="dxa"/>
            <w:tcBorders>
              <w:top w:val="single" w:color="000000" w:sz="6" w:space="0"/>
              <w:left w:val="single" w:color="000000" w:sz="6" w:space="0"/>
              <w:bottom w:val="single" w:color="000000" w:sz="6" w:space="0"/>
              <w:right w:val="single" w:color="000000" w:sz="6" w:space="0"/>
            </w:tcBorders>
            <w:vAlign w:val="center"/>
          </w:tcPr>
          <w:p w14:paraId="2C234697">
            <w:pPr>
              <w:pageBreakBefore w:val="0"/>
              <w:widowControl w:val="0"/>
              <w:numPr>
                <w:ilvl w:val="0"/>
                <w:numId w:val="4"/>
              </w:numPr>
              <w:tabs>
                <w:tab w:val="left" w:pos="95"/>
              </w:tabs>
              <w:kinsoku/>
              <w:wordWrap/>
              <w:overflowPunct/>
              <w:topLinePunct w:val="0"/>
              <w:autoSpaceDE w:val="0"/>
              <w:autoSpaceDN w:val="0"/>
              <w:bidi w:val="0"/>
              <w:adjustRightInd w:val="0"/>
              <w:snapToGrid w:val="0"/>
              <w:spacing w:before="121" w:beforeLines="30" w:after="72" w:afterLines="30" w:line="312" w:lineRule="auto"/>
              <w:jc w:val="center"/>
              <w:textAlignment w:val="auto"/>
              <w:rPr>
                <w:rFonts w:cs="Arial"/>
                <w:color w:val="auto"/>
                <w:szCs w:val="24"/>
                <w:highlight w:val="none"/>
              </w:rPr>
            </w:pPr>
          </w:p>
        </w:tc>
        <w:tc>
          <w:tcPr>
            <w:tcW w:w="1617" w:type="dxa"/>
            <w:tcBorders>
              <w:top w:val="single" w:color="000000" w:sz="6" w:space="0"/>
              <w:left w:val="single" w:color="000000" w:sz="6" w:space="0"/>
              <w:bottom w:val="single" w:color="000000" w:sz="6" w:space="0"/>
              <w:right w:val="single" w:color="000000" w:sz="6" w:space="0"/>
            </w:tcBorders>
            <w:vAlign w:val="center"/>
          </w:tcPr>
          <w:p w14:paraId="1A7DF5FE">
            <w:pPr>
              <w:pageBreakBefore w:val="0"/>
              <w:kinsoku/>
              <w:wordWrap/>
              <w:overflowPunct/>
              <w:topLinePunct w:val="0"/>
              <w:autoSpaceDE w:val="0"/>
              <w:autoSpaceDN w:val="0"/>
              <w:bidi w:val="0"/>
              <w:adjustRightInd w:val="0"/>
              <w:snapToGrid w:val="0"/>
              <w:spacing w:before="121" w:beforeLines="30" w:after="72" w:afterLines="30" w:line="312" w:lineRule="auto"/>
              <w:jc w:val="center"/>
              <w:textAlignment w:val="auto"/>
              <w:rPr>
                <w:rFonts w:cs="Arial"/>
                <w:color w:val="auto"/>
                <w:szCs w:val="24"/>
                <w:highlight w:val="none"/>
              </w:rPr>
            </w:pPr>
            <w:r>
              <w:rPr>
                <w:rFonts w:cs="Arial"/>
                <w:color w:val="auto"/>
                <w:szCs w:val="24"/>
                <w:highlight w:val="none"/>
              </w:rPr>
              <w:t>政府采购合同备案</w:t>
            </w:r>
          </w:p>
        </w:tc>
        <w:tc>
          <w:tcPr>
            <w:tcW w:w="6722" w:type="dxa"/>
            <w:tcBorders>
              <w:top w:val="single" w:color="000000" w:sz="6" w:space="0"/>
              <w:left w:val="single" w:color="000000" w:sz="6" w:space="0"/>
              <w:bottom w:val="single" w:color="000000" w:sz="6" w:space="0"/>
              <w:right w:val="single" w:color="000000" w:sz="6" w:space="0"/>
            </w:tcBorders>
            <w:vAlign w:val="center"/>
          </w:tcPr>
          <w:p w14:paraId="642597B2">
            <w:pPr>
              <w:pageBreakBefore w:val="0"/>
              <w:kinsoku/>
              <w:wordWrap/>
              <w:overflowPunct/>
              <w:topLinePunct w:val="0"/>
              <w:autoSpaceDE w:val="0"/>
              <w:autoSpaceDN w:val="0"/>
              <w:bidi w:val="0"/>
              <w:adjustRightInd w:val="0"/>
              <w:snapToGrid w:val="0"/>
              <w:spacing w:before="121" w:beforeLines="30" w:after="72" w:afterLines="30" w:line="312" w:lineRule="auto"/>
              <w:textAlignment w:val="auto"/>
              <w:rPr>
                <w:rFonts w:cs="Arial"/>
                <w:color w:val="auto"/>
                <w:szCs w:val="24"/>
                <w:highlight w:val="none"/>
              </w:rPr>
            </w:pPr>
            <w:r>
              <w:rPr>
                <w:rFonts w:cs="Arial"/>
                <w:color w:val="auto"/>
                <w:szCs w:val="24"/>
                <w:highlight w:val="none"/>
              </w:rPr>
              <w:t>采购合同全数返回采购代理机构鉴证，盖章。</w:t>
            </w:r>
          </w:p>
          <w:p w14:paraId="36ECCF7B">
            <w:pPr>
              <w:pageBreakBefore w:val="0"/>
              <w:kinsoku/>
              <w:wordWrap/>
              <w:overflowPunct/>
              <w:topLinePunct w:val="0"/>
              <w:autoSpaceDE w:val="0"/>
              <w:autoSpaceDN w:val="0"/>
              <w:bidi w:val="0"/>
              <w:adjustRightInd w:val="0"/>
              <w:snapToGrid w:val="0"/>
              <w:spacing w:before="121" w:beforeLines="30" w:after="72" w:afterLines="30" w:line="312" w:lineRule="auto"/>
              <w:textAlignment w:val="auto"/>
              <w:rPr>
                <w:rFonts w:cs="Arial"/>
                <w:color w:val="auto"/>
                <w:szCs w:val="24"/>
                <w:highlight w:val="none"/>
              </w:rPr>
            </w:pPr>
            <w:r>
              <w:rPr>
                <w:rFonts w:cs="Arial"/>
                <w:color w:val="auto"/>
                <w:szCs w:val="24"/>
                <w:highlight w:val="none"/>
              </w:rPr>
              <w:t>采购代理机构留存</w:t>
            </w:r>
            <w:r>
              <w:rPr>
                <w:rFonts w:hint="eastAsia" w:cs="Arial"/>
                <w:b/>
                <w:bCs/>
                <w:color w:val="auto"/>
                <w:szCs w:val="24"/>
                <w:highlight w:val="none"/>
                <w:lang w:val="en-US" w:eastAsia="zh-CN"/>
              </w:rPr>
              <w:t>贰</w:t>
            </w:r>
            <w:r>
              <w:rPr>
                <w:rFonts w:cs="Arial"/>
                <w:b/>
                <w:bCs/>
                <w:color w:val="auto"/>
                <w:szCs w:val="24"/>
                <w:highlight w:val="none"/>
              </w:rPr>
              <w:t>份</w:t>
            </w:r>
            <w:r>
              <w:rPr>
                <w:rFonts w:cs="Arial"/>
                <w:color w:val="auto"/>
                <w:szCs w:val="24"/>
                <w:highlight w:val="none"/>
              </w:rPr>
              <w:t>原件备案。</w:t>
            </w:r>
          </w:p>
        </w:tc>
      </w:tr>
      <w:tr w14:paraId="2CEBB3E1">
        <w:tblPrEx>
          <w:tblCellMar>
            <w:top w:w="0" w:type="dxa"/>
            <w:left w:w="57" w:type="dxa"/>
            <w:bottom w:w="0" w:type="dxa"/>
            <w:right w:w="57" w:type="dxa"/>
          </w:tblCellMar>
        </w:tblPrEx>
        <w:trPr>
          <w:trHeight w:val="558" w:hRule="atLeast"/>
          <w:jc w:val="center"/>
        </w:trPr>
        <w:tc>
          <w:tcPr>
            <w:tcW w:w="798" w:type="dxa"/>
            <w:tcBorders>
              <w:top w:val="single" w:color="000000" w:sz="6" w:space="0"/>
              <w:left w:val="single" w:color="000000" w:sz="6" w:space="0"/>
              <w:bottom w:val="single" w:color="000000" w:sz="6" w:space="0"/>
              <w:right w:val="single" w:color="000000" w:sz="6" w:space="0"/>
            </w:tcBorders>
            <w:vAlign w:val="center"/>
          </w:tcPr>
          <w:p w14:paraId="6E71ACCB">
            <w:pPr>
              <w:pageBreakBefore w:val="0"/>
              <w:widowControl w:val="0"/>
              <w:numPr>
                <w:ilvl w:val="0"/>
                <w:numId w:val="4"/>
              </w:numPr>
              <w:tabs>
                <w:tab w:val="left" w:pos="95"/>
              </w:tabs>
              <w:kinsoku/>
              <w:wordWrap/>
              <w:overflowPunct/>
              <w:topLinePunct w:val="0"/>
              <w:autoSpaceDE w:val="0"/>
              <w:autoSpaceDN w:val="0"/>
              <w:bidi w:val="0"/>
              <w:adjustRightInd w:val="0"/>
              <w:snapToGrid w:val="0"/>
              <w:spacing w:before="121" w:beforeLines="30" w:after="72" w:afterLines="30" w:line="312" w:lineRule="auto"/>
              <w:jc w:val="center"/>
              <w:textAlignment w:val="auto"/>
              <w:rPr>
                <w:rFonts w:cs="Arial"/>
                <w:color w:val="auto"/>
                <w:szCs w:val="24"/>
                <w:highlight w:val="none"/>
              </w:rPr>
            </w:pPr>
          </w:p>
        </w:tc>
        <w:tc>
          <w:tcPr>
            <w:tcW w:w="1617" w:type="dxa"/>
            <w:tcBorders>
              <w:top w:val="single" w:color="000000" w:sz="6" w:space="0"/>
              <w:left w:val="single" w:color="000000" w:sz="6" w:space="0"/>
              <w:bottom w:val="single" w:color="000000" w:sz="6" w:space="0"/>
              <w:right w:val="single" w:color="000000" w:sz="6" w:space="0"/>
            </w:tcBorders>
            <w:vAlign w:val="center"/>
          </w:tcPr>
          <w:p w14:paraId="1B1A934F">
            <w:pPr>
              <w:pageBreakBefore w:val="0"/>
              <w:kinsoku/>
              <w:wordWrap/>
              <w:overflowPunct/>
              <w:topLinePunct w:val="0"/>
              <w:autoSpaceDE w:val="0"/>
              <w:autoSpaceDN w:val="0"/>
              <w:bidi w:val="0"/>
              <w:adjustRightInd w:val="0"/>
              <w:snapToGrid w:val="0"/>
              <w:spacing w:before="121" w:beforeLines="30" w:line="312" w:lineRule="auto"/>
              <w:jc w:val="center"/>
              <w:textAlignment w:val="auto"/>
              <w:rPr>
                <w:rFonts w:cs="Arial"/>
                <w:color w:val="auto"/>
                <w:szCs w:val="24"/>
                <w:highlight w:val="none"/>
              </w:rPr>
            </w:pPr>
            <w:r>
              <w:rPr>
                <w:rFonts w:cs="Arial"/>
                <w:color w:val="auto"/>
                <w:szCs w:val="24"/>
                <w:highlight w:val="none"/>
              </w:rPr>
              <w:t>磋商有效期</w:t>
            </w:r>
          </w:p>
        </w:tc>
        <w:tc>
          <w:tcPr>
            <w:tcW w:w="6722" w:type="dxa"/>
            <w:tcBorders>
              <w:top w:val="single" w:color="000000" w:sz="6" w:space="0"/>
              <w:left w:val="single" w:color="000000" w:sz="6" w:space="0"/>
              <w:bottom w:val="single" w:color="000000" w:sz="6" w:space="0"/>
              <w:right w:val="single" w:color="000000" w:sz="6" w:space="0"/>
            </w:tcBorders>
            <w:vAlign w:val="center"/>
          </w:tcPr>
          <w:p w14:paraId="05BDE010">
            <w:pPr>
              <w:pageBreakBefore w:val="0"/>
              <w:kinsoku/>
              <w:wordWrap/>
              <w:overflowPunct/>
              <w:topLinePunct w:val="0"/>
              <w:autoSpaceDE w:val="0"/>
              <w:autoSpaceDN w:val="0"/>
              <w:bidi w:val="0"/>
              <w:adjustRightInd w:val="0"/>
              <w:snapToGrid w:val="0"/>
              <w:spacing w:before="121" w:beforeLines="30" w:after="72" w:afterLines="30" w:line="312" w:lineRule="auto"/>
              <w:textAlignment w:val="auto"/>
              <w:rPr>
                <w:rFonts w:cs="Arial"/>
                <w:color w:val="auto"/>
                <w:szCs w:val="24"/>
                <w:highlight w:val="none"/>
              </w:rPr>
            </w:pPr>
            <w:r>
              <w:rPr>
                <w:rFonts w:hint="eastAsia" w:cs="Arial"/>
                <w:color w:val="auto"/>
                <w:szCs w:val="24"/>
                <w:highlight w:val="none"/>
              </w:rPr>
              <w:t>磋商有效期为自磋商开始之</w:t>
            </w:r>
            <w:r>
              <w:rPr>
                <w:rFonts w:hint="eastAsia" w:ascii="宋体" w:hAnsi="宋体" w:eastAsia="宋体" w:cs="宋体"/>
                <w:color w:val="auto"/>
                <w:szCs w:val="24"/>
                <w:highlight w:val="none"/>
              </w:rPr>
              <w:t>日起60日</w:t>
            </w:r>
          </w:p>
        </w:tc>
      </w:tr>
      <w:tr w14:paraId="40188C1B">
        <w:tblPrEx>
          <w:tblCellMar>
            <w:top w:w="0" w:type="dxa"/>
            <w:left w:w="57" w:type="dxa"/>
            <w:bottom w:w="0" w:type="dxa"/>
            <w:right w:w="57" w:type="dxa"/>
          </w:tblCellMar>
        </w:tblPrEx>
        <w:trPr>
          <w:trHeight w:val="90" w:hRule="atLeast"/>
          <w:jc w:val="center"/>
        </w:trPr>
        <w:tc>
          <w:tcPr>
            <w:tcW w:w="798" w:type="dxa"/>
            <w:tcBorders>
              <w:top w:val="single" w:color="000000" w:sz="6" w:space="0"/>
              <w:left w:val="single" w:color="000000" w:sz="6" w:space="0"/>
              <w:bottom w:val="single" w:color="000000" w:sz="6" w:space="0"/>
              <w:right w:val="single" w:color="000000" w:sz="6" w:space="0"/>
            </w:tcBorders>
            <w:vAlign w:val="center"/>
          </w:tcPr>
          <w:p w14:paraId="06FFEF6A">
            <w:pPr>
              <w:pageBreakBefore w:val="0"/>
              <w:widowControl w:val="0"/>
              <w:numPr>
                <w:ilvl w:val="0"/>
                <w:numId w:val="4"/>
              </w:numPr>
              <w:tabs>
                <w:tab w:val="left" w:pos="95"/>
              </w:tabs>
              <w:kinsoku/>
              <w:wordWrap/>
              <w:overflowPunct/>
              <w:topLinePunct w:val="0"/>
              <w:autoSpaceDE w:val="0"/>
              <w:autoSpaceDN w:val="0"/>
              <w:bidi w:val="0"/>
              <w:adjustRightInd w:val="0"/>
              <w:snapToGrid w:val="0"/>
              <w:spacing w:before="121" w:beforeLines="30" w:after="72" w:afterLines="30" w:line="312" w:lineRule="auto"/>
              <w:jc w:val="center"/>
              <w:textAlignment w:val="auto"/>
              <w:rPr>
                <w:rFonts w:cs="Arial"/>
                <w:color w:val="auto"/>
                <w:szCs w:val="24"/>
                <w:highlight w:val="none"/>
              </w:rPr>
            </w:pPr>
          </w:p>
        </w:tc>
        <w:tc>
          <w:tcPr>
            <w:tcW w:w="1617" w:type="dxa"/>
            <w:tcBorders>
              <w:top w:val="single" w:color="000000" w:sz="6" w:space="0"/>
              <w:left w:val="single" w:color="000000" w:sz="6" w:space="0"/>
              <w:bottom w:val="single" w:color="000000" w:sz="6" w:space="0"/>
              <w:right w:val="single" w:color="000000" w:sz="6" w:space="0"/>
            </w:tcBorders>
            <w:vAlign w:val="center"/>
          </w:tcPr>
          <w:p w14:paraId="307E8A1C">
            <w:pPr>
              <w:pageBreakBefore w:val="0"/>
              <w:kinsoku/>
              <w:wordWrap/>
              <w:overflowPunct/>
              <w:topLinePunct w:val="0"/>
              <w:autoSpaceDE w:val="0"/>
              <w:autoSpaceDN w:val="0"/>
              <w:bidi w:val="0"/>
              <w:adjustRightInd w:val="0"/>
              <w:snapToGrid w:val="0"/>
              <w:spacing w:before="121" w:beforeLines="30" w:line="312" w:lineRule="auto"/>
              <w:jc w:val="center"/>
              <w:textAlignment w:val="auto"/>
              <w:rPr>
                <w:rFonts w:hint="eastAsia" w:ascii="Arial" w:hAnsi="Arial" w:eastAsia="宋体" w:cs="Arial"/>
                <w:b w:val="0"/>
                <w:bCs w:val="0"/>
                <w:color w:val="auto"/>
                <w:kern w:val="0"/>
                <w:sz w:val="24"/>
                <w:szCs w:val="24"/>
                <w:highlight w:val="none"/>
                <w:lang w:val="en-US" w:eastAsia="zh-CN" w:bidi="ar-SA"/>
              </w:rPr>
            </w:pPr>
            <w:r>
              <w:rPr>
                <w:rFonts w:hint="eastAsia" w:ascii="Arial" w:hAnsi="Arial" w:eastAsia="宋体" w:cs="Arial"/>
                <w:b w:val="0"/>
                <w:bCs w:val="0"/>
                <w:color w:val="auto"/>
                <w:kern w:val="0"/>
                <w:sz w:val="24"/>
                <w:szCs w:val="24"/>
                <w:highlight w:val="none"/>
                <w:lang w:val="en-US" w:eastAsia="zh-CN" w:bidi="ar-SA"/>
              </w:rPr>
              <w:t>服务期</w:t>
            </w:r>
          </w:p>
        </w:tc>
        <w:tc>
          <w:tcPr>
            <w:tcW w:w="6722" w:type="dxa"/>
            <w:tcBorders>
              <w:top w:val="single" w:color="000000" w:sz="6" w:space="0"/>
              <w:left w:val="single" w:color="000000" w:sz="6" w:space="0"/>
              <w:bottom w:val="single" w:color="000000" w:sz="6" w:space="0"/>
              <w:right w:val="single" w:color="000000" w:sz="6" w:space="0"/>
            </w:tcBorders>
            <w:vAlign w:val="center"/>
          </w:tcPr>
          <w:p w14:paraId="0D215AFE">
            <w:pPr>
              <w:keepNext w:val="0"/>
              <w:keepLines w:val="0"/>
              <w:pageBreakBefore w:val="0"/>
              <w:widowControl w:val="0"/>
              <w:numPr>
                <w:ilvl w:val="0"/>
                <w:numId w:val="0"/>
              </w:numPr>
              <w:kinsoku/>
              <w:wordWrap/>
              <w:overflowPunct/>
              <w:topLinePunct w:val="0"/>
              <w:autoSpaceDE/>
              <w:autoSpaceDN/>
              <w:bidi w:val="0"/>
              <w:adjustRightInd/>
              <w:snapToGrid/>
              <w:spacing w:before="121" w:beforeLines="30" w:line="360" w:lineRule="auto"/>
              <w:textAlignment w:val="auto"/>
              <w:rPr>
                <w:rFonts w:hint="default" w:ascii="Arial" w:hAnsi="Arial" w:eastAsia="宋体" w:cs="Arial"/>
                <w:b w:val="0"/>
                <w:bCs w:val="0"/>
                <w:color w:val="auto"/>
                <w:kern w:val="0"/>
                <w:sz w:val="24"/>
                <w:szCs w:val="24"/>
                <w:highlight w:val="none"/>
                <w:lang w:val="en-US" w:eastAsia="zh-CN" w:bidi="ar-SA"/>
              </w:rPr>
            </w:pPr>
            <w:r>
              <w:rPr>
                <w:rFonts w:hint="eastAsia" w:cs="Arial"/>
                <w:b w:val="0"/>
                <w:bCs w:val="0"/>
                <w:color w:val="auto"/>
                <w:kern w:val="0"/>
                <w:sz w:val="24"/>
                <w:szCs w:val="24"/>
                <w:highlight w:val="none"/>
                <w:lang w:val="en-US" w:eastAsia="zh-CN" w:bidi="ar-SA"/>
              </w:rPr>
              <w:t>自合同签订之日起-2026年12月；</w:t>
            </w:r>
          </w:p>
        </w:tc>
      </w:tr>
    </w:tbl>
    <w:p w14:paraId="075FDC63">
      <w:pPr>
        <w:keepNext/>
        <w:keepLines/>
        <w:pageBreakBefore/>
        <w:spacing w:before="240"/>
        <w:jc w:val="center"/>
        <w:outlineLvl w:val="0"/>
        <w:rPr>
          <w:rFonts w:ascii="宋体" w:hAnsi="宋体" w:cs="宋体"/>
          <w:b/>
          <w:color w:val="auto"/>
          <w:kern w:val="28"/>
          <w:sz w:val="36"/>
          <w:szCs w:val="20"/>
          <w:highlight w:val="none"/>
        </w:rPr>
      </w:pPr>
      <w:bookmarkStart w:id="6" w:name="_Toc8036"/>
      <w:bookmarkStart w:id="7" w:name="_Toc59135308"/>
      <w:bookmarkStart w:id="8" w:name="_Toc9515"/>
      <w:bookmarkStart w:id="9" w:name="_Toc325725997"/>
      <w:r>
        <w:rPr>
          <w:rFonts w:hint="eastAsia" w:ascii="宋体" w:hAnsi="宋体" w:cs="宋体"/>
          <w:b/>
          <w:color w:val="auto"/>
          <w:kern w:val="28"/>
          <w:sz w:val="36"/>
          <w:szCs w:val="20"/>
          <w:highlight w:val="none"/>
        </w:rPr>
        <w:t>第三部分  供应商须知</w:t>
      </w:r>
      <w:bookmarkEnd w:id="6"/>
      <w:bookmarkEnd w:id="7"/>
      <w:bookmarkEnd w:id="8"/>
    </w:p>
    <w:p w14:paraId="4B70BED3">
      <w:pPr>
        <w:spacing w:before="240" w:beforeLines="100"/>
        <w:jc w:val="center"/>
        <w:outlineLvl w:val="1"/>
        <w:rPr>
          <w:rFonts w:ascii="宋体" w:hAnsi="宋体" w:cs="宋体"/>
          <w:b/>
          <w:bCs/>
          <w:color w:val="auto"/>
          <w:sz w:val="36"/>
          <w:szCs w:val="36"/>
          <w:highlight w:val="none"/>
        </w:rPr>
      </w:pPr>
      <w:bookmarkStart w:id="10" w:name="_Toc14943"/>
      <w:bookmarkStart w:id="11" w:name="_Toc376936728"/>
      <w:bookmarkStart w:id="12" w:name="_Toc112"/>
      <w:bookmarkStart w:id="13" w:name="_Toc24622"/>
      <w:bookmarkStart w:id="14" w:name="_Toc59135309"/>
      <w:r>
        <w:rPr>
          <w:rFonts w:hint="eastAsia" w:ascii="宋体" w:hAnsi="宋体" w:cs="宋体"/>
          <w:b/>
          <w:bCs/>
          <w:color w:val="auto"/>
          <w:sz w:val="36"/>
          <w:szCs w:val="36"/>
          <w:highlight w:val="none"/>
        </w:rPr>
        <w:t>一、说  明</w:t>
      </w:r>
      <w:bookmarkEnd w:id="9"/>
      <w:bookmarkEnd w:id="10"/>
      <w:bookmarkEnd w:id="11"/>
      <w:bookmarkEnd w:id="12"/>
      <w:bookmarkEnd w:id="13"/>
      <w:bookmarkEnd w:id="14"/>
    </w:p>
    <w:p w14:paraId="20EBF905">
      <w:pPr>
        <w:outlineLvl w:val="2"/>
        <w:rPr>
          <w:rFonts w:ascii="宋体" w:hAnsi="宋体" w:cs="宋体"/>
          <w:b/>
          <w:bCs/>
          <w:color w:val="auto"/>
          <w:kern w:val="2"/>
          <w:sz w:val="24"/>
          <w:szCs w:val="24"/>
          <w:highlight w:val="none"/>
          <w:lang w:val="zh-CN"/>
        </w:rPr>
      </w:pPr>
      <w:bookmarkStart w:id="15" w:name="_Toc11677"/>
      <w:bookmarkStart w:id="16" w:name="_Toc9770"/>
      <w:bookmarkStart w:id="17" w:name="_Toc376936729"/>
      <w:bookmarkStart w:id="18" w:name="_Toc59135310"/>
      <w:bookmarkStart w:id="19" w:name="_Toc26944"/>
      <w:bookmarkStart w:id="20" w:name="_Toc325725998"/>
      <w:bookmarkStart w:id="21" w:name="_Toc18368"/>
      <w:r>
        <w:rPr>
          <w:rFonts w:hint="eastAsia" w:ascii="宋体" w:hAnsi="宋体" w:cs="宋体"/>
          <w:b/>
          <w:bCs/>
          <w:color w:val="auto"/>
          <w:kern w:val="2"/>
          <w:sz w:val="24"/>
          <w:szCs w:val="24"/>
          <w:highlight w:val="none"/>
          <w:lang w:val="zh-CN"/>
        </w:rPr>
        <w:t>1.适用范围</w:t>
      </w:r>
      <w:bookmarkEnd w:id="15"/>
      <w:bookmarkEnd w:id="16"/>
      <w:bookmarkEnd w:id="17"/>
      <w:bookmarkEnd w:id="18"/>
      <w:bookmarkEnd w:id="19"/>
      <w:bookmarkEnd w:id="20"/>
      <w:bookmarkEnd w:id="21"/>
    </w:p>
    <w:p w14:paraId="1450FAE8">
      <w:pPr>
        <w:tabs>
          <w:tab w:val="left" w:pos="840"/>
        </w:tabs>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本次采购依据采购人的采购计划，仅适用于本磋商文件中所叙述的项目。</w:t>
      </w:r>
    </w:p>
    <w:p w14:paraId="08F81CED">
      <w:pPr>
        <w:outlineLvl w:val="2"/>
        <w:rPr>
          <w:rFonts w:ascii="宋体" w:hAnsi="宋体" w:cs="宋体"/>
          <w:b/>
          <w:bCs/>
          <w:color w:val="auto"/>
          <w:kern w:val="2"/>
          <w:sz w:val="24"/>
          <w:szCs w:val="24"/>
          <w:highlight w:val="none"/>
          <w:lang w:val="zh-CN"/>
        </w:rPr>
      </w:pPr>
      <w:bookmarkStart w:id="22" w:name="_Toc376936730"/>
      <w:bookmarkStart w:id="23" w:name="_Toc21998"/>
      <w:bookmarkStart w:id="24" w:name="_Toc325725999"/>
      <w:bookmarkStart w:id="25" w:name="_Toc1314"/>
      <w:bookmarkStart w:id="26" w:name="_Toc31556"/>
      <w:bookmarkStart w:id="27" w:name="_Toc59135311"/>
      <w:bookmarkStart w:id="28" w:name="_Toc22813"/>
      <w:r>
        <w:rPr>
          <w:rFonts w:hint="eastAsia" w:ascii="宋体" w:hAnsi="宋体" w:cs="宋体"/>
          <w:b/>
          <w:bCs/>
          <w:color w:val="auto"/>
          <w:kern w:val="2"/>
          <w:sz w:val="24"/>
          <w:szCs w:val="24"/>
          <w:highlight w:val="none"/>
          <w:lang w:val="zh-CN"/>
        </w:rPr>
        <w:t>2.采购方式、合格的</w:t>
      </w:r>
      <w:bookmarkEnd w:id="22"/>
      <w:bookmarkEnd w:id="23"/>
      <w:bookmarkEnd w:id="24"/>
      <w:r>
        <w:rPr>
          <w:rFonts w:hint="eastAsia" w:ascii="宋体" w:hAnsi="宋体" w:cs="宋体"/>
          <w:b/>
          <w:bCs/>
          <w:color w:val="auto"/>
          <w:kern w:val="2"/>
          <w:sz w:val="24"/>
          <w:szCs w:val="24"/>
          <w:highlight w:val="none"/>
          <w:lang w:val="zh-CN"/>
        </w:rPr>
        <w:t>供应商</w:t>
      </w:r>
      <w:bookmarkEnd w:id="25"/>
      <w:bookmarkEnd w:id="26"/>
      <w:bookmarkEnd w:id="27"/>
      <w:bookmarkEnd w:id="28"/>
    </w:p>
    <w:p w14:paraId="1962634D">
      <w:pPr>
        <w:tabs>
          <w:tab w:val="left" w:pos="840"/>
        </w:tabs>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2.1本次采购采取竞争性磋商方式。</w:t>
      </w:r>
    </w:p>
    <w:p w14:paraId="35E2FA3F">
      <w:pPr>
        <w:numPr>
          <w:ilvl w:val="0"/>
          <w:numId w:val="3"/>
        </w:numPr>
        <w:kinsoku/>
        <w:overflowPunct/>
        <w:topLinePunct w:val="0"/>
        <w:bidi w:val="0"/>
        <w:spacing w:before="121" w:beforeLines="30" w:line="360" w:lineRule="auto"/>
        <w:rPr>
          <w:rFonts w:ascii="宋体" w:hAnsi="宋体" w:cs="宋体"/>
          <w:color w:val="auto"/>
          <w:sz w:val="24"/>
          <w:szCs w:val="24"/>
          <w:highlight w:val="none"/>
        </w:rPr>
      </w:pPr>
      <w:r>
        <w:rPr>
          <w:rFonts w:hint="eastAsia" w:ascii="宋体" w:hAnsi="宋体" w:cs="宋体"/>
          <w:color w:val="auto"/>
          <w:sz w:val="24"/>
          <w:szCs w:val="24"/>
          <w:highlight w:val="none"/>
        </w:rPr>
        <w:t>2.2合格的供应商：详见第一部分“投标</w:t>
      </w:r>
      <w:r>
        <w:rPr>
          <w:rFonts w:hint="eastAsia" w:ascii="宋体" w:hAnsi="宋体" w:cs="宋体"/>
          <w:color w:val="auto"/>
          <w:sz w:val="24"/>
          <w:szCs w:val="24"/>
          <w:highlight w:val="none"/>
          <w:lang w:val="en-US" w:eastAsia="zh-CN"/>
        </w:rPr>
        <w:t>邀请</w:t>
      </w:r>
      <w:r>
        <w:rPr>
          <w:rFonts w:hint="eastAsia" w:ascii="宋体" w:hAnsi="宋体" w:eastAsia="宋体" w:cs="宋体"/>
          <w:b w:val="0"/>
          <w:bCs w:val="0"/>
          <w:color w:val="auto"/>
          <w:sz w:val="24"/>
          <w:szCs w:val="24"/>
          <w:highlight w:val="none"/>
          <w:lang w:val="en-US" w:eastAsia="zh-CN"/>
        </w:rPr>
        <w:t>申请人的资格要求</w:t>
      </w:r>
      <w:r>
        <w:rPr>
          <w:rFonts w:hint="eastAsia" w:ascii="宋体" w:hAnsi="宋体" w:cs="宋体"/>
          <w:color w:val="auto"/>
          <w:sz w:val="24"/>
          <w:szCs w:val="24"/>
          <w:highlight w:val="none"/>
        </w:rPr>
        <w:t>”。</w:t>
      </w:r>
    </w:p>
    <w:p w14:paraId="362A78D7">
      <w:pPr>
        <w:outlineLvl w:val="2"/>
        <w:rPr>
          <w:rFonts w:ascii="宋体" w:hAnsi="宋体" w:cs="宋体"/>
          <w:b/>
          <w:bCs/>
          <w:color w:val="auto"/>
          <w:kern w:val="2"/>
          <w:sz w:val="24"/>
          <w:szCs w:val="24"/>
          <w:highlight w:val="none"/>
          <w:lang w:val="zh-CN"/>
        </w:rPr>
      </w:pPr>
      <w:bookmarkStart w:id="29" w:name="_Toc376936731"/>
      <w:bookmarkStart w:id="30" w:name="_Toc8805"/>
      <w:bookmarkStart w:id="31" w:name="_Toc8820"/>
      <w:bookmarkStart w:id="32" w:name="_Toc59135312"/>
      <w:bookmarkStart w:id="33" w:name="_Toc9354"/>
      <w:bookmarkStart w:id="34" w:name="_Toc325726000"/>
      <w:bookmarkStart w:id="35" w:name="_Toc23289"/>
      <w:r>
        <w:rPr>
          <w:rFonts w:hint="eastAsia" w:ascii="宋体" w:hAnsi="宋体" w:cs="宋体"/>
          <w:b/>
          <w:bCs/>
          <w:color w:val="auto"/>
          <w:kern w:val="2"/>
          <w:sz w:val="24"/>
          <w:szCs w:val="24"/>
          <w:highlight w:val="none"/>
          <w:lang w:val="zh-CN"/>
        </w:rPr>
        <w:t>3.磋商费用</w:t>
      </w:r>
      <w:bookmarkEnd w:id="29"/>
      <w:bookmarkEnd w:id="30"/>
      <w:bookmarkEnd w:id="31"/>
      <w:bookmarkEnd w:id="32"/>
      <w:bookmarkEnd w:id="33"/>
      <w:bookmarkEnd w:id="34"/>
      <w:bookmarkEnd w:id="35"/>
    </w:p>
    <w:p w14:paraId="17A49970">
      <w:pPr>
        <w:tabs>
          <w:tab w:val="left" w:pos="840"/>
        </w:tabs>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供应商应自愿承担与参加本次投标有关的费用。采购代理机构对供应商发生的费用不承担任何责任。</w:t>
      </w:r>
      <w:bookmarkStart w:id="36" w:name="_Toc376936732"/>
      <w:bookmarkStart w:id="37" w:name="_Toc18155"/>
      <w:bookmarkStart w:id="38" w:name="_Toc325726001"/>
    </w:p>
    <w:p w14:paraId="68412864">
      <w:pPr>
        <w:spacing w:before="240" w:beforeLines="100"/>
        <w:jc w:val="center"/>
        <w:outlineLvl w:val="1"/>
        <w:rPr>
          <w:rFonts w:ascii="宋体" w:hAnsi="宋体" w:cs="宋体"/>
          <w:b/>
          <w:bCs/>
          <w:color w:val="auto"/>
          <w:sz w:val="36"/>
          <w:szCs w:val="36"/>
          <w:highlight w:val="none"/>
        </w:rPr>
      </w:pPr>
      <w:bookmarkStart w:id="39" w:name="_Toc6064"/>
      <w:bookmarkStart w:id="40" w:name="_Toc59135313"/>
      <w:r>
        <w:rPr>
          <w:rFonts w:hint="eastAsia" w:ascii="宋体" w:hAnsi="宋体" w:cs="宋体"/>
          <w:b/>
          <w:bCs/>
          <w:color w:val="auto"/>
          <w:sz w:val="36"/>
          <w:szCs w:val="36"/>
          <w:highlight w:val="none"/>
        </w:rPr>
        <w:t>二、磋商文件说明</w:t>
      </w:r>
      <w:bookmarkEnd w:id="36"/>
      <w:bookmarkEnd w:id="37"/>
      <w:bookmarkEnd w:id="38"/>
      <w:bookmarkEnd w:id="39"/>
      <w:bookmarkEnd w:id="40"/>
    </w:p>
    <w:p w14:paraId="6372F0FD">
      <w:pPr>
        <w:outlineLvl w:val="2"/>
        <w:rPr>
          <w:rFonts w:ascii="宋体" w:hAnsi="宋体" w:cs="宋体"/>
          <w:b/>
          <w:bCs/>
          <w:color w:val="auto"/>
          <w:kern w:val="2"/>
          <w:sz w:val="24"/>
          <w:szCs w:val="24"/>
          <w:highlight w:val="none"/>
          <w:lang w:val="zh-CN"/>
        </w:rPr>
      </w:pPr>
      <w:bookmarkStart w:id="41" w:name="_Toc59135314"/>
      <w:bookmarkStart w:id="42" w:name="_Toc31496"/>
      <w:bookmarkStart w:id="43" w:name="_Toc14153"/>
      <w:bookmarkStart w:id="44" w:name="_Toc376936733"/>
      <w:bookmarkStart w:id="45" w:name="_Toc11850"/>
      <w:bookmarkStart w:id="46" w:name="_Toc10649"/>
      <w:bookmarkStart w:id="47" w:name="_Toc325726002"/>
      <w:r>
        <w:rPr>
          <w:rFonts w:hint="eastAsia" w:ascii="宋体" w:hAnsi="宋体" w:cs="宋体"/>
          <w:b/>
          <w:bCs/>
          <w:color w:val="auto"/>
          <w:kern w:val="2"/>
          <w:sz w:val="24"/>
          <w:szCs w:val="24"/>
          <w:highlight w:val="none"/>
          <w:lang w:val="zh-CN"/>
        </w:rPr>
        <w:t>4.磋商文件的构成</w:t>
      </w:r>
      <w:bookmarkEnd w:id="41"/>
      <w:bookmarkEnd w:id="42"/>
      <w:bookmarkEnd w:id="43"/>
      <w:bookmarkEnd w:id="44"/>
      <w:bookmarkEnd w:id="45"/>
      <w:bookmarkEnd w:id="46"/>
      <w:bookmarkEnd w:id="47"/>
    </w:p>
    <w:p w14:paraId="554A1C06">
      <w:pPr>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4.1磋商文件包括：</w:t>
      </w:r>
    </w:p>
    <w:p w14:paraId="01572C49">
      <w:pPr>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（1）投标邀请</w:t>
      </w:r>
    </w:p>
    <w:p w14:paraId="741ECCF3">
      <w:pPr>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zh-CN"/>
        </w:rPr>
        <w:t>供应商须知前附表</w:t>
      </w:r>
    </w:p>
    <w:p w14:paraId="501078C6">
      <w:pPr>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（3）供应商须知</w:t>
      </w:r>
    </w:p>
    <w:p w14:paraId="78CC78D8">
      <w:pPr>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（4）青海省政府采购项目合同书范本（样式）</w:t>
      </w:r>
    </w:p>
    <w:p w14:paraId="71446FDF">
      <w:pPr>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（5）响应文件格式（相关附件）</w:t>
      </w:r>
    </w:p>
    <w:p w14:paraId="1912A7BF">
      <w:pPr>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（6）采购项目服务要求</w:t>
      </w:r>
    </w:p>
    <w:p w14:paraId="5830EC24">
      <w:pPr>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（7）磋商过程中发生的澄清、变更和补充文件</w:t>
      </w:r>
    </w:p>
    <w:p w14:paraId="0CF8A7BE">
      <w:pPr>
        <w:ind w:right="-84" w:rightChars="-35"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4.2 供应商应认真阅读磋商文件中列示的事项、格式、条款和要求等内容。如果供应商未按磋商文件要求提交全部资料，或者对磋商文件未作出实质性响应的，将视为无效响应。</w:t>
      </w:r>
    </w:p>
    <w:p w14:paraId="3E336B95">
      <w:pPr>
        <w:outlineLvl w:val="2"/>
        <w:rPr>
          <w:rFonts w:ascii="宋体" w:hAnsi="宋体" w:cs="宋体"/>
          <w:b/>
          <w:bCs/>
          <w:color w:val="auto"/>
          <w:kern w:val="2"/>
          <w:sz w:val="24"/>
          <w:szCs w:val="24"/>
          <w:highlight w:val="none"/>
          <w:lang w:val="zh-CN"/>
        </w:rPr>
      </w:pPr>
      <w:bookmarkStart w:id="48" w:name="_Toc376936734"/>
      <w:bookmarkStart w:id="49" w:name="_Toc325726003"/>
      <w:bookmarkStart w:id="50" w:name="_Toc3451"/>
      <w:bookmarkStart w:id="51" w:name="_Toc29404"/>
      <w:bookmarkStart w:id="52" w:name="_Toc59135315"/>
      <w:bookmarkStart w:id="53" w:name="_Toc6482"/>
      <w:bookmarkStart w:id="54" w:name="_Toc11760"/>
      <w:r>
        <w:rPr>
          <w:rFonts w:hint="eastAsia" w:ascii="宋体" w:hAnsi="宋体" w:cs="宋体"/>
          <w:b/>
          <w:bCs/>
          <w:color w:val="auto"/>
          <w:kern w:val="2"/>
          <w:sz w:val="24"/>
          <w:szCs w:val="24"/>
          <w:highlight w:val="none"/>
          <w:lang w:val="zh-CN"/>
        </w:rPr>
        <w:t>5.磋商文件的</w:t>
      </w:r>
      <w:bookmarkEnd w:id="48"/>
      <w:bookmarkEnd w:id="49"/>
      <w:r>
        <w:rPr>
          <w:rFonts w:hint="eastAsia" w:ascii="宋体" w:hAnsi="宋体" w:cs="宋体"/>
          <w:b/>
          <w:bCs/>
          <w:color w:val="auto"/>
          <w:kern w:val="2"/>
          <w:sz w:val="24"/>
          <w:szCs w:val="24"/>
          <w:highlight w:val="none"/>
          <w:lang w:val="zh-CN"/>
        </w:rPr>
        <w:t>质疑</w:t>
      </w:r>
      <w:bookmarkEnd w:id="50"/>
      <w:bookmarkEnd w:id="51"/>
      <w:bookmarkEnd w:id="52"/>
      <w:bookmarkEnd w:id="53"/>
      <w:bookmarkEnd w:id="54"/>
    </w:p>
    <w:p w14:paraId="46FACBC9">
      <w:pPr>
        <w:widowControl/>
        <w:adjustRightInd w:val="0"/>
        <w:snapToGrid w:val="0"/>
        <w:spacing w:line="360" w:lineRule="auto"/>
        <w:ind w:firstLine="480" w:firstLineChars="200"/>
        <w:jc w:val="left"/>
        <w:rPr>
          <w:rFonts w:ascii="宋体" w:hAnsi="宋体" w:eastAsia="宋体" w:cs="宋体"/>
          <w:color w:val="auto"/>
          <w:kern w:val="0"/>
          <w:szCs w:val="24"/>
          <w:highlight w:val="none"/>
        </w:rPr>
      </w:pPr>
      <w:bookmarkStart w:id="55" w:name="_Toc376936735"/>
      <w:bookmarkStart w:id="56" w:name="_Toc325726004"/>
      <w:bookmarkStart w:id="57" w:name="_Toc23835"/>
      <w:bookmarkStart w:id="58" w:name="_Toc59135316"/>
      <w:bookmarkStart w:id="59" w:name="_Toc13050"/>
      <w:bookmarkStart w:id="60" w:name="_Toc26515"/>
      <w:r>
        <w:rPr>
          <w:rFonts w:hint="eastAsia" w:ascii="宋体" w:hAnsi="宋体" w:eastAsia="宋体" w:cs="宋体"/>
          <w:color w:val="auto"/>
          <w:kern w:val="0"/>
          <w:szCs w:val="24"/>
          <w:highlight w:val="none"/>
        </w:rPr>
        <w:t>供应商对磋商文件有异议的，应在提交首次响应文件截止时间至少1日前以书面形式提出（不接受匿名质疑），供应商须在法定质疑期内一次性提出针对同一采购程序环节的质疑。采购人、采购机构在收到供应商的书面质疑后7个工作日</w:t>
      </w:r>
      <w:r>
        <w:rPr>
          <w:rFonts w:hint="eastAsia" w:ascii="宋体" w:hAnsi="宋体" w:eastAsia="宋体" w:cs="宋体"/>
          <w:color w:val="auto"/>
          <w:kern w:val="0"/>
          <w:szCs w:val="24"/>
          <w:highlight w:val="none"/>
          <w:lang w:val="en-US" w:eastAsia="zh-CN"/>
        </w:rPr>
        <w:t>内</w:t>
      </w:r>
      <w:r>
        <w:rPr>
          <w:rFonts w:hint="eastAsia" w:ascii="宋体" w:hAnsi="宋体" w:eastAsia="宋体" w:cs="宋体"/>
          <w:color w:val="auto"/>
          <w:kern w:val="0"/>
          <w:szCs w:val="24"/>
          <w:highlight w:val="none"/>
        </w:rPr>
        <w:t>视情况予以答复，并将变更事宜在</w:t>
      </w:r>
      <w:r>
        <w:rPr>
          <w:rFonts w:hint="eastAsia" w:ascii="宋体" w:hAnsi="宋体" w:cs="宋体"/>
          <w:color w:val="auto"/>
          <w:kern w:val="0"/>
          <w:szCs w:val="24"/>
          <w:highlight w:val="none"/>
          <w:lang w:eastAsia="zh-CN"/>
        </w:rPr>
        <w:t>《青海省政府采购网》、《青海省公共资源交易网》、《青海项目信息网》</w:t>
      </w:r>
      <w:r>
        <w:rPr>
          <w:rFonts w:hint="eastAsia" w:ascii="宋体" w:hAnsi="宋体" w:eastAsia="宋体" w:cs="宋体"/>
          <w:color w:val="auto"/>
          <w:kern w:val="0"/>
          <w:szCs w:val="24"/>
          <w:highlight w:val="none"/>
        </w:rPr>
        <w:t>上发布公告，告知本项目的所有潜在供应商。</w:t>
      </w:r>
    </w:p>
    <w:p w14:paraId="1E4BC129">
      <w:pPr>
        <w:outlineLvl w:val="2"/>
        <w:rPr>
          <w:rFonts w:ascii="宋体" w:hAnsi="宋体" w:cs="宋体"/>
          <w:b/>
          <w:bCs/>
          <w:color w:val="auto"/>
          <w:kern w:val="2"/>
          <w:sz w:val="24"/>
          <w:szCs w:val="24"/>
          <w:highlight w:val="none"/>
          <w:lang w:val="zh-CN"/>
        </w:rPr>
      </w:pPr>
      <w:bookmarkStart w:id="61" w:name="_Toc10129"/>
      <w:r>
        <w:rPr>
          <w:rFonts w:hint="eastAsia" w:ascii="宋体" w:hAnsi="宋体" w:cs="宋体"/>
          <w:b/>
          <w:bCs/>
          <w:color w:val="auto"/>
          <w:kern w:val="2"/>
          <w:sz w:val="24"/>
          <w:szCs w:val="24"/>
          <w:highlight w:val="none"/>
          <w:lang w:val="zh-CN"/>
        </w:rPr>
        <w:t>6.磋商文件的澄清、修改</w:t>
      </w:r>
      <w:bookmarkEnd w:id="55"/>
      <w:bookmarkEnd w:id="56"/>
      <w:bookmarkEnd w:id="57"/>
      <w:bookmarkEnd w:id="58"/>
      <w:bookmarkEnd w:id="59"/>
      <w:bookmarkEnd w:id="60"/>
      <w:bookmarkEnd w:id="61"/>
    </w:p>
    <w:p w14:paraId="58D1C06C">
      <w:pPr>
        <w:widowControl/>
        <w:adjustRightInd w:val="0"/>
        <w:snapToGrid w:val="0"/>
        <w:spacing w:line="360" w:lineRule="auto"/>
        <w:ind w:firstLine="480" w:firstLineChars="200"/>
        <w:jc w:val="left"/>
        <w:rPr>
          <w:rFonts w:ascii="宋体" w:hAnsi="宋体" w:eastAsia="宋体" w:cs="宋体"/>
          <w:color w:val="auto"/>
          <w:kern w:val="0"/>
          <w:szCs w:val="24"/>
          <w:highlight w:val="none"/>
        </w:rPr>
      </w:pPr>
      <w:bookmarkStart w:id="62" w:name="_Toc325726005"/>
      <w:bookmarkStart w:id="63" w:name="_Toc376936736"/>
      <w:bookmarkStart w:id="64" w:name="_Toc59135317"/>
      <w:bookmarkStart w:id="65" w:name="_Toc23340"/>
      <w:r>
        <w:rPr>
          <w:rFonts w:hint="eastAsia" w:ascii="宋体" w:hAnsi="宋体" w:eastAsia="宋体" w:cs="宋体"/>
          <w:color w:val="auto"/>
          <w:kern w:val="0"/>
          <w:szCs w:val="24"/>
          <w:highlight w:val="none"/>
        </w:rPr>
        <w:t>6.1</w:t>
      </w:r>
      <w:r>
        <w:rPr>
          <w:rFonts w:hint="eastAsia" w:ascii="宋体" w:hAnsi="宋体" w:eastAsia="宋体" w:cs="宋体"/>
          <w:snapToGrid w:val="0"/>
          <w:color w:val="auto"/>
          <w:kern w:val="0"/>
          <w:szCs w:val="24"/>
          <w:highlight w:val="none"/>
        </w:rPr>
        <w:t>提交首次响应文件截止之日前，采购代理机构可以对已发出的磋商文件进行必要的澄清或者修改，澄清或者修改的内容作为磋商文件的组成部分。澄清或者修改的内容可能影响响应文件编制的，采购代理机构应在提交首次响应文件截止时间至少5日前，</w:t>
      </w:r>
      <w:r>
        <w:rPr>
          <w:rFonts w:hint="eastAsia" w:ascii="宋体" w:hAnsi="宋体"/>
          <w:color w:val="auto"/>
          <w:highlight w:val="none"/>
        </w:rPr>
        <w:t>在</w:t>
      </w:r>
      <w:r>
        <w:rPr>
          <w:rFonts w:hint="eastAsia" w:ascii="宋体" w:hAnsi="宋体"/>
          <w:color w:val="auto"/>
          <w:highlight w:val="none"/>
          <w:lang w:val="en-US" w:eastAsia="zh-CN"/>
        </w:rPr>
        <w:t>发布采购公告</w:t>
      </w:r>
      <w:r>
        <w:rPr>
          <w:rFonts w:hint="eastAsia" w:ascii="宋体" w:hAnsi="宋体"/>
          <w:color w:val="auto"/>
          <w:highlight w:val="none"/>
        </w:rPr>
        <w:t>网上发布</w:t>
      </w:r>
      <w:r>
        <w:rPr>
          <w:rFonts w:hint="eastAsia" w:ascii="宋体" w:hAnsi="宋体"/>
          <w:color w:val="auto"/>
          <w:highlight w:val="none"/>
          <w:lang w:val="en-US" w:eastAsia="zh-CN"/>
        </w:rPr>
        <w:t>变更</w:t>
      </w:r>
      <w:r>
        <w:rPr>
          <w:rFonts w:hint="eastAsia" w:ascii="宋体" w:hAnsi="宋体"/>
          <w:color w:val="auto"/>
          <w:highlight w:val="none"/>
        </w:rPr>
        <w:t>公告</w:t>
      </w:r>
      <w:r>
        <w:rPr>
          <w:rFonts w:hint="eastAsia" w:ascii="宋体" w:hAnsi="宋体" w:eastAsia="宋体" w:cs="宋体"/>
          <w:snapToGrid w:val="0"/>
          <w:color w:val="auto"/>
          <w:kern w:val="0"/>
          <w:szCs w:val="24"/>
          <w:highlight w:val="none"/>
        </w:rPr>
        <w:t>；不足5日的，</w:t>
      </w:r>
      <w:r>
        <w:rPr>
          <w:rFonts w:hint="eastAsia" w:ascii="宋体" w:hAnsi="宋体" w:eastAsia="宋体" w:cs="宋体"/>
          <w:snapToGrid w:val="0"/>
          <w:color w:val="auto"/>
          <w:kern w:val="0"/>
          <w:szCs w:val="24"/>
          <w:highlight w:val="none"/>
          <w:lang w:val="en-US" w:eastAsia="zh-CN"/>
        </w:rPr>
        <w:t>采购人</w:t>
      </w:r>
      <w:r>
        <w:rPr>
          <w:rFonts w:hint="eastAsia" w:ascii="宋体" w:hAnsi="宋体" w:eastAsia="宋体" w:cs="宋体"/>
          <w:color w:val="auto"/>
          <w:kern w:val="0"/>
          <w:szCs w:val="24"/>
          <w:highlight w:val="none"/>
        </w:rPr>
        <w:t>、</w:t>
      </w:r>
      <w:r>
        <w:rPr>
          <w:rFonts w:hint="eastAsia" w:ascii="宋体" w:hAnsi="宋体" w:eastAsia="宋体" w:cs="宋体"/>
          <w:snapToGrid w:val="0"/>
          <w:color w:val="auto"/>
          <w:kern w:val="0"/>
          <w:szCs w:val="24"/>
          <w:highlight w:val="none"/>
        </w:rPr>
        <w:t>采购代理机构应当顺延提交首次响应文件截止时间。该澄清或者修改的内容为磋商文件的组成部分。</w:t>
      </w:r>
    </w:p>
    <w:p w14:paraId="7B348B79">
      <w:pPr>
        <w:widowControl/>
        <w:adjustRightInd w:val="0"/>
        <w:snapToGrid w:val="0"/>
        <w:spacing w:line="360" w:lineRule="auto"/>
        <w:ind w:firstLine="480" w:firstLineChars="200"/>
        <w:jc w:val="both"/>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6.2在提交响应文件截止时间前，采购代理机构可以视采购具体情况，延长提交响应文件截止时间和开启时间，并在磋商文件中要求的提交响应文件截止时间和开启时间的三日前，将变更公告发布在发布采购公告网上</w:t>
      </w:r>
      <w:r>
        <w:rPr>
          <w:rFonts w:hint="eastAsia" w:ascii="宋体" w:hAnsi="宋体" w:eastAsia="宋体" w:cs="宋体"/>
          <w:color w:val="auto"/>
          <w:kern w:val="0"/>
          <w:szCs w:val="24"/>
          <w:highlight w:val="none"/>
          <w:lang w:val="en-US" w:eastAsia="zh-CN"/>
        </w:rPr>
        <w:t>予以</w:t>
      </w:r>
      <w:r>
        <w:rPr>
          <w:rFonts w:hint="eastAsia" w:ascii="宋体" w:hAnsi="宋体" w:eastAsia="宋体" w:cs="宋体"/>
          <w:color w:val="auto"/>
          <w:kern w:val="0"/>
          <w:szCs w:val="24"/>
          <w:highlight w:val="none"/>
        </w:rPr>
        <w:t>发布。</w:t>
      </w:r>
    </w:p>
    <w:p w14:paraId="2B8D6B4D">
      <w:pPr>
        <w:spacing w:before="240" w:beforeLines="100"/>
        <w:jc w:val="center"/>
        <w:outlineLvl w:val="1"/>
        <w:rPr>
          <w:rFonts w:ascii="宋体" w:hAnsi="宋体" w:cs="宋体"/>
          <w:b/>
          <w:bCs/>
          <w:color w:val="auto"/>
          <w:sz w:val="36"/>
          <w:szCs w:val="36"/>
          <w:highlight w:val="none"/>
        </w:rPr>
      </w:pPr>
      <w:bookmarkStart w:id="66" w:name="_Toc18464"/>
      <w:r>
        <w:rPr>
          <w:rFonts w:hint="eastAsia" w:ascii="宋体" w:hAnsi="宋体" w:cs="宋体"/>
          <w:b/>
          <w:bCs/>
          <w:color w:val="auto"/>
          <w:sz w:val="36"/>
          <w:szCs w:val="36"/>
          <w:highlight w:val="none"/>
        </w:rPr>
        <w:t>三、响应文件的编制</w:t>
      </w:r>
      <w:bookmarkEnd w:id="62"/>
      <w:bookmarkEnd w:id="63"/>
      <w:bookmarkEnd w:id="64"/>
      <w:bookmarkEnd w:id="65"/>
      <w:bookmarkEnd w:id="66"/>
    </w:p>
    <w:p w14:paraId="7F8493C7">
      <w:pPr>
        <w:outlineLvl w:val="2"/>
        <w:rPr>
          <w:rFonts w:ascii="宋体" w:hAnsi="宋体" w:cs="宋体"/>
          <w:b/>
          <w:bCs/>
          <w:color w:val="auto"/>
          <w:kern w:val="2"/>
          <w:sz w:val="24"/>
          <w:szCs w:val="24"/>
          <w:highlight w:val="none"/>
          <w:lang w:val="zh-CN"/>
        </w:rPr>
      </w:pPr>
      <w:bookmarkStart w:id="67" w:name="_Toc325726006"/>
      <w:bookmarkStart w:id="68" w:name="_Toc9674"/>
      <w:bookmarkStart w:id="69" w:name="_Toc25345"/>
      <w:bookmarkStart w:id="70" w:name="_Toc59135318"/>
      <w:bookmarkStart w:id="71" w:name="_Toc6280"/>
      <w:bookmarkStart w:id="72" w:name="_Toc376936737"/>
      <w:bookmarkStart w:id="73" w:name="_Toc13057"/>
      <w:r>
        <w:rPr>
          <w:rFonts w:hint="eastAsia" w:ascii="宋体" w:hAnsi="宋体" w:cs="宋体"/>
          <w:b/>
          <w:bCs/>
          <w:color w:val="auto"/>
          <w:kern w:val="2"/>
          <w:sz w:val="24"/>
          <w:szCs w:val="24"/>
          <w:highlight w:val="none"/>
          <w:lang w:val="zh-CN"/>
        </w:rPr>
        <w:t>7.响应文件的语言及度量衡单位</w:t>
      </w:r>
      <w:bookmarkEnd w:id="67"/>
      <w:bookmarkEnd w:id="68"/>
      <w:bookmarkEnd w:id="69"/>
      <w:bookmarkEnd w:id="70"/>
      <w:bookmarkEnd w:id="71"/>
      <w:bookmarkEnd w:id="72"/>
      <w:bookmarkEnd w:id="73"/>
    </w:p>
    <w:p w14:paraId="281593CD">
      <w:pPr>
        <w:ind w:firstLine="480" w:firstLineChars="200"/>
        <w:rPr>
          <w:rFonts w:ascii="宋体" w:hAnsi="宋体" w:cs="宋体"/>
          <w:color w:val="auto"/>
          <w:szCs w:val="24"/>
          <w:highlight w:val="none"/>
        </w:rPr>
      </w:pPr>
      <w:r>
        <w:rPr>
          <w:rFonts w:hint="eastAsia" w:ascii="宋体" w:hAnsi="宋体" w:cs="宋体"/>
          <w:color w:val="auto"/>
          <w:szCs w:val="24"/>
          <w:highlight w:val="none"/>
        </w:rPr>
        <w:t>7.1供应商提交的响应文件以及供应商与采购代理机构就此投标发生的所有来往函电均应使用简体中文。除签名、盖章、专用名称等特殊情形外，以中文汉语以外的文字表述的磋商响应文件视同未提供。</w:t>
      </w:r>
    </w:p>
    <w:p w14:paraId="750FD38C">
      <w:pPr>
        <w:ind w:firstLine="480" w:firstLineChars="200"/>
        <w:rPr>
          <w:rFonts w:ascii="宋体" w:hAnsi="宋体" w:cs="宋体"/>
          <w:color w:val="auto"/>
          <w:szCs w:val="24"/>
          <w:highlight w:val="none"/>
        </w:rPr>
      </w:pPr>
      <w:r>
        <w:rPr>
          <w:rFonts w:hint="eastAsia" w:ascii="宋体" w:hAnsi="宋体" w:cs="宋体"/>
          <w:color w:val="auto"/>
          <w:szCs w:val="24"/>
          <w:highlight w:val="none"/>
        </w:rPr>
        <w:t>7.2 除磋商文件中另有规定外，响应文件所使用的度量衡单位，均须采用国家法定计量单位。</w:t>
      </w:r>
    </w:p>
    <w:p w14:paraId="0F136EE3">
      <w:pPr>
        <w:ind w:firstLine="480" w:firstLineChars="200"/>
        <w:rPr>
          <w:rFonts w:ascii="宋体" w:hAnsi="宋体" w:cs="宋体"/>
          <w:color w:val="auto"/>
          <w:szCs w:val="24"/>
          <w:highlight w:val="none"/>
        </w:rPr>
      </w:pPr>
      <w:r>
        <w:rPr>
          <w:rFonts w:hint="eastAsia" w:ascii="宋体" w:hAnsi="宋体" w:cs="宋体"/>
          <w:color w:val="auto"/>
          <w:szCs w:val="24"/>
          <w:highlight w:val="none"/>
        </w:rPr>
        <w:t>7.3附有外文资料的，须翻译成中文并加盖供应商公章，如果翻译的中文资料与外文资料存在差异和矛盾时，以中文资料为准。其准确性由供应商负责。</w:t>
      </w:r>
    </w:p>
    <w:p w14:paraId="75697321">
      <w:pPr>
        <w:outlineLvl w:val="2"/>
        <w:rPr>
          <w:rFonts w:ascii="宋体" w:hAnsi="宋体" w:cs="宋体"/>
          <w:b/>
          <w:bCs/>
          <w:color w:val="auto"/>
          <w:kern w:val="2"/>
          <w:sz w:val="24"/>
          <w:szCs w:val="24"/>
          <w:highlight w:val="none"/>
          <w:lang w:val="zh-CN"/>
        </w:rPr>
      </w:pPr>
      <w:bookmarkStart w:id="74" w:name="_Toc16835"/>
      <w:bookmarkStart w:id="75" w:name="_Toc14347"/>
      <w:bookmarkStart w:id="76" w:name="_Toc535426825"/>
      <w:bookmarkStart w:id="77" w:name="_Toc59135319"/>
      <w:bookmarkStart w:id="78" w:name="_Toc376936743"/>
      <w:bookmarkStart w:id="79" w:name="_Toc21569"/>
      <w:bookmarkStart w:id="80" w:name="_Toc17093"/>
      <w:bookmarkStart w:id="81" w:name="_Toc7300"/>
      <w:bookmarkStart w:id="82" w:name="_Toc325726012"/>
      <w:r>
        <w:rPr>
          <w:rFonts w:hint="eastAsia" w:ascii="宋体" w:hAnsi="宋体" w:cs="宋体"/>
          <w:b/>
          <w:bCs/>
          <w:color w:val="auto"/>
          <w:kern w:val="2"/>
          <w:sz w:val="24"/>
          <w:szCs w:val="24"/>
          <w:highlight w:val="none"/>
          <w:lang w:val="zh-CN"/>
        </w:rPr>
        <w:t>8.投标报价及币种</w:t>
      </w:r>
      <w:bookmarkEnd w:id="74"/>
      <w:bookmarkEnd w:id="75"/>
      <w:bookmarkEnd w:id="76"/>
      <w:bookmarkEnd w:id="77"/>
    </w:p>
    <w:p w14:paraId="060A17CF">
      <w:pPr>
        <w:widowControl/>
        <w:autoSpaceDE w:val="0"/>
        <w:autoSpaceDN w:val="0"/>
        <w:adjustRightInd w:val="0"/>
        <w:snapToGrid w:val="0"/>
        <w:spacing w:line="432" w:lineRule="auto"/>
        <w:ind w:firstLine="426" w:firstLineChars="0"/>
        <w:jc w:val="both"/>
        <w:rPr>
          <w:rFonts w:ascii="Arial" w:hAnsi="Arial" w:eastAsia="宋体" w:cs="Arial"/>
          <w:color w:val="auto"/>
          <w:kern w:val="0"/>
          <w:szCs w:val="24"/>
          <w:highlight w:val="none"/>
          <w:lang w:val="zh-CN"/>
        </w:rPr>
      </w:pPr>
      <w:bookmarkStart w:id="83" w:name="_Toc59135320"/>
      <w:r>
        <w:rPr>
          <w:rFonts w:hint="eastAsia" w:ascii="宋体" w:hAnsi="宋体" w:eastAsia="宋体" w:cs="宋体"/>
          <w:color w:val="auto"/>
          <w:kern w:val="0"/>
          <w:szCs w:val="22"/>
          <w:highlight w:val="none"/>
          <w:lang w:val="zh-CN"/>
        </w:rPr>
        <w:t>8.1 投标报价为投标总价。投标报价包括：</w:t>
      </w:r>
      <w:r>
        <w:rPr>
          <w:rFonts w:hint="eastAsia" w:ascii="宋体" w:hAnsi="宋体"/>
          <w:color w:val="auto"/>
          <w:highlight w:val="none"/>
          <w:lang w:eastAsia="zh-CN"/>
        </w:rPr>
        <w:t>开展资料收集、系列编图、工作报告及其他不可预见</w:t>
      </w:r>
      <w:r>
        <w:rPr>
          <w:rFonts w:hint="eastAsia" w:ascii="宋体" w:hAnsi="宋体"/>
          <w:color w:val="auto"/>
          <w:highlight w:val="none"/>
          <w:lang w:val="en-US" w:eastAsia="zh-CN"/>
        </w:rPr>
        <w:t>的</w:t>
      </w:r>
      <w:r>
        <w:rPr>
          <w:rFonts w:hint="eastAsia" w:ascii="宋体" w:hAnsi="宋体"/>
          <w:color w:val="auto"/>
          <w:highlight w:val="none"/>
          <w:lang w:eastAsia="zh-CN"/>
        </w:rPr>
        <w:t>全部费用。</w:t>
      </w:r>
      <w:r>
        <w:rPr>
          <w:rFonts w:hint="eastAsia" w:ascii="宋体" w:hAnsi="宋体"/>
          <w:color w:val="auto"/>
          <w:highlight w:val="none"/>
        </w:rPr>
        <w:t>供应商须按“报价一览表”格式填写投标总报价，最后报价不得出现两个或两个以上的报价方案。</w:t>
      </w:r>
    </w:p>
    <w:p w14:paraId="22F4A548">
      <w:pPr>
        <w:widowControl/>
        <w:adjustRightInd w:val="0"/>
        <w:snapToGrid w:val="0"/>
        <w:spacing w:line="360" w:lineRule="auto"/>
        <w:ind w:firstLine="480" w:firstLineChars="200"/>
        <w:jc w:val="left"/>
        <w:rPr>
          <w:rFonts w:ascii="宋体" w:hAnsi="宋体" w:eastAsia="宋体" w:cs="宋体"/>
          <w:color w:val="auto"/>
          <w:kern w:val="0"/>
          <w:szCs w:val="22"/>
          <w:highlight w:val="none"/>
          <w:lang w:val="zh-CN"/>
        </w:rPr>
      </w:pPr>
      <w:r>
        <w:rPr>
          <w:rFonts w:hint="eastAsia" w:ascii="宋体" w:hAnsi="宋体" w:eastAsia="宋体" w:cs="宋体"/>
          <w:color w:val="auto"/>
          <w:kern w:val="0"/>
          <w:szCs w:val="22"/>
          <w:highlight w:val="none"/>
          <w:lang w:val="zh-CN"/>
        </w:rPr>
        <w:t>8.2 投标报价有效期与投标有效期一致。</w:t>
      </w:r>
    </w:p>
    <w:p w14:paraId="7D5F9725">
      <w:pPr>
        <w:widowControl/>
        <w:autoSpaceDE w:val="0"/>
        <w:autoSpaceDN w:val="0"/>
        <w:adjustRightInd w:val="0"/>
        <w:snapToGrid w:val="0"/>
        <w:spacing w:line="360" w:lineRule="auto"/>
        <w:ind w:firstLine="480" w:firstLineChars="200"/>
        <w:jc w:val="left"/>
        <w:rPr>
          <w:rFonts w:hint="eastAsia" w:ascii="宋体" w:hAnsi="宋体" w:eastAsia="宋体" w:cs="宋体"/>
          <w:color w:val="auto"/>
          <w:kern w:val="0"/>
          <w:szCs w:val="22"/>
          <w:highlight w:val="none"/>
          <w:lang w:val="zh-CN"/>
        </w:rPr>
      </w:pPr>
      <w:r>
        <w:rPr>
          <w:rFonts w:hint="eastAsia" w:ascii="宋体" w:hAnsi="宋体" w:eastAsia="宋体" w:cs="宋体"/>
          <w:color w:val="auto"/>
          <w:kern w:val="0"/>
          <w:szCs w:val="22"/>
          <w:highlight w:val="none"/>
          <w:lang w:val="zh-CN"/>
        </w:rPr>
        <w:t xml:space="preserve">8.3 </w:t>
      </w:r>
      <w:r>
        <w:rPr>
          <w:rFonts w:hint="eastAsia"/>
          <w:color w:val="auto"/>
          <w:highlight w:val="none"/>
        </w:rPr>
        <w:t>供应商应根据磋商文件规定的格式完整填写所有内容，并保证所提供的全部资料真实可信，自愿承担相应责任。</w:t>
      </w:r>
    </w:p>
    <w:p w14:paraId="56436CF6">
      <w:pPr>
        <w:widowControl/>
        <w:autoSpaceDE w:val="0"/>
        <w:autoSpaceDN w:val="0"/>
        <w:adjustRightInd w:val="0"/>
        <w:snapToGrid w:val="0"/>
        <w:spacing w:line="360" w:lineRule="auto"/>
        <w:ind w:firstLine="480" w:firstLineChars="200"/>
        <w:jc w:val="left"/>
        <w:rPr>
          <w:rFonts w:ascii="宋体" w:hAnsi="宋体" w:eastAsia="宋体" w:cs="宋体"/>
          <w:color w:val="auto"/>
          <w:kern w:val="0"/>
          <w:szCs w:val="22"/>
          <w:highlight w:val="none"/>
          <w:lang w:val="zh-CN"/>
        </w:rPr>
      </w:pPr>
      <w:r>
        <w:rPr>
          <w:rFonts w:hint="eastAsia" w:ascii="宋体" w:hAnsi="宋体" w:eastAsia="宋体" w:cs="宋体"/>
          <w:color w:val="auto"/>
          <w:kern w:val="0"/>
          <w:szCs w:val="22"/>
          <w:highlight w:val="none"/>
          <w:lang w:val="en-US" w:eastAsia="zh-CN"/>
        </w:rPr>
        <w:t xml:space="preserve">8.4 </w:t>
      </w:r>
      <w:r>
        <w:rPr>
          <w:rFonts w:hint="eastAsia" w:ascii="宋体" w:hAnsi="宋体" w:eastAsia="宋体" w:cs="宋体"/>
          <w:color w:val="auto"/>
          <w:kern w:val="0"/>
          <w:szCs w:val="22"/>
          <w:highlight w:val="none"/>
          <w:lang w:val="zh-CN"/>
        </w:rPr>
        <w:t>投标报价为闭口价，即</w:t>
      </w:r>
      <w:r>
        <w:rPr>
          <w:rFonts w:hint="eastAsia" w:ascii="宋体" w:hAnsi="宋体" w:cs="宋体"/>
          <w:color w:val="auto"/>
          <w:kern w:val="0"/>
          <w:szCs w:val="22"/>
          <w:highlight w:val="none"/>
          <w:lang w:val="en-US" w:eastAsia="zh-CN"/>
        </w:rPr>
        <w:t>成交</w:t>
      </w:r>
      <w:r>
        <w:rPr>
          <w:rFonts w:hint="eastAsia" w:ascii="宋体" w:hAnsi="宋体" w:eastAsia="宋体" w:cs="宋体"/>
          <w:color w:val="auto"/>
          <w:kern w:val="0"/>
          <w:szCs w:val="22"/>
          <w:highlight w:val="none"/>
          <w:lang w:val="zh-CN"/>
        </w:rPr>
        <w:t>后在合同有效期内价格不变。</w:t>
      </w:r>
    </w:p>
    <w:p w14:paraId="5C09ECD7">
      <w:pPr>
        <w:widowControl/>
        <w:autoSpaceDE w:val="0"/>
        <w:autoSpaceDN w:val="0"/>
        <w:adjustRightInd w:val="0"/>
        <w:snapToGrid w:val="0"/>
        <w:spacing w:line="360" w:lineRule="auto"/>
        <w:ind w:firstLine="480" w:firstLineChars="200"/>
        <w:jc w:val="left"/>
        <w:rPr>
          <w:rFonts w:hint="eastAsia" w:ascii="宋体" w:hAnsi="宋体" w:eastAsia="宋体" w:cs="宋体"/>
          <w:color w:val="auto"/>
          <w:kern w:val="0"/>
          <w:szCs w:val="22"/>
          <w:highlight w:val="none"/>
          <w:lang w:val="zh-CN"/>
        </w:rPr>
      </w:pPr>
      <w:r>
        <w:rPr>
          <w:rFonts w:hint="eastAsia" w:ascii="宋体" w:hAnsi="宋体" w:eastAsia="宋体" w:cs="宋体"/>
          <w:color w:val="auto"/>
          <w:kern w:val="0"/>
          <w:szCs w:val="22"/>
          <w:highlight w:val="none"/>
          <w:lang w:val="zh-CN"/>
        </w:rPr>
        <w:t>8.</w:t>
      </w:r>
      <w:r>
        <w:rPr>
          <w:rFonts w:hint="eastAsia" w:ascii="宋体" w:hAnsi="宋体" w:eastAsia="宋体" w:cs="宋体"/>
          <w:color w:val="auto"/>
          <w:kern w:val="0"/>
          <w:szCs w:val="22"/>
          <w:highlight w:val="none"/>
          <w:lang w:val="en-US" w:eastAsia="zh-CN"/>
        </w:rPr>
        <w:t>5</w:t>
      </w:r>
      <w:r>
        <w:rPr>
          <w:rFonts w:hint="eastAsia" w:ascii="宋体" w:hAnsi="宋体" w:eastAsia="宋体" w:cs="宋体"/>
          <w:color w:val="auto"/>
          <w:kern w:val="0"/>
          <w:szCs w:val="22"/>
          <w:highlight w:val="none"/>
        </w:rPr>
        <w:t xml:space="preserve"> </w:t>
      </w:r>
      <w:r>
        <w:rPr>
          <w:rFonts w:hint="eastAsia" w:ascii="宋体" w:hAnsi="宋体" w:eastAsia="宋体" w:cs="宋体"/>
          <w:color w:val="auto"/>
          <w:kern w:val="0"/>
          <w:szCs w:val="22"/>
          <w:highlight w:val="none"/>
          <w:lang w:val="zh-CN"/>
        </w:rPr>
        <w:t>投标币种是人民币。</w:t>
      </w:r>
    </w:p>
    <w:p w14:paraId="372E9B41">
      <w:pPr>
        <w:outlineLvl w:val="2"/>
        <w:rPr>
          <w:rFonts w:ascii="宋体" w:hAnsi="宋体" w:cs="宋体"/>
          <w:b/>
          <w:bCs/>
          <w:color w:val="auto"/>
          <w:kern w:val="2"/>
          <w:sz w:val="24"/>
          <w:szCs w:val="24"/>
          <w:highlight w:val="none"/>
          <w:lang w:val="zh-CN"/>
        </w:rPr>
      </w:pPr>
      <w:bookmarkStart w:id="84" w:name="_Toc9388"/>
      <w:r>
        <w:rPr>
          <w:rFonts w:hint="eastAsia" w:ascii="宋体" w:hAnsi="宋体" w:cs="宋体"/>
          <w:b/>
          <w:bCs/>
          <w:color w:val="auto"/>
          <w:kern w:val="2"/>
          <w:sz w:val="24"/>
          <w:szCs w:val="24"/>
          <w:highlight w:val="none"/>
          <w:lang w:val="zh-CN"/>
        </w:rPr>
        <w:t>9.磋商保证金</w:t>
      </w:r>
      <w:bookmarkEnd w:id="78"/>
      <w:bookmarkEnd w:id="79"/>
      <w:bookmarkEnd w:id="80"/>
      <w:bookmarkEnd w:id="81"/>
      <w:bookmarkEnd w:id="82"/>
      <w:bookmarkEnd w:id="83"/>
      <w:bookmarkEnd w:id="84"/>
    </w:p>
    <w:p w14:paraId="7C34D0CB">
      <w:pPr>
        <w:widowControl w:val="0"/>
        <w:autoSpaceDE w:val="0"/>
        <w:autoSpaceDN w:val="0"/>
        <w:ind w:firstLine="480" w:firstLineChars="200"/>
        <w:rPr>
          <w:rFonts w:ascii="宋体" w:hAnsi="宋体" w:cs="宋体"/>
          <w:color w:val="auto"/>
          <w:szCs w:val="24"/>
          <w:highlight w:val="none"/>
          <w:lang w:val="zh-CN"/>
        </w:rPr>
      </w:pPr>
      <w:r>
        <w:rPr>
          <w:rFonts w:hint="eastAsia" w:ascii="宋体" w:hAnsi="宋体" w:cs="宋体"/>
          <w:color w:val="auto"/>
          <w:szCs w:val="24"/>
          <w:highlight w:val="none"/>
        </w:rPr>
        <w:t>9</w:t>
      </w:r>
      <w:r>
        <w:rPr>
          <w:rFonts w:hint="eastAsia" w:ascii="宋体" w:hAnsi="宋体" w:cs="宋体"/>
          <w:color w:val="auto"/>
          <w:szCs w:val="24"/>
          <w:highlight w:val="none"/>
          <w:lang w:val="zh-CN"/>
        </w:rPr>
        <w:t>.1</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供应商在投标截止时间前撤回已提交的投标文件的，采购代理机构应当自收到供应商书面撤回通知之日起5个工作日内，退还已收取的投标保证金，但因供应商自身原因导致无法及时退还的除外。</w:t>
      </w:r>
    </w:p>
    <w:p w14:paraId="3AFCC41F">
      <w:pPr>
        <w:autoSpaceDE w:val="0"/>
        <w:autoSpaceDN w:val="0"/>
        <w:ind w:firstLine="480" w:firstLineChars="200"/>
        <w:rPr>
          <w:rFonts w:ascii="宋体" w:hAnsi="宋体" w:cs="宋体"/>
          <w:color w:val="auto"/>
          <w:szCs w:val="24"/>
          <w:highlight w:val="none"/>
        </w:rPr>
      </w:pPr>
      <w:r>
        <w:rPr>
          <w:rFonts w:ascii="Arial" w:hAnsi="Arial" w:eastAsia="宋体" w:cs="Arial"/>
          <w:color w:val="auto"/>
          <w:kern w:val="0"/>
          <w:szCs w:val="24"/>
          <w:highlight w:val="none"/>
        </w:rPr>
        <w:t>未成交</w:t>
      </w:r>
      <w:r>
        <w:rPr>
          <w:rFonts w:hint="eastAsia" w:ascii="Arial" w:hAnsi="Arial" w:eastAsia="宋体" w:cs="Arial"/>
          <w:color w:val="auto"/>
          <w:kern w:val="0"/>
          <w:szCs w:val="24"/>
          <w:highlight w:val="none"/>
          <w:lang w:val="en-US" w:eastAsia="zh-CN"/>
        </w:rPr>
        <w:t>供应商</w:t>
      </w:r>
      <w:r>
        <w:rPr>
          <w:rFonts w:ascii="Arial" w:hAnsi="Arial" w:eastAsia="宋体" w:cs="Arial"/>
          <w:color w:val="auto"/>
          <w:kern w:val="0"/>
          <w:szCs w:val="24"/>
          <w:highlight w:val="none"/>
        </w:rPr>
        <w:t>的磋商保证金自成交通知书发出之日起5个工作日内退还（不退现金）；成交人的磋商保证金，自政府采购合同签订之日起5个工作日内退还（不退现金）</w:t>
      </w:r>
      <w:r>
        <w:rPr>
          <w:rFonts w:hint="eastAsia" w:ascii="Arial" w:hAnsi="Arial" w:eastAsia="宋体" w:cs="Arial"/>
          <w:color w:val="auto"/>
          <w:kern w:val="0"/>
          <w:szCs w:val="24"/>
          <w:highlight w:val="none"/>
          <w:lang w:eastAsia="zh-CN"/>
        </w:rPr>
        <w:t>。</w:t>
      </w:r>
    </w:p>
    <w:p w14:paraId="593AA87C">
      <w:pPr>
        <w:pStyle w:val="12"/>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采购代理机构逾期退还投标保证金的，除应当退还投标保证金本金外，还应当按中国人民银行同期贷款基准利率上浮20％后的利率支付超期资金占用费，但因供应商自身原因导致无法及时退还的除外。</w:t>
      </w:r>
    </w:p>
    <w:p w14:paraId="644F74C0">
      <w:pPr>
        <w:autoSpaceDE w:val="0"/>
        <w:autoSpaceDN w:val="0"/>
        <w:ind w:firstLine="480" w:firstLineChars="200"/>
        <w:rPr>
          <w:rFonts w:ascii="宋体" w:hAnsi="宋体" w:cs="宋体"/>
          <w:color w:val="auto"/>
          <w:szCs w:val="24"/>
          <w:highlight w:val="none"/>
        </w:rPr>
      </w:pPr>
      <w:r>
        <w:rPr>
          <w:rFonts w:hint="eastAsia" w:ascii="宋体" w:hAnsi="宋体" w:cs="宋体"/>
          <w:color w:val="auto"/>
          <w:szCs w:val="24"/>
          <w:highlight w:val="none"/>
        </w:rPr>
        <w:t>9</w:t>
      </w:r>
      <w:r>
        <w:rPr>
          <w:rFonts w:hint="eastAsia" w:ascii="宋体" w:hAnsi="宋体" w:cs="宋体"/>
          <w:color w:val="auto"/>
          <w:szCs w:val="24"/>
          <w:highlight w:val="none"/>
          <w:lang w:val="zh-CN"/>
        </w:rPr>
        <w:t>.</w:t>
      </w:r>
      <w:r>
        <w:rPr>
          <w:rFonts w:hint="eastAsia" w:ascii="宋体" w:hAnsi="宋体" w:cs="宋体"/>
          <w:color w:val="auto"/>
          <w:szCs w:val="24"/>
          <w:highlight w:val="none"/>
        </w:rPr>
        <w:t>2 磋商保证金应当以支票、汇票、本票、或者金融机构</w:t>
      </w:r>
      <w:r>
        <w:rPr>
          <w:rFonts w:hint="eastAsia" w:ascii="宋体" w:hAnsi="宋体" w:cs="宋体"/>
          <w:color w:val="auto"/>
          <w:szCs w:val="24"/>
          <w:highlight w:val="none"/>
          <w:lang w:val="en-US" w:eastAsia="zh-CN"/>
        </w:rPr>
        <w:t>或</w:t>
      </w:r>
      <w:r>
        <w:rPr>
          <w:rFonts w:hint="eastAsia" w:ascii="宋体" w:hAnsi="宋体" w:cs="宋体"/>
          <w:color w:val="auto"/>
          <w:szCs w:val="24"/>
          <w:highlight w:val="none"/>
        </w:rPr>
        <w:t>担保机构出具的保函等非现金形式提交。通过银行转账的，必须由供应商从其基本账户汇入采购代理机构指定账户。</w:t>
      </w:r>
    </w:p>
    <w:p w14:paraId="571CB0B6">
      <w:pPr>
        <w:autoSpaceDE w:val="0"/>
        <w:autoSpaceDN w:val="0"/>
        <w:ind w:firstLine="480" w:firstLineChars="200"/>
        <w:rPr>
          <w:rFonts w:ascii="宋体" w:hAnsi="宋体" w:cs="宋体"/>
          <w:color w:val="auto"/>
          <w:szCs w:val="24"/>
          <w:highlight w:val="none"/>
        </w:rPr>
      </w:pPr>
      <w:r>
        <w:rPr>
          <w:rFonts w:hint="eastAsia" w:ascii="宋体" w:hAnsi="宋体" w:cs="宋体"/>
          <w:color w:val="auto"/>
          <w:szCs w:val="24"/>
          <w:highlight w:val="none"/>
        </w:rPr>
        <w:t>9.3 有下列情形之一的，磋商保证金不予退还：</w:t>
      </w:r>
    </w:p>
    <w:p w14:paraId="2228284F">
      <w:pPr>
        <w:autoSpaceDE w:val="0"/>
        <w:autoSpaceDN w:val="0"/>
        <w:ind w:firstLine="480" w:firstLineChars="200"/>
        <w:rPr>
          <w:rFonts w:ascii="宋体" w:hAnsi="宋体" w:cs="宋体"/>
          <w:color w:val="auto"/>
          <w:szCs w:val="24"/>
          <w:highlight w:val="none"/>
        </w:rPr>
      </w:pPr>
      <w:r>
        <w:rPr>
          <w:rFonts w:hint="eastAsia" w:ascii="宋体" w:hAnsi="宋体" w:cs="宋体"/>
          <w:color w:val="auto"/>
          <w:szCs w:val="24"/>
          <w:highlight w:val="none"/>
        </w:rPr>
        <w:t>（1）供应商在提交响应文件截止时间后撤回响应文件的；</w:t>
      </w:r>
    </w:p>
    <w:p w14:paraId="0E44BF2C">
      <w:pPr>
        <w:autoSpaceDE w:val="0"/>
        <w:autoSpaceDN w:val="0"/>
        <w:ind w:firstLine="480" w:firstLineChars="200"/>
        <w:rPr>
          <w:rFonts w:ascii="宋体" w:hAnsi="宋体" w:cs="宋体"/>
          <w:color w:val="auto"/>
          <w:szCs w:val="24"/>
          <w:highlight w:val="none"/>
        </w:rPr>
      </w:pPr>
      <w:r>
        <w:rPr>
          <w:rFonts w:hint="eastAsia" w:ascii="宋体" w:hAnsi="宋体" w:cs="宋体"/>
          <w:color w:val="auto"/>
          <w:szCs w:val="24"/>
          <w:highlight w:val="none"/>
        </w:rPr>
        <w:t>（2）供应商在响应文件中提供虚假材料的；</w:t>
      </w:r>
    </w:p>
    <w:p w14:paraId="21507E7B">
      <w:pPr>
        <w:autoSpaceDE w:val="0"/>
        <w:autoSpaceDN w:val="0"/>
        <w:ind w:firstLine="480" w:firstLineChars="200"/>
        <w:rPr>
          <w:rFonts w:ascii="宋体" w:hAnsi="宋体" w:cs="宋体"/>
          <w:color w:val="auto"/>
          <w:szCs w:val="24"/>
          <w:highlight w:val="none"/>
        </w:rPr>
      </w:pPr>
      <w:r>
        <w:rPr>
          <w:rFonts w:hint="eastAsia" w:ascii="宋体" w:hAnsi="宋体" w:cs="宋体"/>
          <w:color w:val="auto"/>
          <w:szCs w:val="24"/>
          <w:highlight w:val="none"/>
        </w:rPr>
        <w:t>（3）除因不可抗力或磋商文件认可的情形以外，成交供应商不与采购人签订合同的；</w:t>
      </w:r>
    </w:p>
    <w:p w14:paraId="78AE7530">
      <w:pPr>
        <w:autoSpaceDE w:val="0"/>
        <w:autoSpaceDN w:val="0"/>
        <w:ind w:firstLine="480" w:firstLineChars="200"/>
        <w:rPr>
          <w:rFonts w:ascii="宋体" w:hAnsi="宋体" w:cs="宋体"/>
          <w:color w:val="auto"/>
          <w:szCs w:val="24"/>
          <w:highlight w:val="none"/>
        </w:rPr>
      </w:pPr>
      <w:r>
        <w:rPr>
          <w:rFonts w:hint="eastAsia" w:ascii="宋体" w:hAnsi="宋体" w:cs="宋体"/>
          <w:color w:val="auto"/>
          <w:szCs w:val="24"/>
          <w:highlight w:val="none"/>
        </w:rPr>
        <w:t>（4）供应商与采购人、其他供应商或者采购代理机构恶意串通的；</w:t>
      </w:r>
    </w:p>
    <w:p w14:paraId="4B43065E">
      <w:pPr>
        <w:autoSpaceDE w:val="0"/>
        <w:autoSpaceDN w:val="0"/>
        <w:ind w:firstLine="480" w:firstLineChars="200"/>
        <w:rPr>
          <w:rFonts w:ascii="宋体" w:hAnsi="宋体" w:cs="宋体"/>
          <w:color w:val="auto"/>
          <w:szCs w:val="24"/>
          <w:highlight w:val="none"/>
        </w:rPr>
      </w:pPr>
      <w:r>
        <w:rPr>
          <w:rFonts w:hint="eastAsia" w:ascii="宋体" w:hAnsi="宋体" w:cs="宋体"/>
          <w:color w:val="auto"/>
          <w:szCs w:val="24"/>
          <w:highlight w:val="none"/>
        </w:rPr>
        <w:t>（5）磋商文件规定的其他情形。</w:t>
      </w:r>
    </w:p>
    <w:p w14:paraId="1F3ECE83">
      <w:pPr>
        <w:outlineLvl w:val="2"/>
        <w:rPr>
          <w:rFonts w:ascii="宋体" w:hAnsi="宋体" w:cs="宋体"/>
          <w:b/>
          <w:bCs/>
          <w:color w:val="auto"/>
          <w:kern w:val="2"/>
          <w:sz w:val="24"/>
          <w:szCs w:val="24"/>
          <w:highlight w:val="none"/>
        </w:rPr>
      </w:pPr>
      <w:bookmarkStart w:id="85" w:name="_Toc376936744"/>
      <w:bookmarkStart w:id="86" w:name="_Toc325726013"/>
      <w:bookmarkStart w:id="87" w:name="_Toc14252"/>
      <w:bookmarkStart w:id="88" w:name="_Toc22044"/>
      <w:bookmarkStart w:id="89" w:name="_Toc5721"/>
      <w:bookmarkStart w:id="90" w:name="_Toc32704"/>
      <w:bookmarkStart w:id="91" w:name="_Toc59135321"/>
      <w:r>
        <w:rPr>
          <w:rFonts w:hint="eastAsia" w:ascii="宋体" w:hAnsi="宋体" w:cs="宋体"/>
          <w:b/>
          <w:bCs/>
          <w:color w:val="auto"/>
          <w:kern w:val="2"/>
          <w:sz w:val="24"/>
          <w:szCs w:val="24"/>
          <w:highlight w:val="none"/>
        </w:rPr>
        <w:t>10.磋商有效期</w:t>
      </w:r>
      <w:bookmarkEnd w:id="85"/>
      <w:bookmarkEnd w:id="86"/>
      <w:bookmarkEnd w:id="87"/>
      <w:bookmarkEnd w:id="88"/>
      <w:bookmarkEnd w:id="89"/>
      <w:bookmarkEnd w:id="90"/>
      <w:bookmarkEnd w:id="91"/>
    </w:p>
    <w:p w14:paraId="1B41887A">
      <w:pPr>
        <w:ind w:firstLine="480" w:firstLineChars="200"/>
        <w:rPr>
          <w:rFonts w:ascii="宋体" w:hAnsi="宋体" w:cs="宋体"/>
          <w:color w:val="auto"/>
          <w:szCs w:val="24"/>
          <w:highlight w:val="none"/>
        </w:rPr>
      </w:pPr>
      <w:bookmarkStart w:id="92" w:name="_Toc41491747"/>
      <w:bookmarkStart w:id="93" w:name="_Toc41491627"/>
      <w:bookmarkStart w:id="94" w:name="_Toc41489113"/>
      <w:bookmarkStart w:id="95" w:name="_Toc325726008"/>
      <w:bookmarkStart w:id="96" w:name="_Toc16445"/>
      <w:bookmarkStart w:id="97" w:name="_Toc376936739"/>
      <w:bookmarkStart w:id="98" w:name="_Toc31915"/>
      <w:bookmarkStart w:id="99" w:name="_Toc32333"/>
      <w:r>
        <w:rPr>
          <w:rFonts w:hint="eastAsia" w:ascii="宋体" w:hAnsi="宋体" w:cs="宋体"/>
          <w:color w:val="auto"/>
          <w:szCs w:val="24"/>
          <w:highlight w:val="none"/>
        </w:rPr>
        <w:t>从提交磋商响应文件的截止之日起</w:t>
      </w:r>
      <w:r>
        <w:rPr>
          <w:rFonts w:hint="eastAsia" w:ascii="宋体" w:hAnsi="宋体" w:cs="宋体"/>
          <w:b/>
          <w:bCs/>
          <w:color w:val="auto"/>
          <w:szCs w:val="24"/>
          <w:highlight w:val="none"/>
          <w:u w:val="single"/>
        </w:rPr>
        <w:t>60</w:t>
      </w:r>
      <w:r>
        <w:rPr>
          <w:rFonts w:hint="eastAsia" w:ascii="宋体" w:hAnsi="宋体" w:cs="宋体"/>
          <w:color w:val="auto"/>
          <w:szCs w:val="24"/>
          <w:highlight w:val="none"/>
          <w:u w:val="single"/>
        </w:rPr>
        <w:t>日</w:t>
      </w:r>
      <w:r>
        <w:rPr>
          <w:rFonts w:hint="eastAsia" w:ascii="宋体" w:hAnsi="宋体" w:cs="宋体"/>
          <w:color w:val="auto"/>
          <w:szCs w:val="24"/>
          <w:highlight w:val="none"/>
        </w:rPr>
        <w:t>。磋商响应文件中承诺的投标有效期应当不少于磋商文件中载明的投标有效期。投标有效期内供应商撤销磋商响应文件的，采购代理机构可以不退还磋商保证金。</w:t>
      </w:r>
      <w:bookmarkEnd w:id="92"/>
      <w:bookmarkEnd w:id="93"/>
      <w:bookmarkEnd w:id="94"/>
    </w:p>
    <w:p w14:paraId="58AF2D3F">
      <w:pPr>
        <w:spacing w:before="240" w:beforeLines="100"/>
        <w:jc w:val="center"/>
        <w:outlineLvl w:val="1"/>
        <w:rPr>
          <w:rFonts w:ascii="宋体" w:hAnsi="宋体" w:cs="宋体"/>
          <w:b/>
          <w:bCs/>
          <w:color w:val="auto"/>
          <w:sz w:val="36"/>
          <w:szCs w:val="36"/>
          <w:highlight w:val="none"/>
          <w:lang w:val="zh-CN"/>
        </w:rPr>
      </w:pPr>
      <w:bookmarkStart w:id="100" w:name="_Toc535426828"/>
      <w:bookmarkStart w:id="101" w:name="_Toc3974"/>
      <w:bookmarkStart w:id="102" w:name="_Toc59135322"/>
      <w:r>
        <w:rPr>
          <w:rFonts w:hint="eastAsia" w:ascii="宋体" w:hAnsi="宋体" w:cs="宋体"/>
          <w:b/>
          <w:bCs/>
          <w:color w:val="auto"/>
          <w:sz w:val="36"/>
          <w:szCs w:val="36"/>
          <w:highlight w:val="none"/>
          <w:lang w:val="zh-CN"/>
        </w:rPr>
        <w:t>四、磋商响应文件的构成</w:t>
      </w:r>
      <w:bookmarkEnd w:id="100"/>
      <w:bookmarkEnd w:id="101"/>
      <w:bookmarkEnd w:id="102"/>
    </w:p>
    <w:p w14:paraId="4AC7E8BA">
      <w:pPr>
        <w:outlineLvl w:val="2"/>
        <w:rPr>
          <w:rFonts w:ascii="宋体" w:hAnsi="宋体" w:cs="宋体"/>
          <w:b/>
          <w:bCs/>
          <w:color w:val="auto"/>
          <w:kern w:val="2"/>
          <w:sz w:val="24"/>
          <w:szCs w:val="24"/>
          <w:highlight w:val="none"/>
        </w:rPr>
      </w:pPr>
      <w:bookmarkStart w:id="103" w:name="_Toc59135323"/>
      <w:bookmarkStart w:id="104" w:name="_Toc8462"/>
      <w:r>
        <w:rPr>
          <w:rFonts w:hint="eastAsia" w:ascii="宋体" w:hAnsi="宋体" w:cs="宋体"/>
          <w:b/>
          <w:bCs/>
          <w:color w:val="auto"/>
          <w:kern w:val="2"/>
          <w:sz w:val="24"/>
          <w:szCs w:val="24"/>
          <w:highlight w:val="none"/>
        </w:rPr>
        <w:t>11.响应文件构成</w:t>
      </w:r>
      <w:bookmarkEnd w:id="95"/>
      <w:bookmarkEnd w:id="96"/>
      <w:bookmarkEnd w:id="97"/>
      <w:bookmarkEnd w:id="98"/>
      <w:bookmarkEnd w:id="99"/>
      <w:bookmarkEnd w:id="103"/>
      <w:bookmarkEnd w:id="104"/>
    </w:p>
    <w:p w14:paraId="24F985C7">
      <w:pPr>
        <w:pStyle w:val="17"/>
        <w:ind w:left="141" w:firstLine="360" w:firstLineChars="150"/>
        <w:rPr>
          <w:rFonts w:hAnsi="宋体" w:cs="宋体"/>
          <w:color w:val="auto"/>
          <w:szCs w:val="28"/>
          <w:highlight w:val="none"/>
        </w:rPr>
      </w:pPr>
      <w:r>
        <w:rPr>
          <w:rFonts w:hint="eastAsia" w:hAnsi="宋体" w:cs="宋体"/>
          <w:color w:val="auto"/>
          <w:szCs w:val="28"/>
          <w:highlight w:val="none"/>
        </w:rPr>
        <w:t>11.1</w:t>
      </w:r>
      <w:r>
        <w:rPr>
          <w:rFonts w:hint="eastAsia" w:hAnsi="宋体" w:cs="宋体"/>
          <w:color w:val="auto"/>
          <w:szCs w:val="24"/>
          <w:highlight w:val="none"/>
        </w:rPr>
        <w:t>供应商应提交相关证明材料，作为其参加投标和中标后有能力履行合同的证明。编写的磋商响应文件须包括以下内容</w:t>
      </w:r>
      <w:r>
        <w:rPr>
          <w:rFonts w:hint="eastAsia" w:hAnsi="宋体" w:cs="宋体"/>
          <w:color w:val="auto"/>
          <w:szCs w:val="28"/>
          <w:highlight w:val="none"/>
        </w:rPr>
        <w:t>（格式见磋商文件第五部分）：</w:t>
      </w:r>
    </w:p>
    <w:p w14:paraId="56187F9A">
      <w:pPr>
        <w:ind w:left="2" w:firstLine="422" w:firstLineChars="176"/>
        <w:rPr>
          <w:rFonts w:hint="eastAsia" w:eastAsia="宋体"/>
          <w:color w:val="auto"/>
          <w:highlight w:val="none"/>
          <w:lang w:val="en-US" w:eastAsia="zh-CN"/>
        </w:rPr>
      </w:pPr>
      <w:r>
        <w:rPr>
          <w:rFonts w:hint="eastAsia" w:ascii="宋体" w:hAnsi="宋体"/>
          <w:color w:val="auto"/>
          <w:highlight w:val="none"/>
        </w:rPr>
        <w:t>1</w:t>
      </w:r>
      <w:r>
        <w:rPr>
          <w:rFonts w:hint="eastAsia" w:ascii="宋体" w:hAnsi="宋体"/>
          <w:color w:val="auto"/>
          <w:highlight w:val="none"/>
          <w:lang w:val="en-US" w:eastAsia="zh-CN"/>
        </w:rPr>
        <w:t>1</w:t>
      </w:r>
      <w:r>
        <w:rPr>
          <w:rFonts w:hint="eastAsia" w:ascii="宋体" w:hAnsi="宋体"/>
          <w:color w:val="auto"/>
          <w:highlight w:val="none"/>
        </w:rPr>
        <w:t>.1.1</w:t>
      </w:r>
      <w:r>
        <w:rPr>
          <w:rFonts w:hint="eastAsia" w:ascii="宋体" w:hAnsi="宋体" w:eastAsia="宋体" w:cs="宋体"/>
          <w:color w:val="auto"/>
          <w:sz w:val="24"/>
          <w:szCs w:val="24"/>
          <w:highlight w:val="none"/>
          <w:lang w:val="en-US" w:eastAsia="zh-CN" w:bidi="ar-SA"/>
        </w:rPr>
        <w:t>磋商响应文件（上册）</w:t>
      </w:r>
      <w:r>
        <w:rPr>
          <w:rFonts w:hint="eastAsia" w:ascii="宋体" w:hAnsi="宋体"/>
          <w:color w:val="auto"/>
          <w:highlight w:val="none"/>
        </w:rPr>
        <w:t>资格审查部分</w:t>
      </w:r>
      <w:r>
        <w:rPr>
          <w:rFonts w:hint="eastAsia" w:ascii="宋体" w:hAnsi="宋体"/>
          <w:color w:val="auto"/>
          <w:highlight w:val="none"/>
          <w:lang w:eastAsia="zh-CN"/>
        </w:rPr>
        <w:t>；</w:t>
      </w:r>
    </w:p>
    <w:p w14:paraId="2FF821A6">
      <w:pPr>
        <w:widowControl w:val="0"/>
        <w:numPr>
          <w:ilvl w:val="0"/>
          <w:numId w:val="6"/>
        </w:numPr>
        <w:adjustRightInd/>
        <w:snapToGrid/>
        <w:spacing w:line="360" w:lineRule="auto"/>
        <w:ind w:left="845" w:hanging="420"/>
        <w:jc w:val="both"/>
        <w:rPr>
          <w:rFonts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磋商函；</w:t>
      </w:r>
    </w:p>
    <w:p w14:paraId="0E6E2A06">
      <w:pPr>
        <w:widowControl w:val="0"/>
        <w:numPr>
          <w:ilvl w:val="0"/>
          <w:numId w:val="6"/>
        </w:numPr>
        <w:adjustRightInd/>
        <w:snapToGrid/>
        <w:spacing w:line="360" w:lineRule="auto"/>
        <w:ind w:left="845" w:hanging="420"/>
        <w:jc w:val="both"/>
        <w:rPr>
          <w:rFonts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法定代表人证明书；</w:t>
      </w:r>
    </w:p>
    <w:p w14:paraId="7A9E92AF">
      <w:pPr>
        <w:widowControl w:val="0"/>
        <w:numPr>
          <w:ilvl w:val="0"/>
          <w:numId w:val="6"/>
        </w:numPr>
        <w:adjustRightInd/>
        <w:snapToGrid/>
        <w:spacing w:line="360" w:lineRule="auto"/>
        <w:ind w:left="845" w:hanging="420"/>
        <w:jc w:val="both"/>
        <w:rPr>
          <w:rFonts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法定代表人授权书；</w:t>
      </w:r>
    </w:p>
    <w:p w14:paraId="21FADAC3">
      <w:pPr>
        <w:widowControl w:val="0"/>
        <w:numPr>
          <w:ilvl w:val="0"/>
          <w:numId w:val="6"/>
        </w:numPr>
        <w:adjustRightInd/>
        <w:snapToGrid/>
        <w:spacing w:line="360" w:lineRule="auto"/>
        <w:ind w:left="845" w:hanging="420"/>
        <w:jc w:val="both"/>
        <w:rPr>
          <w:rFonts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联合体协议书（如有）</w:t>
      </w:r>
    </w:p>
    <w:p w14:paraId="66783FF5">
      <w:pPr>
        <w:widowControl w:val="0"/>
        <w:numPr>
          <w:ilvl w:val="0"/>
          <w:numId w:val="6"/>
        </w:numPr>
        <w:adjustRightInd/>
        <w:snapToGrid/>
        <w:spacing w:line="360" w:lineRule="auto"/>
        <w:ind w:left="845" w:hanging="420"/>
        <w:jc w:val="both"/>
        <w:rPr>
          <w:rFonts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投标</w:t>
      </w:r>
      <w:r>
        <w:rPr>
          <w:rFonts w:hint="eastAsia" w:ascii="宋体" w:hAnsi="宋体" w:eastAsia="宋体" w:cs="宋体"/>
          <w:color w:val="auto"/>
          <w:sz w:val="24"/>
          <w:szCs w:val="24"/>
          <w:highlight w:val="none"/>
          <w:lang w:val="en-US" w:eastAsia="zh-CN" w:bidi="ar-SA"/>
        </w:rPr>
        <w:t>供应商承诺函；</w:t>
      </w:r>
    </w:p>
    <w:p w14:paraId="7AB89BCE">
      <w:pPr>
        <w:widowControl w:val="0"/>
        <w:numPr>
          <w:ilvl w:val="0"/>
          <w:numId w:val="6"/>
        </w:numPr>
        <w:adjustRightInd/>
        <w:snapToGrid/>
        <w:spacing w:line="360" w:lineRule="auto"/>
        <w:ind w:left="845" w:hanging="420"/>
        <w:jc w:val="both"/>
        <w:rPr>
          <w:rFonts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供应商诚信承诺书；</w:t>
      </w:r>
    </w:p>
    <w:p w14:paraId="2DB1623F">
      <w:pPr>
        <w:widowControl w:val="0"/>
        <w:numPr>
          <w:ilvl w:val="0"/>
          <w:numId w:val="6"/>
        </w:numPr>
        <w:adjustRightInd/>
        <w:snapToGrid/>
        <w:spacing w:line="360" w:lineRule="auto"/>
        <w:ind w:left="845" w:hanging="420"/>
        <w:jc w:val="both"/>
        <w:rPr>
          <w:rFonts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资格证明文件；</w:t>
      </w:r>
    </w:p>
    <w:p w14:paraId="50788DFC">
      <w:pPr>
        <w:widowControl w:val="0"/>
        <w:numPr>
          <w:ilvl w:val="0"/>
          <w:numId w:val="6"/>
        </w:numPr>
        <w:adjustRightInd/>
        <w:snapToGrid/>
        <w:spacing w:line="360" w:lineRule="auto"/>
        <w:ind w:left="845" w:hanging="420"/>
        <w:jc w:val="both"/>
        <w:rPr>
          <w:rFonts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财务状况、缴纳税收和社会保障资金证明；</w:t>
      </w:r>
    </w:p>
    <w:p w14:paraId="3C962D17">
      <w:pPr>
        <w:widowControl w:val="0"/>
        <w:numPr>
          <w:ilvl w:val="0"/>
          <w:numId w:val="6"/>
        </w:numPr>
        <w:adjustRightInd/>
        <w:snapToGrid/>
        <w:spacing w:line="360" w:lineRule="auto"/>
        <w:ind w:left="845" w:hanging="420"/>
        <w:jc w:val="both"/>
        <w:rPr>
          <w:rFonts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具备履行合同所必须的设备和专业技术能力证明；</w:t>
      </w:r>
    </w:p>
    <w:p w14:paraId="307D5781">
      <w:pPr>
        <w:widowControl w:val="0"/>
        <w:numPr>
          <w:ilvl w:val="0"/>
          <w:numId w:val="6"/>
        </w:numPr>
        <w:adjustRightInd/>
        <w:snapToGrid/>
        <w:spacing w:line="360" w:lineRule="auto"/>
        <w:ind w:left="845" w:hanging="420"/>
        <w:jc w:val="both"/>
        <w:rPr>
          <w:rFonts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无重大违法记录声明；</w:t>
      </w:r>
    </w:p>
    <w:p w14:paraId="4614E6BD">
      <w:pPr>
        <w:widowControl w:val="0"/>
        <w:numPr>
          <w:ilvl w:val="0"/>
          <w:numId w:val="6"/>
        </w:numPr>
        <w:adjustRightInd/>
        <w:snapToGrid/>
        <w:spacing w:line="360" w:lineRule="auto"/>
        <w:ind w:left="845" w:hanging="420"/>
        <w:jc w:val="both"/>
        <w:rPr>
          <w:rFonts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磋商保证金证明；</w:t>
      </w:r>
    </w:p>
    <w:p w14:paraId="794259EE">
      <w:pPr>
        <w:widowControl w:val="0"/>
        <w:adjustRightInd/>
        <w:snapToGrid/>
        <w:spacing w:line="360" w:lineRule="auto"/>
        <w:ind w:left="141" w:firstLine="360" w:firstLineChars="150"/>
        <w:jc w:val="both"/>
        <w:rPr>
          <w:rFonts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11.1.2磋商响应文件（下册）</w:t>
      </w:r>
      <w:r>
        <w:rPr>
          <w:rFonts w:hint="eastAsia" w:ascii="宋体" w:hAnsi="宋体"/>
          <w:color w:val="auto"/>
          <w:highlight w:val="none"/>
        </w:rPr>
        <w:t>符合性审查部分</w:t>
      </w:r>
      <w:r>
        <w:rPr>
          <w:rFonts w:hint="eastAsia" w:ascii="宋体" w:hAnsi="宋体" w:eastAsia="宋体" w:cs="宋体"/>
          <w:color w:val="auto"/>
          <w:sz w:val="24"/>
          <w:szCs w:val="24"/>
          <w:highlight w:val="none"/>
          <w:lang w:val="en-US" w:eastAsia="zh-CN" w:bidi="ar-SA"/>
        </w:rPr>
        <w:t>；</w:t>
      </w:r>
    </w:p>
    <w:p w14:paraId="4D758278">
      <w:pPr>
        <w:widowControl w:val="0"/>
        <w:numPr>
          <w:ilvl w:val="0"/>
          <w:numId w:val="6"/>
        </w:numPr>
        <w:adjustRightInd/>
        <w:snapToGrid/>
        <w:spacing w:line="360" w:lineRule="auto"/>
        <w:ind w:left="845" w:hanging="420"/>
        <w:jc w:val="both"/>
        <w:rPr>
          <w:rFonts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报价一览表</w:t>
      </w:r>
      <w:r>
        <w:rPr>
          <w:rFonts w:hint="eastAsia" w:ascii="宋体" w:hAnsi="宋体" w:eastAsia="宋体" w:cs="宋体"/>
          <w:color w:val="auto"/>
          <w:sz w:val="24"/>
          <w:szCs w:val="24"/>
          <w:highlight w:val="none"/>
          <w:lang w:val="en-US" w:eastAsia="zh-CN" w:bidi="ar-SA"/>
        </w:rPr>
        <w:t>；</w:t>
      </w:r>
    </w:p>
    <w:p w14:paraId="21AD1852">
      <w:pPr>
        <w:widowControl w:val="0"/>
        <w:numPr>
          <w:ilvl w:val="0"/>
          <w:numId w:val="6"/>
        </w:numPr>
        <w:adjustRightInd/>
        <w:snapToGrid/>
        <w:spacing w:line="360" w:lineRule="auto"/>
        <w:ind w:left="845" w:hanging="420"/>
        <w:jc w:val="both"/>
        <w:rPr>
          <w:rFonts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分项报价表；</w:t>
      </w:r>
    </w:p>
    <w:p w14:paraId="5E957E67">
      <w:pPr>
        <w:widowControl w:val="0"/>
        <w:numPr>
          <w:ilvl w:val="0"/>
          <w:numId w:val="6"/>
        </w:numPr>
        <w:adjustRightInd/>
        <w:snapToGrid/>
        <w:spacing w:line="360" w:lineRule="auto"/>
        <w:ind w:left="845" w:hanging="420"/>
        <w:jc w:val="both"/>
        <w:rPr>
          <w:rFonts w:ascii="宋体" w:hAnsi="宋体" w:eastAsia="宋体" w:cs="宋体"/>
          <w:color w:val="auto"/>
          <w:sz w:val="24"/>
          <w:szCs w:val="24"/>
          <w:highlight w:val="none"/>
          <w:lang w:val="en-US" w:eastAsia="zh-CN" w:bidi="ar-SA"/>
        </w:rPr>
      </w:pPr>
      <w:r>
        <w:rPr>
          <w:rFonts w:hint="eastAsia" w:ascii="宋体" w:hAnsi="Courier New" w:eastAsia="宋体" w:cs="Arial"/>
          <w:color w:val="auto"/>
          <w:sz w:val="24"/>
          <w:szCs w:val="20"/>
          <w:highlight w:val="none"/>
          <w:lang w:val="zh-CN" w:eastAsia="zh-CN" w:bidi="ar-SA"/>
        </w:rPr>
        <w:t>其他资格证明材料</w:t>
      </w:r>
      <w:r>
        <w:rPr>
          <w:rFonts w:hint="eastAsia" w:ascii="宋体" w:hAnsi="宋体" w:eastAsia="宋体" w:cs="宋体"/>
          <w:color w:val="auto"/>
          <w:sz w:val="24"/>
          <w:szCs w:val="24"/>
          <w:highlight w:val="none"/>
          <w:lang w:val="en-US" w:eastAsia="zh-CN" w:bidi="ar-SA"/>
        </w:rPr>
        <w:t>；</w:t>
      </w:r>
    </w:p>
    <w:p w14:paraId="3E5F4415">
      <w:pPr>
        <w:widowControl w:val="0"/>
        <w:numPr>
          <w:ilvl w:val="0"/>
          <w:numId w:val="6"/>
        </w:numPr>
        <w:adjustRightInd/>
        <w:snapToGrid/>
        <w:spacing w:line="360" w:lineRule="auto"/>
        <w:ind w:left="845" w:hanging="420"/>
        <w:jc w:val="both"/>
        <w:rPr>
          <w:rFonts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技术服务</w:t>
      </w:r>
      <w:r>
        <w:rPr>
          <w:rFonts w:hint="eastAsia" w:ascii="宋体" w:hAnsi="宋体" w:eastAsia="宋体" w:cs="宋体"/>
          <w:color w:val="auto"/>
          <w:sz w:val="24"/>
          <w:szCs w:val="24"/>
          <w:highlight w:val="none"/>
          <w:lang w:val="en-US" w:eastAsia="zh-CN" w:bidi="ar-SA"/>
        </w:rPr>
        <w:t>方案</w:t>
      </w:r>
      <w:r>
        <w:rPr>
          <w:rFonts w:hint="eastAsia" w:ascii="宋体" w:hAnsi="宋体" w:cs="宋体"/>
          <w:color w:val="auto"/>
          <w:sz w:val="24"/>
          <w:szCs w:val="24"/>
          <w:highlight w:val="none"/>
          <w:lang w:val="en-US" w:eastAsia="zh-CN" w:bidi="ar-SA"/>
        </w:rPr>
        <w:t>及质量保障</w:t>
      </w:r>
      <w:r>
        <w:rPr>
          <w:rFonts w:hint="eastAsia" w:ascii="宋体" w:hAnsi="宋体" w:eastAsia="宋体" w:cs="宋体"/>
          <w:color w:val="auto"/>
          <w:sz w:val="24"/>
          <w:szCs w:val="24"/>
          <w:highlight w:val="none"/>
          <w:lang w:val="en-US" w:eastAsia="zh-CN" w:bidi="ar-SA"/>
        </w:rPr>
        <w:t>；</w:t>
      </w:r>
    </w:p>
    <w:p w14:paraId="56988609">
      <w:pPr>
        <w:widowControl w:val="0"/>
        <w:numPr>
          <w:ilvl w:val="0"/>
          <w:numId w:val="6"/>
        </w:numPr>
        <w:adjustRightInd/>
        <w:snapToGrid/>
        <w:spacing w:line="360" w:lineRule="auto"/>
        <w:ind w:left="845" w:hanging="420"/>
        <w:jc w:val="both"/>
        <w:rPr>
          <w:rFonts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供应商类似业绩证明材料；</w:t>
      </w:r>
    </w:p>
    <w:p w14:paraId="4E971C52">
      <w:pPr>
        <w:widowControl w:val="0"/>
        <w:numPr>
          <w:ilvl w:val="0"/>
          <w:numId w:val="6"/>
        </w:numPr>
        <w:adjustRightInd/>
        <w:snapToGrid/>
        <w:spacing w:line="360" w:lineRule="auto"/>
        <w:ind w:left="845" w:hanging="420"/>
        <w:jc w:val="both"/>
        <w:rPr>
          <w:rFonts w:ascii="宋体" w:hAnsi="宋体" w:eastAsia="宋体" w:cs="宋体"/>
          <w:color w:val="auto"/>
          <w:sz w:val="24"/>
          <w:szCs w:val="24"/>
          <w:highlight w:val="none"/>
          <w:lang w:val="en-US" w:eastAsia="zh-CN" w:bidi="ar-SA"/>
        </w:rPr>
      </w:pPr>
      <w:r>
        <w:rPr>
          <w:rFonts w:hint="eastAsia" w:ascii="宋体"/>
          <w:color w:val="auto"/>
          <w:szCs w:val="28"/>
          <w:highlight w:val="none"/>
        </w:rPr>
        <w:t>享受政府采购政策优惠的证明资料</w:t>
      </w:r>
      <w:r>
        <w:rPr>
          <w:rFonts w:hint="eastAsia" w:ascii="宋体"/>
          <w:color w:val="auto"/>
          <w:szCs w:val="28"/>
          <w:highlight w:val="none"/>
          <w:lang w:eastAsia="zh-CN"/>
        </w:rPr>
        <w:t>；</w:t>
      </w:r>
    </w:p>
    <w:p w14:paraId="2A24B01A">
      <w:pPr>
        <w:widowControl w:val="0"/>
        <w:numPr>
          <w:ilvl w:val="0"/>
          <w:numId w:val="6"/>
        </w:numPr>
        <w:adjustRightInd/>
        <w:snapToGrid/>
        <w:spacing w:line="360" w:lineRule="auto"/>
        <w:ind w:left="845" w:hanging="420"/>
        <w:jc w:val="both"/>
        <w:rPr>
          <w:rFonts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服务相关内容；</w:t>
      </w:r>
    </w:p>
    <w:p w14:paraId="25068612">
      <w:pPr>
        <w:widowControl w:val="0"/>
        <w:numPr>
          <w:ilvl w:val="0"/>
          <w:numId w:val="6"/>
        </w:numPr>
        <w:adjustRightInd/>
        <w:snapToGrid/>
        <w:spacing w:line="360" w:lineRule="auto"/>
        <w:ind w:left="845" w:hanging="420"/>
        <w:jc w:val="both"/>
        <w:rPr>
          <w:rFonts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供应商认为在其他方面有必要说明的事项；</w:t>
      </w:r>
    </w:p>
    <w:p w14:paraId="105E392D">
      <w:pPr>
        <w:widowControl w:val="0"/>
        <w:numPr>
          <w:ilvl w:val="0"/>
          <w:numId w:val="6"/>
        </w:numPr>
        <w:adjustRightInd/>
        <w:snapToGrid/>
        <w:spacing w:line="360" w:lineRule="auto"/>
        <w:ind w:left="845" w:hanging="420"/>
        <w:jc w:val="both"/>
        <w:rPr>
          <w:rFonts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磋商最终报价表。</w:t>
      </w:r>
    </w:p>
    <w:p w14:paraId="084A65C4">
      <w:pPr>
        <w:widowControl/>
        <w:adjustRightInd w:val="0"/>
        <w:snapToGrid w:val="0"/>
        <w:spacing w:line="360" w:lineRule="auto"/>
        <w:ind w:firstLine="482" w:firstLineChars="200"/>
        <w:jc w:val="both"/>
        <w:rPr>
          <w:rFonts w:hint="eastAsia" w:ascii="宋体" w:hAnsi="宋体" w:eastAsia="宋体" w:cs="宋体"/>
          <w:color w:val="auto"/>
          <w:kern w:val="0"/>
          <w:szCs w:val="22"/>
          <w:highlight w:val="none"/>
          <w:lang w:val="zh-CN"/>
        </w:rPr>
      </w:pPr>
      <w:bookmarkStart w:id="105" w:name="_Toc15102"/>
      <w:bookmarkStart w:id="106" w:name="_Toc59135325"/>
      <w:bookmarkStart w:id="107" w:name="_Toc412617730"/>
      <w:bookmarkStart w:id="108" w:name="_Toc371090029"/>
      <w:bookmarkStart w:id="109" w:name="_Toc376936748"/>
      <w:r>
        <w:rPr>
          <w:rFonts w:hint="eastAsia" w:ascii="宋体" w:hAnsi="宋体" w:eastAsia="宋体" w:cs="宋体"/>
          <w:b/>
          <w:color w:val="auto"/>
          <w:kern w:val="0"/>
          <w:szCs w:val="24"/>
          <w:highlight w:val="none"/>
        </w:rPr>
        <w:t>注：</w:t>
      </w:r>
      <w:r>
        <w:rPr>
          <w:rFonts w:hint="eastAsia" w:ascii="宋体" w:hAnsi="宋体" w:eastAsia="宋体" w:cs="宋体"/>
          <w:b w:val="0"/>
          <w:bCs/>
          <w:color w:val="auto"/>
          <w:kern w:val="0"/>
          <w:szCs w:val="24"/>
          <w:highlight w:val="none"/>
        </w:rPr>
        <w:t>磋</w:t>
      </w:r>
      <w:r>
        <w:rPr>
          <w:rFonts w:hint="eastAsia" w:ascii="宋体" w:hAnsi="宋体" w:eastAsia="宋体" w:cs="宋体"/>
          <w:color w:val="auto"/>
          <w:kern w:val="0"/>
          <w:szCs w:val="24"/>
          <w:highlight w:val="none"/>
        </w:rPr>
        <w:t>商文件要求签字、盖章的地方必须由供应商的法定代表人或委托代理人按要求签字、盖章，并逐页加盖投标供应商公章；供应商须按</w:t>
      </w:r>
      <w:r>
        <w:rPr>
          <w:rFonts w:hint="eastAsia" w:ascii="宋体" w:hAnsi="宋体" w:eastAsia="宋体" w:cs="宋体"/>
          <w:color w:val="auto"/>
          <w:kern w:val="2"/>
          <w:sz w:val="24"/>
          <w:szCs w:val="24"/>
          <w:highlight w:val="none"/>
          <w:lang w:val="en-US" w:eastAsia="zh-CN" w:bidi="ar-SA"/>
        </w:rPr>
        <w:t>上述</w:t>
      </w:r>
      <w:r>
        <w:rPr>
          <w:rFonts w:hint="eastAsia" w:ascii="宋体" w:hAnsi="宋体" w:eastAsia="宋体" w:cs="宋体"/>
          <w:color w:val="auto"/>
          <w:kern w:val="0"/>
          <w:szCs w:val="24"/>
          <w:highlight w:val="none"/>
        </w:rPr>
        <w:t>内容、顺序和格式编制响应文件，并按要求编制目录、页码，</w:t>
      </w:r>
      <w:r>
        <w:rPr>
          <w:rFonts w:hint="eastAsia" w:ascii="宋体" w:hAnsi="宋体" w:eastAsia="宋体" w:cs="宋体"/>
          <w:color w:val="auto"/>
          <w:kern w:val="0"/>
          <w:szCs w:val="22"/>
          <w:highlight w:val="none"/>
          <w:lang w:val="zh-CN"/>
        </w:rPr>
        <w:t>并保证所提供的全部资料真实可信，自愿承担相应责任。</w:t>
      </w:r>
    </w:p>
    <w:p w14:paraId="7A15DC8A">
      <w:pPr>
        <w:widowControl/>
        <w:adjustRightInd w:val="0"/>
        <w:snapToGrid w:val="0"/>
        <w:spacing w:line="360" w:lineRule="auto"/>
        <w:ind w:firstLine="0" w:firstLineChars="0"/>
        <w:jc w:val="left"/>
        <w:outlineLvl w:val="2"/>
        <w:rPr>
          <w:rFonts w:hint="eastAsia" w:ascii="宋体" w:hAnsi="宋体" w:eastAsia="宋体" w:cs="宋体"/>
          <w:b/>
          <w:bCs/>
          <w:color w:val="auto"/>
          <w:kern w:val="2"/>
          <w:sz w:val="24"/>
          <w:szCs w:val="24"/>
          <w:highlight w:val="none"/>
          <w:lang w:val="en-US" w:eastAsia="zh-CN"/>
        </w:rPr>
      </w:pPr>
      <w:bookmarkStart w:id="110" w:name="_Toc11377"/>
      <w:bookmarkStart w:id="111" w:name="_Toc16453"/>
      <w:bookmarkStart w:id="112" w:name="_Toc412617729"/>
      <w:bookmarkStart w:id="113" w:name="_Toc59135324"/>
      <w:bookmarkStart w:id="114" w:name="_Toc21644"/>
      <w:bookmarkStart w:id="115" w:name="_Toc373392580"/>
      <w:bookmarkStart w:id="116" w:name="_Toc9048"/>
      <w:bookmarkStart w:id="117" w:name="_Toc32318"/>
      <w:r>
        <w:rPr>
          <w:rFonts w:hint="eastAsia" w:ascii="宋体" w:hAnsi="宋体" w:eastAsia="宋体" w:cs="宋体"/>
          <w:b/>
          <w:bCs/>
          <w:color w:val="auto"/>
          <w:kern w:val="2"/>
          <w:sz w:val="24"/>
          <w:szCs w:val="24"/>
          <w:highlight w:val="none"/>
          <w:lang w:val="en-US" w:eastAsia="zh-CN"/>
        </w:rPr>
        <w:t>12.</w:t>
      </w:r>
      <w:bookmarkEnd w:id="110"/>
      <w:bookmarkEnd w:id="111"/>
      <w:bookmarkEnd w:id="112"/>
      <w:bookmarkEnd w:id="113"/>
      <w:bookmarkEnd w:id="114"/>
      <w:bookmarkEnd w:id="115"/>
      <w:r>
        <w:rPr>
          <w:rFonts w:hint="eastAsia" w:ascii="宋体" w:hAnsi="宋体" w:eastAsia="宋体" w:cs="宋体"/>
          <w:b/>
          <w:bCs/>
          <w:color w:val="auto"/>
          <w:kern w:val="2"/>
          <w:sz w:val="24"/>
          <w:szCs w:val="24"/>
          <w:highlight w:val="none"/>
          <w:lang w:val="en-US" w:eastAsia="zh-CN"/>
        </w:rPr>
        <w:t>磋商响应文件格式及编制要求</w:t>
      </w:r>
      <w:bookmarkEnd w:id="116"/>
      <w:bookmarkEnd w:id="117"/>
    </w:p>
    <w:p w14:paraId="3F49EFDA">
      <w:pPr>
        <w:widowControl w:val="0"/>
        <w:adjustRightInd/>
        <w:snapToGrid/>
        <w:spacing w:line="360" w:lineRule="auto"/>
        <w:ind w:firstLine="480" w:firstLineChars="200"/>
        <w:jc w:val="both"/>
        <w:rPr>
          <w:rFonts w:ascii="宋体" w:hAnsi="宋体" w:eastAsia="宋体" w:cs="宋体"/>
          <w:color w:val="auto"/>
          <w:sz w:val="24"/>
          <w:szCs w:val="28"/>
          <w:highlight w:val="none"/>
          <w:lang w:val="en-US" w:eastAsia="zh-CN" w:bidi="ar-SA"/>
        </w:rPr>
      </w:pPr>
      <w:r>
        <w:rPr>
          <w:rFonts w:hint="eastAsia" w:ascii="宋体" w:hAnsi="宋体" w:eastAsia="宋体" w:cs="宋体"/>
          <w:color w:val="auto"/>
          <w:sz w:val="24"/>
          <w:szCs w:val="20"/>
          <w:highlight w:val="none"/>
          <w:lang w:val="zh-CN" w:eastAsia="zh-CN" w:bidi="ar-SA"/>
        </w:rPr>
        <w:t>1</w:t>
      </w:r>
      <w:r>
        <w:rPr>
          <w:rFonts w:hint="eastAsia" w:ascii="宋体" w:hAnsi="宋体" w:eastAsia="宋体" w:cs="宋体"/>
          <w:color w:val="auto"/>
          <w:sz w:val="24"/>
          <w:szCs w:val="20"/>
          <w:highlight w:val="none"/>
          <w:lang w:val="en-US" w:eastAsia="zh-CN" w:bidi="ar-SA"/>
        </w:rPr>
        <w:t>2</w:t>
      </w:r>
      <w:r>
        <w:rPr>
          <w:rFonts w:hint="eastAsia" w:ascii="宋体" w:hAnsi="宋体" w:eastAsia="宋体" w:cs="宋体"/>
          <w:color w:val="auto"/>
          <w:sz w:val="24"/>
          <w:szCs w:val="20"/>
          <w:highlight w:val="none"/>
          <w:lang w:val="zh-CN" w:eastAsia="zh-CN" w:bidi="ar-SA"/>
        </w:rPr>
        <w:t>.1 投标供应商应按照磋商文件所提供的磋商响应文件格式，分别填写磋商文件第五部分的内容；磋商文件要求签字、盖章的地方必须由供应商的法定代表人或委托代理人按要求签字、盖章。</w:t>
      </w:r>
    </w:p>
    <w:p w14:paraId="0F19E482">
      <w:pPr>
        <w:widowControl/>
        <w:adjustRightInd w:val="0"/>
        <w:snapToGrid w:val="0"/>
        <w:spacing w:line="360" w:lineRule="auto"/>
        <w:ind w:firstLine="463" w:firstLineChars="193"/>
        <w:jc w:val="both"/>
        <w:rPr>
          <w:rFonts w:hint="eastAsia" w:ascii="宋体" w:hAnsi="宋体" w:eastAsia="宋体" w:cs="宋体"/>
          <w:color w:val="auto"/>
          <w:kern w:val="0"/>
          <w:szCs w:val="24"/>
          <w:highlight w:val="none"/>
        </w:rPr>
      </w:pPr>
      <w:r>
        <w:rPr>
          <w:rFonts w:hint="eastAsia" w:ascii="宋体" w:hAnsi="宋体" w:eastAsia="宋体" w:cs="宋体"/>
          <w:color w:val="auto"/>
          <w:kern w:val="0"/>
          <w:szCs w:val="28"/>
          <w:highlight w:val="none"/>
        </w:rPr>
        <w:t>12.2磋商响应文件中不得行间插字、涂改或增删，如有修改错漏处，须由投标供应商法人或其委托代理人签字或盖个人印鉴，</w:t>
      </w:r>
      <w:r>
        <w:rPr>
          <w:rFonts w:hint="eastAsia" w:ascii="宋体" w:hAnsi="宋体" w:eastAsia="宋体" w:cs="宋体"/>
          <w:color w:val="auto"/>
          <w:kern w:val="0"/>
          <w:szCs w:val="24"/>
          <w:highlight w:val="none"/>
        </w:rPr>
        <w:t>要求原件备查的原件必须在规定时间内提供备查，否则投标将被否决。</w:t>
      </w:r>
    </w:p>
    <w:p w14:paraId="3DE7DE2B">
      <w:pPr>
        <w:widowControl/>
        <w:adjustRightInd w:val="0"/>
        <w:snapToGrid w:val="0"/>
        <w:spacing w:line="360" w:lineRule="auto"/>
        <w:ind w:firstLine="463" w:firstLineChars="193"/>
        <w:jc w:val="both"/>
        <w:rPr>
          <w:rFonts w:hint="default" w:ascii="宋体" w:hAnsi="宋体" w:eastAsia="宋体" w:cs="宋体"/>
          <w:color w:val="auto"/>
          <w:kern w:val="0"/>
          <w:szCs w:val="28"/>
          <w:highlight w:val="none"/>
          <w:lang w:val="en-US" w:eastAsia="zh-CN"/>
        </w:rPr>
      </w:pPr>
      <w:r>
        <w:rPr>
          <w:rFonts w:hint="eastAsia" w:ascii="宋体" w:hAnsi="宋体" w:eastAsia="宋体" w:cs="宋体"/>
          <w:color w:val="auto"/>
          <w:kern w:val="0"/>
          <w:szCs w:val="28"/>
          <w:highlight w:val="none"/>
          <w:lang w:val="en-US" w:eastAsia="zh-CN"/>
        </w:rPr>
        <w:t>12.3</w:t>
      </w:r>
      <w:r>
        <w:rPr>
          <w:rFonts w:hint="eastAsia" w:ascii="宋体" w:hAnsi="宋体" w:eastAsia="宋体" w:cs="宋体"/>
          <w:color w:val="auto"/>
          <w:kern w:val="0"/>
          <w:szCs w:val="28"/>
          <w:highlight w:val="none"/>
        </w:rPr>
        <w:t>供应商须在“法定代表人授权书”中提供被授权人（委托代理人）准确的联系方式</w:t>
      </w:r>
      <w:r>
        <w:rPr>
          <w:rFonts w:hint="eastAsia" w:ascii="宋体" w:hAnsi="宋体" w:eastAsia="宋体" w:cs="宋体"/>
          <w:color w:val="auto"/>
          <w:kern w:val="0"/>
          <w:szCs w:val="28"/>
          <w:highlight w:val="none"/>
          <w:lang w:val="zh-CN"/>
        </w:rPr>
        <w:t>（手机或固定电话）</w:t>
      </w:r>
      <w:r>
        <w:rPr>
          <w:rFonts w:hint="eastAsia" w:ascii="宋体" w:hAnsi="宋体" w:eastAsia="宋体" w:cs="宋体"/>
          <w:color w:val="auto"/>
          <w:kern w:val="0"/>
          <w:szCs w:val="28"/>
          <w:highlight w:val="none"/>
        </w:rPr>
        <w:t>。</w:t>
      </w:r>
    </w:p>
    <w:p w14:paraId="6BF7CE6B">
      <w:pPr>
        <w:spacing w:before="240" w:beforeLines="100"/>
        <w:jc w:val="center"/>
        <w:outlineLvl w:val="1"/>
        <w:rPr>
          <w:rFonts w:ascii="宋体" w:hAnsi="宋体" w:cs="宋体"/>
          <w:b/>
          <w:bCs/>
          <w:color w:val="auto"/>
          <w:sz w:val="36"/>
          <w:szCs w:val="36"/>
          <w:highlight w:val="none"/>
        </w:rPr>
      </w:pPr>
      <w:bookmarkStart w:id="118" w:name="_Toc22151"/>
      <w:r>
        <w:rPr>
          <w:rFonts w:hint="eastAsia" w:ascii="宋体" w:hAnsi="宋体" w:cs="宋体"/>
          <w:b/>
          <w:bCs/>
          <w:color w:val="auto"/>
          <w:sz w:val="36"/>
          <w:szCs w:val="36"/>
          <w:highlight w:val="none"/>
        </w:rPr>
        <w:t>五、响应文件的递交</w:t>
      </w:r>
      <w:bookmarkEnd w:id="105"/>
      <w:bookmarkEnd w:id="106"/>
      <w:bookmarkEnd w:id="107"/>
      <w:bookmarkEnd w:id="118"/>
    </w:p>
    <w:bookmarkEnd w:id="108"/>
    <w:bookmarkEnd w:id="109"/>
    <w:p w14:paraId="65840022">
      <w:pPr>
        <w:widowControl/>
        <w:adjustRightInd w:val="0"/>
        <w:snapToGrid w:val="0"/>
        <w:spacing w:line="360" w:lineRule="auto"/>
        <w:ind w:firstLine="0" w:firstLineChars="0"/>
        <w:jc w:val="left"/>
        <w:outlineLvl w:val="2"/>
        <w:rPr>
          <w:rFonts w:hint="eastAsia" w:ascii="宋体" w:hAnsi="宋体" w:eastAsia="宋体" w:cs="宋体"/>
          <w:b/>
          <w:bCs/>
          <w:color w:val="auto"/>
          <w:kern w:val="2"/>
          <w:sz w:val="24"/>
          <w:szCs w:val="24"/>
          <w:highlight w:val="none"/>
          <w:lang w:val="zh-CN"/>
        </w:rPr>
      </w:pPr>
      <w:bookmarkStart w:id="119" w:name="_Toc22323"/>
      <w:bookmarkStart w:id="120" w:name="_Toc10189"/>
      <w:bookmarkStart w:id="121" w:name="_Toc23823"/>
      <w:bookmarkStart w:id="122" w:name="_Toc373392582"/>
      <w:bookmarkStart w:id="123" w:name="_Toc1176"/>
      <w:bookmarkStart w:id="124" w:name="_Toc325726016"/>
      <w:bookmarkStart w:id="125" w:name="_Toc59135326"/>
      <w:bookmarkStart w:id="126" w:name="_Toc412617731"/>
      <w:bookmarkStart w:id="127" w:name="_Toc7466"/>
      <w:bookmarkStart w:id="128" w:name="_Toc20111"/>
      <w:bookmarkStart w:id="129" w:name="_Toc18107"/>
      <w:bookmarkStart w:id="130" w:name="_Toc325726021"/>
      <w:bookmarkStart w:id="131" w:name="_Toc19030"/>
      <w:bookmarkStart w:id="132" w:name="_Toc376936752"/>
      <w:bookmarkStart w:id="133" w:name="_Toc59135330"/>
      <w:r>
        <w:rPr>
          <w:rFonts w:hint="eastAsia" w:ascii="宋体" w:hAnsi="宋体" w:eastAsia="宋体" w:cs="宋体"/>
          <w:b/>
          <w:bCs/>
          <w:color w:val="auto"/>
          <w:kern w:val="2"/>
          <w:sz w:val="24"/>
          <w:szCs w:val="24"/>
          <w:highlight w:val="none"/>
          <w:lang w:val="zh-CN"/>
        </w:rPr>
        <w:t>13.</w:t>
      </w:r>
      <w:bookmarkEnd w:id="119"/>
      <w:bookmarkEnd w:id="120"/>
      <w:bookmarkEnd w:id="121"/>
      <w:bookmarkEnd w:id="122"/>
      <w:bookmarkEnd w:id="123"/>
      <w:bookmarkEnd w:id="124"/>
      <w:bookmarkEnd w:id="125"/>
      <w:bookmarkEnd w:id="126"/>
      <w:r>
        <w:rPr>
          <w:rFonts w:hint="eastAsia" w:ascii="宋体" w:hAnsi="宋体" w:eastAsia="宋体" w:cs="宋体"/>
          <w:b/>
          <w:bCs/>
          <w:color w:val="auto"/>
          <w:kern w:val="2"/>
          <w:sz w:val="24"/>
          <w:szCs w:val="24"/>
          <w:highlight w:val="none"/>
          <w:lang w:val="zh-CN"/>
        </w:rPr>
        <w:t>网上投标</w:t>
      </w:r>
      <w:bookmarkEnd w:id="127"/>
      <w:bookmarkEnd w:id="128"/>
    </w:p>
    <w:p w14:paraId="569C9D98">
      <w:pPr>
        <w:widowControl/>
        <w:adjustRightInd w:val="0"/>
        <w:snapToGrid w:val="0"/>
        <w:spacing w:line="360" w:lineRule="auto"/>
        <w:ind w:firstLine="463" w:firstLineChars="193"/>
        <w:jc w:val="both"/>
        <w:rPr>
          <w:rFonts w:hint="eastAsia" w:ascii="宋体" w:hAnsi="宋体" w:eastAsia="宋体" w:cs="宋体"/>
          <w:color w:val="auto"/>
          <w:kern w:val="0"/>
          <w:szCs w:val="28"/>
          <w:highlight w:val="none"/>
        </w:rPr>
      </w:pPr>
      <w:bookmarkStart w:id="134" w:name="_Toc9545"/>
      <w:bookmarkStart w:id="135" w:name="_Toc1398"/>
      <w:bookmarkStart w:id="136" w:name="_Toc59135327"/>
      <w:bookmarkStart w:id="137" w:name="_Toc30756"/>
      <w:bookmarkStart w:id="138" w:name="_Toc371090030"/>
      <w:bookmarkStart w:id="139" w:name="_Toc4009"/>
      <w:bookmarkStart w:id="140" w:name="_Toc11459"/>
      <w:bookmarkStart w:id="141" w:name="_Toc373392583"/>
      <w:bookmarkStart w:id="142" w:name="_Toc412617732"/>
      <w:bookmarkStart w:id="143" w:name="_Toc325726017"/>
      <w:bookmarkStart w:id="144" w:name="_Toc376936749"/>
      <w:r>
        <w:rPr>
          <w:rFonts w:hint="eastAsia" w:ascii="宋体" w:hAnsi="宋体" w:eastAsia="宋体" w:cs="宋体"/>
          <w:color w:val="auto"/>
          <w:kern w:val="0"/>
          <w:szCs w:val="28"/>
          <w:highlight w:val="none"/>
        </w:rPr>
        <w:t>1</w:t>
      </w:r>
      <w:r>
        <w:rPr>
          <w:rFonts w:hint="eastAsia" w:ascii="宋体" w:hAnsi="宋体" w:eastAsia="宋体" w:cs="宋体"/>
          <w:color w:val="auto"/>
          <w:kern w:val="0"/>
          <w:szCs w:val="28"/>
          <w:highlight w:val="none"/>
          <w:lang w:val="en-US" w:eastAsia="zh-CN"/>
        </w:rPr>
        <w:t>3</w:t>
      </w:r>
      <w:r>
        <w:rPr>
          <w:rFonts w:hint="eastAsia" w:ascii="宋体" w:hAnsi="宋体" w:eastAsia="宋体" w:cs="宋体"/>
          <w:color w:val="auto"/>
          <w:kern w:val="0"/>
          <w:szCs w:val="28"/>
          <w:highlight w:val="none"/>
        </w:rPr>
        <w:t>.1供应商应在青海省政府采购电子化平台上报价并上传电子磋商响应文件。</w:t>
      </w:r>
    </w:p>
    <w:p w14:paraId="58F6BBB5">
      <w:pPr>
        <w:widowControl/>
        <w:adjustRightInd w:val="0"/>
        <w:snapToGrid w:val="0"/>
        <w:spacing w:line="360" w:lineRule="auto"/>
        <w:ind w:firstLine="463" w:firstLineChars="193"/>
        <w:jc w:val="both"/>
        <w:rPr>
          <w:rFonts w:hint="eastAsia" w:ascii="宋体" w:hAnsi="宋体" w:eastAsia="宋体" w:cs="宋体"/>
          <w:color w:val="auto"/>
          <w:kern w:val="0"/>
          <w:szCs w:val="28"/>
          <w:highlight w:val="none"/>
        </w:rPr>
      </w:pPr>
      <w:r>
        <w:rPr>
          <w:rFonts w:hint="eastAsia" w:ascii="宋体" w:hAnsi="宋体" w:eastAsia="宋体" w:cs="宋体"/>
          <w:color w:val="auto"/>
          <w:kern w:val="0"/>
          <w:szCs w:val="28"/>
          <w:highlight w:val="none"/>
        </w:rPr>
        <w:t>1</w:t>
      </w:r>
      <w:r>
        <w:rPr>
          <w:rFonts w:hint="eastAsia" w:ascii="宋体" w:hAnsi="宋体" w:eastAsia="宋体" w:cs="宋体"/>
          <w:color w:val="auto"/>
          <w:kern w:val="0"/>
          <w:szCs w:val="28"/>
          <w:highlight w:val="none"/>
          <w:lang w:val="en-US" w:eastAsia="zh-CN"/>
        </w:rPr>
        <w:t>3</w:t>
      </w:r>
      <w:r>
        <w:rPr>
          <w:rFonts w:hint="eastAsia" w:ascii="宋体" w:hAnsi="宋体" w:eastAsia="宋体" w:cs="宋体"/>
          <w:color w:val="auto"/>
          <w:kern w:val="0"/>
          <w:szCs w:val="28"/>
          <w:highlight w:val="none"/>
        </w:rPr>
        <w:t>.2供应商应按包报价，填写</w:t>
      </w:r>
      <w:r>
        <w:rPr>
          <w:rFonts w:hint="eastAsia" w:ascii="宋体" w:hAnsi="宋体" w:eastAsia="宋体" w:cs="宋体"/>
          <w:color w:val="auto"/>
          <w:kern w:val="0"/>
          <w:szCs w:val="28"/>
          <w:highlight w:val="none"/>
          <w:lang w:val="en-US" w:eastAsia="zh-CN"/>
        </w:rPr>
        <w:t>服务</w:t>
      </w:r>
      <w:r>
        <w:rPr>
          <w:rFonts w:hint="eastAsia" w:ascii="宋体" w:hAnsi="宋体" w:eastAsia="宋体" w:cs="宋体"/>
          <w:color w:val="auto"/>
          <w:kern w:val="0"/>
          <w:szCs w:val="28"/>
          <w:highlight w:val="none"/>
        </w:rPr>
        <w:t>期。</w:t>
      </w:r>
    </w:p>
    <w:p w14:paraId="4F5443E2">
      <w:pPr>
        <w:widowControl/>
        <w:adjustRightInd w:val="0"/>
        <w:snapToGrid w:val="0"/>
        <w:spacing w:line="360" w:lineRule="auto"/>
        <w:ind w:firstLine="463" w:firstLineChars="193"/>
        <w:jc w:val="both"/>
        <w:rPr>
          <w:rFonts w:hint="eastAsia" w:ascii="宋体" w:hAnsi="宋体" w:eastAsia="宋体" w:cs="宋体"/>
          <w:color w:val="auto"/>
          <w:kern w:val="0"/>
          <w:szCs w:val="28"/>
          <w:highlight w:val="none"/>
        </w:rPr>
      </w:pPr>
      <w:r>
        <w:rPr>
          <w:rFonts w:hint="eastAsia" w:ascii="宋体" w:hAnsi="宋体" w:eastAsia="宋体" w:cs="宋体"/>
          <w:color w:val="auto"/>
          <w:kern w:val="0"/>
          <w:szCs w:val="28"/>
          <w:highlight w:val="none"/>
        </w:rPr>
        <w:t>1</w:t>
      </w:r>
      <w:r>
        <w:rPr>
          <w:rFonts w:hint="eastAsia" w:ascii="宋体" w:hAnsi="宋体" w:eastAsia="宋体" w:cs="宋体"/>
          <w:color w:val="auto"/>
          <w:kern w:val="0"/>
          <w:szCs w:val="28"/>
          <w:highlight w:val="none"/>
          <w:lang w:val="en-US" w:eastAsia="zh-CN"/>
        </w:rPr>
        <w:t>3</w:t>
      </w:r>
      <w:r>
        <w:rPr>
          <w:rFonts w:hint="eastAsia" w:ascii="宋体" w:hAnsi="宋体" w:eastAsia="宋体" w:cs="宋体"/>
          <w:color w:val="auto"/>
          <w:kern w:val="0"/>
          <w:szCs w:val="28"/>
          <w:highlight w:val="none"/>
        </w:rPr>
        <w:t>.3 开标时的“</w:t>
      </w:r>
      <w:r>
        <w:rPr>
          <w:rFonts w:hint="eastAsia" w:ascii="宋体" w:hAnsi="宋体" w:eastAsia="宋体" w:cs="宋体"/>
          <w:color w:val="auto"/>
          <w:kern w:val="0"/>
          <w:szCs w:val="28"/>
          <w:highlight w:val="none"/>
          <w:lang w:eastAsia="zh-CN"/>
        </w:rPr>
        <w:t>报价一览表</w:t>
      </w:r>
      <w:r>
        <w:rPr>
          <w:rFonts w:hint="eastAsia" w:ascii="宋体" w:hAnsi="宋体" w:eastAsia="宋体" w:cs="宋体"/>
          <w:color w:val="auto"/>
          <w:kern w:val="0"/>
          <w:szCs w:val="28"/>
          <w:highlight w:val="none"/>
        </w:rPr>
        <w:t>”由各供应商网上报价生成。</w:t>
      </w:r>
    </w:p>
    <w:p w14:paraId="298B3026">
      <w:pPr>
        <w:widowControl/>
        <w:adjustRightInd w:val="0"/>
        <w:snapToGrid w:val="0"/>
        <w:spacing w:line="360" w:lineRule="auto"/>
        <w:ind w:firstLine="0" w:firstLineChars="0"/>
        <w:jc w:val="left"/>
        <w:outlineLvl w:val="2"/>
        <w:rPr>
          <w:rFonts w:hint="eastAsia" w:ascii="宋体" w:hAnsi="宋体" w:eastAsia="宋体" w:cs="宋体"/>
          <w:b/>
          <w:bCs/>
          <w:color w:val="auto"/>
          <w:kern w:val="2"/>
          <w:sz w:val="24"/>
          <w:szCs w:val="24"/>
          <w:highlight w:val="none"/>
          <w:lang w:val="zh-CN"/>
        </w:rPr>
      </w:pPr>
      <w:bookmarkStart w:id="145" w:name="_Toc12923"/>
      <w:bookmarkStart w:id="146" w:name="_Toc8255"/>
      <w:r>
        <w:rPr>
          <w:rFonts w:hint="eastAsia" w:ascii="宋体" w:hAnsi="宋体" w:eastAsia="宋体" w:cs="宋体"/>
          <w:b/>
          <w:bCs/>
          <w:color w:val="auto"/>
          <w:kern w:val="2"/>
          <w:sz w:val="24"/>
          <w:szCs w:val="24"/>
          <w:highlight w:val="none"/>
          <w:lang w:val="zh-CN"/>
        </w:rPr>
        <w:t>14.提交响应文件截止时间、地点</w:t>
      </w:r>
      <w:bookmarkEnd w:id="134"/>
      <w:r>
        <w:rPr>
          <w:rFonts w:hint="eastAsia" w:ascii="宋体" w:hAnsi="宋体" w:eastAsia="宋体" w:cs="宋体"/>
          <w:b/>
          <w:bCs/>
          <w:color w:val="auto"/>
          <w:kern w:val="2"/>
          <w:sz w:val="24"/>
          <w:szCs w:val="24"/>
          <w:highlight w:val="none"/>
          <w:lang w:val="zh-CN"/>
        </w:rPr>
        <w:t>及撤回</w:t>
      </w:r>
      <w:bookmarkEnd w:id="135"/>
      <w:bookmarkEnd w:id="145"/>
      <w:bookmarkEnd w:id="146"/>
    </w:p>
    <w:p w14:paraId="3FCAE4E4">
      <w:pPr>
        <w:widowControl w:val="0"/>
        <w:adjustRightInd/>
        <w:snapToGrid/>
        <w:spacing w:line="360" w:lineRule="auto"/>
        <w:ind w:firstLine="480" w:firstLineChars="200"/>
        <w:jc w:val="both"/>
        <w:rPr>
          <w:rFonts w:ascii="宋体" w:hAnsi="宋体" w:eastAsia="宋体" w:cs="Times New Roman"/>
          <w:color w:val="auto"/>
          <w:sz w:val="24"/>
          <w:szCs w:val="24"/>
          <w:highlight w:val="none"/>
          <w:lang w:val="en-US" w:eastAsia="zh-CN" w:bidi="ar-SA"/>
        </w:rPr>
      </w:pPr>
      <w:r>
        <w:rPr>
          <w:rFonts w:ascii="宋体" w:hAnsi="宋体" w:eastAsia="宋体" w:cs="Times New Roman"/>
          <w:color w:val="auto"/>
          <w:sz w:val="24"/>
          <w:szCs w:val="24"/>
          <w:highlight w:val="none"/>
          <w:lang w:val="en-US" w:eastAsia="zh-CN" w:bidi="ar-SA"/>
        </w:rPr>
        <w:t>14.1</w:t>
      </w:r>
      <w:r>
        <w:rPr>
          <w:rFonts w:hint="eastAsia" w:ascii="宋体" w:hAnsi="宋体" w:eastAsia="宋体" w:cs="Times New Roman"/>
          <w:color w:val="auto"/>
          <w:sz w:val="24"/>
          <w:szCs w:val="24"/>
          <w:highlight w:val="none"/>
          <w:lang w:val="en-US" w:eastAsia="zh-CN" w:bidi="ar-SA"/>
        </w:rPr>
        <w:t>文件提交的截止时间及地点详见“供应商须知前附表”。</w:t>
      </w:r>
    </w:p>
    <w:p w14:paraId="56A2FCE3">
      <w:pPr>
        <w:widowControl w:val="0"/>
        <w:adjustRightInd/>
        <w:snapToGrid/>
        <w:spacing w:line="360" w:lineRule="auto"/>
        <w:ind w:firstLine="480" w:firstLineChars="200"/>
        <w:jc w:val="both"/>
        <w:rPr>
          <w:rFonts w:ascii="宋体" w:hAnsi="宋体" w:eastAsia="宋体" w:cs="Times New Roman"/>
          <w:color w:val="auto"/>
          <w:sz w:val="24"/>
          <w:szCs w:val="24"/>
          <w:highlight w:val="none"/>
          <w:lang w:val="en-US" w:eastAsia="zh-CN" w:bidi="ar-SA"/>
        </w:rPr>
      </w:pPr>
      <w:r>
        <w:rPr>
          <w:rFonts w:ascii="宋体" w:hAnsi="宋体" w:eastAsia="宋体" w:cs="Times New Roman"/>
          <w:color w:val="auto"/>
          <w:sz w:val="24"/>
          <w:szCs w:val="24"/>
          <w:highlight w:val="none"/>
          <w:lang w:val="en-US" w:eastAsia="zh-CN" w:bidi="ar-SA"/>
        </w:rPr>
        <w:t>14.2</w:t>
      </w:r>
      <w:r>
        <w:rPr>
          <w:rFonts w:hint="eastAsia" w:ascii="宋体" w:hAnsi="宋体" w:eastAsia="宋体" w:cs="Times New Roman"/>
          <w:color w:val="auto"/>
          <w:sz w:val="24"/>
          <w:szCs w:val="24"/>
          <w:highlight w:val="none"/>
          <w:lang w:val="en-US" w:eastAsia="zh-CN" w:bidi="ar-SA"/>
        </w:rPr>
        <w:t>青海省政府采购电子化平台将拒绝接受在提交响应文件截止时间之后送达的响应文件。</w:t>
      </w:r>
    </w:p>
    <w:p w14:paraId="3779E2A5">
      <w:pPr>
        <w:widowControl w:val="0"/>
        <w:adjustRightInd/>
        <w:snapToGrid/>
        <w:spacing w:line="360" w:lineRule="auto"/>
        <w:ind w:firstLine="480" w:firstLineChars="200"/>
        <w:jc w:val="both"/>
        <w:rPr>
          <w:rFonts w:ascii="宋体" w:hAnsi="宋体" w:eastAsia="宋体" w:cs="Times New Roman"/>
          <w:color w:val="auto"/>
          <w:sz w:val="24"/>
          <w:szCs w:val="24"/>
          <w:highlight w:val="none"/>
          <w:lang w:val="en-US" w:eastAsia="zh-CN" w:bidi="ar-SA"/>
        </w:rPr>
      </w:pPr>
      <w:r>
        <w:rPr>
          <w:rFonts w:hint="eastAsia" w:ascii="宋体" w:hAnsi="宋体" w:eastAsia="宋体" w:cs="Times New Roman"/>
          <w:color w:val="auto"/>
          <w:sz w:val="24"/>
          <w:szCs w:val="24"/>
          <w:highlight w:val="none"/>
          <w:lang w:val="en-US" w:eastAsia="zh-CN" w:bidi="ar-SA"/>
        </w:rPr>
        <w:t>14.3允许供应商在提交最后报价之前声明撤回响应文件，但提交最后报价之后不得撤回其投标，否则其磋商保证金将不予退还。</w:t>
      </w:r>
    </w:p>
    <w:bookmarkEnd w:id="136"/>
    <w:bookmarkEnd w:id="137"/>
    <w:bookmarkEnd w:id="138"/>
    <w:bookmarkEnd w:id="139"/>
    <w:bookmarkEnd w:id="140"/>
    <w:bookmarkEnd w:id="141"/>
    <w:bookmarkEnd w:id="142"/>
    <w:bookmarkEnd w:id="143"/>
    <w:bookmarkEnd w:id="144"/>
    <w:p w14:paraId="01D0EF11">
      <w:pPr>
        <w:widowControl/>
        <w:adjustRightInd w:val="0"/>
        <w:snapToGrid w:val="0"/>
        <w:spacing w:line="360" w:lineRule="auto"/>
        <w:ind w:firstLine="0" w:firstLineChars="0"/>
        <w:jc w:val="left"/>
        <w:outlineLvl w:val="2"/>
        <w:rPr>
          <w:rFonts w:hint="eastAsia" w:ascii="宋体" w:hAnsi="宋体" w:eastAsia="宋体" w:cs="宋体"/>
          <w:b/>
          <w:bCs/>
          <w:color w:val="auto"/>
          <w:kern w:val="2"/>
          <w:sz w:val="24"/>
          <w:szCs w:val="24"/>
          <w:highlight w:val="none"/>
          <w:lang w:val="zh-CN"/>
        </w:rPr>
      </w:pPr>
      <w:bookmarkStart w:id="147" w:name="_Toc30364"/>
      <w:bookmarkStart w:id="148" w:name="_Toc535426834"/>
      <w:bookmarkStart w:id="149" w:name="_Toc7497"/>
      <w:bookmarkStart w:id="150" w:name="_Toc59135328"/>
      <w:bookmarkStart w:id="151" w:name="_Toc27476"/>
      <w:bookmarkStart w:id="152" w:name="_Toc21190"/>
      <w:bookmarkStart w:id="153" w:name="_Toc325726020"/>
      <w:bookmarkStart w:id="154" w:name="_Toc376936751"/>
      <w:bookmarkStart w:id="155" w:name="_Toc8070"/>
      <w:bookmarkStart w:id="156" w:name="_Toc26723"/>
      <w:bookmarkStart w:id="157" w:name="_Toc15630"/>
      <w:r>
        <w:rPr>
          <w:rFonts w:hint="eastAsia" w:ascii="宋体" w:hAnsi="宋体" w:eastAsia="宋体" w:cs="宋体"/>
          <w:b/>
          <w:bCs/>
          <w:color w:val="auto"/>
          <w:kern w:val="2"/>
          <w:sz w:val="24"/>
          <w:szCs w:val="24"/>
          <w:highlight w:val="none"/>
          <w:lang w:val="zh-CN"/>
        </w:rPr>
        <w:t>15.磋商响应文件的补充、修改或者撤回</w:t>
      </w:r>
      <w:bookmarkEnd w:id="147"/>
      <w:bookmarkEnd w:id="148"/>
      <w:bookmarkEnd w:id="149"/>
      <w:bookmarkEnd w:id="150"/>
      <w:bookmarkEnd w:id="151"/>
      <w:bookmarkEnd w:id="152"/>
    </w:p>
    <w:p w14:paraId="04786E93">
      <w:pPr>
        <w:widowControl/>
        <w:autoSpaceDE w:val="0"/>
        <w:autoSpaceDN w:val="0"/>
        <w:adjustRightInd w:val="0"/>
        <w:snapToGrid w:val="0"/>
        <w:spacing w:line="360" w:lineRule="auto"/>
        <w:ind w:firstLine="480" w:firstLineChars="200"/>
        <w:jc w:val="both"/>
        <w:rPr>
          <w:rFonts w:ascii="宋体" w:hAnsi="宋体" w:eastAsia="宋体" w:cs="宋体"/>
          <w:b/>
          <w:bCs/>
          <w:color w:val="auto"/>
          <w:kern w:val="2"/>
          <w:sz w:val="28"/>
          <w:szCs w:val="28"/>
          <w:highlight w:val="none"/>
        </w:rPr>
      </w:pPr>
      <w:r>
        <w:rPr>
          <w:rFonts w:hint="eastAsia" w:ascii="宋体" w:hAnsi="宋体" w:eastAsia="宋体" w:cs="宋体"/>
          <w:color w:val="auto"/>
          <w:kern w:val="0"/>
          <w:szCs w:val="22"/>
          <w:highlight w:val="none"/>
          <w:lang w:val="zh-CN"/>
        </w:rPr>
        <w:t>15.1</w:t>
      </w:r>
      <w:r>
        <w:rPr>
          <w:rFonts w:hint="eastAsia" w:ascii="宋体" w:hAnsi="宋体" w:eastAsia="宋体" w:cs="宋体"/>
          <w:color w:val="auto"/>
          <w:kern w:val="0"/>
          <w:szCs w:val="22"/>
          <w:highlight w:val="none"/>
        </w:rPr>
        <w:t xml:space="preserve"> 供应商在磋商截止时间前，可以对所递交的磋商响应文件进行补充、修改或者撤回，并书面通知采购代理机构。补充、修改的内容应当按照磋商文件要求签署、盖章后，作为磋商响应文件的组成部分。</w:t>
      </w:r>
    </w:p>
    <w:p w14:paraId="737052CB">
      <w:pPr>
        <w:widowControl/>
        <w:adjustRightInd w:val="0"/>
        <w:snapToGrid w:val="0"/>
        <w:spacing w:line="360" w:lineRule="auto"/>
        <w:ind w:firstLine="0" w:firstLineChars="0"/>
        <w:jc w:val="left"/>
        <w:outlineLvl w:val="2"/>
        <w:rPr>
          <w:rFonts w:hint="eastAsia" w:ascii="宋体" w:hAnsi="宋体" w:eastAsia="宋体" w:cs="宋体"/>
          <w:b/>
          <w:bCs/>
          <w:color w:val="auto"/>
          <w:kern w:val="2"/>
          <w:sz w:val="24"/>
          <w:szCs w:val="24"/>
          <w:highlight w:val="none"/>
          <w:lang w:val="zh-CN"/>
        </w:rPr>
      </w:pPr>
      <w:bookmarkStart w:id="158" w:name="_Toc7869"/>
      <w:bookmarkStart w:id="159" w:name="_Toc22759"/>
      <w:bookmarkStart w:id="160" w:name="_Toc59135329"/>
      <w:bookmarkStart w:id="161" w:name="_Toc9799"/>
      <w:r>
        <w:rPr>
          <w:rFonts w:hint="eastAsia" w:ascii="宋体" w:hAnsi="宋体" w:eastAsia="宋体" w:cs="宋体"/>
          <w:b/>
          <w:bCs/>
          <w:color w:val="auto"/>
          <w:kern w:val="2"/>
          <w:sz w:val="24"/>
          <w:szCs w:val="24"/>
          <w:highlight w:val="none"/>
          <w:lang w:val="zh-CN"/>
        </w:rPr>
        <w:t>16.</w:t>
      </w:r>
      <w:bookmarkEnd w:id="153"/>
      <w:bookmarkEnd w:id="154"/>
      <w:r>
        <w:rPr>
          <w:rFonts w:hint="eastAsia" w:ascii="宋体" w:hAnsi="宋体" w:eastAsia="宋体" w:cs="宋体"/>
          <w:b/>
          <w:bCs/>
          <w:color w:val="auto"/>
          <w:kern w:val="2"/>
          <w:sz w:val="24"/>
          <w:szCs w:val="24"/>
          <w:highlight w:val="none"/>
          <w:lang w:val="zh-CN"/>
        </w:rPr>
        <w:t>磋商过程</w:t>
      </w:r>
      <w:bookmarkEnd w:id="155"/>
      <w:bookmarkEnd w:id="156"/>
      <w:bookmarkEnd w:id="157"/>
      <w:bookmarkEnd w:id="158"/>
      <w:bookmarkEnd w:id="159"/>
      <w:bookmarkEnd w:id="160"/>
      <w:bookmarkEnd w:id="161"/>
    </w:p>
    <w:p w14:paraId="1547AEB0">
      <w:pPr>
        <w:widowControl/>
        <w:adjustRightInd w:val="0"/>
        <w:snapToGrid w:val="0"/>
        <w:spacing w:line="360" w:lineRule="auto"/>
        <w:ind w:firstLine="480" w:firstLineChars="200"/>
        <w:jc w:val="both"/>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16.1</w:t>
      </w:r>
      <w:r>
        <w:rPr>
          <w:rFonts w:hint="eastAsia" w:ascii="宋体" w:hAnsi="宋体"/>
          <w:color w:val="auto"/>
          <w:highlight w:val="none"/>
        </w:rPr>
        <w:t>采购人、采购机构在青海省政府采购电子化平台上组织磋商活动，时间和地点以本磋商文件中确定的为准</w:t>
      </w:r>
      <w:r>
        <w:rPr>
          <w:rFonts w:hint="eastAsia" w:ascii="宋体" w:hAnsi="宋体" w:eastAsia="宋体" w:cs="宋体"/>
          <w:color w:val="auto"/>
          <w:kern w:val="0"/>
          <w:szCs w:val="24"/>
          <w:highlight w:val="none"/>
        </w:rPr>
        <w:t>。</w:t>
      </w:r>
    </w:p>
    <w:p w14:paraId="386F926A">
      <w:pPr>
        <w:widowControl/>
        <w:adjustRightInd w:val="0"/>
        <w:snapToGrid w:val="0"/>
        <w:spacing w:line="360" w:lineRule="auto"/>
        <w:ind w:firstLine="480" w:firstLineChars="200"/>
        <w:jc w:val="both"/>
        <w:rPr>
          <w:rFonts w:hint="eastAsia" w:ascii="宋体" w:hAnsi="宋体" w:eastAsia="宋体" w:cs="Times New Roman"/>
          <w:color w:val="auto"/>
          <w:highlight w:val="none"/>
        </w:rPr>
      </w:pPr>
      <w:r>
        <w:rPr>
          <w:rFonts w:hint="eastAsia" w:ascii="宋体" w:hAnsi="宋体" w:eastAsia="宋体" w:cs="Times New Roman"/>
          <w:color w:val="auto"/>
          <w:highlight w:val="none"/>
        </w:rPr>
        <w:t>16.2开标后，供应商在青海省政府采购电子化平台上报价与磋商响应文件内容不一致的，以网上报价为准。若拒绝接受，其投标无效。</w:t>
      </w:r>
    </w:p>
    <w:p w14:paraId="3B72303E">
      <w:pPr>
        <w:widowControl/>
        <w:adjustRightInd w:val="0"/>
        <w:snapToGrid w:val="0"/>
        <w:spacing w:line="360" w:lineRule="auto"/>
        <w:ind w:firstLine="480" w:firstLineChars="200"/>
        <w:jc w:val="both"/>
        <w:rPr>
          <w:rFonts w:hint="eastAsia" w:ascii="宋体" w:hAnsi="宋体" w:eastAsia="宋体" w:cs="Times New Roman"/>
          <w:color w:val="auto"/>
          <w:highlight w:val="none"/>
        </w:rPr>
      </w:pPr>
      <w:r>
        <w:rPr>
          <w:rFonts w:hint="eastAsia" w:ascii="宋体" w:hAnsi="宋体" w:eastAsia="宋体" w:cs="Times New Roman"/>
          <w:color w:val="auto"/>
          <w:highlight w:val="none"/>
        </w:rPr>
        <w:t>磋商时，磋商响应文件中大写金额与小写金额不一致的，以大写金额为准；总价金额与按单价汇总金额不一致的，以单价汇总金额计算结果为准；单价金额小数点有明显错位的，以总价为准，并修改单价；对不同文字文本磋商响应文件的解释发生异议的，以中文文本为准。</w:t>
      </w:r>
    </w:p>
    <w:p w14:paraId="7B774F65">
      <w:pPr>
        <w:widowControl/>
        <w:adjustRightInd w:val="0"/>
        <w:snapToGrid w:val="0"/>
        <w:spacing w:line="360" w:lineRule="auto"/>
        <w:ind w:firstLine="480" w:firstLineChars="200"/>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16.3磋商工作由采购机构组织，采购人、采购管理、纪检监察等有关方面代表可根据采购项目的具体情况列席，并对开标过程签字确认。</w:t>
      </w:r>
    </w:p>
    <w:p w14:paraId="56A94B6D">
      <w:pPr>
        <w:spacing w:before="240" w:beforeLines="100"/>
        <w:jc w:val="center"/>
        <w:outlineLvl w:val="1"/>
        <w:rPr>
          <w:rFonts w:ascii="宋体" w:hAnsi="宋体" w:cs="宋体"/>
          <w:b/>
          <w:bCs/>
          <w:color w:val="auto"/>
          <w:sz w:val="36"/>
          <w:szCs w:val="36"/>
          <w:highlight w:val="none"/>
        </w:rPr>
      </w:pPr>
      <w:bookmarkStart w:id="162" w:name="_Toc15417"/>
      <w:r>
        <w:rPr>
          <w:rFonts w:hint="eastAsia" w:ascii="宋体" w:hAnsi="宋体" w:cs="宋体"/>
          <w:b/>
          <w:bCs/>
          <w:color w:val="auto"/>
          <w:sz w:val="36"/>
          <w:szCs w:val="36"/>
          <w:highlight w:val="none"/>
        </w:rPr>
        <w:t>六、磋商程序及方法</w:t>
      </w:r>
      <w:bookmarkEnd w:id="129"/>
      <w:bookmarkEnd w:id="130"/>
      <w:bookmarkEnd w:id="131"/>
      <w:bookmarkEnd w:id="132"/>
      <w:bookmarkEnd w:id="133"/>
      <w:bookmarkEnd w:id="162"/>
    </w:p>
    <w:p w14:paraId="7BD2EFF5">
      <w:pPr>
        <w:widowControl/>
        <w:adjustRightInd w:val="0"/>
        <w:snapToGrid w:val="0"/>
        <w:spacing w:line="360" w:lineRule="auto"/>
        <w:ind w:firstLine="0" w:firstLineChars="0"/>
        <w:jc w:val="left"/>
        <w:outlineLvl w:val="2"/>
        <w:rPr>
          <w:rFonts w:hint="eastAsia" w:ascii="宋体" w:hAnsi="宋体" w:eastAsia="宋体" w:cs="宋体"/>
          <w:b/>
          <w:bCs/>
          <w:color w:val="auto"/>
          <w:kern w:val="2"/>
          <w:sz w:val="24"/>
          <w:szCs w:val="24"/>
          <w:highlight w:val="none"/>
          <w:lang w:val="zh-CN"/>
        </w:rPr>
      </w:pPr>
      <w:bookmarkStart w:id="163" w:name="_Toc2013"/>
      <w:bookmarkStart w:id="164" w:name="_Toc19305"/>
      <w:bookmarkStart w:id="165" w:name="_Toc496189551"/>
      <w:bookmarkStart w:id="166" w:name="_Toc496004007"/>
      <w:r>
        <w:rPr>
          <w:rFonts w:hint="eastAsia" w:ascii="宋体" w:hAnsi="宋体" w:eastAsia="宋体" w:cs="宋体"/>
          <w:b/>
          <w:bCs/>
          <w:color w:val="auto"/>
          <w:kern w:val="2"/>
          <w:sz w:val="24"/>
          <w:szCs w:val="24"/>
          <w:highlight w:val="none"/>
          <w:lang w:val="zh-CN"/>
        </w:rPr>
        <w:t>1</w:t>
      </w:r>
      <w:r>
        <w:rPr>
          <w:rFonts w:hint="eastAsia" w:ascii="宋体" w:hAnsi="宋体" w:eastAsia="宋体" w:cs="宋体"/>
          <w:b/>
          <w:bCs/>
          <w:color w:val="auto"/>
          <w:kern w:val="2"/>
          <w:sz w:val="24"/>
          <w:szCs w:val="24"/>
          <w:highlight w:val="none"/>
          <w:lang w:val="en-US" w:eastAsia="zh-CN"/>
        </w:rPr>
        <w:t>7</w:t>
      </w:r>
      <w:r>
        <w:rPr>
          <w:rFonts w:hint="eastAsia" w:ascii="宋体" w:hAnsi="宋体" w:eastAsia="宋体" w:cs="宋体"/>
          <w:b/>
          <w:bCs/>
          <w:color w:val="auto"/>
          <w:kern w:val="2"/>
          <w:sz w:val="24"/>
          <w:szCs w:val="24"/>
          <w:highlight w:val="none"/>
          <w:lang w:val="zh-CN"/>
        </w:rPr>
        <w:t>.资格审查程序</w:t>
      </w:r>
      <w:bookmarkEnd w:id="163"/>
      <w:bookmarkEnd w:id="164"/>
      <w:bookmarkEnd w:id="165"/>
      <w:bookmarkEnd w:id="166"/>
    </w:p>
    <w:p w14:paraId="4B76EAC7">
      <w:pPr>
        <w:ind w:firstLine="480"/>
        <w:rPr>
          <w:rFonts w:hint="eastAsia" w:ascii="宋体" w:hAnsi="宋体"/>
          <w:color w:val="auto"/>
          <w:highlight w:val="none"/>
        </w:rPr>
      </w:pPr>
      <w:r>
        <w:rPr>
          <w:rFonts w:hint="eastAsia" w:ascii="宋体" w:hAnsi="宋体"/>
          <w:color w:val="auto"/>
          <w:highlight w:val="none"/>
          <w:lang w:val="en-US" w:eastAsia="zh-CN"/>
        </w:rPr>
        <w:t>17</w:t>
      </w:r>
      <w:r>
        <w:rPr>
          <w:rFonts w:hint="eastAsia" w:ascii="宋体" w:hAnsi="宋体"/>
          <w:color w:val="auto"/>
          <w:highlight w:val="none"/>
        </w:rPr>
        <w:t>.1</w:t>
      </w:r>
      <w:r>
        <w:rPr>
          <w:rFonts w:hint="eastAsia" w:ascii="宋体" w:hAnsi="宋体" w:cs="Arial"/>
          <w:color w:val="auto"/>
          <w:kern w:val="0"/>
          <w:highlight w:val="none"/>
        </w:rPr>
        <w:t>提交首次磋商响应文件截止时间后</w:t>
      </w:r>
      <w:r>
        <w:rPr>
          <w:rFonts w:hint="eastAsia" w:ascii="宋体" w:hAnsi="宋体"/>
          <w:color w:val="auto"/>
          <w:highlight w:val="none"/>
        </w:rPr>
        <w:t>，由磋商小组依法对供应商的资格进行审查。</w:t>
      </w:r>
    </w:p>
    <w:p w14:paraId="2E99B30D">
      <w:pPr>
        <w:spacing w:line="360" w:lineRule="auto"/>
        <w:ind w:firstLine="480"/>
        <w:rPr>
          <w:rFonts w:hint="eastAsia" w:ascii="宋体" w:hAnsi="宋体" w:eastAsia="宋体" w:cs="Arial"/>
          <w:color w:val="auto"/>
          <w:kern w:val="0"/>
          <w:highlight w:val="none"/>
        </w:rPr>
      </w:pPr>
      <w:r>
        <w:rPr>
          <w:rFonts w:hint="eastAsia" w:ascii="宋体" w:hAnsi="宋体" w:eastAsia="宋体" w:cs="Arial"/>
          <w:color w:val="auto"/>
          <w:kern w:val="0"/>
          <w:highlight w:val="none"/>
        </w:rPr>
        <w:t>1</w:t>
      </w:r>
      <w:r>
        <w:rPr>
          <w:rFonts w:hint="eastAsia" w:ascii="宋体" w:hAnsi="宋体" w:eastAsia="宋体" w:cs="Arial"/>
          <w:color w:val="auto"/>
          <w:kern w:val="0"/>
          <w:highlight w:val="none"/>
          <w:lang w:val="en-US" w:eastAsia="zh-CN"/>
        </w:rPr>
        <w:t>7</w:t>
      </w:r>
      <w:r>
        <w:rPr>
          <w:rFonts w:hint="eastAsia" w:ascii="宋体" w:hAnsi="宋体" w:eastAsia="宋体" w:cs="Arial"/>
          <w:color w:val="auto"/>
          <w:kern w:val="0"/>
          <w:highlight w:val="none"/>
        </w:rPr>
        <w:t>.2供应商数量不满足相关规定的，不得评审。</w:t>
      </w:r>
    </w:p>
    <w:p w14:paraId="69925DCE">
      <w:pPr>
        <w:widowControl/>
        <w:adjustRightInd w:val="0"/>
        <w:snapToGrid w:val="0"/>
        <w:spacing w:line="360" w:lineRule="auto"/>
        <w:ind w:firstLine="0" w:firstLineChars="0"/>
        <w:jc w:val="left"/>
        <w:outlineLvl w:val="2"/>
        <w:rPr>
          <w:rFonts w:hint="eastAsia" w:ascii="宋体" w:hAnsi="宋体" w:eastAsia="宋体" w:cs="宋体"/>
          <w:b/>
          <w:bCs/>
          <w:color w:val="auto"/>
          <w:kern w:val="2"/>
          <w:sz w:val="24"/>
          <w:szCs w:val="24"/>
          <w:highlight w:val="none"/>
          <w:lang w:val="zh-CN"/>
        </w:rPr>
      </w:pPr>
      <w:bookmarkStart w:id="167" w:name="_Toc496004008"/>
      <w:bookmarkStart w:id="168" w:name="_Toc496189552"/>
      <w:bookmarkStart w:id="169" w:name="_Toc14216"/>
      <w:bookmarkStart w:id="170" w:name="_Toc18332"/>
      <w:r>
        <w:rPr>
          <w:rFonts w:hint="eastAsia" w:ascii="宋体" w:hAnsi="宋体" w:eastAsia="宋体" w:cs="宋体"/>
          <w:b/>
          <w:bCs/>
          <w:color w:val="auto"/>
          <w:kern w:val="2"/>
          <w:sz w:val="24"/>
          <w:szCs w:val="24"/>
          <w:highlight w:val="none"/>
          <w:lang w:val="zh-CN"/>
        </w:rPr>
        <w:t>1</w:t>
      </w:r>
      <w:r>
        <w:rPr>
          <w:rFonts w:hint="eastAsia" w:ascii="宋体" w:hAnsi="宋体" w:eastAsia="宋体" w:cs="宋体"/>
          <w:b/>
          <w:bCs/>
          <w:color w:val="auto"/>
          <w:kern w:val="2"/>
          <w:sz w:val="24"/>
          <w:szCs w:val="24"/>
          <w:highlight w:val="none"/>
          <w:lang w:val="en-US" w:eastAsia="zh-CN"/>
        </w:rPr>
        <w:t>8</w:t>
      </w:r>
      <w:r>
        <w:rPr>
          <w:rFonts w:hint="eastAsia" w:ascii="宋体" w:hAnsi="宋体" w:eastAsia="宋体" w:cs="宋体"/>
          <w:b/>
          <w:bCs/>
          <w:color w:val="auto"/>
          <w:kern w:val="2"/>
          <w:sz w:val="24"/>
          <w:szCs w:val="24"/>
          <w:highlight w:val="none"/>
          <w:lang w:val="zh-CN"/>
        </w:rPr>
        <w:t>.资格审查不通过的情形</w:t>
      </w:r>
      <w:bookmarkEnd w:id="167"/>
      <w:bookmarkEnd w:id="168"/>
      <w:bookmarkEnd w:id="169"/>
      <w:bookmarkEnd w:id="170"/>
    </w:p>
    <w:p w14:paraId="6DCB2614">
      <w:pPr>
        <w:adjustRightInd w:val="0"/>
        <w:snapToGrid w:val="0"/>
        <w:spacing w:line="360" w:lineRule="auto"/>
        <w:ind w:firstLine="480" w:firstLineChars="200"/>
        <w:rPr>
          <w:rFonts w:ascii="宋体" w:hAnsi="宋体" w:eastAsia="宋体" w:cs="宋体"/>
          <w:color w:val="auto"/>
          <w:sz w:val="24"/>
          <w:szCs w:val="22"/>
          <w:highlight w:val="none"/>
          <w:lang w:val="en-US" w:eastAsia="zh-CN" w:bidi="ar-SA"/>
        </w:rPr>
      </w:pPr>
      <w:r>
        <w:rPr>
          <w:rFonts w:hint="eastAsia" w:ascii="宋体" w:hAnsi="宋体" w:eastAsia="宋体" w:cs="宋体"/>
          <w:color w:val="auto"/>
          <w:sz w:val="24"/>
          <w:szCs w:val="22"/>
          <w:highlight w:val="none"/>
          <w:lang w:val="en-US" w:eastAsia="zh-CN" w:bidi="ar-SA"/>
        </w:rPr>
        <w:t>18.1 资格审查时，供应商存在下列情况之一的，按</w:t>
      </w:r>
      <w:r>
        <w:rPr>
          <w:rFonts w:hint="eastAsia" w:ascii="宋体" w:hAnsi="宋体" w:eastAsia="宋体" w:cs="宋体"/>
          <w:b/>
          <w:bCs/>
          <w:color w:val="auto"/>
          <w:sz w:val="24"/>
          <w:szCs w:val="22"/>
          <w:highlight w:val="none"/>
          <w:lang w:val="en-US" w:eastAsia="zh-CN" w:bidi="ar-SA"/>
        </w:rPr>
        <w:t>无效投标处理</w:t>
      </w:r>
      <w:r>
        <w:rPr>
          <w:rFonts w:hint="eastAsia" w:ascii="宋体" w:hAnsi="宋体" w:eastAsia="宋体" w:cs="宋体"/>
          <w:color w:val="auto"/>
          <w:sz w:val="24"/>
          <w:szCs w:val="22"/>
          <w:highlight w:val="none"/>
          <w:lang w:val="en-US" w:eastAsia="zh-CN" w:bidi="ar-SA"/>
        </w:rPr>
        <w:t>：</w:t>
      </w:r>
    </w:p>
    <w:p w14:paraId="6D1F4C10">
      <w:pPr>
        <w:numPr>
          <w:ilvl w:val="0"/>
          <w:numId w:val="7"/>
        </w:numPr>
        <w:adjustRightInd w:val="0"/>
        <w:snapToGrid w:val="0"/>
        <w:spacing w:line="360" w:lineRule="auto"/>
        <w:ind w:left="840" w:hanging="420" w:firstLineChars="0"/>
        <w:rPr>
          <w:rFonts w:ascii="宋体" w:hAnsi="宋体" w:eastAsia="宋体" w:cs="宋体"/>
          <w:b/>
          <w:bCs/>
          <w:color w:val="auto"/>
          <w:sz w:val="24"/>
          <w:szCs w:val="22"/>
          <w:highlight w:val="none"/>
          <w:lang w:val="en-US" w:eastAsia="zh-CN" w:bidi="ar-SA"/>
        </w:rPr>
      </w:pPr>
      <w:r>
        <w:rPr>
          <w:rFonts w:hint="eastAsia" w:ascii="宋体" w:hAnsi="宋体" w:eastAsia="宋体" w:cs="宋体"/>
          <w:b/>
          <w:bCs/>
          <w:color w:val="auto"/>
          <w:sz w:val="24"/>
          <w:szCs w:val="22"/>
          <w:highlight w:val="none"/>
          <w:lang w:val="en-US" w:eastAsia="zh-CN" w:bidi="ar-SA"/>
        </w:rPr>
        <w:t>不具备</w:t>
      </w:r>
      <w:r>
        <w:rPr>
          <w:rFonts w:hint="eastAsia" w:ascii="宋体" w:hAnsi="宋体" w:eastAsia="宋体" w:cs="宋体"/>
          <w:b/>
          <w:bCs/>
          <w:color w:val="auto"/>
          <w:sz w:val="24"/>
          <w:szCs w:val="22"/>
          <w:highlight w:val="none"/>
          <w:lang w:val="zh-CN" w:eastAsia="zh-CN" w:bidi="ar-SA"/>
        </w:rPr>
        <w:t>“</w:t>
      </w:r>
      <w:r>
        <w:rPr>
          <w:rFonts w:hint="eastAsia" w:ascii="宋体" w:hAnsi="宋体" w:eastAsia="宋体" w:cs="宋体"/>
          <w:b/>
          <w:bCs/>
          <w:color w:val="auto"/>
          <w:sz w:val="24"/>
          <w:szCs w:val="24"/>
          <w:highlight w:val="none"/>
          <w:lang w:val="en-US" w:eastAsia="zh-CN"/>
        </w:rPr>
        <w:t>申请人的资格要求</w:t>
      </w:r>
      <w:r>
        <w:rPr>
          <w:rFonts w:hint="eastAsia" w:ascii="宋体" w:hAnsi="宋体" w:eastAsia="宋体" w:cs="宋体"/>
          <w:b/>
          <w:bCs/>
          <w:color w:val="auto"/>
          <w:sz w:val="24"/>
          <w:szCs w:val="22"/>
          <w:highlight w:val="none"/>
          <w:lang w:val="zh-CN" w:eastAsia="zh-CN" w:bidi="ar-SA"/>
        </w:rPr>
        <w:t>”</w:t>
      </w:r>
      <w:r>
        <w:rPr>
          <w:rFonts w:hint="eastAsia" w:ascii="宋体" w:hAnsi="宋体" w:eastAsia="宋体" w:cs="宋体"/>
          <w:b/>
          <w:bCs/>
          <w:color w:val="auto"/>
          <w:sz w:val="24"/>
          <w:szCs w:val="22"/>
          <w:highlight w:val="none"/>
          <w:lang w:val="en-US" w:eastAsia="zh-CN" w:bidi="ar-SA"/>
        </w:rPr>
        <w:t>规定的资格要求的；</w:t>
      </w:r>
    </w:p>
    <w:p w14:paraId="32075496">
      <w:pPr>
        <w:numPr>
          <w:ilvl w:val="0"/>
          <w:numId w:val="7"/>
        </w:numPr>
        <w:adjustRightInd w:val="0"/>
        <w:snapToGrid w:val="0"/>
        <w:spacing w:line="360" w:lineRule="auto"/>
        <w:ind w:left="840" w:hanging="420" w:firstLineChars="0"/>
        <w:rPr>
          <w:rFonts w:ascii="宋体" w:hAnsi="宋体" w:eastAsia="宋体" w:cs="宋体"/>
          <w:b/>
          <w:bCs/>
          <w:color w:val="auto"/>
          <w:sz w:val="24"/>
          <w:szCs w:val="22"/>
          <w:highlight w:val="none"/>
          <w:lang w:val="en-US" w:eastAsia="zh-CN" w:bidi="ar-SA"/>
        </w:rPr>
      </w:pPr>
      <w:r>
        <w:rPr>
          <w:rFonts w:hint="eastAsia" w:ascii="宋体" w:hAnsi="宋体" w:eastAsia="宋体" w:cs="宋体"/>
          <w:b/>
          <w:bCs/>
          <w:color w:val="auto"/>
          <w:sz w:val="24"/>
          <w:szCs w:val="22"/>
          <w:highlight w:val="none"/>
          <w:lang w:val="en-US" w:eastAsia="zh-CN" w:bidi="ar-SA"/>
        </w:rPr>
        <w:t>未按磋商文件要求交纳或未足额交纳磋商保证金的；</w:t>
      </w:r>
    </w:p>
    <w:p w14:paraId="52068495">
      <w:pPr>
        <w:numPr>
          <w:ilvl w:val="0"/>
          <w:numId w:val="7"/>
        </w:numPr>
        <w:adjustRightInd w:val="0"/>
        <w:snapToGrid w:val="0"/>
        <w:spacing w:line="360" w:lineRule="auto"/>
        <w:ind w:left="840" w:hanging="420" w:firstLineChars="0"/>
        <w:rPr>
          <w:rFonts w:ascii="宋体" w:hAnsi="宋体" w:eastAsia="宋体" w:cs="宋体"/>
          <w:b/>
          <w:bCs/>
          <w:color w:val="auto"/>
          <w:sz w:val="24"/>
          <w:szCs w:val="22"/>
          <w:highlight w:val="none"/>
          <w:lang w:val="en-US" w:eastAsia="zh-CN" w:bidi="ar-SA"/>
        </w:rPr>
      </w:pPr>
      <w:r>
        <w:rPr>
          <w:rFonts w:hint="eastAsia" w:ascii="宋体" w:hAnsi="宋体" w:eastAsia="宋体" w:cs="宋体"/>
          <w:b/>
          <w:bCs/>
          <w:color w:val="auto"/>
          <w:sz w:val="24"/>
          <w:szCs w:val="22"/>
          <w:highlight w:val="none"/>
          <w:lang w:val="en-US" w:eastAsia="zh-CN" w:bidi="ar-SA"/>
        </w:rPr>
        <w:t>未按第11.1.1要求提供相关资料的；</w:t>
      </w:r>
    </w:p>
    <w:p w14:paraId="009F9854">
      <w:pPr>
        <w:numPr>
          <w:ilvl w:val="0"/>
          <w:numId w:val="7"/>
        </w:numPr>
        <w:adjustRightInd w:val="0"/>
        <w:snapToGrid w:val="0"/>
        <w:spacing w:line="360" w:lineRule="auto"/>
        <w:ind w:left="840" w:hanging="420" w:firstLineChars="0"/>
        <w:rPr>
          <w:rFonts w:ascii="宋体" w:hAnsi="宋体" w:eastAsia="宋体" w:cs="宋体"/>
          <w:b/>
          <w:bCs/>
          <w:color w:val="auto"/>
          <w:sz w:val="24"/>
          <w:szCs w:val="22"/>
          <w:highlight w:val="none"/>
          <w:lang w:val="en-US" w:eastAsia="zh-CN" w:bidi="ar-SA"/>
        </w:rPr>
      </w:pPr>
      <w:r>
        <w:rPr>
          <w:rFonts w:hint="eastAsia" w:ascii="宋体" w:hAnsi="宋体" w:eastAsia="宋体" w:cs="宋体"/>
          <w:b/>
          <w:bCs/>
          <w:color w:val="auto"/>
          <w:sz w:val="24"/>
          <w:szCs w:val="22"/>
          <w:highlight w:val="none"/>
          <w:lang w:val="en-US" w:eastAsia="zh-CN" w:bidi="ar-SA"/>
        </w:rPr>
        <w:t>磋商响应文件（上册）未按磋商文件规定和要求签字、盖章的；</w:t>
      </w:r>
    </w:p>
    <w:p w14:paraId="07136D84">
      <w:pPr>
        <w:numPr>
          <w:ilvl w:val="0"/>
          <w:numId w:val="7"/>
        </w:numPr>
        <w:adjustRightInd w:val="0"/>
        <w:snapToGrid w:val="0"/>
        <w:spacing w:line="360" w:lineRule="auto"/>
        <w:ind w:left="840" w:hanging="420" w:firstLineChars="0"/>
        <w:rPr>
          <w:rFonts w:ascii="宋体" w:hAnsi="宋体" w:eastAsia="宋体" w:cs="宋体"/>
          <w:b/>
          <w:bCs/>
          <w:color w:val="auto"/>
          <w:sz w:val="24"/>
          <w:szCs w:val="22"/>
          <w:highlight w:val="none"/>
          <w:lang w:val="en-US" w:eastAsia="zh-CN" w:bidi="ar-SA"/>
        </w:rPr>
      </w:pPr>
      <w:r>
        <w:rPr>
          <w:rFonts w:hint="eastAsia" w:ascii="宋体" w:hAnsi="宋体" w:eastAsia="宋体" w:cs="宋体"/>
          <w:b/>
          <w:bCs/>
          <w:color w:val="auto"/>
          <w:sz w:val="24"/>
          <w:szCs w:val="22"/>
          <w:highlight w:val="none"/>
          <w:lang w:val="zh-CN" w:eastAsia="zh-CN" w:bidi="ar-SA"/>
        </w:rPr>
        <w:t>磋商有效期不能满足</w:t>
      </w:r>
      <w:r>
        <w:rPr>
          <w:rFonts w:hint="eastAsia" w:ascii="宋体" w:hAnsi="宋体" w:eastAsia="宋体" w:cs="宋体"/>
          <w:b/>
          <w:bCs/>
          <w:color w:val="auto"/>
          <w:sz w:val="24"/>
          <w:szCs w:val="22"/>
          <w:highlight w:val="none"/>
          <w:lang w:val="en-US" w:eastAsia="zh-CN" w:bidi="ar-SA"/>
        </w:rPr>
        <w:t>磋商</w:t>
      </w:r>
      <w:r>
        <w:rPr>
          <w:rFonts w:hint="eastAsia" w:ascii="宋体" w:hAnsi="宋体" w:eastAsia="宋体" w:cs="宋体"/>
          <w:b/>
          <w:bCs/>
          <w:color w:val="auto"/>
          <w:sz w:val="24"/>
          <w:szCs w:val="22"/>
          <w:highlight w:val="none"/>
          <w:lang w:val="zh-CN" w:eastAsia="zh-CN" w:bidi="ar-SA"/>
        </w:rPr>
        <w:t>文件要求的；</w:t>
      </w:r>
    </w:p>
    <w:p w14:paraId="26D202DC">
      <w:pPr>
        <w:numPr>
          <w:ilvl w:val="0"/>
          <w:numId w:val="7"/>
        </w:numPr>
        <w:adjustRightInd w:val="0"/>
        <w:snapToGrid w:val="0"/>
        <w:spacing w:line="360" w:lineRule="auto"/>
        <w:ind w:left="840" w:hanging="420" w:firstLineChars="0"/>
        <w:rPr>
          <w:rFonts w:hint="eastAsia" w:ascii="宋体" w:hAnsi="宋体" w:eastAsia="宋体" w:cs="宋体"/>
          <w:b/>
          <w:bCs/>
          <w:color w:val="auto"/>
          <w:sz w:val="24"/>
          <w:szCs w:val="22"/>
          <w:highlight w:val="none"/>
          <w:lang w:val="en-US" w:eastAsia="zh-CN" w:bidi="ar-SA"/>
        </w:rPr>
      </w:pPr>
      <w:r>
        <w:rPr>
          <w:rFonts w:hint="eastAsia" w:ascii="宋体" w:hAnsi="宋体" w:eastAsia="宋体" w:cs="宋体"/>
          <w:b/>
          <w:bCs/>
          <w:color w:val="auto"/>
          <w:sz w:val="24"/>
          <w:szCs w:val="22"/>
          <w:highlight w:val="none"/>
          <w:lang w:val="en-US" w:eastAsia="zh-CN" w:bidi="ar-SA"/>
        </w:rPr>
        <w:t>在开、评标过程中发现投标供应商 IP 地址、m</w:t>
      </w:r>
      <w:r>
        <w:rPr>
          <w:rFonts w:hint="eastAsia" w:ascii="宋体" w:hAnsi="宋体" w:cs="宋体"/>
          <w:b/>
          <w:bCs/>
          <w:color w:val="auto"/>
          <w:sz w:val="24"/>
          <w:szCs w:val="22"/>
          <w:highlight w:val="none"/>
          <w:lang w:val="en-US" w:eastAsia="zh-CN" w:bidi="ar-SA"/>
        </w:rPr>
        <w:t>a</w:t>
      </w:r>
      <w:r>
        <w:rPr>
          <w:rFonts w:hint="eastAsia" w:ascii="宋体" w:hAnsi="宋体" w:eastAsia="宋体" w:cs="宋体"/>
          <w:b/>
          <w:bCs/>
          <w:color w:val="auto"/>
          <w:sz w:val="24"/>
          <w:szCs w:val="22"/>
          <w:highlight w:val="none"/>
          <w:lang w:val="en-US" w:eastAsia="zh-CN" w:bidi="ar-SA"/>
        </w:rPr>
        <w:t>c 地址、硬件号等异常预警情形针对预警的投标供应商按投标无效处理，若由此原因导致投标无效的责任自负。</w:t>
      </w:r>
    </w:p>
    <w:p w14:paraId="656C5145">
      <w:pPr>
        <w:numPr>
          <w:ilvl w:val="0"/>
          <w:numId w:val="7"/>
        </w:numPr>
        <w:adjustRightInd w:val="0"/>
        <w:snapToGrid w:val="0"/>
        <w:spacing w:line="360" w:lineRule="auto"/>
        <w:ind w:left="840" w:hanging="420" w:firstLineChars="0"/>
        <w:rPr>
          <w:rFonts w:hint="eastAsia" w:ascii="宋体" w:hAnsi="宋体" w:eastAsia="宋体" w:cs="宋体"/>
          <w:b/>
          <w:bCs/>
          <w:color w:val="auto"/>
          <w:sz w:val="24"/>
          <w:szCs w:val="22"/>
          <w:highlight w:val="none"/>
          <w:lang w:val="en-US" w:eastAsia="zh-CN" w:bidi="ar-SA"/>
        </w:rPr>
      </w:pPr>
      <w:r>
        <w:rPr>
          <w:rFonts w:hint="eastAsia" w:ascii="宋体" w:hAnsi="宋体" w:eastAsia="宋体" w:cs="宋体"/>
          <w:b/>
          <w:bCs/>
          <w:color w:val="auto"/>
          <w:sz w:val="24"/>
          <w:szCs w:val="22"/>
          <w:highlight w:val="none"/>
          <w:lang w:val="en-US" w:eastAsia="zh-CN" w:bidi="ar-SA"/>
        </w:rPr>
        <w:t>擅自修改磋商文件规定的磋商响应文件格式以及编制要求的。</w:t>
      </w:r>
    </w:p>
    <w:p w14:paraId="3808AA15">
      <w:pPr>
        <w:widowControl/>
        <w:adjustRightInd w:val="0"/>
        <w:snapToGrid w:val="0"/>
        <w:spacing w:before="240" w:beforeLines="100" w:line="360" w:lineRule="auto"/>
        <w:ind w:firstLine="0" w:firstLineChars="0"/>
        <w:jc w:val="center"/>
        <w:outlineLvl w:val="1"/>
        <w:rPr>
          <w:rFonts w:ascii="宋体" w:hAnsi="宋体" w:eastAsia="宋体" w:cs="宋体"/>
          <w:b/>
          <w:bCs/>
          <w:color w:val="auto"/>
          <w:kern w:val="0"/>
          <w:sz w:val="36"/>
          <w:szCs w:val="36"/>
          <w:highlight w:val="none"/>
        </w:rPr>
      </w:pPr>
      <w:bookmarkStart w:id="171" w:name="_Toc13196"/>
      <w:bookmarkStart w:id="172" w:name="_Toc16344"/>
      <w:r>
        <w:rPr>
          <w:rFonts w:hint="eastAsia" w:ascii="宋体" w:hAnsi="宋体" w:eastAsia="宋体" w:cs="宋体"/>
          <w:b/>
          <w:bCs/>
          <w:color w:val="auto"/>
          <w:kern w:val="0"/>
          <w:sz w:val="36"/>
          <w:szCs w:val="36"/>
          <w:highlight w:val="none"/>
          <w:lang w:val="en-US" w:eastAsia="zh-CN"/>
        </w:rPr>
        <w:t>七</w:t>
      </w:r>
      <w:r>
        <w:rPr>
          <w:rFonts w:hint="eastAsia" w:ascii="宋体" w:hAnsi="宋体" w:eastAsia="宋体" w:cs="宋体"/>
          <w:b/>
          <w:bCs/>
          <w:color w:val="auto"/>
          <w:kern w:val="0"/>
          <w:sz w:val="36"/>
          <w:szCs w:val="36"/>
          <w:highlight w:val="none"/>
        </w:rPr>
        <w:t>、磋商程序及方法</w:t>
      </w:r>
      <w:bookmarkEnd w:id="171"/>
      <w:bookmarkEnd w:id="172"/>
    </w:p>
    <w:p w14:paraId="5615E2FB">
      <w:pPr>
        <w:widowControl/>
        <w:adjustRightInd w:val="0"/>
        <w:snapToGrid w:val="0"/>
        <w:spacing w:line="360" w:lineRule="auto"/>
        <w:ind w:firstLine="0" w:firstLineChars="0"/>
        <w:jc w:val="left"/>
        <w:outlineLvl w:val="2"/>
        <w:rPr>
          <w:rFonts w:hint="eastAsia" w:ascii="宋体" w:hAnsi="宋体" w:eastAsia="宋体" w:cs="宋体"/>
          <w:b/>
          <w:bCs/>
          <w:color w:val="auto"/>
          <w:kern w:val="2"/>
          <w:sz w:val="24"/>
          <w:szCs w:val="24"/>
          <w:highlight w:val="none"/>
          <w:lang w:val="zh-CN"/>
        </w:rPr>
      </w:pPr>
      <w:bookmarkStart w:id="173" w:name="_Toc376936753"/>
      <w:bookmarkStart w:id="174" w:name="_Toc59135331"/>
      <w:bookmarkStart w:id="175" w:name="_Toc16203"/>
      <w:bookmarkStart w:id="176" w:name="_Toc26121"/>
      <w:bookmarkStart w:id="177" w:name="_Toc325726022"/>
      <w:bookmarkStart w:id="178" w:name="_Toc16935"/>
      <w:bookmarkStart w:id="179" w:name="_Toc13155"/>
      <w:bookmarkStart w:id="180" w:name="_Toc29858"/>
      <w:bookmarkStart w:id="181" w:name="_Toc6220"/>
      <w:r>
        <w:rPr>
          <w:rFonts w:hint="eastAsia" w:ascii="宋体" w:hAnsi="宋体" w:eastAsia="宋体" w:cs="宋体"/>
          <w:b/>
          <w:bCs/>
          <w:color w:val="auto"/>
          <w:kern w:val="2"/>
          <w:sz w:val="24"/>
          <w:szCs w:val="24"/>
          <w:highlight w:val="none"/>
          <w:lang w:val="zh-CN"/>
        </w:rPr>
        <w:t>1</w:t>
      </w:r>
      <w:r>
        <w:rPr>
          <w:rFonts w:hint="eastAsia" w:ascii="宋体" w:hAnsi="宋体" w:eastAsia="宋体" w:cs="宋体"/>
          <w:b/>
          <w:bCs/>
          <w:color w:val="auto"/>
          <w:kern w:val="2"/>
          <w:sz w:val="24"/>
          <w:szCs w:val="24"/>
          <w:highlight w:val="none"/>
          <w:lang w:val="en-US" w:eastAsia="zh-CN"/>
        </w:rPr>
        <w:t>9</w:t>
      </w:r>
      <w:r>
        <w:rPr>
          <w:rFonts w:hint="eastAsia" w:ascii="宋体" w:hAnsi="宋体" w:eastAsia="宋体" w:cs="宋体"/>
          <w:b/>
          <w:bCs/>
          <w:color w:val="auto"/>
          <w:kern w:val="2"/>
          <w:sz w:val="24"/>
          <w:szCs w:val="24"/>
          <w:highlight w:val="none"/>
          <w:lang w:val="zh-CN"/>
        </w:rPr>
        <w:t>.磋商小组</w:t>
      </w:r>
      <w:bookmarkEnd w:id="173"/>
      <w:bookmarkEnd w:id="174"/>
      <w:bookmarkEnd w:id="175"/>
      <w:bookmarkEnd w:id="176"/>
      <w:bookmarkEnd w:id="177"/>
      <w:bookmarkEnd w:id="178"/>
      <w:bookmarkEnd w:id="179"/>
      <w:bookmarkEnd w:id="180"/>
      <w:bookmarkEnd w:id="181"/>
    </w:p>
    <w:p w14:paraId="7C8A9441">
      <w:pPr>
        <w:widowControl w:val="0"/>
        <w:adjustRightInd/>
        <w:snapToGrid/>
        <w:spacing w:line="360" w:lineRule="auto"/>
        <w:ind w:left="141" w:firstLine="480" w:firstLineChars="200"/>
        <w:jc w:val="both"/>
        <w:rPr>
          <w:rFonts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19.1采购代理机构将根据采购项目的特点依法组建磋商小组，其成员由具有一定专业水平的技术、经济等方面的专家和采购单位代表等三人以上单数组成。其中技术、经济等方面的专家不少于成员总数的三分之二。</w:t>
      </w:r>
    </w:p>
    <w:p w14:paraId="1D10D935">
      <w:pPr>
        <w:widowControl/>
        <w:autoSpaceDE w:val="0"/>
        <w:autoSpaceDN w:val="0"/>
        <w:adjustRightInd w:val="0"/>
        <w:snapToGrid w:val="0"/>
        <w:spacing w:line="360" w:lineRule="auto"/>
        <w:ind w:left="550" w:leftChars="229" w:firstLine="480" w:firstLineChars="200"/>
        <w:jc w:val="left"/>
        <w:rPr>
          <w:rFonts w:ascii="宋体" w:hAnsi="宋体" w:eastAsia="宋体" w:cs="宋体"/>
          <w:color w:val="auto"/>
          <w:kern w:val="0"/>
          <w:szCs w:val="22"/>
          <w:highlight w:val="none"/>
        </w:rPr>
      </w:pPr>
      <w:r>
        <w:rPr>
          <w:rFonts w:hint="eastAsia" w:ascii="宋体" w:hAnsi="宋体" w:eastAsia="宋体" w:cs="宋体"/>
          <w:color w:val="auto"/>
          <w:kern w:val="0"/>
          <w:szCs w:val="22"/>
          <w:highlight w:val="none"/>
        </w:rPr>
        <w:t>采购项目符合下列情形之一的，磋商小组成员人数应当为7人以上单数：</w:t>
      </w:r>
    </w:p>
    <w:p w14:paraId="7CA45CDD">
      <w:pPr>
        <w:widowControl/>
        <w:numPr>
          <w:ilvl w:val="0"/>
          <w:numId w:val="8"/>
        </w:numPr>
        <w:autoSpaceDE w:val="0"/>
        <w:autoSpaceDN w:val="0"/>
        <w:adjustRightInd w:val="0"/>
        <w:snapToGrid w:val="0"/>
        <w:spacing w:line="360" w:lineRule="auto"/>
        <w:ind w:left="1133" w:leftChars="472" w:firstLine="0" w:firstLineChars="0"/>
        <w:jc w:val="left"/>
        <w:rPr>
          <w:rFonts w:ascii="宋体" w:hAnsi="宋体" w:eastAsia="宋体" w:cs="宋体"/>
          <w:color w:val="auto"/>
          <w:kern w:val="0"/>
          <w:szCs w:val="22"/>
          <w:highlight w:val="none"/>
        </w:rPr>
      </w:pPr>
      <w:r>
        <w:rPr>
          <w:rFonts w:hint="eastAsia" w:ascii="宋体" w:hAnsi="宋体" w:eastAsia="宋体" w:cs="宋体"/>
          <w:color w:val="auto"/>
          <w:kern w:val="0"/>
          <w:szCs w:val="22"/>
          <w:highlight w:val="none"/>
        </w:rPr>
        <w:t>采购预算金额在1000万元以上；</w:t>
      </w:r>
    </w:p>
    <w:p w14:paraId="0E07B7BC">
      <w:pPr>
        <w:widowControl/>
        <w:numPr>
          <w:ilvl w:val="0"/>
          <w:numId w:val="8"/>
        </w:numPr>
        <w:autoSpaceDE w:val="0"/>
        <w:autoSpaceDN w:val="0"/>
        <w:adjustRightInd w:val="0"/>
        <w:snapToGrid w:val="0"/>
        <w:spacing w:line="360" w:lineRule="auto"/>
        <w:ind w:left="1133" w:leftChars="472" w:firstLine="0" w:firstLineChars="0"/>
        <w:jc w:val="left"/>
        <w:rPr>
          <w:rFonts w:ascii="宋体" w:hAnsi="宋体" w:eastAsia="宋体" w:cs="宋体"/>
          <w:color w:val="auto"/>
          <w:kern w:val="0"/>
          <w:szCs w:val="22"/>
          <w:highlight w:val="none"/>
        </w:rPr>
      </w:pPr>
      <w:r>
        <w:rPr>
          <w:rFonts w:hint="eastAsia" w:ascii="宋体" w:hAnsi="宋体" w:eastAsia="宋体" w:cs="宋体"/>
          <w:color w:val="auto"/>
          <w:kern w:val="0"/>
          <w:szCs w:val="22"/>
          <w:highlight w:val="none"/>
        </w:rPr>
        <w:t>技术复杂；</w:t>
      </w:r>
    </w:p>
    <w:p w14:paraId="54C94BCE">
      <w:pPr>
        <w:widowControl/>
        <w:numPr>
          <w:ilvl w:val="0"/>
          <w:numId w:val="8"/>
        </w:numPr>
        <w:autoSpaceDE w:val="0"/>
        <w:autoSpaceDN w:val="0"/>
        <w:adjustRightInd w:val="0"/>
        <w:snapToGrid w:val="0"/>
        <w:spacing w:line="360" w:lineRule="auto"/>
        <w:ind w:left="1133" w:leftChars="472" w:firstLine="0" w:firstLineChars="0"/>
        <w:jc w:val="left"/>
        <w:rPr>
          <w:rFonts w:ascii="宋体" w:hAnsi="宋体" w:eastAsia="宋体" w:cs="宋体"/>
          <w:color w:val="auto"/>
          <w:kern w:val="0"/>
          <w:szCs w:val="22"/>
          <w:highlight w:val="none"/>
        </w:rPr>
      </w:pPr>
      <w:r>
        <w:rPr>
          <w:rFonts w:hint="eastAsia" w:ascii="宋体" w:hAnsi="宋体" w:eastAsia="宋体" w:cs="宋体"/>
          <w:color w:val="auto"/>
          <w:kern w:val="0"/>
          <w:szCs w:val="22"/>
          <w:highlight w:val="none"/>
        </w:rPr>
        <w:t>社会影响较大。</w:t>
      </w:r>
    </w:p>
    <w:p w14:paraId="3022D5C7">
      <w:pPr>
        <w:widowControl/>
        <w:autoSpaceDE w:val="0"/>
        <w:autoSpaceDN w:val="0"/>
        <w:adjustRightInd w:val="0"/>
        <w:snapToGrid w:val="0"/>
        <w:spacing w:line="360" w:lineRule="auto"/>
        <w:ind w:firstLine="480" w:firstLineChars="200"/>
        <w:jc w:val="left"/>
        <w:rPr>
          <w:rFonts w:ascii="宋体" w:hAnsi="宋体" w:eastAsia="宋体" w:cs="宋体"/>
          <w:color w:val="auto"/>
          <w:kern w:val="0"/>
          <w:szCs w:val="22"/>
          <w:highlight w:val="none"/>
        </w:rPr>
      </w:pPr>
      <w:r>
        <w:rPr>
          <w:rFonts w:hint="eastAsia" w:ascii="宋体" w:hAnsi="宋体" w:eastAsia="宋体" w:cs="宋体"/>
          <w:color w:val="auto"/>
          <w:kern w:val="0"/>
          <w:szCs w:val="22"/>
          <w:highlight w:val="none"/>
        </w:rPr>
        <w:t>评审专家对本单位的采购项目只能作为采购人代表参与评标。采购代理机构工作人员不得参加由本机构代理的政府采购项目的评标。</w:t>
      </w:r>
    </w:p>
    <w:p w14:paraId="3AF9041C">
      <w:pPr>
        <w:widowControl w:val="0"/>
        <w:adjustRightInd/>
        <w:snapToGrid/>
        <w:spacing w:line="360" w:lineRule="auto"/>
        <w:ind w:firstLine="480" w:firstLineChars="200"/>
        <w:jc w:val="both"/>
        <w:rPr>
          <w:rFonts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磋商小组成员名单在评标结果公告前应当保密。</w:t>
      </w:r>
    </w:p>
    <w:p w14:paraId="3E9E092A">
      <w:pPr>
        <w:widowControl w:val="0"/>
        <w:adjustRightInd/>
        <w:snapToGrid/>
        <w:spacing w:line="360" w:lineRule="auto"/>
        <w:ind w:firstLine="480" w:firstLineChars="200"/>
        <w:jc w:val="both"/>
        <w:rPr>
          <w:rFonts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19.2采购人或采购代理机构应当从省级以上财政部门设立的政府采购评审专家库中，通过随机方式抽取评审专家。对技术复杂、专业性强的采购项目，通过随机方式难以确定合适评审专家的，经主管预算单位同意，采购人可以自行选定相应专业领域的评审专家。自行选定评审专家的，应当优先选择本单位以外的评审专家。</w:t>
      </w:r>
    </w:p>
    <w:p w14:paraId="2CEFB4EB">
      <w:pPr>
        <w:widowControl w:val="0"/>
        <w:adjustRightInd/>
        <w:snapToGrid/>
        <w:spacing w:line="360" w:lineRule="auto"/>
        <w:ind w:firstLine="480" w:firstLineChars="200"/>
        <w:jc w:val="both"/>
        <w:rPr>
          <w:rFonts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19.3评标中因磋商小组成员缺席、回避或者健康等特殊原因导致磋商小组组成不符合规定的，采购人或者采购代理机构应当依法补足后继续评标。被更换的磋商小组成员所作出的评标意见无效。无法及时补足磋商小组成员的，采购代理机构应当停止评标活动，封存所有磋商响应文件和开标、评标资料，依法重新组建磋商小组进行评标。原磋商小组所作出的评标意见无效。</w:t>
      </w:r>
    </w:p>
    <w:p w14:paraId="74BA8769">
      <w:pPr>
        <w:widowControl w:val="0"/>
        <w:adjustRightInd/>
        <w:snapToGrid/>
        <w:spacing w:line="360" w:lineRule="auto"/>
        <w:ind w:left="142" w:leftChars="59" w:firstLine="480" w:firstLineChars="200"/>
        <w:jc w:val="both"/>
        <w:rPr>
          <w:rFonts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zh-CN" w:eastAsia="zh-CN" w:bidi="ar-SA"/>
        </w:rPr>
        <w:t>采购人或采购代理机构</w:t>
      </w:r>
      <w:r>
        <w:rPr>
          <w:rFonts w:hint="eastAsia" w:ascii="宋体" w:hAnsi="宋体" w:eastAsia="宋体" w:cs="宋体"/>
          <w:color w:val="auto"/>
          <w:sz w:val="24"/>
          <w:szCs w:val="24"/>
          <w:highlight w:val="none"/>
          <w:lang w:val="en-US" w:eastAsia="zh-CN" w:bidi="ar-SA"/>
        </w:rPr>
        <w:t>应当将变更、重新组建磋商小组的情况予以记录，并随采购文件一并存档。</w:t>
      </w:r>
    </w:p>
    <w:p w14:paraId="5DBE2C3B">
      <w:pPr>
        <w:widowControl w:val="0"/>
        <w:adjustRightInd/>
        <w:snapToGrid/>
        <w:spacing w:line="360" w:lineRule="auto"/>
        <w:ind w:firstLine="480" w:firstLineChars="200"/>
        <w:jc w:val="both"/>
        <w:rPr>
          <w:rFonts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19.4采购人、采购代理机构应当采取必要措施，保证评标在严格保密的情况下进行。除采购人代表、评标现场组织人员外，采购人的其他工作人员以及与评标工作无关的人员不得进入评标现场。有关人员对评标情况以及在评标过程中获悉的国家秘密、商业秘密负有保密责任。</w:t>
      </w:r>
    </w:p>
    <w:p w14:paraId="3329A01B">
      <w:pPr>
        <w:widowControl w:val="0"/>
        <w:adjustRightInd/>
        <w:snapToGrid/>
        <w:spacing w:line="360" w:lineRule="auto"/>
        <w:ind w:firstLine="480" w:firstLineChars="200"/>
        <w:jc w:val="both"/>
        <w:rPr>
          <w:rFonts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19.5 磋商由采购代理机构负责组织，具体磋商事务由依法组建的磋商小组负责，并独立履行下列</w:t>
      </w:r>
      <w:r>
        <w:rPr>
          <w:rFonts w:hint="eastAsia" w:ascii="宋体" w:hAnsi="宋体" w:eastAsia="宋体" w:cs="宋体"/>
          <w:b/>
          <w:bCs/>
          <w:color w:val="auto"/>
          <w:sz w:val="24"/>
          <w:szCs w:val="24"/>
          <w:highlight w:val="none"/>
          <w:lang w:val="en-US" w:eastAsia="zh-CN" w:bidi="ar-SA"/>
        </w:rPr>
        <w:t>职责</w:t>
      </w:r>
      <w:r>
        <w:rPr>
          <w:rFonts w:hint="eastAsia" w:ascii="宋体" w:hAnsi="宋体" w:eastAsia="宋体" w:cs="宋体"/>
          <w:color w:val="auto"/>
          <w:sz w:val="24"/>
          <w:szCs w:val="24"/>
          <w:highlight w:val="none"/>
          <w:lang w:val="en-US" w:eastAsia="zh-CN" w:bidi="ar-SA"/>
        </w:rPr>
        <w:t>：</w:t>
      </w:r>
    </w:p>
    <w:p w14:paraId="4BC2DEDD">
      <w:pPr>
        <w:widowControl/>
        <w:adjustRightInd w:val="0"/>
        <w:snapToGrid w:val="0"/>
        <w:spacing w:line="360" w:lineRule="auto"/>
        <w:ind w:firstLine="480" w:firstLineChars="0"/>
        <w:jc w:val="left"/>
        <w:rPr>
          <w:rFonts w:ascii="宋体" w:hAnsi="宋体" w:eastAsia="宋体" w:cs="宋体"/>
          <w:color w:val="auto"/>
          <w:kern w:val="0"/>
          <w:szCs w:val="22"/>
          <w:highlight w:val="none"/>
        </w:rPr>
      </w:pPr>
      <w:r>
        <w:rPr>
          <w:rFonts w:hint="eastAsia" w:ascii="宋体" w:hAnsi="宋体" w:eastAsia="宋体" w:cs="宋体"/>
          <w:color w:val="auto"/>
          <w:kern w:val="0"/>
          <w:szCs w:val="22"/>
          <w:highlight w:val="none"/>
        </w:rPr>
        <w:t>（1）审查磋商响应文件是否符合磋商文件要求，并作出评价；</w:t>
      </w:r>
    </w:p>
    <w:p w14:paraId="4F2F36D7">
      <w:pPr>
        <w:widowControl/>
        <w:adjustRightInd w:val="0"/>
        <w:snapToGrid w:val="0"/>
        <w:spacing w:line="360" w:lineRule="auto"/>
        <w:ind w:firstLine="480" w:firstLineChars="0"/>
        <w:jc w:val="left"/>
        <w:rPr>
          <w:rFonts w:ascii="宋体" w:hAnsi="宋体" w:eastAsia="宋体" w:cs="宋体"/>
          <w:color w:val="auto"/>
          <w:kern w:val="0"/>
          <w:szCs w:val="22"/>
          <w:highlight w:val="none"/>
        </w:rPr>
      </w:pPr>
      <w:r>
        <w:rPr>
          <w:rFonts w:hint="eastAsia" w:ascii="宋体" w:hAnsi="宋体" w:eastAsia="宋体" w:cs="宋体"/>
          <w:color w:val="auto"/>
          <w:kern w:val="0"/>
          <w:szCs w:val="22"/>
          <w:highlight w:val="none"/>
        </w:rPr>
        <w:t>（2）要求供应商对磋商响应文件有关事项作出解释或澄清；</w:t>
      </w:r>
    </w:p>
    <w:p w14:paraId="0C4EF3C8">
      <w:pPr>
        <w:widowControl/>
        <w:adjustRightInd w:val="0"/>
        <w:snapToGrid w:val="0"/>
        <w:spacing w:line="360" w:lineRule="auto"/>
        <w:ind w:firstLine="480" w:firstLineChars="0"/>
        <w:jc w:val="left"/>
        <w:rPr>
          <w:rFonts w:ascii="宋体" w:hAnsi="宋体" w:eastAsia="宋体" w:cs="宋体"/>
          <w:color w:val="auto"/>
          <w:kern w:val="0"/>
          <w:szCs w:val="22"/>
          <w:highlight w:val="none"/>
        </w:rPr>
      </w:pPr>
      <w:r>
        <w:rPr>
          <w:rFonts w:hint="eastAsia" w:ascii="宋体" w:hAnsi="宋体" w:eastAsia="宋体" w:cs="宋体"/>
          <w:color w:val="auto"/>
          <w:kern w:val="0"/>
          <w:szCs w:val="22"/>
          <w:highlight w:val="none"/>
        </w:rPr>
        <w:t>（3）推荐预成交候选人；</w:t>
      </w:r>
    </w:p>
    <w:p w14:paraId="23566203">
      <w:pPr>
        <w:widowControl/>
        <w:adjustRightInd w:val="0"/>
        <w:snapToGrid w:val="0"/>
        <w:spacing w:line="360" w:lineRule="auto"/>
        <w:ind w:firstLine="480" w:firstLineChars="0"/>
        <w:jc w:val="left"/>
        <w:rPr>
          <w:rFonts w:ascii="宋体" w:hAnsi="宋体" w:eastAsia="宋体" w:cs="宋体"/>
          <w:color w:val="auto"/>
          <w:kern w:val="0"/>
          <w:szCs w:val="22"/>
          <w:highlight w:val="none"/>
        </w:rPr>
      </w:pPr>
      <w:r>
        <w:rPr>
          <w:rFonts w:hint="eastAsia" w:ascii="宋体" w:hAnsi="宋体" w:eastAsia="宋体" w:cs="宋体"/>
          <w:color w:val="auto"/>
          <w:kern w:val="0"/>
          <w:szCs w:val="22"/>
          <w:highlight w:val="none"/>
        </w:rPr>
        <w:t>（4）对非法干预评标工作的人员和机构进行举报或投诉。</w:t>
      </w:r>
    </w:p>
    <w:p w14:paraId="7742B355">
      <w:pPr>
        <w:widowControl w:val="0"/>
        <w:adjustRightInd/>
        <w:snapToGrid/>
        <w:spacing w:line="360" w:lineRule="auto"/>
        <w:ind w:firstLine="480" w:firstLineChars="200"/>
        <w:jc w:val="both"/>
        <w:rPr>
          <w:rFonts w:ascii="宋体" w:hAnsi="宋体" w:eastAsia="宋体" w:cs="宋体"/>
          <w:color w:val="auto"/>
          <w:sz w:val="24"/>
          <w:szCs w:val="28"/>
          <w:highlight w:val="none"/>
          <w:lang w:val="en-US" w:eastAsia="zh-CN" w:bidi="ar-SA"/>
        </w:rPr>
      </w:pPr>
      <w:r>
        <w:rPr>
          <w:rFonts w:hint="eastAsia" w:ascii="宋体" w:hAnsi="宋体" w:eastAsia="宋体" w:cs="宋体"/>
          <w:color w:val="auto"/>
          <w:sz w:val="24"/>
          <w:szCs w:val="24"/>
          <w:highlight w:val="none"/>
          <w:lang w:val="en-US" w:eastAsia="zh-CN" w:bidi="ar-SA"/>
        </w:rPr>
        <w:t>19.6 磋商小组应遵守并履行下列</w:t>
      </w:r>
      <w:r>
        <w:rPr>
          <w:rFonts w:hint="eastAsia" w:ascii="宋体" w:hAnsi="宋体" w:eastAsia="宋体" w:cs="宋体"/>
          <w:b/>
          <w:bCs/>
          <w:color w:val="auto"/>
          <w:sz w:val="24"/>
          <w:szCs w:val="24"/>
          <w:highlight w:val="none"/>
          <w:lang w:val="en-US" w:eastAsia="zh-CN" w:bidi="ar-SA"/>
        </w:rPr>
        <w:t>义务</w:t>
      </w:r>
      <w:r>
        <w:rPr>
          <w:rFonts w:hint="eastAsia" w:ascii="宋体" w:hAnsi="宋体" w:eastAsia="宋体" w:cs="宋体"/>
          <w:color w:val="auto"/>
          <w:sz w:val="24"/>
          <w:szCs w:val="28"/>
          <w:highlight w:val="none"/>
          <w:lang w:val="en-US" w:eastAsia="zh-CN" w:bidi="ar-SA"/>
        </w:rPr>
        <w:t>：</w:t>
      </w:r>
    </w:p>
    <w:p w14:paraId="166015A1">
      <w:pPr>
        <w:widowControl/>
        <w:adjustRightInd w:val="0"/>
        <w:snapToGrid w:val="0"/>
        <w:spacing w:line="360" w:lineRule="auto"/>
        <w:ind w:firstLine="480" w:firstLineChars="0"/>
        <w:jc w:val="left"/>
        <w:rPr>
          <w:rFonts w:ascii="宋体" w:hAnsi="宋体" w:eastAsia="宋体" w:cs="宋体"/>
          <w:color w:val="auto"/>
          <w:kern w:val="0"/>
          <w:szCs w:val="22"/>
          <w:highlight w:val="none"/>
        </w:rPr>
      </w:pPr>
      <w:r>
        <w:rPr>
          <w:rFonts w:hint="eastAsia" w:ascii="宋体" w:hAnsi="宋体" w:eastAsia="宋体" w:cs="宋体"/>
          <w:color w:val="auto"/>
          <w:kern w:val="0"/>
          <w:szCs w:val="22"/>
          <w:highlight w:val="none"/>
        </w:rPr>
        <w:t>（1）遵纪守法，客观、公正、廉洁地履行职责；</w:t>
      </w:r>
    </w:p>
    <w:p w14:paraId="08F3365B">
      <w:pPr>
        <w:widowControl/>
        <w:adjustRightInd w:val="0"/>
        <w:snapToGrid w:val="0"/>
        <w:spacing w:line="360" w:lineRule="auto"/>
        <w:ind w:firstLine="480" w:firstLineChars="0"/>
        <w:jc w:val="left"/>
        <w:rPr>
          <w:rFonts w:ascii="宋体" w:hAnsi="宋体" w:eastAsia="宋体" w:cs="宋体"/>
          <w:color w:val="auto"/>
          <w:kern w:val="0"/>
          <w:szCs w:val="22"/>
          <w:highlight w:val="none"/>
        </w:rPr>
      </w:pPr>
      <w:r>
        <w:rPr>
          <w:rFonts w:hint="eastAsia" w:ascii="宋体" w:hAnsi="宋体" w:eastAsia="宋体" w:cs="宋体"/>
          <w:color w:val="auto"/>
          <w:kern w:val="0"/>
          <w:szCs w:val="22"/>
          <w:highlight w:val="none"/>
        </w:rPr>
        <w:t>（2）按照磋商文件规定的评审方法和评审标准进行评审，对评审意见承担磋商小组成员责任；</w:t>
      </w:r>
    </w:p>
    <w:p w14:paraId="3A2EE2DA">
      <w:pPr>
        <w:widowControl/>
        <w:adjustRightInd w:val="0"/>
        <w:snapToGrid w:val="0"/>
        <w:spacing w:line="360" w:lineRule="auto"/>
        <w:ind w:firstLine="480" w:firstLineChars="0"/>
        <w:jc w:val="left"/>
        <w:rPr>
          <w:rFonts w:ascii="宋体" w:hAnsi="宋体" w:eastAsia="宋体" w:cs="宋体"/>
          <w:color w:val="auto"/>
          <w:kern w:val="0"/>
          <w:szCs w:val="22"/>
          <w:highlight w:val="none"/>
        </w:rPr>
      </w:pPr>
      <w:r>
        <w:rPr>
          <w:rFonts w:hint="eastAsia" w:ascii="宋体" w:hAnsi="宋体" w:eastAsia="宋体" w:cs="宋体"/>
          <w:color w:val="auto"/>
          <w:kern w:val="0"/>
          <w:szCs w:val="22"/>
          <w:highlight w:val="none"/>
        </w:rPr>
        <w:t>（3）对磋商响应文件、磋商情况和磋商中获悉的商业秘密保密；</w:t>
      </w:r>
    </w:p>
    <w:p w14:paraId="72EEC623">
      <w:pPr>
        <w:widowControl/>
        <w:adjustRightInd w:val="0"/>
        <w:snapToGrid w:val="0"/>
        <w:spacing w:line="360" w:lineRule="auto"/>
        <w:ind w:firstLine="480" w:firstLineChars="0"/>
        <w:jc w:val="left"/>
        <w:rPr>
          <w:rFonts w:ascii="宋体" w:hAnsi="宋体" w:eastAsia="宋体" w:cs="宋体"/>
          <w:color w:val="auto"/>
          <w:kern w:val="0"/>
          <w:szCs w:val="22"/>
          <w:highlight w:val="none"/>
        </w:rPr>
      </w:pPr>
      <w:r>
        <w:rPr>
          <w:rFonts w:hint="eastAsia" w:ascii="宋体" w:hAnsi="宋体" w:eastAsia="宋体" w:cs="宋体"/>
          <w:color w:val="auto"/>
          <w:kern w:val="0"/>
          <w:szCs w:val="22"/>
          <w:highlight w:val="none"/>
        </w:rPr>
        <w:t>（4）参与磋商报告的起草；</w:t>
      </w:r>
    </w:p>
    <w:p w14:paraId="32BAC657">
      <w:pPr>
        <w:widowControl/>
        <w:adjustRightInd w:val="0"/>
        <w:snapToGrid w:val="0"/>
        <w:spacing w:line="360" w:lineRule="auto"/>
        <w:ind w:firstLine="480" w:firstLineChars="0"/>
        <w:jc w:val="left"/>
        <w:rPr>
          <w:rFonts w:ascii="宋体" w:hAnsi="宋体" w:eastAsia="宋体" w:cs="宋体"/>
          <w:color w:val="auto"/>
          <w:kern w:val="0"/>
          <w:szCs w:val="22"/>
          <w:highlight w:val="none"/>
        </w:rPr>
      </w:pPr>
      <w:r>
        <w:rPr>
          <w:rFonts w:hint="eastAsia" w:ascii="宋体" w:hAnsi="宋体" w:eastAsia="宋体" w:cs="宋体"/>
          <w:color w:val="auto"/>
          <w:kern w:val="0"/>
          <w:szCs w:val="22"/>
          <w:highlight w:val="none"/>
        </w:rPr>
        <w:t>（5）解答供应商及有关方面的质疑；</w:t>
      </w:r>
    </w:p>
    <w:p w14:paraId="6000A65E">
      <w:pPr>
        <w:widowControl/>
        <w:adjustRightInd w:val="0"/>
        <w:snapToGrid w:val="0"/>
        <w:spacing w:line="360" w:lineRule="auto"/>
        <w:ind w:firstLine="480" w:firstLineChars="0"/>
        <w:jc w:val="left"/>
        <w:rPr>
          <w:rFonts w:ascii="宋体" w:hAnsi="宋体" w:eastAsia="宋体" w:cs="宋体"/>
          <w:color w:val="auto"/>
          <w:kern w:val="0"/>
          <w:szCs w:val="22"/>
          <w:highlight w:val="none"/>
        </w:rPr>
      </w:pPr>
      <w:r>
        <w:rPr>
          <w:rFonts w:hint="eastAsia" w:ascii="宋体" w:hAnsi="宋体" w:eastAsia="宋体" w:cs="宋体"/>
          <w:color w:val="auto"/>
          <w:kern w:val="0"/>
          <w:szCs w:val="22"/>
          <w:highlight w:val="none"/>
        </w:rPr>
        <w:t>（6）配合纪检部门进行投诉处理工作。</w:t>
      </w:r>
    </w:p>
    <w:p w14:paraId="719F6074">
      <w:pPr>
        <w:widowControl/>
        <w:adjustRightInd w:val="0"/>
        <w:snapToGrid w:val="0"/>
        <w:spacing w:line="360" w:lineRule="auto"/>
        <w:ind w:firstLine="480" w:firstLineChars="0"/>
        <w:jc w:val="left"/>
        <w:rPr>
          <w:rFonts w:ascii="宋体" w:hAnsi="宋体" w:eastAsia="宋体" w:cs="宋体"/>
          <w:color w:val="auto"/>
          <w:kern w:val="0"/>
          <w:szCs w:val="22"/>
          <w:highlight w:val="none"/>
        </w:rPr>
      </w:pPr>
      <w:bookmarkStart w:id="182" w:name="_Toc18298"/>
      <w:bookmarkStart w:id="183" w:name="_Toc27086"/>
      <w:bookmarkStart w:id="184" w:name="_Toc376936754"/>
      <w:bookmarkStart w:id="185" w:name="_Toc325726023"/>
      <w:bookmarkStart w:id="186" w:name="_Toc14694"/>
      <w:r>
        <w:rPr>
          <w:rFonts w:hint="eastAsia" w:ascii="宋体" w:hAnsi="宋体" w:eastAsia="宋体" w:cs="宋体"/>
          <w:color w:val="auto"/>
          <w:kern w:val="0"/>
          <w:szCs w:val="22"/>
          <w:highlight w:val="none"/>
        </w:rPr>
        <w:t>1</w:t>
      </w:r>
      <w:r>
        <w:rPr>
          <w:rFonts w:hint="eastAsia" w:ascii="宋体" w:hAnsi="宋体" w:eastAsia="宋体" w:cs="宋体"/>
          <w:color w:val="auto"/>
          <w:kern w:val="0"/>
          <w:szCs w:val="22"/>
          <w:highlight w:val="none"/>
          <w:lang w:val="en-US" w:eastAsia="zh-CN"/>
        </w:rPr>
        <w:t>9</w:t>
      </w:r>
      <w:r>
        <w:rPr>
          <w:rFonts w:hint="eastAsia" w:ascii="宋体" w:hAnsi="宋体" w:eastAsia="宋体" w:cs="宋体"/>
          <w:color w:val="auto"/>
          <w:kern w:val="0"/>
          <w:szCs w:val="22"/>
          <w:highlight w:val="none"/>
        </w:rPr>
        <w:t>.7磋商小组所有成员应当集中与单一供应商分别进行磋商，并给予所有参加磋商的供应商平等的磋商机会。</w:t>
      </w:r>
    </w:p>
    <w:p w14:paraId="1A17573A">
      <w:pPr>
        <w:widowControl/>
        <w:adjustRightInd w:val="0"/>
        <w:snapToGrid w:val="0"/>
        <w:spacing w:line="360" w:lineRule="auto"/>
        <w:ind w:firstLine="480" w:firstLineChars="0"/>
        <w:jc w:val="left"/>
        <w:rPr>
          <w:color w:val="auto"/>
          <w:highlight w:val="none"/>
        </w:rPr>
      </w:pPr>
      <w:r>
        <w:rPr>
          <w:rFonts w:hint="eastAsia" w:ascii="宋体" w:hAnsi="宋体" w:eastAsia="宋体" w:cs="宋体"/>
          <w:color w:val="auto"/>
          <w:kern w:val="0"/>
          <w:szCs w:val="22"/>
          <w:highlight w:val="none"/>
        </w:rPr>
        <w:t>1</w:t>
      </w:r>
      <w:r>
        <w:rPr>
          <w:rFonts w:hint="eastAsia" w:ascii="宋体" w:hAnsi="宋体" w:eastAsia="宋体" w:cs="宋体"/>
          <w:color w:val="auto"/>
          <w:kern w:val="0"/>
          <w:szCs w:val="22"/>
          <w:highlight w:val="none"/>
          <w:lang w:val="en-US" w:eastAsia="zh-CN"/>
        </w:rPr>
        <w:t>9</w:t>
      </w:r>
      <w:r>
        <w:rPr>
          <w:rFonts w:hint="eastAsia" w:ascii="宋体" w:hAnsi="宋体" w:eastAsia="宋体" w:cs="宋体"/>
          <w:color w:val="auto"/>
          <w:kern w:val="0"/>
          <w:szCs w:val="22"/>
          <w:highlight w:val="none"/>
        </w:rPr>
        <w:t>.8磋商工作在有关部门的监督和严格保密的情况下依法开展，任何单位和个人不得非法干预、影响磋商工作和磋商结果。</w:t>
      </w:r>
    </w:p>
    <w:p w14:paraId="6EB6A2FA">
      <w:pPr>
        <w:widowControl/>
        <w:adjustRightInd w:val="0"/>
        <w:snapToGrid w:val="0"/>
        <w:spacing w:line="360" w:lineRule="auto"/>
        <w:ind w:firstLine="0" w:firstLineChars="0"/>
        <w:jc w:val="left"/>
        <w:outlineLvl w:val="2"/>
        <w:rPr>
          <w:rFonts w:hint="eastAsia" w:ascii="宋体" w:hAnsi="宋体" w:eastAsia="宋体" w:cs="宋体"/>
          <w:b/>
          <w:bCs/>
          <w:color w:val="auto"/>
          <w:kern w:val="2"/>
          <w:sz w:val="24"/>
          <w:szCs w:val="24"/>
          <w:highlight w:val="none"/>
          <w:lang w:val="zh-CN"/>
        </w:rPr>
      </w:pPr>
      <w:bookmarkStart w:id="187" w:name="_Toc59135332"/>
      <w:bookmarkStart w:id="188" w:name="_Toc29817"/>
      <w:bookmarkStart w:id="189" w:name="_Toc17387"/>
      <w:bookmarkStart w:id="190" w:name="_Toc20325"/>
      <w:r>
        <w:rPr>
          <w:rFonts w:hint="eastAsia" w:ascii="宋体" w:hAnsi="宋体" w:eastAsia="宋体" w:cs="宋体"/>
          <w:b/>
          <w:bCs/>
          <w:color w:val="auto"/>
          <w:kern w:val="2"/>
          <w:sz w:val="24"/>
          <w:szCs w:val="24"/>
          <w:highlight w:val="none"/>
          <w:lang w:val="en-US" w:eastAsia="zh-CN"/>
        </w:rPr>
        <w:t>20</w:t>
      </w:r>
      <w:r>
        <w:rPr>
          <w:rFonts w:hint="eastAsia" w:ascii="宋体" w:hAnsi="宋体" w:eastAsia="宋体" w:cs="宋体"/>
          <w:b/>
          <w:bCs/>
          <w:color w:val="auto"/>
          <w:kern w:val="2"/>
          <w:sz w:val="24"/>
          <w:szCs w:val="24"/>
          <w:highlight w:val="none"/>
          <w:lang w:val="zh-CN"/>
        </w:rPr>
        <w:t>.磋商程序</w:t>
      </w:r>
      <w:bookmarkEnd w:id="182"/>
      <w:bookmarkEnd w:id="183"/>
      <w:bookmarkEnd w:id="184"/>
      <w:bookmarkEnd w:id="185"/>
      <w:bookmarkEnd w:id="186"/>
      <w:bookmarkEnd w:id="187"/>
      <w:bookmarkEnd w:id="188"/>
      <w:bookmarkEnd w:id="189"/>
      <w:bookmarkEnd w:id="190"/>
    </w:p>
    <w:p w14:paraId="4D34B440">
      <w:pPr>
        <w:widowControl/>
        <w:adjustRightInd w:val="0"/>
        <w:snapToGrid w:val="0"/>
        <w:spacing w:line="360" w:lineRule="auto"/>
        <w:ind w:firstLine="480" w:firstLineChars="0"/>
        <w:jc w:val="both"/>
        <w:rPr>
          <w:rFonts w:ascii="宋体" w:hAnsi="宋体" w:eastAsia="宋体" w:cs="宋体"/>
          <w:color w:val="auto"/>
          <w:kern w:val="0"/>
          <w:szCs w:val="22"/>
          <w:highlight w:val="none"/>
        </w:rPr>
      </w:pPr>
      <w:r>
        <w:rPr>
          <w:rFonts w:hint="eastAsia" w:ascii="宋体" w:hAnsi="宋体" w:eastAsia="宋体" w:cs="宋体"/>
          <w:color w:val="auto"/>
          <w:kern w:val="0"/>
          <w:szCs w:val="20"/>
          <w:highlight w:val="none"/>
          <w:lang w:val="en-US" w:eastAsia="zh-CN"/>
        </w:rPr>
        <w:t>20</w:t>
      </w:r>
      <w:r>
        <w:rPr>
          <w:rFonts w:hint="eastAsia" w:ascii="宋体" w:hAnsi="宋体" w:eastAsia="宋体" w:cs="宋体"/>
          <w:color w:val="auto"/>
          <w:kern w:val="0"/>
          <w:szCs w:val="20"/>
          <w:highlight w:val="none"/>
        </w:rPr>
        <w:t>.1</w:t>
      </w:r>
      <w:r>
        <w:rPr>
          <w:rFonts w:hint="eastAsia" w:ascii="宋体" w:hAnsi="宋体" w:eastAsia="宋体" w:cs="宋体"/>
          <w:color w:val="auto"/>
          <w:kern w:val="0"/>
          <w:szCs w:val="22"/>
          <w:highlight w:val="none"/>
        </w:rPr>
        <w:t>进入磋商阶段后，磋商小组成员按照客观、公正、审慎的原则，根据磋商文件规定的评审程序、评审方法和评审标准进行独立开展评审工作，负责审议所有磋商响应文件，并按先初审、后复审的程序对磋商响应文件进行评审、评分。</w:t>
      </w:r>
    </w:p>
    <w:p w14:paraId="47440F6F">
      <w:pPr>
        <w:widowControl/>
        <w:adjustRightInd w:val="0"/>
        <w:snapToGrid w:val="0"/>
        <w:spacing w:line="360" w:lineRule="auto"/>
        <w:ind w:firstLine="480" w:firstLineChars="0"/>
        <w:jc w:val="both"/>
        <w:rPr>
          <w:rFonts w:ascii="宋体" w:hAnsi="宋体" w:eastAsia="宋体" w:cs="宋体"/>
          <w:color w:val="auto"/>
          <w:kern w:val="0"/>
          <w:szCs w:val="22"/>
          <w:highlight w:val="none"/>
        </w:rPr>
      </w:pPr>
      <w:r>
        <w:rPr>
          <w:rFonts w:hint="eastAsia" w:ascii="宋体" w:hAnsi="宋体" w:eastAsia="宋体" w:cs="宋体"/>
          <w:color w:val="auto"/>
          <w:kern w:val="0"/>
          <w:szCs w:val="22"/>
          <w:highlight w:val="none"/>
          <w:lang w:val="en-US" w:eastAsia="zh-CN"/>
        </w:rPr>
        <w:t>20</w:t>
      </w:r>
      <w:r>
        <w:rPr>
          <w:rFonts w:hint="eastAsia" w:ascii="宋体" w:hAnsi="宋体" w:eastAsia="宋体" w:cs="宋体"/>
          <w:color w:val="auto"/>
          <w:kern w:val="0"/>
          <w:szCs w:val="22"/>
          <w:highlight w:val="none"/>
        </w:rPr>
        <w:t>.2初审阶段为资格性审查和符合性审查。磋商响应文件在响应磋商文件要求方面出现的偏离，分为实质性偏离和非实质性偏离。</w:t>
      </w:r>
    </w:p>
    <w:p w14:paraId="4DF36AF6">
      <w:pPr>
        <w:widowControl/>
        <w:adjustRightInd w:val="0"/>
        <w:snapToGrid w:val="0"/>
        <w:spacing w:line="360" w:lineRule="auto"/>
        <w:ind w:firstLine="480" w:firstLineChars="0"/>
        <w:jc w:val="both"/>
        <w:rPr>
          <w:rFonts w:ascii="宋体" w:hAnsi="宋体" w:eastAsia="宋体" w:cs="宋体"/>
          <w:color w:val="auto"/>
          <w:kern w:val="0"/>
          <w:szCs w:val="22"/>
          <w:highlight w:val="none"/>
        </w:rPr>
      </w:pPr>
      <w:r>
        <w:rPr>
          <w:rFonts w:hint="eastAsia" w:ascii="宋体" w:hAnsi="宋体" w:eastAsia="宋体" w:cs="宋体"/>
          <w:color w:val="auto"/>
          <w:kern w:val="0"/>
          <w:szCs w:val="22"/>
          <w:highlight w:val="none"/>
          <w:lang w:val="en-US" w:eastAsia="zh-CN"/>
        </w:rPr>
        <w:t>20</w:t>
      </w:r>
      <w:r>
        <w:rPr>
          <w:rFonts w:hint="eastAsia" w:ascii="宋体" w:hAnsi="宋体" w:eastAsia="宋体" w:cs="宋体"/>
          <w:color w:val="auto"/>
          <w:kern w:val="0"/>
          <w:szCs w:val="22"/>
          <w:highlight w:val="none"/>
        </w:rPr>
        <w:t>.2.1磋商响应文件在响应磋商文件要求方面出现的偏离，分为实质性偏离和非实质性偏离。实质性偏离是指磋商响应文件未能实质性响应磋商文件的要求。以下情况属于实质性偏离，磋商响应文件有下列情况之一的，按无效响应处理。</w:t>
      </w:r>
    </w:p>
    <w:p w14:paraId="5082CA9F">
      <w:pPr>
        <w:widowControl w:val="0"/>
        <w:numPr>
          <w:ilvl w:val="0"/>
          <w:numId w:val="9"/>
        </w:numPr>
        <w:adjustRightInd w:val="0"/>
        <w:snapToGrid w:val="0"/>
        <w:spacing w:line="360" w:lineRule="auto"/>
        <w:ind w:left="705" w:hanging="465" w:firstLineChars="0"/>
        <w:jc w:val="left"/>
        <w:rPr>
          <w:rFonts w:ascii="宋体" w:hAnsi="宋体" w:eastAsia="宋体" w:cs="宋体"/>
          <w:b/>
          <w:bCs/>
          <w:color w:val="auto"/>
          <w:kern w:val="0"/>
          <w:szCs w:val="22"/>
          <w:highlight w:val="none"/>
        </w:rPr>
      </w:pPr>
      <w:r>
        <w:rPr>
          <w:rFonts w:hint="eastAsia" w:ascii="宋体" w:hAnsi="宋体" w:eastAsia="宋体" w:cs="宋体"/>
          <w:b/>
          <w:bCs/>
          <w:color w:val="auto"/>
          <w:kern w:val="0"/>
          <w:szCs w:val="22"/>
          <w:highlight w:val="none"/>
        </w:rPr>
        <w:t>磋商响应文件（下册）内容没有按磋商文件规定和要求签字、盖章的；</w:t>
      </w:r>
    </w:p>
    <w:p w14:paraId="6FAECDAF">
      <w:pPr>
        <w:widowControl w:val="0"/>
        <w:numPr>
          <w:ilvl w:val="0"/>
          <w:numId w:val="9"/>
        </w:numPr>
        <w:adjustRightInd w:val="0"/>
        <w:snapToGrid w:val="0"/>
        <w:spacing w:line="360" w:lineRule="auto"/>
        <w:ind w:left="705" w:hanging="465" w:firstLineChars="0"/>
        <w:jc w:val="left"/>
        <w:rPr>
          <w:rFonts w:hint="eastAsia" w:ascii="宋体" w:hAnsi="宋体" w:eastAsia="宋体" w:cs="宋体"/>
          <w:b/>
          <w:bCs/>
          <w:color w:val="auto"/>
          <w:kern w:val="0"/>
          <w:szCs w:val="22"/>
          <w:highlight w:val="none"/>
          <w:lang w:val="en-US" w:eastAsia="zh-CN"/>
        </w:rPr>
      </w:pPr>
      <w:r>
        <w:rPr>
          <w:rFonts w:hint="eastAsia" w:ascii="宋体" w:hAnsi="宋体" w:eastAsia="宋体" w:cs="宋体"/>
          <w:b/>
          <w:bCs/>
          <w:color w:val="auto"/>
          <w:kern w:val="0"/>
          <w:szCs w:val="22"/>
          <w:highlight w:val="none"/>
          <w:lang w:val="en-US" w:eastAsia="zh-CN"/>
        </w:rPr>
        <w:t>报价超过磋商文件中规定的预算金额或者最高限价的；</w:t>
      </w:r>
    </w:p>
    <w:p w14:paraId="69BB68DF">
      <w:pPr>
        <w:widowControl w:val="0"/>
        <w:numPr>
          <w:ilvl w:val="0"/>
          <w:numId w:val="9"/>
        </w:numPr>
        <w:adjustRightInd w:val="0"/>
        <w:snapToGrid w:val="0"/>
        <w:spacing w:line="360" w:lineRule="auto"/>
        <w:ind w:left="705" w:hanging="465" w:firstLineChars="0"/>
        <w:jc w:val="left"/>
        <w:rPr>
          <w:rFonts w:hint="eastAsia" w:ascii="宋体" w:hAnsi="宋体" w:eastAsia="宋体" w:cs="宋体"/>
          <w:b/>
          <w:bCs/>
          <w:color w:val="auto"/>
          <w:kern w:val="0"/>
          <w:szCs w:val="22"/>
          <w:highlight w:val="none"/>
        </w:rPr>
      </w:pPr>
      <w:r>
        <w:rPr>
          <w:rFonts w:hint="eastAsia" w:ascii="宋体" w:hAnsi="宋体" w:eastAsia="宋体" w:cs="宋体"/>
          <w:b/>
          <w:bCs/>
          <w:color w:val="auto"/>
          <w:kern w:val="0"/>
          <w:szCs w:val="22"/>
          <w:highlight w:val="none"/>
        </w:rPr>
        <w:t>磋商响应文件编排混乱，且擅自修改磋商文件规定的格式内容的；</w:t>
      </w:r>
    </w:p>
    <w:p w14:paraId="0292348A">
      <w:pPr>
        <w:widowControl w:val="0"/>
        <w:numPr>
          <w:ilvl w:val="0"/>
          <w:numId w:val="9"/>
        </w:numPr>
        <w:adjustRightInd w:val="0"/>
        <w:snapToGrid w:val="0"/>
        <w:spacing w:line="360" w:lineRule="auto"/>
        <w:ind w:left="705" w:hanging="465" w:firstLineChars="0"/>
        <w:jc w:val="left"/>
        <w:rPr>
          <w:rFonts w:hint="eastAsia" w:ascii="宋体" w:hAnsi="宋体" w:eastAsia="宋体" w:cs="宋体"/>
          <w:b/>
          <w:bCs/>
          <w:color w:val="auto"/>
          <w:kern w:val="0"/>
          <w:szCs w:val="22"/>
          <w:highlight w:val="none"/>
        </w:rPr>
      </w:pPr>
      <w:r>
        <w:rPr>
          <w:rFonts w:hint="eastAsia" w:ascii="宋体" w:hAnsi="宋体" w:eastAsia="宋体" w:cs="宋体"/>
          <w:b/>
          <w:bCs/>
          <w:color w:val="auto"/>
          <w:kern w:val="0"/>
          <w:szCs w:val="22"/>
          <w:highlight w:val="none"/>
          <w:lang w:eastAsia="zh-CN"/>
        </w:rPr>
        <w:t>服务期</w:t>
      </w:r>
      <w:r>
        <w:rPr>
          <w:rFonts w:hint="eastAsia" w:ascii="宋体" w:hAnsi="宋体" w:eastAsia="宋体" w:cs="宋体"/>
          <w:b/>
          <w:bCs/>
          <w:color w:val="auto"/>
          <w:kern w:val="0"/>
          <w:szCs w:val="22"/>
          <w:highlight w:val="none"/>
        </w:rPr>
        <w:t>、磋商有效期不能满足磋商文件要求的；</w:t>
      </w:r>
    </w:p>
    <w:p w14:paraId="2E13AC42">
      <w:pPr>
        <w:widowControl w:val="0"/>
        <w:numPr>
          <w:ilvl w:val="0"/>
          <w:numId w:val="9"/>
        </w:numPr>
        <w:adjustRightInd w:val="0"/>
        <w:snapToGrid w:val="0"/>
        <w:spacing w:line="360" w:lineRule="auto"/>
        <w:ind w:left="705" w:hanging="465" w:firstLineChars="0"/>
        <w:jc w:val="left"/>
        <w:rPr>
          <w:rFonts w:hint="eastAsia" w:ascii="宋体" w:hAnsi="宋体" w:eastAsia="宋体" w:cs="宋体"/>
          <w:b/>
          <w:bCs/>
          <w:color w:val="auto"/>
          <w:kern w:val="0"/>
          <w:szCs w:val="22"/>
          <w:highlight w:val="none"/>
        </w:rPr>
      </w:pPr>
      <w:r>
        <w:rPr>
          <w:rFonts w:hint="eastAsia" w:ascii="宋体" w:hAnsi="宋体" w:eastAsia="宋体" w:cs="宋体"/>
          <w:b/>
          <w:bCs/>
          <w:color w:val="auto"/>
          <w:kern w:val="0"/>
          <w:szCs w:val="22"/>
          <w:highlight w:val="none"/>
        </w:rPr>
        <w:t>磋商项目的响应内容明显不符合采购项目要求的；</w:t>
      </w:r>
    </w:p>
    <w:p w14:paraId="31429909">
      <w:pPr>
        <w:widowControl w:val="0"/>
        <w:numPr>
          <w:ilvl w:val="0"/>
          <w:numId w:val="9"/>
        </w:numPr>
        <w:adjustRightInd w:val="0"/>
        <w:snapToGrid w:val="0"/>
        <w:spacing w:line="360" w:lineRule="auto"/>
        <w:ind w:left="705" w:hanging="465" w:firstLineChars="0"/>
        <w:jc w:val="left"/>
        <w:rPr>
          <w:rFonts w:hint="eastAsia" w:ascii="宋体" w:hAnsi="宋体" w:eastAsia="宋体" w:cs="宋体"/>
          <w:b/>
          <w:bCs/>
          <w:color w:val="auto"/>
          <w:kern w:val="0"/>
          <w:szCs w:val="22"/>
          <w:highlight w:val="none"/>
        </w:rPr>
      </w:pPr>
      <w:r>
        <w:rPr>
          <w:rFonts w:hint="eastAsia" w:ascii="宋体" w:hAnsi="宋体" w:eastAsia="宋体" w:cs="宋体"/>
          <w:b/>
          <w:bCs/>
          <w:color w:val="auto"/>
          <w:kern w:val="0"/>
          <w:szCs w:val="22"/>
          <w:highlight w:val="none"/>
        </w:rPr>
        <w:t>磋商响应文件中附有采购人不能接受的条件的；</w:t>
      </w:r>
    </w:p>
    <w:p w14:paraId="338AC868">
      <w:pPr>
        <w:widowControl w:val="0"/>
        <w:numPr>
          <w:ilvl w:val="0"/>
          <w:numId w:val="9"/>
        </w:numPr>
        <w:adjustRightInd w:val="0"/>
        <w:snapToGrid w:val="0"/>
        <w:spacing w:line="360" w:lineRule="auto"/>
        <w:ind w:left="705" w:hanging="465" w:firstLineChars="0"/>
        <w:jc w:val="left"/>
        <w:rPr>
          <w:rFonts w:hint="eastAsia" w:ascii="宋体" w:hAnsi="宋体" w:eastAsia="宋体" w:cs="宋体"/>
          <w:b/>
          <w:bCs/>
          <w:color w:val="auto"/>
          <w:kern w:val="0"/>
          <w:szCs w:val="22"/>
          <w:highlight w:val="none"/>
        </w:rPr>
      </w:pPr>
      <w:r>
        <w:rPr>
          <w:rFonts w:hint="eastAsia" w:ascii="宋体" w:hAnsi="宋体" w:eastAsia="宋体" w:cs="宋体"/>
          <w:b/>
          <w:bCs/>
          <w:color w:val="auto"/>
          <w:kern w:val="0"/>
          <w:szCs w:val="22"/>
          <w:highlight w:val="none"/>
        </w:rPr>
        <w:t>磋商小组认为应按无效响应处理的其他情况；</w:t>
      </w:r>
    </w:p>
    <w:p w14:paraId="2D010F49">
      <w:pPr>
        <w:widowControl w:val="0"/>
        <w:numPr>
          <w:ilvl w:val="0"/>
          <w:numId w:val="9"/>
        </w:numPr>
        <w:adjustRightInd w:val="0"/>
        <w:snapToGrid w:val="0"/>
        <w:spacing w:line="360" w:lineRule="auto"/>
        <w:ind w:left="705" w:hanging="465" w:firstLineChars="0"/>
        <w:jc w:val="left"/>
        <w:rPr>
          <w:rFonts w:hint="eastAsia" w:ascii="宋体" w:hAnsi="宋体" w:eastAsia="宋体" w:cs="宋体"/>
          <w:b/>
          <w:bCs/>
          <w:color w:val="auto"/>
          <w:kern w:val="0"/>
          <w:szCs w:val="22"/>
          <w:highlight w:val="none"/>
        </w:rPr>
      </w:pPr>
      <w:r>
        <w:rPr>
          <w:rFonts w:hint="eastAsia" w:ascii="宋体" w:hAnsi="宋体" w:eastAsia="宋体" w:cs="宋体"/>
          <w:b/>
          <w:bCs/>
          <w:color w:val="auto"/>
          <w:kern w:val="0"/>
          <w:szCs w:val="22"/>
          <w:highlight w:val="none"/>
        </w:rPr>
        <w:t>法律、法规规定的其他情形。</w:t>
      </w:r>
    </w:p>
    <w:p w14:paraId="5BD3C1C2">
      <w:pPr>
        <w:widowControl/>
        <w:adjustRightInd w:val="0"/>
        <w:snapToGrid w:val="0"/>
        <w:spacing w:line="360" w:lineRule="auto"/>
        <w:ind w:firstLine="480" w:firstLineChars="0"/>
        <w:jc w:val="both"/>
        <w:rPr>
          <w:rFonts w:hint="eastAsia" w:ascii="宋体" w:hAnsi="宋体" w:eastAsia="宋体" w:cs="宋体"/>
          <w:color w:val="auto"/>
          <w:kern w:val="0"/>
          <w:szCs w:val="22"/>
          <w:highlight w:val="none"/>
        </w:rPr>
      </w:pPr>
      <w:r>
        <w:rPr>
          <w:rFonts w:hint="eastAsia" w:ascii="宋体" w:hAnsi="宋体" w:eastAsia="宋体" w:cs="宋体"/>
          <w:color w:val="auto"/>
          <w:kern w:val="0"/>
          <w:szCs w:val="22"/>
          <w:highlight w:val="none"/>
          <w:lang w:val="en-US" w:eastAsia="zh-CN"/>
        </w:rPr>
        <w:t>20</w:t>
      </w:r>
      <w:r>
        <w:rPr>
          <w:rFonts w:hint="eastAsia" w:ascii="宋体" w:hAnsi="宋体" w:eastAsia="宋体" w:cs="宋体"/>
          <w:color w:val="auto"/>
          <w:kern w:val="0"/>
          <w:szCs w:val="22"/>
          <w:highlight w:val="none"/>
        </w:rPr>
        <w:t>.2.2非实质性偏离是对磋商响应文件的有效性、完整性和响应程度进行审查时，可以要求供应商对磋商响应文件中含义不明确、同类问题表述不一致或者明显文字和计算错误的内容作出必要的澄清、说明或者补正后这些内容不会改变磋商响应文件的实质性。以下情况属于非实质性偏离：</w:t>
      </w:r>
    </w:p>
    <w:p w14:paraId="48F98D15">
      <w:pPr>
        <w:widowControl/>
        <w:adjustRightInd w:val="0"/>
        <w:snapToGrid w:val="0"/>
        <w:spacing w:line="360" w:lineRule="auto"/>
        <w:ind w:firstLine="480" w:firstLineChars="0"/>
        <w:jc w:val="left"/>
        <w:rPr>
          <w:rFonts w:ascii="宋体" w:hAnsi="宋体" w:eastAsia="宋体" w:cs="宋体"/>
          <w:color w:val="auto"/>
          <w:kern w:val="0"/>
          <w:szCs w:val="22"/>
          <w:highlight w:val="none"/>
        </w:rPr>
      </w:pPr>
      <w:r>
        <w:rPr>
          <w:rFonts w:hint="eastAsia" w:ascii="宋体" w:hAnsi="宋体" w:eastAsia="宋体" w:cs="宋体"/>
          <w:color w:val="auto"/>
          <w:kern w:val="0"/>
          <w:szCs w:val="22"/>
          <w:highlight w:val="none"/>
        </w:rPr>
        <w:t>（1） 磋商响应文件文字表述的内容含义不明确；</w:t>
      </w:r>
    </w:p>
    <w:p w14:paraId="415D2E1F">
      <w:pPr>
        <w:widowControl/>
        <w:adjustRightInd w:val="0"/>
        <w:snapToGrid w:val="0"/>
        <w:spacing w:line="360" w:lineRule="auto"/>
        <w:ind w:firstLine="480" w:firstLineChars="0"/>
        <w:jc w:val="left"/>
        <w:rPr>
          <w:rFonts w:ascii="宋体" w:hAnsi="宋体" w:eastAsia="宋体" w:cs="宋体"/>
          <w:color w:val="auto"/>
          <w:kern w:val="0"/>
          <w:szCs w:val="22"/>
          <w:highlight w:val="none"/>
        </w:rPr>
      </w:pPr>
      <w:r>
        <w:rPr>
          <w:rFonts w:hint="eastAsia" w:ascii="宋体" w:hAnsi="宋体" w:eastAsia="宋体" w:cs="宋体"/>
          <w:color w:val="auto"/>
          <w:kern w:val="0"/>
          <w:szCs w:val="22"/>
          <w:highlight w:val="none"/>
        </w:rPr>
        <w:t>（2） 同类问题表述不一致；</w:t>
      </w:r>
    </w:p>
    <w:p w14:paraId="757370DD">
      <w:pPr>
        <w:widowControl/>
        <w:adjustRightInd w:val="0"/>
        <w:snapToGrid w:val="0"/>
        <w:spacing w:line="360" w:lineRule="auto"/>
        <w:ind w:firstLine="480" w:firstLineChars="0"/>
        <w:jc w:val="left"/>
        <w:rPr>
          <w:rFonts w:ascii="宋体" w:hAnsi="宋体" w:eastAsia="宋体" w:cs="宋体"/>
          <w:color w:val="auto"/>
          <w:kern w:val="0"/>
          <w:szCs w:val="22"/>
          <w:highlight w:val="none"/>
        </w:rPr>
      </w:pPr>
      <w:r>
        <w:rPr>
          <w:rFonts w:hint="eastAsia" w:ascii="宋体" w:hAnsi="宋体" w:eastAsia="宋体" w:cs="宋体"/>
          <w:color w:val="auto"/>
          <w:kern w:val="0"/>
          <w:szCs w:val="22"/>
          <w:highlight w:val="none"/>
        </w:rPr>
        <w:t>（3） 有明显文字和计算错误；</w:t>
      </w:r>
    </w:p>
    <w:p w14:paraId="5B529C4B">
      <w:pPr>
        <w:widowControl/>
        <w:adjustRightInd w:val="0"/>
        <w:snapToGrid w:val="0"/>
        <w:spacing w:line="360" w:lineRule="auto"/>
        <w:ind w:firstLine="480" w:firstLineChars="0"/>
        <w:jc w:val="left"/>
        <w:rPr>
          <w:rFonts w:ascii="宋体" w:hAnsi="宋体" w:eastAsia="宋体" w:cs="宋体"/>
          <w:color w:val="auto"/>
          <w:kern w:val="0"/>
          <w:szCs w:val="22"/>
          <w:highlight w:val="none"/>
        </w:rPr>
      </w:pPr>
      <w:r>
        <w:rPr>
          <w:rFonts w:hint="eastAsia" w:ascii="宋体" w:hAnsi="宋体" w:eastAsia="宋体" w:cs="宋体"/>
          <w:color w:val="auto"/>
          <w:kern w:val="0"/>
          <w:szCs w:val="22"/>
          <w:highlight w:val="none"/>
        </w:rPr>
        <w:t>（4） 提供的技术信息和数据资料不完整；</w:t>
      </w:r>
    </w:p>
    <w:p w14:paraId="76D14AC9">
      <w:pPr>
        <w:widowControl/>
        <w:adjustRightInd w:val="0"/>
        <w:snapToGrid w:val="0"/>
        <w:spacing w:line="360" w:lineRule="auto"/>
        <w:ind w:firstLine="480" w:firstLineChars="0"/>
        <w:jc w:val="left"/>
        <w:rPr>
          <w:rFonts w:ascii="宋体" w:hAnsi="宋体" w:eastAsia="宋体" w:cs="宋体"/>
          <w:color w:val="auto"/>
          <w:kern w:val="0"/>
          <w:szCs w:val="22"/>
          <w:highlight w:val="none"/>
        </w:rPr>
      </w:pPr>
      <w:r>
        <w:rPr>
          <w:rFonts w:hint="eastAsia" w:ascii="宋体" w:hAnsi="宋体" w:eastAsia="宋体" w:cs="宋体"/>
          <w:color w:val="auto"/>
          <w:kern w:val="0"/>
          <w:szCs w:val="22"/>
          <w:highlight w:val="none"/>
        </w:rPr>
        <w:t>（5） 磋商小组认定的其他非实质性偏离情况。</w:t>
      </w:r>
    </w:p>
    <w:p w14:paraId="2798C7A9">
      <w:pPr>
        <w:widowControl/>
        <w:tabs>
          <w:tab w:val="left" w:pos="8787"/>
        </w:tabs>
        <w:adjustRightInd w:val="0"/>
        <w:snapToGrid w:val="0"/>
        <w:spacing w:line="360" w:lineRule="auto"/>
        <w:ind w:firstLine="480" w:firstLineChars="0"/>
        <w:jc w:val="left"/>
        <w:rPr>
          <w:rFonts w:hint="eastAsia" w:ascii="宋体" w:hAnsi="宋体" w:eastAsia="宋体" w:cs="宋体"/>
          <w:color w:val="auto"/>
          <w:kern w:val="0"/>
          <w:szCs w:val="22"/>
          <w:highlight w:val="none"/>
        </w:rPr>
      </w:pPr>
      <w:r>
        <w:rPr>
          <w:rFonts w:hint="eastAsia" w:ascii="宋体" w:hAnsi="宋体" w:eastAsia="宋体" w:cs="宋体"/>
          <w:color w:val="auto"/>
          <w:kern w:val="0"/>
          <w:szCs w:val="22"/>
          <w:highlight w:val="none"/>
        </w:rPr>
        <w:t>磋商响应文件有上述情形之一的，磋商小组应当要求供应商在规定的时间内予以澄清、说明。澄清说明</w:t>
      </w:r>
      <w:r>
        <w:rPr>
          <w:rFonts w:hint="eastAsia" w:ascii="宋体" w:hAnsi="宋体" w:eastAsia="宋体" w:cs="宋体"/>
          <w:color w:val="auto"/>
          <w:kern w:val="0"/>
          <w:szCs w:val="22"/>
          <w:highlight w:val="none"/>
          <w:lang w:val="en-US" w:eastAsia="zh-CN"/>
        </w:rPr>
        <w:t>由磋商小组通过电子化平台以“评审问题澄清函”形式发布。供应商应当按照磋商文件的变动情况和磋商小组的要求在电子化平台上按规定时间作出响应</w:t>
      </w:r>
      <w:r>
        <w:rPr>
          <w:rFonts w:hint="eastAsia" w:ascii="宋体" w:hAnsi="宋体" w:eastAsia="宋体" w:cs="宋体"/>
          <w:color w:val="auto"/>
          <w:kern w:val="0"/>
          <w:szCs w:val="22"/>
          <w:highlight w:val="none"/>
        </w:rPr>
        <w:t>。该内容不得超出磋商响应文件的范围或者改变磋商响应文件的实质性内容，并作为磋商响应文件的组成部分。答疑期间，供应商拒绝或在规定的时间内未做出澄清、说明，或澄清、说明的内容仍不能说明问题的，磋商小组将按照磋商文件的要求对现有的磋商资料做出评审意见。磋商小组对供应商主动提出的澄清、说明的内容将不予接受。</w:t>
      </w:r>
    </w:p>
    <w:p w14:paraId="07275FC1">
      <w:pPr>
        <w:widowControl/>
        <w:spacing w:before="100" w:beforeAutospacing="1" w:after="100" w:afterAutospacing="1" w:line="240" w:lineRule="auto"/>
        <w:jc w:val="left"/>
        <w:outlineLvl w:val="2"/>
        <w:rPr>
          <w:rFonts w:hint="eastAsia" w:ascii="宋体" w:hAnsi="宋体"/>
          <w:b/>
          <w:bCs/>
          <w:color w:val="auto"/>
          <w:kern w:val="0"/>
          <w:sz w:val="27"/>
          <w:szCs w:val="27"/>
          <w:highlight w:val="none"/>
        </w:rPr>
      </w:pPr>
      <w:bookmarkStart w:id="191" w:name="_Toc496004012"/>
      <w:bookmarkStart w:id="192" w:name="_Toc16968"/>
      <w:bookmarkStart w:id="193" w:name="_Toc7928"/>
      <w:r>
        <w:rPr>
          <w:rFonts w:hint="eastAsia" w:ascii="宋体" w:hAnsi="宋体" w:eastAsia="宋体"/>
          <w:b/>
          <w:bCs/>
          <w:color w:val="auto"/>
          <w:kern w:val="0"/>
          <w:sz w:val="27"/>
          <w:szCs w:val="27"/>
          <w:highlight w:val="none"/>
          <w:lang w:val="en-US" w:eastAsia="zh-CN"/>
        </w:rPr>
        <w:t>21</w:t>
      </w:r>
      <w:r>
        <w:rPr>
          <w:rFonts w:hint="eastAsia" w:ascii="宋体" w:hAnsi="宋体"/>
          <w:b/>
          <w:bCs/>
          <w:color w:val="auto"/>
          <w:kern w:val="0"/>
          <w:sz w:val="27"/>
          <w:szCs w:val="27"/>
          <w:highlight w:val="none"/>
        </w:rPr>
        <w:t>.答疑的方式和情形</w:t>
      </w:r>
      <w:bookmarkEnd w:id="191"/>
      <w:bookmarkEnd w:id="192"/>
      <w:bookmarkEnd w:id="193"/>
    </w:p>
    <w:p w14:paraId="13EB10FE">
      <w:pPr>
        <w:ind w:firstLine="480"/>
        <w:jc w:val="left"/>
        <w:rPr>
          <w:rFonts w:hint="eastAsia" w:ascii="宋体" w:hAnsi="宋体"/>
          <w:color w:val="auto"/>
          <w:highlight w:val="none"/>
        </w:rPr>
      </w:pPr>
      <w:r>
        <w:rPr>
          <w:rFonts w:hint="eastAsia" w:ascii="宋体" w:hAnsi="宋体"/>
          <w:color w:val="auto"/>
          <w:highlight w:val="none"/>
          <w:lang w:val="en-US" w:eastAsia="zh-CN"/>
        </w:rPr>
        <w:t>21</w:t>
      </w:r>
      <w:r>
        <w:rPr>
          <w:rFonts w:hint="eastAsia" w:ascii="宋体" w:hAnsi="宋体"/>
          <w:color w:val="auto"/>
          <w:highlight w:val="none"/>
        </w:rPr>
        <w:t>.1答疑方式：详见第</w:t>
      </w:r>
      <w:r>
        <w:rPr>
          <w:rFonts w:hint="eastAsia" w:ascii="宋体" w:hAnsi="宋体"/>
          <w:color w:val="auto"/>
          <w:highlight w:val="none"/>
          <w:lang w:eastAsia="zh-CN"/>
        </w:rPr>
        <w:t>二</w:t>
      </w:r>
      <w:r>
        <w:rPr>
          <w:rFonts w:hint="eastAsia" w:ascii="宋体" w:hAnsi="宋体"/>
          <w:color w:val="auto"/>
          <w:highlight w:val="none"/>
        </w:rPr>
        <w:t>部分投标人须知前附表“答疑方式”。</w:t>
      </w:r>
    </w:p>
    <w:p w14:paraId="33102D98">
      <w:pPr>
        <w:ind w:firstLine="480"/>
        <w:jc w:val="left"/>
        <w:rPr>
          <w:rFonts w:hint="eastAsia" w:ascii="宋体" w:hAnsi="宋体"/>
          <w:color w:val="auto"/>
          <w:highlight w:val="none"/>
        </w:rPr>
      </w:pPr>
      <w:r>
        <w:rPr>
          <w:rFonts w:hint="eastAsia" w:ascii="宋体" w:hAnsi="宋体"/>
          <w:color w:val="auto"/>
          <w:highlight w:val="none"/>
          <w:lang w:val="en-US" w:eastAsia="zh-CN"/>
        </w:rPr>
        <w:t>21</w:t>
      </w:r>
      <w:r>
        <w:rPr>
          <w:rFonts w:hint="eastAsia" w:ascii="宋体" w:hAnsi="宋体"/>
          <w:color w:val="auto"/>
          <w:highlight w:val="none"/>
        </w:rPr>
        <w:t>.2磋商小组在对磋商响应文件的有效性、完整性和响应程度进行审查时，可以要求供应商对响应文件中含义不明确、同类问题表述不一致</w:t>
      </w:r>
      <w:r>
        <w:rPr>
          <w:color w:val="auto"/>
          <w:highlight w:val="none"/>
        </w:rPr>
        <w:t>、大写金额与小写金额不一致、总价金额与单价汇总金额不一致</w:t>
      </w:r>
      <w:r>
        <w:rPr>
          <w:rFonts w:hint="eastAsia" w:ascii="宋体" w:hAnsi="宋体"/>
          <w:color w:val="auto"/>
          <w:highlight w:val="none"/>
        </w:rPr>
        <w:t>或者有明显文字和计算错误的内容等作出必要的澄清、说明或者更正。供应商的澄清、说明或者更正不得超出磋商响应文件的范围或者改变响应文件的实质性内容，并作为磋商响应文件的组成部分。</w:t>
      </w:r>
    </w:p>
    <w:p w14:paraId="5BC92FFF">
      <w:pPr>
        <w:ind w:firstLine="480"/>
        <w:jc w:val="left"/>
        <w:rPr>
          <w:rFonts w:hint="eastAsia" w:ascii="宋体" w:hAnsi="宋体"/>
          <w:color w:val="auto"/>
          <w:highlight w:val="none"/>
        </w:rPr>
      </w:pPr>
      <w:r>
        <w:rPr>
          <w:rFonts w:hint="eastAsia" w:ascii="宋体" w:hAnsi="宋体"/>
          <w:color w:val="auto"/>
          <w:highlight w:val="none"/>
          <w:lang w:val="en-US" w:eastAsia="zh-CN"/>
        </w:rPr>
        <w:t>21</w:t>
      </w:r>
      <w:r>
        <w:rPr>
          <w:rFonts w:hint="eastAsia" w:ascii="宋体" w:hAnsi="宋体"/>
          <w:color w:val="auto"/>
          <w:highlight w:val="none"/>
        </w:rPr>
        <w:t>.3答疑期间，供应商存在以下情况的，澄清、说明或者更正的内容将不予接受，磋商小组将按照磋商文件的要求对现有的资料做出评审意见：</w:t>
      </w:r>
    </w:p>
    <w:p w14:paraId="63EC944C">
      <w:pPr>
        <w:ind w:firstLine="480"/>
        <w:jc w:val="left"/>
        <w:rPr>
          <w:rFonts w:hint="eastAsia" w:ascii="宋体" w:hAnsi="宋体"/>
          <w:color w:val="auto"/>
          <w:highlight w:val="none"/>
        </w:rPr>
      </w:pPr>
      <w:r>
        <w:rPr>
          <w:rFonts w:hint="eastAsia" w:ascii="宋体" w:hAnsi="宋体"/>
          <w:color w:val="auto"/>
          <w:highlight w:val="none"/>
        </w:rPr>
        <w:t>（1）拒绝或在规定的时间内未做出澄清、说明或者更正；</w:t>
      </w:r>
    </w:p>
    <w:p w14:paraId="7432AAE2">
      <w:pPr>
        <w:ind w:firstLine="480"/>
        <w:jc w:val="left"/>
        <w:rPr>
          <w:rFonts w:hint="eastAsia" w:ascii="宋体" w:hAnsi="宋体"/>
          <w:color w:val="auto"/>
          <w:highlight w:val="none"/>
        </w:rPr>
      </w:pPr>
      <w:r>
        <w:rPr>
          <w:rFonts w:hint="eastAsia" w:ascii="宋体" w:hAnsi="宋体"/>
          <w:color w:val="auto"/>
          <w:highlight w:val="none"/>
        </w:rPr>
        <w:t>（2）</w:t>
      </w:r>
      <w:r>
        <w:rPr>
          <w:rFonts w:hint="eastAsia" w:ascii="Arial" w:hAnsi="Arial" w:cs="Arial"/>
          <w:color w:val="auto"/>
          <w:kern w:val="0"/>
          <w:highlight w:val="none"/>
        </w:rPr>
        <w:t>供应商</w:t>
      </w:r>
      <w:r>
        <w:rPr>
          <w:rFonts w:ascii="Arial" w:hAnsi="Arial" w:cs="Arial"/>
          <w:color w:val="auto"/>
          <w:kern w:val="0"/>
          <w:highlight w:val="none"/>
        </w:rPr>
        <w:t>的澄清、说明或者</w:t>
      </w:r>
      <w:r>
        <w:rPr>
          <w:rFonts w:hint="eastAsia" w:ascii="Arial" w:hAnsi="Arial" w:cs="Arial"/>
          <w:color w:val="auto"/>
          <w:kern w:val="0"/>
          <w:highlight w:val="none"/>
        </w:rPr>
        <w:t>更正</w:t>
      </w:r>
      <w:r>
        <w:rPr>
          <w:rFonts w:hint="eastAsia" w:ascii="宋体" w:hAnsi="宋体"/>
          <w:color w:val="auto"/>
          <w:highlight w:val="none"/>
        </w:rPr>
        <w:t>超出磋商响应文件的范围或者改变磋商响应文件的实质性内容；</w:t>
      </w:r>
    </w:p>
    <w:p w14:paraId="797E3EE5">
      <w:pPr>
        <w:ind w:firstLine="480"/>
        <w:jc w:val="left"/>
        <w:rPr>
          <w:rFonts w:hint="eastAsia" w:ascii="宋体" w:hAnsi="宋体"/>
          <w:color w:val="auto"/>
          <w:highlight w:val="none"/>
        </w:rPr>
      </w:pPr>
      <w:r>
        <w:rPr>
          <w:rFonts w:hint="eastAsia" w:ascii="宋体" w:hAnsi="宋体"/>
          <w:color w:val="auto"/>
          <w:highlight w:val="none"/>
        </w:rPr>
        <w:t>（3）澄清、说明或者更正的内容仍不能说明问题的；</w:t>
      </w:r>
    </w:p>
    <w:p w14:paraId="50C4F4ED">
      <w:pPr>
        <w:ind w:firstLine="480"/>
        <w:jc w:val="left"/>
        <w:rPr>
          <w:rFonts w:hint="eastAsia" w:ascii="宋体" w:hAnsi="宋体"/>
          <w:color w:val="auto"/>
          <w:highlight w:val="none"/>
        </w:rPr>
      </w:pPr>
      <w:r>
        <w:rPr>
          <w:rFonts w:hint="eastAsia" w:ascii="宋体" w:hAnsi="宋体"/>
          <w:color w:val="auto"/>
          <w:highlight w:val="none"/>
        </w:rPr>
        <w:t>（4）供应商</w:t>
      </w:r>
      <w:r>
        <w:rPr>
          <w:rFonts w:ascii="宋体" w:hAnsi="宋体"/>
          <w:color w:val="auto"/>
          <w:highlight w:val="none"/>
        </w:rPr>
        <w:t>主动提出的</w:t>
      </w:r>
      <w:r>
        <w:rPr>
          <w:rFonts w:hint="eastAsia" w:ascii="宋体" w:hAnsi="宋体"/>
          <w:color w:val="auto"/>
          <w:highlight w:val="none"/>
        </w:rPr>
        <w:t>澄清、说明或者更正的内容；</w:t>
      </w:r>
    </w:p>
    <w:p w14:paraId="7C9FBB84">
      <w:pPr>
        <w:tabs>
          <w:tab w:val="left" w:pos="8787"/>
        </w:tabs>
        <w:ind w:firstLine="480"/>
        <w:jc w:val="left"/>
        <w:rPr>
          <w:rFonts w:hint="eastAsia" w:ascii="宋体" w:hAnsi="宋体"/>
          <w:color w:val="auto"/>
          <w:highlight w:val="none"/>
        </w:rPr>
      </w:pPr>
      <w:r>
        <w:rPr>
          <w:rFonts w:hint="eastAsia" w:ascii="宋体" w:hAnsi="宋体"/>
          <w:color w:val="auto"/>
          <w:highlight w:val="none"/>
        </w:rPr>
        <w:t>（5）磋商小组认为应不予接受的其他情况</w:t>
      </w:r>
    </w:p>
    <w:p w14:paraId="12E0E4FD">
      <w:pPr>
        <w:ind w:firstLine="480"/>
        <w:rPr>
          <w:rFonts w:ascii="宋体" w:hAnsi="宋体" w:eastAsia="宋体" w:cs="宋体"/>
          <w:color w:val="auto"/>
          <w:kern w:val="0"/>
          <w:szCs w:val="22"/>
          <w:highlight w:val="none"/>
        </w:rPr>
      </w:pPr>
      <w:bookmarkStart w:id="194" w:name="_Toc7083446"/>
      <w:r>
        <w:rPr>
          <w:rFonts w:hint="eastAsia" w:ascii="宋体" w:hAnsi="宋体"/>
          <w:color w:val="auto"/>
          <w:highlight w:val="none"/>
          <w:lang w:val="en-US" w:eastAsia="zh-CN"/>
        </w:rPr>
        <w:t>21</w:t>
      </w:r>
      <w:r>
        <w:rPr>
          <w:rFonts w:hint="eastAsia" w:ascii="宋体" w:hAnsi="宋体"/>
          <w:color w:val="auto"/>
          <w:highlight w:val="none"/>
        </w:rPr>
        <w:t>.4答疑结束后，磋商小组确定满足相关规定数量的合格供应商，在青海省政府采购电子化平台上按规定的时间填写最后报价。如果在规定的时间内不填写，最后报价的确定以首次报价为准，不接受者视为无效投标。</w:t>
      </w:r>
      <w:bookmarkEnd w:id="194"/>
    </w:p>
    <w:p w14:paraId="5B23B14A">
      <w:pPr>
        <w:widowControl w:val="0"/>
        <w:autoSpaceDE w:val="0"/>
        <w:autoSpaceDN w:val="0"/>
        <w:adjustRightInd w:val="0"/>
        <w:snapToGrid w:val="0"/>
        <w:spacing w:line="360" w:lineRule="auto"/>
        <w:ind w:firstLine="482" w:firstLineChars="0"/>
        <w:jc w:val="left"/>
        <w:rPr>
          <w:rFonts w:ascii="宋体" w:hAnsi="宋体" w:eastAsia="宋体" w:cs="宋体"/>
          <w:color w:val="auto"/>
          <w:kern w:val="0"/>
          <w:szCs w:val="22"/>
          <w:highlight w:val="none"/>
        </w:rPr>
      </w:pPr>
      <w:r>
        <w:rPr>
          <w:rFonts w:hint="eastAsia" w:ascii="宋体" w:hAnsi="宋体" w:eastAsia="宋体" w:cs="宋体"/>
          <w:color w:val="auto"/>
          <w:kern w:val="0"/>
          <w:szCs w:val="22"/>
          <w:highlight w:val="none"/>
          <w:lang w:val="en-US" w:eastAsia="zh-CN"/>
        </w:rPr>
        <w:t>21.5</w:t>
      </w:r>
      <w:r>
        <w:rPr>
          <w:rFonts w:hint="eastAsia" w:ascii="宋体" w:hAnsi="宋体" w:eastAsia="宋体" w:cs="宋体"/>
          <w:color w:val="auto"/>
          <w:kern w:val="0"/>
          <w:szCs w:val="22"/>
          <w:highlight w:val="none"/>
        </w:rPr>
        <w:t xml:space="preserve"> 在磋商响应文件初审、复审过程中，如果磋商小组成员出现对评审结果有不同意见的，应当以书面形式反映，评审报告中应注明该不同意见。磋商小组成员拒绝在评审报告中签字又不书面说明其不同意见和理由的，视为同意磋商结果。</w:t>
      </w:r>
    </w:p>
    <w:p w14:paraId="308DDF5E">
      <w:pPr>
        <w:spacing w:line="360" w:lineRule="auto"/>
        <w:ind w:firstLine="480"/>
        <w:jc w:val="left"/>
        <w:rPr>
          <w:rFonts w:hint="eastAsia" w:ascii="宋体" w:hAnsi="宋体"/>
          <w:color w:val="auto"/>
          <w:highlight w:val="none"/>
        </w:rPr>
      </w:pPr>
      <w:r>
        <w:rPr>
          <w:rFonts w:hint="eastAsia" w:ascii="宋体" w:hAnsi="宋体" w:eastAsia="宋体" w:cs="宋体"/>
          <w:color w:val="auto"/>
          <w:kern w:val="0"/>
          <w:szCs w:val="22"/>
          <w:highlight w:val="none"/>
          <w:lang w:val="en-US" w:eastAsia="zh-CN"/>
        </w:rPr>
        <w:t>21.6</w:t>
      </w:r>
      <w:r>
        <w:rPr>
          <w:rFonts w:hint="eastAsia" w:ascii="宋体" w:hAnsi="宋体" w:eastAsia="宋体" w:cs="宋体"/>
          <w:color w:val="auto"/>
          <w:kern w:val="0"/>
          <w:szCs w:val="22"/>
          <w:highlight w:val="none"/>
        </w:rPr>
        <w:t>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w:t>
      </w:r>
      <w:r>
        <w:rPr>
          <w:rFonts w:hint="eastAsia" w:ascii="宋体" w:hAnsi="宋体" w:cs="宋体"/>
          <w:color w:val="auto"/>
          <w:highlight w:val="none"/>
        </w:rPr>
        <w:t>磋商小组应及时通知所有参加磋商的供应商，并在电子化平台以“评审问题澄清函”形式发布。供应商应当按照磋商文件的变动情况和磋商小组的要求在电子化平台上按规定时间作出响应。</w:t>
      </w:r>
    </w:p>
    <w:p w14:paraId="590EBB68">
      <w:pPr>
        <w:widowControl/>
        <w:adjustRightInd w:val="0"/>
        <w:snapToGrid w:val="0"/>
        <w:spacing w:line="360" w:lineRule="auto"/>
        <w:ind w:firstLine="0" w:firstLineChars="0"/>
        <w:jc w:val="left"/>
        <w:outlineLvl w:val="2"/>
        <w:rPr>
          <w:rFonts w:hint="eastAsia" w:ascii="宋体" w:hAnsi="宋体" w:eastAsia="宋体" w:cs="宋体"/>
          <w:b/>
          <w:bCs/>
          <w:color w:val="auto"/>
          <w:kern w:val="2"/>
          <w:sz w:val="24"/>
          <w:szCs w:val="24"/>
          <w:highlight w:val="none"/>
          <w:lang w:val="zh-CN"/>
        </w:rPr>
      </w:pPr>
      <w:bookmarkStart w:id="195" w:name="_Toc25613"/>
      <w:bookmarkStart w:id="196" w:name="_Toc20611"/>
      <w:bookmarkStart w:id="197" w:name="_Toc25611"/>
      <w:bookmarkStart w:id="198" w:name="_Toc14595"/>
      <w:bookmarkStart w:id="199" w:name="_Toc376936755"/>
      <w:bookmarkStart w:id="200" w:name="_Toc13668"/>
      <w:bookmarkStart w:id="201" w:name="_Toc59135333"/>
      <w:bookmarkStart w:id="202" w:name="_Toc325726024"/>
      <w:bookmarkStart w:id="203" w:name="_Toc8915"/>
      <w:r>
        <w:rPr>
          <w:rFonts w:hint="eastAsia" w:ascii="宋体" w:hAnsi="宋体" w:eastAsia="宋体" w:cs="宋体"/>
          <w:b/>
          <w:bCs/>
          <w:color w:val="auto"/>
          <w:kern w:val="2"/>
          <w:sz w:val="24"/>
          <w:szCs w:val="24"/>
          <w:highlight w:val="none"/>
          <w:lang w:val="en-US" w:eastAsia="zh-CN"/>
        </w:rPr>
        <w:t>22</w:t>
      </w:r>
      <w:r>
        <w:rPr>
          <w:rFonts w:hint="eastAsia" w:ascii="宋体" w:hAnsi="宋体" w:eastAsia="宋体" w:cs="宋体"/>
          <w:b/>
          <w:bCs/>
          <w:color w:val="auto"/>
          <w:kern w:val="2"/>
          <w:sz w:val="24"/>
          <w:szCs w:val="24"/>
          <w:highlight w:val="none"/>
          <w:lang w:val="zh-CN"/>
        </w:rPr>
        <w:t>.评审办法</w:t>
      </w:r>
      <w:bookmarkEnd w:id="195"/>
      <w:bookmarkEnd w:id="196"/>
      <w:bookmarkEnd w:id="197"/>
      <w:bookmarkEnd w:id="198"/>
      <w:bookmarkEnd w:id="199"/>
      <w:bookmarkEnd w:id="200"/>
      <w:bookmarkEnd w:id="201"/>
      <w:bookmarkEnd w:id="202"/>
      <w:bookmarkEnd w:id="203"/>
    </w:p>
    <w:p w14:paraId="2D01777B">
      <w:pPr>
        <w:widowControl/>
        <w:adjustRightInd w:val="0"/>
        <w:snapToGrid w:val="0"/>
        <w:spacing w:line="360" w:lineRule="auto"/>
        <w:ind w:right="-72" w:rightChars="-30" w:firstLine="480" w:firstLineChars="200"/>
        <w:jc w:val="both"/>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lang w:val="en-US" w:eastAsia="zh-CN"/>
        </w:rPr>
        <w:t>22</w:t>
      </w:r>
      <w:r>
        <w:rPr>
          <w:rFonts w:hint="eastAsia" w:ascii="宋体" w:hAnsi="宋体" w:eastAsia="宋体" w:cs="宋体"/>
          <w:color w:val="auto"/>
          <w:kern w:val="0"/>
          <w:szCs w:val="24"/>
          <w:highlight w:val="none"/>
        </w:rPr>
        <w:t>.1依照《中华人民共和国政府采购法》、《中华人民共和国政府采购法实施条例》、《政府采购竞争性磋商采购方式管理暂行办法》的规定，结合该项目的特点制定本评审办法。</w:t>
      </w:r>
    </w:p>
    <w:p w14:paraId="6A48702F">
      <w:pPr>
        <w:widowControl/>
        <w:adjustRightInd w:val="0"/>
        <w:snapToGrid w:val="0"/>
        <w:spacing w:line="360" w:lineRule="auto"/>
        <w:ind w:firstLine="480" w:firstLineChars="200"/>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本次评审采用</w:t>
      </w:r>
      <w:r>
        <w:rPr>
          <w:rFonts w:hint="eastAsia" w:ascii="宋体" w:hAnsi="宋体" w:eastAsia="宋体" w:cs="宋体"/>
          <w:b/>
          <w:bCs/>
          <w:color w:val="auto"/>
          <w:kern w:val="0"/>
          <w:szCs w:val="24"/>
          <w:highlight w:val="none"/>
        </w:rPr>
        <w:t>综合评分法</w:t>
      </w:r>
      <w:r>
        <w:rPr>
          <w:rFonts w:hint="eastAsia" w:ascii="宋体" w:hAnsi="宋体" w:eastAsia="宋体" w:cs="宋体"/>
          <w:color w:val="auto"/>
          <w:kern w:val="0"/>
          <w:szCs w:val="24"/>
          <w:highlight w:val="none"/>
        </w:rPr>
        <w:t>。</w:t>
      </w:r>
    </w:p>
    <w:p w14:paraId="11C8F2CC">
      <w:pPr>
        <w:widowControl/>
        <w:autoSpaceDE w:val="0"/>
        <w:autoSpaceDN w:val="0"/>
        <w:adjustRightInd w:val="0"/>
        <w:snapToGrid w:val="0"/>
        <w:spacing w:line="360" w:lineRule="auto"/>
        <w:ind w:firstLine="480" w:firstLineChars="200"/>
        <w:jc w:val="both"/>
        <w:rPr>
          <w:rFonts w:hint="eastAsia" w:ascii="宋体" w:hAnsi="宋体" w:eastAsia="宋体" w:cs="宋体"/>
          <w:color w:val="auto"/>
          <w:kern w:val="0"/>
          <w:szCs w:val="22"/>
          <w:highlight w:val="none"/>
          <w:shd w:val="clear" w:color="auto" w:fill="FFFFFF"/>
        </w:rPr>
      </w:pPr>
      <w:r>
        <w:rPr>
          <w:rFonts w:hint="eastAsia" w:ascii="宋体" w:hAnsi="宋体" w:eastAsia="宋体" w:cs="宋体"/>
          <w:color w:val="auto"/>
          <w:kern w:val="0"/>
          <w:szCs w:val="22"/>
          <w:highlight w:val="none"/>
          <w:shd w:val="clear" w:color="auto" w:fill="FFFFFF"/>
          <w:lang w:val="en-US" w:eastAsia="zh-CN"/>
        </w:rPr>
        <w:t>22.2</w:t>
      </w:r>
      <w:r>
        <w:rPr>
          <w:rFonts w:hint="eastAsia" w:ascii="宋体" w:hAnsi="宋体" w:eastAsia="宋体" w:cs="宋体"/>
          <w:color w:val="auto"/>
          <w:kern w:val="0"/>
          <w:szCs w:val="22"/>
          <w:highlight w:val="none"/>
          <w:shd w:val="clear" w:color="auto" w:fill="FFFFFF"/>
        </w:rPr>
        <w:t>评审因素的设定应当与供应商所提服务物服务的质量相关，包括</w:t>
      </w:r>
      <w:r>
        <w:rPr>
          <w:rFonts w:hint="eastAsia" w:ascii="宋体" w:hAnsi="宋体" w:eastAsia="宋体" w:cs="宋体"/>
          <w:b/>
          <w:bCs/>
          <w:color w:val="auto"/>
          <w:kern w:val="0"/>
          <w:szCs w:val="22"/>
          <w:highlight w:val="none"/>
          <w:shd w:val="clear" w:color="auto" w:fill="FFFFFF"/>
        </w:rPr>
        <w:t>商务</w:t>
      </w:r>
      <w:r>
        <w:rPr>
          <w:rFonts w:ascii="宋体" w:hAnsi="宋体" w:eastAsia="宋体" w:cs="宋体"/>
          <w:b/>
          <w:bCs/>
          <w:color w:val="auto"/>
          <w:kern w:val="0"/>
          <w:szCs w:val="22"/>
          <w:highlight w:val="none"/>
          <w:shd w:val="clear" w:color="auto" w:fill="FFFFFF"/>
        </w:rPr>
        <w:t>部分</w:t>
      </w:r>
      <w:r>
        <w:rPr>
          <w:rFonts w:hint="eastAsia" w:ascii="宋体" w:hAnsi="宋体" w:eastAsia="宋体" w:cs="宋体"/>
          <w:b/>
          <w:bCs/>
          <w:color w:val="auto"/>
          <w:kern w:val="0"/>
          <w:szCs w:val="22"/>
          <w:highlight w:val="none"/>
          <w:shd w:val="clear" w:color="auto" w:fill="FFFFFF"/>
        </w:rPr>
        <w:t>、技术部分</w:t>
      </w:r>
      <w:r>
        <w:rPr>
          <w:rFonts w:hint="eastAsia" w:ascii="宋体" w:hAnsi="宋体" w:eastAsia="宋体" w:cs="宋体"/>
          <w:color w:val="auto"/>
          <w:kern w:val="0"/>
          <w:szCs w:val="22"/>
          <w:highlight w:val="none"/>
          <w:shd w:val="clear" w:color="auto" w:fill="FFFFFF"/>
        </w:rPr>
        <w:t>等。资格条件不得作为评审因素。</w:t>
      </w:r>
    </w:p>
    <w:p w14:paraId="332F4684">
      <w:pPr>
        <w:widowControl w:val="0"/>
        <w:adjustRightInd/>
        <w:snapToGrid/>
        <w:spacing w:line="360" w:lineRule="auto"/>
        <w:ind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22.3根据《政府采购促进中小企业发展管理办法》，属中小企业提供的服务（产品），供应商须提供提供《中小企业声明函》（详见附件</w:t>
      </w:r>
      <w:r>
        <w:rPr>
          <w:rFonts w:hint="eastAsia" w:ascii="宋体" w:hAnsi="宋体" w:cs="宋体"/>
          <w:color w:val="auto"/>
          <w:sz w:val="24"/>
          <w:szCs w:val="24"/>
          <w:highlight w:val="none"/>
          <w:lang w:val="en-US" w:eastAsia="zh-CN" w:bidi="ar-SA"/>
        </w:rPr>
        <w:t>17.1</w:t>
      </w:r>
      <w:r>
        <w:rPr>
          <w:rFonts w:hint="eastAsia" w:ascii="宋体" w:hAnsi="宋体" w:eastAsia="宋体" w:cs="宋体"/>
          <w:color w:val="auto"/>
          <w:sz w:val="24"/>
          <w:szCs w:val="24"/>
          <w:highlight w:val="none"/>
          <w:lang w:val="en-US" w:eastAsia="zh-CN" w:bidi="ar-SA"/>
        </w:rPr>
        <w:t>），并由供应商加盖公章，其划型标准严格按照国家工信部、国家统计局、国家发改委、财政部出台的《中小企业划型标准规定》（工信部联企业[2011]300号）执行。供应商提供的《中小企业声明函》资料必须真实，否则，按照有关规定予以处理。</w:t>
      </w:r>
    </w:p>
    <w:p w14:paraId="693C8A35">
      <w:pPr>
        <w:widowControl w:val="0"/>
        <w:adjustRightInd/>
        <w:snapToGrid/>
        <w:spacing w:line="360" w:lineRule="auto"/>
        <w:ind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根据财政部、民政部、中国残疾人联合会出台的《关于促进残疾人就业政府采购政策的通知》（财库[2017]141号），属残疾人福利性单位的，供应商须提供《残疾人福利性单位声明函》（详见附件</w:t>
      </w:r>
      <w:r>
        <w:rPr>
          <w:rFonts w:hint="eastAsia" w:ascii="宋体" w:hAnsi="宋体" w:cs="宋体"/>
          <w:color w:val="auto"/>
          <w:sz w:val="24"/>
          <w:szCs w:val="24"/>
          <w:highlight w:val="none"/>
          <w:lang w:val="en-US" w:eastAsia="zh-CN" w:bidi="ar-SA"/>
        </w:rPr>
        <w:t>17.2</w:t>
      </w:r>
      <w:r>
        <w:rPr>
          <w:rFonts w:hint="eastAsia" w:ascii="宋体" w:hAnsi="宋体" w:eastAsia="宋体" w:cs="宋体"/>
          <w:color w:val="auto"/>
          <w:sz w:val="24"/>
          <w:szCs w:val="24"/>
          <w:highlight w:val="none"/>
          <w:lang w:val="en-US" w:eastAsia="zh-CN" w:bidi="ar-SA"/>
        </w:rPr>
        <w:t>），并由供应商加盖公章，残疾人福利性单位视同小型、微型企业，享受预留份额、评标中价格扣除等促进中小企业发展的政府采购政策。向残疾人福利性单位采购的金额，计入面向中小企业采购的统计数据。供应商提供的《残疾人福利性单位声明函》资料必须真实，否则，按照有关规定予以处理。</w:t>
      </w:r>
    </w:p>
    <w:p w14:paraId="5DEC53D4">
      <w:pPr>
        <w:widowControl w:val="0"/>
        <w:adjustRightInd/>
        <w:snapToGrid/>
        <w:spacing w:line="360" w:lineRule="auto"/>
        <w:ind w:firstLine="480" w:firstLineChars="200"/>
        <w:jc w:val="both"/>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根据《财政部司法部关于政府采购支持监狱企业发展有关问题的通知》（财库[2014]68号）的相关规定，属于监狱企业的，供应商须按要求出具属于监狱企业的证明文件。监狱企业视同小微企业，享受预留份额、评标中价格扣除等促进中小企业发展的政府采购政策。向监狱企业采购的金额，计入面向中小企业采购的统计数据。供应商提供的监狱企业证明文件资料必须真实，如有虚假，将依法承担相应责任。</w:t>
      </w:r>
    </w:p>
    <w:p w14:paraId="2E51ECFF">
      <w:pPr>
        <w:widowControl w:val="0"/>
        <w:adjustRightInd/>
        <w:snapToGrid/>
        <w:spacing w:line="360" w:lineRule="auto"/>
        <w:ind w:firstLine="480" w:firstLineChars="200"/>
        <w:jc w:val="both"/>
        <w:rPr>
          <w:rFonts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22.4除磋商价格因素外，磋商小组应依据磋商文件规定的评审方法和评审标准对其他因素进行客观评审。磋商响应文件报价出现前后不一致的，按照下列规定修正：</w:t>
      </w:r>
    </w:p>
    <w:p w14:paraId="5FB623D1">
      <w:pPr>
        <w:widowControl w:val="0"/>
        <w:adjustRightInd/>
        <w:snapToGrid/>
        <w:spacing w:line="360" w:lineRule="auto"/>
        <w:ind w:firstLine="480" w:firstLineChars="200"/>
        <w:jc w:val="both"/>
        <w:rPr>
          <w:rFonts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磋商响应文件中响应报价表内容与磋商响应文件中相应内容不一致的，以响应报价表为准；</w:t>
      </w:r>
    </w:p>
    <w:p w14:paraId="3D05D474">
      <w:pPr>
        <w:widowControl w:val="0"/>
        <w:adjustRightInd/>
        <w:snapToGrid/>
        <w:spacing w:line="360" w:lineRule="auto"/>
        <w:ind w:firstLine="480" w:firstLineChars="200"/>
        <w:jc w:val="both"/>
        <w:rPr>
          <w:rFonts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大写金额和小写金额不一致的，以大写金额为准；</w:t>
      </w:r>
    </w:p>
    <w:p w14:paraId="3CBF4A87">
      <w:pPr>
        <w:widowControl w:val="0"/>
        <w:adjustRightInd/>
        <w:snapToGrid/>
        <w:spacing w:line="360" w:lineRule="auto"/>
        <w:ind w:firstLine="480" w:firstLineChars="200"/>
        <w:jc w:val="both"/>
        <w:rPr>
          <w:rFonts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单价金额小数点或者百分比有明显错位的，以响应报价表的总价为准，并修改单价；</w:t>
      </w:r>
    </w:p>
    <w:p w14:paraId="22997318">
      <w:pPr>
        <w:widowControl w:val="0"/>
        <w:adjustRightInd/>
        <w:snapToGrid/>
        <w:spacing w:line="360" w:lineRule="auto"/>
        <w:ind w:firstLine="480" w:firstLineChars="200"/>
        <w:jc w:val="both"/>
        <w:rPr>
          <w:rFonts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总价金额与按单价汇总金额不一致的，以单价金额计算结果为准。</w:t>
      </w:r>
    </w:p>
    <w:p w14:paraId="04B03E0D">
      <w:pPr>
        <w:widowControl w:val="0"/>
        <w:adjustRightInd/>
        <w:snapToGrid/>
        <w:spacing w:line="360" w:lineRule="auto"/>
        <w:ind w:firstLine="480" w:firstLineChars="200"/>
        <w:jc w:val="both"/>
        <w:rPr>
          <w:rFonts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22.5</w:t>
      </w:r>
      <w:r>
        <w:rPr>
          <w:rFonts w:hint="eastAsia" w:ascii="宋体" w:hAnsi="宋体" w:eastAsia="宋体" w:cs="宋体"/>
          <w:color w:val="auto"/>
          <w:sz w:val="24"/>
          <w:szCs w:val="24"/>
          <w:highlight w:val="none"/>
          <w:lang w:val="zh-CN" w:eastAsia="zh-CN" w:bidi="ar-SA"/>
        </w:rPr>
        <w:t>在评审过程中，</w:t>
      </w:r>
      <w:r>
        <w:rPr>
          <w:rFonts w:hint="eastAsia" w:ascii="宋体" w:hAnsi="宋体" w:eastAsia="宋体" w:cs="宋体"/>
          <w:color w:val="auto"/>
          <w:sz w:val="24"/>
          <w:szCs w:val="24"/>
          <w:highlight w:val="none"/>
          <w:lang w:val="en-US" w:eastAsia="zh-CN" w:bidi="ar-SA"/>
        </w:rPr>
        <w:t>磋商小组成员对需要共同认定的事项存在争议的，应当按照少数服从多数的原则作出结论。持不同意见的磋商小组成员应当在评标报告上签署不同意见及理由，否则视为同意评标报告。</w:t>
      </w:r>
    </w:p>
    <w:p w14:paraId="5E9A870B">
      <w:pPr>
        <w:widowControl/>
        <w:adjustRightInd w:val="0"/>
        <w:snapToGrid w:val="0"/>
        <w:spacing w:line="360" w:lineRule="auto"/>
        <w:ind w:firstLine="480" w:firstLineChars="200"/>
        <w:jc w:val="both"/>
        <w:rPr>
          <w:rFonts w:ascii="Arial" w:hAnsi="Arial" w:eastAsia="宋体" w:cs="Times New Roman"/>
          <w:color w:val="auto"/>
          <w:kern w:val="0"/>
          <w:szCs w:val="22"/>
          <w:highlight w:val="none"/>
        </w:rPr>
      </w:pPr>
      <w:r>
        <w:rPr>
          <w:rFonts w:hint="eastAsia" w:ascii="宋体" w:hAnsi="宋体" w:eastAsia="宋体" w:cs="宋体"/>
          <w:color w:val="auto"/>
          <w:kern w:val="0"/>
          <w:szCs w:val="24"/>
          <w:highlight w:val="none"/>
          <w:lang w:val="en-US" w:eastAsia="zh-CN"/>
        </w:rPr>
        <w:t>22.6</w:t>
      </w:r>
      <w:r>
        <w:rPr>
          <w:rFonts w:hint="eastAsia" w:ascii="宋体" w:hAnsi="宋体" w:eastAsia="宋体" w:cs="宋体"/>
          <w:color w:val="auto"/>
          <w:kern w:val="0"/>
          <w:szCs w:val="24"/>
          <w:highlight w:val="none"/>
        </w:rPr>
        <w:t>综合评分法的采购项目，提供相同品牌产品且通过资格审查、符合性审查的不同供应商参加同一合同项下投标的，按一家供应商计算，评审后得分最高的同品牌供应商获得成交人推荐资格；评审得分相同的，由采购人或者采购人委托磋商小组按照磋商文件规定的方式确定一个供应商获得成交人推荐资格，磋商文件未规定的采取随机抽取方式确定，其他同品牌供应商不作为成交候选人。</w:t>
      </w:r>
    </w:p>
    <w:p w14:paraId="75C2431A">
      <w:pPr>
        <w:widowControl/>
        <w:adjustRightInd w:val="0"/>
        <w:snapToGrid w:val="0"/>
        <w:spacing w:line="360" w:lineRule="auto"/>
        <w:ind w:firstLine="0" w:firstLineChars="0"/>
        <w:jc w:val="left"/>
        <w:rPr>
          <w:rFonts w:hint="eastAsia" w:ascii="宋体" w:hAnsi="Cambria" w:eastAsia="宋体" w:cs="宋体"/>
          <w:b/>
          <w:bCs w:val="0"/>
          <w:color w:val="auto"/>
          <w:kern w:val="0"/>
          <w:szCs w:val="22"/>
          <w:highlight w:val="none"/>
          <w:lang w:val="zh-CN"/>
        </w:rPr>
      </w:pPr>
      <w:r>
        <w:rPr>
          <w:rFonts w:hint="eastAsia" w:ascii="宋体" w:hAnsi="Cambria" w:eastAsia="宋体" w:cs="宋体"/>
          <w:b/>
          <w:bCs w:val="0"/>
          <w:color w:val="auto"/>
          <w:kern w:val="0"/>
          <w:szCs w:val="22"/>
          <w:highlight w:val="none"/>
          <w:lang w:val="zh-CN"/>
        </w:rPr>
        <w:t>具体项目及评分细则：</w:t>
      </w:r>
    </w:p>
    <w:tbl>
      <w:tblPr>
        <w:tblStyle w:val="35"/>
        <w:tblW w:w="91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20"/>
        <w:gridCol w:w="1155"/>
        <w:gridCol w:w="795"/>
        <w:gridCol w:w="5822"/>
      </w:tblGrid>
      <w:tr w14:paraId="63FE62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5" w:hRule="atLeast"/>
          <w:jc w:val="center"/>
        </w:trPr>
        <w:tc>
          <w:tcPr>
            <w:tcW w:w="1420" w:type="dxa"/>
            <w:tcBorders>
              <w:top w:val="single" w:color="auto" w:sz="4" w:space="0"/>
              <w:left w:val="single" w:color="auto" w:sz="4" w:space="0"/>
              <w:bottom w:val="single" w:color="auto" w:sz="4" w:space="0"/>
              <w:right w:val="single" w:color="auto" w:sz="4" w:space="0"/>
            </w:tcBorders>
            <w:noWrap w:val="0"/>
            <w:vAlign w:val="center"/>
          </w:tcPr>
          <w:p w14:paraId="32AB5AB1">
            <w:pPr>
              <w:adjustRightInd w:val="0"/>
              <w:snapToGrid w:val="0"/>
              <w:spacing w:line="312" w:lineRule="auto"/>
              <w:ind w:firstLine="0" w:firstLineChars="0"/>
              <w:jc w:val="center"/>
              <w:rPr>
                <w:rFonts w:hint="eastAsia" w:ascii="宋体" w:hAnsi="宋体" w:cs="宋体"/>
                <w:b/>
                <w:bCs/>
                <w:color w:val="auto"/>
                <w:highlight w:val="none"/>
              </w:rPr>
            </w:pPr>
            <w:bookmarkStart w:id="204" w:name="_Hlk116913833"/>
            <w:bookmarkStart w:id="205" w:name="_Toc2506"/>
            <w:bookmarkStart w:id="206" w:name="_Toc6689"/>
            <w:bookmarkStart w:id="207" w:name="_Toc325726025"/>
            <w:bookmarkStart w:id="208" w:name="_Toc376936756"/>
            <w:r>
              <w:rPr>
                <w:rFonts w:hint="eastAsia" w:ascii="宋体" w:hAnsi="宋体" w:cs="宋体"/>
                <w:b/>
                <w:bCs/>
                <w:color w:val="auto"/>
                <w:highlight w:val="none"/>
              </w:rPr>
              <w:t>评审项目</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371380C0">
            <w:pPr>
              <w:adjustRightInd w:val="0"/>
              <w:snapToGrid w:val="0"/>
              <w:spacing w:line="312" w:lineRule="auto"/>
              <w:ind w:firstLine="229" w:firstLineChars="95"/>
              <w:rPr>
                <w:rFonts w:hint="eastAsia" w:ascii="宋体" w:hAnsi="宋体" w:cs="宋体"/>
                <w:b/>
                <w:bCs/>
                <w:color w:val="auto"/>
                <w:highlight w:val="none"/>
              </w:rPr>
            </w:pPr>
            <w:r>
              <w:rPr>
                <w:rFonts w:hint="eastAsia" w:ascii="宋体" w:hAnsi="宋体" w:cs="宋体"/>
                <w:b/>
                <w:bCs/>
                <w:color w:val="auto"/>
                <w:highlight w:val="none"/>
              </w:rPr>
              <w:t>内容</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42D2EE7C">
            <w:pPr>
              <w:adjustRightInd w:val="0"/>
              <w:snapToGrid w:val="0"/>
              <w:spacing w:line="312" w:lineRule="auto"/>
              <w:ind w:firstLine="0" w:firstLineChars="0"/>
              <w:jc w:val="center"/>
              <w:rPr>
                <w:rFonts w:hint="eastAsia" w:ascii="宋体" w:hAnsi="宋体" w:cs="宋体"/>
                <w:b/>
                <w:bCs/>
                <w:color w:val="auto"/>
                <w:highlight w:val="none"/>
              </w:rPr>
            </w:pPr>
            <w:r>
              <w:rPr>
                <w:rFonts w:hint="eastAsia" w:ascii="宋体" w:hAnsi="宋体" w:cs="宋体"/>
                <w:b/>
                <w:bCs/>
                <w:color w:val="auto"/>
                <w:highlight w:val="none"/>
              </w:rPr>
              <w:t>满分 分值</w:t>
            </w:r>
          </w:p>
        </w:tc>
        <w:tc>
          <w:tcPr>
            <w:tcW w:w="5822" w:type="dxa"/>
            <w:tcBorders>
              <w:top w:val="single" w:color="auto" w:sz="4" w:space="0"/>
              <w:left w:val="single" w:color="auto" w:sz="4" w:space="0"/>
              <w:bottom w:val="single" w:color="auto" w:sz="4" w:space="0"/>
              <w:right w:val="single" w:color="auto" w:sz="4" w:space="0"/>
            </w:tcBorders>
            <w:noWrap w:val="0"/>
            <w:vAlign w:val="center"/>
          </w:tcPr>
          <w:p w14:paraId="6D8F38EE">
            <w:pPr>
              <w:adjustRightInd w:val="0"/>
              <w:snapToGrid w:val="0"/>
              <w:spacing w:line="312" w:lineRule="auto"/>
              <w:ind w:firstLine="480"/>
              <w:jc w:val="center"/>
              <w:rPr>
                <w:rFonts w:hint="eastAsia" w:ascii="宋体" w:hAnsi="宋体" w:cs="宋体"/>
                <w:b/>
                <w:bCs/>
                <w:color w:val="auto"/>
                <w:highlight w:val="none"/>
              </w:rPr>
            </w:pPr>
            <w:r>
              <w:rPr>
                <w:rFonts w:hint="eastAsia" w:ascii="宋体" w:hAnsi="宋体" w:cs="宋体"/>
                <w:b/>
                <w:bCs/>
                <w:color w:val="auto"/>
                <w:highlight w:val="none"/>
              </w:rPr>
              <w:t>评审标准</w:t>
            </w:r>
          </w:p>
        </w:tc>
      </w:tr>
      <w:tr w14:paraId="432194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5" w:hRule="atLeast"/>
          <w:jc w:val="center"/>
        </w:trPr>
        <w:tc>
          <w:tcPr>
            <w:tcW w:w="1420" w:type="dxa"/>
            <w:vMerge w:val="restart"/>
            <w:tcBorders>
              <w:top w:val="single" w:color="auto" w:sz="4" w:space="0"/>
              <w:left w:val="single" w:color="auto" w:sz="4" w:space="0"/>
              <w:right w:val="single" w:color="auto" w:sz="4" w:space="0"/>
            </w:tcBorders>
            <w:noWrap w:val="0"/>
            <w:vAlign w:val="center"/>
          </w:tcPr>
          <w:p w14:paraId="33A046EE">
            <w:pPr>
              <w:adjustRightInd w:val="0"/>
              <w:snapToGrid w:val="0"/>
              <w:spacing w:line="312" w:lineRule="auto"/>
              <w:ind w:firstLine="0" w:firstLineChars="0"/>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商务部分30%</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3492C580">
            <w:pPr>
              <w:adjustRightInd w:val="0"/>
              <w:snapToGrid w:val="0"/>
              <w:spacing w:line="312" w:lineRule="auto"/>
              <w:ind w:firstLine="0" w:firstLineChars="0"/>
              <w:jc w:val="center"/>
              <w:rPr>
                <w:rFonts w:hint="eastAsia" w:ascii="宋体" w:hAnsi="宋体" w:cs="宋体"/>
                <w:color w:val="auto"/>
                <w:highlight w:val="none"/>
              </w:rPr>
            </w:pPr>
            <w:r>
              <w:rPr>
                <w:rFonts w:hint="eastAsia" w:ascii="宋体" w:hAnsi="宋体" w:cs="宋体"/>
                <w:color w:val="auto"/>
                <w:highlight w:val="none"/>
              </w:rPr>
              <w:t>磋商报价</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676F7E45">
            <w:pPr>
              <w:adjustRightInd w:val="0"/>
              <w:snapToGrid w:val="0"/>
              <w:spacing w:line="312" w:lineRule="auto"/>
              <w:ind w:firstLine="0" w:firstLineChars="0"/>
              <w:jc w:val="center"/>
              <w:rPr>
                <w:rFonts w:hint="eastAsia" w:ascii="宋体" w:hAnsi="宋体" w:cs="宋体"/>
                <w:color w:val="auto"/>
                <w:highlight w:val="none"/>
              </w:rPr>
            </w:pPr>
            <w:r>
              <w:rPr>
                <w:rFonts w:hint="eastAsia" w:ascii="宋体" w:hAnsi="宋体" w:cs="宋体"/>
                <w:color w:val="auto"/>
                <w:highlight w:val="none"/>
              </w:rPr>
              <w:t>15</w:t>
            </w:r>
          </w:p>
        </w:tc>
        <w:tc>
          <w:tcPr>
            <w:tcW w:w="5822" w:type="dxa"/>
            <w:tcBorders>
              <w:top w:val="single" w:color="auto" w:sz="4" w:space="0"/>
              <w:left w:val="single" w:color="auto" w:sz="4" w:space="0"/>
              <w:bottom w:val="single" w:color="auto" w:sz="4" w:space="0"/>
              <w:right w:val="single" w:color="auto" w:sz="4" w:space="0"/>
            </w:tcBorders>
            <w:noWrap w:val="0"/>
            <w:vAlign w:val="center"/>
          </w:tcPr>
          <w:p w14:paraId="64CAAD48">
            <w:pPr>
              <w:adjustRightInd w:val="0"/>
              <w:snapToGrid w:val="0"/>
              <w:spacing w:line="312" w:lineRule="auto"/>
              <w:ind w:firstLine="0" w:firstLineChars="0"/>
              <w:rPr>
                <w:rFonts w:hint="eastAsia" w:ascii="宋体" w:hAnsi="宋体" w:cs="宋体"/>
                <w:color w:val="auto"/>
                <w:highlight w:val="none"/>
              </w:rPr>
            </w:pPr>
            <w:r>
              <w:rPr>
                <w:rFonts w:hint="eastAsia" w:ascii="宋体" w:hAnsi="宋体" w:cs="宋体"/>
                <w:color w:val="auto"/>
                <w:highlight w:val="none"/>
              </w:rPr>
              <w:t>磋商基准值=满足磋商文件要求且最后磋商报价最低的供应商的价格为磋商基准价。</w:t>
            </w:r>
            <w:r>
              <w:rPr>
                <w:rFonts w:hint="eastAsia" w:ascii="宋体" w:hAnsi="宋体" w:cs="宋体"/>
                <w:color w:val="auto"/>
                <w:highlight w:val="none"/>
              </w:rPr>
              <w:br w:type="textWrapping"/>
            </w:r>
            <w:r>
              <w:rPr>
                <w:rFonts w:hint="eastAsia" w:ascii="宋体" w:hAnsi="宋体" w:cs="宋体"/>
                <w:color w:val="auto"/>
                <w:highlight w:val="none"/>
              </w:rPr>
              <w:t>磋商报价得分=（磋商基准价/最后磋商报价）×价格权值（15%）×100（四舍五入后保留小数点后两位）。</w:t>
            </w:r>
          </w:p>
          <w:p w14:paraId="2A4B9946">
            <w:pPr>
              <w:adjustRightInd w:val="0"/>
              <w:snapToGrid w:val="0"/>
              <w:spacing w:line="312" w:lineRule="auto"/>
              <w:ind w:firstLine="0" w:firstLineChars="0"/>
              <w:rPr>
                <w:rFonts w:hint="eastAsia" w:ascii="宋体" w:hAnsi="宋体" w:cs="宋体"/>
                <w:color w:val="auto"/>
                <w:highlight w:val="none"/>
              </w:rPr>
            </w:pPr>
            <w:r>
              <w:rPr>
                <w:rFonts w:hint="eastAsia" w:ascii="宋体" w:hAnsi="宋体" w:cs="宋体"/>
                <w:color w:val="auto"/>
                <w:highlight w:val="none"/>
              </w:rPr>
              <w:t>注：根据《政府采购促进中小企业发展管理办法》、《关于促进残疾人就业政府采购政策的通知》的相关规定，对由残疾人福利性单位、小型和微型企业承接的服务，价格给予10%的扣除，用扣除后的价格参与评标。残疾人福利性单位属于小型、微型企业的，不重复享受政策。</w:t>
            </w:r>
          </w:p>
        </w:tc>
      </w:tr>
      <w:tr w14:paraId="126735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5" w:hRule="atLeast"/>
          <w:jc w:val="center"/>
        </w:trPr>
        <w:tc>
          <w:tcPr>
            <w:tcW w:w="1420" w:type="dxa"/>
            <w:vMerge w:val="continue"/>
            <w:tcBorders>
              <w:left w:val="single" w:color="auto" w:sz="4" w:space="0"/>
              <w:right w:val="single" w:color="auto" w:sz="4" w:space="0"/>
            </w:tcBorders>
            <w:noWrap w:val="0"/>
            <w:vAlign w:val="center"/>
          </w:tcPr>
          <w:p w14:paraId="5717951F">
            <w:pPr>
              <w:adjustRightInd w:val="0"/>
              <w:snapToGrid w:val="0"/>
              <w:spacing w:line="312" w:lineRule="auto"/>
              <w:ind w:firstLine="0" w:firstLineChars="0"/>
              <w:jc w:val="center"/>
              <w:rPr>
                <w:rFonts w:hint="eastAsia" w:ascii="宋体" w:hAnsi="宋体" w:cs="宋体"/>
                <w:color w:val="auto"/>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5F585EFC">
            <w:pPr>
              <w:adjustRightInd w:val="0"/>
              <w:snapToGrid w:val="0"/>
              <w:spacing w:line="312" w:lineRule="auto"/>
              <w:ind w:firstLine="0" w:firstLineChars="0"/>
              <w:jc w:val="center"/>
              <w:rPr>
                <w:rFonts w:hint="eastAsia" w:ascii="宋体" w:hAnsi="宋体" w:cs="宋体"/>
                <w:color w:val="auto"/>
                <w:highlight w:val="none"/>
              </w:rPr>
            </w:pPr>
            <w:r>
              <w:rPr>
                <w:rFonts w:hint="eastAsia" w:ascii="宋体" w:hAnsi="宋体" w:cs="宋体"/>
                <w:color w:val="auto"/>
                <w:highlight w:val="none"/>
              </w:rPr>
              <w:t>服务人员配置</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293B8A1B">
            <w:pPr>
              <w:widowControl/>
              <w:adjustRightInd w:val="0"/>
              <w:snapToGrid w:val="0"/>
              <w:spacing w:line="312" w:lineRule="auto"/>
              <w:ind w:firstLine="0" w:firstLineChars="0"/>
              <w:jc w:val="center"/>
              <w:rPr>
                <w:rFonts w:hint="eastAsia" w:ascii="宋体" w:hAnsi="宋体" w:cs="宋体"/>
                <w:color w:val="auto"/>
                <w:highlight w:val="none"/>
              </w:rPr>
            </w:pPr>
            <w:r>
              <w:rPr>
                <w:rFonts w:hint="eastAsia" w:ascii="宋体" w:hAnsi="宋体" w:cs="宋体"/>
                <w:color w:val="auto"/>
                <w:highlight w:val="none"/>
              </w:rPr>
              <w:t>10</w:t>
            </w:r>
          </w:p>
        </w:tc>
        <w:tc>
          <w:tcPr>
            <w:tcW w:w="5822" w:type="dxa"/>
            <w:tcBorders>
              <w:top w:val="single" w:color="auto" w:sz="4" w:space="0"/>
              <w:left w:val="single" w:color="auto" w:sz="4" w:space="0"/>
              <w:bottom w:val="single" w:color="auto" w:sz="4" w:space="0"/>
              <w:right w:val="single" w:color="auto" w:sz="4" w:space="0"/>
            </w:tcBorders>
            <w:noWrap w:val="0"/>
            <w:vAlign w:val="center"/>
          </w:tcPr>
          <w:p w14:paraId="392D6F38">
            <w:pPr>
              <w:adjustRightInd w:val="0"/>
              <w:snapToGrid w:val="0"/>
              <w:spacing w:line="312" w:lineRule="auto"/>
              <w:ind w:firstLine="0" w:firstLineChars="0"/>
              <w:rPr>
                <w:rFonts w:hint="eastAsia" w:ascii="宋体" w:hAnsi="宋体" w:cs="宋体"/>
                <w:color w:val="auto"/>
                <w:highlight w:val="none"/>
              </w:rPr>
            </w:pPr>
            <w:r>
              <w:rPr>
                <w:rFonts w:hint="eastAsia" w:ascii="宋体" w:hAnsi="宋体" w:cs="宋体"/>
                <w:color w:val="auto"/>
                <w:highlight w:val="none"/>
              </w:rPr>
              <w:t>1.项目负责人满足采购需求。包含：①专业技术职称②工作经历。</w:t>
            </w:r>
          </w:p>
          <w:p w14:paraId="7389FCD3">
            <w:pPr>
              <w:adjustRightInd w:val="0"/>
              <w:snapToGrid w:val="0"/>
              <w:spacing w:line="312" w:lineRule="auto"/>
              <w:ind w:firstLine="0" w:firstLineChars="0"/>
              <w:rPr>
                <w:rFonts w:hint="eastAsia" w:ascii="宋体" w:hAnsi="宋体" w:cs="宋体"/>
                <w:color w:val="auto"/>
                <w:highlight w:val="none"/>
              </w:rPr>
            </w:pPr>
            <w:r>
              <w:rPr>
                <w:rFonts w:hint="eastAsia" w:ascii="宋体" w:hAnsi="宋体" w:cs="宋体"/>
                <w:color w:val="auto"/>
                <w:highlight w:val="none"/>
              </w:rPr>
              <w:t>以上内容每项实质性响应各得2分；未实质性响应或未提供不得分。</w:t>
            </w:r>
          </w:p>
          <w:p w14:paraId="54D8281D">
            <w:pPr>
              <w:adjustRightInd w:val="0"/>
              <w:snapToGrid w:val="0"/>
              <w:spacing w:line="312" w:lineRule="auto"/>
              <w:ind w:firstLine="0" w:firstLineChars="0"/>
              <w:rPr>
                <w:rFonts w:hint="eastAsia" w:ascii="宋体" w:hAnsi="宋体" w:cs="宋体"/>
                <w:color w:val="auto"/>
                <w:highlight w:val="none"/>
              </w:rPr>
            </w:pPr>
            <w:r>
              <w:rPr>
                <w:rFonts w:hint="eastAsia" w:ascii="宋体" w:hAnsi="宋体" w:cs="宋体"/>
                <w:color w:val="auto"/>
                <w:highlight w:val="none"/>
              </w:rPr>
              <w:t>2.技术负责和技术骨干能满足采购需求。包含：①专业技术职称②工作经历。</w:t>
            </w:r>
          </w:p>
          <w:p w14:paraId="27680787">
            <w:pPr>
              <w:adjustRightInd w:val="0"/>
              <w:snapToGrid w:val="0"/>
              <w:spacing w:line="312" w:lineRule="auto"/>
              <w:ind w:firstLine="0" w:firstLineChars="0"/>
              <w:rPr>
                <w:rFonts w:hint="eastAsia" w:ascii="宋体" w:hAnsi="宋体" w:cs="宋体"/>
                <w:color w:val="auto"/>
                <w:highlight w:val="none"/>
              </w:rPr>
            </w:pPr>
            <w:r>
              <w:rPr>
                <w:rFonts w:hint="eastAsia" w:ascii="宋体" w:hAnsi="宋体" w:cs="宋体"/>
                <w:color w:val="auto"/>
                <w:highlight w:val="none"/>
              </w:rPr>
              <w:t>以上内容每项实质性响应各得1分；未实质性响应或未提供不得分。</w:t>
            </w:r>
          </w:p>
          <w:p w14:paraId="4828D4C2">
            <w:pPr>
              <w:adjustRightInd w:val="0"/>
              <w:snapToGrid w:val="0"/>
              <w:spacing w:line="312" w:lineRule="auto"/>
              <w:ind w:firstLine="0" w:firstLineChars="0"/>
              <w:rPr>
                <w:rFonts w:hint="eastAsia" w:ascii="宋体" w:hAnsi="宋体" w:cs="宋体"/>
                <w:color w:val="auto"/>
                <w:highlight w:val="none"/>
              </w:rPr>
            </w:pPr>
            <w:r>
              <w:rPr>
                <w:rFonts w:hint="eastAsia" w:ascii="宋体" w:hAnsi="宋体" w:cs="宋体"/>
                <w:color w:val="auto"/>
                <w:highlight w:val="none"/>
              </w:rPr>
              <w:t>3.项目组成员满足采购需求。包含：①项目组人员结构②工作经历。</w:t>
            </w:r>
          </w:p>
          <w:p w14:paraId="71DB0A6B">
            <w:pPr>
              <w:adjustRightInd w:val="0"/>
              <w:snapToGrid w:val="0"/>
              <w:spacing w:line="312" w:lineRule="auto"/>
              <w:ind w:firstLine="0" w:firstLineChars="0"/>
              <w:rPr>
                <w:rFonts w:hint="eastAsia" w:ascii="宋体" w:hAnsi="宋体" w:cs="宋体"/>
                <w:color w:val="auto"/>
                <w:highlight w:val="none"/>
              </w:rPr>
            </w:pPr>
            <w:r>
              <w:rPr>
                <w:rFonts w:hint="eastAsia" w:ascii="宋体" w:hAnsi="宋体" w:cs="宋体"/>
                <w:color w:val="auto"/>
                <w:highlight w:val="none"/>
              </w:rPr>
              <w:t>以上内容每项实质性响应各得2分；未实质性响应或未提供不得分。</w:t>
            </w:r>
          </w:p>
        </w:tc>
      </w:tr>
      <w:tr w14:paraId="7628B6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5" w:hRule="atLeast"/>
          <w:jc w:val="center"/>
        </w:trPr>
        <w:tc>
          <w:tcPr>
            <w:tcW w:w="1420" w:type="dxa"/>
            <w:vMerge w:val="continue"/>
            <w:tcBorders>
              <w:left w:val="single" w:color="auto" w:sz="4" w:space="0"/>
              <w:bottom w:val="single" w:color="auto" w:sz="4" w:space="0"/>
              <w:right w:val="single" w:color="auto" w:sz="4" w:space="0"/>
            </w:tcBorders>
            <w:noWrap w:val="0"/>
            <w:vAlign w:val="center"/>
          </w:tcPr>
          <w:p w14:paraId="456E683A">
            <w:pPr>
              <w:adjustRightInd w:val="0"/>
              <w:snapToGrid w:val="0"/>
              <w:spacing w:line="312" w:lineRule="auto"/>
              <w:ind w:firstLine="0" w:firstLineChars="0"/>
              <w:jc w:val="center"/>
              <w:rPr>
                <w:rFonts w:hint="eastAsia" w:ascii="宋体" w:hAnsi="宋体" w:cs="宋体"/>
                <w:color w:val="auto"/>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6137FAB6">
            <w:pPr>
              <w:adjustRightInd w:val="0"/>
              <w:snapToGrid w:val="0"/>
              <w:spacing w:line="312" w:lineRule="auto"/>
              <w:ind w:firstLine="0" w:firstLineChars="0"/>
              <w:jc w:val="center"/>
              <w:rPr>
                <w:rFonts w:hint="eastAsia" w:ascii="宋体" w:hAnsi="宋体" w:cs="宋体"/>
                <w:color w:val="auto"/>
                <w:highlight w:val="none"/>
              </w:rPr>
            </w:pPr>
            <w:r>
              <w:rPr>
                <w:rFonts w:hint="eastAsia" w:ascii="宋体" w:hAnsi="宋体" w:cs="宋体"/>
                <w:color w:val="auto"/>
                <w:highlight w:val="none"/>
              </w:rPr>
              <w:t>类似业绩情况</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3A773AEB">
            <w:pPr>
              <w:widowControl/>
              <w:adjustRightInd w:val="0"/>
              <w:snapToGrid w:val="0"/>
              <w:spacing w:line="312" w:lineRule="auto"/>
              <w:ind w:firstLine="0" w:firstLineChars="0"/>
              <w:jc w:val="center"/>
              <w:rPr>
                <w:rFonts w:hint="eastAsia" w:ascii="宋体" w:hAnsi="宋体" w:cs="宋体"/>
                <w:color w:val="auto"/>
                <w:highlight w:val="none"/>
              </w:rPr>
            </w:pPr>
            <w:r>
              <w:rPr>
                <w:rFonts w:hint="eastAsia" w:ascii="宋体" w:hAnsi="宋体" w:cs="宋体"/>
                <w:color w:val="auto"/>
                <w:highlight w:val="none"/>
              </w:rPr>
              <w:t>5</w:t>
            </w:r>
          </w:p>
        </w:tc>
        <w:tc>
          <w:tcPr>
            <w:tcW w:w="5822" w:type="dxa"/>
            <w:tcBorders>
              <w:top w:val="single" w:color="auto" w:sz="4" w:space="0"/>
              <w:left w:val="single" w:color="auto" w:sz="4" w:space="0"/>
              <w:bottom w:val="single" w:color="auto" w:sz="4" w:space="0"/>
              <w:right w:val="single" w:color="auto" w:sz="4" w:space="0"/>
            </w:tcBorders>
            <w:noWrap w:val="0"/>
            <w:vAlign w:val="top"/>
          </w:tcPr>
          <w:p w14:paraId="42876B08">
            <w:pPr>
              <w:tabs>
                <w:tab w:val="left" w:pos="168"/>
              </w:tabs>
              <w:adjustRightInd w:val="0"/>
              <w:spacing w:line="360" w:lineRule="auto"/>
              <w:ind w:firstLine="0" w:firstLineChars="0"/>
              <w:textAlignment w:val="baseline"/>
              <w:rPr>
                <w:rFonts w:hint="eastAsia" w:ascii="宋体" w:hAnsi="宋体" w:cs="宋体"/>
                <w:color w:val="auto"/>
                <w:highlight w:val="none"/>
              </w:rPr>
            </w:pPr>
            <w:r>
              <w:rPr>
                <w:rFonts w:hint="eastAsia" w:ascii="宋体" w:hAnsi="宋体" w:cs="宋体"/>
                <w:color w:val="auto"/>
                <w:highlight w:val="none"/>
              </w:rPr>
              <w:t>提供近5年来承担类似项目证明材料。提供5项及以上得5分；提供5项以下每1项得1分；不提供不得分（</w:t>
            </w:r>
            <w:r>
              <w:rPr>
                <w:rFonts w:hint="eastAsia" w:ascii="宋体" w:hAnsi="宋体"/>
                <w:color w:val="auto"/>
                <w:highlight w:val="none"/>
              </w:rPr>
              <w:t>需提供包含合同首页、标的及金额所在页、供货合同签字盖章页的扫描（或复印）件。</w:t>
            </w:r>
            <w:r>
              <w:rPr>
                <w:rFonts w:hint="eastAsia" w:ascii="宋体" w:hAnsi="宋体" w:cs="宋体"/>
                <w:color w:val="auto"/>
                <w:highlight w:val="none"/>
              </w:rPr>
              <w:t>）</w:t>
            </w:r>
          </w:p>
        </w:tc>
      </w:tr>
      <w:tr w14:paraId="7C1121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68" w:hRule="atLeast"/>
          <w:jc w:val="center"/>
        </w:trPr>
        <w:tc>
          <w:tcPr>
            <w:tcW w:w="1420" w:type="dxa"/>
            <w:vMerge w:val="restart"/>
            <w:tcBorders>
              <w:top w:val="single" w:color="auto" w:sz="4" w:space="0"/>
              <w:left w:val="single" w:color="auto" w:sz="4" w:space="0"/>
              <w:right w:val="single" w:color="auto" w:sz="4" w:space="0"/>
            </w:tcBorders>
            <w:noWrap w:val="0"/>
            <w:vAlign w:val="center"/>
          </w:tcPr>
          <w:p w14:paraId="620C7692">
            <w:pPr>
              <w:adjustRightInd w:val="0"/>
              <w:snapToGrid w:val="0"/>
              <w:spacing w:line="312" w:lineRule="auto"/>
              <w:ind w:firstLine="0" w:firstLineChars="0"/>
              <w:jc w:val="center"/>
              <w:rPr>
                <w:rFonts w:hint="eastAsia" w:ascii="宋体" w:hAnsi="宋体" w:eastAsia="宋体" w:cs="宋体"/>
                <w:color w:val="auto"/>
                <w:highlight w:val="none"/>
                <w:lang w:eastAsia="zh-CN"/>
              </w:rPr>
            </w:pPr>
            <w:r>
              <w:rPr>
                <w:rFonts w:hint="eastAsia" w:ascii="宋体" w:hAnsi="宋体" w:cs="宋体"/>
                <w:color w:val="auto"/>
                <w:highlight w:val="none"/>
              </w:rPr>
              <w:t>技术</w:t>
            </w:r>
            <w:r>
              <w:rPr>
                <w:rFonts w:hint="eastAsia" w:ascii="宋体" w:hAnsi="宋体" w:cs="宋体"/>
                <w:color w:val="auto"/>
                <w:highlight w:val="none"/>
                <w:lang w:val="en-US" w:eastAsia="zh-CN"/>
              </w:rPr>
              <w:t>部分</w:t>
            </w:r>
            <w:r>
              <w:rPr>
                <w:rFonts w:hint="eastAsia" w:ascii="宋体" w:hAnsi="宋体" w:cs="宋体"/>
                <w:color w:val="auto"/>
                <w:highlight w:val="none"/>
              </w:rPr>
              <w:t>70</w:t>
            </w:r>
            <w:r>
              <w:rPr>
                <w:rFonts w:hint="eastAsia" w:ascii="宋体" w:hAnsi="宋体" w:cs="宋体"/>
                <w:color w:val="auto"/>
                <w:highlight w:val="none"/>
                <w:lang w:val="en-US" w:eastAsia="zh-CN"/>
              </w:rPr>
              <w:t>%</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0635C9B0">
            <w:pPr>
              <w:adjustRightInd w:val="0"/>
              <w:snapToGrid w:val="0"/>
              <w:spacing w:line="312" w:lineRule="auto"/>
              <w:ind w:firstLine="0" w:firstLineChars="0"/>
              <w:jc w:val="center"/>
              <w:rPr>
                <w:rFonts w:hint="eastAsia" w:ascii="宋体" w:hAnsi="宋体" w:cs="宋体"/>
                <w:color w:val="auto"/>
                <w:highlight w:val="none"/>
              </w:rPr>
            </w:pPr>
            <w:r>
              <w:rPr>
                <w:rFonts w:hint="eastAsia" w:ascii="宋体" w:hAnsi="宋体" w:cs="宋体"/>
                <w:color w:val="auto"/>
                <w:highlight w:val="none"/>
              </w:rPr>
              <w:t>资料收集整理</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63FEED8E">
            <w:pPr>
              <w:adjustRightInd w:val="0"/>
              <w:snapToGrid w:val="0"/>
              <w:spacing w:line="312" w:lineRule="auto"/>
              <w:ind w:firstLine="0" w:firstLineChars="0"/>
              <w:jc w:val="center"/>
              <w:rPr>
                <w:rFonts w:hint="eastAsia" w:ascii="宋体" w:hAnsi="宋体" w:cs="宋体"/>
                <w:color w:val="auto"/>
                <w:highlight w:val="none"/>
              </w:rPr>
            </w:pPr>
            <w:r>
              <w:rPr>
                <w:rFonts w:hint="eastAsia" w:ascii="宋体" w:hAnsi="宋体" w:cs="宋体"/>
                <w:color w:val="auto"/>
                <w:highlight w:val="none"/>
              </w:rPr>
              <w:t>20</w:t>
            </w:r>
          </w:p>
        </w:tc>
        <w:tc>
          <w:tcPr>
            <w:tcW w:w="5822" w:type="dxa"/>
            <w:tcBorders>
              <w:top w:val="single" w:color="auto" w:sz="4" w:space="0"/>
              <w:left w:val="single" w:color="auto" w:sz="4" w:space="0"/>
              <w:bottom w:val="single" w:color="auto" w:sz="4" w:space="0"/>
              <w:right w:val="single" w:color="auto" w:sz="4" w:space="0"/>
            </w:tcBorders>
            <w:noWrap w:val="0"/>
            <w:vAlign w:val="center"/>
          </w:tcPr>
          <w:p w14:paraId="1D720F59">
            <w:pPr>
              <w:adjustRightInd w:val="0"/>
              <w:snapToGrid w:val="0"/>
              <w:spacing w:line="312" w:lineRule="auto"/>
              <w:ind w:firstLine="0" w:firstLineChars="0"/>
              <w:rPr>
                <w:rFonts w:hint="eastAsia" w:ascii="宋体" w:hAnsi="宋体" w:cs="宋体"/>
                <w:color w:val="auto"/>
                <w:highlight w:val="none"/>
              </w:rPr>
            </w:pPr>
            <w:r>
              <w:rPr>
                <w:rFonts w:hint="eastAsia" w:ascii="宋体" w:hAnsi="宋体" w:cs="宋体"/>
                <w:color w:val="auto"/>
                <w:highlight w:val="none"/>
              </w:rPr>
              <w:t>针对本项目需求，提供详细准确的现场资料、前人资料和分析研究内容。包含但不限于：①现场了解情况②取得的成果③形成的认识④地质资料⑤地球物理资料⑥地球化学资料⑦遥感资料⑧矿产资料⑨前人资料的综合研究⑩工作区存在问题及提出的解决对策。</w:t>
            </w:r>
          </w:p>
          <w:p w14:paraId="1DD6B604">
            <w:pPr>
              <w:adjustRightInd w:val="0"/>
              <w:snapToGrid w:val="0"/>
              <w:spacing w:line="312" w:lineRule="auto"/>
              <w:ind w:firstLine="0" w:firstLineChars="0"/>
              <w:rPr>
                <w:rFonts w:hint="eastAsia" w:ascii="宋体" w:hAnsi="宋体" w:cs="宋体"/>
                <w:color w:val="auto"/>
                <w:highlight w:val="none"/>
              </w:rPr>
            </w:pPr>
            <w:r>
              <w:rPr>
                <w:rFonts w:hint="eastAsia" w:ascii="宋体" w:hAnsi="宋体" w:cs="宋体"/>
                <w:color w:val="auto"/>
                <w:highlight w:val="none"/>
              </w:rPr>
              <w:t>以上内容每项实质性响应各得2分；每有一项存在缺陷或不足的扣1分，未提供的不得分。</w:t>
            </w:r>
          </w:p>
        </w:tc>
      </w:tr>
      <w:tr w14:paraId="53576D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1420" w:type="dxa"/>
            <w:vMerge w:val="continue"/>
            <w:tcBorders>
              <w:left w:val="single" w:color="auto" w:sz="4" w:space="0"/>
              <w:right w:val="single" w:color="auto" w:sz="4" w:space="0"/>
            </w:tcBorders>
            <w:noWrap w:val="0"/>
            <w:vAlign w:val="center"/>
          </w:tcPr>
          <w:p w14:paraId="48926D9A">
            <w:pPr>
              <w:adjustRightInd w:val="0"/>
              <w:snapToGrid w:val="0"/>
              <w:spacing w:line="312" w:lineRule="auto"/>
              <w:ind w:firstLine="0" w:firstLineChars="0"/>
              <w:jc w:val="center"/>
              <w:rPr>
                <w:rFonts w:hint="eastAsia" w:ascii="宋体" w:hAnsi="宋体" w:cs="宋体"/>
                <w:color w:val="auto"/>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6539EB3B">
            <w:pPr>
              <w:adjustRightInd w:val="0"/>
              <w:snapToGrid w:val="0"/>
              <w:spacing w:line="312" w:lineRule="auto"/>
              <w:ind w:firstLine="0" w:firstLineChars="0"/>
              <w:jc w:val="center"/>
              <w:rPr>
                <w:rFonts w:hint="eastAsia" w:ascii="宋体" w:hAnsi="宋体" w:cs="宋体"/>
                <w:color w:val="auto"/>
                <w:highlight w:val="none"/>
              </w:rPr>
            </w:pPr>
            <w:r>
              <w:rPr>
                <w:rFonts w:hint="eastAsia" w:ascii="宋体" w:hAnsi="宋体" w:cs="宋体"/>
                <w:color w:val="auto"/>
                <w:highlight w:val="none"/>
              </w:rPr>
              <w:t>工作</w:t>
            </w:r>
          </w:p>
          <w:p w14:paraId="0DAF5E79">
            <w:pPr>
              <w:adjustRightInd w:val="0"/>
              <w:snapToGrid w:val="0"/>
              <w:spacing w:line="312" w:lineRule="auto"/>
              <w:ind w:firstLine="0" w:firstLineChars="0"/>
              <w:jc w:val="center"/>
              <w:rPr>
                <w:rFonts w:hint="eastAsia" w:ascii="宋体" w:hAnsi="宋体" w:cs="宋体"/>
                <w:color w:val="auto"/>
                <w:highlight w:val="none"/>
              </w:rPr>
            </w:pPr>
            <w:r>
              <w:rPr>
                <w:rFonts w:hint="eastAsia" w:ascii="宋体" w:hAnsi="宋体" w:cs="宋体"/>
                <w:color w:val="auto"/>
                <w:highlight w:val="none"/>
              </w:rPr>
              <w:t>部署</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0EF2B681">
            <w:pPr>
              <w:adjustRightInd w:val="0"/>
              <w:snapToGrid w:val="0"/>
              <w:spacing w:line="312" w:lineRule="auto"/>
              <w:ind w:firstLine="0" w:firstLineChars="0"/>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45</w:t>
            </w:r>
          </w:p>
        </w:tc>
        <w:tc>
          <w:tcPr>
            <w:tcW w:w="5822" w:type="dxa"/>
            <w:tcBorders>
              <w:top w:val="single" w:color="auto" w:sz="4" w:space="0"/>
              <w:left w:val="single" w:color="auto" w:sz="4" w:space="0"/>
              <w:bottom w:val="single" w:color="auto" w:sz="4" w:space="0"/>
              <w:right w:val="single" w:color="auto" w:sz="4" w:space="0"/>
            </w:tcBorders>
            <w:noWrap w:val="0"/>
            <w:vAlign w:val="center"/>
          </w:tcPr>
          <w:p w14:paraId="77E06D14">
            <w:pPr>
              <w:adjustRightInd w:val="0"/>
              <w:snapToGrid w:val="0"/>
              <w:spacing w:line="312" w:lineRule="auto"/>
              <w:ind w:firstLine="0" w:firstLineChars="0"/>
              <w:rPr>
                <w:rFonts w:hint="eastAsia" w:ascii="宋体" w:hAnsi="宋体" w:cs="宋体"/>
                <w:color w:val="auto"/>
                <w:highlight w:val="none"/>
              </w:rPr>
            </w:pPr>
            <w:r>
              <w:rPr>
                <w:rFonts w:hint="eastAsia" w:ascii="宋体" w:hAnsi="宋体" w:cs="宋体"/>
                <w:color w:val="auto"/>
                <w:highlight w:val="none"/>
              </w:rPr>
              <w:t>1.针对本项目需求，提供科学、合理、完整的工作部署方案。包含：①依据充分，原则明确②满足项目目的任务要求③考虑了可能出现的特殊情况，并有应对措施。</w:t>
            </w:r>
          </w:p>
          <w:p w14:paraId="076A9399">
            <w:pPr>
              <w:adjustRightInd w:val="0"/>
              <w:snapToGrid w:val="0"/>
              <w:spacing w:line="312" w:lineRule="auto"/>
              <w:ind w:firstLine="0" w:firstLineChars="0"/>
              <w:rPr>
                <w:rFonts w:hint="eastAsia" w:ascii="宋体" w:hAnsi="宋体" w:cs="宋体"/>
                <w:color w:val="auto"/>
                <w:highlight w:val="none"/>
              </w:rPr>
            </w:pPr>
            <w:r>
              <w:rPr>
                <w:rFonts w:hint="eastAsia" w:ascii="宋体" w:hAnsi="宋体" w:cs="宋体"/>
                <w:color w:val="auto"/>
                <w:highlight w:val="none"/>
              </w:rPr>
              <w:t>以上内容</w:t>
            </w:r>
            <w:r>
              <w:rPr>
                <w:rFonts w:hint="eastAsia" w:ascii="宋体" w:hAnsi="宋体" w:eastAsia="宋体" w:cs="宋体"/>
                <w:color w:val="auto"/>
                <w:highlight w:val="none"/>
                <w:shd w:val="clear" w:color="auto" w:fill="FFFFFF"/>
              </w:rPr>
              <w:t>每项实质性响应各得2分；</w:t>
            </w:r>
            <w:r>
              <w:rPr>
                <w:rFonts w:hint="eastAsia" w:ascii="宋体" w:hAnsi="宋体" w:cs="宋体"/>
                <w:color w:val="auto"/>
                <w:kern w:val="0"/>
                <w:highlight w:val="none"/>
                <w:lang w:bidi="ar"/>
              </w:rPr>
              <w:t>每有一项存在缺陷或不足的扣</w:t>
            </w:r>
            <w:r>
              <w:rPr>
                <w:rFonts w:hint="eastAsia" w:ascii="宋体" w:hAnsi="宋体" w:cs="宋体"/>
                <w:color w:val="auto"/>
                <w:kern w:val="0"/>
                <w:highlight w:val="none"/>
                <w:lang w:val="en-US" w:eastAsia="zh-CN" w:bidi="ar"/>
              </w:rPr>
              <w:t>1</w:t>
            </w:r>
            <w:r>
              <w:rPr>
                <w:rFonts w:hint="eastAsia" w:ascii="宋体" w:hAnsi="宋体" w:cs="宋体"/>
                <w:color w:val="auto"/>
                <w:kern w:val="0"/>
                <w:highlight w:val="none"/>
                <w:lang w:bidi="ar"/>
              </w:rPr>
              <w:t>分，未提供的不得分</w:t>
            </w:r>
            <w:r>
              <w:rPr>
                <w:rFonts w:hint="eastAsia" w:ascii="宋体" w:hAnsi="宋体"/>
                <w:color w:val="auto"/>
                <w:kern w:val="0"/>
                <w:highlight w:val="none"/>
                <w:lang w:val="zh-CN"/>
              </w:rPr>
              <w:t>。</w:t>
            </w:r>
          </w:p>
          <w:p w14:paraId="0D67E9C3">
            <w:pPr>
              <w:adjustRightInd w:val="0"/>
              <w:snapToGrid w:val="0"/>
              <w:spacing w:line="312" w:lineRule="auto"/>
              <w:ind w:firstLine="0" w:firstLineChars="0"/>
              <w:rPr>
                <w:rFonts w:hint="eastAsia" w:ascii="宋体" w:hAnsi="宋体" w:cs="宋体"/>
                <w:color w:val="auto"/>
                <w:highlight w:val="none"/>
              </w:rPr>
            </w:pPr>
            <w:r>
              <w:rPr>
                <w:rFonts w:hint="eastAsia" w:ascii="宋体" w:hAnsi="宋体" w:cs="宋体"/>
                <w:color w:val="auto"/>
                <w:highlight w:val="none"/>
              </w:rPr>
              <w:t>2.针对本项目需求，提供清晰、合理的工作思路。包含：①思路清晰符合项目实际②可操作性强。</w:t>
            </w:r>
          </w:p>
          <w:p w14:paraId="62B0E930">
            <w:pPr>
              <w:keepNext w:val="0"/>
              <w:keepLines w:val="0"/>
              <w:pageBreakBefore w:val="0"/>
              <w:kinsoku/>
              <w:wordWrap/>
              <w:overflowPunct/>
              <w:topLinePunct w:val="0"/>
              <w:autoSpaceDE/>
              <w:autoSpaceDN/>
              <w:bidi w:val="0"/>
              <w:adjustRightInd w:val="0"/>
              <w:snapToGrid w:val="0"/>
              <w:spacing w:line="312"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以上内容每项实质性响应各得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分；每有一项存在缺陷或不足的扣1</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分，未提供的不得分。</w:t>
            </w:r>
          </w:p>
          <w:p w14:paraId="6B2ACEA8">
            <w:pPr>
              <w:adjustRightInd w:val="0"/>
              <w:snapToGrid w:val="0"/>
              <w:spacing w:line="312" w:lineRule="auto"/>
              <w:ind w:firstLine="0" w:firstLineChars="0"/>
              <w:rPr>
                <w:rFonts w:hint="eastAsia" w:ascii="宋体" w:hAnsi="宋体" w:cs="宋体"/>
                <w:color w:val="auto"/>
                <w:highlight w:val="none"/>
              </w:rPr>
            </w:pPr>
            <w:r>
              <w:rPr>
                <w:rFonts w:hint="eastAsia" w:ascii="宋体" w:hAnsi="宋体" w:cs="宋体"/>
                <w:color w:val="auto"/>
                <w:highlight w:val="none"/>
              </w:rPr>
              <w:t>3.针对本项目需求，提供详细、清晰、完整、科学、合理的工作内容和程序。包含：①内容齐全②技术路线清晰可行③技术方法和精度要求符合规范④进度安排得当。</w:t>
            </w:r>
          </w:p>
          <w:p w14:paraId="2C9A15AE">
            <w:pPr>
              <w:adjustRightInd w:val="0"/>
              <w:snapToGrid w:val="0"/>
              <w:spacing w:line="312" w:lineRule="auto"/>
              <w:ind w:firstLine="0" w:firstLineChars="0"/>
              <w:rPr>
                <w:rFonts w:hint="eastAsia" w:ascii="宋体" w:hAnsi="宋体" w:eastAsia="宋体" w:cs="宋体"/>
                <w:color w:val="auto"/>
                <w:sz w:val="24"/>
                <w:szCs w:val="24"/>
                <w:highlight w:val="none"/>
              </w:rPr>
            </w:pPr>
            <w:r>
              <w:rPr>
                <w:rFonts w:hint="eastAsia" w:ascii="宋体" w:hAnsi="宋体" w:cs="宋体"/>
                <w:color w:val="auto"/>
                <w:highlight w:val="none"/>
              </w:rPr>
              <w:t>以上内容：①、②</w:t>
            </w:r>
            <w:r>
              <w:rPr>
                <w:rFonts w:hint="eastAsia" w:ascii="宋体" w:hAnsi="宋体" w:cs="宋体"/>
                <w:color w:val="auto"/>
                <w:highlight w:val="none"/>
                <w:lang w:eastAsia="zh-CN"/>
              </w:rPr>
              <w:t>、</w:t>
            </w:r>
            <w:r>
              <w:rPr>
                <w:rFonts w:hint="eastAsia" w:ascii="宋体" w:hAnsi="宋体" w:cs="宋体"/>
                <w:color w:val="auto"/>
                <w:highlight w:val="none"/>
              </w:rPr>
              <w:t>③每项实质性响应各得</w:t>
            </w:r>
            <w:r>
              <w:rPr>
                <w:rFonts w:hint="eastAsia" w:ascii="宋体" w:hAnsi="宋体" w:cs="宋体"/>
                <w:color w:val="auto"/>
                <w:highlight w:val="none"/>
                <w:lang w:val="en-US" w:eastAsia="zh-CN"/>
              </w:rPr>
              <w:t>4</w:t>
            </w:r>
            <w:r>
              <w:rPr>
                <w:rFonts w:hint="eastAsia" w:ascii="宋体" w:hAnsi="宋体" w:cs="宋体"/>
                <w:color w:val="auto"/>
                <w:highlight w:val="none"/>
              </w:rPr>
              <w:t>分；</w:t>
            </w:r>
            <w:r>
              <w:rPr>
                <w:rFonts w:hint="eastAsia" w:ascii="宋体" w:hAnsi="宋体" w:eastAsia="宋体" w:cs="宋体"/>
                <w:color w:val="auto"/>
                <w:sz w:val="24"/>
                <w:szCs w:val="24"/>
                <w:highlight w:val="none"/>
              </w:rPr>
              <w:t>每有一项存在缺陷或不足的扣</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分，未提供的不得分。</w:t>
            </w:r>
            <w:r>
              <w:rPr>
                <w:rFonts w:hint="eastAsia" w:ascii="宋体" w:hAnsi="宋体" w:cs="宋体"/>
                <w:color w:val="auto"/>
                <w:highlight w:val="none"/>
              </w:rPr>
              <w:t>④每项实质性响应得</w:t>
            </w:r>
            <w:r>
              <w:rPr>
                <w:rFonts w:hint="eastAsia" w:ascii="宋体" w:hAnsi="宋体" w:cs="宋体"/>
                <w:color w:val="auto"/>
                <w:highlight w:val="none"/>
                <w:lang w:val="en-US" w:eastAsia="zh-CN"/>
              </w:rPr>
              <w:t>3</w:t>
            </w:r>
            <w:r>
              <w:rPr>
                <w:rFonts w:hint="eastAsia" w:ascii="宋体" w:hAnsi="宋体" w:cs="宋体"/>
                <w:color w:val="auto"/>
                <w:highlight w:val="none"/>
              </w:rPr>
              <w:t>分；</w:t>
            </w:r>
            <w:r>
              <w:rPr>
                <w:rFonts w:hint="eastAsia" w:ascii="宋体" w:hAnsi="宋体" w:eastAsia="宋体" w:cs="宋体"/>
                <w:color w:val="auto"/>
                <w:sz w:val="24"/>
                <w:szCs w:val="24"/>
                <w:highlight w:val="none"/>
              </w:rPr>
              <w:t>每有一项存在缺陷或不足的扣1</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分，未提供的不得分。</w:t>
            </w:r>
          </w:p>
          <w:p w14:paraId="1F2109A0">
            <w:pPr>
              <w:adjustRightInd w:val="0"/>
              <w:snapToGrid w:val="0"/>
              <w:spacing w:line="312" w:lineRule="auto"/>
              <w:ind w:firstLine="0" w:firstLineChars="0"/>
              <w:rPr>
                <w:rFonts w:hint="eastAsia" w:ascii="宋体" w:hAnsi="宋体" w:cs="宋体"/>
                <w:color w:val="auto"/>
                <w:highlight w:val="none"/>
              </w:rPr>
            </w:pPr>
            <w:r>
              <w:rPr>
                <w:rFonts w:hint="eastAsia" w:ascii="宋体" w:hAnsi="宋体" w:cs="宋体"/>
                <w:color w:val="auto"/>
                <w:highlight w:val="none"/>
              </w:rPr>
              <w:t>4.针对本项目需求，提供科学、合理、可行的工作方法。包含：</w:t>
            </w:r>
            <w:r>
              <w:rPr>
                <w:rFonts w:hint="eastAsia" w:ascii="宋体" w:hAnsi="宋体" w:eastAsia="宋体" w:cs="宋体"/>
                <w:color w:val="auto"/>
                <w:sz w:val="24"/>
                <w:szCs w:val="24"/>
                <w:highlight w:val="none"/>
              </w:rPr>
              <w:t>①工作方法齐全②技术要求符合规范③</w:t>
            </w:r>
            <w:r>
              <w:rPr>
                <w:rFonts w:hint="eastAsia" w:ascii="宋体" w:hAnsi="宋体" w:eastAsia="宋体" w:cs="宋体"/>
                <w:color w:val="auto"/>
                <w:highlight w:val="none"/>
                <w:shd w:val="clear" w:color="auto" w:fill="FFFFFF"/>
              </w:rPr>
              <w:t>图件制作规范。以上内容每项实质性响应各得2分；</w:t>
            </w:r>
            <w:r>
              <w:rPr>
                <w:rFonts w:hint="eastAsia" w:ascii="宋体" w:hAnsi="宋体" w:cs="宋体"/>
                <w:color w:val="auto"/>
                <w:kern w:val="0"/>
                <w:highlight w:val="none"/>
                <w:lang w:bidi="ar"/>
              </w:rPr>
              <w:t>每有一项存在缺陷或不足的扣</w:t>
            </w:r>
            <w:r>
              <w:rPr>
                <w:rFonts w:hint="eastAsia" w:ascii="宋体" w:hAnsi="宋体" w:cs="宋体"/>
                <w:color w:val="auto"/>
                <w:kern w:val="0"/>
                <w:highlight w:val="none"/>
                <w:lang w:val="en-US" w:eastAsia="zh-CN" w:bidi="ar"/>
              </w:rPr>
              <w:t>1</w:t>
            </w:r>
            <w:r>
              <w:rPr>
                <w:rFonts w:hint="eastAsia" w:ascii="宋体" w:hAnsi="宋体" w:cs="宋体"/>
                <w:color w:val="auto"/>
                <w:kern w:val="0"/>
                <w:highlight w:val="none"/>
                <w:lang w:bidi="ar"/>
              </w:rPr>
              <w:t>分，未提供的不得分</w:t>
            </w:r>
            <w:r>
              <w:rPr>
                <w:rFonts w:hint="eastAsia" w:ascii="宋体" w:hAnsi="宋体" w:eastAsia="宋体" w:cs="宋体"/>
                <w:color w:val="auto"/>
                <w:highlight w:val="none"/>
                <w:shd w:val="clear" w:color="auto" w:fill="FFFFFF"/>
              </w:rPr>
              <w:t>。</w:t>
            </w:r>
          </w:p>
          <w:p w14:paraId="09885484">
            <w:pPr>
              <w:adjustRightInd w:val="0"/>
              <w:snapToGrid w:val="0"/>
              <w:spacing w:line="312" w:lineRule="auto"/>
              <w:ind w:firstLine="0" w:firstLineChars="0"/>
              <w:rPr>
                <w:rFonts w:hint="eastAsia" w:ascii="宋体" w:hAnsi="宋体" w:cs="宋体"/>
                <w:color w:val="auto"/>
                <w:highlight w:val="none"/>
              </w:rPr>
            </w:pPr>
            <w:r>
              <w:rPr>
                <w:rFonts w:hint="eastAsia" w:ascii="宋体" w:hAnsi="宋体" w:cs="宋体"/>
                <w:color w:val="auto"/>
                <w:highlight w:val="none"/>
              </w:rPr>
              <w:t>5.针对本项目需求，提供能满足项目任务目标的实物工作量。包含：①满足项目要求②可操作性强，符合工作实际。</w:t>
            </w:r>
          </w:p>
          <w:p w14:paraId="5930A178">
            <w:pPr>
              <w:adjustRightInd w:val="0"/>
              <w:snapToGrid w:val="0"/>
              <w:spacing w:line="312" w:lineRule="auto"/>
              <w:ind w:firstLine="0" w:firstLineChars="0"/>
              <w:rPr>
                <w:rFonts w:hint="eastAsia" w:ascii="宋体" w:hAnsi="宋体" w:cs="宋体"/>
                <w:color w:val="auto"/>
                <w:highlight w:val="none"/>
              </w:rPr>
            </w:pPr>
            <w:r>
              <w:rPr>
                <w:rFonts w:hint="eastAsia" w:ascii="宋体" w:hAnsi="宋体" w:cs="宋体"/>
                <w:color w:val="auto"/>
                <w:highlight w:val="none"/>
              </w:rPr>
              <w:t>以上内容每项实质性响应各得</w:t>
            </w:r>
            <w:r>
              <w:rPr>
                <w:rFonts w:hint="eastAsia" w:ascii="宋体" w:hAnsi="宋体" w:cs="宋体"/>
                <w:color w:val="auto"/>
                <w:highlight w:val="none"/>
                <w:lang w:val="en-US" w:eastAsia="zh-CN"/>
              </w:rPr>
              <w:t>3</w:t>
            </w:r>
            <w:r>
              <w:rPr>
                <w:rFonts w:hint="eastAsia" w:ascii="宋体" w:hAnsi="宋体" w:cs="宋体"/>
                <w:color w:val="auto"/>
                <w:highlight w:val="none"/>
              </w:rPr>
              <w:t>分；每有一项存在缺陷或不足的扣1.5分，未提供的不得分。</w:t>
            </w:r>
          </w:p>
          <w:p w14:paraId="6870C8AB">
            <w:pPr>
              <w:adjustRightInd w:val="0"/>
              <w:snapToGrid w:val="0"/>
              <w:spacing w:line="312" w:lineRule="auto"/>
              <w:ind w:firstLine="0" w:firstLineChars="0"/>
              <w:rPr>
                <w:rFonts w:hint="eastAsia" w:ascii="宋体" w:hAnsi="宋体" w:cs="宋体"/>
                <w:color w:val="auto"/>
                <w:highlight w:val="none"/>
              </w:rPr>
            </w:pPr>
            <w:r>
              <w:rPr>
                <w:rFonts w:hint="eastAsia" w:ascii="宋体" w:hAnsi="宋体" w:cs="宋体"/>
                <w:color w:val="auto"/>
                <w:highlight w:val="none"/>
              </w:rPr>
              <w:t>6.针对本项目需求，提供完整的预期成果和规范详实的文图资料。包含：①预期成果明确②文图齐全③符合规范。</w:t>
            </w:r>
          </w:p>
          <w:p w14:paraId="6BA95CCE">
            <w:pPr>
              <w:adjustRightInd w:val="0"/>
              <w:snapToGrid w:val="0"/>
              <w:spacing w:line="312" w:lineRule="auto"/>
              <w:ind w:firstLine="0" w:firstLineChars="0"/>
              <w:rPr>
                <w:rFonts w:hint="eastAsia" w:ascii="宋体" w:hAnsi="宋体" w:cs="宋体"/>
                <w:color w:val="auto"/>
                <w:highlight w:val="none"/>
              </w:rPr>
            </w:pPr>
            <w:r>
              <w:rPr>
                <w:rFonts w:hint="eastAsia" w:ascii="宋体" w:hAnsi="宋体" w:eastAsia="宋体" w:cs="宋体"/>
                <w:color w:val="auto"/>
                <w:sz w:val="24"/>
                <w:szCs w:val="24"/>
                <w:highlight w:val="none"/>
              </w:rPr>
              <w:t>以上内容</w:t>
            </w:r>
            <w:r>
              <w:rPr>
                <w:rFonts w:hint="eastAsia" w:ascii="宋体" w:hAnsi="宋体" w:eastAsia="宋体" w:cs="宋体"/>
                <w:color w:val="auto"/>
                <w:highlight w:val="none"/>
                <w:shd w:val="clear" w:color="auto" w:fill="FFFFFF"/>
              </w:rPr>
              <w:t>每项实质性响应各得2分；</w:t>
            </w:r>
            <w:r>
              <w:rPr>
                <w:rFonts w:hint="eastAsia" w:ascii="宋体" w:hAnsi="宋体" w:cs="宋体"/>
                <w:color w:val="auto"/>
                <w:kern w:val="0"/>
                <w:highlight w:val="none"/>
                <w:lang w:bidi="ar"/>
              </w:rPr>
              <w:t>每有一项存在缺陷或不足的扣</w:t>
            </w:r>
            <w:r>
              <w:rPr>
                <w:rFonts w:hint="eastAsia" w:ascii="宋体" w:hAnsi="宋体" w:cs="宋体"/>
                <w:color w:val="auto"/>
                <w:kern w:val="0"/>
                <w:highlight w:val="none"/>
                <w:lang w:val="en-US" w:eastAsia="zh-CN" w:bidi="ar"/>
              </w:rPr>
              <w:t>1</w:t>
            </w:r>
            <w:r>
              <w:rPr>
                <w:rFonts w:hint="eastAsia" w:ascii="宋体" w:hAnsi="宋体" w:cs="宋体"/>
                <w:color w:val="auto"/>
                <w:kern w:val="0"/>
                <w:highlight w:val="none"/>
                <w:lang w:bidi="ar"/>
              </w:rPr>
              <w:t>分，未提供的不得分</w:t>
            </w:r>
            <w:r>
              <w:rPr>
                <w:rFonts w:hint="eastAsia" w:ascii="宋体" w:hAnsi="宋体"/>
                <w:color w:val="auto"/>
                <w:kern w:val="0"/>
                <w:highlight w:val="none"/>
                <w:lang w:val="zh-CN"/>
              </w:rPr>
              <w:t>。</w:t>
            </w:r>
          </w:p>
        </w:tc>
      </w:tr>
      <w:tr w14:paraId="56E021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7" w:hRule="atLeast"/>
          <w:jc w:val="center"/>
        </w:trPr>
        <w:tc>
          <w:tcPr>
            <w:tcW w:w="1420" w:type="dxa"/>
            <w:vMerge w:val="continue"/>
            <w:tcBorders>
              <w:left w:val="single" w:color="auto" w:sz="4" w:space="0"/>
              <w:right w:val="single" w:color="auto" w:sz="4" w:space="0"/>
            </w:tcBorders>
            <w:noWrap w:val="0"/>
            <w:vAlign w:val="center"/>
          </w:tcPr>
          <w:p w14:paraId="35E0C096">
            <w:pPr>
              <w:adjustRightInd w:val="0"/>
              <w:snapToGrid w:val="0"/>
              <w:spacing w:line="312" w:lineRule="auto"/>
              <w:ind w:firstLine="0" w:firstLineChars="0"/>
              <w:jc w:val="center"/>
              <w:rPr>
                <w:rFonts w:hint="eastAsia" w:ascii="宋体" w:hAnsi="宋体" w:cs="宋体"/>
                <w:color w:val="auto"/>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739E8EB8">
            <w:pPr>
              <w:adjustRightInd w:val="0"/>
              <w:snapToGrid w:val="0"/>
              <w:spacing w:line="312" w:lineRule="auto"/>
              <w:ind w:firstLine="0" w:firstLineChars="0"/>
              <w:jc w:val="center"/>
              <w:rPr>
                <w:rFonts w:hint="eastAsia" w:ascii="宋体" w:hAnsi="宋体" w:cs="宋体"/>
                <w:color w:val="auto"/>
                <w:highlight w:val="none"/>
              </w:rPr>
            </w:pPr>
            <w:r>
              <w:rPr>
                <w:rFonts w:hint="eastAsia" w:ascii="宋体" w:hAnsi="宋体" w:cs="宋体"/>
                <w:color w:val="auto"/>
                <w:highlight w:val="none"/>
              </w:rPr>
              <w:t>保障措施</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21FCB958">
            <w:pPr>
              <w:adjustRightInd w:val="0"/>
              <w:snapToGrid w:val="0"/>
              <w:spacing w:line="312" w:lineRule="auto"/>
              <w:ind w:firstLine="0" w:firstLineChars="0"/>
              <w:jc w:val="center"/>
              <w:rPr>
                <w:rFonts w:hint="eastAsia" w:ascii="宋体" w:hAnsi="宋体" w:cs="宋体"/>
                <w:color w:val="auto"/>
                <w:highlight w:val="none"/>
              </w:rPr>
            </w:pPr>
            <w:r>
              <w:rPr>
                <w:rFonts w:hint="eastAsia" w:ascii="宋体" w:hAnsi="宋体" w:cs="宋体"/>
                <w:color w:val="auto"/>
                <w:highlight w:val="none"/>
              </w:rPr>
              <w:t>5</w:t>
            </w:r>
          </w:p>
        </w:tc>
        <w:tc>
          <w:tcPr>
            <w:tcW w:w="5822" w:type="dxa"/>
            <w:tcBorders>
              <w:top w:val="single" w:color="auto" w:sz="4" w:space="0"/>
              <w:left w:val="single" w:color="auto" w:sz="4" w:space="0"/>
              <w:bottom w:val="single" w:color="auto" w:sz="4" w:space="0"/>
              <w:right w:val="single" w:color="auto" w:sz="4" w:space="0"/>
            </w:tcBorders>
            <w:noWrap w:val="0"/>
            <w:vAlign w:val="center"/>
          </w:tcPr>
          <w:p w14:paraId="73913E73">
            <w:pPr>
              <w:adjustRightInd w:val="0"/>
              <w:snapToGrid w:val="0"/>
              <w:spacing w:line="312" w:lineRule="auto"/>
              <w:ind w:firstLine="0" w:firstLineChars="0"/>
              <w:rPr>
                <w:rFonts w:hint="eastAsia" w:ascii="宋体" w:hAnsi="宋体" w:cs="宋体"/>
                <w:color w:val="auto"/>
                <w:highlight w:val="none"/>
              </w:rPr>
            </w:pPr>
            <w:r>
              <w:rPr>
                <w:rFonts w:hint="eastAsia" w:ascii="宋体" w:hAnsi="宋体" w:cs="宋体"/>
                <w:color w:val="auto"/>
                <w:highlight w:val="none"/>
              </w:rPr>
              <w:t>1.针对本项目需求，提供科学、合理的项目组织管理方案。包含：①规章制度齐全②组织机构健全。</w:t>
            </w:r>
          </w:p>
          <w:p w14:paraId="65B49112">
            <w:pPr>
              <w:adjustRightInd w:val="0"/>
              <w:snapToGrid w:val="0"/>
              <w:spacing w:line="312" w:lineRule="auto"/>
              <w:ind w:firstLine="0" w:firstLineChars="0"/>
              <w:rPr>
                <w:rFonts w:hint="eastAsia" w:ascii="宋体" w:hAnsi="宋体" w:cs="宋体"/>
                <w:color w:val="auto"/>
                <w:highlight w:val="none"/>
              </w:rPr>
            </w:pPr>
            <w:r>
              <w:rPr>
                <w:rFonts w:hint="eastAsia" w:ascii="宋体" w:hAnsi="宋体" w:cs="宋体"/>
                <w:color w:val="auto"/>
                <w:highlight w:val="none"/>
              </w:rPr>
              <w:t>以上内容每项实质性响应各得1分；每有一项存在缺陷或不足的扣0.5分，未提供的不得分。</w:t>
            </w:r>
          </w:p>
          <w:p w14:paraId="48BB1CB3">
            <w:pPr>
              <w:adjustRightInd w:val="0"/>
              <w:snapToGrid w:val="0"/>
              <w:spacing w:line="312" w:lineRule="auto"/>
              <w:ind w:firstLine="0" w:firstLineChars="0"/>
              <w:rPr>
                <w:rFonts w:hint="eastAsia" w:ascii="宋体" w:hAnsi="宋体" w:cs="宋体"/>
                <w:color w:val="auto"/>
                <w:highlight w:val="none"/>
              </w:rPr>
            </w:pPr>
            <w:r>
              <w:rPr>
                <w:rFonts w:hint="eastAsia" w:ascii="宋体" w:hAnsi="宋体" w:cs="宋体"/>
                <w:color w:val="auto"/>
                <w:highlight w:val="none"/>
              </w:rPr>
              <w:t>2.针对本项目需求，提供详细、严谨的质量保障方案。包含：①质量管理制度齐全②质量监控措施有力。</w:t>
            </w:r>
          </w:p>
          <w:p w14:paraId="0184D9D2">
            <w:pPr>
              <w:adjustRightInd w:val="0"/>
              <w:snapToGrid w:val="0"/>
              <w:spacing w:line="312" w:lineRule="auto"/>
              <w:ind w:firstLine="0" w:firstLineChars="0"/>
              <w:rPr>
                <w:rFonts w:hint="eastAsia" w:ascii="宋体" w:hAnsi="宋体" w:cs="宋体"/>
                <w:color w:val="auto"/>
                <w:highlight w:val="none"/>
              </w:rPr>
            </w:pPr>
            <w:r>
              <w:rPr>
                <w:rFonts w:hint="eastAsia" w:ascii="宋体" w:hAnsi="宋体" w:cs="宋体"/>
                <w:color w:val="auto"/>
                <w:highlight w:val="none"/>
              </w:rPr>
              <w:t>以上内容每项实质性响应各得0.5分；每有一项存在缺陷或不足的扣0.25分，未提供的不得分。</w:t>
            </w:r>
          </w:p>
          <w:p w14:paraId="4C2676AF">
            <w:pPr>
              <w:adjustRightInd w:val="0"/>
              <w:snapToGrid w:val="0"/>
              <w:spacing w:line="312" w:lineRule="auto"/>
              <w:ind w:firstLine="0" w:firstLineChars="0"/>
              <w:rPr>
                <w:rFonts w:hint="eastAsia" w:ascii="宋体" w:hAnsi="宋体" w:cs="宋体"/>
                <w:color w:val="auto"/>
                <w:highlight w:val="none"/>
              </w:rPr>
            </w:pPr>
            <w:r>
              <w:rPr>
                <w:rFonts w:hint="eastAsia" w:ascii="宋体" w:hAnsi="宋体" w:cs="宋体"/>
                <w:color w:val="auto"/>
                <w:highlight w:val="none"/>
              </w:rPr>
              <w:t>3.安全技术要求和措施完全满足采购需求的，得1分；未实质性响应或未提供不得分。</w:t>
            </w:r>
          </w:p>
          <w:p w14:paraId="03466017">
            <w:pPr>
              <w:adjustRightInd w:val="0"/>
              <w:snapToGrid w:val="0"/>
              <w:spacing w:line="312" w:lineRule="auto"/>
              <w:ind w:firstLine="0" w:firstLineChars="0"/>
              <w:rPr>
                <w:rFonts w:hint="eastAsia" w:ascii="宋体" w:hAnsi="宋体" w:cs="宋体"/>
                <w:color w:val="auto"/>
                <w:highlight w:val="none"/>
              </w:rPr>
            </w:pPr>
            <w:r>
              <w:rPr>
                <w:rFonts w:hint="eastAsia" w:ascii="宋体" w:hAnsi="宋体" w:cs="宋体"/>
                <w:color w:val="auto"/>
                <w:highlight w:val="none"/>
              </w:rPr>
              <w:t>4.仪器装备完全满足采购需求的，得1分，未实质性响应或未提供不得分。</w:t>
            </w:r>
          </w:p>
        </w:tc>
      </w:tr>
      <w:tr w14:paraId="4A970F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 w:hRule="atLeast"/>
          <w:jc w:val="center"/>
        </w:trPr>
        <w:tc>
          <w:tcPr>
            <w:tcW w:w="9192" w:type="dxa"/>
            <w:gridSpan w:val="4"/>
            <w:tcBorders>
              <w:top w:val="single" w:color="auto" w:sz="4" w:space="0"/>
              <w:left w:val="single" w:color="auto" w:sz="4" w:space="0"/>
              <w:right w:val="single" w:color="auto" w:sz="4" w:space="0"/>
            </w:tcBorders>
            <w:noWrap w:val="0"/>
            <w:vAlign w:val="center"/>
          </w:tcPr>
          <w:p w14:paraId="617D828D">
            <w:pPr>
              <w:tabs>
                <w:tab w:val="left" w:pos="168"/>
              </w:tabs>
              <w:adjustRightInd w:val="0"/>
              <w:spacing w:line="360" w:lineRule="auto"/>
              <w:ind w:firstLine="0" w:firstLineChars="0"/>
              <w:jc w:val="center"/>
              <w:textAlignment w:val="baseline"/>
              <w:rPr>
                <w:rFonts w:hint="eastAsia" w:ascii="宋体" w:hAnsi="宋体" w:cs="宋体"/>
                <w:color w:val="auto"/>
                <w:highlight w:val="none"/>
              </w:rPr>
            </w:pPr>
            <w:r>
              <w:rPr>
                <w:rFonts w:hint="eastAsia" w:ascii="宋体" w:hAnsi="宋体" w:cs="宋体"/>
                <w:color w:val="auto"/>
                <w:highlight w:val="none"/>
              </w:rPr>
              <w:t>注：缺陷是指：存在项目名称错误、地点区域错误、内容与本项目需求无关、方案内容矛盾或表述前后不一致、仅有框架或标题、适用的标准（方法）错误、明显复制其他项目内容等情况或对比其他供应商方案不如中的任意一种情形。</w:t>
            </w:r>
          </w:p>
        </w:tc>
      </w:tr>
      <w:bookmarkEnd w:id="204"/>
    </w:tbl>
    <w:p w14:paraId="79F343EC">
      <w:pPr>
        <w:autoSpaceDE w:val="0"/>
        <w:autoSpaceDN w:val="0"/>
        <w:spacing w:line="360" w:lineRule="auto"/>
        <w:ind w:firstLine="480" w:firstLineChars="200"/>
        <w:rPr>
          <w:rFonts w:hint="eastAsia" w:ascii="宋体" w:hAnsi="宋体" w:cs="宋体"/>
          <w:color w:val="auto"/>
          <w:kern w:val="0"/>
          <w:highlight w:val="none"/>
        </w:rPr>
      </w:pPr>
      <w:r>
        <w:rPr>
          <w:rFonts w:hint="eastAsia" w:ascii="宋体" w:hAnsi="宋体" w:cs="宋体"/>
          <w:color w:val="auto"/>
          <w:highlight w:val="none"/>
          <w:shd w:val="clear" w:color="auto" w:fill="FFFFFF"/>
          <w:lang w:val="en-US" w:eastAsia="zh-CN"/>
        </w:rPr>
        <w:t xml:space="preserve">22.7 </w:t>
      </w:r>
      <w:r>
        <w:rPr>
          <w:rFonts w:hint="eastAsia" w:ascii="宋体" w:hAnsi="宋体" w:cs="宋体"/>
          <w:color w:val="auto"/>
          <w:highlight w:val="none"/>
          <w:shd w:val="clear" w:color="auto" w:fill="FFFFFF"/>
        </w:rPr>
        <w:t>政府采购异常低价审查</w:t>
      </w:r>
    </w:p>
    <w:p w14:paraId="3BA18D3E">
      <w:pPr>
        <w:autoSpaceDE w:val="0"/>
        <w:autoSpaceDN w:val="0"/>
        <w:spacing w:line="360" w:lineRule="auto"/>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（一）采购人应当在采购文件中明确，政府采购评审中出现下列情形之一的，</w:t>
      </w:r>
      <w:r>
        <w:rPr>
          <w:rFonts w:hint="eastAsia" w:ascii="宋体" w:hAnsi="宋体" w:cs="宋体"/>
          <w:color w:val="auto"/>
          <w:kern w:val="0"/>
          <w:highlight w:val="none"/>
          <w:lang w:eastAsia="zh-CN"/>
        </w:rPr>
        <w:t>磋商小组</w:t>
      </w:r>
      <w:r>
        <w:rPr>
          <w:rFonts w:hint="eastAsia" w:ascii="宋体" w:hAnsi="宋体" w:cs="宋体"/>
          <w:color w:val="auto"/>
          <w:kern w:val="0"/>
          <w:highlight w:val="none"/>
        </w:rPr>
        <w:t>应当启动异常低价投标（响应）审查程序： </w:t>
      </w:r>
    </w:p>
    <w:p w14:paraId="023573F9">
      <w:pPr>
        <w:autoSpaceDE w:val="0"/>
        <w:autoSpaceDN w:val="0"/>
        <w:spacing w:line="360" w:lineRule="auto"/>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1.投标（响应）报价低于全部通过符合性审查供应商投标（响应）报价平均值50%的，即投标（响应）报价&lt;全部通过符合性审查供应商投标（响应）报价平均值×50%； </w:t>
      </w:r>
    </w:p>
    <w:p w14:paraId="3198CFA8">
      <w:pPr>
        <w:autoSpaceDE w:val="0"/>
        <w:autoSpaceDN w:val="0"/>
        <w:spacing w:line="360" w:lineRule="auto"/>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2.投标（响应）报价低于通过符合性审查的次低报价供应商投标（响应）报价50%的，即投标（响应）报价&lt;通过符合性审查的次低报价供应商投标（响应）报价×50%； </w:t>
      </w:r>
    </w:p>
    <w:p w14:paraId="1F907EDF">
      <w:pPr>
        <w:autoSpaceDE w:val="0"/>
        <w:autoSpaceDN w:val="0"/>
        <w:spacing w:line="360" w:lineRule="auto"/>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3.投标（响应）报价低于采购项目最高限价45%的，即投标（响应）报价&lt;采购项目最高限价×45%； </w:t>
      </w:r>
    </w:p>
    <w:p w14:paraId="49F1255D">
      <w:pPr>
        <w:autoSpaceDE w:val="0"/>
        <w:autoSpaceDN w:val="0"/>
        <w:spacing w:line="360" w:lineRule="auto"/>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4.</w:t>
      </w:r>
      <w:r>
        <w:rPr>
          <w:rFonts w:hint="eastAsia" w:ascii="宋体" w:hAnsi="宋体" w:cs="宋体"/>
          <w:color w:val="auto"/>
          <w:kern w:val="0"/>
          <w:highlight w:val="none"/>
          <w:lang w:eastAsia="zh-CN"/>
        </w:rPr>
        <w:t>磋商小组</w:t>
      </w:r>
      <w:r>
        <w:rPr>
          <w:rFonts w:hint="eastAsia" w:ascii="宋体" w:hAnsi="宋体" w:cs="宋体"/>
          <w:color w:val="auto"/>
          <w:kern w:val="0"/>
          <w:highlight w:val="none"/>
        </w:rPr>
        <w:t>基于专业判断，认为供应商报价过低，有可能影响产品质量或者不能诚信履约的其他情形。 </w:t>
      </w:r>
    </w:p>
    <w:p w14:paraId="239314B8">
      <w:pPr>
        <w:autoSpaceDE w:val="0"/>
        <w:autoSpaceDN w:val="0"/>
        <w:spacing w:line="360" w:lineRule="auto"/>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相关法律法规对供应商报价有规定的，从其规定。 </w:t>
      </w:r>
    </w:p>
    <w:p w14:paraId="6D3A512A">
      <w:pPr>
        <w:autoSpaceDE w:val="0"/>
        <w:autoSpaceDN w:val="0"/>
        <w:spacing w:line="360" w:lineRule="auto"/>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（二）</w:t>
      </w:r>
      <w:r>
        <w:rPr>
          <w:rFonts w:hint="eastAsia" w:ascii="宋体" w:hAnsi="宋体" w:cs="宋体"/>
          <w:color w:val="auto"/>
          <w:kern w:val="0"/>
          <w:highlight w:val="none"/>
          <w:lang w:eastAsia="zh-CN"/>
        </w:rPr>
        <w:t>磋商小组</w:t>
      </w:r>
      <w:r>
        <w:rPr>
          <w:rFonts w:hint="eastAsia" w:ascii="宋体" w:hAnsi="宋体" w:cs="宋体"/>
          <w:color w:val="auto"/>
          <w:kern w:val="0"/>
          <w:highlight w:val="none"/>
        </w:rPr>
        <w:t>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06E064D5">
      <w:pPr>
        <w:autoSpaceDE w:val="0"/>
        <w:autoSpaceDN w:val="0"/>
        <w:spacing w:line="360" w:lineRule="auto"/>
        <w:ind w:firstLine="480" w:firstLineChars="200"/>
        <w:rPr>
          <w:rFonts w:hint="eastAsia" w:ascii="宋体" w:hAnsi="宋体" w:cs="宋体"/>
          <w:color w:val="auto"/>
          <w:kern w:val="0"/>
          <w:highlight w:val="none"/>
        </w:rPr>
      </w:pPr>
      <w:r>
        <w:rPr>
          <w:rFonts w:hint="eastAsia" w:ascii="宋体" w:hAnsi="宋体" w:cs="宋体"/>
          <w:color w:val="auto"/>
          <w:kern w:val="0"/>
          <w:highlight w:val="none"/>
          <w:lang w:eastAsia="zh-CN"/>
        </w:rPr>
        <w:t>磋商小组</w:t>
      </w:r>
      <w:r>
        <w:rPr>
          <w:rFonts w:hint="eastAsia" w:ascii="宋体" w:hAnsi="宋体" w:cs="宋体"/>
          <w:color w:val="auto"/>
          <w:kern w:val="0"/>
          <w:highlight w:val="none"/>
        </w:rPr>
        <w:t>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w:t>
      </w:r>
      <w:r>
        <w:rPr>
          <w:rFonts w:hint="eastAsia" w:ascii="宋体" w:hAnsi="宋体" w:cs="宋体"/>
          <w:color w:val="auto"/>
          <w:kern w:val="0"/>
          <w:highlight w:val="none"/>
          <w:lang w:eastAsia="zh-CN"/>
        </w:rPr>
        <w:t>磋商小组</w:t>
      </w:r>
      <w:r>
        <w:rPr>
          <w:rFonts w:hint="eastAsia" w:ascii="宋体" w:hAnsi="宋体" w:cs="宋体"/>
          <w:color w:val="auto"/>
          <w:kern w:val="0"/>
          <w:highlight w:val="none"/>
        </w:rPr>
        <w:t>应当将其作为无效投标（响应）处理。 </w:t>
      </w:r>
    </w:p>
    <w:p w14:paraId="77947E83">
      <w:pPr>
        <w:autoSpaceDE w:val="0"/>
        <w:autoSpaceDN w:val="0"/>
        <w:spacing w:line="360" w:lineRule="auto"/>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采购人、采购代理机构应当为</w:t>
      </w:r>
      <w:r>
        <w:rPr>
          <w:rFonts w:hint="eastAsia" w:ascii="宋体" w:hAnsi="宋体" w:cs="宋体"/>
          <w:color w:val="auto"/>
          <w:kern w:val="0"/>
          <w:highlight w:val="none"/>
          <w:lang w:eastAsia="zh-CN"/>
        </w:rPr>
        <w:t>磋商小组</w:t>
      </w:r>
      <w:r>
        <w:rPr>
          <w:rFonts w:hint="eastAsia" w:ascii="宋体" w:hAnsi="宋体" w:cs="宋体"/>
          <w:color w:val="auto"/>
          <w:kern w:val="0"/>
          <w:highlight w:val="none"/>
        </w:rPr>
        <w:t>在评审现场及时获取同类项目中标（成交）价格、类似产品市场价格水平、行业人工费用标准、国家有关部门指导行业协会发布的行业平均成本等相关信息资料提供便利。</w:t>
      </w:r>
      <w:r>
        <w:rPr>
          <w:rFonts w:hint="eastAsia" w:ascii="宋体" w:hAnsi="宋体" w:cs="宋体"/>
          <w:color w:val="auto"/>
          <w:kern w:val="0"/>
          <w:highlight w:val="none"/>
          <w:lang w:eastAsia="zh-CN"/>
        </w:rPr>
        <w:t>磋商小组</w:t>
      </w:r>
      <w:r>
        <w:rPr>
          <w:rFonts w:hint="eastAsia" w:ascii="宋体" w:hAnsi="宋体" w:cs="宋体"/>
          <w:color w:val="auto"/>
          <w:kern w:val="0"/>
          <w:highlight w:val="none"/>
        </w:rPr>
        <w:t>借助互联网等渠道查询相关信息的，应当严格遵守评审工作纪律，不得实施影响评审公正的行为。 </w:t>
      </w:r>
    </w:p>
    <w:p w14:paraId="7B59CFBE">
      <w:pPr>
        <w:autoSpaceDE w:val="0"/>
        <w:autoSpaceDN w:val="0"/>
        <w:spacing w:line="360" w:lineRule="auto"/>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异常低价投标（响应）审查的启动原因、审查意见和审查结果应当在评审报告中记录，并随供应商提供的相关书面说明及证明材料，以及</w:t>
      </w:r>
      <w:r>
        <w:rPr>
          <w:rFonts w:hint="eastAsia" w:ascii="宋体" w:hAnsi="宋体" w:cs="宋体"/>
          <w:color w:val="auto"/>
          <w:kern w:val="0"/>
          <w:highlight w:val="none"/>
          <w:lang w:eastAsia="zh-CN"/>
        </w:rPr>
        <w:t>磋商小组</w:t>
      </w:r>
      <w:r>
        <w:rPr>
          <w:rFonts w:hint="eastAsia" w:ascii="宋体" w:hAnsi="宋体" w:cs="宋体"/>
          <w:color w:val="auto"/>
          <w:kern w:val="0"/>
          <w:highlight w:val="none"/>
        </w:rPr>
        <w:t>有关互联网浏览、查询历史一并归档。 </w:t>
      </w:r>
    </w:p>
    <w:p w14:paraId="7935919B">
      <w:pPr>
        <w:autoSpaceDE w:val="0"/>
        <w:autoSpaceDN w:val="0"/>
        <w:spacing w:line="360" w:lineRule="auto"/>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（三）各级财政部门应当加强对评审专家的指导和监管，进一步压实评审专家的责任。财政部门在投诉处理、监督检查中发现</w:t>
      </w:r>
      <w:r>
        <w:rPr>
          <w:rFonts w:hint="eastAsia" w:ascii="宋体" w:hAnsi="宋体" w:cs="宋体"/>
          <w:color w:val="auto"/>
          <w:kern w:val="0"/>
          <w:highlight w:val="none"/>
          <w:lang w:eastAsia="zh-CN"/>
        </w:rPr>
        <w:t>磋商小组</w:t>
      </w:r>
      <w:r>
        <w:rPr>
          <w:rFonts w:hint="eastAsia" w:ascii="宋体" w:hAnsi="宋体" w:cs="宋体"/>
          <w:color w:val="auto"/>
          <w:kern w:val="0"/>
          <w:highlight w:val="none"/>
        </w:rPr>
        <w:t>未按规定对异常低价开展审查的，依法予以纠正并追究评审专家的法律责任。</w:t>
      </w:r>
    </w:p>
    <w:p w14:paraId="6F39B46E">
      <w:pPr>
        <w:autoSpaceDE w:val="0"/>
        <w:autoSpaceDN w:val="0"/>
        <w:spacing w:line="360" w:lineRule="auto"/>
        <w:ind w:firstLine="480" w:firstLineChars="200"/>
        <w:rPr>
          <w:color w:val="auto"/>
          <w:highlight w:val="none"/>
        </w:rPr>
      </w:pPr>
      <w:r>
        <w:rPr>
          <w:rFonts w:hint="eastAsia" w:ascii="宋体" w:hAnsi="宋体" w:cs="宋体"/>
          <w:color w:val="auto"/>
          <w:kern w:val="0"/>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cs="宋体"/>
          <w:color w:val="auto"/>
          <w:kern w:val="0"/>
          <w:highlight w:val="none"/>
          <w:lang w:eastAsia="zh-CN"/>
        </w:rPr>
        <w:t>磋商小组</w:t>
      </w:r>
      <w:r>
        <w:rPr>
          <w:rFonts w:hint="eastAsia" w:ascii="宋体" w:hAnsi="宋体" w:cs="宋体"/>
          <w:color w:val="auto"/>
          <w:kern w:val="0"/>
          <w:highlight w:val="none"/>
        </w:rPr>
        <w:t>按照招标文件规定的方式确定一个投标人获得中标人推荐资格，招标文件未规定的采取随机抽取方式确定，其他同品牌投标人不作为中标候选人。非单一产品采购项目，采购人应当根据采购项目技术构成、产品价格比重等合理确定核心产品，并在招标文件中载明。多家投标人提供的核心产品品牌相同的，按前款规定处理。</w:t>
      </w:r>
    </w:p>
    <w:p w14:paraId="76C17CA9">
      <w:pPr>
        <w:autoSpaceDE w:val="0"/>
        <w:autoSpaceDN w:val="0"/>
        <w:spacing w:line="360" w:lineRule="auto"/>
        <w:ind w:firstLine="480" w:firstLineChars="200"/>
        <w:rPr>
          <w:rFonts w:hint="eastAsia" w:ascii="宋体" w:hAnsi="宋体" w:cs="宋体"/>
          <w:color w:val="auto"/>
          <w:kern w:val="0"/>
          <w:highlight w:val="none"/>
          <w:lang w:val="zh-CN"/>
        </w:rPr>
      </w:pPr>
      <w:r>
        <w:rPr>
          <w:rFonts w:hint="eastAsia" w:ascii="宋体" w:hAnsi="宋体" w:cs="宋体"/>
          <w:color w:val="auto"/>
          <w:kern w:val="0"/>
          <w:highlight w:val="none"/>
          <w:lang w:val="zh-CN"/>
        </w:rPr>
        <w:t>比较与评价：磋商小组将按</w:t>
      </w:r>
      <w:r>
        <w:rPr>
          <w:rFonts w:hint="eastAsia" w:ascii="宋体" w:hAnsi="宋体" w:cs="宋体"/>
          <w:color w:val="auto"/>
          <w:kern w:val="0"/>
          <w:highlight w:val="none"/>
          <w:lang w:val="en-US" w:eastAsia="zh-CN"/>
        </w:rPr>
        <w:t>磋商</w:t>
      </w:r>
      <w:r>
        <w:rPr>
          <w:rFonts w:hint="eastAsia" w:ascii="宋体" w:hAnsi="宋体" w:cs="宋体"/>
          <w:color w:val="auto"/>
          <w:kern w:val="0"/>
          <w:highlight w:val="none"/>
          <w:lang w:val="zh-CN"/>
        </w:rPr>
        <w:t>文件中规定的评标办法和标准，对符合性审查合格的投标文件进行综合比较与评价。即在最大限度地满足招标文件实质性要求的前提下，按照</w:t>
      </w:r>
      <w:r>
        <w:rPr>
          <w:rFonts w:hint="eastAsia" w:ascii="宋体" w:hAnsi="宋体" w:cs="宋体"/>
          <w:color w:val="auto"/>
          <w:kern w:val="0"/>
          <w:highlight w:val="none"/>
          <w:lang w:val="en-US" w:eastAsia="zh-CN"/>
        </w:rPr>
        <w:t>磋商</w:t>
      </w:r>
      <w:r>
        <w:rPr>
          <w:rFonts w:hint="eastAsia" w:ascii="宋体" w:hAnsi="宋体" w:cs="宋体"/>
          <w:color w:val="auto"/>
          <w:kern w:val="0"/>
          <w:highlight w:val="none"/>
          <w:lang w:val="zh-CN"/>
        </w:rPr>
        <w:t>文件中规定的各项因素进行综合评审，以评标总得分由高到低排序推荐预中标候选人。若得分相同时，按投标报价由低到高顺序排列；得分相同且报价相同的，按技术指标优劣顺序排列。</w:t>
      </w:r>
    </w:p>
    <w:p w14:paraId="0BEA2A8F">
      <w:pPr>
        <w:rPr>
          <w:rFonts w:ascii="宋体" w:hAnsi="宋体" w:cs="宋体"/>
          <w:color w:val="auto"/>
          <w:highlight w:val="none"/>
          <w:shd w:val="clear" w:color="auto" w:fill="FFFFFF"/>
        </w:rPr>
      </w:pPr>
      <w:r>
        <w:rPr>
          <w:rFonts w:hint="eastAsia" w:ascii="宋体" w:hAnsi="宋体" w:cs="宋体"/>
          <w:b/>
          <w:bCs/>
          <w:color w:val="auto"/>
          <w:highlight w:val="none"/>
        </w:rPr>
        <w:t xml:space="preserve"> </w:t>
      </w:r>
      <w:r>
        <w:rPr>
          <w:rFonts w:hint="eastAsia" w:ascii="宋体" w:hAnsi="宋体" w:cs="宋体"/>
          <w:color w:val="auto"/>
          <w:highlight w:val="none"/>
          <w:shd w:val="clear" w:color="auto" w:fill="FFFFFF"/>
          <w:lang w:val="en-US" w:eastAsia="zh-CN"/>
        </w:rPr>
        <w:t>22.8</w:t>
      </w:r>
      <w:r>
        <w:rPr>
          <w:rFonts w:hint="eastAsia" w:ascii="宋体" w:hAnsi="宋体" w:cs="宋体"/>
          <w:color w:val="auto"/>
          <w:highlight w:val="none"/>
          <w:shd w:val="clear" w:color="auto" w:fill="FFFFFF"/>
        </w:rPr>
        <w:t>评标结果汇总完成后，除下列情形外，任何人不得修改评标结果：</w:t>
      </w:r>
    </w:p>
    <w:p w14:paraId="412D455E">
      <w:pPr>
        <w:autoSpaceDE w:val="0"/>
        <w:autoSpaceDN w:val="0"/>
        <w:ind w:firstLine="480" w:firstLineChars="200"/>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（1）分值汇总计算错误的；</w:t>
      </w:r>
    </w:p>
    <w:p w14:paraId="5D493DCC">
      <w:pPr>
        <w:autoSpaceDE w:val="0"/>
        <w:autoSpaceDN w:val="0"/>
        <w:ind w:firstLine="480" w:firstLineChars="200"/>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（2）分项评分超出评分标准范围的；</w:t>
      </w:r>
    </w:p>
    <w:p w14:paraId="41BC654B">
      <w:pPr>
        <w:autoSpaceDE w:val="0"/>
        <w:autoSpaceDN w:val="0"/>
        <w:ind w:firstLine="480" w:firstLineChars="200"/>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（3）磋商小组对客观评审因素评分不一致的；</w:t>
      </w:r>
    </w:p>
    <w:p w14:paraId="3BC1669E">
      <w:pPr>
        <w:autoSpaceDE w:val="0"/>
        <w:autoSpaceDN w:val="0"/>
        <w:ind w:firstLine="480" w:firstLineChars="200"/>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（4）经磋商小组认定评分畸高、畸低的。</w:t>
      </w:r>
    </w:p>
    <w:p w14:paraId="34075453">
      <w:pPr>
        <w:autoSpaceDE w:val="0"/>
        <w:autoSpaceDN w:val="0"/>
        <w:ind w:firstLine="480" w:firstLineChars="200"/>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评标报告签署前，经复核发现存在以上情形之一的，磋商小组应当当场修改评标结果，并在评标报告中记载；评标报告签署后，采购人或者采购代理机构发现存在以上情形之一的，应当组织原磋商小组进行重新评审，重新评审改变评标结果的，书面报告本级财政部门。</w:t>
      </w:r>
    </w:p>
    <w:p w14:paraId="2272554B">
      <w:pPr>
        <w:autoSpaceDE w:val="0"/>
        <w:autoSpaceDN w:val="0"/>
        <w:ind w:firstLine="480" w:firstLineChars="200"/>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供应商对以上情形提出质疑的，采购人或者采购代理机构可以组织原磋商小组进行重新评审，重新评审改变评标结果的，应当书面报告本级财政部门。</w:t>
      </w:r>
    </w:p>
    <w:bookmarkEnd w:id="205"/>
    <w:bookmarkEnd w:id="206"/>
    <w:bookmarkEnd w:id="207"/>
    <w:bookmarkEnd w:id="208"/>
    <w:p w14:paraId="45FD3281">
      <w:pPr>
        <w:widowControl/>
        <w:adjustRightInd w:val="0"/>
        <w:snapToGrid w:val="0"/>
        <w:spacing w:before="240" w:beforeLines="100" w:line="360" w:lineRule="auto"/>
        <w:ind w:firstLine="0" w:firstLineChars="0"/>
        <w:jc w:val="center"/>
        <w:outlineLvl w:val="1"/>
        <w:rPr>
          <w:rFonts w:hint="eastAsia" w:ascii="宋体" w:hAnsi="宋体" w:eastAsia="宋体" w:cs="宋体"/>
          <w:b/>
          <w:bCs/>
          <w:color w:val="auto"/>
          <w:kern w:val="0"/>
          <w:sz w:val="36"/>
          <w:szCs w:val="36"/>
          <w:highlight w:val="none"/>
          <w:lang w:eastAsia="zh-CN"/>
        </w:rPr>
      </w:pPr>
      <w:bookmarkStart w:id="209" w:name="_Toc59135334"/>
      <w:bookmarkStart w:id="210" w:name="_Toc18680"/>
      <w:bookmarkStart w:id="211" w:name="_Toc24266"/>
      <w:bookmarkStart w:id="212" w:name="_Toc30421"/>
      <w:bookmarkStart w:id="213" w:name="_Toc59135344"/>
      <w:bookmarkStart w:id="214" w:name="_Toc325726036"/>
      <w:bookmarkStart w:id="215" w:name="_Toc376936767"/>
      <w:r>
        <w:rPr>
          <w:rFonts w:hint="eastAsia" w:ascii="宋体" w:hAnsi="宋体" w:eastAsia="宋体" w:cs="宋体"/>
          <w:b/>
          <w:bCs/>
          <w:color w:val="auto"/>
          <w:kern w:val="0"/>
          <w:sz w:val="36"/>
          <w:szCs w:val="36"/>
          <w:highlight w:val="none"/>
          <w:lang w:val="en-US" w:eastAsia="zh-CN"/>
        </w:rPr>
        <w:t>八</w:t>
      </w:r>
      <w:r>
        <w:rPr>
          <w:rFonts w:hint="eastAsia" w:ascii="宋体" w:hAnsi="宋体" w:eastAsia="宋体" w:cs="宋体"/>
          <w:b/>
          <w:bCs/>
          <w:color w:val="auto"/>
          <w:kern w:val="0"/>
          <w:sz w:val="36"/>
          <w:szCs w:val="36"/>
          <w:highlight w:val="none"/>
        </w:rPr>
        <w:t>、成交</w:t>
      </w:r>
      <w:bookmarkEnd w:id="209"/>
      <w:r>
        <w:rPr>
          <w:rFonts w:hint="eastAsia" w:ascii="宋体" w:hAnsi="宋体" w:eastAsia="宋体" w:cs="宋体"/>
          <w:b/>
          <w:bCs/>
          <w:color w:val="auto"/>
          <w:kern w:val="0"/>
          <w:sz w:val="36"/>
          <w:szCs w:val="36"/>
          <w:highlight w:val="none"/>
          <w:lang w:val="en-US" w:eastAsia="zh-CN"/>
        </w:rPr>
        <w:t>办法</w:t>
      </w:r>
      <w:bookmarkEnd w:id="210"/>
      <w:bookmarkEnd w:id="211"/>
    </w:p>
    <w:p w14:paraId="2EA46B86">
      <w:pPr>
        <w:widowControl/>
        <w:adjustRightInd w:val="0"/>
        <w:snapToGrid w:val="0"/>
        <w:spacing w:line="360" w:lineRule="auto"/>
        <w:ind w:firstLine="0" w:firstLineChars="0"/>
        <w:jc w:val="left"/>
        <w:outlineLvl w:val="2"/>
        <w:rPr>
          <w:rFonts w:hint="eastAsia" w:ascii="宋体" w:hAnsi="宋体" w:eastAsia="宋体" w:cs="宋体"/>
          <w:b/>
          <w:bCs/>
          <w:color w:val="auto"/>
          <w:kern w:val="2"/>
          <w:sz w:val="24"/>
          <w:szCs w:val="24"/>
          <w:highlight w:val="none"/>
          <w:lang w:val="zh-CN"/>
        </w:rPr>
      </w:pPr>
      <w:bookmarkStart w:id="216" w:name="_Toc376936757"/>
      <w:bookmarkStart w:id="217" w:name="_Toc325726026"/>
      <w:bookmarkStart w:id="218" w:name="_Toc4158"/>
      <w:bookmarkStart w:id="219" w:name="_Toc15661"/>
      <w:bookmarkStart w:id="220" w:name="_Toc17038"/>
      <w:bookmarkStart w:id="221" w:name="_Toc25882"/>
      <w:bookmarkStart w:id="222" w:name="_Toc2804"/>
      <w:bookmarkStart w:id="223" w:name="_Toc59135335"/>
      <w:bookmarkStart w:id="224" w:name="_Toc28889"/>
      <w:r>
        <w:rPr>
          <w:rFonts w:hint="eastAsia" w:ascii="宋体" w:hAnsi="宋体" w:eastAsia="宋体" w:cs="宋体"/>
          <w:b/>
          <w:bCs/>
          <w:color w:val="auto"/>
          <w:kern w:val="2"/>
          <w:sz w:val="24"/>
          <w:szCs w:val="24"/>
          <w:highlight w:val="none"/>
          <w:lang w:val="en-US" w:eastAsia="zh-CN"/>
        </w:rPr>
        <w:t>23</w:t>
      </w:r>
      <w:r>
        <w:rPr>
          <w:rFonts w:hint="eastAsia" w:ascii="宋体" w:hAnsi="宋体" w:eastAsia="宋体" w:cs="宋体"/>
          <w:b/>
          <w:bCs/>
          <w:color w:val="auto"/>
          <w:kern w:val="2"/>
          <w:sz w:val="24"/>
          <w:szCs w:val="24"/>
          <w:highlight w:val="none"/>
          <w:lang w:val="zh-CN"/>
        </w:rPr>
        <w:t>.推荐并确定成交</w:t>
      </w:r>
      <w:bookmarkEnd w:id="216"/>
      <w:bookmarkEnd w:id="217"/>
      <w:r>
        <w:rPr>
          <w:rFonts w:hint="eastAsia" w:ascii="宋体" w:hAnsi="宋体" w:eastAsia="宋体" w:cs="宋体"/>
          <w:b/>
          <w:bCs/>
          <w:color w:val="auto"/>
          <w:kern w:val="2"/>
          <w:sz w:val="24"/>
          <w:szCs w:val="24"/>
          <w:highlight w:val="none"/>
          <w:lang w:val="zh-CN"/>
        </w:rPr>
        <w:t>供应商</w:t>
      </w:r>
      <w:bookmarkEnd w:id="218"/>
      <w:bookmarkEnd w:id="219"/>
      <w:bookmarkEnd w:id="220"/>
      <w:bookmarkEnd w:id="221"/>
      <w:bookmarkEnd w:id="222"/>
      <w:bookmarkEnd w:id="223"/>
      <w:bookmarkEnd w:id="224"/>
    </w:p>
    <w:p w14:paraId="60BB7465">
      <w:pPr>
        <w:widowControl/>
        <w:autoSpaceDE w:val="0"/>
        <w:autoSpaceDN w:val="0"/>
        <w:adjustRightInd w:val="0"/>
        <w:snapToGrid w:val="0"/>
        <w:spacing w:line="360" w:lineRule="auto"/>
        <w:ind w:firstLine="480" w:firstLineChars="200"/>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lang w:val="en-US" w:eastAsia="zh-CN"/>
        </w:rPr>
        <w:t>23</w:t>
      </w:r>
      <w:r>
        <w:rPr>
          <w:rFonts w:hint="eastAsia" w:ascii="宋体" w:hAnsi="宋体" w:eastAsia="宋体" w:cs="宋体"/>
          <w:color w:val="auto"/>
          <w:kern w:val="0"/>
          <w:szCs w:val="24"/>
          <w:highlight w:val="none"/>
        </w:rPr>
        <w:t>.1磋商小组根据综合评分情况，按照评审得分由高到低顺序推荐3名以上成交候选供应商，并编写评审报告。采购代理机构应当在评审结束后2个工作日内将评审报告送采购人确认。</w:t>
      </w:r>
    </w:p>
    <w:p w14:paraId="5C526033">
      <w:pPr>
        <w:widowControl/>
        <w:adjustRightInd w:val="0"/>
        <w:snapToGrid w:val="0"/>
        <w:spacing w:line="360" w:lineRule="auto"/>
        <w:ind w:right="-113" w:rightChars="-47" w:firstLine="480" w:firstLineChars="200"/>
        <w:jc w:val="left"/>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采购人应当在收到评审报告后5个工作日内，从评审报告提出的成交候选供应商中，按照排序由高到低的原则确定成交供应商，也可以书面授权磋商小组直接确定成交供应商。</w:t>
      </w:r>
    </w:p>
    <w:p w14:paraId="7571A9FB">
      <w:pPr>
        <w:widowControl/>
        <w:adjustRightInd w:val="0"/>
        <w:snapToGrid w:val="0"/>
        <w:spacing w:line="360" w:lineRule="auto"/>
        <w:ind w:right="-113" w:rightChars="-47" w:firstLine="480" w:firstLineChars="200"/>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采购人逾期未确定成交供应商且不提出异议的，视为确定评审报告提出的排序第一的供应商为成交供应商。</w:t>
      </w:r>
    </w:p>
    <w:p w14:paraId="6625E5EA">
      <w:pPr>
        <w:widowControl/>
        <w:adjustRightInd w:val="0"/>
        <w:snapToGrid w:val="0"/>
        <w:spacing w:line="360" w:lineRule="auto"/>
        <w:ind w:firstLine="480" w:firstLineChars="0"/>
        <w:jc w:val="left"/>
        <w:rPr>
          <w:rFonts w:ascii="宋体" w:hAnsi="宋体" w:eastAsia="宋体" w:cs="宋体"/>
          <w:color w:val="auto"/>
          <w:kern w:val="0"/>
          <w:szCs w:val="22"/>
          <w:highlight w:val="none"/>
        </w:rPr>
      </w:pPr>
      <w:r>
        <w:rPr>
          <w:rFonts w:hint="eastAsia" w:ascii="宋体" w:hAnsi="宋体" w:eastAsia="宋体" w:cs="宋体"/>
          <w:color w:val="auto"/>
          <w:kern w:val="0"/>
          <w:szCs w:val="22"/>
          <w:highlight w:val="none"/>
        </w:rPr>
        <w:t>2</w:t>
      </w:r>
      <w:r>
        <w:rPr>
          <w:rFonts w:hint="eastAsia" w:ascii="宋体" w:hAnsi="宋体" w:eastAsia="宋体" w:cs="宋体"/>
          <w:color w:val="auto"/>
          <w:kern w:val="0"/>
          <w:szCs w:val="22"/>
          <w:highlight w:val="none"/>
          <w:lang w:val="en-US" w:eastAsia="zh-CN"/>
        </w:rPr>
        <w:t>3</w:t>
      </w:r>
      <w:r>
        <w:rPr>
          <w:rFonts w:hint="eastAsia" w:ascii="宋体" w:hAnsi="宋体" w:eastAsia="宋体" w:cs="宋体"/>
          <w:color w:val="auto"/>
          <w:kern w:val="0"/>
          <w:szCs w:val="22"/>
          <w:highlight w:val="none"/>
        </w:rPr>
        <w:t>.2成交人因不可抗力或自身原因不能履行合同时，采购人可以按照评审报告推荐的预成交供应商候选人名单排序，确定下一候选人为成交人，也可重新开展政府采购活动。</w:t>
      </w:r>
    </w:p>
    <w:p w14:paraId="7183AFC9">
      <w:pPr>
        <w:widowControl/>
        <w:adjustRightInd w:val="0"/>
        <w:snapToGrid w:val="0"/>
        <w:spacing w:line="360" w:lineRule="auto"/>
        <w:ind w:firstLine="0" w:firstLineChars="0"/>
        <w:jc w:val="left"/>
        <w:outlineLvl w:val="2"/>
        <w:rPr>
          <w:rFonts w:hint="eastAsia" w:ascii="宋体" w:hAnsi="宋体" w:eastAsia="宋体" w:cs="宋体"/>
          <w:b/>
          <w:bCs/>
          <w:color w:val="auto"/>
          <w:kern w:val="2"/>
          <w:sz w:val="24"/>
          <w:szCs w:val="24"/>
          <w:highlight w:val="none"/>
          <w:lang w:val="zh-CN"/>
        </w:rPr>
      </w:pPr>
      <w:bookmarkStart w:id="225" w:name="_Toc376936759"/>
      <w:bookmarkStart w:id="226" w:name="_Toc7209"/>
      <w:bookmarkStart w:id="227" w:name="_Toc59135336"/>
      <w:bookmarkStart w:id="228" w:name="_Toc2346"/>
      <w:bookmarkStart w:id="229" w:name="_Toc4477"/>
      <w:bookmarkStart w:id="230" w:name="_Toc2963"/>
      <w:bookmarkStart w:id="231" w:name="_Toc325726028"/>
      <w:bookmarkStart w:id="232" w:name="_Toc27141"/>
      <w:bookmarkStart w:id="233" w:name="_Toc14836"/>
      <w:bookmarkStart w:id="234" w:name="_Toc325726027"/>
      <w:r>
        <w:rPr>
          <w:rFonts w:hint="eastAsia" w:ascii="宋体" w:hAnsi="宋体" w:eastAsia="宋体" w:cs="宋体"/>
          <w:b/>
          <w:bCs/>
          <w:color w:val="auto"/>
          <w:kern w:val="2"/>
          <w:sz w:val="24"/>
          <w:szCs w:val="24"/>
          <w:highlight w:val="none"/>
          <w:lang w:val="zh-CN"/>
        </w:rPr>
        <w:t>2</w:t>
      </w:r>
      <w:r>
        <w:rPr>
          <w:rFonts w:hint="eastAsia" w:ascii="宋体" w:hAnsi="宋体" w:eastAsia="宋体" w:cs="宋体"/>
          <w:b/>
          <w:bCs/>
          <w:color w:val="auto"/>
          <w:kern w:val="2"/>
          <w:sz w:val="24"/>
          <w:szCs w:val="24"/>
          <w:highlight w:val="none"/>
          <w:lang w:val="en-US" w:eastAsia="zh-CN"/>
        </w:rPr>
        <w:t>4</w:t>
      </w:r>
      <w:r>
        <w:rPr>
          <w:rFonts w:hint="eastAsia" w:ascii="宋体" w:hAnsi="宋体" w:eastAsia="宋体" w:cs="宋体"/>
          <w:b/>
          <w:bCs/>
          <w:color w:val="auto"/>
          <w:kern w:val="2"/>
          <w:sz w:val="24"/>
          <w:szCs w:val="24"/>
          <w:highlight w:val="none"/>
          <w:lang w:val="zh-CN"/>
        </w:rPr>
        <w:t>.成交通知</w:t>
      </w:r>
      <w:bookmarkEnd w:id="225"/>
      <w:bookmarkEnd w:id="226"/>
      <w:bookmarkEnd w:id="227"/>
      <w:bookmarkEnd w:id="228"/>
      <w:bookmarkEnd w:id="229"/>
      <w:bookmarkEnd w:id="230"/>
      <w:bookmarkEnd w:id="231"/>
      <w:bookmarkEnd w:id="232"/>
      <w:bookmarkEnd w:id="233"/>
    </w:p>
    <w:p w14:paraId="689C54AD">
      <w:pPr>
        <w:widowControl/>
        <w:adjustRightInd w:val="0"/>
        <w:snapToGrid w:val="0"/>
        <w:spacing w:line="360" w:lineRule="auto"/>
        <w:ind w:firstLine="480" w:firstLineChars="200"/>
        <w:jc w:val="left"/>
        <w:rPr>
          <w:rFonts w:hint="eastAsia" w:ascii="宋体" w:hAnsi="宋体" w:eastAsia="宋体" w:cs="宋体"/>
          <w:color w:val="auto"/>
          <w:kern w:val="0"/>
          <w:szCs w:val="24"/>
          <w:highlight w:val="none"/>
          <w:lang w:eastAsia="zh-CN"/>
        </w:rPr>
      </w:pPr>
      <w:r>
        <w:rPr>
          <w:rFonts w:hint="eastAsia" w:ascii="宋体" w:hAnsi="宋体" w:eastAsia="宋体" w:cs="宋体"/>
          <w:color w:val="auto"/>
          <w:kern w:val="0"/>
          <w:szCs w:val="24"/>
          <w:highlight w:val="none"/>
        </w:rPr>
        <w:t>2</w:t>
      </w:r>
      <w:r>
        <w:rPr>
          <w:rFonts w:hint="eastAsia" w:ascii="宋体" w:hAnsi="宋体" w:eastAsia="宋体" w:cs="宋体"/>
          <w:color w:val="auto"/>
          <w:kern w:val="0"/>
          <w:szCs w:val="24"/>
          <w:highlight w:val="none"/>
          <w:lang w:val="en-US" w:eastAsia="zh-CN"/>
        </w:rPr>
        <w:t>4</w:t>
      </w:r>
      <w:r>
        <w:rPr>
          <w:rFonts w:hint="eastAsia" w:ascii="宋体" w:hAnsi="宋体" w:eastAsia="宋体" w:cs="宋体"/>
          <w:color w:val="auto"/>
          <w:kern w:val="0"/>
          <w:szCs w:val="24"/>
          <w:highlight w:val="none"/>
        </w:rPr>
        <w:t>.1采购人或者采购代理机构应当在成交供应商确定后2个工作日内，在青海政府采购网上公告成交结果，</w:t>
      </w:r>
      <w:r>
        <w:rPr>
          <w:rFonts w:hint="eastAsia" w:ascii="宋体" w:hAnsi="宋体"/>
          <w:color w:val="auto"/>
          <w:highlight w:val="none"/>
        </w:rPr>
        <w:t>公告期限为1个工作日</w:t>
      </w:r>
      <w:r>
        <w:rPr>
          <w:rFonts w:hint="eastAsia" w:ascii="宋体" w:hAnsi="宋体"/>
          <w:color w:val="auto"/>
          <w:highlight w:val="none"/>
          <w:lang w:eastAsia="zh-CN"/>
        </w:rPr>
        <w:t>；</w:t>
      </w:r>
      <w:r>
        <w:rPr>
          <w:rFonts w:hint="eastAsia" w:ascii="宋体" w:hAnsi="宋体"/>
          <w:color w:val="auto"/>
          <w:highlight w:val="none"/>
        </w:rPr>
        <w:t>在公告成交结果的同时</w:t>
      </w:r>
      <w:r>
        <w:rPr>
          <w:rFonts w:hint="eastAsia" w:ascii="宋体" w:hAnsi="宋体"/>
          <w:color w:val="auto"/>
          <w:highlight w:val="none"/>
          <w:lang w:eastAsia="zh-CN"/>
        </w:rPr>
        <w:t>，</w:t>
      </w:r>
      <w:r>
        <w:rPr>
          <w:rFonts w:hint="eastAsia" w:ascii="宋体" w:hAnsi="宋体" w:eastAsia="宋体" w:cs="宋体"/>
          <w:color w:val="auto"/>
          <w:kern w:val="0"/>
          <w:szCs w:val="24"/>
          <w:highlight w:val="none"/>
        </w:rPr>
        <w:t>向成交供应商发出</w:t>
      </w:r>
      <w:r>
        <w:rPr>
          <w:rFonts w:hint="eastAsia" w:ascii="宋体" w:hAnsi="宋体" w:eastAsia="宋体" w:cs="宋体"/>
          <w:color w:val="auto"/>
          <w:kern w:val="0"/>
          <w:szCs w:val="24"/>
          <w:highlight w:val="none"/>
          <w:lang w:val="en-US" w:eastAsia="zh-CN"/>
        </w:rPr>
        <w:t>成交</w:t>
      </w:r>
      <w:r>
        <w:rPr>
          <w:rFonts w:hint="eastAsia" w:ascii="宋体" w:hAnsi="宋体" w:eastAsia="宋体" w:cs="宋体"/>
          <w:color w:val="auto"/>
          <w:kern w:val="0"/>
          <w:szCs w:val="24"/>
          <w:highlight w:val="none"/>
        </w:rPr>
        <w:t>通知书。对未通过资格审查的供应商，告知其未通过的原因；采用综合评分法的，评审结束后，供应商可自行在青海省政府采购电子化平台上查询本人的评审得分与排序</w:t>
      </w:r>
      <w:r>
        <w:rPr>
          <w:rFonts w:hint="eastAsia" w:ascii="宋体" w:hAnsi="宋体" w:eastAsia="宋体" w:cs="宋体"/>
          <w:color w:val="auto"/>
          <w:kern w:val="0"/>
          <w:szCs w:val="24"/>
          <w:highlight w:val="none"/>
          <w:lang w:eastAsia="zh-CN"/>
        </w:rPr>
        <w:t>。</w:t>
      </w:r>
    </w:p>
    <w:p w14:paraId="64E51485">
      <w:pPr>
        <w:widowControl/>
        <w:adjustRightInd w:val="0"/>
        <w:snapToGrid w:val="0"/>
        <w:spacing w:line="360" w:lineRule="auto"/>
        <w:ind w:firstLine="480" w:firstLineChars="200"/>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2</w:t>
      </w:r>
      <w:r>
        <w:rPr>
          <w:rFonts w:hint="eastAsia" w:ascii="宋体" w:hAnsi="宋体" w:eastAsia="宋体" w:cs="宋体"/>
          <w:color w:val="auto"/>
          <w:kern w:val="0"/>
          <w:szCs w:val="24"/>
          <w:highlight w:val="none"/>
          <w:lang w:val="en-US" w:eastAsia="zh-CN"/>
        </w:rPr>
        <w:t>4</w:t>
      </w:r>
      <w:r>
        <w:rPr>
          <w:rFonts w:hint="eastAsia" w:ascii="宋体" w:hAnsi="宋体" w:eastAsia="宋体" w:cs="宋体"/>
          <w:color w:val="auto"/>
          <w:kern w:val="0"/>
          <w:szCs w:val="24"/>
          <w:highlight w:val="none"/>
        </w:rPr>
        <w:t>.2《</w:t>
      </w:r>
      <w:r>
        <w:rPr>
          <w:rFonts w:hint="eastAsia" w:ascii="宋体" w:hAnsi="宋体" w:eastAsia="宋体" w:cs="宋体"/>
          <w:color w:val="auto"/>
          <w:kern w:val="0"/>
          <w:szCs w:val="24"/>
          <w:highlight w:val="none"/>
          <w:lang w:val="en-US" w:eastAsia="zh-CN"/>
        </w:rPr>
        <w:t>成交</w:t>
      </w:r>
      <w:r>
        <w:rPr>
          <w:rFonts w:hint="eastAsia" w:ascii="宋体" w:hAnsi="宋体" w:eastAsia="宋体" w:cs="宋体"/>
          <w:color w:val="auto"/>
          <w:kern w:val="0"/>
          <w:szCs w:val="24"/>
          <w:highlight w:val="none"/>
        </w:rPr>
        <w:t>通知书》发出后，采购人改变成交结果的，或者成交供应商无正当理由放弃中标项目的，依法承担法律责任。</w:t>
      </w:r>
    </w:p>
    <w:p w14:paraId="720854C7">
      <w:pPr>
        <w:widowControl/>
        <w:adjustRightInd w:val="0"/>
        <w:snapToGrid w:val="0"/>
        <w:spacing w:before="120" w:beforeLines="50" w:line="360" w:lineRule="auto"/>
        <w:ind w:firstLine="0" w:firstLineChars="0"/>
        <w:jc w:val="center"/>
        <w:outlineLvl w:val="1"/>
        <w:rPr>
          <w:rFonts w:ascii="宋体" w:hAnsi="宋体" w:eastAsia="宋体" w:cs="宋体"/>
          <w:b/>
          <w:bCs/>
          <w:color w:val="auto"/>
          <w:kern w:val="0"/>
          <w:sz w:val="36"/>
          <w:szCs w:val="36"/>
          <w:highlight w:val="none"/>
        </w:rPr>
      </w:pPr>
      <w:bookmarkStart w:id="235" w:name="_Toc59135337"/>
      <w:bookmarkStart w:id="236" w:name="_Toc216"/>
      <w:bookmarkStart w:id="237" w:name="_Toc5556"/>
      <w:bookmarkStart w:id="238" w:name="_Toc18063"/>
      <w:bookmarkStart w:id="239" w:name="_Toc4892"/>
      <w:bookmarkStart w:id="240" w:name="_Toc376936758"/>
      <w:r>
        <w:rPr>
          <w:rFonts w:hint="eastAsia" w:ascii="宋体" w:hAnsi="宋体" w:eastAsia="宋体" w:cs="宋体"/>
          <w:b/>
          <w:bCs/>
          <w:color w:val="auto"/>
          <w:kern w:val="0"/>
          <w:sz w:val="36"/>
          <w:szCs w:val="36"/>
          <w:highlight w:val="none"/>
          <w:lang w:val="en-US" w:eastAsia="zh-CN"/>
        </w:rPr>
        <w:t>九</w:t>
      </w:r>
      <w:r>
        <w:rPr>
          <w:rFonts w:hint="eastAsia" w:ascii="宋体" w:hAnsi="宋体" w:eastAsia="宋体" w:cs="宋体"/>
          <w:b/>
          <w:bCs/>
          <w:color w:val="auto"/>
          <w:kern w:val="0"/>
          <w:sz w:val="36"/>
          <w:szCs w:val="36"/>
          <w:highlight w:val="none"/>
        </w:rPr>
        <w:t>、授予合同</w:t>
      </w:r>
      <w:bookmarkEnd w:id="234"/>
      <w:bookmarkEnd w:id="235"/>
      <w:bookmarkEnd w:id="236"/>
      <w:bookmarkEnd w:id="237"/>
      <w:bookmarkEnd w:id="238"/>
      <w:bookmarkEnd w:id="239"/>
      <w:bookmarkEnd w:id="240"/>
    </w:p>
    <w:p w14:paraId="00DC9C13">
      <w:pPr>
        <w:widowControl/>
        <w:adjustRightInd w:val="0"/>
        <w:snapToGrid w:val="0"/>
        <w:spacing w:line="360" w:lineRule="auto"/>
        <w:ind w:firstLine="0" w:firstLineChars="0"/>
        <w:jc w:val="left"/>
        <w:outlineLvl w:val="2"/>
        <w:rPr>
          <w:rFonts w:hint="eastAsia" w:ascii="宋体" w:hAnsi="宋体" w:eastAsia="宋体" w:cs="宋体"/>
          <w:b/>
          <w:bCs/>
          <w:color w:val="auto"/>
          <w:kern w:val="2"/>
          <w:sz w:val="24"/>
          <w:szCs w:val="24"/>
          <w:highlight w:val="none"/>
          <w:lang w:val="zh-CN"/>
        </w:rPr>
      </w:pPr>
      <w:bookmarkStart w:id="241" w:name="_Toc28394"/>
      <w:bookmarkStart w:id="242" w:name="_Toc22591"/>
      <w:bookmarkStart w:id="243" w:name="_Toc921"/>
      <w:bookmarkStart w:id="244" w:name="_Toc26004"/>
      <w:bookmarkStart w:id="245" w:name="_Toc27544"/>
      <w:bookmarkStart w:id="246" w:name="_Toc5935"/>
      <w:bookmarkStart w:id="247" w:name="_Toc59135338"/>
      <w:bookmarkStart w:id="248" w:name="_Toc376936760"/>
      <w:bookmarkStart w:id="249" w:name="_Toc325726029"/>
      <w:r>
        <w:rPr>
          <w:rFonts w:hint="eastAsia" w:ascii="宋体" w:hAnsi="宋体" w:eastAsia="宋体" w:cs="宋体"/>
          <w:b/>
          <w:bCs/>
          <w:color w:val="auto"/>
          <w:kern w:val="2"/>
          <w:sz w:val="24"/>
          <w:szCs w:val="24"/>
          <w:highlight w:val="none"/>
          <w:lang w:val="zh-CN"/>
        </w:rPr>
        <w:t>2</w:t>
      </w:r>
      <w:r>
        <w:rPr>
          <w:rFonts w:hint="eastAsia" w:ascii="宋体" w:hAnsi="宋体" w:eastAsia="宋体" w:cs="宋体"/>
          <w:b/>
          <w:bCs/>
          <w:color w:val="auto"/>
          <w:kern w:val="2"/>
          <w:sz w:val="24"/>
          <w:szCs w:val="24"/>
          <w:highlight w:val="none"/>
          <w:lang w:val="en-US" w:eastAsia="zh-CN"/>
        </w:rPr>
        <w:t>5</w:t>
      </w:r>
      <w:r>
        <w:rPr>
          <w:rFonts w:hint="eastAsia" w:ascii="宋体" w:hAnsi="宋体" w:eastAsia="宋体" w:cs="宋体"/>
          <w:b/>
          <w:bCs/>
          <w:color w:val="auto"/>
          <w:kern w:val="2"/>
          <w:sz w:val="24"/>
          <w:szCs w:val="24"/>
          <w:highlight w:val="none"/>
          <w:lang w:val="zh-CN"/>
        </w:rPr>
        <w:t>.签订合同</w:t>
      </w:r>
      <w:bookmarkEnd w:id="241"/>
      <w:bookmarkEnd w:id="242"/>
      <w:bookmarkEnd w:id="243"/>
      <w:bookmarkEnd w:id="244"/>
      <w:bookmarkEnd w:id="245"/>
      <w:bookmarkEnd w:id="246"/>
      <w:bookmarkEnd w:id="247"/>
      <w:bookmarkEnd w:id="248"/>
      <w:bookmarkEnd w:id="249"/>
    </w:p>
    <w:p w14:paraId="1B61319E">
      <w:pPr>
        <w:widowControl/>
        <w:adjustRightInd w:val="0"/>
        <w:snapToGrid w:val="0"/>
        <w:spacing w:line="360" w:lineRule="auto"/>
        <w:ind w:firstLine="480" w:firstLineChars="0"/>
        <w:jc w:val="left"/>
        <w:rPr>
          <w:rFonts w:ascii="宋体" w:hAnsi="宋体" w:eastAsia="宋体" w:cs="宋体"/>
          <w:color w:val="auto"/>
          <w:kern w:val="0"/>
          <w:szCs w:val="22"/>
          <w:highlight w:val="none"/>
        </w:rPr>
      </w:pPr>
      <w:bookmarkStart w:id="250" w:name="_Toc325726030"/>
      <w:bookmarkStart w:id="251" w:name="_Toc376936761"/>
      <w:r>
        <w:rPr>
          <w:rFonts w:hint="eastAsia" w:ascii="宋体" w:hAnsi="宋体" w:eastAsia="宋体" w:cs="宋体"/>
          <w:color w:val="auto"/>
          <w:kern w:val="0"/>
          <w:szCs w:val="24"/>
          <w:highlight w:val="none"/>
        </w:rPr>
        <w:t>2</w:t>
      </w:r>
      <w:r>
        <w:rPr>
          <w:rFonts w:hint="eastAsia" w:ascii="宋体" w:hAnsi="宋体" w:eastAsia="宋体" w:cs="宋体"/>
          <w:color w:val="auto"/>
          <w:kern w:val="0"/>
          <w:szCs w:val="24"/>
          <w:highlight w:val="none"/>
          <w:lang w:val="en-US" w:eastAsia="zh-CN"/>
        </w:rPr>
        <w:t>5</w:t>
      </w:r>
      <w:r>
        <w:rPr>
          <w:rFonts w:hint="eastAsia" w:ascii="宋体" w:hAnsi="宋体" w:eastAsia="宋体" w:cs="宋体"/>
          <w:color w:val="auto"/>
          <w:kern w:val="0"/>
          <w:szCs w:val="24"/>
          <w:highlight w:val="none"/>
        </w:rPr>
        <w:t>.1采购人与成交供应商应当在成交通知书发出之日起30日内，按照磋商文件确定的合同文本以及采购标的、交货期限、服务承诺、技术和服务要求等事项签订政府采购合同，</w:t>
      </w:r>
      <w:r>
        <w:rPr>
          <w:rFonts w:hint="eastAsia" w:ascii="宋体" w:hAnsi="宋体" w:eastAsia="宋体" w:cs="宋体"/>
          <w:color w:val="auto"/>
          <w:kern w:val="0"/>
          <w:szCs w:val="22"/>
          <w:highlight w:val="none"/>
        </w:rPr>
        <w:t>并送至采购代理机构审核备案。</w:t>
      </w:r>
    </w:p>
    <w:p w14:paraId="3FF217B8">
      <w:pPr>
        <w:widowControl/>
        <w:adjustRightInd w:val="0"/>
        <w:snapToGrid w:val="0"/>
        <w:spacing w:line="360" w:lineRule="auto"/>
        <w:ind w:firstLine="480" w:firstLineChars="200"/>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2</w:t>
      </w:r>
      <w:r>
        <w:rPr>
          <w:rFonts w:hint="eastAsia" w:ascii="宋体" w:hAnsi="宋体" w:eastAsia="宋体" w:cs="宋体"/>
          <w:color w:val="auto"/>
          <w:kern w:val="0"/>
          <w:szCs w:val="24"/>
          <w:highlight w:val="none"/>
          <w:lang w:val="en-US" w:eastAsia="zh-CN"/>
        </w:rPr>
        <w:t>5</w:t>
      </w:r>
      <w:r>
        <w:rPr>
          <w:rFonts w:hint="eastAsia" w:ascii="宋体" w:hAnsi="宋体" w:eastAsia="宋体" w:cs="宋体"/>
          <w:color w:val="auto"/>
          <w:kern w:val="0"/>
          <w:szCs w:val="24"/>
          <w:highlight w:val="none"/>
        </w:rPr>
        <w:t>.2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22243361">
      <w:pPr>
        <w:widowControl/>
        <w:adjustRightInd w:val="0"/>
        <w:snapToGrid w:val="0"/>
        <w:spacing w:line="360" w:lineRule="auto"/>
        <w:ind w:firstLine="480" w:firstLineChars="200"/>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2</w:t>
      </w:r>
      <w:r>
        <w:rPr>
          <w:rFonts w:hint="eastAsia" w:ascii="宋体" w:hAnsi="宋体" w:eastAsia="宋体" w:cs="宋体"/>
          <w:color w:val="auto"/>
          <w:kern w:val="0"/>
          <w:szCs w:val="24"/>
          <w:highlight w:val="none"/>
          <w:lang w:val="en-US" w:eastAsia="zh-CN"/>
        </w:rPr>
        <w:t>5</w:t>
      </w:r>
      <w:r>
        <w:rPr>
          <w:rFonts w:hint="eastAsia" w:ascii="宋体" w:hAnsi="宋体" w:eastAsia="宋体" w:cs="宋体"/>
          <w:color w:val="auto"/>
          <w:kern w:val="0"/>
          <w:szCs w:val="24"/>
          <w:highlight w:val="none"/>
        </w:rPr>
        <w:t>.</w:t>
      </w:r>
      <w:r>
        <w:rPr>
          <w:rFonts w:hint="eastAsia" w:ascii="宋体" w:hAnsi="宋体" w:cs="宋体"/>
          <w:color w:val="auto"/>
          <w:kern w:val="0"/>
          <w:szCs w:val="24"/>
          <w:highlight w:val="none"/>
          <w:lang w:val="en-US" w:eastAsia="zh-CN"/>
        </w:rPr>
        <w:t>3</w:t>
      </w:r>
      <w:r>
        <w:rPr>
          <w:rFonts w:hint="eastAsia" w:ascii="宋体" w:hAnsi="宋体" w:eastAsia="宋体" w:cs="宋体"/>
          <w:color w:val="auto"/>
          <w:kern w:val="0"/>
          <w:szCs w:val="24"/>
          <w:highlight w:val="none"/>
        </w:rPr>
        <w:t>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421CFF57">
      <w:pPr>
        <w:widowControl/>
        <w:adjustRightInd w:val="0"/>
        <w:snapToGrid w:val="0"/>
        <w:spacing w:line="360" w:lineRule="auto"/>
        <w:ind w:firstLine="480" w:firstLineChars="0"/>
        <w:jc w:val="left"/>
        <w:rPr>
          <w:rFonts w:ascii="宋体" w:hAnsi="宋体" w:eastAsia="宋体" w:cs="宋体"/>
          <w:color w:val="auto"/>
          <w:kern w:val="0"/>
          <w:szCs w:val="22"/>
          <w:highlight w:val="none"/>
        </w:rPr>
      </w:pPr>
      <w:r>
        <w:rPr>
          <w:rFonts w:hint="eastAsia" w:ascii="宋体" w:hAnsi="宋体" w:eastAsia="宋体" w:cs="宋体"/>
          <w:color w:val="auto"/>
          <w:kern w:val="0"/>
          <w:szCs w:val="22"/>
          <w:highlight w:val="none"/>
        </w:rPr>
        <w:t>2</w:t>
      </w:r>
      <w:r>
        <w:rPr>
          <w:rFonts w:hint="eastAsia" w:ascii="宋体" w:hAnsi="宋体" w:eastAsia="宋体" w:cs="宋体"/>
          <w:color w:val="auto"/>
          <w:kern w:val="0"/>
          <w:szCs w:val="22"/>
          <w:highlight w:val="none"/>
          <w:lang w:val="en-US" w:eastAsia="zh-CN"/>
        </w:rPr>
        <w:t>5</w:t>
      </w:r>
      <w:r>
        <w:rPr>
          <w:rFonts w:hint="eastAsia" w:ascii="宋体" w:hAnsi="宋体" w:eastAsia="宋体" w:cs="宋体"/>
          <w:color w:val="auto"/>
          <w:kern w:val="0"/>
          <w:szCs w:val="22"/>
          <w:highlight w:val="none"/>
        </w:rPr>
        <w:t>.</w:t>
      </w:r>
      <w:r>
        <w:rPr>
          <w:rFonts w:hint="eastAsia" w:ascii="宋体" w:hAnsi="宋体" w:cs="宋体"/>
          <w:color w:val="auto"/>
          <w:kern w:val="0"/>
          <w:szCs w:val="22"/>
          <w:highlight w:val="none"/>
          <w:lang w:val="en-US" w:eastAsia="zh-CN"/>
        </w:rPr>
        <w:t>4</w:t>
      </w:r>
      <w:r>
        <w:rPr>
          <w:rFonts w:hint="eastAsia" w:ascii="宋体" w:hAnsi="宋体" w:eastAsia="宋体" w:cs="宋体"/>
          <w:color w:val="auto"/>
          <w:kern w:val="0"/>
          <w:szCs w:val="22"/>
          <w:highlight w:val="none"/>
        </w:rPr>
        <w:t>磋商文件、成交人的磋商响应文件、《成交通知书》及其澄清、说明文件等，均为签订采购合同的依据。</w:t>
      </w:r>
    </w:p>
    <w:p w14:paraId="2D75928D">
      <w:pPr>
        <w:widowControl/>
        <w:adjustRightInd w:val="0"/>
        <w:snapToGrid w:val="0"/>
        <w:spacing w:line="360" w:lineRule="auto"/>
        <w:ind w:firstLine="480" w:firstLineChars="0"/>
        <w:jc w:val="left"/>
        <w:rPr>
          <w:rFonts w:hint="eastAsia" w:ascii="宋体" w:hAnsi="宋体" w:eastAsia="宋体" w:cs="宋体"/>
          <w:color w:val="auto"/>
          <w:kern w:val="0"/>
          <w:szCs w:val="22"/>
          <w:highlight w:val="none"/>
        </w:rPr>
      </w:pPr>
      <w:r>
        <w:rPr>
          <w:rFonts w:hint="eastAsia" w:ascii="宋体" w:hAnsi="宋体" w:eastAsia="宋体" w:cs="宋体"/>
          <w:color w:val="auto"/>
          <w:kern w:val="0"/>
          <w:szCs w:val="22"/>
          <w:highlight w:val="none"/>
        </w:rPr>
        <w:t>2</w:t>
      </w:r>
      <w:r>
        <w:rPr>
          <w:rFonts w:hint="eastAsia" w:ascii="宋体" w:hAnsi="宋体" w:eastAsia="宋体" w:cs="宋体"/>
          <w:color w:val="auto"/>
          <w:kern w:val="0"/>
          <w:szCs w:val="22"/>
          <w:highlight w:val="none"/>
          <w:lang w:val="en-US" w:eastAsia="zh-CN"/>
        </w:rPr>
        <w:t>5</w:t>
      </w:r>
      <w:r>
        <w:rPr>
          <w:rFonts w:hint="eastAsia" w:ascii="宋体" w:hAnsi="宋体" w:eastAsia="宋体" w:cs="宋体"/>
          <w:color w:val="auto"/>
          <w:kern w:val="0"/>
          <w:szCs w:val="22"/>
          <w:highlight w:val="none"/>
        </w:rPr>
        <w:t>.</w:t>
      </w:r>
      <w:r>
        <w:rPr>
          <w:rFonts w:hint="eastAsia" w:ascii="宋体" w:hAnsi="宋体" w:cs="宋体"/>
          <w:color w:val="auto"/>
          <w:kern w:val="0"/>
          <w:szCs w:val="22"/>
          <w:highlight w:val="none"/>
          <w:lang w:val="en-US" w:eastAsia="zh-CN"/>
        </w:rPr>
        <w:t>5</w:t>
      </w:r>
      <w:r>
        <w:rPr>
          <w:rFonts w:hint="eastAsia" w:ascii="宋体" w:hAnsi="宋体" w:eastAsia="宋体" w:cs="宋体"/>
          <w:color w:val="auto"/>
          <w:kern w:val="0"/>
          <w:szCs w:val="22"/>
          <w:highlight w:val="none"/>
        </w:rPr>
        <w:t>采购人或采购代理机构应当自采购合同签订之日起2个工作日内，将采购合同在青海政府采购信息网上公告，但政府采购合同中涉及国家秘密、商业秘密的内容除外。</w:t>
      </w:r>
    </w:p>
    <w:p w14:paraId="68021C6E">
      <w:pPr>
        <w:widowControl/>
        <w:adjustRightInd w:val="0"/>
        <w:snapToGrid w:val="0"/>
        <w:spacing w:line="360" w:lineRule="auto"/>
        <w:ind w:firstLine="480" w:firstLineChars="0"/>
        <w:jc w:val="left"/>
        <w:rPr>
          <w:rFonts w:hint="eastAsia" w:ascii="宋体" w:hAnsi="宋体"/>
          <w:color w:val="auto"/>
          <w:highlight w:val="none"/>
        </w:rPr>
      </w:pPr>
      <w:r>
        <w:rPr>
          <w:rFonts w:hint="eastAsia" w:ascii="宋体" w:hAnsi="宋体"/>
          <w:color w:val="auto"/>
          <w:highlight w:val="none"/>
        </w:rPr>
        <w:t>采购人与成交供应商应当根据合同的约定依法履行合同义务。政府采购合同的履行、违约责任和解决争议的方法等适用《中华人民共和国民法典》。</w:t>
      </w:r>
    </w:p>
    <w:p w14:paraId="1FD925B0">
      <w:pPr>
        <w:ind w:firstLine="480"/>
        <w:jc w:val="left"/>
        <w:rPr>
          <w:rFonts w:hint="eastAsia" w:ascii="宋体" w:hAnsi="宋体"/>
          <w:color w:val="auto"/>
          <w:highlight w:val="none"/>
        </w:rPr>
      </w:pPr>
      <w:r>
        <w:rPr>
          <w:rFonts w:hint="eastAsia" w:ascii="宋体" w:hAnsi="宋体"/>
          <w:color w:val="auto"/>
          <w:highlight w:val="none"/>
        </w:rPr>
        <w:t>采购人应当按照政府采购合同规定的技术、服务、安全标准组织对供应商履约情况进行验收，并出具验收书。验收书应当包括每一项技术、服务、安全标准的履约情况。</w:t>
      </w:r>
    </w:p>
    <w:p w14:paraId="1367CF8C">
      <w:pPr>
        <w:ind w:firstLine="480"/>
        <w:jc w:val="left"/>
        <w:rPr>
          <w:rFonts w:hint="eastAsia" w:ascii="宋体" w:hAnsi="宋体"/>
          <w:color w:val="auto"/>
          <w:highlight w:val="none"/>
        </w:rPr>
      </w:pPr>
      <w:r>
        <w:rPr>
          <w:rFonts w:hint="eastAsia" w:ascii="宋体" w:hAnsi="宋体"/>
          <w:color w:val="auto"/>
          <w:highlight w:val="none"/>
        </w:rPr>
        <w:t>采购人应当加强对成交供应商的履约管理，并按照采购合同约定，及时向中标人支付采购资金。对于中标人违反采购合同约定的行为，采购人应当及时处理，依法追究其违约责任。</w:t>
      </w:r>
    </w:p>
    <w:p w14:paraId="7B08AD06">
      <w:pPr>
        <w:pStyle w:val="12"/>
        <w:rPr>
          <w:color w:val="auto"/>
          <w:highlight w:val="none"/>
        </w:rPr>
      </w:pPr>
    </w:p>
    <w:p w14:paraId="5C362503">
      <w:pPr>
        <w:widowControl/>
        <w:adjustRightInd w:val="0"/>
        <w:snapToGrid w:val="0"/>
        <w:spacing w:before="120" w:beforeLines="50" w:line="360" w:lineRule="auto"/>
        <w:ind w:firstLine="0" w:firstLineChars="0"/>
        <w:jc w:val="center"/>
        <w:outlineLvl w:val="1"/>
        <w:rPr>
          <w:rFonts w:ascii="宋体" w:hAnsi="宋体" w:eastAsia="宋体" w:cs="宋体"/>
          <w:b/>
          <w:bCs/>
          <w:color w:val="auto"/>
          <w:kern w:val="0"/>
          <w:sz w:val="36"/>
          <w:szCs w:val="36"/>
          <w:highlight w:val="none"/>
        </w:rPr>
      </w:pPr>
      <w:bookmarkStart w:id="252" w:name="_Toc16838"/>
      <w:bookmarkStart w:id="253" w:name="_Toc896"/>
      <w:bookmarkStart w:id="254" w:name="_Toc22442"/>
      <w:bookmarkStart w:id="255" w:name="_Toc6275"/>
      <w:bookmarkStart w:id="256" w:name="_Toc59135339"/>
      <w:r>
        <w:rPr>
          <w:rFonts w:hint="eastAsia" w:ascii="宋体" w:hAnsi="宋体" w:eastAsia="宋体" w:cs="宋体"/>
          <w:b/>
          <w:bCs/>
          <w:color w:val="auto"/>
          <w:kern w:val="0"/>
          <w:sz w:val="36"/>
          <w:szCs w:val="36"/>
          <w:highlight w:val="none"/>
          <w:lang w:val="en-US" w:eastAsia="zh-CN"/>
        </w:rPr>
        <w:t>十</w:t>
      </w:r>
      <w:r>
        <w:rPr>
          <w:rFonts w:hint="eastAsia" w:ascii="宋体" w:hAnsi="宋体" w:eastAsia="宋体" w:cs="宋体"/>
          <w:b/>
          <w:bCs/>
          <w:color w:val="auto"/>
          <w:kern w:val="0"/>
          <w:sz w:val="36"/>
          <w:szCs w:val="36"/>
          <w:highlight w:val="none"/>
        </w:rPr>
        <w:t>、</w:t>
      </w:r>
      <w:bookmarkEnd w:id="250"/>
      <w:bookmarkEnd w:id="251"/>
      <w:r>
        <w:rPr>
          <w:rFonts w:hint="eastAsia" w:ascii="宋体" w:hAnsi="宋体" w:eastAsia="宋体" w:cs="宋体"/>
          <w:b/>
          <w:bCs/>
          <w:color w:val="auto"/>
          <w:kern w:val="0"/>
          <w:sz w:val="36"/>
          <w:szCs w:val="36"/>
          <w:highlight w:val="none"/>
        </w:rPr>
        <w:t>磋商活动终止</w:t>
      </w:r>
      <w:bookmarkEnd w:id="252"/>
      <w:bookmarkEnd w:id="253"/>
      <w:bookmarkEnd w:id="254"/>
      <w:bookmarkEnd w:id="255"/>
      <w:bookmarkEnd w:id="256"/>
    </w:p>
    <w:p w14:paraId="6AD17721">
      <w:pPr>
        <w:widowControl/>
        <w:adjustRightInd w:val="0"/>
        <w:snapToGrid w:val="0"/>
        <w:spacing w:line="360" w:lineRule="auto"/>
        <w:ind w:firstLine="0" w:firstLineChars="0"/>
        <w:jc w:val="left"/>
        <w:outlineLvl w:val="2"/>
        <w:rPr>
          <w:rFonts w:hint="eastAsia" w:ascii="宋体" w:hAnsi="宋体" w:eastAsia="宋体" w:cs="宋体"/>
          <w:b/>
          <w:bCs/>
          <w:color w:val="auto"/>
          <w:kern w:val="2"/>
          <w:sz w:val="24"/>
          <w:szCs w:val="24"/>
          <w:highlight w:val="none"/>
          <w:lang w:val="zh-CN"/>
        </w:rPr>
      </w:pPr>
      <w:bookmarkStart w:id="257" w:name="_Toc11684"/>
      <w:bookmarkStart w:id="258" w:name="_Toc7098"/>
      <w:bookmarkStart w:id="259" w:name="_Toc25665"/>
      <w:bookmarkStart w:id="260" w:name="_Toc27175"/>
      <w:bookmarkStart w:id="261" w:name="_Toc9658"/>
      <w:bookmarkStart w:id="262" w:name="_Toc31050"/>
      <w:bookmarkStart w:id="263" w:name="_Toc59135340"/>
      <w:bookmarkStart w:id="264" w:name="_Toc325726031"/>
      <w:bookmarkStart w:id="265" w:name="_Toc376936762"/>
      <w:r>
        <w:rPr>
          <w:rFonts w:hint="eastAsia" w:ascii="宋体" w:hAnsi="宋体" w:eastAsia="宋体" w:cs="宋体"/>
          <w:b/>
          <w:bCs/>
          <w:color w:val="auto"/>
          <w:kern w:val="2"/>
          <w:sz w:val="24"/>
          <w:szCs w:val="24"/>
          <w:highlight w:val="none"/>
          <w:lang w:val="zh-CN"/>
        </w:rPr>
        <w:t>2</w:t>
      </w:r>
      <w:r>
        <w:rPr>
          <w:rFonts w:hint="eastAsia" w:ascii="宋体" w:hAnsi="宋体" w:eastAsia="宋体" w:cs="宋体"/>
          <w:b/>
          <w:bCs/>
          <w:color w:val="auto"/>
          <w:kern w:val="2"/>
          <w:sz w:val="24"/>
          <w:szCs w:val="24"/>
          <w:highlight w:val="none"/>
          <w:lang w:val="en-US" w:eastAsia="zh-CN"/>
        </w:rPr>
        <w:t>6</w:t>
      </w:r>
      <w:r>
        <w:rPr>
          <w:rFonts w:hint="eastAsia" w:ascii="宋体" w:hAnsi="宋体" w:eastAsia="宋体" w:cs="宋体"/>
          <w:b/>
          <w:bCs/>
          <w:color w:val="auto"/>
          <w:kern w:val="2"/>
          <w:sz w:val="24"/>
          <w:szCs w:val="24"/>
          <w:highlight w:val="none"/>
          <w:lang w:val="zh-CN"/>
        </w:rPr>
        <w:t>.终止情形</w:t>
      </w:r>
      <w:bookmarkEnd w:id="257"/>
      <w:bookmarkEnd w:id="258"/>
      <w:bookmarkEnd w:id="259"/>
      <w:bookmarkEnd w:id="260"/>
      <w:bookmarkEnd w:id="261"/>
      <w:bookmarkEnd w:id="262"/>
      <w:bookmarkEnd w:id="263"/>
    </w:p>
    <w:p w14:paraId="280D7C84">
      <w:pPr>
        <w:widowControl/>
        <w:adjustRightInd w:val="0"/>
        <w:snapToGrid w:val="0"/>
        <w:spacing w:line="360" w:lineRule="auto"/>
        <w:ind w:firstLine="480" w:firstLineChars="200"/>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2</w:t>
      </w:r>
      <w:r>
        <w:rPr>
          <w:rFonts w:hint="eastAsia" w:ascii="宋体" w:hAnsi="宋体" w:eastAsia="宋体" w:cs="宋体"/>
          <w:color w:val="auto"/>
          <w:kern w:val="0"/>
          <w:szCs w:val="24"/>
          <w:highlight w:val="none"/>
          <w:lang w:val="en-US" w:eastAsia="zh-CN"/>
        </w:rPr>
        <w:t>6</w:t>
      </w:r>
      <w:r>
        <w:rPr>
          <w:rFonts w:hint="eastAsia" w:ascii="宋体" w:hAnsi="宋体" w:eastAsia="宋体" w:cs="宋体"/>
          <w:color w:val="auto"/>
          <w:kern w:val="0"/>
          <w:szCs w:val="24"/>
          <w:highlight w:val="none"/>
        </w:rPr>
        <w:t>.1</w:t>
      </w:r>
      <w:bookmarkEnd w:id="264"/>
      <w:bookmarkEnd w:id="265"/>
      <w:r>
        <w:rPr>
          <w:rFonts w:hint="eastAsia" w:ascii="宋体" w:hAnsi="宋体" w:eastAsia="宋体" w:cs="宋体"/>
          <w:color w:val="auto"/>
          <w:kern w:val="0"/>
          <w:szCs w:val="24"/>
          <w:highlight w:val="none"/>
        </w:rPr>
        <w:t>出现下列情形之一的，采购代理机构应当终止竞争性磋商采购活动，发布项目终止公告并说明原因，重新开展采购活动：</w:t>
      </w:r>
    </w:p>
    <w:p w14:paraId="21A10322">
      <w:pPr>
        <w:widowControl/>
        <w:adjustRightInd w:val="0"/>
        <w:snapToGrid w:val="0"/>
        <w:spacing w:line="360" w:lineRule="auto"/>
        <w:ind w:firstLine="480" w:firstLineChars="200"/>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（1）因情况变化，不再符合规定的竞争性磋商采购方式适用情形的；</w:t>
      </w:r>
    </w:p>
    <w:p w14:paraId="555C7C00">
      <w:pPr>
        <w:widowControl/>
        <w:adjustRightInd w:val="0"/>
        <w:snapToGrid w:val="0"/>
        <w:spacing w:line="360" w:lineRule="auto"/>
        <w:ind w:firstLine="480" w:firstLineChars="200"/>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（2）出现影响采购公正的违法、违规行为的；</w:t>
      </w:r>
    </w:p>
    <w:p w14:paraId="32F5AC54">
      <w:pPr>
        <w:widowControl/>
        <w:adjustRightInd w:val="0"/>
        <w:snapToGrid w:val="0"/>
        <w:spacing w:line="360" w:lineRule="auto"/>
        <w:ind w:firstLine="480" w:firstLineChars="200"/>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（3）除《政府采购竞争性磋商采购方式管理暂行办法》第二十一条第三款规定的情形外，在采购过程中符合要求的供应商或者报价未超过采购预算的供应商不足2家的。</w:t>
      </w:r>
    </w:p>
    <w:p w14:paraId="152C2DB1">
      <w:pPr>
        <w:widowControl/>
        <w:adjustRightInd w:val="0"/>
        <w:snapToGrid w:val="0"/>
        <w:spacing w:line="360" w:lineRule="auto"/>
        <w:ind w:firstLine="480" w:firstLineChars="0"/>
        <w:jc w:val="left"/>
        <w:rPr>
          <w:rFonts w:ascii="宋体" w:hAnsi="宋体" w:eastAsia="宋体" w:cs="宋体"/>
          <w:color w:val="auto"/>
          <w:kern w:val="0"/>
          <w:szCs w:val="22"/>
          <w:highlight w:val="none"/>
        </w:rPr>
      </w:pPr>
      <w:r>
        <w:rPr>
          <w:rFonts w:hint="eastAsia" w:ascii="宋体" w:hAnsi="宋体" w:eastAsia="宋体" w:cs="宋体"/>
          <w:color w:val="auto"/>
          <w:kern w:val="0"/>
          <w:szCs w:val="22"/>
          <w:highlight w:val="none"/>
        </w:rPr>
        <w:t>（4）因重大变故，采购任务取消的。</w:t>
      </w:r>
    </w:p>
    <w:p w14:paraId="51CE4E82">
      <w:pPr>
        <w:widowControl/>
        <w:adjustRightInd w:val="0"/>
        <w:snapToGrid w:val="0"/>
        <w:spacing w:line="360" w:lineRule="auto"/>
        <w:ind w:firstLine="480" w:firstLineChars="200"/>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2</w:t>
      </w:r>
      <w:r>
        <w:rPr>
          <w:rFonts w:hint="eastAsia" w:ascii="宋体" w:hAnsi="宋体" w:eastAsia="宋体" w:cs="宋体"/>
          <w:color w:val="auto"/>
          <w:kern w:val="0"/>
          <w:szCs w:val="24"/>
          <w:highlight w:val="none"/>
          <w:lang w:val="en-US" w:eastAsia="zh-CN"/>
        </w:rPr>
        <w:t>6</w:t>
      </w:r>
      <w:r>
        <w:rPr>
          <w:rFonts w:hint="eastAsia" w:ascii="宋体" w:hAnsi="宋体" w:eastAsia="宋体" w:cs="宋体"/>
          <w:color w:val="auto"/>
          <w:kern w:val="0"/>
          <w:szCs w:val="24"/>
          <w:highlight w:val="none"/>
        </w:rPr>
        <w:t>.2终止磋商活动后，由采购代理机构发布终止公告并说明原因。</w:t>
      </w:r>
      <w:bookmarkStart w:id="266" w:name="_Toc325726032"/>
    </w:p>
    <w:p w14:paraId="7CEDEEE1">
      <w:pPr>
        <w:widowControl/>
        <w:adjustRightInd w:val="0"/>
        <w:snapToGrid w:val="0"/>
        <w:spacing w:line="360" w:lineRule="auto"/>
        <w:ind w:firstLine="0" w:firstLineChars="0"/>
        <w:jc w:val="center"/>
        <w:outlineLvl w:val="1"/>
        <w:rPr>
          <w:rFonts w:ascii="宋体" w:hAnsi="宋体" w:eastAsia="宋体" w:cs="宋体"/>
          <w:b/>
          <w:bCs/>
          <w:color w:val="auto"/>
          <w:kern w:val="0"/>
          <w:sz w:val="36"/>
          <w:szCs w:val="36"/>
          <w:highlight w:val="none"/>
        </w:rPr>
      </w:pPr>
      <w:bookmarkStart w:id="267" w:name="_Toc22986"/>
      <w:bookmarkStart w:id="268" w:name="_Toc59135341"/>
      <w:bookmarkStart w:id="269" w:name="_Toc376936763"/>
      <w:bookmarkStart w:id="270" w:name="_Toc27950"/>
      <w:bookmarkStart w:id="271" w:name="_Toc31640"/>
      <w:bookmarkStart w:id="272" w:name="_Toc6646"/>
      <w:r>
        <w:rPr>
          <w:rFonts w:hint="eastAsia" w:ascii="宋体" w:hAnsi="宋体" w:eastAsia="宋体" w:cs="宋体"/>
          <w:b/>
          <w:bCs/>
          <w:color w:val="auto"/>
          <w:kern w:val="0"/>
          <w:sz w:val="36"/>
          <w:szCs w:val="36"/>
          <w:highlight w:val="none"/>
        </w:rPr>
        <w:t>十</w:t>
      </w:r>
      <w:r>
        <w:rPr>
          <w:rFonts w:hint="eastAsia" w:ascii="宋体" w:hAnsi="宋体" w:cs="宋体"/>
          <w:b/>
          <w:bCs/>
          <w:color w:val="auto"/>
          <w:kern w:val="0"/>
          <w:sz w:val="36"/>
          <w:szCs w:val="36"/>
          <w:highlight w:val="none"/>
          <w:lang w:val="en-US" w:eastAsia="zh-CN"/>
        </w:rPr>
        <w:t>一</w:t>
      </w:r>
      <w:r>
        <w:rPr>
          <w:rFonts w:hint="eastAsia" w:ascii="宋体" w:hAnsi="宋体" w:eastAsia="宋体" w:cs="宋体"/>
          <w:b/>
          <w:bCs/>
          <w:color w:val="auto"/>
          <w:kern w:val="0"/>
          <w:sz w:val="36"/>
          <w:szCs w:val="36"/>
          <w:highlight w:val="none"/>
        </w:rPr>
        <w:t>、处罚</w:t>
      </w:r>
      <w:bookmarkEnd w:id="266"/>
      <w:bookmarkEnd w:id="267"/>
      <w:bookmarkEnd w:id="268"/>
      <w:bookmarkEnd w:id="269"/>
      <w:bookmarkEnd w:id="270"/>
      <w:bookmarkEnd w:id="271"/>
      <w:bookmarkEnd w:id="272"/>
    </w:p>
    <w:p w14:paraId="0B0AED8B">
      <w:pPr>
        <w:widowControl/>
        <w:adjustRightInd w:val="0"/>
        <w:snapToGrid w:val="0"/>
        <w:spacing w:line="360" w:lineRule="auto"/>
        <w:ind w:firstLine="0" w:firstLineChars="0"/>
        <w:jc w:val="left"/>
        <w:outlineLvl w:val="2"/>
        <w:rPr>
          <w:rFonts w:hint="eastAsia" w:ascii="宋体" w:hAnsi="宋体" w:eastAsia="宋体" w:cs="宋体"/>
          <w:b/>
          <w:bCs/>
          <w:color w:val="auto"/>
          <w:kern w:val="2"/>
          <w:sz w:val="24"/>
          <w:szCs w:val="24"/>
          <w:highlight w:val="none"/>
          <w:lang w:val="zh-CN"/>
        </w:rPr>
      </w:pPr>
      <w:bookmarkStart w:id="273" w:name="_Toc28018"/>
      <w:bookmarkStart w:id="274" w:name="_Toc17567"/>
      <w:bookmarkStart w:id="275" w:name="_Toc3645"/>
      <w:bookmarkStart w:id="276" w:name="_Toc9550"/>
      <w:bookmarkStart w:id="277" w:name="_Toc26030"/>
      <w:bookmarkStart w:id="278" w:name="_Toc17297"/>
      <w:bookmarkStart w:id="279" w:name="_Toc325726033"/>
      <w:bookmarkStart w:id="280" w:name="_Toc59135342"/>
      <w:bookmarkStart w:id="281" w:name="_Toc376936764"/>
      <w:r>
        <w:rPr>
          <w:rFonts w:hint="eastAsia" w:ascii="宋体" w:hAnsi="宋体" w:eastAsia="宋体" w:cs="宋体"/>
          <w:b/>
          <w:bCs/>
          <w:color w:val="auto"/>
          <w:kern w:val="2"/>
          <w:sz w:val="24"/>
          <w:szCs w:val="24"/>
          <w:highlight w:val="none"/>
          <w:lang w:val="zh-CN"/>
        </w:rPr>
        <w:t>2</w:t>
      </w:r>
      <w:r>
        <w:rPr>
          <w:rFonts w:hint="eastAsia" w:ascii="宋体" w:hAnsi="宋体" w:eastAsia="宋体" w:cs="宋体"/>
          <w:b/>
          <w:bCs/>
          <w:color w:val="auto"/>
          <w:kern w:val="2"/>
          <w:sz w:val="24"/>
          <w:szCs w:val="24"/>
          <w:highlight w:val="none"/>
          <w:lang w:val="en-US" w:eastAsia="zh-CN"/>
        </w:rPr>
        <w:t>7</w:t>
      </w:r>
      <w:r>
        <w:rPr>
          <w:rFonts w:hint="eastAsia" w:ascii="宋体" w:hAnsi="宋体" w:eastAsia="宋体" w:cs="宋体"/>
          <w:b/>
          <w:bCs/>
          <w:color w:val="auto"/>
          <w:kern w:val="2"/>
          <w:sz w:val="24"/>
          <w:szCs w:val="24"/>
          <w:highlight w:val="none"/>
          <w:lang w:val="zh-CN"/>
        </w:rPr>
        <w:t>.处罚情形</w:t>
      </w:r>
      <w:bookmarkEnd w:id="273"/>
      <w:bookmarkEnd w:id="274"/>
      <w:bookmarkEnd w:id="275"/>
      <w:bookmarkEnd w:id="276"/>
      <w:bookmarkEnd w:id="277"/>
      <w:bookmarkEnd w:id="278"/>
      <w:bookmarkEnd w:id="279"/>
      <w:bookmarkEnd w:id="280"/>
      <w:bookmarkEnd w:id="281"/>
    </w:p>
    <w:p w14:paraId="52F1C122">
      <w:pPr>
        <w:widowControl/>
        <w:autoSpaceDE w:val="0"/>
        <w:autoSpaceDN w:val="0"/>
        <w:adjustRightInd w:val="0"/>
        <w:snapToGrid w:val="0"/>
        <w:spacing w:line="360" w:lineRule="auto"/>
        <w:ind w:firstLine="480" w:firstLineChars="200"/>
        <w:jc w:val="left"/>
        <w:rPr>
          <w:rFonts w:ascii="Arial" w:hAnsi="Arial" w:eastAsia="宋体" w:cs="Arial"/>
          <w:color w:val="auto"/>
          <w:kern w:val="0"/>
          <w:szCs w:val="22"/>
          <w:highlight w:val="none"/>
          <w:lang w:val="zh-CN"/>
        </w:rPr>
      </w:pPr>
      <w:r>
        <w:rPr>
          <w:rFonts w:ascii="Arial" w:hAnsi="Arial" w:eastAsia="宋体" w:cs="Arial"/>
          <w:color w:val="auto"/>
          <w:kern w:val="0"/>
          <w:szCs w:val="22"/>
          <w:highlight w:val="none"/>
          <w:lang w:val="zh-CN"/>
        </w:rPr>
        <w:t>成交人</w:t>
      </w:r>
      <w:r>
        <w:rPr>
          <w:rFonts w:hint="eastAsia" w:ascii="宋体" w:hAnsi="宋体" w:eastAsia="宋体" w:cs="宋体"/>
          <w:color w:val="auto"/>
          <w:kern w:val="0"/>
          <w:szCs w:val="22"/>
          <w:highlight w:val="none"/>
        </w:rPr>
        <w:t>有下列情形之一的，供应商的磋商保证金不予退还；成交人的成交结果无效。</w:t>
      </w:r>
      <w:r>
        <w:rPr>
          <w:rFonts w:ascii="Arial" w:hAnsi="Arial" w:eastAsia="宋体" w:cs="Arial"/>
          <w:color w:val="auto"/>
          <w:kern w:val="0"/>
          <w:szCs w:val="22"/>
          <w:highlight w:val="none"/>
          <w:lang w:val="zh-CN"/>
        </w:rPr>
        <w:t>情节严重的，报同级财政部门依法进行处理：</w:t>
      </w:r>
    </w:p>
    <w:p w14:paraId="652AD69F">
      <w:pPr>
        <w:widowControl/>
        <w:numPr>
          <w:ilvl w:val="0"/>
          <w:numId w:val="10"/>
        </w:numPr>
        <w:autoSpaceDE w:val="0"/>
        <w:autoSpaceDN w:val="0"/>
        <w:adjustRightInd w:val="0"/>
        <w:snapToGrid w:val="0"/>
        <w:spacing w:line="360" w:lineRule="auto"/>
        <w:ind w:firstLine="480" w:firstLineChars="200"/>
        <w:jc w:val="left"/>
        <w:rPr>
          <w:rFonts w:ascii="宋体" w:hAnsi="宋体" w:eastAsia="宋体" w:cs="宋体"/>
          <w:color w:val="auto"/>
          <w:kern w:val="0"/>
          <w:szCs w:val="22"/>
          <w:highlight w:val="none"/>
        </w:rPr>
      </w:pPr>
      <w:r>
        <w:rPr>
          <w:rFonts w:hint="eastAsia" w:ascii="宋体" w:hAnsi="宋体" w:eastAsia="宋体" w:cs="宋体"/>
          <w:color w:val="auto"/>
          <w:kern w:val="0"/>
          <w:szCs w:val="22"/>
          <w:highlight w:val="none"/>
        </w:rPr>
        <w:t>供应商在提交响应文件截止时间之后撤回响应文件的。</w:t>
      </w:r>
    </w:p>
    <w:p w14:paraId="44B652AB">
      <w:pPr>
        <w:widowControl/>
        <w:numPr>
          <w:ilvl w:val="0"/>
          <w:numId w:val="10"/>
        </w:numPr>
        <w:autoSpaceDE w:val="0"/>
        <w:autoSpaceDN w:val="0"/>
        <w:adjustRightInd w:val="0"/>
        <w:snapToGrid w:val="0"/>
        <w:spacing w:line="360" w:lineRule="auto"/>
        <w:ind w:firstLine="480" w:firstLineChars="200"/>
        <w:jc w:val="left"/>
        <w:rPr>
          <w:rFonts w:ascii="Arial" w:hAnsi="Arial" w:eastAsia="宋体" w:cs="Arial"/>
          <w:color w:val="auto"/>
          <w:kern w:val="0"/>
          <w:szCs w:val="22"/>
          <w:highlight w:val="none"/>
          <w:lang w:val="zh-CN"/>
        </w:rPr>
      </w:pPr>
      <w:r>
        <w:rPr>
          <w:rFonts w:hint="eastAsia" w:ascii="宋体" w:hAnsi="宋体" w:eastAsia="宋体" w:cs="宋体"/>
          <w:color w:val="auto"/>
          <w:kern w:val="0"/>
          <w:szCs w:val="22"/>
          <w:highlight w:val="none"/>
        </w:rPr>
        <w:t>供应商在响应文件中提供虚假材料的</w:t>
      </w:r>
      <w:r>
        <w:rPr>
          <w:rFonts w:ascii="Arial" w:hAnsi="Arial" w:eastAsia="宋体" w:cs="Arial"/>
          <w:color w:val="auto"/>
          <w:kern w:val="0"/>
          <w:szCs w:val="22"/>
          <w:highlight w:val="none"/>
          <w:lang w:val="zh-CN"/>
        </w:rPr>
        <w:t>；</w:t>
      </w:r>
    </w:p>
    <w:p w14:paraId="745A2CD3">
      <w:pPr>
        <w:widowControl/>
        <w:numPr>
          <w:ilvl w:val="0"/>
          <w:numId w:val="10"/>
        </w:numPr>
        <w:autoSpaceDE w:val="0"/>
        <w:autoSpaceDN w:val="0"/>
        <w:adjustRightInd w:val="0"/>
        <w:snapToGrid w:val="0"/>
        <w:spacing w:line="360" w:lineRule="auto"/>
        <w:ind w:firstLine="480" w:firstLineChars="200"/>
        <w:jc w:val="left"/>
        <w:rPr>
          <w:rFonts w:ascii="Arial" w:hAnsi="Arial" w:eastAsia="宋体" w:cs="Arial"/>
          <w:color w:val="auto"/>
          <w:kern w:val="0"/>
          <w:szCs w:val="22"/>
          <w:highlight w:val="none"/>
          <w:lang w:val="zh-CN"/>
        </w:rPr>
      </w:pPr>
      <w:r>
        <w:rPr>
          <w:rFonts w:ascii="Arial" w:hAnsi="Arial" w:eastAsia="宋体" w:cs="Arial"/>
          <w:color w:val="auto"/>
          <w:kern w:val="0"/>
          <w:szCs w:val="22"/>
          <w:highlight w:val="none"/>
          <w:lang w:val="zh-CN"/>
        </w:rPr>
        <w:t>采取不正当手段诋毁、排挤其他供应商的；</w:t>
      </w:r>
    </w:p>
    <w:p w14:paraId="7AD892F4">
      <w:pPr>
        <w:widowControl/>
        <w:numPr>
          <w:ilvl w:val="0"/>
          <w:numId w:val="10"/>
        </w:numPr>
        <w:autoSpaceDE w:val="0"/>
        <w:autoSpaceDN w:val="0"/>
        <w:adjustRightInd w:val="0"/>
        <w:snapToGrid w:val="0"/>
        <w:spacing w:line="360" w:lineRule="auto"/>
        <w:ind w:firstLine="480" w:firstLineChars="200"/>
        <w:jc w:val="left"/>
        <w:rPr>
          <w:rFonts w:ascii="Arial" w:hAnsi="Arial" w:eastAsia="宋体" w:cs="Arial"/>
          <w:color w:val="auto"/>
          <w:kern w:val="0"/>
          <w:szCs w:val="22"/>
          <w:highlight w:val="none"/>
          <w:lang w:val="zh-CN"/>
        </w:rPr>
      </w:pPr>
      <w:r>
        <w:rPr>
          <w:rFonts w:ascii="Arial" w:hAnsi="Arial" w:eastAsia="宋体" w:cs="Arial"/>
          <w:color w:val="auto"/>
          <w:kern w:val="0"/>
          <w:szCs w:val="22"/>
          <w:highlight w:val="none"/>
          <w:lang w:val="zh-CN"/>
        </w:rPr>
        <w:t>与采购人、其他供应商或者采购代理机构恶意串通的；</w:t>
      </w:r>
    </w:p>
    <w:p w14:paraId="5CB6F117">
      <w:pPr>
        <w:widowControl/>
        <w:numPr>
          <w:ilvl w:val="0"/>
          <w:numId w:val="10"/>
        </w:numPr>
        <w:autoSpaceDE w:val="0"/>
        <w:autoSpaceDN w:val="0"/>
        <w:adjustRightInd w:val="0"/>
        <w:snapToGrid w:val="0"/>
        <w:spacing w:line="360" w:lineRule="auto"/>
        <w:ind w:firstLine="480" w:firstLineChars="200"/>
        <w:jc w:val="left"/>
        <w:rPr>
          <w:rFonts w:ascii="Arial" w:hAnsi="Arial" w:eastAsia="宋体" w:cs="Arial"/>
          <w:color w:val="auto"/>
          <w:kern w:val="0"/>
          <w:szCs w:val="22"/>
          <w:highlight w:val="none"/>
          <w:lang w:val="zh-CN"/>
        </w:rPr>
      </w:pPr>
      <w:r>
        <w:rPr>
          <w:rFonts w:ascii="Arial" w:hAnsi="Arial" w:eastAsia="宋体" w:cs="Arial"/>
          <w:color w:val="auto"/>
          <w:kern w:val="0"/>
          <w:szCs w:val="22"/>
          <w:highlight w:val="none"/>
          <w:lang w:val="zh-CN"/>
        </w:rPr>
        <w:t>向采购人、采购代理机构行贿或者提供其他不正当利益的；</w:t>
      </w:r>
    </w:p>
    <w:p w14:paraId="0F5E9AC4">
      <w:pPr>
        <w:widowControl/>
        <w:numPr>
          <w:ilvl w:val="0"/>
          <w:numId w:val="10"/>
        </w:numPr>
        <w:autoSpaceDE w:val="0"/>
        <w:autoSpaceDN w:val="0"/>
        <w:adjustRightInd w:val="0"/>
        <w:snapToGrid w:val="0"/>
        <w:spacing w:line="360" w:lineRule="auto"/>
        <w:ind w:firstLine="480" w:firstLineChars="200"/>
        <w:jc w:val="left"/>
        <w:rPr>
          <w:rFonts w:ascii="宋体" w:hAnsi="宋体" w:eastAsia="宋体" w:cs="宋体"/>
          <w:color w:val="auto"/>
          <w:kern w:val="0"/>
          <w:szCs w:val="22"/>
          <w:highlight w:val="none"/>
        </w:rPr>
      </w:pPr>
      <w:r>
        <w:rPr>
          <w:rFonts w:ascii="Arial" w:hAnsi="Arial" w:eastAsia="宋体" w:cs="Arial"/>
          <w:color w:val="auto"/>
          <w:kern w:val="0"/>
          <w:szCs w:val="22"/>
          <w:highlight w:val="none"/>
          <w:lang w:val="zh-CN"/>
        </w:rPr>
        <w:t>向磋商小组行贿或者提供其他不正当利益</w:t>
      </w:r>
      <w:r>
        <w:rPr>
          <w:rFonts w:hint="eastAsia" w:ascii="Arial" w:hAnsi="Arial" w:eastAsia="宋体" w:cs="Arial"/>
          <w:color w:val="auto"/>
          <w:kern w:val="0"/>
          <w:szCs w:val="22"/>
          <w:highlight w:val="none"/>
          <w:lang w:val="zh-CN"/>
        </w:rPr>
        <w:t>；</w:t>
      </w:r>
    </w:p>
    <w:p w14:paraId="7BE3477B">
      <w:pPr>
        <w:widowControl/>
        <w:numPr>
          <w:ilvl w:val="0"/>
          <w:numId w:val="10"/>
        </w:numPr>
        <w:autoSpaceDE w:val="0"/>
        <w:autoSpaceDN w:val="0"/>
        <w:adjustRightInd w:val="0"/>
        <w:snapToGrid w:val="0"/>
        <w:spacing w:line="360" w:lineRule="auto"/>
        <w:ind w:firstLine="480" w:firstLineChars="200"/>
        <w:jc w:val="left"/>
        <w:rPr>
          <w:rFonts w:ascii="宋体" w:hAnsi="宋体" w:eastAsia="宋体" w:cs="宋体"/>
          <w:color w:val="auto"/>
          <w:kern w:val="0"/>
          <w:szCs w:val="22"/>
          <w:highlight w:val="none"/>
        </w:rPr>
      </w:pPr>
      <w:r>
        <w:rPr>
          <w:rFonts w:hint="eastAsia" w:ascii="宋体" w:hAnsi="宋体" w:eastAsia="宋体" w:cs="宋体"/>
          <w:color w:val="auto"/>
          <w:kern w:val="0"/>
          <w:szCs w:val="22"/>
          <w:highlight w:val="none"/>
        </w:rPr>
        <w:t>成交后无正当理由拒不与采购人签订采购合同的；</w:t>
      </w:r>
    </w:p>
    <w:p w14:paraId="24896341">
      <w:pPr>
        <w:widowControl/>
        <w:numPr>
          <w:ilvl w:val="0"/>
          <w:numId w:val="10"/>
        </w:numPr>
        <w:autoSpaceDE w:val="0"/>
        <w:autoSpaceDN w:val="0"/>
        <w:adjustRightInd w:val="0"/>
        <w:snapToGrid w:val="0"/>
        <w:spacing w:line="360" w:lineRule="auto"/>
        <w:ind w:firstLine="480" w:firstLineChars="200"/>
        <w:jc w:val="left"/>
        <w:rPr>
          <w:rFonts w:ascii="宋体" w:hAnsi="宋体" w:eastAsia="宋体" w:cs="宋体"/>
          <w:color w:val="auto"/>
          <w:kern w:val="0"/>
          <w:szCs w:val="22"/>
          <w:highlight w:val="none"/>
        </w:rPr>
      </w:pPr>
      <w:r>
        <w:rPr>
          <w:rFonts w:hint="eastAsia" w:ascii="宋体" w:hAnsi="宋体" w:eastAsia="宋体" w:cs="宋体"/>
          <w:color w:val="auto"/>
          <w:kern w:val="0"/>
          <w:szCs w:val="22"/>
          <w:highlight w:val="none"/>
        </w:rPr>
        <w:t>未按照磋商文件、磋商响应文件确定的事项签订采购合同的；</w:t>
      </w:r>
    </w:p>
    <w:p w14:paraId="604A0FB2">
      <w:pPr>
        <w:widowControl/>
        <w:numPr>
          <w:ilvl w:val="0"/>
          <w:numId w:val="10"/>
        </w:numPr>
        <w:autoSpaceDE w:val="0"/>
        <w:autoSpaceDN w:val="0"/>
        <w:adjustRightInd w:val="0"/>
        <w:snapToGrid w:val="0"/>
        <w:spacing w:line="360" w:lineRule="auto"/>
        <w:ind w:firstLine="480" w:firstLineChars="200"/>
        <w:jc w:val="left"/>
        <w:rPr>
          <w:rFonts w:ascii="宋体" w:hAnsi="宋体" w:eastAsia="宋体" w:cs="宋体"/>
          <w:color w:val="auto"/>
          <w:kern w:val="0"/>
          <w:szCs w:val="22"/>
          <w:highlight w:val="none"/>
        </w:rPr>
      </w:pPr>
      <w:r>
        <w:rPr>
          <w:rFonts w:hint="eastAsia" w:ascii="宋体" w:hAnsi="宋体" w:eastAsia="宋体" w:cs="宋体"/>
          <w:color w:val="auto"/>
          <w:kern w:val="0"/>
          <w:szCs w:val="22"/>
          <w:highlight w:val="none"/>
        </w:rPr>
        <w:t>擅自变更、中止或者终止政府采购合同的；</w:t>
      </w:r>
    </w:p>
    <w:p w14:paraId="55C8E46B">
      <w:pPr>
        <w:widowControl/>
        <w:numPr>
          <w:ilvl w:val="0"/>
          <w:numId w:val="10"/>
        </w:numPr>
        <w:autoSpaceDE w:val="0"/>
        <w:autoSpaceDN w:val="0"/>
        <w:adjustRightInd w:val="0"/>
        <w:snapToGrid w:val="0"/>
        <w:spacing w:line="360" w:lineRule="auto"/>
        <w:ind w:firstLine="480" w:firstLineChars="200"/>
        <w:jc w:val="left"/>
        <w:rPr>
          <w:rFonts w:ascii="宋体" w:hAnsi="宋体" w:eastAsia="宋体" w:cs="宋体"/>
          <w:color w:val="auto"/>
          <w:kern w:val="0"/>
          <w:szCs w:val="22"/>
          <w:highlight w:val="none"/>
        </w:rPr>
      </w:pPr>
      <w:r>
        <w:rPr>
          <w:rFonts w:hint="eastAsia" w:ascii="宋体" w:hAnsi="宋体" w:eastAsia="宋体" w:cs="宋体"/>
          <w:color w:val="auto"/>
          <w:kern w:val="0"/>
          <w:szCs w:val="22"/>
          <w:highlight w:val="none"/>
        </w:rPr>
        <w:t>成交人签订合同后，因种种原因不能履约或无故拖延履约期的；</w:t>
      </w:r>
    </w:p>
    <w:p w14:paraId="0A171BBC">
      <w:pPr>
        <w:widowControl/>
        <w:numPr>
          <w:ilvl w:val="0"/>
          <w:numId w:val="10"/>
        </w:numPr>
        <w:autoSpaceDE w:val="0"/>
        <w:autoSpaceDN w:val="0"/>
        <w:adjustRightInd w:val="0"/>
        <w:snapToGrid w:val="0"/>
        <w:spacing w:line="360" w:lineRule="auto"/>
        <w:ind w:firstLine="480" w:firstLineChars="200"/>
        <w:jc w:val="left"/>
        <w:rPr>
          <w:rFonts w:hint="eastAsia" w:ascii="宋体" w:hAnsi="宋体" w:eastAsia="宋体" w:cs="宋体"/>
          <w:color w:val="auto"/>
          <w:kern w:val="0"/>
          <w:szCs w:val="22"/>
          <w:highlight w:val="none"/>
        </w:rPr>
      </w:pPr>
      <w:r>
        <w:rPr>
          <w:rFonts w:hint="eastAsia" w:ascii="宋体" w:hAnsi="宋体" w:eastAsia="宋体" w:cs="宋体"/>
          <w:color w:val="auto"/>
          <w:kern w:val="0"/>
          <w:szCs w:val="22"/>
          <w:highlight w:val="none"/>
        </w:rPr>
        <w:t>法律、法规规定的其他情形的。</w:t>
      </w:r>
      <w:bookmarkStart w:id="282" w:name="_Toc16406"/>
      <w:bookmarkStart w:id="283" w:name="_Toc325726034"/>
      <w:bookmarkStart w:id="284" w:name="_Toc19538"/>
      <w:bookmarkStart w:id="285" w:name="_Toc376936765"/>
      <w:bookmarkStart w:id="286" w:name="_Toc59135343"/>
    </w:p>
    <w:p w14:paraId="601F83F2">
      <w:pPr>
        <w:widowControl/>
        <w:adjustRightInd w:val="0"/>
        <w:snapToGrid w:val="0"/>
        <w:spacing w:line="360" w:lineRule="auto"/>
        <w:ind w:firstLine="0" w:firstLineChars="0"/>
        <w:jc w:val="center"/>
        <w:outlineLvl w:val="1"/>
        <w:rPr>
          <w:rFonts w:hint="eastAsia" w:ascii="宋体" w:hAnsi="宋体" w:eastAsia="宋体" w:cs="宋体"/>
          <w:b/>
          <w:bCs/>
          <w:color w:val="auto"/>
          <w:kern w:val="0"/>
          <w:sz w:val="36"/>
          <w:szCs w:val="36"/>
          <w:highlight w:val="none"/>
        </w:rPr>
      </w:pPr>
      <w:bookmarkStart w:id="287" w:name="_Toc17174"/>
      <w:bookmarkStart w:id="288" w:name="_Toc31398"/>
      <w:r>
        <w:rPr>
          <w:rFonts w:hint="eastAsia" w:ascii="宋体" w:hAnsi="宋体" w:eastAsia="宋体" w:cs="宋体"/>
          <w:b/>
          <w:bCs/>
          <w:color w:val="auto"/>
          <w:kern w:val="0"/>
          <w:sz w:val="36"/>
          <w:szCs w:val="36"/>
          <w:highlight w:val="none"/>
        </w:rPr>
        <w:t>十</w:t>
      </w:r>
      <w:r>
        <w:rPr>
          <w:rFonts w:hint="eastAsia" w:ascii="宋体" w:hAnsi="宋体" w:cs="宋体"/>
          <w:b/>
          <w:bCs/>
          <w:color w:val="auto"/>
          <w:kern w:val="0"/>
          <w:sz w:val="36"/>
          <w:szCs w:val="36"/>
          <w:highlight w:val="none"/>
          <w:lang w:val="en-US" w:eastAsia="zh-CN"/>
        </w:rPr>
        <w:t>二</w:t>
      </w:r>
      <w:r>
        <w:rPr>
          <w:rFonts w:hint="eastAsia" w:ascii="宋体" w:hAnsi="宋体" w:eastAsia="宋体" w:cs="宋体"/>
          <w:b/>
          <w:bCs/>
          <w:color w:val="auto"/>
          <w:kern w:val="0"/>
          <w:sz w:val="36"/>
          <w:szCs w:val="36"/>
          <w:highlight w:val="none"/>
        </w:rPr>
        <w:t>、其他</w:t>
      </w:r>
      <w:bookmarkEnd w:id="282"/>
      <w:bookmarkEnd w:id="283"/>
      <w:bookmarkEnd w:id="284"/>
      <w:bookmarkEnd w:id="285"/>
      <w:bookmarkEnd w:id="286"/>
      <w:bookmarkEnd w:id="287"/>
      <w:bookmarkEnd w:id="288"/>
    </w:p>
    <w:p w14:paraId="720FA678">
      <w:pPr>
        <w:widowControl/>
        <w:adjustRightInd w:val="0"/>
        <w:snapToGrid w:val="0"/>
        <w:spacing w:line="360" w:lineRule="auto"/>
        <w:ind w:firstLine="720" w:firstLineChars="300"/>
        <w:jc w:val="left"/>
        <w:outlineLvl w:val="1"/>
        <w:rPr>
          <w:rFonts w:ascii="Arial" w:hAnsi="Arial" w:eastAsia="宋体" w:cs="Arial"/>
          <w:color w:val="auto"/>
          <w:kern w:val="0"/>
          <w:szCs w:val="22"/>
          <w:highlight w:val="none"/>
        </w:rPr>
      </w:pPr>
      <w:bookmarkStart w:id="289" w:name="_Toc329"/>
      <w:bookmarkStart w:id="290" w:name="_Toc24096"/>
      <w:r>
        <w:rPr>
          <w:rFonts w:ascii="Arial" w:hAnsi="Arial" w:eastAsia="宋体" w:cs="Arial"/>
          <w:color w:val="auto"/>
          <w:kern w:val="0"/>
          <w:szCs w:val="22"/>
          <w:highlight w:val="none"/>
        </w:rPr>
        <w:t>其他未尽事宜，按照《中华人民共和国政府采购法》、</w:t>
      </w:r>
      <w:r>
        <w:rPr>
          <w:rFonts w:hint="eastAsia" w:ascii="Arial" w:hAnsi="Arial" w:eastAsia="宋体" w:cs="Arial"/>
          <w:color w:val="auto"/>
          <w:kern w:val="0"/>
          <w:szCs w:val="22"/>
          <w:highlight w:val="none"/>
        </w:rPr>
        <w:t>《中华人民共和国民法典》</w:t>
      </w:r>
      <w:r>
        <w:rPr>
          <w:rFonts w:ascii="Arial" w:hAnsi="Arial" w:eastAsia="宋体" w:cs="Arial"/>
          <w:color w:val="auto"/>
          <w:kern w:val="0"/>
          <w:szCs w:val="22"/>
          <w:highlight w:val="none"/>
        </w:rPr>
        <w:t>、《中华人民共和国政府采购法实施条例》、《政府采购竞争性磋商采购方式管理暂行办法》等法律法规的有关条款执行。</w:t>
      </w:r>
      <w:bookmarkEnd w:id="289"/>
      <w:bookmarkEnd w:id="290"/>
    </w:p>
    <w:p w14:paraId="596B39D7">
      <w:pPr>
        <w:rPr>
          <w:rFonts w:cs="Arial"/>
          <w:b/>
          <w:color w:val="auto"/>
          <w:kern w:val="28"/>
          <w:sz w:val="36"/>
          <w:szCs w:val="36"/>
          <w:highlight w:val="none"/>
        </w:rPr>
      </w:pPr>
      <w:bookmarkStart w:id="291" w:name="_Toc14428"/>
      <w:r>
        <w:rPr>
          <w:rFonts w:cs="Arial"/>
          <w:b/>
          <w:color w:val="auto"/>
          <w:kern w:val="28"/>
          <w:sz w:val="36"/>
          <w:szCs w:val="36"/>
          <w:highlight w:val="none"/>
        </w:rPr>
        <w:t xml:space="preserve">第四部分  </w:t>
      </w:r>
      <w:bookmarkEnd w:id="212"/>
      <w:r>
        <w:rPr>
          <w:rFonts w:cs="Arial"/>
          <w:b/>
          <w:color w:val="auto"/>
          <w:kern w:val="28"/>
          <w:sz w:val="36"/>
          <w:szCs w:val="36"/>
          <w:highlight w:val="none"/>
        </w:rPr>
        <w:t>青海省政府采购合同文本样式</w:t>
      </w:r>
      <w:bookmarkEnd w:id="213"/>
      <w:bookmarkEnd w:id="291"/>
    </w:p>
    <w:p w14:paraId="35FC8143">
      <w:pPr>
        <w:pStyle w:val="12"/>
        <w:rPr>
          <w:color w:val="auto"/>
          <w:highlight w:val="none"/>
        </w:rPr>
      </w:pPr>
    </w:p>
    <w:bookmarkEnd w:id="214"/>
    <w:bookmarkEnd w:id="215"/>
    <w:p w14:paraId="26957D3B">
      <w:pPr>
        <w:pStyle w:val="2"/>
        <w:jc w:val="center"/>
        <w:rPr>
          <w:rFonts w:hint="eastAsia"/>
          <w:color w:val="auto"/>
          <w:sz w:val="48"/>
          <w:szCs w:val="48"/>
          <w:highlight w:val="none"/>
        </w:rPr>
      </w:pPr>
      <w:bookmarkStart w:id="292" w:name="_Toc12139"/>
    </w:p>
    <w:p w14:paraId="572B6E65">
      <w:pPr>
        <w:pStyle w:val="2"/>
        <w:jc w:val="center"/>
        <w:rPr>
          <w:rFonts w:hint="eastAsia"/>
          <w:color w:val="auto"/>
          <w:sz w:val="48"/>
          <w:szCs w:val="48"/>
          <w:highlight w:val="none"/>
        </w:rPr>
      </w:pPr>
    </w:p>
    <w:p w14:paraId="410F1F17">
      <w:pPr>
        <w:pStyle w:val="2"/>
        <w:jc w:val="center"/>
        <w:rPr>
          <w:rFonts w:hint="eastAsia"/>
          <w:color w:val="auto"/>
          <w:sz w:val="48"/>
          <w:szCs w:val="48"/>
          <w:highlight w:val="none"/>
        </w:rPr>
      </w:pPr>
    </w:p>
    <w:p w14:paraId="54F12B41">
      <w:pPr>
        <w:pStyle w:val="2"/>
        <w:jc w:val="center"/>
        <w:rPr>
          <w:rFonts w:hint="eastAsia"/>
          <w:color w:val="auto"/>
          <w:sz w:val="48"/>
          <w:szCs w:val="48"/>
          <w:highlight w:val="none"/>
        </w:rPr>
      </w:pPr>
      <w:bookmarkStart w:id="293" w:name="_Toc19995"/>
      <w:bookmarkStart w:id="294" w:name="_Toc4801"/>
      <w:r>
        <w:rPr>
          <w:rFonts w:hint="eastAsia"/>
          <w:color w:val="auto"/>
          <w:sz w:val="48"/>
          <w:szCs w:val="48"/>
          <w:highlight w:val="none"/>
        </w:rPr>
        <w:t>青海省政府采购项目合同书</w:t>
      </w:r>
      <w:bookmarkEnd w:id="293"/>
      <w:bookmarkEnd w:id="294"/>
    </w:p>
    <w:p w14:paraId="314D1F3B">
      <w:pPr>
        <w:pStyle w:val="2"/>
        <w:jc w:val="center"/>
        <w:rPr>
          <w:rFonts w:hint="default" w:eastAsia="宋体"/>
          <w:color w:val="auto"/>
          <w:sz w:val="48"/>
          <w:szCs w:val="48"/>
          <w:highlight w:val="none"/>
          <w:lang w:val="en-US" w:eastAsia="zh-CN"/>
        </w:rPr>
      </w:pPr>
      <w:bookmarkStart w:id="295" w:name="_Toc18487"/>
      <w:bookmarkStart w:id="296" w:name="_Toc26821"/>
      <w:r>
        <w:rPr>
          <w:rFonts w:hint="eastAsia"/>
          <w:color w:val="auto"/>
          <w:sz w:val="48"/>
          <w:szCs w:val="48"/>
          <w:highlight w:val="none"/>
          <w:lang w:eastAsia="zh-CN"/>
        </w:rPr>
        <w:t>（</w:t>
      </w:r>
      <w:r>
        <w:rPr>
          <w:rFonts w:hint="eastAsia"/>
          <w:color w:val="auto"/>
          <w:sz w:val="48"/>
          <w:szCs w:val="48"/>
          <w:highlight w:val="none"/>
          <w:lang w:val="en-US" w:eastAsia="zh-CN"/>
        </w:rPr>
        <w:t>服务类）</w:t>
      </w:r>
      <w:bookmarkEnd w:id="295"/>
      <w:bookmarkEnd w:id="296"/>
    </w:p>
    <w:p w14:paraId="5CCDD917">
      <w:pPr>
        <w:ind w:firstLine="480"/>
        <w:rPr>
          <w:rFonts w:hint="eastAsia"/>
          <w:color w:val="auto"/>
          <w:highlight w:val="none"/>
        </w:rPr>
      </w:pPr>
    </w:p>
    <w:p w14:paraId="1B49C4A7">
      <w:pPr>
        <w:ind w:firstLine="480"/>
        <w:rPr>
          <w:rFonts w:hint="eastAsia"/>
          <w:color w:val="auto"/>
          <w:highlight w:val="none"/>
        </w:rPr>
      </w:pPr>
    </w:p>
    <w:p w14:paraId="5437D470">
      <w:pPr>
        <w:ind w:firstLine="480"/>
        <w:rPr>
          <w:rFonts w:hint="eastAsia"/>
          <w:color w:val="auto"/>
          <w:highlight w:val="none"/>
        </w:rPr>
      </w:pPr>
    </w:p>
    <w:p w14:paraId="7168877B">
      <w:pPr>
        <w:ind w:firstLine="480"/>
        <w:rPr>
          <w:rFonts w:hint="eastAsia"/>
          <w:color w:val="auto"/>
          <w:highlight w:val="none"/>
        </w:rPr>
      </w:pPr>
    </w:p>
    <w:p w14:paraId="33EA8CC1">
      <w:pPr>
        <w:ind w:firstLine="480"/>
        <w:rPr>
          <w:rFonts w:hint="eastAsia"/>
          <w:color w:val="auto"/>
          <w:highlight w:val="none"/>
        </w:rPr>
      </w:pPr>
    </w:p>
    <w:p w14:paraId="45E8AED5">
      <w:pPr>
        <w:ind w:firstLine="0" w:firstLineChars="0"/>
        <w:rPr>
          <w:rFonts w:hint="eastAsia"/>
          <w:color w:val="auto"/>
          <w:highlight w:val="none"/>
        </w:rPr>
      </w:pPr>
    </w:p>
    <w:p w14:paraId="127857D6">
      <w:pPr>
        <w:spacing w:line="360" w:lineRule="auto"/>
        <w:ind w:firstLine="602"/>
        <w:rPr>
          <w:rFonts w:hint="eastAsia" w:ascii="宋体" w:hAnsi="宋体" w:eastAsia="宋体" w:cs="宋体"/>
          <w:b/>
          <w:color w:val="auto"/>
          <w:sz w:val="30"/>
          <w:szCs w:val="30"/>
          <w:highlight w:val="none"/>
          <w:u w:val="single"/>
        </w:rPr>
      </w:pPr>
      <w:r>
        <w:rPr>
          <w:rFonts w:hint="eastAsia" w:ascii="宋体" w:hAnsi="宋体" w:eastAsia="宋体" w:cs="宋体"/>
          <w:b/>
          <w:color w:val="auto"/>
          <w:sz w:val="30"/>
          <w:szCs w:val="30"/>
          <w:highlight w:val="none"/>
        </w:rPr>
        <w:t>采购项目名称：</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u w:val="single"/>
          <w:lang w:val="en-US" w:eastAsia="zh-CN"/>
        </w:rPr>
        <w:t xml:space="preserve">  </w:t>
      </w:r>
      <w:r>
        <w:rPr>
          <w:rFonts w:hint="eastAsia" w:ascii="宋体" w:hAnsi="宋体" w:eastAsia="宋体" w:cs="宋体"/>
          <w:b/>
          <w:color w:val="auto"/>
          <w:sz w:val="30"/>
          <w:szCs w:val="30"/>
          <w:highlight w:val="none"/>
          <w:u w:val="single"/>
        </w:rPr>
        <w:t xml:space="preserve">       </w:t>
      </w:r>
    </w:p>
    <w:p w14:paraId="6F1987E2">
      <w:pPr>
        <w:spacing w:line="360" w:lineRule="auto"/>
        <w:ind w:firstLine="602"/>
        <w:rPr>
          <w:rFonts w:hint="eastAsia" w:ascii="宋体" w:hAnsi="宋体" w:eastAsia="宋体" w:cs="宋体"/>
          <w:b/>
          <w:color w:val="auto"/>
          <w:sz w:val="30"/>
          <w:szCs w:val="30"/>
          <w:highlight w:val="none"/>
          <w:u w:val="single"/>
        </w:rPr>
      </w:pPr>
      <w:r>
        <w:rPr>
          <w:rFonts w:hint="eastAsia" w:ascii="宋体" w:hAnsi="宋体" w:eastAsia="宋体" w:cs="宋体"/>
          <w:b/>
          <w:color w:val="auto"/>
          <w:sz w:val="30"/>
          <w:szCs w:val="30"/>
          <w:highlight w:val="none"/>
        </w:rPr>
        <w:t>采购项目编号：</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u w:val="single"/>
          <w:lang w:val="en-US" w:eastAsia="zh-CN"/>
        </w:rPr>
        <w:t xml:space="preserve">  </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 xml:space="preserve">                                              </w:t>
      </w:r>
    </w:p>
    <w:p w14:paraId="22A388BF">
      <w:pPr>
        <w:spacing w:line="360" w:lineRule="auto"/>
        <w:ind w:firstLine="602"/>
        <w:rPr>
          <w:rFonts w:hint="eastAsia" w:ascii="宋体" w:hAnsi="宋体" w:eastAsia="宋体" w:cs="宋体"/>
          <w:color w:val="auto"/>
          <w:sz w:val="30"/>
          <w:szCs w:val="30"/>
          <w:highlight w:val="none"/>
        </w:rPr>
      </w:pPr>
      <w:r>
        <w:rPr>
          <w:rFonts w:hint="eastAsia" w:ascii="宋体" w:hAnsi="宋体" w:eastAsia="宋体" w:cs="宋体"/>
          <w:b/>
          <w:color w:val="auto"/>
          <w:sz w:val="30"/>
          <w:szCs w:val="30"/>
          <w:highlight w:val="none"/>
        </w:rPr>
        <w:t>采购合同编号：</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u w:val="single"/>
          <w:lang w:val="en-US" w:eastAsia="zh-CN"/>
        </w:rPr>
        <w:t xml:space="preserve">              </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u w:val="single"/>
          <w:lang w:val="en-US" w:eastAsia="zh-CN"/>
        </w:rPr>
        <w:t xml:space="preserve">  </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u w:val="single"/>
          <w:lang w:val="en-US" w:eastAsia="zh-CN"/>
        </w:rPr>
        <w:t xml:space="preserve">    </w:t>
      </w:r>
      <w:r>
        <w:rPr>
          <w:rFonts w:hint="eastAsia" w:ascii="宋体" w:hAnsi="宋体" w:eastAsia="宋体" w:cs="宋体"/>
          <w:b/>
          <w:color w:val="auto"/>
          <w:sz w:val="30"/>
          <w:szCs w:val="30"/>
          <w:highlight w:val="none"/>
          <w:u w:val="single"/>
        </w:rPr>
        <w:t xml:space="preserve">  </w:t>
      </w:r>
    </w:p>
    <w:p w14:paraId="4A581B41">
      <w:pPr>
        <w:spacing w:line="360" w:lineRule="auto"/>
        <w:ind w:firstLine="602"/>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合同金额（人民币）：</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u w:val="single"/>
          <w:lang w:val="en-US" w:eastAsia="zh-CN"/>
        </w:rPr>
        <w:t xml:space="preserve">  </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 xml:space="preserve">                                     </w:t>
      </w:r>
    </w:p>
    <w:p w14:paraId="3AAB1B8C">
      <w:pPr>
        <w:spacing w:line="360" w:lineRule="auto"/>
        <w:ind w:firstLine="602"/>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采购单位（甲方）：</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（盖章）</w:t>
      </w:r>
    </w:p>
    <w:p w14:paraId="79817955">
      <w:pPr>
        <w:spacing w:line="360" w:lineRule="auto"/>
        <w:ind w:firstLine="602"/>
        <w:jc w:val="left"/>
        <w:rPr>
          <w:rFonts w:hint="eastAsia" w:ascii="宋体" w:hAnsi="宋体" w:eastAsia="宋体" w:cs="宋体"/>
          <w:b/>
          <w:color w:val="auto"/>
          <w:sz w:val="30"/>
          <w:szCs w:val="30"/>
          <w:highlight w:val="none"/>
          <w:u w:val="single"/>
        </w:rPr>
      </w:pPr>
      <w:r>
        <w:rPr>
          <w:rFonts w:hint="eastAsia" w:ascii="宋体" w:hAnsi="宋体" w:eastAsia="宋体" w:cs="宋体"/>
          <w:b/>
          <w:color w:val="auto"/>
          <w:sz w:val="30"/>
          <w:szCs w:val="30"/>
          <w:highlight w:val="none"/>
        </w:rPr>
        <w:t>成交供应商（乙方）：</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（盖章）</w:t>
      </w:r>
    </w:p>
    <w:p w14:paraId="22A82EF6">
      <w:pPr>
        <w:spacing w:line="360" w:lineRule="auto"/>
        <w:ind w:firstLine="602"/>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磋商日期：</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u w:val="single"/>
          <w:lang w:val="en-US" w:eastAsia="zh-CN"/>
        </w:rPr>
        <w:t xml:space="preserve">  </w:t>
      </w:r>
      <w:r>
        <w:rPr>
          <w:rFonts w:hint="eastAsia" w:ascii="宋体" w:hAnsi="宋体" w:eastAsia="宋体" w:cs="宋体"/>
          <w:b/>
          <w:color w:val="auto"/>
          <w:sz w:val="30"/>
          <w:szCs w:val="30"/>
          <w:highlight w:val="none"/>
          <w:u w:val="single"/>
        </w:rPr>
        <w:t xml:space="preserve">     </w:t>
      </w:r>
    </w:p>
    <w:p w14:paraId="42269876">
      <w:pPr>
        <w:spacing w:line="360" w:lineRule="auto"/>
        <w:ind w:firstLine="602"/>
        <w:rPr>
          <w:rFonts w:hint="eastAsia" w:ascii="宋体" w:hAnsi="宋体"/>
          <w:b/>
          <w:bCs/>
          <w:color w:val="auto"/>
          <w:highlight w:val="none"/>
        </w:rPr>
      </w:pP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u w:val="single"/>
          <w:lang w:val="en-US" w:eastAsia="zh-CN"/>
        </w:rPr>
        <w:t xml:space="preserve">  </w:t>
      </w:r>
      <w:r>
        <w:rPr>
          <w:rFonts w:hint="eastAsia" w:ascii="宋体" w:hAnsi="宋体" w:eastAsia="宋体" w:cs="宋体"/>
          <w:b/>
          <w:color w:val="auto"/>
          <w:sz w:val="30"/>
          <w:szCs w:val="30"/>
          <w:highlight w:val="none"/>
          <w:u w:val="single"/>
        </w:rPr>
        <w:t xml:space="preserve">     </w:t>
      </w:r>
    </w:p>
    <w:p w14:paraId="3D5A3F5F">
      <w:pPr>
        <w:ind w:firstLine="482"/>
        <w:rPr>
          <w:rFonts w:hint="eastAsia" w:ascii="宋体" w:hAnsi="宋体"/>
          <w:b/>
          <w:bCs/>
          <w:color w:val="auto"/>
          <w:highlight w:val="none"/>
        </w:rPr>
      </w:pPr>
    </w:p>
    <w:p w14:paraId="3FB7A41D">
      <w:pPr>
        <w:ind w:left="0" w:leftChars="0" w:firstLine="0" w:firstLineChars="0"/>
        <w:rPr>
          <w:rFonts w:hint="eastAsia" w:ascii="宋体" w:hAnsi="宋体"/>
          <w:b/>
          <w:bCs/>
          <w:color w:val="auto"/>
          <w:highlight w:val="none"/>
        </w:rPr>
      </w:pPr>
    </w:p>
    <w:p w14:paraId="4579BDE1">
      <w:pPr>
        <w:ind w:firstLine="482"/>
        <w:rPr>
          <w:rFonts w:hint="eastAsia" w:ascii="宋体" w:hAnsi="宋体"/>
          <w:b/>
          <w:bCs/>
          <w:color w:val="auto"/>
          <w:highlight w:val="none"/>
        </w:rPr>
      </w:pPr>
    </w:p>
    <w:p w14:paraId="121F8BBB">
      <w:pPr>
        <w:autoSpaceDE w:val="0"/>
        <w:autoSpaceDN w:val="0"/>
        <w:adjustRightInd w:val="0"/>
        <w:spacing w:line="360" w:lineRule="auto"/>
        <w:ind w:firstLine="442" w:firstLineChars="200"/>
        <w:rPr>
          <w:rFonts w:hint="eastAsia" w:ascii="宋体" w:hAnsi="宋体" w:cs="宋体"/>
          <w:b/>
          <w:bCs/>
          <w:color w:val="auto"/>
          <w:kern w:val="0"/>
          <w:sz w:val="28"/>
          <w:szCs w:val="28"/>
          <w:highlight w:val="none"/>
        </w:rPr>
      </w:pPr>
      <w:r>
        <w:rPr>
          <w:rFonts w:hint="eastAsia" w:ascii="宋体" w:hAnsi="宋体" w:cs="宋体"/>
          <w:b/>
          <w:bCs/>
          <w:color w:val="auto"/>
          <w:kern w:val="0"/>
          <w:sz w:val="22"/>
          <w:szCs w:val="22"/>
          <w:highlight w:val="none"/>
          <w:lang w:val="en-US" w:eastAsia="zh-CN"/>
        </w:rPr>
        <w:t>注：本合同书草案仅为合同的参考文本，合同签订双方可根据项目的具体要求进行补充修订，但合同标的、数量、金额、服务承诺等必须与招标文件和中标供应商的响应文件保持一致。</w:t>
      </w:r>
    </w:p>
    <w:p w14:paraId="4EF5289D">
      <w:pPr>
        <w:rPr>
          <w:rFonts w:hint="eastAsia" w:ascii="宋体" w:hAnsi="宋体"/>
          <w:b/>
          <w:bCs/>
          <w:color w:val="auto"/>
          <w:highlight w:val="none"/>
        </w:rPr>
      </w:pPr>
      <w:r>
        <w:rPr>
          <w:rFonts w:hint="eastAsia" w:ascii="宋体" w:hAnsi="宋体"/>
          <w:b/>
          <w:bCs/>
          <w:color w:val="auto"/>
          <w:highlight w:val="none"/>
        </w:rPr>
        <w:br w:type="page"/>
      </w:r>
    </w:p>
    <w:p w14:paraId="6FC2C456">
      <w:pPr>
        <w:spacing w:line="360" w:lineRule="auto"/>
        <w:ind w:firstLine="482"/>
        <w:rPr>
          <w:rFonts w:hint="eastAsia" w:ascii="宋体" w:hAnsi="宋体"/>
          <w:b/>
          <w:bCs/>
          <w:color w:val="auto"/>
          <w:highlight w:val="none"/>
        </w:rPr>
      </w:pPr>
      <w:r>
        <w:rPr>
          <w:rFonts w:hint="eastAsia" w:ascii="宋体" w:hAnsi="宋体"/>
          <w:b/>
          <w:bCs/>
          <w:color w:val="auto"/>
          <w:highlight w:val="none"/>
        </w:rPr>
        <w:t xml:space="preserve">采 购 人（以下简称甲方）： </w:t>
      </w:r>
    </w:p>
    <w:p w14:paraId="73CD4CA2">
      <w:pPr>
        <w:spacing w:line="360" w:lineRule="auto"/>
        <w:ind w:firstLine="482"/>
        <w:rPr>
          <w:rFonts w:hint="eastAsia" w:ascii="宋体" w:hAnsi="宋体"/>
          <w:b/>
          <w:bCs/>
          <w:color w:val="auto"/>
          <w:highlight w:val="none"/>
        </w:rPr>
      </w:pPr>
      <w:r>
        <w:rPr>
          <w:rFonts w:hint="eastAsia" w:ascii="宋体" w:hAnsi="宋体"/>
          <w:b/>
          <w:bCs/>
          <w:color w:val="auto"/>
          <w:highlight w:val="none"/>
        </w:rPr>
        <w:t>供 应 商（以下简称乙方）：</w:t>
      </w:r>
    </w:p>
    <w:p w14:paraId="637EA99B">
      <w:pPr>
        <w:spacing w:line="360" w:lineRule="auto"/>
        <w:ind w:firstLine="482"/>
        <w:rPr>
          <w:rFonts w:hint="eastAsia" w:ascii="宋体" w:hAnsi="宋体"/>
          <w:b/>
          <w:bCs/>
          <w:color w:val="auto"/>
          <w:highlight w:val="none"/>
        </w:rPr>
      </w:pPr>
    </w:p>
    <w:p w14:paraId="12B5DAD3">
      <w:pPr>
        <w:spacing w:line="360" w:lineRule="auto"/>
        <w:ind w:firstLine="0" w:firstLineChars="0"/>
        <w:rPr>
          <w:rFonts w:hint="default" w:ascii="宋体" w:hAnsi="宋体" w:eastAsia="宋体"/>
          <w:bCs/>
          <w:color w:val="auto"/>
          <w:sz w:val="24"/>
          <w:szCs w:val="24"/>
          <w:highlight w:val="none"/>
          <w:lang w:val="en-US" w:eastAsia="zh-CN"/>
        </w:rPr>
      </w:pPr>
      <w:r>
        <w:rPr>
          <w:rFonts w:hint="eastAsia" w:ascii="宋体" w:hAnsi="宋体"/>
          <w:bCs/>
          <w:color w:val="auto"/>
          <w:highlight w:val="none"/>
        </w:rPr>
        <w:t xml:space="preserve">  </w:t>
      </w:r>
      <w:r>
        <w:rPr>
          <w:rFonts w:hint="eastAsia" w:ascii="宋体" w:hAnsi="宋体"/>
          <w:bCs/>
          <w:color w:val="auto"/>
          <w:sz w:val="24"/>
          <w:szCs w:val="24"/>
          <w:highlight w:val="none"/>
        </w:rPr>
        <w:t xml:space="preserve">  甲、乙双方根据 *年*月*日</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u w:val="single"/>
          <w:lang w:eastAsia="zh-CN"/>
        </w:rPr>
        <w:t>青海省成矿远景区划</w:t>
      </w:r>
      <w:r>
        <w:rPr>
          <w:rFonts w:hint="eastAsia" w:ascii="宋体" w:hAnsi="宋体"/>
          <w:bCs/>
          <w:color w:val="auto"/>
          <w:sz w:val="24"/>
          <w:szCs w:val="24"/>
          <w:highlight w:val="none"/>
          <w:u w:val="single"/>
        </w:rPr>
        <w:t>（</w:t>
      </w:r>
      <w:r>
        <w:rPr>
          <w:rFonts w:hint="eastAsia" w:ascii="宋体" w:hAnsi="宋体"/>
          <w:bCs/>
          <w:color w:val="auto"/>
          <w:sz w:val="24"/>
          <w:szCs w:val="24"/>
          <w:highlight w:val="none"/>
          <w:u w:val="single"/>
          <w:lang w:eastAsia="zh-CN"/>
        </w:rPr>
        <w:t>青海海际竞磋（服务）2026-037</w:t>
      </w:r>
      <w:r>
        <w:rPr>
          <w:rFonts w:hint="eastAsia" w:ascii="宋体" w:hAnsi="宋体"/>
          <w:bCs/>
          <w:color w:val="auto"/>
          <w:sz w:val="24"/>
          <w:szCs w:val="24"/>
          <w:highlight w:val="none"/>
          <w:u w:val="single"/>
        </w:rPr>
        <w:t>）</w:t>
      </w:r>
      <w:r>
        <w:rPr>
          <w:rFonts w:hint="eastAsia" w:ascii="宋体" w:hAnsi="宋体"/>
          <w:bCs/>
          <w:color w:val="auto"/>
          <w:sz w:val="24"/>
          <w:szCs w:val="24"/>
          <w:highlight w:val="none"/>
        </w:rPr>
        <w:t>的磋商文件要求和采购机构出具的《成交通知书》，并经双方协商一致，</w:t>
      </w:r>
      <w:r>
        <w:rPr>
          <w:rFonts w:hint="eastAsia" w:ascii="宋体" w:hAnsi="宋体"/>
          <w:bCs/>
          <w:color w:val="auto"/>
          <w:sz w:val="24"/>
          <w:szCs w:val="24"/>
          <w:highlight w:val="none"/>
          <w:lang w:val="en-US" w:eastAsia="zh-CN"/>
        </w:rPr>
        <w:t xml:space="preserve">签订本合同协议书。                   </w:t>
      </w:r>
    </w:p>
    <w:p w14:paraId="0E174C4B">
      <w:pPr>
        <w:autoSpaceDE w:val="0"/>
        <w:autoSpaceDN w:val="0"/>
        <w:adjustRightInd w:val="0"/>
        <w:spacing w:line="360" w:lineRule="auto"/>
        <w:ind w:firstLine="480"/>
        <w:rPr>
          <w:rFonts w:hint="eastAsia" w:ascii="宋体" w:hAnsi="Calibri" w:cs="宋体"/>
          <w:b/>
          <w:bCs/>
          <w:color w:val="auto"/>
          <w:kern w:val="0"/>
          <w:sz w:val="24"/>
          <w:szCs w:val="24"/>
          <w:highlight w:val="none"/>
          <w:lang w:val="zh-CN"/>
        </w:rPr>
      </w:pPr>
      <w:r>
        <w:rPr>
          <w:rFonts w:hint="eastAsia" w:ascii="宋体" w:hAnsi="Calibri" w:cs="宋体"/>
          <w:b/>
          <w:bCs/>
          <w:color w:val="auto"/>
          <w:kern w:val="0"/>
          <w:sz w:val="24"/>
          <w:szCs w:val="24"/>
          <w:highlight w:val="none"/>
          <w:lang w:val="zh-CN"/>
        </w:rPr>
        <w:t>一、签订本政府采购合同的依据</w:t>
      </w:r>
    </w:p>
    <w:p w14:paraId="2B922F01">
      <w:pPr>
        <w:autoSpaceDE w:val="0"/>
        <w:autoSpaceDN w:val="0"/>
        <w:adjustRightInd w:val="0"/>
        <w:spacing w:line="360" w:lineRule="auto"/>
        <w:ind w:firstLine="480"/>
        <w:rPr>
          <w:rFonts w:hint="eastAsia" w:ascii="宋体" w:hAnsi="Calibri" w:cs="宋体"/>
          <w:color w:val="auto"/>
          <w:kern w:val="0"/>
          <w:sz w:val="24"/>
          <w:szCs w:val="24"/>
          <w:highlight w:val="none"/>
          <w:lang w:val="zh-CN"/>
        </w:rPr>
      </w:pPr>
      <w:r>
        <w:rPr>
          <w:rFonts w:hint="eastAsia" w:ascii="宋体" w:hAnsi="Calibri" w:cs="宋体"/>
          <w:color w:val="auto"/>
          <w:kern w:val="0"/>
          <w:sz w:val="24"/>
          <w:szCs w:val="24"/>
          <w:highlight w:val="none"/>
          <w:lang w:val="zh-CN"/>
        </w:rPr>
        <w:t>本政府采购合同所附下列文件是构成本政府采购合同不可分割的部分：</w:t>
      </w:r>
    </w:p>
    <w:p w14:paraId="003976A4">
      <w:pPr>
        <w:autoSpaceDE w:val="0"/>
        <w:autoSpaceDN w:val="0"/>
        <w:adjustRightInd w:val="0"/>
        <w:spacing w:line="360" w:lineRule="auto"/>
        <w:ind w:firstLine="480"/>
        <w:rPr>
          <w:rFonts w:hint="eastAsia" w:ascii="宋体" w:hAnsi="Calibri" w:cs="宋体"/>
          <w:color w:val="auto"/>
          <w:kern w:val="0"/>
          <w:sz w:val="24"/>
          <w:szCs w:val="24"/>
          <w:highlight w:val="none"/>
          <w:lang w:val="zh-CN"/>
        </w:rPr>
      </w:pPr>
      <w:r>
        <w:rPr>
          <w:rFonts w:hint="eastAsia" w:ascii="宋体" w:hAnsi="Calibri" w:cs="宋体"/>
          <w:color w:val="auto"/>
          <w:kern w:val="0"/>
          <w:sz w:val="24"/>
          <w:szCs w:val="24"/>
          <w:highlight w:val="none"/>
          <w:lang w:val="zh-CN"/>
        </w:rPr>
        <w:t>1.磋商文件；</w:t>
      </w:r>
    </w:p>
    <w:p w14:paraId="700A31AD">
      <w:pPr>
        <w:autoSpaceDE w:val="0"/>
        <w:autoSpaceDN w:val="0"/>
        <w:adjustRightInd w:val="0"/>
        <w:spacing w:line="360" w:lineRule="auto"/>
        <w:ind w:firstLine="480"/>
        <w:rPr>
          <w:rFonts w:hint="eastAsia" w:ascii="宋体" w:hAnsi="Calibri" w:cs="宋体"/>
          <w:color w:val="auto"/>
          <w:kern w:val="0"/>
          <w:sz w:val="24"/>
          <w:szCs w:val="24"/>
          <w:highlight w:val="none"/>
          <w:lang w:val="zh-CN"/>
        </w:rPr>
      </w:pPr>
      <w:r>
        <w:rPr>
          <w:rFonts w:hint="eastAsia" w:ascii="宋体" w:hAnsi="Calibri" w:cs="宋体"/>
          <w:color w:val="auto"/>
          <w:kern w:val="0"/>
          <w:sz w:val="24"/>
          <w:szCs w:val="24"/>
          <w:highlight w:val="none"/>
          <w:lang w:val="zh-CN"/>
        </w:rPr>
        <w:t>2.磋商文件的</w:t>
      </w:r>
      <w:r>
        <w:rPr>
          <w:rFonts w:hint="eastAsia" w:ascii="宋体" w:hAnsi="宋体" w:cs="宋体"/>
          <w:color w:val="auto"/>
          <w:kern w:val="0"/>
          <w:sz w:val="24"/>
          <w:szCs w:val="24"/>
          <w:highlight w:val="none"/>
          <w:lang w:val="zh-CN"/>
        </w:rPr>
        <w:t>澄清</w:t>
      </w:r>
      <w:r>
        <w:rPr>
          <w:rFonts w:hint="eastAsia" w:ascii="宋体" w:hAnsi="Calibri" w:cs="宋体"/>
          <w:color w:val="auto"/>
          <w:kern w:val="0"/>
          <w:sz w:val="24"/>
          <w:szCs w:val="24"/>
          <w:highlight w:val="none"/>
          <w:lang w:val="zh-CN"/>
        </w:rPr>
        <w:t>、变更公告；</w:t>
      </w:r>
    </w:p>
    <w:p w14:paraId="0930AF87">
      <w:pPr>
        <w:autoSpaceDE w:val="0"/>
        <w:autoSpaceDN w:val="0"/>
        <w:adjustRightInd w:val="0"/>
        <w:spacing w:line="360" w:lineRule="auto"/>
        <w:ind w:firstLine="480"/>
        <w:rPr>
          <w:rFonts w:hint="eastAsia" w:ascii="宋体" w:hAnsi="Calibri" w:cs="宋体"/>
          <w:color w:val="auto"/>
          <w:kern w:val="0"/>
          <w:sz w:val="24"/>
          <w:szCs w:val="24"/>
          <w:highlight w:val="none"/>
          <w:lang w:val="zh-CN"/>
        </w:rPr>
      </w:pPr>
      <w:r>
        <w:rPr>
          <w:rFonts w:hint="eastAsia" w:ascii="宋体" w:hAnsi="Calibri" w:cs="宋体"/>
          <w:color w:val="auto"/>
          <w:kern w:val="0"/>
          <w:sz w:val="24"/>
          <w:szCs w:val="24"/>
          <w:highlight w:val="none"/>
          <w:lang w:val="zh-CN"/>
        </w:rPr>
        <w:t>3.成交供应商提交的磋商响应文件；</w:t>
      </w:r>
    </w:p>
    <w:p w14:paraId="1C8047F7">
      <w:pPr>
        <w:autoSpaceDE w:val="0"/>
        <w:autoSpaceDN w:val="0"/>
        <w:adjustRightInd w:val="0"/>
        <w:spacing w:line="360" w:lineRule="auto"/>
        <w:ind w:firstLine="480"/>
        <w:rPr>
          <w:rFonts w:hint="eastAsia" w:ascii="宋体" w:hAnsi="Calibri" w:cs="宋体"/>
          <w:color w:val="auto"/>
          <w:kern w:val="0"/>
          <w:sz w:val="24"/>
          <w:szCs w:val="24"/>
          <w:highlight w:val="none"/>
          <w:lang w:val="zh-CN"/>
        </w:rPr>
      </w:pPr>
      <w:r>
        <w:rPr>
          <w:rFonts w:hint="eastAsia" w:ascii="宋体" w:hAnsi="Calibri" w:cs="宋体"/>
          <w:color w:val="auto"/>
          <w:kern w:val="0"/>
          <w:sz w:val="24"/>
          <w:szCs w:val="24"/>
          <w:highlight w:val="none"/>
          <w:lang w:val="en-US" w:eastAsia="zh-CN"/>
        </w:rPr>
        <w:t>4</w:t>
      </w:r>
      <w:r>
        <w:rPr>
          <w:rFonts w:hint="eastAsia" w:ascii="宋体" w:hAnsi="Calibri" w:cs="宋体"/>
          <w:color w:val="auto"/>
          <w:kern w:val="0"/>
          <w:sz w:val="24"/>
          <w:szCs w:val="24"/>
          <w:highlight w:val="none"/>
          <w:lang w:val="zh-CN"/>
        </w:rPr>
        <w:t>.成交通知书；</w:t>
      </w:r>
    </w:p>
    <w:p w14:paraId="0468E961">
      <w:pPr>
        <w:autoSpaceDE w:val="0"/>
        <w:autoSpaceDN w:val="0"/>
        <w:adjustRightInd w:val="0"/>
        <w:spacing w:line="360" w:lineRule="auto"/>
        <w:ind w:firstLine="480"/>
        <w:rPr>
          <w:rFonts w:hint="eastAsia" w:ascii="宋体" w:hAnsi="Calibri" w:cs="宋体"/>
          <w:color w:val="auto"/>
          <w:kern w:val="0"/>
          <w:sz w:val="24"/>
          <w:szCs w:val="24"/>
          <w:highlight w:val="none"/>
          <w:lang w:val="zh-CN"/>
        </w:rPr>
      </w:pPr>
      <w:r>
        <w:rPr>
          <w:rFonts w:hint="eastAsia" w:ascii="宋体" w:hAnsi="Calibri" w:cs="宋体"/>
          <w:color w:val="auto"/>
          <w:kern w:val="0"/>
          <w:sz w:val="24"/>
          <w:szCs w:val="24"/>
          <w:highlight w:val="none"/>
          <w:lang w:val="en-US" w:eastAsia="zh-CN"/>
        </w:rPr>
        <w:t>5</w:t>
      </w:r>
      <w:r>
        <w:rPr>
          <w:rFonts w:hint="eastAsia" w:ascii="宋体" w:hAnsi="Calibri" w:cs="宋体"/>
          <w:color w:val="auto"/>
          <w:kern w:val="0"/>
          <w:sz w:val="24"/>
          <w:szCs w:val="24"/>
          <w:highlight w:val="none"/>
          <w:lang w:val="zh-CN"/>
        </w:rPr>
        <w:t>.</w:t>
      </w:r>
      <w:r>
        <w:rPr>
          <w:rFonts w:hint="eastAsia" w:ascii="宋体" w:hAnsi="Calibri" w:cs="宋体"/>
          <w:color w:val="auto"/>
          <w:kern w:val="0"/>
          <w:sz w:val="24"/>
          <w:szCs w:val="24"/>
          <w:highlight w:val="none"/>
          <w:lang w:val="en-US" w:eastAsia="zh-CN"/>
        </w:rPr>
        <w:t>最终报价表</w:t>
      </w:r>
      <w:r>
        <w:rPr>
          <w:rFonts w:hint="eastAsia" w:ascii="宋体" w:hAnsi="Calibri" w:cs="宋体"/>
          <w:color w:val="auto"/>
          <w:kern w:val="0"/>
          <w:sz w:val="24"/>
          <w:szCs w:val="24"/>
          <w:highlight w:val="none"/>
          <w:lang w:val="zh-CN"/>
        </w:rPr>
        <w:t>；</w:t>
      </w:r>
    </w:p>
    <w:p w14:paraId="6BE368DA">
      <w:pPr>
        <w:autoSpaceDE w:val="0"/>
        <w:autoSpaceDN w:val="0"/>
        <w:adjustRightInd w:val="0"/>
        <w:spacing w:line="360" w:lineRule="auto"/>
        <w:ind w:firstLine="480"/>
        <w:rPr>
          <w:rFonts w:hint="eastAsia" w:ascii="宋体" w:hAnsi="Calibri" w:cs="宋体"/>
          <w:color w:val="auto"/>
          <w:kern w:val="0"/>
          <w:sz w:val="24"/>
          <w:szCs w:val="24"/>
          <w:highlight w:val="none"/>
          <w:lang w:val="zh-CN"/>
        </w:rPr>
      </w:pPr>
      <w:r>
        <w:rPr>
          <w:rFonts w:hint="eastAsia" w:ascii="宋体" w:hAnsi="Calibri" w:eastAsia="宋体" w:cs="宋体"/>
          <w:b/>
          <w:bCs/>
          <w:color w:val="auto"/>
          <w:kern w:val="0"/>
          <w:sz w:val="24"/>
          <w:szCs w:val="24"/>
          <w:highlight w:val="none"/>
          <w:lang w:val="zh-CN"/>
        </w:rPr>
        <w:t>二、</w:t>
      </w:r>
      <w:r>
        <w:rPr>
          <w:rFonts w:hint="eastAsia" w:ascii="宋体" w:hAnsi="Calibri" w:cs="宋体"/>
          <w:b/>
          <w:bCs/>
          <w:color w:val="auto"/>
          <w:kern w:val="0"/>
          <w:sz w:val="24"/>
          <w:szCs w:val="24"/>
          <w:highlight w:val="none"/>
          <w:lang w:val="en-US" w:eastAsia="zh-CN"/>
        </w:rPr>
        <w:t>服务内容及合同金额</w:t>
      </w:r>
      <w:r>
        <w:rPr>
          <w:rFonts w:hint="eastAsia" w:ascii="宋体" w:hAnsi="Calibri" w:cs="宋体"/>
          <w:color w:val="auto"/>
          <w:kern w:val="0"/>
          <w:sz w:val="24"/>
          <w:szCs w:val="24"/>
          <w:highlight w:val="none"/>
          <w:lang w:val="zh-CN"/>
        </w:rPr>
        <w:t xml:space="preserve">    </w:t>
      </w:r>
    </w:p>
    <w:p w14:paraId="6315CD85">
      <w:pPr>
        <w:autoSpaceDE w:val="0"/>
        <w:autoSpaceDN w:val="0"/>
        <w:adjustRightInd w:val="0"/>
        <w:spacing w:line="360" w:lineRule="auto"/>
        <w:ind w:firstLine="480"/>
        <w:rPr>
          <w:rFonts w:hint="eastAsia" w:ascii="宋体" w:hAnsi="Calibri" w:cs="宋体"/>
          <w:color w:val="auto"/>
          <w:kern w:val="0"/>
          <w:sz w:val="24"/>
          <w:szCs w:val="24"/>
          <w:highlight w:val="none"/>
          <w:lang w:val="zh-CN"/>
        </w:rPr>
      </w:pPr>
      <w:r>
        <w:rPr>
          <w:rFonts w:hint="eastAsia" w:ascii="宋体" w:hAnsi="Calibri" w:cs="宋体"/>
          <w:color w:val="auto"/>
          <w:kern w:val="0"/>
          <w:sz w:val="24"/>
          <w:szCs w:val="24"/>
          <w:highlight w:val="none"/>
          <w:lang w:val="en-US" w:eastAsia="zh-CN"/>
        </w:rPr>
        <w:t>1：服务内容：主要在青海省</w:t>
      </w:r>
      <w:r>
        <w:rPr>
          <w:rFonts w:hint="eastAsia" w:ascii="宋体" w:hAnsi="宋体"/>
          <w:color w:val="auto"/>
          <w:highlight w:val="none"/>
        </w:rPr>
        <w:t>采用资料收集、系列编图、工作报告</w:t>
      </w:r>
      <w:r>
        <w:rPr>
          <w:rFonts w:hint="eastAsia" w:ascii="宋体" w:hAnsi="宋体"/>
          <w:color w:val="auto"/>
          <w:highlight w:val="none"/>
          <w:lang w:eastAsia="zh-CN"/>
        </w:rPr>
        <w:t>等方法技术手段开展的成矿远景区划</w:t>
      </w:r>
      <w:r>
        <w:rPr>
          <w:rFonts w:hint="eastAsia" w:ascii="宋体" w:hAnsi="Calibri" w:eastAsia="宋体" w:cs="宋体"/>
          <w:color w:val="auto"/>
          <w:kern w:val="0"/>
          <w:sz w:val="24"/>
          <w:szCs w:val="24"/>
          <w:highlight w:val="none"/>
          <w:lang w:val="zh-CN" w:eastAsia="zh-CN" w:bidi="ar-SA"/>
        </w:rPr>
        <w:t>。</w:t>
      </w:r>
      <w:r>
        <w:rPr>
          <w:rFonts w:hint="eastAsia" w:ascii="宋体" w:hAnsi="Calibri" w:cs="宋体"/>
          <w:color w:val="auto"/>
          <w:kern w:val="0"/>
          <w:sz w:val="24"/>
          <w:szCs w:val="24"/>
          <w:highlight w:val="none"/>
          <w:lang w:val="zh-CN"/>
        </w:rPr>
        <w:t xml:space="preserve">                  </w:t>
      </w:r>
    </w:p>
    <w:p w14:paraId="1194B5C5">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kern w:val="0"/>
          <w:sz w:val="24"/>
          <w:szCs w:val="24"/>
          <w:highlight w:val="none"/>
          <w:lang w:val="zh-CN"/>
        </w:rPr>
      </w:pPr>
      <w:r>
        <w:rPr>
          <w:rFonts w:hint="eastAsia" w:ascii="宋体" w:hAnsi="宋体" w:cs="宋体"/>
          <w:color w:val="auto"/>
          <w:kern w:val="0"/>
          <w:sz w:val="24"/>
          <w:szCs w:val="24"/>
          <w:highlight w:val="none"/>
          <w:lang w:val="en-US" w:eastAsia="zh-CN"/>
        </w:rPr>
        <w:t>2.合同金额</w:t>
      </w:r>
      <w:r>
        <w:rPr>
          <w:rFonts w:hint="eastAsia" w:ascii="宋体" w:hAnsi="宋体" w:cs="宋体"/>
          <w:color w:val="auto"/>
          <w:kern w:val="0"/>
          <w:sz w:val="24"/>
          <w:szCs w:val="24"/>
          <w:highlight w:val="none"/>
          <w:lang w:val="zh-CN"/>
        </w:rPr>
        <w:t>：</w:t>
      </w:r>
      <w:r>
        <w:rPr>
          <w:rFonts w:hint="eastAsia" w:ascii="宋体" w:hAnsi="宋体" w:eastAsia="宋体" w:cs="宋体"/>
          <w:color w:val="auto"/>
          <w:kern w:val="0"/>
          <w:sz w:val="24"/>
          <w:szCs w:val="24"/>
          <w:highlight w:val="none"/>
          <w:lang w:val="zh-CN"/>
        </w:rPr>
        <w:t>本政府采购合同的总金额为人民币</w:t>
      </w:r>
      <w:r>
        <w:rPr>
          <w:rFonts w:hint="eastAsia" w:ascii="宋体" w:hAnsi="宋体" w:eastAsia="宋体" w:cs="宋体"/>
          <w:color w:val="auto"/>
          <w:kern w:val="0"/>
          <w:sz w:val="24"/>
          <w:szCs w:val="24"/>
          <w:highlight w:val="none"/>
          <w:u w:val="single"/>
          <w:lang w:val="zh-CN"/>
        </w:rPr>
        <w:t xml:space="preserve">       </w:t>
      </w:r>
      <w:r>
        <w:rPr>
          <w:rFonts w:hint="eastAsia" w:ascii="宋体" w:hAnsi="宋体" w:eastAsia="宋体" w:cs="宋体"/>
          <w:color w:val="auto"/>
          <w:kern w:val="0"/>
          <w:sz w:val="24"/>
          <w:szCs w:val="24"/>
          <w:highlight w:val="none"/>
          <w:lang w:val="zh-CN"/>
        </w:rPr>
        <w:t xml:space="preserve"> （大写）</w:t>
      </w:r>
      <w:r>
        <w:rPr>
          <w:rFonts w:hint="eastAsia" w:ascii="宋体" w:hAnsi="宋体" w:eastAsia="宋体" w:cs="宋体"/>
          <w:color w:val="auto"/>
          <w:kern w:val="0"/>
          <w:sz w:val="24"/>
          <w:szCs w:val="24"/>
          <w:highlight w:val="none"/>
          <w:u w:val="single"/>
          <w:lang w:val="zh-CN"/>
        </w:rPr>
        <w:t xml:space="preserve">            </w:t>
      </w:r>
      <w:r>
        <w:rPr>
          <w:rFonts w:hint="eastAsia" w:ascii="宋体" w:hAnsi="宋体" w:eastAsia="宋体" w:cs="宋体"/>
          <w:color w:val="auto"/>
          <w:kern w:val="0"/>
          <w:sz w:val="24"/>
          <w:szCs w:val="24"/>
          <w:highlight w:val="none"/>
          <w:lang w:val="zh-CN"/>
        </w:rPr>
        <w:t>元。</w:t>
      </w:r>
    </w:p>
    <w:p w14:paraId="656CF874">
      <w:pPr>
        <w:pStyle w:val="52"/>
        <w:spacing w:line="360" w:lineRule="auto"/>
        <w:rPr>
          <w:rFonts w:hint="eastAsia" w:ascii="宋体" w:hAnsi="宋体" w:eastAsia="宋体" w:cs="宋体"/>
          <w:color w:val="auto"/>
          <w:kern w:val="0"/>
          <w:sz w:val="24"/>
          <w:szCs w:val="24"/>
          <w:highlight w:val="none"/>
          <w:lang w:val="zh-CN"/>
        </w:rPr>
      </w:pPr>
      <w:r>
        <w:rPr>
          <w:rFonts w:hint="eastAsia" w:ascii="宋体" w:hAnsi="Calibri" w:eastAsia="宋体" w:cs="宋体"/>
          <w:color w:val="auto"/>
          <w:kern w:val="0"/>
          <w:sz w:val="24"/>
          <w:szCs w:val="24"/>
          <w:highlight w:val="none"/>
          <w:lang w:val="zh-CN" w:eastAsia="zh-CN" w:bidi="ar-SA"/>
        </w:rPr>
        <w:t>本合同以人民币进行结算，合同总价包括：</w:t>
      </w:r>
      <w:r>
        <w:rPr>
          <w:rFonts w:hint="eastAsia" w:ascii="宋体" w:hAnsi="Calibri" w:cs="宋体"/>
          <w:color w:val="auto"/>
          <w:kern w:val="0"/>
          <w:sz w:val="24"/>
          <w:szCs w:val="24"/>
          <w:highlight w:val="none"/>
          <w:lang w:val="en-US" w:eastAsia="zh-CN"/>
        </w:rPr>
        <w:t>主要在青海省</w:t>
      </w:r>
      <w:r>
        <w:rPr>
          <w:rFonts w:hint="eastAsia" w:ascii="宋体" w:hAnsi="Calibri" w:cs="宋体"/>
          <w:color w:val="auto"/>
          <w:kern w:val="0"/>
          <w:sz w:val="24"/>
          <w:szCs w:val="24"/>
          <w:highlight w:val="none"/>
          <w:lang w:val="zh-CN" w:eastAsia="zh-CN" w:bidi="ar-SA"/>
        </w:rPr>
        <w:t>开展</w:t>
      </w:r>
      <w:r>
        <w:rPr>
          <w:rFonts w:hint="eastAsia" w:ascii="宋体" w:hAnsi="Calibri" w:eastAsia="宋体" w:cs="宋体"/>
          <w:color w:val="auto"/>
          <w:kern w:val="0"/>
          <w:sz w:val="24"/>
          <w:szCs w:val="24"/>
          <w:highlight w:val="none"/>
          <w:lang w:val="zh-CN" w:eastAsia="zh-CN" w:bidi="ar-SA"/>
        </w:rPr>
        <w:t>资料收集、系列编图、工作报告及其他不可预见</w:t>
      </w:r>
      <w:r>
        <w:rPr>
          <w:rFonts w:hint="eastAsia" w:ascii="宋体" w:hAnsi="Calibri" w:cs="宋体"/>
          <w:color w:val="auto"/>
          <w:kern w:val="0"/>
          <w:sz w:val="24"/>
          <w:szCs w:val="24"/>
          <w:highlight w:val="none"/>
          <w:lang w:val="zh-CN" w:eastAsia="zh-CN" w:bidi="ar-SA"/>
        </w:rPr>
        <w:t>的</w:t>
      </w:r>
      <w:r>
        <w:rPr>
          <w:rFonts w:hint="eastAsia" w:ascii="宋体" w:hAnsi="Calibri" w:eastAsia="宋体" w:cs="宋体"/>
          <w:color w:val="auto"/>
          <w:kern w:val="0"/>
          <w:sz w:val="24"/>
          <w:szCs w:val="24"/>
          <w:highlight w:val="none"/>
          <w:lang w:val="zh-CN" w:eastAsia="zh-CN" w:bidi="ar-SA"/>
        </w:rPr>
        <w:t>全部费用。</w:t>
      </w:r>
    </w:p>
    <w:p w14:paraId="34137132">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zh-CN"/>
        </w:rPr>
        <w:t>三、合同期限与成果提交</w:t>
      </w:r>
    </w:p>
    <w:p w14:paraId="4DDA8B6C">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zh-CN"/>
        </w:rPr>
        <w:t>服务时间：</w:t>
      </w:r>
      <w:r>
        <w:rPr>
          <w:rFonts w:hint="eastAsia" w:ascii="宋体" w:hAnsi="宋体" w:eastAsia="宋体" w:cs="宋体"/>
          <w:color w:val="auto"/>
          <w:kern w:val="0"/>
          <w:sz w:val="24"/>
          <w:szCs w:val="24"/>
          <w:highlight w:val="none"/>
          <w:u w:val="single"/>
          <w:lang w:val="zh-CN"/>
        </w:rPr>
        <w:t xml:space="preserve">自合同签订之日起至2026年12月 </w:t>
      </w:r>
      <w:r>
        <w:rPr>
          <w:rFonts w:hint="eastAsia" w:ascii="宋体" w:hAnsi="宋体" w:eastAsia="宋体" w:cs="宋体"/>
          <w:color w:val="auto"/>
          <w:kern w:val="0"/>
          <w:sz w:val="24"/>
          <w:szCs w:val="24"/>
          <w:highlight w:val="none"/>
          <w:lang w:val="zh-CN"/>
        </w:rPr>
        <w:t>；</w:t>
      </w:r>
    </w:p>
    <w:p w14:paraId="076B5E81">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zh-CN"/>
        </w:rPr>
        <w:t>服务地点：</w:t>
      </w:r>
      <w:r>
        <w:rPr>
          <w:rFonts w:hint="eastAsia" w:ascii="宋体" w:hAnsi="宋体" w:eastAsia="宋体" w:cs="宋体"/>
          <w:color w:val="auto"/>
          <w:kern w:val="0"/>
          <w:sz w:val="24"/>
          <w:szCs w:val="24"/>
          <w:highlight w:val="none"/>
          <w:u w:val="single"/>
          <w:lang w:val="zh-CN"/>
        </w:rPr>
        <w:t>甲方指定地点</w:t>
      </w:r>
      <w:r>
        <w:rPr>
          <w:rFonts w:hint="eastAsia" w:ascii="宋体" w:hAnsi="宋体" w:eastAsia="宋体" w:cs="宋体"/>
          <w:color w:val="auto"/>
          <w:kern w:val="0"/>
          <w:sz w:val="24"/>
          <w:szCs w:val="24"/>
          <w:highlight w:val="none"/>
          <w:lang w:val="zh-CN"/>
        </w:rPr>
        <w:t>。</w:t>
      </w:r>
    </w:p>
    <w:p w14:paraId="7D60569A">
      <w:pPr>
        <w:numPr>
          <w:ilvl w:val="0"/>
          <w:numId w:val="0"/>
        </w:numPr>
        <w:spacing w:line="360" w:lineRule="auto"/>
        <w:ind w:firstLine="480" w:firstLineChars="200"/>
        <w:rPr>
          <w:rFonts w:hint="eastAsia" w:ascii="宋体" w:hAnsi="宋体" w:eastAsia="宋体" w:cs="Times New Roman"/>
          <w:b w:val="0"/>
          <w:bCs w:val="0"/>
          <w:color w:val="auto"/>
          <w:sz w:val="24"/>
          <w:szCs w:val="24"/>
          <w:highlight w:val="none"/>
          <w:lang w:val="en-US" w:eastAsia="zh-CN"/>
        </w:rPr>
      </w:pPr>
      <w:r>
        <w:rPr>
          <w:rFonts w:hint="eastAsia" w:ascii="宋体" w:hAnsi="宋体"/>
          <w:b w:val="0"/>
          <w:bCs w:val="0"/>
          <w:color w:val="auto"/>
          <w:sz w:val="24"/>
          <w:szCs w:val="24"/>
          <w:highlight w:val="none"/>
          <w:lang w:val="en-US" w:eastAsia="zh-CN"/>
        </w:rPr>
        <w:t>3.</w:t>
      </w:r>
      <w:r>
        <w:rPr>
          <w:rFonts w:hint="eastAsia" w:ascii="宋体" w:hAnsi="宋体" w:eastAsia="宋体" w:cs="Times New Roman"/>
          <w:b w:val="0"/>
          <w:bCs w:val="0"/>
          <w:color w:val="auto"/>
          <w:sz w:val="24"/>
          <w:szCs w:val="24"/>
          <w:highlight w:val="none"/>
          <w:lang w:val="en-US" w:eastAsia="zh-CN"/>
        </w:rPr>
        <w:t>预期成果：</w:t>
      </w:r>
    </w:p>
    <w:p w14:paraId="4ADC09D8">
      <w:pPr>
        <w:ind w:firstLine="480"/>
        <w:rPr>
          <w:rFonts w:hint="eastAsia" w:ascii="宋体" w:hAnsi="宋体"/>
          <w:color w:val="auto"/>
          <w:highlight w:val="none"/>
        </w:rPr>
      </w:pPr>
      <w:r>
        <w:rPr>
          <w:rFonts w:hint="eastAsia" w:ascii="宋体" w:hAnsi="宋体"/>
          <w:color w:val="auto"/>
          <w:highlight w:val="none"/>
          <w:lang w:eastAsia="zh-CN"/>
        </w:rPr>
        <w:t>（</w:t>
      </w:r>
      <w:r>
        <w:rPr>
          <w:rFonts w:hint="eastAsia" w:ascii="宋体" w:hAnsi="宋体"/>
          <w:color w:val="auto"/>
          <w:highlight w:val="none"/>
          <w:lang w:val="en-US" w:eastAsia="zh-CN"/>
        </w:rPr>
        <w:t>1</w:t>
      </w:r>
      <w:r>
        <w:rPr>
          <w:rFonts w:hint="eastAsia" w:ascii="宋体" w:hAnsi="宋体"/>
          <w:color w:val="auto"/>
          <w:highlight w:val="none"/>
          <w:lang w:eastAsia="zh-CN"/>
        </w:rPr>
        <w:t>）</w:t>
      </w:r>
      <w:r>
        <w:rPr>
          <w:rFonts w:hint="eastAsia" w:ascii="宋体" w:hAnsi="宋体"/>
          <w:color w:val="auto"/>
          <w:highlight w:val="none"/>
        </w:rPr>
        <w:t>圈定成矿远景区、找矿预测区等，筛选提出出让区块。</w:t>
      </w:r>
    </w:p>
    <w:p w14:paraId="486466A0">
      <w:pPr>
        <w:pStyle w:val="52"/>
        <w:rPr>
          <w:rFonts w:hint="eastAsia" w:eastAsia="宋体"/>
          <w:color w:val="auto"/>
          <w:highlight w:val="none"/>
          <w:lang w:eastAsia="zh-CN"/>
        </w:rPr>
      </w:pPr>
      <w:r>
        <w:rPr>
          <w:rFonts w:hint="eastAsia" w:ascii="宋体" w:hAnsi="宋体"/>
          <w:color w:val="auto"/>
          <w:highlight w:val="none"/>
          <w:lang w:eastAsia="zh-CN"/>
        </w:rPr>
        <w:t>（</w:t>
      </w:r>
      <w:r>
        <w:rPr>
          <w:rFonts w:hint="eastAsia" w:ascii="宋体" w:hAnsi="宋体"/>
          <w:color w:val="auto"/>
          <w:highlight w:val="none"/>
          <w:lang w:val="en-US" w:eastAsia="zh-CN"/>
        </w:rPr>
        <w:t>2</w:t>
      </w:r>
      <w:r>
        <w:rPr>
          <w:rFonts w:hint="eastAsia" w:ascii="宋体" w:hAnsi="宋体"/>
          <w:color w:val="auto"/>
          <w:highlight w:val="none"/>
          <w:lang w:eastAsia="zh-CN"/>
        </w:rPr>
        <w:t>）提交年度阶段性工作总结。</w:t>
      </w:r>
    </w:p>
    <w:p w14:paraId="403F1BC2">
      <w:pPr>
        <w:keepNext w:val="0"/>
        <w:keepLines w:val="0"/>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四、付款方式</w:t>
      </w:r>
    </w:p>
    <w:p w14:paraId="52BFB43A">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kern w:val="0"/>
          <w:highlight w:val="none"/>
          <w:lang w:val="zh-CN"/>
        </w:rPr>
      </w:pPr>
      <w:r>
        <w:rPr>
          <w:rFonts w:hint="eastAsia" w:ascii="宋体" w:hAnsi="宋体" w:eastAsia="宋体" w:cs="宋体"/>
          <w:color w:val="auto"/>
          <w:kern w:val="0"/>
          <w:highlight w:val="none"/>
          <w:lang w:val="zh-CN"/>
        </w:rPr>
        <w:t>1</w:t>
      </w:r>
      <w:r>
        <w:rPr>
          <w:rFonts w:hint="eastAsia" w:ascii="宋体" w:hAnsi="宋体" w:eastAsia="宋体" w:cs="宋体"/>
          <w:color w:val="auto"/>
          <w:kern w:val="0"/>
          <w:highlight w:val="none"/>
          <w:lang w:val="en-US" w:eastAsia="zh-CN"/>
        </w:rPr>
        <w:t>.</w:t>
      </w:r>
      <w:r>
        <w:rPr>
          <w:rFonts w:hint="eastAsia" w:ascii="宋体" w:hAnsi="宋体" w:eastAsia="宋体" w:cs="宋体"/>
          <w:color w:val="auto"/>
          <w:kern w:val="0"/>
          <w:highlight w:val="none"/>
          <w:lang w:val="zh-CN"/>
        </w:rPr>
        <w:t>签订本合同后，项目设计审查通过</w:t>
      </w:r>
      <w:r>
        <w:rPr>
          <w:rFonts w:hint="eastAsia" w:ascii="宋体" w:hAnsi="宋体" w:eastAsia="宋体" w:cs="宋体"/>
          <w:color w:val="auto"/>
          <w:kern w:val="0"/>
          <w:highlight w:val="none"/>
          <w:lang w:val="en-US" w:eastAsia="zh-CN"/>
        </w:rPr>
        <w:t>后，</w:t>
      </w:r>
      <w:r>
        <w:rPr>
          <w:rFonts w:hint="eastAsia" w:ascii="宋体" w:hAnsi="宋体" w:eastAsia="宋体" w:cs="宋体"/>
          <w:color w:val="auto"/>
          <w:kern w:val="0"/>
          <w:highlight w:val="none"/>
          <w:lang w:val="zh-CN"/>
        </w:rPr>
        <w:t>支付合同总金额的80.00%</w:t>
      </w:r>
      <w:r>
        <w:rPr>
          <w:rFonts w:hint="eastAsia" w:ascii="宋体" w:hAnsi="宋体" w:cs="宋体"/>
          <w:color w:val="auto"/>
          <w:kern w:val="0"/>
          <w:highlight w:val="none"/>
          <w:lang w:val="zh-CN"/>
        </w:rPr>
        <w:t>；</w:t>
      </w:r>
      <w:r>
        <w:rPr>
          <w:rFonts w:hint="eastAsia" w:ascii="宋体" w:hAnsi="宋体" w:eastAsia="宋体" w:cs="宋体"/>
          <w:color w:val="auto"/>
          <w:sz w:val="24"/>
          <w:szCs w:val="24"/>
          <w:highlight w:val="none"/>
          <w:lang w:val="zh-CN"/>
        </w:rPr>
        <w:t>计</w:t>
      </w:r>
      <w:r>
        <w:rPr>
          <w:rFonts w:hint="eastAsia" w:ascii="宋体" w:hAnsi="宋体" w:eastAsia="宋体" w:cs="宋体"/>
          <w:color w:val="auto"/>
          <w:kern w:val="0"/>
          <w:highlight w:val="none"/>
          <w:lang w:val="zh-CN"/>
        </w:rPr>
        <w:t>人民币</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zh-CN"/>
        </w:rPr>
        <w:t>（大写）</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zh-CN"/>
        </w:rPr>
        <w:t>元整。</w:t>
      </w:r>
    </w:p>
    <w:p w14:paraId="10BA6A5E">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kern w:val="0"/>
          <w:highlight w:val="none"/>
          <w:lang w:val="zh-CN"/>
        </w:rPr>
      </w:pPr>
      <w:r>
        <w:rPr>
          <w:rFonts w:hint="eastAsia" w:ascii="宋体" w:hAnsi="宋体" w:eastAsia="宋体" w:cs="宋体"/>
          <w:color w:val="auto"/>
          <w:kern w:val="0"/>
          <w:highlight w:val="none"/>
          <w:lang w:val="zh-CN"/>
        </w:rPr>
        <w:t>2</w:t>
      </w:r>
      <w:r>
        <w:rPr>
          <w:rFonts w:hint="eastAsia" w:ascii="宋体" w:hAnsi="宋体" w:eastAsia="宋体" w:cs="宋体"/>
          <w:color w:val="auto"/>
          <w:kern w:val="0"/>
          <w:highlight w:val="none"/>
          <w:lang w:val="en-US" w:eastAsia="zh-CN"/>
        </w:rPr>
        <w:t>.</w:t>
      </w:r>
      <w:r>
        <w:rPr>
          <w:rFonts w:hint="eastAsia" w:ascii="宋体" w:hAnsi="宋体" w:eastAsia="宋体" w:cs="宋体"/>
          <w:color w:val="auto"/>
          <w:kern w:val="0"/>
          <w:highlight w:val="none"/>
          <w:lang w:val="zh-CN"/>
        </w:rPr>
        <w:t>项目提交年度阶段性工作总结及成果图件，并通过成果验收后，支付合同总金额的20.00%</w:t>
      </w:r>
      <w:r>
        <w:rPr>
          <w:rFonts w:hint="eastAsia" w:ascii="宋体" w:hAnsi="宋体" w:cs="宋体"/>
          <w:color w:val="auto"/>
          <w:kern w:val="0"/>
          <w:highlight w:val="none"/>
          <w:lang w:val="zh-CN"/>
        </w:rPr>
        <w:t>；</w:t>
      </w:r>
      <w:r>
        <w:rPr>
          <w:rFonts w:hint="eastAsia" w:ascii="宋体" w:hAnsi="宋体" w:eastAsia="宋体" w:cs="宋体"/>
          <w:color w:val="auto"/>
          <w:sz w:val="24"/>
          <w:szCs w:val="24"/>
          <w:highlight w:val="none"/>
          <w:lang w:val="zh-CN"/>
        </w:rPr>
        <w:t>计</w:t>
      </w:r>
      <w:r>
        <w:rPr>
          <w:rFonts w:hint="eastAsia" w:ascii="宋体" w:hAnsi="宋体" w:eastAsia="宋体" w:cs="宋体"/>
          <w:color w:val="auto"/>
          <w:kern w:val="0"/>
          <w:highlight w:val="none"/>
          <w:lang w:val="zh-CN"/>
        </w:rPr>
        <w:t>人民币</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zh-CN"/>
        </w:rPr>
        <w:t>（大写）</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zh-CN"/>
        </w:rPr>
        <w:t>元整。</w:t>
      </w:r>
    </w:p>
    <w:p w14:paraId="0EA3FC4D">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lang w:val="zh-CN"/>
        </w:rPr>
        <w:t>五、合同的变更、终止与转让</w:t>
      </w:r>
    </w:p>
    <w:p w14:paraId="208437AF">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kern w:val="0"/>
          <w:highlight w:val="none"/>
          <w:lang w:val="zh-CN"/>
        </w:rPr>
      </w:pPr>
      <w:r>
        <w:rPr>
          <w:rFonts w:hint="eastAsia" w:ascii="宋体" w:hAnsi="宋体" w:cs="宋体"/>
          <w:color w:val="auto"/>
          <w:kern w:val="0"/>
          <w:highlight w:val="none"/>
          <w:lang w:val="en-US" w:eastAsia="zh-CN"/>
        </w:rPr>
        <w:t>1.</w:t>
      </w:r>
      <w:r>
        <w:rPr>
          <w:rFonts w:hint="eastAsia" w:ascii="宋体" w:hAnsi="宋体" w:eastAsia="宋体" w:cs="宋体"/>
          <w:color w:val="auto"/>
          <w:kern w:val="0"/>
          <w:highlight w:val="none"/>
          <w:lang w:val="zh-CN"/>
        </w:rPr>
        <w:t>除《中华人民共和国政府采购法》第</w:t>
      </w:r>
      <w:r>
        <w:rPr>
          <w:rFonts w:hint="eastAsia" w:ascii="宋体" w:hAnsi="宋体" w:eastAsia="宋体" w:cs="宋体"/>
          <w:color w:val="auto"/>
          <w:kern w:val="0"/>
          <w:highlight w:val="none"/>
        </w:rPr>
        <w:t>50</w:t>
      </w:r>
      <w:r>
        <w:rPr>
          <w:rFonts w:hint="eastAsia" w:ascii="宋体" w:hAnsi="宋体" w:eastAsia="宋体" w:cs="宋体"/>
          <w:color w:val="auto"/>
          <w:kern w:val="0"/>
          <w:highlight w:val="none"/>
          <w:lang w:val="zh-CN"/>
        </w:rPr>
        <w:t>条规定的情形外，本合同一经签订，甲乙双方不得擅自变更、中止或终止。</w:t>
      </w:r>
    </w:p>
    <w:p w14:paraId="766E6D0B">
      <w:pPr>
        <w:spacing w:line="360" w:lineRule="auto"/>
        <w:ind w:firstLine="480"/>
        <w:rPr>
          <w:rFonts w:hint="eastAsia" w:ascii="宋体" w:hAnsi="宋体"/>
          <w:color w:val="auto"/>
          <w:highlight w:val="none"/>
        </w:rPr>
      </w:pPr>
      <w:r>
        <w:rPr>
          <w:rFonts w:hint="eastAsia" w:ascii="宋体" w:hAnsi="宋体"/>
          <w:color w:val="auto"/>
          <w:highlight w:val="none"/>
          <w:lang w:val="en-US" w:eastAsia="zh-CN"/>
        </w:rPr>
        <w:t>2.</w:t>
      </w:r>
      <w:r>
        <w:rPr>
          <w:rFonts w:ascii="宋体" w:hAnsi="宋体"/>
          <w:color w:val="auto"/>
          <w:highlight w:val="none"/>
        </w:rPr>
        <w:t>政府采购合同不能转让</w:t>
      </w:r>
    </w:p>
    <w:p w14:paraId="2EED8B99">
      <w:pPr>
        <w:spacing w:line="360" w:lineRule="auto"/>
        <w:ind w:firstLine="480"/>
        <w:rPr>
          <w:rFonts w:hint="eastAsia"/>
          <w:color w:val="auto"/>
          <w:highlight w:val="none"/>
        </w:rPr>
      </w:pPr>
      <w:r>
        <w:rPr>
          <w:rFonts w:ascii="宋体" w:hAnsi="宋体"/>
          <w:color w:val="auto"/>
          <w:highlight w:val="none"/>
        </w:rPr>
        <w:t>经</w:t>
      </w:r>
      <w:r>
        <w:rPr>
          <w:rFonts w:hint="eastAsia" w:ascii="宋体" w:hAnsi="宋体"/>
          <w:color w:val="auto"/>
          <w:highlight w:val="none"/>
        </w:rPr>
        <w:t>甲方</w:t>
      </w:r>
      <w:r>
        <w:rPr>
          <w:rFonts w:ascii="宋体" w:hAnsi="宋体"/>
          <w:color w:val="auto"/>
          <w:highlight w:val="none"/>
        </w:rPr>
        <w:t>书面同意</w:t>
      </w:r>
      <w:r>
        <w:rPr>
          <w:rFonts w:hint="eastAsia" w:ascii="宋体" w:hAnsi="宋体"/>
          <w:color w:val="auto"/>
          <w:highlight w:val="none"/>
        </w:rPr>
        <w:t>乙</w:t>
      </w:r>
      <w:r>
        <w:rPr>
          <w:rFonts w:ascii="宋体" w:hAnsi="宋体"/>
          <w:color w:val="auto"/>
          <w:highlight w:val="none"/>
        </w:rPr>
        <w:t>方可以将合同条款下非主体、非关键性工作分包给他人完成。接受分包的人应当具备相应的资格条件，并不得再次分包。分包后不能解除卖方履行本合同的责任和义务，接受分包的人与</w:t>
      </w:r>
      <w:r>
        <w:rPr>
          <w:rFonts w:hint="eastAsia" w:ascii="宋体" w:hAnsi="宋体"/>
          <w:color w:val="auto"/>
          <w:highlight w:val="none"/>
        </w:rPr>
        <w:t>乙</w:t>
      </w:r>
      <w:r>
        <w:rPr>
          <w:rFonts w:ascii="宋体" w:hAnsi="宋体"/>
          <w:color w:val="auto"/>
          <w:highlight w:val="none"/>
        </w:rPr>
        <w:t>方共同对</w:t>
      </w:r>
      <w:r>
        <w:rPr>
          <w:rFonts w:hint="eastAsia" w:ascii="宋体" w:hAnsi="宋体"/>
          <w:color w:val="auto"/>
          <w:highlight w:val="none"/>
        </w:rPr>
        <w:t>甲</w:t>
      </w:r>
      <w:r>
        <w:rPr>
          <w:rFonts w:ascii="宋体" w:hAnsi="宋体"/>
          <w:color w:val="auto"/>
          <w:highlight w:val="none"/>
        </w:rPr>
        <w:t>方连带承担合同的责任和义务。</w:t>
      </w:r>
    </w:p>
    <w:p w14:paraId="39B04A8E">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lang w:val="zh-CN"/>
        </w:rPr>
        <w:t>六、违约责任</w:t>
      </w:r>
    </w:p>
    <w:p w14:paraId="3E26D3F9">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kern w:val="0"/>
          <w:highlight w:val="none"/>
          <w:lang w:eastAsia="zh-CN"/>
        </w:rPr>
      </w:pPr>
      <w:r>
        <w:rPr>
          <w:rFonts w:hint="eastAsia" w:ascii="宋体" w:hAnsi="宋体" w:cs="宋体"/>
          <w:color w:val="auto"/>
          <w:kern w:val="0"/>
          <w:highlight w:val="none"/>
          <w:lang w:val="en-US" w:eastAsia="zh-CN"/>
        </w:rPr>
        <w:t>1.</w:t>
      </w:r>
      <w:r>
        <w:rPr>
          <w:rFonts w:hint="eastAsia" w:ascii="宋体" w:hAnsi="宋体" w:eastAsia="宋体" w:cs="宋体"/>
          <w:color w:val="auto"/>
          <w:kern w:val="0"/>
          <w:highlight w:val="none"/>
          <w:lang w:eastAsia="zh-CN"/>
        </w:rPr>
        <w:t>甲方违约：若甲方无正当理由逾期支付合同款项，每逾期一日，应向乙方支付应付未付款项</w:t>
      </w:r>
      <w:r>
        <w:rPr>
          <w:rFonts w:hint="eastAsia" w:ascii="宋体" w:hAnsi="宋体" w:cs="宋体"/>
          <w:color w:val="auto"/>
          <w:kern w:val="0"/>
          <w:highlight w:val="none"/>
          <w:u w:val="single"/>
          <w:lang w:val="en-US" w:eastAsia="zh-CN"/>
        </w:rPr>
        <w:t xml:space="preserve">     </w:t>
      </w:r>
      <w:r>
        <w:rPr>
          <w:rFonts w:hint="eastAsia" w:ascii="宋体" w:hAnsi="宋体" w:eastAsia="宋体" w:cs="宋体"/>
          <w:color w:val="auto"/>
          <w:kern w:val="0"/>
          <w:highlight w:val="none"/>
          <w:lang w:eastAsia="zh-CN"/>
        </w:rPr>
        <w:t>的违约金。</w:t>
      </w:r>
    </w:p>
    <w:p w14:paraId="78FCF290">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kern w:val="0"/>
          <w:highlight w:val="none"/>
          <w:lang w:eastAsia="zh-CN"/>
        </w:rPr>
      </w:pPr>
      <w:r>
        <w:rPr>
          <w:rFonts w:hint="eastAsia" w:ascii="宋体" w:hAnsi="宋体" w:cs="宋体"/>
          <w:color w:val="auto"/>
          <w:kern w:val="0"/>
          <w:highlight w:val="none"/>
          <w:lang w:val="en-US" w:eastAsia="zh-CN"/>
        </w:rPr>
        <w:t>2.</w:t>
      </w:r>
      <w:r>
        <w:rPr>
          <w:rFonts w:hint="eastAsia" w:ascii="宋体" w:hAnsi="宋体" w:eastAsia="宋体" w:cs="宋体"/>
          <w:color w:val="auto"/>
          <w:kern w:val="0"/>
          <w:highlight w:val="none"/>
          <w:lang w:eastAsia="zh-CN"/>
        </w:rPr>
        <w:t xml:space="preserve"> 乙方违约：</w:t>
      </w:r>
    </w:p>
    <w:p w14:paraId="0EF15A60">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lang w:eastAsia="zh-CN"/>
        </w:rPr>
        <w:t>（1）若乙方逾期提交成果，每逾期一日，应向甲方支付合同总金额</w:t>
      </w:r>
      <w:r>
        <w:rPr>
          <w:rFonts w:hint="eastAsia" w:ascii="宋体" w:hAnsi="宋体" w:cs="宋体"/>
          <w:color w:val="auto"/>
          <w:kern w:val="0"/>
          <w:highlight w:val="none"/>
          <w:u w:val="single"/>
          <w:lang w:val="en-US" w:eastAsia="zh-CN"/>
        </w:rPr>
        <w:t xml:space="preserve">     </w:t>
      </w:r>
      <w:r>
        <w:rPr>
          <w:rFonts w:hint="eastAsia" w:ascii="宋体" w:hAnsi="宋体" w:eastAsia="宋体" w:cs="宋体"/>
          <w:color w:val="auto"/>
          <w:kern w:val="0"/>
          <w:highlight w:val="none"/>
          <w:lang w:eastAsia="zh-CN"/>
        </w:rPr>
        <w:t>的违约金；逾期超过</w:t>
      </w:r>
      <w:r>
        <w:rPr>
          <w:rFonts w:hint="eastAsia" w:ascii="宋体" w:hAnsi="宋体" w:cs="宋体"/>
          <w:color w:val="auto"/>
          <w:kern w:val="0"/>
          <w:highlight w:val="none"/>
          <w:u w:val="single"/>
          <w:lang w:val="en-US" w:eastAsia="zh-CN"/>
        </w:rPr>
        <w:t xml:space="preserve">     </w:t>
      </w:r>
      <w:r>
        <w:rPr>
          <w:rFonts w:hint="eastAsia" w:ascii="宋体" w:hAnsi="宋体" w:eastAsia="宋体" w:cs="宋体"/>
          <w:color w:val="auto"/>
          <w:kern w:val="0"/>
          <w:highlight w:val="none"/>
          <w:lang w:eastAsia="zh-CN"/>
        </w:rPr>
        <w:t>日的，甲方有权解除合同。</w:t>
      </w:r>
    </w:p>
    <w:p w14:paraId="051F8E68">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lang w:eastAsia="zh-CN"/>
        </w:rPr>
        <w:t>（2）若乙方提交的成果质量不符合约定，除无偿返工外，还应赔偿因此给甲方造成的直接经济损失。</w:t>
      </w:r>
    </w:p>
    <w:p w14:paraId="4C7A1479">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lang w:eastAsia="zh-CN"/>
        </w:rPr>
        <w:t>（3）若乙方擅自转包或分包项目，甲方有权立即解除合同，并要求乙方支付合同总额</w:t>
      </w:r>
      <w:r>
        <w:rPr>
          <w:rFonts w:hint="eastAsia" w:ascii="宋体" w:hAnsi="宋体" w:cs="宋体"/>
          <w:color w:val="auto"/>
          <w:kern w:val="0"/>
          <w:highlight w:val="none"/>
          <w:u w:val="single"/>
          <w:lang w:val="en-US" w:eastAsia="zh-CN"/>
        </w:rPr>
        <w:t xml:space="preserve">      </w:t>
      </w:r>
      <w:r>
        <w:rPr>
          <w:rFonts w:hint="eastAsia" w:ascii="宋体" w:hAnsi="宋体" w:eastAsia="宋体" w:cs="宋体"/>
          <w:color w:val="auto"/>
          <w:kern w:val="0"/>
          <w:highlight w:val="none"/>
          <w:lang w:eastAsia="zh-CN"/>
        </w:rPr>
        <w:t>%的违约金。</w:t>
      </w:r>
    </w:p>
    <w:p w14:paraId="0390E2FF">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lang w:val="zh-CN"/>
        </w:rPr>
        <w:t>七、不可抗力</w:t>
      </w:r>
    </w:p>
    <w:p w14:paraId="5557722D">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1.</w:t>
      </w:r>
      <w:r>
        <w:rPr>
          <w:rFonts w:hint="eastAsia" w:ascii="宋体" w:hAnsi="宋体" w:eastAsia="宋体" w:cs="宋体"/>
          <w:color w:val="auto"/>
          <w:kern w:val="0"/>
          <w:highlight w:val="none"/>
          <w:lang w:val="zh-CN"/>
        </w:rPr>
        <w:t>不可抗力使合同的某些内容有变更必要的，双方应通过协商在</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lang w:val="zh-CN"/>
        </w:rPr>
        <w:t>天内达成进一步履行合同的协议，因不可抗力致使合同不能履行的，合同终止。</w:t>
      </w:r>
    </w:p>
    <w:p w14:paraId="0759F09E">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2.</w:t>
      </w:r>
      <w:r>
        <w:rPr>
          <w:rFonts w:hint="eastAsia" w:ascii="宋体" w:hAnsi="宋体" w:eastAsia="宋体" w:cs="宋体"/>
          <w:color w:val="auto"/>
          <w:kern w:val="0"/>
          <w:highlight w:val="none"/>
          <w:lang w:val="zh-CN"/>
        </w:rPr>
        <w:t>除法律、法规规定的不可抗力情形外，双方约定出现</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lang w:val="zh-CN"/>
        </w:rPr>
        <w:t>情况亦视为不可抗力。</w:t>
      </w:r>
    </w:p>
    <w:p w14:paraId="3B38372A">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ascii="宋体" w:hAnsi="宋体" w:eastAsia="宋体" w:cs="宋体"/>
          <w:b/>
          <w:bCs/>
          <w:color w:val="auto"/>
          <w:kern w:val="0"/>
          <w:highlight w:val="none"/>
          <w:lang w:val="zh-CN"/>
        </w:rPr>
      </w:pPr>
      <w:r>
        <w:rPr>
          <w:rFonts w:hint="eastAsia" w:ascii="宋体" w:hAnsi="宋体" w:eastAsia="宋体" w:cs="宋体"/>
          <w:b/>
          <w:bCs/>
          <w:color w:val="auto"/>
          <w:kern w:val="0"/>
          <w:highlight w:val="none"/>
          <w:lang w:val="zh-CN"/>
        </w:rPr>
        <w:t>八、知识产权：</w:t>
      </w:r>
    </w:p>
    <w:p w14:paraId="2DD090EF">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1.</w:t>
      </w:r>
      <w:r>
        <w:rPr>
          <w:rFonts w:hint="default" w:ascii="宋体" w:hAnsi="宋体" w:eastAsia="宋体" w:cs="宋体"/>
          <w:color w:val="auto"/>
          <w:kern w:val="0"/>
          <w:highlight w:val="none"/>
          <w:lang w:val="en-US" w:eastAsia="zh-CN"/>
        </w:rPr>
        <w:t xml:space="preserve"> 乙方在履行本合同过程中形成的一切原始资料、图件、数据、报告等成果，其知识产权归甲方所有。</w:t>
      </w:r>
    </w:p>
    <w:p w14:paraId="269D846D">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2.</w:t>
      </w:r>
      <w:r>
        <w:rPr>
          <w:rFonts w:hint="default" w:ascii="宋体" w:hAnsi="宋体" w:eastAsia="宋体" w:cs="宋体"/>
          <w:color w:val="auto"/>
          <w:kern w:val="0"/>
          <w:highlight w:val="none"/>
          <w:lang w:val="en-US" w:eastAsia="zh-CN"/>
        </w:rPr>
        <w:t xml:space="preserve"> 乙方享有成果的署名权，但发表、转让或以其他方式使用项目成果须经甲方书面同意。</w:t>
      </w:r>
    </w:p>
    <w:p w14:paraId="7EB08D5F">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3.</w:t>
      </w:r>
      <w:r>
        <w:rPr>
          <w:rFonts w:hint="default" w:ascii="宋体" w:hAnsi="宋体" w:eastAsia="宋体" w:cs="宋体"/>
          <w:color w:val="auto"/>
          <w:kern w:val="0"/>
          <w:highlight w:val="none"/>
          <w:lang w:val="en-US" w:eastAsia="zh-CN"/>
        </w:rPr>
        <w:t xml:space="preserve"> 乙方应严格遵守国家有关保密规定，对涉及的涉密地质资料负有保密义务。</w:t>
      </w:r>
    </w:p>
    <w:p w14:paraId="4D4CAB62">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ascii="宋体" w:hAnsi="宋体" w:eastAsia="宋体" w:cs="宋体"/>
          <w:b/>
          <w:bCs/>
          <w:color w:val="auto"/>
          <w:kern w:val="0"/>
          <w:highlight w:val="none"/>
          <w:lang w:val="en-US" w:eastAsia="zh-CN"/>
        </w:rPr>
      </w:pPr>
      <w:r>
        <w:rPr>
          <w:rFonts w:hint="eastAsia" w:ascii="宋体" w:hAnsi="宋体" w:eastAsia="宋体" w:cs="宋体"/>
          <w:b/>
          <w:bCs/>
          <w:color w:val="auto"/>
          <w:kern w:val="0"/>
          <w:highlight w:val="none"/>
          <w:lang w:val="zh-CN"/>
        </w:rPr>
        <w:t>九、其他约定：</w:t>
      </w:r>
      <w:r>
        <w:rPr>
          <w:rFonts w:hint="eastAsia" w:ascii="宋体" w:hAnsi="宋体" w:eastAsia="宋体" w:cs="宋体"/>
          <w:b/>
          <w:bCs/>
          <w:color w:val="auto"/>
          <w:kern w:val="0"/>
          <w:highlight w:val="none"/>
          <w:lang w:val="en-US" w:eastAsia="zh-CN"/>
        </w:rPr>
        <w:t>/</w:t>
      </w:r>
    </w:p>
    <w:p w14:paraId="0BEE7CB0">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lang w:val="zh-CN"/>
        </w:rPr>
        <w:t>十、合同争议解决</w:t>
      </w:r>
    </w:p>
    <w:p w14:paraId="15AB1F38">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1.因履行本合同引起的或与本合同有关的争议，甲乙双方应首先通过友好协商解决，如果协商不能解决，可向甲方所在地人民法院提起诉讼。</w:t>
      </w:r>
    </w:p>
    <w:p w14:paraId="5F283732">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kern w:val="0"/>
          <w:highlight w:val="none"/>
        </w:rPr>
      </w:pPr>
      <w:r>
        <w:rPr>
          <w:rFonts w:hint="eastAsia" w:ascii="宋体" w:hAnsi="宋体" w:cs="宋体"/>
          <w:color w:val="auto"/>
          <w:kern w:val="0"/>
          <w:highlight w:val="none"/>
          <w:lang w:val="en-US" w:eastAsia="zh-CN"/>
        </w:rPr>
        <w:t>2</w:t>
      </w:r>
      <w:r>
        <w:rPr>
          <w:rFonts w:hint="eastAsia" w:ascii="宋体" w:hAnsi="宋体" w:eastAsia="宋体" w:cs="宋体"/>
          <w:color w:val="auto"/>
          <w:kern w:val="0"/>
          <w:highlight w:val="none"/>
        </w:rPr>
        <w:t>.</w:t>
      </w:r>
      <w:r>
        <w:rPr>
          <w:rFonts w:hint="eastAsia" w:ascii="宋体" w:hAnsi="宋体" w:eastAsia="宋体" w:cs="宋体"/>
          <w:color w:val="auto"/>
          <w:kern w:val="0"/>
          <w:highlight w:val="none"/>
          <w:lang w:val="zh-CN"/>
        </w:rPr>
        <w:t>诉讼期间，本合同继续履行。</w:t>
      </w:r>
    </w:p>
    <w:p w14:paraId="1C40B9D2">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lang w:val="zh-CN"/>
        </w:rPr>
        <w:t>十一、合同生效及其它</w:t>
      </w:r>
      <w:r>
        <w:rPr>
          <w:rFonts w:hint="eastAsia" w:ascii="宋体" w:hAnsi="宋体" w:eastAsia="宋体" w:cs="宋体"/>
          <w:b/>
          <w:bCs/>
          <w:color w:val="auto"/>
          <w:kern w:val="0"/>
          <w:highlight w:val="none"/>
        </w:rPr>
        <w:t>：</w:t>
      </w:r>
    </w:p>
    <w:p w14:paraId="23A6796D">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1.本合同一式</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份，甲方</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份，乙方</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份 ，采购代理机构</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份。经双方签字，并加盖公章即为生效。</w:t>
      </w:r>
    </w:p>
    <w:p w14:paraId="76F8CD0F">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ascii="Calibri" w:hAnsi="Calibri" w:cs="Calibri"/>
          <w:color w:val="auto"/>
          <w:kern w:val="0"/>
          <w:highlight w:val="none"/>
        </w:rPr>
      </w:pPr>
      <w:r>
        <w:rPr>
          <w:rFonts w:hint="eastAsia" w:ascii="宋体" w:hAnsi="宋体" w:eastAsia="宋体" w:cs="宋体"/>
          <w:color w:val="auto"/>
          <w:kern w:val="0"/>
          <w:highlight w:val="none"/>
        </w:rPr>
        <w:t>2.</w:t>
      </w:r>
      <w:r>
        <w:rPr>
          <w:rFonts w:hint="eastAsia" w:ascii="宋体" w:hAnsi="宋体" w:eastAsia="宋体" w:cs="宋体"/>
          <w:color w:val="auto"/>
          <w:kern w:val="0"/>
          <w:highlight w:val="none"/>
          <w:lang w:val="zh-CN"/>
        </w:rPr>
        <w:t>本合同未尽事宜，按《</w:t>
      </w:r>
      <w:r>
        <w:rPr>
          <w:rFonts w:hint="eastAsia" w:ascii="宋体" w:hAnsi="宋体" w:eastAsia="宋体" w:cs="宋体"/>
          <w:color w:val="auto"/>
          <w:highlight w:val="none"/>
        </w:rPr>
        <w:t>中华人民共和国民法典</w:t>
      </w:r>
      <w:r>
        <w:rPr>
          <w:rFonts w:hint="eastAsia" w:ascii="宋体" w:hAnsi="宋体" w:eastAsia="宋体" w:cs="宋体"/>
          <w:color w:val="auto"/>
          <w:kern w:val="0"/>
          <w:highlight w:val="none"/>
          <w:lang w:val="zh-CN"/>
        </w:rPr>
        <w:t>》有关规定处理。</w:t>
      </w:r>
    </w:p>
    <w:p w14:paraId="1F806C35">
      <w:pPr>
        <w:autoSpaceDE w:val="0"/>
        <w:autoSpaceDN w:val="0"/>
        <w:adjustRightInd w:val="0"/>
        <w:ind w:left="0" w:leftChars="0" w:firstLine="482" w:firstLineChars="200"/>
        <w:rPr>
          <w:rFonts w:ascii="Calibri" w:hAnsi="Calibri" w:cs="Calibri"/>
          <w:b/>
          <w:color w:val="auto"/>
          <w:kern w:val="0"/>
          <w:highlight w:val="none"/>
        </w:rPr>
      </w:pPr>
      <w:r>
        <w:rPr>
          <w:rFonts w:hint="eastAsia" w:ascii="宋体" w:hAnsi="Calibri" w:cs="宋体"/>
          <w:b/>
          <w:color w:val="auto"/>
          <w:kern w:val="0"/>
          <w:highlight w:val="none"/>
          <w:lang w:val="zh-CN"/>
        </w:rPr>
        <w:t>甲方（盖章）：</w:t>
      </w:r>
      <w:r>
        <w:rPr>
          <w:rFonts w:ascii="Calibri" w:hAnsi="Calibri" w:cs="Calibri"/>
          <w:b/>
          <w:color w:val="auto"/>
          <w:kern w:val="0"/>
          <w:highlight w:val="none"/>
        </w:rPr>
        <w:t xml:space="preserve">                  </w:t>
      </w:r>
      <w:r>
        <w:rPr>
          <w:rFonts w:hint="eastAsia" w:ascii="Calibri" w:hAnsi="Calibri" w:cs="Calibri"/>
          <w:b/>
          <w:color w:val="auto"/>
          <w:kern w:val="0"/>
          <w:highlight w:val="none"/>
        </w:rPr>
        <w:t xml:space="preserve">       </w:t>
      </w:r>
      <w:r>
        <w:rPr>
          <w:rFonts w:hint="eastAsia" w:ascii="宋体" w:hAnsi="Calibri" w:cs="宋体"/>
          <w:b/>
          <w:color w:val="auto"/>
          <w:kern w:val="0"/>
          <w:highlight w:val="none"/>
          <w:lang w:val="zh-CN"/>
        </w:rPr>
        <w:t>乙方（盖章）：</w:t>
      </w:r>
    </w:p>
    <w:p w14:paraId="60AE9F30">
      <w:pPr>
        <w:autoSpaceDE w:val="0"/>
        <w:autoSpaceDN w:val="0"/>
        <w:adjustRightInd w:val="0"/>
        <w:spacing w:line="360" w:lineRule="auto"/>
        <w:ind w:firstLine="482"/>
        <w:rPr>
          <w:rFonts w:ascii="Calibri" w:hAnsi="Calibri" w:cs="Calibri"/>
          <w:b/>
          <w:color w:val="auto"/>
          <w:kern w:val="0"/>
          <w:highlight w:val="none"/>
        </w:rPr>
      </w:pPr>
      <w:r>
        <w:rPr>
          <w:rFonts w:hint="eastAsia" w:ascii="宋体" w:hAnsi="Calibri" w:cs="宋体"/>
          <w:b/>
          <w:color w:val="auto"/>
          <w:kern w:val="0"/>
          <w:highlight w:val="none"/>
          <w:lang w:val="zh-CN"/>
        </w:rPr>
        <w:t>法定代表人或委托代理人</w:t>
      </w:r>
      <w:r>
        <w:rPr>
          <w:rFonts w:hint="eastAsia" w:ascii="宋体" w:hAnsi="Calibri" w:cs="宋体"/>
          <w:b/>
          <w:color w:val="auto"/>
          <w:kern w:val="0"/>
          <w:highlight w:val="none"/>
        </w:rPr>
        <w:t>：</w:t>
      </w:r>
      <w:r>
        <w:rPr>
          <w:rFonts w:ascii="Calibri" w:hAnsi="Calibri" w:cs="Calibri"/>
          <w:b/>
          <w:color w:val="auto"/>
          <w:kern w:val="0"/>
          <w:highlight w:val="none"/>
        </w:rPr>
        <w:t xml:space="preserve">      </w:t>
      </w:r>
      <w:r>
        <w:rPr>
          <w:rFonts w:hint="eastAsia" w:ascii="Calibri" w:hAnsi="Calibri" w:cs="Calibri"/>
          <w:b/>
          <w:color w:val="auto"/>
          <w:kern w:val="0"/>
          <w:highlight w:val="none"/>
        </w:rPr>
        <w:t xml:space="preserve">         </w:t>
      </w:r>
      <w:r>
        <w:rPr>
          <w:rFonts w:hint="eastAsia" w:ascii="宋体" w:hAnsi="Calibri" w:cs="宋体"/>
          <w:b/>
          <w:color w:val="auto"/>
          <w:kern w:val="0"/>
          <w:highlight w:val="none"/>
          <w:lang w:val="zh-CN"/>
        </w:rPr>
        <w:t>法定代表人或委托代理人</w:t>
      </w:r>
      <w:r>
        <w:rPr>
          <w:rFonts w:hint="eastAsia" w:ascii="宋体" w:hAnsi="Calibri" w:cs="宋体"/>
          <w:b/>
          <w:color w:val="auto"/>
          <w:kern w:val="0"/>
          <w:highlight w:val="none"/>
        </w:rPr>
        <w:t>：</w:t>
      </w:r>
    </w:p>
    <w:p w14:paraId="321E4273">
      <w:pPr>
        <w:autoSpaceDE w:val="0"/>
        <w:autoSpaceDN w:val="0"/>
        <w:adjustRightInd w:val="0"/>
        <w:spacing w:line="360" w:lineRule="auto"/>
        <w:ind w:firstLine="482"/>
        <w:rPr>
          <w:rFonts w:hint="eastAsia" w:ascii="Calibri" w:hAnsi="Calibri" w:cs="Calibri"/>
          <w:b/>
          <w:color w:val="auto"/>
          <w:kern w:val="0"/>
          <w:highlight w:val="none"/>
        </w:rPr>
      </w:pPr>
      <w:r>
        <w:rPr>
          <w:rFonts w:ascii="Calibri" w:hAnsi="Calibri" w:cs="Calibri"/>
          <w:b/>
          <w:color w:val="auto"/>
          <w:kern w:val="0"/>
          <w:highlight w:val="none"/>
        </w:rPr>
        <w:t xml:space="preserve">           </w:t>
      </w:r>
      <w:r>
        <w:rPr>
          <w:rFonts w:hint="eastAsia" w:ascii="Calibri" w:hAnsi="Calibri" w:cs="Calibri"/>
          <w:b/>
          <w:color w:val="auto"/>
          <w:kern w:val="0"/>
          <w:highlight w:val="none"/>
        </w:rPr>
        <w:t xml:space="preserve"> </w:t>
      </w:r>
      <w:r>
        <w:rPr>
          <w:rFonts w:ascii="Calibri" w:hAnsi="Calibri" w:cs="Calibri"/>
          <w:b/>
          <w:color w:val="auto"/>
          <w:kern w:val="0"/>
          <w:highlight w:val="none"/>
        </w:rPr>
        <w:t xml:space="preserve">  </w:t>
      </w:r>
      <w:r>
        <w:rPr>
          <w:rFonts w:hint="eastAsia" w:ascii="Calibri" w:hAnsi="Calibri" w:cs="Calibri"/>
          <w:b/>
          <w:color w:val="auto"/>
          <w:kern w:val="0"/>
          <w:highlight w:val="none"/>
        </w:rPr>
        <w:t xml:space="preserve">                        </w:t>
      </w:r>
      <w:r>
        <w:rPr>
          <w:rFonts w:ascii="Calibri" w:hAnsi="Calibri" w:cs="Calibri"/>
          <w:b/>
          <w:color w:val="auto"/>
          <w:kern w:val="0"/>
          <w:highlight w:val="none"/>
        </w:rPr>
        <w:t xml:space="preserve"> </w:t>
      </w:r>
      <w:r>
        <w:rPr>
          <w:rFonts w:hint="eastAsia" w:ascii="宋体" w:hAnsi="Calibri" w:cs="宋体"/>
          <w:b/>
          <w:color w:val="auto"/>
          <w:kern w:val="0"/>
          <w:highlight w:val="none"/>
          <w:lang w:val="zh-CN"/>
        </w:rPr>
        <w:t>开户银行：</w:t>
      </w:r>
      <w:r>
        <w:rPr>
          <w:rFonts w:ascii="Calibri" w:hAnsi="Calibri" w:cs="Calibri"/>
          <w:b/>
          <w:color w:val="auto"/>
          <w:kern w:val="0"/>
          <w:highlight w:val="none"/>
        </w:rPr>
        <w:t xml:space="preserve">     </w:t>
      </w:r>
    </w:p>
    <w:p w14:paraId="301486AB">
      <w:pPr>
        <w:autoSpaceDE w:val="0"/>
        <w:autoSpaceDN w:val="0"/>
        <w:adjustRightInd w:val="0"/>
        <w:spacing w:line="360" w:lineRule="auto"/>
        <w:ind w:firstLine="482"/>
        <w:rPr>
          <w:rFonts w:ascii="Calibri" w:hAnsi="Calibri" w:cs="Calibri"/>
          <w:b/>
          <w:color w:val="auto"/>
          <w:kern w:val="0"/>
          <w:highlight w:val="none"/>
        </w:rPr>
      </w:pPr>
      <w:r>
        <w:rPr>
          <w:rFonts w:hint="eastAsia" w:ascii="宋体" w:hAnsi="Calibri" w:cs="宋体"/>
          <w:b/>
          <w:color w:val="auto"/>
          <w:kern w:val="0"/>
          <w:highlight w:val="none"/>
          <w:lang w:val="zh-CN"/>
        </w:rPr>
        <w:t>联系电话：</w:t>
      </w:r>
      <w:r>
        <w:rPr>
          <w:rFonts w:ascii="Calibri" w:hAnsi="Calibri" w:cs="Calibri"/>
          <w:b/>
          <w:color w:val="auto"/>
          <w:kern w:val="0"/>
          <w:highlight w:val="none"/>
        </w:rPr>
        <w:t xml:space="preserve">                   </w:t>
      </w:r>
      <w:r>
        <w:rPr>
          <w:rFonts w:hint="eastAsia" w:ascii="Calibri" w:hAnsi="Calibri" w:cs="Calibri"/>
          <w:b/>
          <w:color w:val="auto"/>
          <w:kern w:val="0"/>
          <w:highlight w:val="none"/>
        </w:rPr>
        <w:t xml:space="preserve">        </w:t>
      </w:r>
      <w:r>
        <w:rPr>
          <w:rFonts w:ascii="Calibri" w:hAnsi="Calibri" w:cs="Calibri"/>
          <w:b/>
          <w:color w:val="auto"/>
          <w:kern w:val="0"/>
          <w:highlight w:val="none"/>
        </w:rPr>
        <w:t xml:space="preserve">  </w:t>
      </w:r>
      <w:r>
        <w:rPr>
          <w:rFonts w:hint="eastAsia" w:ascii="宋体" w:hAnsi="Calibri" w:cs="宋体"/>
          <w:b/>
          <w:color w:val="auto"/>
          <w:kern w:val="0"/>
          <w:highlight w:val="none"/>
          <w:lang w:val="zh-CN"/>
        </w:rPr>
        <w:t>账号：</w:t>
      </w:r>
    </w:p>
    <w:p w14:paraId="758106FC">
      <w:pPr>
        <w:autoSpaceDE w:val="0"/>
        <w:autoSpaceDN w:val="0"/>
        <w:adjustRightInd w:val="0"/>
        <w:spacing w:line="360" w:lineRule="auto"/>
        <w:ind w:firstLine="482"/>
        <w:rPr>
          <w:rFonts w:hint="eastAsia" w:ascii="Calibri" w:hAnsi="Calibri" w:cs="Calibri"/>
          <w:b/>
          <w:color w:val="auto"/>
          <w:kern w:val="0"/>
          <w:highlight w:val="none"/>
        </w:rPr>
      </w:pPr>
      <w:r>
        <w:rPr>
          <w:rFonts w:ascii="Calibri" w:hAnsi="Calibri" w:cs="Calibri"/>
          <w:b/>
          <w:color w:val="auto"/>
          <w:kern w:val="0"/>
          <w:highlight w:val="none"/>
        </w:rPr>
        <w:t xml:space="preserve">                              </w:t>
      </w:r>
      <w:r>
        <w:rPr>
          <w:rFonts w:hint="eastAsia" w:ascii="Calibri" w:hAnsi="Calibri" w:cs="Calibri"/>
          <w:b/>
          <w:color w:val="auto"/>
          <w:kern w:val="0"/>
          <w:highlight w:val="none"/>
        </w:rPr>
        <w:t xml:space="preserve">        </w:t>
      </w:r>
      <w:r>
        <w:rPr>
          <w:rFonts w:ascii="Calibri" w:hAnsi="Calibri" w:cs="Calibri"/>
          <w:b/>
          <w:color w:val="auto"/>
          <w:kern w:val="0"/>
          <w:highlight w:val="none"/>
        </w:rPr>
        <w:t xml:space="preserve"> </w:t>
      </w:r>
      <w:r>
        <w:rPr>
          <w:rFonts w:hint="eastAsia" w:ascii="宋体" w:hAnsi="Calibri" w:cs="宋体"/>
          <w:b/>
          <w:color w:val="auto"/>
          <w:kern w:val="0"/>
          <w:highlight w:val="none"/>
          <w:lang w:val="zh-CN"/>
        </w:rPr>
        <w:t>联系电话：</w:t>
      </w:r>
    </w:p>
    <w:p w14:paraId="18AA5EED">
      <w:pPr>
        <w:autoSpaceDE w:val="0"/>
        <w:autoSpaceDN w:val="0"/>
        <w:adjustRightInd w:val="0"/>
        <w:ind w:firstLine="1325" w:firstLineChars="550"/>
        <w:rPr>
          <w:rFonts w:hint="eastAsia" w:ascii="宋体" w:hAnsi="Calibri" w:cs="宋体"/>
          <w:b/>
          <w:color w:val="auto"/>
          <w:kern w:val="0"/>
          <w:highlight w:val="none"/>
          <w:lang w:val="zh-CN"/>
        </w:rPr>
      </w:pPr>
      <w:r>
        <w:rPr>
          <w:rFonts w:hint="eastAsia" w:ascii="宋体" w:hAnsi="Calibri" w:cs="宋体"/>
          <w:b/>
          <w:color w:val="auto"/>
          <w:kern w:val="0"/>
          <w:highlight w:val="none"/>
          <w:lang w:val="zh-CN"/>
        </w:rPr>
        <w:t>签约时间：</w:t>
      </w:r>
      <w:r>
        <w:rPr>
          <w:rFonts w:ascii="Calibri" w:hAnsi="Calibri" w:cs="Calibri"/>
          <w:b/>
          <w:color w:val="auto"/>
          <w:kern w:val="0"/>
          <w:highlight w:val="none"/>
        </w:rPr>
        <w:t xml:space="preserve">  </w:t>
      </w:r>
      <w:r>
        <w:rPr>
          <w:rFonts w:hint="eastAsia" w:ascii="宋体" w:hAnsi="Calibri" w:cs="宋体"/>
          <w:b/>
          <w:color w:val="auto"/>
          <w:kern w:val="0"/>
          <w:highlight w:val="none"/>
          <w:lang w:val="zh-CN"/>
        </w:rPr>
        <w:t>年</w:t>
      </w:r>
      <w:r>
        <w:rPr>
          <w:rFonts w:ascii="Calibri" w:hAnsi="Calibri" w:cs="Calibri"/>
          <w:b/>
          <w:color w:val="auto"/>
          <w:kern w:val="0"/>
          <w:highlight w:val="none"/>
        </w:rPr>
        <w:t xml:space="preserve">  </w:t>
      </w:r>
      <w:r>
        <w:rPr>
          <w:rFonts w:hint="eastAsia" w:ascii="宋体" w:hAnsi="Calibri" w:cs="宋体"/>
          <w:b/>
          <w:color w:val="auto"/>
          <w:kern w:val="0"/>
          <w:highlight w:val="none"/>
          <w:lang w:val="zh-CN"/>
        </w:rPr>
        <w:t>月</w:t>
      </w:r>
      <w:r>
        <w:rPr>
          <w:rFonts w:ascii="Calibri" w:hAnsi="Calibri" w:cs="Calibri"/>
          <w:b/>
          <w:color w:val="auto"/>
          <w:kern w:val="0"/>
          <w:highlight w:val="none"/>
        </w:rPr>
        <w:t xml:space="preserve">  </w:t>
      </w:r>
      <w:r>
        <w:rPr>
          <w:rFonts w:hint="eastAsia" w:ascii="宋体" w:hAnsi="Calibri" w:cs="宋体"/>
          <w:b/>
          <w:color w:val="auto"/>
          <w:kern w:val="0"/>
          <w:highlight w:val="none"/>
          <w:lang w:val="zh-CN"/>
        </w:rPr>
        <w:t>日</w:t>
      </w:r>
    </w:p>
    <w:p w14:paraId="1535FA8F">
      <w:pPr>
        <w:autoSpaceDE w:val="0"/>
        <w:autoSpaceDN w:val="0"/>
        <w:adjustRightInd w:val="0"/>
        <w:ind w:firstLine="1325" w:firstLineChars="550"/>
        <w:rPr>
          <w:rFonts w:hint="eastAsia" w:ascii="宋体" w:hAnsi="Calibri" w:cs="宋体"/>
          <w:b/>
          <w:color w:val="auto"/>
          <w:kern w:val="0"/>
          <w:highlight w:val="none"/>
          <w:lang w:val="zh-CN"/>
        </w:rPr>
      </w:pPr>
    </w:p>
    <w:p w14:paraId="0CD7C1B8">
      <w:pPr>
        <w:autoSpaceDE w:val="0"/>
        <w:autoSpaceDN w:val="0"/>
        <w:adjustRightInd w:val="0"/>
        <w:ind w:firstLine="1325" w:firstLineChars="550"/>
        <w:rPr>
          <w:rFonts w:hint="eastAsia" w:ascii="宋体" w:hAnsi="Calibri" w:cs="宋体"/>
          <w:b/>
          <w:color w:val="auto"/>
          <w:kern w:val="0"/>
          <w:highlight w:val="none"/>
          <w:lang w:val="zh-CN"/>
        </w:rPr>
      </w:pPr>
    </w:p>
    <w:p w14:paraId="23D118B7">
      <w:pPr>
        <w:autoSpaceDE w:val="0"/>
        <w:autoSpaceDN w:val="0"/>
        <w:adjustRightInd w:val="0"/>
        <w:ind w:firstLine="1325" w:firstLineChars="550"/>
        <w:rPr>
          <w:rFonts w:hint="eastAsia" w:ascii="宋体" w:hAnsi="Calibri" w:cs="宋体"/>
          <w:b/>
          <w:color w:val="auto"/>
          <w:kern w:val="0"/>
          <w:highlight w:val="none"/>
          <w:lang w:val="zh-CN"/>
        </w:rPr>
      </w:pPr>
    </w:p>
    <w:p w14:paraId="12C4A0AE">
      <w:pPr>
        <w:autoSpaceDE w:val="0"/>
        <w:autoSpaceDN w:val="0"/>
        <w:adjustRightInd w:val="0"/>
        <w:ind w:firstLine="1325" w:firstLineChars="550"/>
        <w:rPr>
          <w:rFonts w:hint="eastAsia" w:ascii="宋体" w:hAnsi="Calibri" w:cs="宋体"/>
          <w:b/>
          <w:color w:val="auto"/>
          <w:kern w:val="0"/>
          <w:highlight w:val="none"/>
          <w:lang w:val="zh-CN"/>
        </w:rPr>
      </w:pPr>
    </w:p>
    <w:p w14:paraId="31D6894D">
      <w:pPr>
        <w:autoSpaceDE w:val="0"/>
        <w:autoSpaceDN w:val="0"/>
        <w:adjustRightInd w:val="0"/>
        <w:ind w:firstLine="1325" w:firstLineChars="550"/>
        <w:rPr>
          <w:rFonts w:hint="eastAsia" w:ascii="宋体" w:hAnsi="Calibri" w:cs="宋体"/>
          <w:b/>
          <w:color w:val="auto"/>
          <w:kern w:val="0"/>
          <w:highlight w:val="none"/>
          <w:lang w:val="zh-CN"/>
        </w:rPr>
      </w:pPr>
    </w:p>
    <w:p w14:paraId="1F9BE51A">
      <w:pPr>
        <w:autoSpaceDE w:val="0"/>
        <w:autoSpaceDN w:val="0"/>
        <w:spacing w:line="360" w:lineRule="auto"/>
        <w:rPr>
          <w:rFonts w:cs="Arial"/>
          <w:b/>
          <w:bCs/>
          <w:color w:val="auto"/>
          <w:szCs w:val="24"/>
          <w:highlight w:val="none"/>
        </w:rPr>
      </w:pPr>
      <w:r>
        <w:rPr>
          <w:rFonts w:cs="Arial"/>
          <w:b/>
          <w:bCs/>
          <w:color w:val="auto"/>
          <w:szCs w:val="24"/>
          <w:highlight w:val="none"/>
          <w:lang w:val="zh-CN"/>
        </w:rPr>
        <w:t>采购代理机构：</w:t>
      </w:r>
      <w:r>
        <w:rPr>
          <w:rFonts w:hint="eastAsia" w:cs="Arial"/>
          <w:b/>
          <w:bCs/>
          <w:color w:val="auto"/>
          <w:szCs w:val="24"/>
          <w:highlight w:val="none"/>
          <w:lang w:val="zh-CN"/>
        </w:rPr>
        <w:t>青海海际项目咨询管理有限公司</w:t>
      </w:r>
    </w:p>
    <w:p w14:paraId="560AEAD7">
      <w:pPr>
        <w:autoSpaceDE w:val="0"/>
        <w:autoSpaceDN w:val="0"/>
        <w:spacing w:line="360" w:lineRule="auto"/>
        <w:rPr>
          <w:rFonts w:cs="Arial"/>
          <w:color w:val="auto"/>
          <w:szCs w:val="24"/>
          <w:highlight w:val="none"/>
        </w:rPr>
      </w:pPr>
      <w:r>
        <w:rPr>
          <w:rFonts w:cs="Arial"/>
          <w:color w:val="auto"/>
          <w:szCs w:val="24"/>
          <w:highlight w:val="none"/>
          <w:lang w:val="zh-CN"/>
        </w:rPr>
        <w:t>负责人或经办人：</w:t>
      </w:r>
    </w:p>
    <w:p w14:paraId="4243815D">
      <w:pPr>
        <w:autoSpaceDE w:val="0"/>
        <w:autoSpaceDN w:val="0"/>
        <w:spacing w:line="360" w:lineRule="auto"/>
        <w:rPr>
          <w:rFonts w:cs="Arial"/>
          <w:color w:val="auto"/>
          <w:szCs w:val="24"/>
          <w:highlight w:val="none"/>
          <w:lang w:val="zh-CN"/>
        </w:rPr>
      </w:pPr>
      <w:r>
        <w:rPr>
          <w:rFonts w:cs="Arial"/>
          <w:color w:val="auto"/>
          <w:szCs w:val="24"/>
          <w:highlight w:val="none"/>
          <w:lang w:val="zh-CN"/>
        </w:rPr>
        <w:t>合同备案时间：</w:t>
      </w:r>
      <w:r>
        <w:rPr>
          <w:rFonts w:cs="Arial"/>
          <w:color w:val="auto"/>
          <w:szCs w:val="24"/>
          <w:highlight w:val="none"/>
        </w:rPr>
        <w:t xml:space="preserve">      </w:t>
      </w:r>
      <w:r>
        <w:rPr>
          <w:rFonts w:cs="Arial"/>
          <w:color w:val="auto"/>
          <w:szCs w:val="24"/>
          <w:highlight w:val="none"/>
          <w:lang w:val="zh-CN"/>
        </w:rPr>
        <w:t>年</w:t>
      </w:r>
      <w:r>
        <w:rPr>
          <w:rFonts w:cs="Arial"/>
          <w:color w:val="auto"/>
          <w:szCs w:val="24"/>
          <w:highlight w:val="none"/>
        </w:rPr>
        <w:t xml:space="preserve">     </w:t>
      </w:r>
      <w:r>
        <w:rPr>
          <w:rFonts w:cs="Arial"/>
          <w:color w:val="auto"/>
          <w:szCs w:val="24"/>
          <w:highlight w:val="none"/>
          <w:lang w:val="zh-CN"/>
        </w:rPr>
        <w:t>月</w:t>
      </w:r>
      <w:r>
        <w:rPr>
          <w:rFonts w:cs="Arial"/>
          <w:color w:val="auto"/>
          <w:szCs w:val="24"/>
          <w:highlight w:val="none"/>
        </w:rPr>
        <w:t xml:space="preserve">     </w:t>
      </w:r>
      <w:r>
        <w:rPr>
          <w:rFonts w:cs="Arial"/>
          <w:color w:val="auto"/>
          <w:szCs w:val="24"/>
          <w:highlight w:val="none"/>
          <w:lang w:val="zh-CN"/>
        </w:rPr>
        <w:t>日</w:t>
      </w:r>
    </w:p>
    <w:p w14:paraId="24E74417">
      <w:pPr>
        <w:ind w:left="0" w:leftChars="0" w:firstLine="0" w:firstLineChars="0"/>
        <w:rPr>
          <w:color w:val="auto"/>
          <w:highlight w:val="none"/>
        </w:rPr>
      </w:pPr>
    </w:p>
    <w:p w14:paraId="25397658">
      <w:pPr>
        <w:autoSpaceDE w:val="0"/>
        <w:autoSpaceDN w:val="0"/>
        <w:adjustRightInd w:val="0"/>
        <w:ind w:firstLine="482"/>
        <w:rPr>
          <w:rFonts w:hint="eastAsia" w:ascii="宋体" w:hAnsi="Calibri" w:cs="宋体"/>
          <w:b/>
          <w:color w:val="auto"/>
          <w:kern w:val="0"/>
          <w:highlight w:val="none"/>
          <w:lang w:val="zh-CN"/>
        </w:rPr>
      </w:pPr>
    </w:p>
    <w:p w14:paraId="47CC0144">
      <w:pPr>
        <w:rPr>
          <w:rFonts w:cs="Arial"/>
          <w:b/>
          <w:bCs/>
          <w:color w:val="auto"/>
          <w:szCs w:val="24"/>
          <w:highlight w:val="none"/>
        </w:rPr>
      </w:pPr>
    </w:p>
    <w:p w14:paraId="72504300">
      <w:pPr>
        <w:rPr>
          <w:rFonts w:cs="Arial"/>
          <w:b/>
          <w:bCs/>
          <w:color w:val="auto"/>
          <w:sz w:val="28"/>
          <w:szCs w:val="28"/>
          <w:highlight w:val="none"/>
          <w:lang w:val="zh-CN"/>
        </w:rPr>
      </w:pPr>
      <w:r>
        <w:rPr>
          <w:rFonts w:cs="Arial"/>
          <w:b/>
          <w:bCs/>
          <w:color w:val="auto"/>
          <w:sz w:val="28"/>
          <w:szCs w:val="28"/>
          <w:highlight w:val="none"/>
          <w:lang w:val="zh-CN"/>
        </w:rPr>
        <w:br w:type="page"/>
      </w:r>
    </w:p>
    <w:bookmarkEnd w:id="292"/>
    <w:p w14:paraId="78CC750D">
      <w:pPr>
        <w:keepNext/>
        <w:keepLines/>
        <w:widowControl/>
        <w:snapToGrid w:val="0"/>
        <w:spacing w:line="400" w:lineRule="atLeast"/>
        <w:ind w:firstLine="2187" w:firstLineChars="605"/>
        <w:outlineLvl w:val="0"/>
        <w:rPr>
          <w:rFonts w:hint="eastAsia" w:ascii="宋体"/>
          <w:b/>
          <w:color w:val="auto"/>
          <w:kern w:val="28"/>
          <w:sz w:val="36"/>
          <w:szCs w:val="20"/>
          <w:highlight w:val="none"/>
        </w:rPr>
      </w:pPr>
      <w:bookmarkStart w:id="297" w:name="_Toc28107"/>
      <w:bookmarkStart w:id="298" w:name="_Toc21139"/>
      <w:bookmarkStart w:id="299" w:name="_Toc496004028"/>
      <w:bookmarkStart w:id="300" w:name="_Toc59135346"/>
      <w:bookmarkStart w:id="301" w:name="_Toc28986"/>
      <w:r>
        <w:rPr>
          <w:rFonts w:hint="eastAsia" w:ascii="宋体"/>
          <w:b/>
          <w:color w:val="auto"/>
          <w:kern w:val="28"/>
          <w:sz w:val="36"/>
          <w:szCs w:val="20"/>
          <w:highlight w:val="none"/>
        </w:rPr>
        <w:t>第</w:t>
      </w:r>
      <w:r>
        <w:rPr>
          <w:rFonts w:hint="eastAsia" w:ascii="宋体"/>
          <w:b/>
          <w:color w:val="auto"/>
          <w:kern w:val="28"/>
          <w:sz w:val="36"/>
          <w:szCs w:val="20"/>
          <w:highlight w:val="none"/>
          <w:lang w:val="en-US" w:eastAsia="zh-CN"/>
        </w:rPr>
        <w:t>五</w:t>
      </w:r>
      <w:r>
        <w:rPr>
          <w:rFonts w:hint="eastAsia" w:ascii="宋体"/>
          <w:b/>
          <w:color w:val="auto"/>
          <w:kern w:val="28"/>
          <w:sz w:val="36"/>
          <w:szCs w:val="20"/>
          <w:highlight w:val="none"/>
        </w:rPr>
        <w:t>部分</w:t>
      </w:r>
      <w:r>
        <w:rPr>
          <w:rFonts w:ascii="宋体"/>
          <w:b/>
          <w:color w:val="auto"/>
          <w:kern w:val="28"/>
          <w:sz w:val="36"/>
          <w:szCs w:val="20"/>
          <w:highlight w:val="none"/>
        </w:rPr>
        <w:t xml:space="preserve">  </w:t>
      </w:r>
      <w:r>
        <w:rPr>
          <w:rFonts w:hint="eastAsia" w:ascii="宋体"/>
          <w:b/>
          <w:color w:val="auto"/>
          <w:kern w:val="28"/>
          <w:sz w:val="36"/>
          <w:szCs w:val="20"/>
          <w:highlight w:val="none"/>
        </w:rPr>
        <w:t>磋商响应文件格式</w:t>
      </w:r>
      <w:bookmarkEnd w:id="297"/>
      <w:bookmarkEnd w:id="298"/>
      <w:bookmarkEnd w:id="299"/>
    </w:p>
    <w:p w14:paraId="6193FAD7">
      <w:pPr>
        <w:keepNext/>
        <w:keepLines/>
        <w:widowControl/>
        <w:snapToGrid w:val="0"/>
        <w:spacing w:line="400" w:lineRule="atLeast"/>
        <w:ind w:firstLine="0" w:firstLineChars="0"/>
        <w:outlineLvl w:val="0"/>
        <w:rPr>
          <w:rFonts w:hint="eastAsia" w:ascii="宋体"/>
          <w:b/>
          <w:color w:val="auto"/>
          <w:kern w:val="28"/>
          <w:sz w:val="36"/>
          <w:szCs w:val="20"/>
          <w:highlight w:val="none"/>
        </w:rPr>
      </w:pPr>
    </w:p>
    <w:p w14:paraId="26D462A2">
      <w:pPr>
        <w:spacing w:line="500" w:lineRule="exact"/>
        <w:ind w:firstLine="480"/>
        <w:rPr>
          <w:rFonts w:hint="default" w:ascii="宋体" w:hAnsi="宋体" w:eastAsia="宋体"/>
          <w:color w:val="auto"/>
          <w:highlight w:val="none"/>
          <w:lang w:val="en-US" w:eastAsia="zh-CN"/>
        </w:rPr>
      </w:pPr>
      <w:r>
        <w:rPr>
          <w:rFonts w:hint="eastAsia" w:ascii="宋体" w:hAnsi="宋体"/>
          <w:color w:val="auto"/>
          <w:highlight w:val="none"/>
        </w:rPr>
        <w:t>（一）资格审查部分</w:t>
      </w:r>
      <w:r>
        <w:rPr>
          <w:rFonts w:hint="eastAsia" w:ascii="宋体" w:hAnsi="宋体"/>
          <w:color w:val="auto"/>
          <w:highlight w:val="none"/>
          <w:lang w:eastAsia="zh-CN"/>
        </w:rPr>
        <w:t>（</w:t>
      </w:r>
      <w:r>
        <w:rPr>
          <w:rFonts w:hint="eastAsia" w:ascii="宋体" w:hAnsi="宋体"/>
          <w:color w:val="auto"/>
          <w:highlight w:val="none"/>
          <w:lang w:val="en-US" w:eastAsia="zh-CN"/>
        </w:rPr>
        <w:t>上册）</w:t>
      </w:r>
    </w:p>
    <w:p w14:paraId="35053DD0">
      <w:pPr>
        <w:numPr>
          <w:ilvl w:val="0"/>
          <w:numId w:val="11"/>
        </w:numPr>
        <w:autoSpaceDE w:val="0"/>
        <w:autoSpaceDN w:val="0"/>
        <w:ind w:left="244" w:leftChars="100" w:hanging="4" w:firstLineChars="0"/>
        <w:jc w:val="left"/>
        <w:rPr>
          <w:rFonts w:cs="Arial"/>
          <w:color w:val="auto"/>
          <w:highlight w:val="none"/>
          <w:lang w:val="zh-CN"/>
        </w:rPr>
      </w:pPr>
      <w:r>
        <w:rPr>
          <w:rFonts w:cs="Arial"/>
          <w:color w:val="auto"/>
          <w:highlight w:val="none"/>
        </w:rPr>
        <w:t>磋商</w:t>
      </w:r>
      <w:r>
        <w:rPr>
          <w:rFonts w:cs="Arial"/>
          <w:color w:val="auto"/>
          <w:highlight w:val="none"/>
          <w:lang w:val="zh-CN"/>
        </w:rPr>
        <w:t>函……………………………………………………………所在页码</w:t>
      </w:r>
    </w:p>
    <w:p w14:paraId="7EAFC0E2">
      <w:pPr>
        <w:numPr>
          <w:ilvl w:val="0"/>
          <w:numId w:val="11"/>
        </w:numPr>
        <w:autoSpaceDE w:val="0"/>
        <w:autoSpaceDN w:val="0"/>
        <w:ind w:left="244" w:leftChars="100" w:hanging="4" w:firstLineChars="0"/>
        <w:jc w:val="left"/>
        <w:rPr>
          <w:rFonts w:cs="Arial"/>
          <w:color w:val="auto"/>
          <w:highlight w:val="none"/>
          <w:lang w:val="zh-CN"/>
        </w:rPr>
      </w:pPr>
      <w:r>
        <w:rPr>
          <w:rFonts w:cs="Arial"/>
          <w:color w:val="auto"/>
          <w:highlight w:val="none"/>
          <w:lang w:val="zh-CN"/>
        </w:rPr>
        <w:t>法定代表人证明书………………………………………………所在页码</w:t>
      </w:r>
    </w:p>
    <w:p w14:paraId="63270876">
      <w:pPr>
        <w:numPr>
          <w:ilvl w:val="0"/>
          <w:numId w:val="11"/>
        </w:numPr>
        <w:autoSpaceDE w:val="0"/>
        <w:autoSpaceDN w:val="0"/>
        <w:ind w:left="244" w:leftChars="100" w:hanging="4" w:firstLineChars="0"/>
        <w:jc w:val="left"/>
        <w:rPr>
          <w:rFonts w:cs="Arial"/>
          <w:color w:val="auto"/>
          <w:highlight w:val="none"/>
          <w:lang w:val="zh-CN"/>
        </w:rPr>
      </w:pPr>
      <w:r>
        <w:rPr>
          <w:rFonts w:cs="Arial"/>
          <w:color w:val="auto"/>
          <w:highlight w:val="none"/>
          <w:lang w:val="zh-CN"/>
        </w:rPr>
        <w:t>法定代表人授权书………………………………………………所在页码</w:t>
      </w:r>
    </w:p>
    <w:p w14:paraId="7C165D98">
      <w:pPr>
        <w:numPr>
          <w:ilvl w:val="0"/>
          <w:numId w:val="11"/>
        </w:numPr>
        <w:autoSpaceDE w:val="0"/>
        <w:autoSpaceDN w:val="0"/>
        <w:ind w:left="244" w:leftChars="100" w:hanging="4" w:firstLineChars="0"/>
        <w:jc w:val="left"/>
        <w:rPr>
          <w:rFonts w:hint="eastAsia" w:cs="Arial"/>
          <w:color w:val="auto"/>
          <w:highlight w:val="none"/>
          <w:lang w:val="zh-CN"/>
        </w:rPr>
      </w:pPr>
      <w:r>
        <w:rPr>
          <w:rFonts w:hint="eastAsia" w:cs="Arial"/>
          <w:color w:val="auto"/>
          <w:highlight w:val="none"/>
          <w:lang w:val="zh-CN" w:eastAsia="zh-CN"/>
        </w:rPr>
        <w:t>联合体</w:t>
      </w:r>
      <w:r>
        <w:rPr>
          <w:rFonts w:hint="eastAsia" w:eastAsia="宋体" w:cs="Arial"/>
          <w:color w:val="auto"/>
          <w:highlight w:val="none"/>
          <w:lang w:val="zh-CN" w:eastAsia="zh-CN"/>
        </w:rPr>
        <w:t>协议书（</w:t>
      </w:r>
      <w:r>
        <w:rPr>
          <w:rFonts w:hint="eastAsia" w:eastAsia="宋体" w:cs="Arial"/>
          <w:color w:val="auto"/>
          <w:highlight w:val="none"/>
          <w:lang w:val="en-US" w:eastAsia="zh-CN"/>
        </w:rPr>
        <w:t>如有）</w:t>
      </w:r>
      <w:r>
        <w:rPr>
          <w:rFonts w:cs="Arial"/>
          <w:color w:val="auto"/>
          <w:highlight w:val="none"/>
          <w:lang w:val="zh-CN"/>
        </w:rPr>
        <w:t>…………………………………………</w:t>
      </w:r>
      <w:r>
        <w:rPr>
          <w:rFonts w:hint="eastAsia" w:eastAsia="宋体" w:cs="Arial"/>
          <w:color w:val="auto"/>
          <w:highlight w:val="none"/>
          <w:lang w:val="zh-CN"/>
        </w:rPr>
        <w:t>所</w:t>
      </w:r>
      <w:r>
        <w:rPr>
          <w:rFonts w:hint="eastAsia" w:cs="Arial"/>
          <w:color w:val="auto"/>
          <w:highlight w:val="none"/>
          <w:lang w:val="zh-CN"/>
        </w:rPr>
        <w:t>在页码</w:t>
      </w:r>
    </w:p>
    <w:p w14:paraId="46F598FA">
      <w:pPr>
        <w:numPr>
          <w:ilvl w:val="0"/>
          <w:numId w:val="11"/>
        </w:numPr>
        <w:autoSpaceDE w:val="0"/>
        <w:autoSpaceDN w:val="0"/>
        <w:ind w:left="244" w:leftChars="100" w:hanging="4" w:firstLineChars="0"/>
        <w:jc w:val="left"/>
        <w:rPr>
          <w:rFonts w:cs="Arial"/>
          <w:color w:val="auto"/>
          <w:highlight w:val="none"/>
          <w:lang w:val="zh-CN"/>
        </w:rPr>
      </w:pPr>
      <w:r>
        <w:rPr>
          <w:rFonts w:cs="Arial"/>
          <w:color w:val="auto"/>
          <w:highlight w:val="none"/>
          <w:lang w:val="zh-CN"/>
        </w:rPr>
        <w:t>投标供应商承诺</w:t>
      </w:r>
      <w:r>
        <w:rPr>
          <w:rFonts w:hint="eastAsia" w:cs="Arial"/>
          <w:color w:val="auto"/>
          <w:highlight w:val="none"/>
          <w:lang w:val="en-US" w:eastAsia="zh-CN"/>
        </w:rPr>
        <w:t>函</w:t>
      </w:r>
      <w:r>
        <w:rPr>
          <w:rFonts w:cs="Arial"/>
          <w:color w:val="auto"/>
          <w:highlight w:val="none"/>
          <w:lang w:val="zh-CN"/>
        </w:rPr>
        <w:t>………………………………………………所在页码</w:t>
      </w:r>
    </w:p>
    <w:p w14:paraId="6BFF9246">
      <w:pPr>
        <w:numPr>
          <w:ilvl w:val="0"/>
          <w:numId w:val="11"/>
        </w:numPr>
        <w:autoSpaceDE w:val="0"/>
        <w:autoSpaceDN w:val="0"/>
        <w:ind w:left="244" w:leftChars="100" w:hanging="4" w:firstLineChars="0"/>
        <w:jc w:val="left"/>
        <w:rPr>
          <w:rFonts w:cs="Arial"/>
          <w:color w:val="auto"/>
          <w:highlight w:val="none"/>
          <w:lang w:val="zh-CN"/>
        </w:rPr>
      </w:pPr>
      <w:r>
        <w:rPr>
          <w:rFonts w:cs="Arial"/>
          <w:color w:val="auto"/>
          <w:highlight w:val="none"/>
          <w:lang w:val="zh-CN"/>
        </w:rPr>
        <w:t>供应商诚信承诺</w:t>
      </w:r>
      <w:r>
        <w:rPr>
          <w:rFonts w:hint="eastAsia" w:cs="Arial"/>
          <w:color w:val="auto"/>
          <w:highlight w:val="none"/>
          <w:lang w:val="en-US" w:eastAsia="zh-CN"/>
        </w:rPr>
        <w:t>书</w:t>
      </w:r>
      <w:r>
        <w:rPr>
          <w:rFonts w:cs="Arial"/>
          <w:color w:val="auto"/>
          <w:highlight w:val="none"/>
          <w:lang w:val="zh-CN"/>
        </w:rPr>
        <w:t>………………………………………………所在页码</w:t>
      </w:r>
    </w:p>
    <w:p w14:paraId="237288EF">
      <w:pPr>
        <w:numPr>
          <w:ilvl w:val="0"/>
          <w:numId w:val="11"/>
        </w:numPr>
        <w:autoSpaceDE w:val="0"/>
        <w:autoSpaceDN w:val="0"/>
        <w:ind w:left="244" w:leftChars="100" w:hanging="4" w:firstLineChars="0"/>
        <w:jc w:val="left"/>
        <w:rPr>
          <w:rFonts w:cs="Arial"/>
          <w:color w:val="auto"/>
          <w:highlight w:val="none"/>
          <w:lang w:val="zh-CN"/>
        </w:rPr>
      </w:pPr>
      <w:r>
        <w:rPr>
          <w:rFonts w:cs="Arial"/>
          <w:color w:val="auto"/>
          <w:highlight w:val="none"/>
          <w:lang w:val="zh-CN"/>
        </w:rPr>
        <w:t>资格证明材料……………………………………………………所在页码</w:t>
      </w:r>
    </w:p>
    <w:p w14:paraId="74511BCA">
      <w:pPr>
        <w:numPr>
          <w:ilvl w:val="0"/>
          <w:numId w:val="11"/>
        </w:numPr>
        <w:autoSpaceDE w:val="0"/>
        <w:autoSpaceDN w:val="0"/>
        <w:ind w:left="244" w:leftChars="100" w:hanging="4" w:firstLineChars="0"/>
        <w:jc w:val="left"/>
        <w:rPr>
          <w:rFonts w:cs="Arial"/>
          <w:color w:val="auto"/>
          <w:highlight w:val="none"/>
          <w:lang w:val="zh-CN"/>
        </w:rPr>
      </w:pPr>
      <w:r>
        <w:rPr>
          <w:rFonts w:cs="Arial"/>
          <w:color w:val="auto"/>
          <w:highlight w:val="none"/>
          <w:lang w:val="zh-CN"/>
        </w:rPr>
        <w:t>财务状况、缴纳税收和社会保障资金证明……………………所在页码</w:t>
      </w:r>
    </w:p>
    <w:p w14:paraId="42C7942B">
      <w:pPr>
        <w:numPr>
          <w:ilvl w:val="0"/>
          <w:numId w:val="11"/>
        </w:numPr>
        <w:autoSpaceDE w:val="0"/>
        <w:autoSpaceDN w:val="0"/>
        <w:ind w:left="244" w:leftChars="100" w:hanging="4" w:firstLineChars="0"/>
        <w:jc w:val="left"/>
        <w:rPr>
          <w:rFonts w:cs="Arial"/>
          <w:color w:val="auto"/>
          <w:highlight w:val="none"/>
          <w:lang w:val="zh-CN"/>
        </w:rPr>
      </w:pPr>
      <w:r>
        <w:rPr>
          <w:rFonts w:cs="Arial"/>
          <w:color w:val="auto"/>
          <w:highlight w:val="none"/>
          <w:lang w:val="zh-CN"/>
        </w:rPr>
        <w:t>具备履行合同所必须的设备和专业技术能力证明……………所在页码</w:t>
      </w:r>
    </w:p>
    <w:p w14:paraId="3E8991C0">
      <w:pPr>
        <w:numPr>
          <w:ilvl w:val="0"/>
          <w:numId w:val="11"/>
        </w:numPr>
        <w:autoSpaceDE w:val="0"/>
        <w:autoSpaceDN w:val="0"/>
        <w:ind w:left="244" w:leftChars="100" w:hanging="4" w:firstLineChars="0"/>
        <w:jc w:val="left"/>
        <w:rPr>
          <w:rFonts w:cs="Arial"/>
          <w:color w:val="auto"/>
          <w:highlight w:val="none"/>
          <w:lang w:val="zh-CN"/>
        </w:rPr>
      </w:pPr>
      <w:r>
        <w:rPr>
          <w:rFonts w:cs="Arial"/>
          <w:color w:val="auto"/>
          <w:highlight w:val="none"/>
          <w:lang w:val="zh-CN"/>
        </w:rPr>
        <w:t>无重大违法记录声明……………………………………………所在页码</w:t>
      </w:r>
    </w:p>
    <w:p w14:paraId="6385C61D">
      <w:pPr>
        <w:numPr>
          <w:ilvl w:val="0"/>
          <w:numId w:val="11"/>
        </w:numPr>
        <w:autoSpaceDE w:val="0"/>
        <w:autoSpaceDN w:val="0"/>
        <w:ind w:left="244" w:leftChars="100" w:hanging="4" w:firstLineChars="0"/>
        <w:jc w:val="left"/>
        <w:rPr>
          <w:rFonts w:cs="Arial"/>
          <w:color w:val="auto"/>
          <w:highlight w:val="none"/>
          <w:lang w:val="zh-CN"/>
        </w:rPr>
      </w:pPr>
      <w:r>
        <w:rPr>
          <w:rFonts w:cs="Arial"/>
          <w:color w:val="auto"/>
          <w:highlight w:val="none"/>
          <w:lang w:val="zh-CN"/>
        </w:rPr>
        <w:t>磋商保证金证明…………………………………</w:t>
      </w:r>
      <w:r>
        <w:rPr>
          <w:rFonts w:hint="eastAsia" w:cs="Arial"/>
          <w:color w:val="auto"/>
          <w:highlight w:val="none"/>
          <w:lang w:val="zh-CN"/>
        </w:rPr>
        <w:t>....</w:t>
      </w:r>
      <w:r>
        <w:rPr>
          <w:rFonts w:cs="Arial"/>
          <w:color w:val="auto"/>
          <w:highlight w:val="none"/>
          <w:lang w:val="zh-CN"/>
        </w:rPr>
        <w:t>…</w:t>
      </w:r>
      <w:r>
        <w:rPr>
          <w:rFonts w:hint="eastAsia" w:cs="Arial"/>
          <w:color w:val="auto"/>
          <w:highlight w:val="none"/>
          <w:lang w:val="zh-CN"/>
        </w:rPr>
        <w:t>....</w:t>
      </w:r>
      <w:r>
        <w:rPr>
          <w:rFonts w:cs="Arial"/>
          <w:color w:val="auto"/>
          <w:highlight w:val="none"/>
          <w:lang w:val="zh-CN"/>
        </w:rPr>
        <w:t>……所在页码</w:t>
      </w:r>
    </w:p>
    <w:p w14:paraId="732719BA">
      <w:pPr>
        <w:spacing w:line="500" w:lineRule="exact"/>
        <w:ind w:firstLine="480"/>
        <w:rPr>
          <w:rFonts w:hint="default" w:ascii="宋体" w:hAnsi="宋体" w:eastAsia="宋体"/>
          <w:color w:val="auto"/>
          <w:highlight w:val="none"/>
          <w:lang w:val="en-US" w:eastAsia="zh-CN"/>
        </w:rPr>
      </w:pPr>
      <w:r>
        <w:rPr>
          <w:rFonts w:hint="eastAsia" w:ascii="宋体" w:hAnsi="宋体"/>
          <w:color w:val="auto"/>
          <w:highlight w:val="none"/>
        </w:rPr>
        <w:t>（二）符合性审查部分</w:t>
      </w:r>
      <w:r>
        <w:rPr>
          <w:rFonts w:hint="eastAsia" w:ascii="宋体" w:hAnsi="宋体"/>
          <w:color w:val="auto"/>
          <w:highlight w:val="none"/>
          <w:lang w:eastAsia="zh-CN"/>
        </w:rPr>
        <w:t>（</w:t>
      </w:r>
      <w:r>
        <w:rPr>
          <w:rFonts w:hint="eastAsia" w:ascii="宋体" w:hAnsi="宋体"/>
          <w:color w:val="auto"/>
          <w:highlight w:val="none"/>
          <w:lang w:val="en-US" w:eastAsia="zh-CN"/>
        </w:rPr>
        <w:t>下册）</w:t>
      </w:r>
    </w:p>
    <w:p w14:paraId="3027BB90">
      <w:pPr>
        <w:numPr>
          <w:ilvl w:val="0"/>
          <w:numId w:val="11"/>
        </w:numPr>
        <w:autoSpaceDE w:val="0"/>
        <w:autoSpaceDN w:val="0"/>
        <w:ind w:left="244" w:leftChars="100" w:hanging="4" w:firstLineChars="0"/>
        <w:jc w:val="left"/>
        <w:rPr>
          <w:rFonts w:hint="eastAsia" w:cs="Arial"/>
          <w:color w:val="auto"/>
          <w:highlight w:val="none"/>
          <w:lang w:val="zh-CN"/>
        </w:rPr>
      </w:pPr>
      <w:r>
        <w:rPr>
          <w:rFonts w:hint="eastAsia" w:cs="Arial"/>
          <w:color w:val="auto"/>
          <w:highlight w:val="none"/>
          <w:lang w:val="en-US" w:eastAsia="zh-CN"/>
        </w:rPr>
        <w:t>报价一览表</w:t>
      </w:r>
      <w:r>
        <w:rPr>
          <w:rFonts w:hint="eastAsia" w:cs="Arial"/>
          <w:color w:val="auto"/>
          <w:highlight w:val="none"/>
          <w:lang w:val="zh-CN"/>
        </w:rPr>
        <w:t>……………………………………………………</w:t>
      </w:r>
      <w:r>
        <w:rPr>
          <w:rFonts w:cs="Arial"/>
          <w:color w:val="auto"/>
          <w:highlight w:val="none"/>
          <w:lang w:val="zh-CN"/>
        </w:rPr>
        <w:t>所在页码</w:t>
      </w:r>
    </w:p>
    <w:p w14:paraId="7545748A">
      <w:pPr>
        <w:numPr>
          <w:ilvl w:val="0"/>
          <w:numId w:val="11"/>
        </w:numPr>
        <w:autoSpaceDE w:val="0"/>
        <w:autoSpaceDN w:val="0"/>
        <w:ind w:left="244" w:leftChars="100" w:hanging="4" w:firstLineChars="0"/>
        <w:jc w:val="left"/>
        <w:rPr>
          <w:rFonts w:hint="eastAsia" w:cs="Arial"/>
          <w:color w:val="auto"/>
          <w:highlight w:val="none"/>
          <w:lang w:val="zh-CN"/>
        </w:rPr>
      </w:pPr>
      <w:r>
        <w:rPr>
          <w:rFonts w:hint="eastAsia" w:cs="Arial"/>
          <w:color w:val="auto"/>
          <w:highlight w:val="none"/>
          <w:lang w:val="zh-CN"/>
        </w:rPr>
        <w:t>分项报价表………………………………………………………</w:t>
      </w:r>
      <w:r>
        <w:rPr>
          <w:rFonts w:cs="Arial"/>
          <w:color w:val="auto"/>
          <w:highlight w:val="none"/>
          <w:lang w:val="zh-CN"/>
        </w:rPr>
        <w:t>所在页码</w:t>
      </w:r>
    </w:p>
    <w:p w14:paraId="53EDE0BC">
      <w:pPr>
        <w:numPr>
          <w:ilvl w:val="0"/>
          <w:numId w:val="11"/>
        </w:numPr>
        <w:autoSpaceDE w:val="0"/>
        <w:autoSpaceDN w:val="0"/>
        <w:ind w:left="244" w:leftChars="100" w:hanging="4" w:firstLineChars="0"/>
        <w:jc w:val="left"/>
        <w:rPr>
          <w:rFonts w:hint="eastAsia" w:cs="Arial"/>
          <w:color w:val="auto"/>
          <w:highlight w:val="none"/>
          <w:lang w:val="zh-CN"/>
        </w:rPr>
      </w:pPr>
      <w:r>
        <w:rPr>
          <w:rFonts w:hint="eastAsia" w:cs="Arial"/>
          <w:color w:val="auto"/>
          <w:highlight w:val="none"/>
          <w:lang w:val="zh-CN"/>
        </w:rPr>
        <w:t>其他资格证明材料………………………………………………</w:t>
      </w:r>
      <w:r>
        <w:rPr>
          <w:rFonts w:cs="Arial"/>
          <w:color w:val="auto"/>
          <w:highlight w:val="none"/>
          <w:lang w:val="zh-CN"/>
        </w:rPr>
        <w:t>所在页码</w:t>
      </w:r>
    </w:p>
    <w:p w14:paraId="0E5C081A">
      <w:pPr>
        <w:numPr>
          <w:ilvl w:val="0"/>
          <w:numId w:val="11"/>
        </w:numPr>
        <w:autoSpaceDE w:val="0"/>
        <w:autoSpaceDN w:val="0"/>
        <w:ind w:left="244" w:leftChars="100" w:hanging="4" w:firstLineChars="0"/>
        <w:jc w:val="left"/>
        <w:rPr>
          <w:rFonts w:hint="eastAsia" w:cs="Arial"/>
          <w:color w:val="auto"/>
          <w:highlight w:val="none"/>
          <w:lang w:val="zh-CN"/>
        </w:rPr>
      </w:pPr>
      <w:r>
        <w:rPr>
          <w:rFonts w:hint="eastAsia" w:cs="Arial"/>
          <w:color w:val="auto"/>
          <w:highlight w:val="none"/>
          <w:lang w:val="zh-CN"/>
        </w:rPr>
        <w:t>技术服务方案及质量保障………………………………………</w:t>
      </w:r>
      <w:r>
        <w:rPr>
          <w:rFonts w:cs="Arial"/>
          <w:color w:val="auto"/>
          <w:highlight w:val="none"/>
          <w:lang w:val="zh-CN"/>
        </w:rPr>
        <w:t>所在页码</w:t>
      </w:r>
    </w:p>
    <w:p w14:paraId="1AF8342A">
      <w:pPr>
        <w:numPr>
          <w:ilvl w:val="0"/>
          <w:numId w:val="11"/>
        </w:numPr>
        <w:autoSpaceDE w:val="0"/>
        <w:autoSpaceDN w:val="0"/>
        <w:ind w:left="244" w:leftChars="100" w:hanging="4" w:firstLineChars="0"/>
        <w:jc w:val="left"/>
        <w:rPr>
          <w:rFonts w:hint="eastAsia" w:cs="Arial"/>
          <w:color w:val="auto"/>
          <w:highlight w:val="none"/>
          <w:lang w:val="zh-CN"/>
        </w:rPr>
      </w:pPr>
      <w:r>
        <w:rPr>
          <w:rFonts w:hint="eastAsia" w:cs="Arial"/>
          <w:color w:val="auto"/>
          <w:highlight w:val="none"/>
          <w:lang w:val="zh-CN"/>
        </w:rPr>
        <w:t>供应商类似业绩证明材料………………………………………</w:t>
      </w:r>
      <w:r>
        <w:rPr>
          <w:rFonts w:cs="Arial"/>
          <w:color w:val="auto"/>
          <w:highlight w:val="none"/>
          <w:lang w:val="zh-CN"/>
        </w:rPr>
        <w:t>所在页码</w:t>
      </w:r>
    </w:p>
    <w:p w14:paraId="38858098">
      <w:pPr>
        <w:numPr>
          <w:ilvl w:val="0"/>
          <w:numId w:val="11"/>
        </w:numPr>
        <w:autoSpaceDE w:val="0"/>
        <w:autoSpaceDN w:val="0"/>
        <w:ind w:left="244" w:leftChars="100" w:hanging="4" w:firstLineChars="0"/>
        <w:jc w:val="left"/>
        <w:rPr>
          <w:rFonts w:hint="eastAsia" w:cs="Arial"/>
          <w:color w:val="auto"/>
          <w:highlight w:val="none"/>
          <w:lang w:val="zh-CN"/>
        </w:rPr>
      </w:pPr>
      <w:r>
        <w:rPr>
          <w:rFonts w:hint="eastAsia" w:cs="Arial"/>
          <w:color w:val="auto"/>
          <w:highlight w:val="none"/>
          <w:lang w:val="zh-CN"/>
        </w:rPr>
        <w:t>享受政府采购政策优惠的证明资料……………………………</w:t>
      </w:r>
      <w:r>
        <w:rPr>
          <w:rFonts w:cs="Arial"/>
          <w:color w:val="auto"/>
          <w:highlight w:val="none"/>
          <w:lang w:val="zh-CN"/>
        </w:rPr>
        <w:t>所在页码</w:t>
      </w:r>
    </w:p>
    <w:p w14:paraId="3CCC2318">
      <w:pPr>
        <w:numPr>
          <w:ilvl w:val="0"/>
          <w:numId w:val="11"/>
        </w:numPr>
        <w:autoSpaceDE w:val="0"/>
        <w:autoSpaceDN w:val="0"/>
        <w:ind w:left="244" w:leftChars="100" w:hanging="4" w:firstLineChars="0"/>
        <w:jc w:val="left"/>
        <w:rPr>
          <w:rFonts w:hint="eastAsia" w:cs="Arial"/>
          <w:color w:val="auto"/>
          <w:highlight w:val="none"/>
          <w:lang w:val="zh-CN"/>
        </w:rPr>
      </w:pPr>
      <w:r>
        <w:rPr>
          <w:rFonts w:hint="eastAsia" w:cs="Arial"/>
          <w:color w:val="auto"/>
          <w:highlight w:val="none"/>
          <w:lang w:val="zh-CN"/>
        </w:rPr>
        <w:t>服务相关内容……………………………………………………</w:t>
      </w:r>
      <w:r>
        <w:rPr>
          <w:rFonts w:cs="Arial"/>
          <w:color w:val="auto"/>
          <w:highlight w:val="none"/>
          <w:lang w:val="zh-CN"/>
        </w:rPr>
        <w:t>所在页码</w:t>
      </w:r>
    </w:p>
    <w:p w14:paraId="176AF7C8">
      <w:pPr>
        <w:numPr>
          <w:ilvl w:val="0"/>
          <w:numId w:val="11"/>
        </w:numPr>
        <w:autoSpaceDE w:val="0"/>
        <w:autoSpaceDN w:val="0"/>
        <w:ind w:left="244" w:leftChars="100" w:hanging="4" w:firstLineChars="0"/>
        <w:jc w:val="left"/>
        <w:rPr>
          <w:rFonts w:hint="eastAsia" w:cs="Arial"/>
          <w:color w:val="auto"/>
          <w:highlight w:val="none"/>
          <w:lang w:val="zh-CN"/>
        </w:rPr>
      </w:pPr>
      <w:r>
        <w:rPr>
          <w:rFonts w:hint="eastAsia" w:cs="Arial"/>
          <w:color w:val="auto"/>
          <w:highlight w:val="none"/>
          <w:lang w:val="en-US" w:eastAsia="zh-CN"/>
        </w:rPr>
        <w:t>供应商</w:t>
      </w:r>
      <w:r>
        <w:rPr>
          <w:rFonts w:hint="eastAsia" w:cs="Arial"/>
          <w:color w:val="auto"/>
          <w:highlight w:val="none"/>
          <w:lang w:val="zh-CN"/>
        </w:rPr>
        <w:t>认为在其他方面有必要说明的事项……………………</w:t>
      </w:r>
      <w:r>
        <w:rPr>
          <w:rFonts w:cs="Arial"/>
          <w:color w:val="auto"/>
          <w:highlight w:val="none"/>
          <w:lang w:val="zh-CN"/>
        </w:rPr>
        <w:t>所在页码</w:t>
      </w:r>
    </w:p>
    <w:p w14:paraId="306FDE5C">
      <w:pPr>
        <w:numPr>
          <w:ilvl w:val="0"/>
          <w:numId w:val="11"/>
        </w:numPr>
        <w:autoSpaceDE w:val="0"/>
        <w:autoSpaceDN w:val="0"/>
        <w:ind w:left="244" w:leftChars="100" w:hanging="4" w:firstLineChars="0"/>
        <w:jc w:val="left"/>
        <w:rPr>
          <w:rFonts w:hint="eastAsia" w:cs="Arial"/>
          <w:color w:val="auto"/>
          <w:highlight w:val="none"/>
          <w:lang w:val="zh-CN"/>
        </w:rPr>
      </w:pPr>
      <w:r>
        <w:rPr>
          <w:rFonts w:hint="eastAsia" w:cs="Arial"/>
          <w:color w:val="auto"/>
          <w:highlight w:val="none"/>
          <w:lang w:val="zh-CN"/>
        </w:rPr>
        <w:t>磋商最终报价表…………………………………………………</w:t>
      </w:r>
      <w:r>
        <w:rPr>
          <w:rFonts w:cs="Arial"/>
          <w:color w:val="auto"/>
          <w:highlight w:val="none"/>
          <w:lang w:val="zh-CN"/>
        </w:rPr>
        <w:t>所在页码</w:t>
      </w:r>
    </w:p>
    <w:p w14:paraId="7BEB7402">
      <w:pPr>
        <w:widowControl w:val="0"/>
        <w:adjustRightInd/>
        <w:snapToGrid/>
        <w:spacing w:line="400" w:lineRule="exact"/>
        <w:ind w:firstLine="199" w:firstLineChars="83"/>
        <w:jc w:val="both"/>
        <w:rPr>
          <w:rFonts w:ascii="Arial" w:hAnsi="Arial" w:cs="Arial"/>
          <w:color w:val="auto"/>
          <w:highlight w:val="none"/>
          <w:lang w:val="zh-CN"/>
        </w:rPr>
      </w:pPr>
      <w:r>
        <w:rPr>
          <w:rFonts w:hAnsi="宋体"/>
          <w:color w:val="auto"/>
          <w:highlight w:val="none"/>
        </w:rPr>
        <w:br w:type="page"/>
      </w:r>
      <w:r>
        <w:rPr>
          <w:rFonts w:hint="eastAsia" w:ascii="Times New Roman" w:hAnsi="Times New Roman" w:eastAsia="宋体" w:cs="Times New Roman"/>
          <w:b/>
          <w:color w:val="auto"/>
          <w:kern w:val="2"/>
          <w:szCs w:val="24"/>
          <w:highlight w:val="none"/>
          <w:lang w:val="zh-CN"/>
        </w:rPr>
        <w:t>磋商响应文件封面(上册)</w:t>
      </w:r>
      <w:bookmarkEnd w:id="300"/>
      <w:bookmarkEnd w:id="301"/>
    </w:p>
    <w:p w14:paraId="3F8F098B">
      <w:pPr>
        <w:rPr>
          <w:color w:val="auto"/>
          <w:highlight w:val="none"/>
          <w:lang w:val="zh-CN"/>
        </w:rPr>
      </w:pPr>
    </w:p>
    <w:p w14:paraId="6DFA33D6">
      <w:pPr>
        <w:rPr>
          <w:rFonts w:cs="Arial"/>
          <w:color w:val="auto"/>
          <w:sz w:val="32"/>
          <w:highlight w:val="none"/>
        </w:rPr>
      </w:pPr>
    </w:p>
    <w:p w14:paraId="0BCB2C60">
      <w:pPr>
        <w:rPr>
          <w:rFonts w:cs="Arial"/>
          <w:color w:val="auto"/>
          <w:sz w:val="32"/>
          <w:highlight w:val="none"/>
        </w:rPr>
      </w:pPr>
    </w:p>
    <w:p w14:paraId="570F8EA1">
      <w:pPr>
        <w:widowControl/>
        <w:adjustRightInd w:val="0"/>
        <w:snapToGrid w:val="0"/>
        <w:spacing w:line="360" w:lineRule="auto"/>
        <w:ind w:firstLine="0" w:firstLineChars="0"/>
        <w:jc w:val="center"/>
        <w:rPr>
          <w:rFonts w:ascii="Arial" w:hAnsi="Arial" w:eastAsia="宋体" w:cs="Arial"/>
          <w:b/>
          <w:color w:val="auto"/>
          <w:kern w:val="0"/>
          <w:sz w:val="96"/>
          <w:szCs w:val="22"/>
          <w:highlight w:val="none"/>
        </w:rPr>
      </w:pPr>
      <w:bookmarkStart w:id="302" w:name="_Toc444715735"/>
      <w:r>
        <w:rPr>
          <w:rFonts w:ascii="Arial" w:hAnsi="Arial" w:eastAsia="宋体" w:cs="Arial"/>
          <w:b/>
          <w:color w:val="auto"/>
          <w:kern w:val="0"/>
          <w:sz w:val="72"/>
          <w:szCs w:val="22"/>
          <w:highlight w:val="none"/>
        </w:rPr>
        <w:t>青海省政府采购项目</w:t>
      </w:r>
    </w:p>
    <w:p w14:paraId="6413D8D0">
      <w:pPr>
        <w:widowControl/>
        <w:adjustRightInd w:val="0"/>
        <w:snapToGrid w:val="0"/>
        <w:spacing w:line="360" w:lineRule="auto"/>
        <w:ind w:firstLine="0" w:firstLineChars="0"/>
        <w:jc w:val="center"/>
        <w:rPr>
          <w:rFonts w:ascii="Arial" w:hAnsi="Arial" w:eastAsia="宋体" w:cs="Arial"/>
          <w:b/>
          <w:color w:val="auto"/>
          <w:kern w:val="0"/>
          <w:sz w:val="48"/>
          <w:szCs w:val="22"/>
          <w:highlight w:val="none"/>
        </w:rPr>
      </w:pPr>
    </w:p>
    <w:p w14:paraId="39CE86E2">
      <w:pPr>
        <w:widowControl/>
        <w:adjustRightInd w:val="0"/>
        <w:snapToGrid w:val="0"/>
        <w:spacing w:line="360" w:lineRule="auto"/>
        <w:ind w:firstLine="0" w:firstLineChars="0"/>
        <w:jc w:val="center"/>
        <w:rPr>
          <w:rFonts w:ascii="Arial" w:hAnsi="Arial" w:eastAsia="宋体" w:cs="Arial"/>
          <w:b/>
          <w:color w:val="auto"/>
          <w:kern w:val="0"/>
          <w:sz w:val="48"/>
          <w:szCs w:val="22"/>
          <w:highlight w:val="none"/>
        </w:rPr>
      </w:pPr>
    </w:p>
    <w:p w14:paraId="62B1C3B5">
      <w:pPr>
        <w:widowControl/>
        <w:adjustRightInd w:val="0"/>
        <w:snapToGrid w:val="0"/>
        <w:spacing w:line="360" w:lineRule="auto"/>
        <w:ind w:firstLine="0" w:firstLineChars="0"/>
        <w:jc w:val="center"/>
        <w:rPr>
          <w:rFonts w:hint="eastAsia" w:ascii="宋体" w:hAnsi="宋体"/>
          <w:b/>
          <w:color w:val="auto"/>
          <w:sz w:val="72"/>
          <w:szCs w:val="72"/>
          <w:highlight w:val="none"/>
        </w:rPr>
      </w:pPr>
      <w:r>
        <w:rPr>
          <w:rFonts w:ascii="Arial" w:hAnsi="Arial" w:eastAsia="宋体" w:cs="Arial"/>
          <w:b/>
          <w:color w:val="auto"/>
          <w:kern w:val="0"/>
          <w:sz w:val="52"/>
          <w:szCs w:val="22"/>
          <w:highlight w:val="none"/>
        </w:rPr>
        <w:t>磋商响应文件</w:t>
      </w:r>
      <w:r>
        <w:rPr>
          <w:rFonts w:hint="eastAsia" w:ascii="Arial" w:hAnsi="Arial" w:eastAsia="宋体" w:cs="Arial"/>
          <w:b/>
          <w:color w:val="auto"/>
          <w:kern w:val="0"/>
          <w:sz w:val="52"/>
          <w:szCs w:val="22"/>
          <w:highlight w:val="none"/>
        </w:rPr>
        <w:t>（上册）</w:t>
      </w:r>
    </w:p>
    <w:p w14:paraId="16405221">
      <w:pPr>
        <w:adjustRightInd w:val="0"/>
        <w:spacing w:line="360" w:lineRule="auto"/>
        <w:ind w:firstLine="0" w:firstLineChars="0"/>
        <w:jc w:val="center"/>
        <w:textAlignment w:val="baseline"/>
        <w:rPr>
          <w:rFonts w:hint="eastAsia" w:ascii="宋体" w:hAnsi="宋体"/>
          <w:b/>
          <w:bCs/>
          <w:color w:val="auto"/>
          <w:sz w:val="36"/>
          <w:szCs w:val="36"/>
          <w:highlight w:val="none"/>
        </w:rPr>
      </w:pPr>
      <w:r>
        <w:rPr>
          <w:rFonts w:hint="eastAsia" w:ascii="宋体" w:hAnsi="宋体"/>
          <w:b/>
          <w:bCs/>
          <w:color w:val="auto"/>
          <w:sz w:val="36"/>
          <w:szCs w:val="36"/>
          <w:highlight w:val="none"/>
        </w:rPr>
        <w:t>（资格审查部分）</w:t>
      </w:r>
    </w:p>
    <w:p w14:paraId="6BB33F46">
      <w:pPr>
        <w:spacing w:line="360" w:lineRule="auto"/>
        <w:ind w:firstLine="788" w:firstLineChars="327"/>
        <w:rPr>
          <w:rFonts w:hint="eastAsia" w:ascii="宋体" w:hAnsi="宋体"/>
          <w:b/>
          <w:color w:val="auto"/>
          <w:highlight w:val="none"/>
        </w:rPr>
      </w:pPr>
    </w:p>
    <w:p w14:paraId="6EF52361">
      <w:pPr>
        <w:adjustRightInd w:val="0"/>
        <w:spacing w:line="360" w:lineRule="auto"/>
        <w:ind w:firstLine="0" w:firstLineChars="0"/>
        <w:textAlignment w:val="baseline"/>
        <w:rPr>
          <w:rFonts w:hint="eastAsia" w:ascii="宋体" w:hAnsi="宋体"/>
          <w:b/>
          <w:bCs/>
          <w:color w:val="auto"/>
          <w:sz w:val="32"/>
          <w:highlight w:val="none"/>
        </w:rPr>
      </w:pPr>
    </w:p>
    <w:p w14:paraId="404C2A4D">
      <w:pPr>
        <w:adjustRightInd w:val="0"/>
        <w:spacing w:line="360" w:lineRule="auto"/>
        <w:ind w:firstLine="0" w:firstLineChars="0"/>
        <w:textAlignment w:val="baseline"/>
        <w:rPr>
          <w:rFonts w:hint="eastAsia" w:ascii="宋体" w:hAnsi="宋体" w:eastAsia="宋体"/>
          <w:b/>
          <w:color w:val="auto"/>
          <w:sz w:val="36"/>
          <w:szCs w:val="36"/>
          <w:highlight w:val="none"/>
          <w:u w:val="single"/>
          <w:lang w:eastAsia="zh-CN"/>
        </w:rPr>
      </w:pPr>
      <w:r>
        <w:rPr>
          <w:rFonts w:hint="eastAsia" w:ascii="宋体" w:hAnsi="宋体"/>
          <w:b/>
          <w:bCs/>
          <w:color w:val="auto"/>
          <w:sz w:val="36"/>
          <w:szCs w:val="36"/>
          <w:highlight w:val="none"/>
        </w:rPr>
        <w:t>采购项目编号</w:t>
      </w:r>
      <w:r>
        <w:rPr>
          <w:rFonts w:hint="eastAsia" w:ascii="宋体" w:hAnsi="宋体"/>
          <w:b/>
          <w:color w:val="auto"/>
          <w:sz w:val="36"/>
          <w:szCs w:val="36"/>
          <w:highlight w:val="none"/>
        </w:rPr>
        <w:t>：</w:t>
      </w:r>
      <w:r>
        <w:rPr>
          <w:rFonts w:hint="eastAsia" w:ascii="宋体" w:hAnsi="宋体" w:eastAsia="宋体" w:cs="Times New Roman"/>
          <w:b/>
          <w:bCs/>
          <w:color w:val="auto"/>
          <w:sz w:val="36"/>
          <w:szCs w:val="36"/>
          <w:highlight w:val="none"/>
          <w:lang w:eastAsia="zh-CN"/>
        </w:rPr>
        <w:t>____________________</w:t>
      </w:r>
    </w:p>
    <w:p w14:paraId="6E8119ED">
      <w:pPr>
        <w:spacing w:line="360" w:lineRule="auto"/>
        <w:ind w:left="2660" w:hanging="2660" w:hangingChars="736"/>
        <w:jc w:val="left"/>
        <w:rPr>
          <w:rFonts w:hint="eastAsia" w:ascii="宋体" w:hAnsi="宋体" w:eastAsia="宋体"/>
          <w:b/>
          <w:bCs/>
          <w:color w:val="auto"/>
          <w:sz w:val="36"/>
          <w:szCs w:val="36"/>
          <w:highlight w:val="none"/>
          <w:lang w:eastAsia="zh-CN"/>
        </w:rPr>
      </w:pPr>
      <w:r>
        <w:rPr>
          <w:rFonts w:hint="eastAsia" w:ascii="宋体" w:hAnsi="宋体"/>
          <w:b/>
          <w:bCs/>
          <w:color w:val="auto"/>
          <w:sz w:val="36"/>
          <w:szCs w:val="36"/>
          <w:highlight w:val="none"/>
        </w:rPr>
        <w:t>采购项目名称：</w:t>
      </w:r>
      <w:r>
        <w:rPr>
          <w:rFonts w:hint="eastAsia" w:ascii="宋体" w:hAnsi="宋体" w:eastAsia="宋体" w:cs="Times New Roman"/>
          <w:b/>
          <w:bCs/>
          <w:color w:val="auto"/>
          <w:sz w:val="36"/>
          <w:szCs w:val="36"/>
          <w:highlight w:val="none"/>
          <w:lang w:eastAsia="zh-CN"/>
        </w:rPr>
        <w:t>____________________</w:t>
      </w:r>
    </w:p>
    <w:p w14:paraId="59C5A380">
      <w:pPr>
        <w:spacing w:line="360" w:lineRule="auto"/>
        <w:ind w:left="2660" w:hanging="2660" w:hangingChars="736"/>
        <w:jc w:val="left"/>
        <w:rPr>
          <w:rFonts w:hint="eastAsia" w:ascii="宋体" w:hAnsi="宋体" w:eastAsia="宋体" w:cs="Times New Roman"/>
          <w:b/>
          <w:bCs/>
          <w:color w:val="auto"/>
          <w:sz w:val="36"/>
          <w:szCs w:val="36"/>
          <w:highlight w:val="none"/>
          <w:lang w:eastAsia="zh-CN"/>
        </w:rPr>
      </w:pPr>
      <w:r>
        <w:rPr>
          <w:rFonts w:hint="eastAsia" w:ascii="宋体" w:hAnsi="宋体" w:eastAsia="宋体" w:cs="Times New Roman"/>
          <w:b/>
          <w:bCs/>
          <w:color w:val="auto"/>
          <w:sz w:val="36"/>
          <w:szCs w:val="36"/>
          <w:highlight w:val="none"/>
          <w:lang w:eastAsia="zh-CN"/>
        </w:rPr>
        <w:t xml:space="preserve">投标供应商：  ____________________（公章）   </w:t>
      </w:r>
    </w:p>
    <w:p w14:paraId="17FF2B61">
      <w:pPr>
        <w:spacing w:line="360" w:lineRule="auto"/>
        <w:ind w:left="2660" w:hanging="2660" w:hangingChars="736"/>
        <w:jc w:val="left"/>
        <w:rPr>
          <w:rFonts w:hint="eastAsia" w:ascii="宋体" w:hAnsi="宋体" w:eastAsia="宋体" w:cs="Times New Roman"/>
          <w:b/>
          <w:bCs/>
          <w:color w:val="auto"/>
          <w:sz w:val="36"/>
          <w:szCs w:val="36"/>
          <w:highlight w:val="none"/>
          <w:lang w:eastAsia="zh-CN"/>
        </w:rPr>
      </w:pPr>
      <w:r>
        <w:rPr>
          <w:rFonts w:hint="eastAsia" w:ascii="宋体" w:hAnsi="宋体" w:eastAsia="宋体" w:cs="Times New Roman"/>
          <w:b/>
          <w:bCs/>
          <w:color w:val="auto"/>
          <w:sz w:val="36"/>
          <w:szCs w:val="36"/>
          <w:highlight w:val="none"/>
          <w:lang w:eastAsia="zh-CN"/>
        </w:rPr>
        <w:t xml:space="preserve">法定代表人：  _______________（签字或盖章） </w:t>
      </w:r>
    </w:p>
    <w:p w14:paraId="33CB36AF">
      <w:pPr>
        <w:spacing w:line="360" w:lineRule="auto"/>
        <w:ind w:left="2660" w:hanging="2660" w:hangingChars="736"/>
        <w:jc w:val="center"/>
        <w:rPr>
          <w:rFonts w:hint="eastAsia" w:ascii="宋体" w:hAnsi="宋体" w:eastAsia="宋体" w:cs="Times New Roman"/>
          <w:b/>
          <w:bCs/>
          <w:color w:val="auto"/>
          <w:sz w:val="36"/>
          <w:szCs w:val="36"/>
          <w:highlight w:val="none"/>
          <w:lang w:eastAsia="zh-CN"/>
        </w:rPr>
      </w:pPr>
      <w:r>
        <w:rPr>
          <w:rFonts w:hint="eastAsia" w:ascii="宋体" w:hAnsi="宋体" w:eastAsia="宋体" w:cs="Times New Roman"/>
          <w:b/>
          <w:bCs/>
          <w:color w:val="auto"/>
          <w:sz w:val="36"/>
          <w:szCs w:val="36"/>
          <w:highlight w:val="none"/>
          <w:lang w:eastAsia="zh-CN"/>
        </w:rPr>
        <w:t>年    月    日</w:t>
      </w:r>
    </w:p>
    <w:p w14:paraId="4EA9A008">
      <w:pPr>
        <w:autoSpaceDE w:val="0"/>
        <w:autoSpaceDN w:val="0"/>
        <w:ind w:firstLine="720" w:firstLineChars="300"/>
        <w:jc w:val="both"/>
        <w:rPr>
          <w:rFonts w:cs="Arial"/>
          <w:color w:val="auto"/>
          <w:highlight w:val="none"/>
          <w:lang w:val="zh-CN"/>
        </w:rPr>
      </w:pPr>
      <w:r>
        <w:rPr>
          <w:rFonts w:ascii="Arial" w:hAnsi="Arial" w:cs="Arial"/>
          <w:color w:val="auto"/>
          <w:highlight w:val="none"/>
        </w:rPr>
        <w:br w:type="page"/>
      </w:r>
      <w:bookmarkEnd w:id="302"/>
    </w:p>
    <w:p w14:paraId="47D6EF51">
      <w:pPr>
        <w:pStyle w:val="4"/>
        <w:numPr>
          <w:ilvl w:val="0"/>
          <w:numId w:val="0"/>
        </w:numPr>
        <w:tabs>
          <w:tab w:val="left" w:pos="425"/>
        </w:tabs>
        <w:spacing w:line="360" w:lineRule="auto"/>
        <w:ind w:left="0" w:leftChars="0" w:firstLine="643" w:firstLineChars="200"/>
        <w:jc w:val="left"/>
        <w:rPr>
          <w:rFonts w:cs="Arial"/>
          <w:b/>
          <w:color w:val="auto"/>
          <w:sz w:val="30"/>
          <w:szCs w:val="30"/>
          <w:highlight w:val="none"/>
        </w:rPr>
      </w:pPr>
      <w:bookmarkStart w:id="303" w:name="_Toc12173"/>
      <w:bookmarkStart w:id="304" w:name="_Toc17949"/>
      <w:r>
        <w:rPr>
          <w:rFonts w:hint="default" w:ascii="宋体" w:hAnsi="Times New Roman" w:eastAsia="宋体" w:cs="Times New Roman"/>
          <w:b/>
          <w:color w:val="auto"/>
          <w:kern w:val="2"/>
          <w:sz w:val="32"/>
          <w:szCs w:val="32"/>
          <w:highlight w:val="none"/>
          <w:lang w:val="en-US" w:eastAsia="zh-CN" w:bidi="ar-SA"/>
        </w:rPr>
        <w:t>1．</w:t>
      </w:r>
      <w:r>
        <w:rPr>
          <w:rFonts w:hint="eastAsia" w:ascii="宋体" w:hAnsi="Times New Roman" w:eastAsia="宋体" w:cs="Times New Roman"/>
          <w:b/>
          <w:color w:val="auto"/>
          <w:kern w:val="2"/>
          <w:sz w:val="32"/>
          <w:szCs w:val="32"/>
          <w:highlight w:val="none"/>
          <w:lang w:val="zh-CN" w:eastAsia="zh-CN" w:bidi="ar-SA"/>
        </w:rPr>
        <w:t>磋商函</w:t>
      </w:r>
      <w:bookmarkEnd w:id="303"/>
      <w:bookmarkEnd w:id="304"/>
    </w:p>
    <w:p w14:paraId="780B5E2D">
      <w:pPr>
        <w:spacing w:line="360" w:lineRule="auto"/>
        <w:jc w:val="center"/>
        <w:textAlignment w:val="baseline"/>
        <w:rPr>
          <w:rFonts w:cs="Arial"/>
          <w:b/>
          <w:color w:val="auto"/>
          <w:sz w:val="30"/>
          <w:szCs w:val="30"/>
          <w:highlight w:val="none"/>
        </w:rPr>
      </w:pPr>
      <w:r>
        <w:rPr>
          <w:rFonts w:cs="Arial"/>
          <w:b/>
          <w:color w:val="auto"/>
          <w:sz w:val="30"/>
          <w:szCs w:val="30"/>
          <w:highlight w:val="none"/>
        </w:rPr>
        <w:t>磋 商 函</w:t>
      </w:r>
    </w:p>
    <w:p w14:paraId="6CE94D13">
      <w:pPr>
        <w:spacing w:line="360" w:lineRule="auto"/>
        <w:ind w:left="482" w:hanging="482" w:hangingChars="200"/>
        <w:textAlignment w:val="baseline"/>
        <w:rPr>
          <w:rFonts w:cs="Arial"/>
          <w:b/>
          <w:color w:val="auto"/>
          <w:highlight w:val="none"/>
        </w:rPr>
      </w:pPr>
      <w:r>
        <w:rPr>
          <w:rFonts w:cs="Arial"/>
          <w:b/>
          <w:color w:val="auto"/>
          <w:highlight w:val="none"/>
        </w:rPr>
        <w:t>致：</w:t>
      </w:r>
      <w:r>
        <w:rPr>
          <w:rFonts w:hint="eastAsia" w:cs="Arial"/>
          <w:b/>
          <w:color w:val="auto"/>
          <w:highlight w:val="none"/>
        </w:rPr>
        <w:t>青海海际项目咨询管理有限公司</w:t>
      </w:r>
    </w:p>
    <w:p w14:paraId="5F830716">
      <w:pPr>
        <w:spacing w:line="360" w:lineRule="auto"/>
        <w:ind w:firstLine="480" w:firstLineChars="200"/>
        <w:textAlignment w:val="baseline"/>
        <w:rPr>
          <w:rFonts w:cs="Arial"/>
          <w:color w:val="auto"/>
          <w:highlight w:val="none"/>
        </w:rPr>
      </w:pPr>
      <w:r>
        <w:rPr>
          <w:rFonts w:cs="Arial"/>
          <w:color w:val="auto"/>
          <w:highlight w:val="none"/>
        </w:rPr>
        <w:t>我们收到</w:t>
      </w:r>
      <w:r>
        <w:rPr>
          <w:rFonts w:hint="eastAsia" w:cs="Arial"/>
          <w:color w:val="auto"/>
          <w:highlight w:val="none"/>
        </w:rPr>
        <w:t xml:space="preserve">  </w:t>
      </w:r>
      <w:r>
        <w:rPr>
          <w:rFonts w:hint="eastAsia" w:cs="Arial"/>
          <w:color w:val="auto"/>
          <w:highlight w:val="none"/>
          <w:u w:val="single"/>
        </w:rPr>
        <w:t xml:space="preserve">          （项目名称）</w:t>
      </w:r>
      <w:r>
        <w:rPr>
          <w:rFonts w:cs="Arial"/>
          <w:color w:val="auto"/>
          <w:highlight w:val="none"/>
          <w:u w:val="single"/>
        </w:rPr>
        <w:t>（</w:t>
      </w:r>
      <w:r>
        <w:rPr>
          <w:rFonts w:hint="eastAsia" w:cs="Arial"/>
          <w:color w:val="auto"/>
          <w:highlight w:val="none"/>
          <w:u w:val="single"/>
        </w:rPr>
        <w:t>项目编号）</w:t>
      </w:r>
      <w:r>
        <w:rPr>
          <w:rFonts w:cs="Arial"/>
          <w:color w:val="auto"/>
          <w:highlight w:val="none"/>
        </w:rPr>
        <w:t>磋商文件，经研究，法定代表人</w:t>
      </w:r>
      <w:r>
        <w:rPr>
          <w:rFonts w:cs="Arial"/>
          <w:color w:val="auto"/>
          <w:highlight w:val="none"/>
          <w:u w:val="single"/>
        </w:rPr>
        <w:t>（姓名、职务）</w:t>
      </w:r>
      <w:r>
        <w:rPr>
          <w:rFonts w:cs="Arial"/>
          <w:color w:val="auto"/>
          <w:highlight w:val="none"/>
        </w:rPr>
        <w:t>正式授权</w:t>
      </w:r>
      <w:r>
        <w:rPr>
          <w:rFonts w:cs="Arial"/>
          <w:color w:val="auto"/>
          <w:highlight w:val="none"/>
          <w:u w:val="single"/>
        </w:rPr>
        <w:t>（委托代理人姓名、职务）</w:t>
      </w:r>
      <w:r>
        <w:rPr>
          <w:rFonts w:cs="Arial"/>
          <w:color w:val="auto"/>
          <w:highlight w:val="none"/>
        </w:rPr>
        <w:t>代表投标供应商</w:t>
      </w:r>
      <w:r>
        <w:rPr>
          <w:rFonts w:cs="Arial"/>
          <w:color w:val="auto"/>
          <w:highlight w:val="none"/>
          <w:u w:val="single"/>
        </w:rPr>
        <w:t>（投标供应商名称、地址）</w:t>
      </w:r>
      <w:r>
        <w:rPr>
          <w:rFonts w:cs="Arial"/>
          <w:color w:val="auto"/>
          <w:highlight w:val="none"/>
        </w:rPr>
        <w:t>提交磋商响应文件。</w:t>
      </w:r>
    </w:p>
    <w:p w14:paraId="75C734D1">
      <w:pPr>
        <w:spacing w:line="360" w:lineRule="auto"/>
        <w:ind w:firstLine="480" w:firstLineChars="200"/>
        <w:textAlignment w:val="baseline"/>
        <w:rPr>
          <w:rFonts w:cs="Arial"/>
          <w:color w:val="auto"/>
          <w:highlight w:val="none"/>
        </w:rPr>
      </w:pPr>
      <w:r>
        <w:rPr>
          <w:rFonts w:cs="Arial"/>
          <w:color w:val="auto"/>
          <w:highlight w:val="none"/>
        </w:rPr>
        <w:t>据此函，签字代表宣布同意如下：</w:t>
      </w:r>
    </w:p>
    <w:p w14:paraId="1B9D3632">
      <w:pPr>
        <w:spacing w:line="360" w:lineRule="auto"/>
        <w:ind w:firstLine="480" w:firstLineChars="200"/>
        <w:textAlignment w:val="baseline"/>
        <w:rPr>
          <w:rFonts w:cs="Arial"/>
          <w:color w:val="auto"/>
          <w:highlight w:val="none"/>
        </w:rPr>
      </w:pPr>
      <w:r>
        <w:rPr>
          <w:rFonts w:cs="Arial"/>
          <w:color w:val="auto"/>
          <w:highlight w:val="none"/>
        </w:rPr>
        <w:t>1.我方已详阅磋商文件的全部内容，包括澄清、修改条款等有关附件，承诺对其完全理解并接受。</w:t>
      </w:r>
    </w:p>
    <w:p w14:paraId="27DA2DED">
      <w:pPr>
        <w:spacing w:line="360" w:lineRule="auto"/>
        <w:ind w:firstLine="480" w:firstLineChars="200"/>
        <w:textAlignment w:val="baseline"/>
        <w:rPr>
          <w:rFonts w:cs="Arial"/>
          <w:color w:val="auto"/>
          <w:highlight w:val="none"/>
        </w:rPr>
      </w:pPr>
      <w:r>
        <w:rPr>
          <w:rFonts w:cs="Arial"/>
          <w:color w:val="auto"/>
          <w:highlight w:val="none"/>
        </w:rPr>
        <w:t>2.磋商有效期自开标之日起</w:t>
      </w:r>
      <w:r>
        <w:rPr>
          <w:rFonts w:cs="Arial"/>
          <w:color w:val="auto"/>
          <w:highlight w:val="none"/>
          <w:u w:val="single"/>
        </w:rPr>
        <w:t xml:space="preserve">   </w:t>
      </w:r>
      <w:r>
        <w:rPr>
          <w:rFonts w:hint="eastAsia" w:cs="Arial"/>
          <w:color w:val="auto"/>
          <w:highlight w:val="none"/>
          <w:u w:val="single"/>
          <w:lang w:val="en-US" w:eastAsia="zh-CN"/>
        </w:rPr>
        <w:t>60</w:t>
      </w:r>
      <w:r>
        <w:rPr>
          <w:rFonts w:cs="Arial"/>
          <w:color w:val="auto"/>
          <w:highlight w:val="none"/>
          <w:u w:val="single"/>
        </w:rPr>
        <w:t xml:space="preserve"> </w:t>
      </w:r>
      <w:r>
        <w:rPr>
          <w:rFonts w:hint="eastAsia" w:cs="Arial"/>
          <w:color w:val="auto"/>
          <w:highlight w:val="none"/>
          <w:lang w:val="en-US" w:eastAsia="zh-CN"/>
        </w:rPr>
        <w:t>日</w:t>
      </w:r>
      <w:r>
        <w:rPr>
          <w:rFonts w:cs="Arial"/>
          <w:color w:val="auto"/>
          <w:highlight w:val="none"/>
        </w:rPr>
        <w:t>内有效。如果在规定的开标时间后，我方在磋商有效期内撤回磋商或成交后不签约的，磋商保证金将被贵方没收。</w:t>
      </w:r>
    </w:p>
    <w:p w14:paraId="775E3C86">
      <w:pPr>
        <w:spacing w:line="360" w:lineRule="auto"/>
        <w:ind w:firstLine="480" w:firstLineChars="200"/>
        <w:textAlignment w:val="baseline"/>
        <w:rPr>
          <w:rFonts w:cs="Arial"/>
          <w:color w:val="auto"/>
          <w:highlight w:val="none"/>
        </w:rPr>
      </w:pPr>
      <w:r>
        <w:rPr>
          <w:rFonts w:cs="Arial"/>
          <w:color w:val="auto"/>
          <w:highlight w:val="none"/>
        </w:rPr>
        <w:t>3.我方同意按照贵方要求提供与磋商有关的一切数据或资料，理解并接受贵方制定的评标办法。</w:t>
      </w:r>
    </w:p>
    <w:p w14:paraId="412E017C">
      <w:pPr>
        <w:spacing w:line="360" w:lineRule="auto"/>
        <w:ind w:firstLine="480" w:firstLineChars="200"/>
        <w:textAlignment w:val="baseline"/>
        <w:rPr>
          <w:rFonts w:cs="Arial"/>
          <w:color w:val="auto"/>
          <w:highlight w:val="none"/>
        </w:rPr>
      </w:pPr>
      <w:r>
        <w:rPr>
          <w:rFonts w:cs="Arial"/>
          <w:color w:val="auto"/>
          <w:highlight w:val="none"/>
        </w:rPr>
        <w:t>4.与本磋商有关的一切正式往来通讯请寄：</w:t>
      </w:r>
    </w:p>
    <w:p w14:paraId="249616D0">
      <w:pPr>
        <w:spacing w:line="360" w:lineRule="auto"/>
        <w:ind w:left="960" w:leftChars="200" w:hanging="480" w:hangingChars="200"/>
        <w:textAlignment w:val="baseline"/>
        <w:rPr>
          <w:rFonts w:cs="Arial"/>
          <w:color w:val="auto"/>
          <w:highlight w:val="none"/>
        </w:rPr>
      </w:pPr>
    </w:p>
    <w:p w14:paraId="5B1CECB8">
      <w:pPr>
        <w:spacing w:line="360" w:lineRule="auto"/>
        <w:ind w:left="960" w:leftChars="200" w:hanging="480" w:hangingChars="200"/>
        <w:textAlignment w:val="baseline"/>
        <w:rPr>
          <w:rFonts w:cs="Arial"/>
          <w:color w:val="auto"/>
          <w:highlight w:val="none"/>
          <w:u w:val="single"/>
        </w:rPr>
      </w:pPr>
      <w:r>
        <w:rPr>
          <w:rFonts w:cs="Arial"/>
          <w:color w:val="auto"/>
          <w:highlight w:val="none"/>
        </w:rPr>
        <w:t>地址：</w:t>
      </w:r>
      <w:r>
        <w:rPr>
          <w:rFonts w:cs="Arial"/>
          <w:color w:val="auto"/>
          <w:highlight w:val="none"/>
          <w:u w:val="single"/>
        </w:rPr>
        <w:t xml:space="preserve">           </w:t>
      </w:r>
      <w:r>
        <w:rPr>
          <w:rFonts w:hint="eastAsia" w:cs="Arial"/>
          <w:color w:val="auto"/>
          <w:highlight w:val="none"/>
          <w:u w:val="single"/>
        </w:rPr>
        <w:t xml:space="preserve">                   </w:t>
      </w:r>
      <w:r>
        <w:rPr>
          <w:rFonts w:cs="Arial"/>
          <w:color w:val="auto"/>
          <w:highlight w:val="none"/>
          <w:u w:val="single"/>
        </w:rPr>
        <w:t xml:space="preserve"> </w:t>
      </w:r>
      <w:r>
        <w:rPr>
          <w:rFonts w:hint="eastAsia" w:cs="Arial"/>
          <w:color w:val="auto"/>
          <w:highlight w:val="none"/>
        </w:rPr>
        <w:t xml:space="preserve">        </w:t>
      </w:r>
      <w:r>
        <w:rPr>
          <w:rFonts w:cs="Arial"/>
          <w:color w:val="auto"/>
          <w:highlight w:val="none"/>
        </w:rPr>
        <w:t xml:space="preserve"> 邮编： </w:t>
      </w:r>
      <w:r>
        <w:rPr>
          <w:rFonts w:hint="eastAsia" w:cs="Arial"/>
          <w:color w:val="auto"/>
          <w:highlight w:val="none"/>
        </w:rPr>
        <w:t>____________</w:t>
      </w:r>
      <w:r>
        <w:rPr>
          <w:rFonts w:cs="Arial"/>
          <w:color w:val="auto"/>
          <w:highlight w:val="none"/>
        </w:rPr>
        <w:t xml:space="preserve"> </w:t>
      </w:r>
    </w:p>
    <w:p w14:paraId="2D42DEBF">
      <w:pPr>
        <w:spacing w:line="360" w:lineRule="auto"/>
        <w:ind w:left="960" w:leftChars="200" w:hanging="480" w:hangingChars="200"/>
        <w:textAlignment w:val="baseline"/>
        <w:rPr>
          <w:rFonts w:cs="Arial"/>
          <w:color w:val="auto"/>
          <w:highlight w:val="none"/>
        </w:rPr>
      </w:pPr>
    </w:p>
    <w:p w14:paraId="11239232">
      <w:pPr>
        <w:spacing w:line="360" w:lineRule="auto"/>
        <w:ind w:left="960" w:leftChars="200" w:hanging="480" w:hangingChars="200"/>
        <w:textAlignment w:val="baseline"/>
        <w:rPr>
          <w:rFonts w:cs="Arial"/>
          <w:color w:val="auto"/>
          <w:highlight w:val="none"/>
        </w:rPr>
      </w:pPr>
      <w:r>
        <w:rPr>
          <w:rFonts w:cs="Arial"/>
          <w:color w:val="auto"/>
          <w:highlight w:val="none"/>
        </w:rPr>
        <w:t>电话：</w:t>
      </w:r>
      <w:r>
        <w:rPr>
          <w:rFonts w:cs="Arial"/>
          <w:color w:val="auto"/>
          <w:highlight w:val="none"/>
          <w:u w:val="single"/>
        </w:rPr>
        <w:t xml:space="preserve">            </w:t>
      </w:r>
      <w:r>
        <w:rPr>
          <w:rFonts w:hint="eastAsia" w:cs="Arial"/>
          <w:color w:val="auto"/>
          <w:highlight w:val="none"/>
          <w:u w:val="single"/>
        </w:rPr>
        <w:t xml:space="preserve">                  </w:t>
      </w:r>
      <w:r>
        <w:rPr>
          <w:rFonts w:cs="Arial"/>
          <w:color w:val="auto"/>
          <w:highlight w:val="none"/>
          <w:u w:val="single"/>
        </w:rPr>
        <w:t xml:space="preserve"> </w:t>
      </w:r>
      <w:r>
        <w:rPr>
          <w:rFonts w:hint="eastAsia" w:cs="Arial"/>
          <w:color w:val="auto"/>
          <w:highlight w:val="none"/>
        </w:rPr>
        <w:t xml:space="preserve">         </w:t>
      </w:r>
      <w:r>
        <w:rPr>
          <w:rFonts w:cs="Arial"/>
          <w:color w:val="auto"/>
          <w:highlight w:val="none"/>
        </w:rPr>
        <w:t xml:space="preserve">传真：  </w:t>
      </w:r>
      <w:r>
        <w:rPr>
          <w:rFonts w:hint="eastAsia" w:cs="Arial"/>
          <w:color w:val="auto"/>
          <w:highlight w:val="none"/>
        </w:rPr>
        <w:t>____________</w:t>
      </w:r>
      <w:r>
        <w:rPr>
          <w:rFonts w:cs="Arial"/>
          <w:color w:val="auto"/>
          <w:highlight w:val="none"/>
        </w:rPr>
        <w:t xml:space="preserve">  </w:t>
      </w:r>
    </w:p>
    <w:p w14:paraId="7928366D">
      <w:pPr>
        <w:spacing w:line="360" w:lineRule="auto"/>
        <w:ind w:left="960" w:leftChars="200" w:hanging="480" w:hangingChars="200"/>
        <w:textAlignment w:val="baseline"/>
        <w:rPr>
          <w:rFonts w:cs="Arial"/>
          <w:color w:val="auto"/>
          <w:highlight w:val="none"/>
        </w:rPr>
      </w:pPr>
    </w:p>
    <w:p w14:paraId="156AEC86">
      <w:pPr>
        <w:spacing w:line="360" w:lineRule="auto"/>
        <w:ind w:left="960" w:leftChars="200" w:hanging="480" w:hangingChars="200"/>
        <w:textAlignment w:val="baseline"/>
        <w:rPr>
          <w:rFonts w:cs="Arial"/>
          <w:color w:val="auto"/>
          <w:highlight w:val="none"/>
        </w:rPr>
      </w:pPr>
      <w:r>
        <w:rPr>
          <w:rFonts w:cs="Arial"/>
          <w:color w:val="auto"/>
          <w:highlight w:val="none"/>
        </w:rPr>
        <w:t>法定代表人姓名：</w:t>
      </w:r>
      <w:r>
        <w:rPr>
          <w:rFonts w:cs="Arial"/>
          <w:color w:val="auto"/>
          <w:highlight w:val="none"/>
          <w:u w:val="single"/>
        </w:rPr>
        <w:t xml:space="preserve">       </w:t>
      </w:r>
      <w:r>
        <w:rPr>
          <w:rFonts w:hint="eastAsia" w:cs="Arial"/>
          <w:color w:val="auto"/>
          <w:highlight w:val="none"/>
          <w:u w:val="single"/>
        </w:rPr>
        <w:t xml:space="preserve">   </w:t>
      </w:r>
      <w:r>
        <w:rPr>
          <w:rFonts w:cs="Arial"/>
          <w:color w:val="auto"/>
          <w:highlight w:val="none"/>
          <w:u w:val="single"/>
        </w:rPr>
        <w:t xml:space="preserve"> </w:t>
      </w:r>
      <w:r>
        <w:rPr>
          <w:rFonts w:hint="eastAsia" w:cs="Arial"/>
          <w:color w:val="auto"/>
          <w:highlight w:val="none"/>
          <w:u w:val="single"/>
        </w:rPr>
        <w:t xml:space="preserve">      </w:t>
      </w:r>
      <w:r>
        <w:rPr>
          <w:rFonts w:cs="Arial"/>
          <w:color w:val="auto"/>
          <w:highlight w:val="none"/>
          <w:u w:val="single"/>
        </w:rPr>
        <w:t xml:space="preserve">   </w:t>
      </w:r>
      <w:r>
        <w:rPr>
          <w:rFonts w:hint="eastAsia" w:cs="Arial"/>
          <w:color w:val="auto"/>
          <w:highlight w:val="none"/>
          <w:u w:val="single"/>
        </w:rPr>
        <w:t xml:space="preserve"> </w:t>
      </w:r>
      <w:r>
        <w:rPr>
          <w:rFonts w:hint="eastAsia" w:cs="Arial"/>
          <w:color w:val="auto"/>
          <w:highlight w:val="none"/>
        </w:rPr>
        <w:t xml:space="preserve">         </w:t>
      </w:r>
      <w:r>
        <w:rPr>
          <w:rFonts w:cs="Arial"/>
          <w:color w:val="auto"/>
          <w:highlight w:val="none"/>
        </w:rPr>
        <w:t xml:space="preserve">职务： </w:t>
      </w:r>
      <w:r>
        <w:rPr>
          <w:rFonts w:hint="eastAsia" w:cs="Arial"/>
          <w:color w:val="auto"/>
          <w:highlight w:val="none"/>
        </w:rPr>
        <w:t>____________</w:t>
      </w:r>
      <w:r>
        <w:rPr>
          <w:rFonts w:cs="Arial"/>
          <w:color w:val="auto"/>
          <w:highlight w:val="none"/>
        </w:rPr>
        <w:t xml:space="preserve"> </w:t>
      </w:r>
    </w:p>
    <w:p w14:paraId="4B3E0743">
      <w:pPr>
        <w:tabs>
          <w:tab w:val="left" w:pos="168"/>
        </w:tabs>
        <w:spacing w:line="360" w:lineRule="auto"/>
        <w:ind w:right="480"/>
        <w:jc w:val="right"/>
        <w:textAlignment w:val="baseline"/>
        <w:rPr>
          <w:rFonts w:cs="Arial"/>
          <w:bCs/>
          <w:color w:val="auto"/>
          <w:szCs w:val="28"/>
          <w:highlight w:val="none"/>
        </w:rPr>
      </w:pPr>
    </w:p>
    <w:p w14:paraId="623AE6CC">
      <w:pPr>
        <w:tabs>
          <w:tab w:val="left" w:pos="168"/>
        </w:tabs>
        <w:spacing w:line="360" w:lineRule="auto"/>
        <w:jc w:val="right"/>
        <w:textAlignment w:val="baseline"/>
        <w:rPr>
          <w:rFonts w:cs="Arial"/>
          <w:bCs/>
          <w:color w:val="auto"/>
          <w:szCs w:val="28"/>
          <w:highlight w:val="none"/>
        </w:rPr>
      </w:pPr>
    </w:p>
    <w:p w14:paraId="179341E8">
      <w:pPr>
        <w:tabs>
          <w:tab w:val="left" w:pos="168"/>
        </w:tabs>
        <w:spacing w:line="360" w:lineRule="auto"/>
        <w:jc w:val="right"/>
        <w:textAlignment w:val="baseline"/>
        <w:rPr>
          <w:rFonts w:cs="Arial"/>
          <w:bCs/>
          <w:color w:val="auto"/>
          <w:szCs w:val="28"/>
          <w:highlight w:val="none"/>
        </w:rPr>
      </w:pPr>
    </w:p>
    <w:p w14:paraId="07ABA198">
      <w:pPr>
        <w:tabs>
          <w:tab w:val="left" w:pos="168"/>
        </w:tabs>
        <w:spacing w:line="360" w:lineRule="auto"/>
        <w:jc w:val="right"/>
        <w:textAlignment w:val="baseline"/>
        <w:rPr>
          <w:rFonts w:cs="Arial"/>
          <w:bCs/>
          <w:color w:val="auto"/>
          <w:szCs w:val="28"/>
          <w:highlight w:val="none"/>
        </w:rPr>
      </w:pPr>
    </w:p>
    <w:p w14:paraId="43E72ADB">
      <w:pPr>
        <w:spacing w:line="360" w:lineRule="auto"/>
        <w:ind w:firstLine="482"/>
        <w:jc w:val="center"/>
        <w:rPr>
          <w:rFonts w:hint="eastAsia" w:ascii="宋体" w:hAnsi="宋体"/>
          <w:b/>
          <w:color w:val="auto"/>
          <w:highlight w:val="none"/>
        </w:rPr>
      </w:pPr>
      <w:r>
        <w:rPr>
          <w:rFonts w:hint="eastAsia" w:ascii="宋体" w:hAnsi="宋体"/>
          <w:b/>
          <w:color w:val="auto"/>
          <w:highlight w:val="none"/>
        </w:rPr>
        <w:t xml:space="preserve"> 投标供应商：</w:t>
      </w:r>
      <w:r>
        <w:rPr>
          <w:rFonts w:hint="eastAsia" w:ascii="仿宋_GB2312" w:eastAsia="仿宋_GB2312" w:cs="宋体"/>
          <w:color w:val="auto"/>
          <w:kern w:val="0"/>
          <w:highlight w:val="none"/>
          <w:u w:val="single"/>
        </w:rPr>
        <w:t xml:space="preserve">       </w:t>
      </w:r>
      <w:r>
        <w:rPr>
          <w:rFonts w:hint="eastAsia" w:ascii="宋体" w:hAnsi="宋体"/>
          <w:b/>
          <w:color w:val="auto"/>
          <w:highlight w:val="none"/>
        </w:rPr>
        <w:t>（公章）</w:t>
      </w:r>
    </w:p>
    <w:p w14:paraId="221CD55C">
      <w:pPr>
        <w:spacing w:line="360" w:lineRule="auto"/>
        <w:ind w:firstLine="482"/>
        <w:jc w:val="center"/>
        <w:rPr>
          <w:rFonts w:ascii="宋体" w:hAnsi="宋体"/>
          <w:b/>
          <w:color w:val="auto"/>
          <w:highlight w:val="none"/>
        </w:rPr>
      </w:pPr>
      <w:r>
        <w:rPr>
          <w:rFonts w:hint="eastAsia" w:ascii="宋体" w:hAnsi="宋体"/>
          <w:b/>
          <w:color w:val="auto"/>
          <w:highlight w:val="none"/>
        </w:rPr>
        <w:t xml:space="preserve">              </w:t>
      </w:r>
      <w:r>
        <w:rPr>
          <w:rFonts w:hint="eastAsia" w:ascii="宋体" w:hAnsi="宋体"/>
          <w:b/>
          <w:color w:val="auto"/>
          <w:highlight w:val="none"/>
          <w:lang w:val="en-US" w:eastAsia="zh-CN"/>
        </w:rPr>
        <w:t xml:space="preserve">   </w:t>
      </w:r>
      <w:r>
        <w:rPr>
          <w:rFonts w:hint="eastAsia" w:ascii="宋体" w:hAnsi="宋体"/>
          <w:b/>
          <w:color w:val="auto"/>
          <w:highlight w:val="none"/>
        </w:rPr>
        <w:t xml:space="preserve">    法定代表人：</w:t>
      </w:r>
      <w:r>
        <w:rPr>
          <w:rFonts w:hint="eastAsia" w:ascii="仿宋_GB2312" w:eastAsia="仿宋_GB2312" w:cs="宋体"/>
          <w:color w:val="auto"/>
          <w:kern w:val="0"/>
          <w:highlight w:val="none"/>
          <w:u w:val="single"/>
        </w:rPr>
        <w:t xml:space="preserve">       </w:t>
      </w:r>
      <w:r>
        <w:rPr>
          <w:rFonts w:hint="eastAsia" w:ascii="宋体" w:hAnsi="宋体"/>
          <w:b/>
          <w:color w:val="auto"/>
          <w:highlight w:val="none"/>
        </w:rPr>
        <w:t>（签字或盖章）</w:t>
      </w:r>
    </w:p>
    <w:p w14:paraId="124A3A52">
      <w:pPr>
        <w:spacing w:line="360" w:lineRule="auto"/>
        <w:ind w:firstLine="482"/>
        <w:jc w:val="center"/>
        <w:rPr>
          <w:rFonts w:hint="eastAsia" w:ascii="宋体" w:hAnsi="宋体"/>
          <w:b/>
          <w:color w:val="auto"/>
          <w:highlight w:val="none"/>
        </w:rPr>
      </w:pPr>
      <w:r>
        <w:rPr>
          <w:rFonts w:hint="eastAsia" w:ascii="宋体" w:hAnsi="宋体"/>
          <w:b/>
          <w:color w:val="auto"/>
          <w:highlight w:val="none"/>
        </w:rPr>
        <w:t xml:space="preserve">             年   月  日</w:t>
      </w:r>
    </w:p>
    <w:p w14:paraId="5B5FB905">
      <w:pPr>
        <w:spacing w:line="360" w:lineRule="auto"/>
        <w:rPr>
          <w:color w:val="auto"/>
          <w:highlight w:val="none"/>
        </w:rPr>
      </w:pPr>
      <w:r>
        <w:rPr>
          <w:color w:val="auto"/>
          <w:highlight w:val="none"/>
        </w:rPr>
        <w:t xml:space="preserve"> </w:t>
      </w:r>
    </w:p>
    <w:p w14:paraId="1A501696">
      <w:pPr>
        <w:pStyle w:val="4"/>
        <w:numPr>
          <w:ilvl w:val="0"/>
          <w:numId w:val="12"/>
        </w:numPr>
        <w:tabs>
          <w:tab w:val="left" w:pos="425"/>
        </w:tabs>
        <w:spacing w:line="360" w:lineRule="auto"/>
        <w:ind w:left="0" w:leftChars="0" w:firstLine="643" w:firstLineChars="200"/>
        <w:jc w:val="both"/>
        <w:rPr>
          <w:rFonts w:hint="eastAsia" w:ascii="宋体" w:hAnsi="Times New Roman" w:eastAsia="宋体" w:cs="Times New Roman"/>
          <w:b/>
          <w:color w:val="auto"/>
          <w:kern w:val="2"/>
          <w:sz w:val="32"/>
          <w:szCs w:val="32"/>
          <w:highlight w:val="none"/>
          <w:lang w:val="zh-CN" w:eastAsia="zh-CN" w:bidi="ar-SA"/>
        </w:rPr>
      </w:pPr>
      <w:bookmarkStart w:id="305" w:name="_Toc1261"/>
      <w:bookmarkStart w:id="306" w:name="_Toc18489"/>
      <w:r>
        <w:rPr>
          <w:rFonts w:hint="eastAsia" w:ascii="宋体" w:hAnsi="Times New Roman" w:eastAsia="宋体" w:cs="Times New Roman"/>
          <w:b/>
          <w:color w:val="auto"/>
          <w:kern w:val="2"/>
          <w:sz w:val="32"/>
          <w:szCs w:val="32"/>
          <w:highlight w:val="none"/>
          <w:lang w:val="zh-CN" w:eastAsia="zh-CN" w:bidi="ar-SA"/>
        </w:rPr>
        <w:t>法定代表人证明书</w:t>
      </w:r>
      <w:bookmarkEnd w:id="305"/>
      <w:bookmarkEnd w:id="306"/>
    </w:p>
    <w:p w14:paraId="7F06D66E">
      <w:pPr>
        <w:numPr>
          <w:ilvl w:val="0"/>
          <w:numId w:val="0"/>
        </w:numPr>
        <w:rPr>
          <w:color w:val="auto"/>
          <w:highlight w:val="none"/>
          <w:lang w:val="zh-CN"/>
        </w:rPr>
      </w:pPr>
    </w:p>
    <w:p w14:paraId="40013108">
      <w:pPr>
        <w:autoSpaceDE w:val="0"/>
        <w:autoSpaceDN w:val="0"/>
        <w:spacing w:line="360" w:lineRule="auto"/>
        <w:jc w:val="center"/>
        <w:rPr>
          <w:rFonts w:cs="Arial"/>
          <w:b/>
          <w:bCs/>
          <w:color w:val="auto"/>
          <w:sz w:val="30"/>
          <w:szCs w:val="30"/>
          <w:highlight w:val="none"/>
          <w:lang w:val="zh-CN"/>
        </w:rPr>
      </w:pPr>
      <w:r>
        <w:rPr>
          <w:rFonts w:cs="Arial"/>
          <w:b/>
          <w:bCs/>
          <w:color w:val="auto"/>
          <w:sz w:val="30"/>
          <w:szCs w:val="30"/>
          <w:highlight w:val="none"/>
          <w:lang w:val="zh-CN"/>
        </w:rPr>
        <w:t>法定代表人证明书</w:t>
      </w:r>
    </w:p>
    <w:p w14:paraId="7F58F5F5">
      <w:pPr>
        <w:autoSpaceDE w:val="0"/>
        <w:autoSpaceDN w:val="0"/>
        <w:spacing w:line="360" w:lineRule="auto"/>
        <w:rPr>
          <w:rFonts w:cs="Arial"/>
          <w:b/>
          <w:bCs/>
          <w:color w:val="auto"/>
          <w:highlight w:val="none"/>
          <w:lang w:val="zh-CN"/>
        </w:rPr>
      </w:pPr>
      <w:r>
        <w:rPr>
          <w:rFonts w:cs="Arial"/>
          <w:b/>
          <w:bCs/>
          <w:color w:val="auto"/>
          <w:highlight w:val="none"/>
          <w:lang w:val="zh-CN"/>
        </w:rPr>
        <w:t>致：</w:t>
      </w:r>
      <w:r>
        <w:rPr>
          <w:rFonts w:hint="eastAsia" w:cs="Arial"/>
          <w:b/>
          <w:bCs/>
          <w:color w:val="auto"/>
          <w:highlight w:val="none"/>
          <w:lang w:val="zh-CN"/>
        </w:rPr>
        <w:t>青海海际项目咨询管理有限公司</w:t>
      </w:r>
    </w:p>
    <w:p w14:paraId="386CBE59">
      <w:pPr>
        <w:autoSpaceDE w:val="0"/>
        <w:autoSpaceDN w:val="0"/>
        <w:spacing w:line="360" w:lineRule="auto"/>
        <w:rPr>
          <w:rFonts w:cs="Arial"/>
          <w:color w:val="auto"/>
          <w:highlight w:val="none"/>
          <w:lang w:val="zh-CN"/>
        </w:rPr>
      </w:pPr>
      <w:r>
        <w:rPr>
          <w:rFonts w:cs="Arial"/>
          <w:color w:val="auto"/>
          <w:highlight w:val="none"/>
          <w:lang w:val="zh-CN"/>
        </w:rPr>
        <w:t xml:space="preserve"> </w:t>
      </w:r>
    </w:p>
    <w:p w14:paraId="7A7FBDFE">
      <w:pPr>
        <w:autoSpaceDE w:val="0"/>
        <w:autoSpaceDN w:val="0"/>
        <w:spacing w:line="360" w:lineRule="auto"/>
        <w:rPr>
          <w:rFonts w:cs="Arial"/>
          <w:color w:val="auto"/>
          <w:highlight w:val="none"/>
          <w:lang w:val="zh-CN"/>
        </w:rPr>
      </w:pPr>
      <w:r>
        <w:rPr>
          <w:rFonts w:cs="Arial"/>
          <w:color w:val="auto"/>
          <w:highlight w:val="none"/>
          <w:lang w:val="zh-CN"/>
        </w:rPr>
        <w:t xml:space="preserve">    </w:t>
      </w:r>
      <w:r>
        <w:rPr>
          <w:rFonts w:cs="Arial"/>
          <w:color w:val="auto"/>
          <w:highlight w:val="none"/>
          <w:u w:val="single"/>
          <w:lang w:val="zh-CN"/>
        </w:rPr>
        <w:t xml:space="preserve">（法定代表人姓名）  </w:t>
      </w:r>
      <w:r>
        <w:rPr>
          <w:rFonts w:cs="Arial"/>
          <w:color w:val="auto"/>
          <w:highlight w:val="none"/>
          <w:lang w:val="zh-CN"/>
        </w:rPr>
        <w:t>现任我单位</w:t>
      </w:r>
      <w:r>
        <w:rPr>
          <w:rFonts w:cs="Arial"/>
          <w:color w:val="auto"/>
          <w:highlight w:val="none"/>
          <w:u w:val="single"/>
          <w:lang w:val="zh-CN"/>
        </w:rPr>
        <w:t xml:space="preserve">              </w:t>
      </w:r>
      <w:r>
        <w:rPr>
          <w:rFonts w:cs="Arial"/>
          <w:color w:val="auto"/>
          <w:highlight w:val="none"/>
          <w:lang w:val="zh-CN"/>
        </w:rPr>
        <w:t>职务，为法定代表人，特此证明。</w:t>
      </w:r>
    </w:p>
    <w:p w14:paraId="4D3FCE0F">
      <w:pPr>
        <w:autoSpaceDE w:val="0"/>
        <w:autoSpaceDN w:val="0"/>
        <w:spacing w:line="360" w:lineRule="auto"/>
        <w:rPr>
          <w:rFonts w:cs="Arial"/>
          <w:color w:val="auto"/>
          <w:highlight w:val="none"/>
          <w:lang w:val="zh-CN"/>
        </w:rPr>
      </w:pPr>
    </w:p>
    <w:p w14:paraId="2FB07297">
      <w:pPr>
        <w:autoSpaceDE w:val="0"/>
        <w:autoSpaceDN w:val="0"/>
        <w:spacing w:line="360" w:lineRule="auto"/>
        <w:rPr>
          <w:rFonts w:cs="Arial"/>
          <w:color w:val="auto"/>
          <w:highlight w:val="none"/>
          <w:lang w:val="zh-CN"/>
        </w:rPr>
      </w:pPr>
      <w:r>
        <w:rPr>
          <w:rFonts w:cs="Arial"/>
          <w:color w:val="auto"/>
          <w:highlight w:val="none"/>
          <w:lang w:val="zh-CN"/>
        </w:rPr>
        <w:t xml:space="preserve">法定代表人基本情况： </w:t>
      </w:r>
    </w:p>
    <w:p w14:paraId="047052F6">
      <w:pPr>
        <w:autoSpaceDE w:val="0"/>
        <w:autoSpaceDN w:val="0"/>
        <w:spacing w:line="360" w:lineRule="auto"/>
        <w:rPr>
          <w:rFonts w:cs="Arial"/>
          <w:color w:val="auto"/>
          <w:highlight w:val="none"/>
          <w:lang w:val="zh-CN"/>
        </w:rPr>
      </w:pPr>
    </w:p>
    <w:p w14:paraId="6F6CE084">
      <w:pPr>
        <w:autoSpaceDE w:val="0"/>
        <w:autoSpaceDN w:val="0"/>
        <w:spacing w:line="360" w:lineRule="auto"/>
        <w:rPr>
          <w:rFonts w:cs="Arial"/>
          <w:color w:val="auto"/>
          <w:highlight w:val="none"/>
          <w:u w:val="single"/>
          <w:lang w:val="zh-CN"/>
        </w:rPr>
      </w:pPr>
      <w:r>
        <w:rPr>
          <w:rFonts w:cs="Arial"/>
          <w:color w:val="auto"/>
          <w:highlight w:val="none"/>
          <w:lang w:val="zh-CN"/>
        </w:rPr>
        <w:t>性别：</w:t>
      </w:r>
      <w:r>
        <w:rPr>
          <w:rFonts w:cs="Arial"/>
          <w:color w:val="auto"/>
          <w:highlight w:val="none"/>
          <w:u w:val="single"/>
          <w:lang w:val="zh-CN"/>
        </w:rPr>
        <w:t xml:space="preserve">   </w:t>
      </w:r>
      <w:r>
        <w:rPr>
          <w:rFonts w:hint="eastAsia" w:cs="Arial"/>
          <w:color w:val="auto"/>
          <w:highlight w:val="none"/>
          <w:u w:val="single"/>
        </w:rPr>
        <w:t xml:space="preserve">  </w:t>
      </w:r>
      <w:r>
        <w:rPr>
          <w:rFonts w:cs="Arial"/>
          <w:color w:val="auto"/>
          <w:highlight w:val="none"/>
          <w:u w:val="single"/>
          <w:lang w:val="zh-CN"/>
        </w:rPr>
        <w:t xml:space="preserve">  </w:t>
      </w:r>
      <w:r>
        <w:rPr>
          <w:rFonts w:hint="eastAsia" w:cs="Arial"/>
          <w:color w:val="auto"/>
          <w:highlight w:val="none"/>
          <w:u w:val="single"/>
        </w:rPr>
        <w:t xml:space="preserve"> </w:t>
      </w:r>
      <w:r>
        <w:rPr>
          <w:rFonts w:cs="Arial"/>
          <w:color w:val="auto"/>
          <w:highlight w:val="none"/>
          <w:u w:val="single"/>
          <w:lang w:val="zh-CN"/>
        </w:rPr>
        <w:t xml:space="preserve">      </w:t>
      </w:r>
      <w:r>
        <w:rPr>
          <w:rFonts w:cs="Arial"/>
          <w:color w:val="auto"/>
          <w:highlight w:val="none"/>
          <w:lang w:val="zh-CN"/>
        </w:rPr>
        <w:t>年龄：</w:t>
      </w:r>
      <w:r>
        <w:rPr>
          <w:rFonts w:cs="Arial"/>
          <w:color w:val="auto"/>
          <w:highlight w:val="none"/>
          <w:u w:val="single"/>
          <w:lang w:val="zh-CN"/>
        </w:rPr>
        <w:t xml:space="preserve">    </w:t>
      </w:r>
      <w:r>
        <w:rPr>
          <w:rFonts w:hint="eastAsia" w:cs="Arial"/>
          <w:color w:val="auto"/>
          <w:highlight w:val="none"/>
          <w:u w:val="single"/>
        </w:rPr>
        <w:t xml:space="preserve">   </w:t>
      </w:r>
      <w:r>
        <w:rPr>
          <w:rFonts w:cs="Arial"/>
          <w:color w:val="auto"/>
          <w:highlight w:val="none"/>
          <w:u w:val="single"/>
          <w:lang w:val="zh-CN"/>
        </w:rPr>
        <w:t xml:space="preserve">       </w:t>
      </w:r>
      <w:r>
        <w:rPr>
          <w:rFonts w:cs="Arial"/>
          <w:color w:val="auto"/>
          <w:highlight w:val="none"/>
          <w:lang w:val="zh-CN"/>
        </w:rPr>
        <w:t xml:space="preserve"> 民族：</w:t>
      </w:r>
      <w:r>
        <w:rPr>
          <w:rFonts w:hint="eastAsia" w:cs="Arial"/>
          <w:color w:val="auto"/>
          <w:highlight w:val="none"/>
        </w:rPr>
        <w:t>_________</w:t>
      </w:r>
      <w:r>
        <w:rPr>
          <w:rFonts w:cs="Arial"/>
          <w:color w:val="auto"/>
          <w:highlight w:val="none"/>
          <w:u w:val="single"/>
          <w:lang w:val="zh-CN"/>
        </w:rPr>
        <w:t xml:space="preserve">        </w:t>
      </w:r>
    </w:p>
    <w:p w14:paraId="13151817">
      <w:pPr>
        <w:autoSpaceDE w:val="0"/>
        <w:autoSpaceDN w:val="0"/>
        <w:spacing w:line="360" w:lineRule="auto"/>
        <w:rPr>
          <w:rFonts w:cs="Arial"/>
          <w:color w:val="auto"/>
          <w:highlight w:val="none"/>
          <w:lang w:val="zh-CN"/>
        </w:rPr>
      </w:pPr>
    </w:p>
    <w:p w14:paraId="523D83A7">
      <w:pPr>
        <w:autoSpaceDE w:val="0"/>
        <w:autoSpaceDN w:val="0"/>
        <w:spacing w:line="360" w:lineRule="auto"/>
        <w:rPr>
          <w:rFonts w:cs="Arial"/>
          <w:color w:val="auto"/>
          <w:highlight w:val="none"/>
          <w:u w:val="single"/>
          <w:lang w:val="zh-CN"/>
        </w:rPr>
      </w:pPr>
      <w:r>
        <w:rPr>
          <w:rFonts w:cs="Arial"/>
          <w:color w:val="auto"/>
          <w:highlight w:val="none"/>
          <w:lang w:val="zh-CN"/>
        </w:rPr>
        <w:t>地址：</w:t>
      </w:r>
      <w:r>
        <w:rPr>
          <w:rFonts w:hint="eastAsia" w:cs="Arial"/>
          <w:color w:val="auto"/>
          <w:highlight w:val="none"/>
        </w:rPr>
        <w:t>____________________________________</w:t>
      </w:r>
      <w:r>
        <w:rPr>
          <w:rFonts w:cs="Arial"/>
          <w:color w:val="auto"/>
          <w:highlight w:val="none"/>
        </w:rPr>
        <w:t xml:space="preserve">      </w:t>
      </w:r>
      <w:r>
        <w:rPr>
          <w:rFonts w:cs="Arial"/>
          <w:color w:val="auto"/>
          <w:highlight w:val="none"/>
          <w:u w:val="single"/>
          <w:lang w:val="zh-CN"/>
        </w:rPr>
        <w:t xml:space="preserve">                                           </w:t>
      </w:r>
    </w:p>
    <w:p w14:paraId="1848D68F">
      <w:pPr>
        <w:autoSpaceDE w:val="0"/>
        <w:autoSpaceDN w:val="0"/>
        <w:spacing w:line="360" w:lineRule="auto"/>
        <w:rPr>
          <w:rFonts w:cs="Arial"/>
          <w:color w:val="auto"/>
          <w:highlight w:val="none"/>
          <w:lang w:val="zh-CN"/>
        </w:rPr>
      </w:pPr>
    </w:p>
    <w:p w14:paraId="6AF32B66">
      <w:pPr>
        <w:autoSpaceDE w:val="0"/>
        <w:autoSpaceDN w:val="0"/>
        <w:spacing w:line="360" w:lineRule="auto"/>
        <w:rPr>
          <w:rFonts w:cs="Arial"/>
          <w:color w:val="auto"/>
          <w:highlight w:val="none"/>
          <w:lang w:val="zh-CN"/>
        </w:rPr>
      </w:pPr>
      <w:r>
        <w:rPr>
          <w:rFonts w:cs="Arial"/>
          <w:color w:val="auto"/>
          <w:highlight w:val="none"/>
          <w:lang w:val="zh-CN"/>
        </w:rPr>
        <w:t>身份证号码：</w:t>
      </w:r>
      <w:r>
        <w:rPr>
          <w:rFonts w:hint="eastAsia" w:cs="Arial"/>
          <w:color w:val="auto"/>
          <w:highlight w:val="none"/>
        </w:rPr>
        <w:t>____________________________________</w:t>
      </w:r>
      <w:r>
        <w:rPr>
          <w:rFonts w:cs="Arial"/>
          <w:color w:val="auto"/>
          <w:highlight w:val="none"/>
        </w:rPr>
        <w:t xml:space="preserve">   </w:t>
      </w:r>
      <w:r>
        <w:rPr>
          <w:rFonts w:cs="Arial"/>
          <w:color w:val="auto"/>
          <w:highlight w:val="none"/>
          <w:u w:val="single"/>
          <w:lang w:val="zh-CN"/>
        </w:rPr>
        <w:t xml:space="preserve">                                      </w:t>
      </w:r>
    </w:p>
    <w:p w14:paraId="69E85C0E">
      <w:pPr>
        <w:autoSpaceDE w:val="0"/>
        <w:autoSpaceDN w:val="0"/>
        <w:adjustRightInd w:val="0"/>
        <w:spacing w:before="159" w:beforeLines="50" w:line="360" w:lineRule="auto"/>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附</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法定代表人第二代身份证双面扫描或其他身份证明材料（复印件）</w:t>
      </w:r>
    </w:p>
    <w:p w14:paraId="0732FA8B">
      <w:pPr>
        <w:pStyle w:val="12"/>
        <w:spacing w:line="360" w:lineRule="auto"/>
        <w:rPr>
          <w:rFonts w:cs="Arial"/>
          <w:color w:val="auto"/>
          <w:highlight w:val="none"/>
          <w:lang w:val="zh-CN"/>
        </w:rPr>
      </w:pPr>
    </w:p>
    <w:p w14:paraId="51E957AD">
      <w:pPr>
        <w:pStyle w:val="17"/>
        <w:spacing w:line="360" w:lineRule="auto"/>
        <w:rPr>
          <w:rFonts w:cs="Arial"/>
          <w:color w:val="auto"/>
          <w:highlight w:val="none"/>
          <w:lang w:val="zh-CN"/>
        </w:rPr>
      </w:pPr>
    </w:p>
    <w:p w14:paraId="13AFC988">
      <w:pPr>
        <w:pStyle w:val="17"/>
        <w:spacing w:line="360" w:lineRule="auto"/>
        <w:ind w:left="0" w:leftChars="0" w:firstLine="0" w:firstLineChars="0"/>
        <w:rPr>
          <w:rFonts w:cs="Arial"/>
          <w:color w:val="auto"/>
          <w:highlight w:val="none"/>
          <w:lang w:val="zh-CN"/>
        </w:rPr>
      </w:pPr>
    </w:p>
    <w:p w14:paraId="456EC37A">
      <w:pPr>
        <w:autoSpaceDE w:val="0"/>
        <w:autoSpaceDN w:val="0"/>
        <w:spacing w:line="360" w:lineRule="auto"/>
        <w:rPr>
          <w:rFonts w:cs="Arial"/>
          <w:color w:val="auto"/>
          <w:highlight w:val="none"/>
          <w:lang w:val="zh-CN"/>
        </w:rPr>
      </w:pPr>
    </w:p>
    <w:p w14:paraId="7434A328">
      <w:pPr>
        <w:tabs>
          <w:tab w:val="left" w:pos="168"/>
        </w:tabs>
        <w:spacing w:line="360" w:lineRule="auto"/>
        <w:textAlignment w:val="baseline"/>
        <w:rPr>
          <w:rFonts w:cs="Arial"/>
          <w:bCs/>
          <w:color w:val="auto"/>
          <w:sz w:val="28"/>
          <w:szCs w:val="28"/>
          <w:highlight w:val="none"/>
        </w:rPr>
      </w:pPr>
    </w:p>
    <w:p w14:paraId="28A526BA">
      <w:pPr>
        <w:spacing w:line="360" w:lineRule="auto"/>
        <w:ind w:firstLine="482"/>
        <w:jc w:val="center"/>
        <w:rPr>
          <w:rFonts w:hint="eastAsia" w:ascii="宋体" w:hAnsi="宋体"/>
          <w:b/>
          <w:color w:val="auto"/>
          <w:highlight w:val="none"/>
        </w:rPr>
      </w:pPr>
      <w:r>
        <w:rPr>
          <w:rFonts w:hint="eastAsia" w:ascii="宋体" w:hAnsi="宋体"/>
          <w:b/>
          <w:color w:val="auto"/>
          <w:highlight w:val="none"/>
        </w:rPr>
        <w:t xml:space="preserve">  投标供应商：</w:t>
      </w:r>
      <w:r>
        <w:rPr>
          <w:rFonts w:hint="eastAsia" w:ascii="仿宋_GB2312" w:eastAsia="仿宋_GB2312" w:cs="宋体"/>
          <w:color w:val="auto"/>
          <w:kern w:val="0"/>
          <w:highlight w:val="none"/>
          <w:u w:val="single"/>
        </w:rPr>
        <w:t xml:space="preserve">       </w:t>
      </w:r>
      <w:r>
        <w:rPr>
          <w:rFonts w:hint="eastAsia" w:ascii="宋体" w:hAnsi="宋体"/>
          <w:b/>
          <w:color w:val="auto"/>
          <w:highlight w:val="none"/>
        </w:rPr>
        <w:t>（公章）</w:t>
      </w:r>
    </w:p>
    <w:p w14:paraId="5699FF81">
      <w:pPr>
        <w:spacing w:line="360" w:lineRule="auto"/>
        <w:ind w:firstLine="482"/>
        <w:jc w:val="center"/>
        <w:rPr>
          <w:rFonts w:ascii="宋体" w:hAnsi="宋体"/>
          <w:b/>
          <w:color w:val="auto"/>
          <w:highlight w:val="none"/>
        </w:rPr>
      </w:pPr>
      <w:r>
        <w:rPr>
          <w:rFonts w:hint="eastAsia" w:ascii="宋体" w:hAnsi="宋体"/>
          <w:b/>
          <w:color w:val="auto"/>
          <w:highlight w:val="none"/>
        </w:rPr>
        <w:t xml:space="preserve">              </w:t>
      </w:r>
      <w:r>
        <w:rPr>
          <w:rFonts w:hint="eastAsia" w:ascii="宋体" w:hAnsi="宋体"/>
          <w:b/>
          <w:color w:val="auto"/>
          <w:highlight w:val="none"/>
          <w:lang w:val="en-US" w:eastAsia="zh-CN"/>
        </w:rPr>
        <w:t xml:space="preserve">   </w:t>
      </w:r>
      <w:r>
        <w:rPr>
          <w:rFonts w:hint="eastAsia" w:ascii="宋体" w:hAnsi="宋体"/>
          <w:b/>
          <w:color w:val="auto"/>
          <w:highlight w:val="none"/>
        </w:rPr>
        <w:t xml:space="preserve">    法定代表人：</w:t>
      </w:r>
      <w:r>
        <w:rPr>
          <w:rFonts w:hint="eastAsia" w:ascii="仿宋_GB2312" w:eastAsia="仿宋_GB2312" w:cs="宋体"/>
          <w:color w:val="auto"/>
          <w:kern w:val="0"/>
          <w:highlight w:val="none"/>
          <w:u w:val="single"/>
        </w:rPr>
        <w:t xml:space="preserve">       </w:t>
      </w:r>
      <w:r>
        <w:rPr>
          <w:rFonts w:hint="eastAsia" w:ascii="宋体" w:hAnsi="宋体"/>
          <w:b/>
          <w:color w:val="auto"/>
          <w:highlight w:val="none"/>
        </w:rPr>
        <w:t>（签字或盖章）</w:t>
      </w:r>
    </w:p>
    <w:p w14:paraId="61007DAC">
      <w:pPr>
        <w:spacing w:line="360" w:lineRule="auto"/>
        <w:ind w:firstLine="482"/>
        <w:jc w:val="center"/>
        <w:rPr>
          <w:rFonts w:hint="eastAsia" w:ascii="宋体" w:hAnsi="宋体"/>
          <w:b/>
          <w:color w:val="auto"/>
          <w:highlight w:val="none"/>
        </w:rPr>
      </w:pPr>
      <w:r>
        <w:rPr>
          <w:rFonts w:hint="eastAsia" w:ascii="宋体" w:hAnsi="宋体"/>
          <w:b/>
          <w:color w:val="auto"/>
          <w:highlight w:val="none"/>
        </w:rPr>
        <w:t xml:space="preserve">             年   月  日</w:t>
      </w:r>
    </w:p>
    <w:p w14:paraId="3825968F">
      <w:pPr>
        <w:pStyle w:val="4"/>
        <w:numPr>
          <w:ilvl w:val="0"/>
          <w:numId w:val="0"/>
        </w:numPr>
        <w:tabs>
          <w:tab w:val="left" w:pos="425"/>
        </w:tabs>
        <w:spacing w:line="360" w:lineRule="auto"/>
        <w:ind w:left="0" w:leftChars="0" w:firstLine="480" w:firstLineChars="200"/>
        <w:jc w:val="left"/>
        <w:rPr>
          <w:rFonts w:ascii="Arial" w:hAnsi="Arial" w:cs="Arial"/>
          <w:color w:val="auto"/>
          <w:szCs w:val="28"/>
          <w:highlight w:val="none"/>
        </w:rPr>
      </w:pPr>
      <w:r>
        <w:rPr>
          <w:rFonts w:ascii="Arial" w:hAnsi="Arial" w:cs="Arial"/>
          <w:color w:val="auto"/>
          <w:szCs w:val="28"/>
          <w:highlight w:val="none"/>
        </w:rPr>
        <w:br w:type="page"/>
      </w:r>
      <w:bookmarkStart w:id="307" w:name="_Toc8034"/>
      <w:bookmarkStart w:id="308" w:name="_Toc17417"/>
      <w:r>
        <w:rPr>
          <w:rFonts w:hint="eastAsia" w:ascii="宋体" w:hAnsi="Times New Roman" w:eastAsia="宋体" w:cs="Times New Roman"/>
          <w:b/>
          <w:color w:val="auto"/>
          <w:kern w:val="2"/>
          <w:sz w:val="32"/>
          <w:szCs w:val="32"/>
          <w:highlight w:val="none"/>
          <w:lang w:val="en-US" w:eastAsia="zh-CN" w:bidi="ar-SA"/>
        </w:rPr>
        <w:t>3.</w:t>
      </w:r>
      <w:r>
        <w:rPr>
          <w:rFonts w:hint="eastAsia" w:ascii="宋体" w:hAnsi="Times New Roman" w:eastAsia="宋体" w:cs="Times New Roman"/>
          <w:b/>
          <w:color w:val="auto"/>
          <w:kern w:val="2"/>
          <w:sz w:val="32"/>
          <w:szCs w:val="32"/>
          <w:highlight w:val="none"/>
          <w:lang w:val="zh-CN" w:eastAsia="zh-CN" w:bidi="ar-SA"/>
        </w:rPr>
        <w:t>法定代表人授权书</w:t>
      </w:r>
      <w:bookmarkEnd w:id="307"/>
      <w:bookmarkEnd w:id="308"/>
    </w:p>
    <w:p w14:paraId="032F36BA">
      <w:pPr>
        <w:autoSpaceDE w:val="0"/>
        <w:autoSpaceDN w:val="0"/>
        <w:spacing w:line="360" w:lineRule="auto"/>
        <w:jc w:val="center"/>
        <w:rPr>
          <w:rFonts w:cs="Arial"/>
          <w:b/>
          <w:bCs/>
          <w:color w:val="auto"/>
          <w:sz w:val="30"/>
          <w:szCs w:val="30"/>
          <w:highlight w:val="none"/>
          <w:lang w:val="zh-CN"/>
        </w:rPr>
      </w:pPr>
    </w:p>
    <w:p w14:paraId="65E758AF">
      <w:pPr>
        <w:autoSpaceDE w:val="0"/>
        <w:autoSpaceDN w:val="0"/>
        <w:spacing w:line="360" w:lineRule="auto"/>
        <w:jc w:val="center"/>
        <w:rPr>
          <w:rFonts w:cs="Arial"/>
          <w:b/>
          <w:bCs/>
          <w:color w:val="auto"/>
          <w:sz w:val="30"/>
          <w:szCs w:val="30"/>
          <w:highlight w:val="none"/>
          <w:lang w:val="zh-CN"/>
        </w:rPr>
      </w:pPr>
      <w:r>
        <w:rPr>
          <w:rFonts w:cs="Arial"/>
          <w:b/>
          <w:bCs/>
          <w:color w:val="auto"/>
          <w:sz w:val="30"/>
          <w:szCs w:val="30"/>
          <w:highlight w:val="none"/>
          <w:lang w:val="zh-CN"/>
        </w:rPr>
        <w:t>法定代表人授权书</w:t>
      </w:r>
    </w:p>
    <w:p w14:paraId="2036AF13">
      <w:pPr>
        <w:spacing w:line="360" w:lineRule="auto"/>
        <w:rPr>
          <w:rFonts w:cs="Arial"/>
          <w:b/>
          <w:bCs/>
          <w:color w:val="auto"/>
          <w:highlight w:val="none"/>
        </w:rPr>
      </w:pPr>
      <w:r>
        <w:rPr>
          <w:rFonts w:cs="Arial"/>
          <w:b/>
          <w:bCs/>
          <w:color w:val="auto"/>
          <w:highlight w:val="none"/>
        </w:rPr>
        <w:t>致：</w:t>
      </w:r>
      <w:r>
        <w:rPr>
          <w:rFonts w:hint="eastAsia" w:cs="Arial"/>
          <w:b/>
          <w:bCs/>
          <w:color w:val="auto"/>
          <w:highlight w:val="none"/>
        </w:rPr>
        <w:t>青海海际项目咨询管理有限公司</w:t>
      </w:r>
    </w:p>
    <w:p w14:paraId="6D5CACAA">
      <w:pPr>
        <w:spacing w:line="360" w:lineRule="auto"/>
        <w:rPr>
          <w:rFonts w:cs="Arial"/>
          <w:color w:val="auto"/>
          <w:highlight w:val="none"/>
          <w:u w:val="single"/>
        </w:rPr>
      </w:pPr>
    </w:p>
    <w:p w14:paraId="48126C2C">
      <w:pPr>
        <w:spacing w:line="360" w:lineRule="auto"/>
        <w:ind w:firstLine="480" w:firstLineChars="200"/>
        <w:rPr>
          <w:rFonts w:cs="Arial"/>
          <w:color w:val="auto"/>
          <w:highlight w:val="none"/>
        </w:rPr>
      </w:pPr>
      <w:r>
        <w:rPr>
          <w:rFonts w:cs="Arial"/>
          <w:color w:val="auto"/>
          <w:highlight w:val="none"/>
          <w:u w:val="single"/>
        </w:rPr>
        <w:t xml:space="preserve"> （投标供应商名称）  </w:t>
      </w:r>
      <w:r>
        <w:rPr>
          <w:rFonts w:cs="Arial"/>
          <w:color w:val="auto"/>
          <w:highlight w:val="none"/>
        </w:rPr>
        <w:t>系中华人民共和国合法企业，法定地址</w:t>
      </w:r>
      <w:r>
        <w:rPr>
          <w:rFonts w:cs="Arial"/>
          <w:color w:val="auto"/>
          <w:highlight w:val="none"/>
          <w:u w:val="single"/>
        </w:rPr>
        <w:t xml:space="preserve">              </w:t>
      </w:r>
      <w:r>
        <w:rPr>
          <w:rFonts w:cs="Arial"/>
          <w:color w:val="auto"/>
          <w:highlight w:val="none"/>
        </w:rPr>
        <w:t>。</w:t>
      </w:r>
    </w:p>
    <w:p w14:paraId="3EE19FF7">
      <w:pPr>
        <w:spacing w:line="360" w:lineRule="auto"/>
        <w:ind w:firstLine="480" w:firstLineChars="200"/>
        <w:rPr>
          <w:rFonts w:cs="Arial"/>
          <w:color w:val="auto"/>
          <w:highlight w:val="none"/>
        </w:rPr>
      </w:pPr>
      <w:r>
        <w:rPr>
          <w:rFonts w:cs="Arial"/>
          <w:color w:val="auto"/>
          <w:highlight w:val="none"/>
          <w:u w:val="single"/>
        </w:rPr>
        <w:t xml:space="preserve">（法定代表人姓名）  </w:t>
      </w:r>
      <w:r>
        <w:rPr>
          <w:rFonts w:cs="Arial"/>
          <w:color w:val="auto"/>
          <w:highlight w:val="none"/>
        </w:rPr>
        <w:t>特授权</w:t>
      </w:r>
      <w:r>
        <w:rPr>
          <w:rFonts w:cs="Arial"/>
          <w:color w:val="auto"/>
          <w:highlight w:val="none"/>
          <w:u w:val="single"/>
        </w:rPr>
        <w:t>（被授权人姓名）</w:t>
      </w:r>
      <w:r>
        <w:rPr>
          <w:rFonts w:cs="Arial"/>
          <w:color w:val="auto"/>
          <w:highlight w:val="none"/>
        </w:rPr>
        <w:t>代表我单位全权办理</w:t>
      </w:r>
      <w:r>
        <w:rPr>
          <w:rFonts w:cs="Arial"/>
          <w:color w:val="auto"/>
          <w:highlight w:val="none"/>
          <w:u w:val="single"/>
        </w:rPr>
        <w:t xml:space="preserve">         </w:t>
      </w:r>
      <w:r>
        <w:rPr>
          <w:rFonts w:cs="Arial"/>
          <w:color w:val="auto"/>
          <w:highlight w:val="none"/>
        </w:rPr>
        <w:t>项目的磋商、答疑等具体工作，并签署全部有关的文件、协议及合同。</w:t>
      </w:r>
    </w:p>
    <w:p w14:paraId="1E0439E4">
      <w:pPr>
        <w:spacing w:line="360" w:lineRule="auto"/>
        <w:ind w:firstLine="480" w:firstLineChars="200"/>
        <w:rPr>
          <w:rFonts w:cs="Arial"/>
          <w:color w:val="auto"/>
          <w:highlight w:val="none"/>
        </w:rPr>
      </w:pPr>
      <w:r>
        <w:rPr>
          <w:rFonts w:cs="Arial"/>
          <w:color w:val="auto"/>
          <w:highlight w:val="none"/>
        </w:rPr>
        <w:t>我单位对被授权人的签名负全部责任。</w:t>
      </w:r>
    </w:p>
    <w:p w14:paraId="470FB240">
      <w:pPr>
        <w:spacing w:line="360" w:lineRule="auto"/>
        <w:ind w:firstLine="480" w:firstLineChars="200"/>
        <w:rPr>
          <w:rFonts w:cs="Arial"/>
          <w:color w:val="auto"/>
          <w:highlight w:val="none"/>
        </w:rPr>
      </w:pPr>
      <w:r>
        <w:rPr>
          <w:rFonts w:cs="Arial"/>
          <w:color w:val="auto"/>
          <w:highlight w:val="none"/>
        </w:rPr>
        <w:t>在撤销授权的书面通知以前，本授权书一直有效。被授权人签署的所有文件（在授权书有效期内签署的）不因授权的撤销而失效。</w:t>
      </w:r>
    </w:p>
    <w:p w14:paraId="4E6E31A9">
      <w:pPr>
        <w:autoSpaceDE w:val="0"/>
        <w:autoSpaceDN w:val="0"/>
        <w:spacing w:line="360" w:lineRule="auto"/>
        <w:ind w:firstLine="480" w:firstLineChars="200"/>
        <w:rPr>
          <w:rFonts w:cs="Arial"/>
          <w:color w:val="auto"/>
          <w:highlight w:val="none"/>
          <w:lang w:val="zh-CN"/>
        </w:rPr>
      </w:pPr>
      <w:r>
        <w:rPr>
          <w:rFonts w:cs="Arial"/>
          <w:color w:val="auto"/>
          <w:highlight w:val="none"/>
          <w:lang w:val="zh-CN"/>
        </w:rPr>
        <w:t>授权期限：自</w:t>
      </w:r>
      <w:r>
        <w:rPr>
          <w:rFonts w:cs="Arial"/>
          <w:color w:val="auto"/>
          <w:highlight w:val="none"/>
          <w:u w:val="single"/>
          <w:lang w:val="zh-CN"/>
        </w:rPr>
        <w:t xml:space="preserve">      </w:t>
      </w:r>
      <w:r>
        <w:rPr>
          <w:rFonts w:cs="Arial"/>
          <w:color w:val="auto"/>
          <w:highlight w:val="none"/>
          <w:lang w:val="zh-CN"/>
        </w:rPr>
        <w:t>年</w:t>
      </w:r>
      <w:r>
        <w:rPr>
          <w:rFonts w:cs="Arial"/>
          <w:color w:val="auto"/>
          <w:highlight w:val="none"/>
          <w:u w:val="single"/>
          <w:lang w:val="zh-CN"/>
        </w:rPr>
        <w:t xml:space="preserve">   </w:t>
      </w:r>
      <w:r>
        <w:rPr>
          <w:rFonts w:cs="Arial"/>
          <w:color w:val="auto"/>
          <w:highlight w:val="none"/>
          <w:lang w:val="zh-CN"/>
        </w:rPr>
        <w:t>月</w:t>
      </w:r>
      <w:r>
        <w:rPr>
          <w:rFonts w:cs="Arial"/>
          <w:color w:val="auto"/>
          <w:highlight w:val="none"/>
          <w:u w:val="single"/>
          <w:lang w:val="zh-CN"/>
        </w:rPr>
        <w:t xml:space="preserve">   </w:t>
      </w:r>
      <w:r>
        <w:rPr>
          <w:rFonts w:cs="Arial"/>
          <w:color w:val="auto"/>
          <w:highlight w:val="none"/>
          <w:lang w:val="zh-CN"/>
        </w:rPr>
        <w:t>日起至</w:t>
      </w:r>
      <w:r>
        <w:rPr>
          <w:rFonts w:cs="Arial"/>
          <w:color w:val="auto"/>
          <w:highlight w:val="none"/>
          <w:u w:val="single"/>
          <w:lang w:val="zh-CN"/>
        </w:rPr>
        <w:t xml:space="preserve">      </w:t>
      </w:r>
      <w:r>
        <w:rPr>
          <w:rFonts w:cs="Arial"/>
          <w:color w:val="auto"/>
          <w:highlight w:val="none"/>
          <w:lang w:val="zh-CN"/>
        </w:rPr>
        <w:t>年</w:t>
      </w:r>
      <w:r>
        <w:rPr>
          <w:rFonts w:cs="Arial"/>
          <w:color w:val="auto"/>
          <w:highlight w:val="none"/>
          <w:u w:val="single"/>
          <w:lang w:val="zh-CN"/>
        </w:rPr>
        <w:t xml:space="preserve">   </w:t>
      </w:r>
      <w:r>
        <w:rPr>
          <w:rFonts w:cs="Arial"/>
          <w:color w:val="auto"/>
          <w:highlight w:val="none"/>
          <w:lang w:val="zh-CN"/>
        </w:rPr>
        <w:t>月</w:t>
      </w:r>
      <w:r>
        <w:rPr>
          <w:rFonts w:cs="Arial"/>
          <w:color w:val="auto"/>
          <w:highlight w:val="none"/>
          <w:u w:val="single"/>
          <w:lang w:val="zh-CN"/>
        </w:rPr>
        <w:t xml:space="preserve">   </w:t>
      </w:r>
      <w:r>
        <w:rPr>
          <w:rFonts w:cs="Arial"/>
          <w:color w:val="auto"/>
          <w:highlight w:val="none"/>
          <w:lang w:val="zh-CN"/>
        </w:rPr>
        <w:t>日止（授权期限必须满足投标有效期的要求）。</w:t>
      </w:r>
    </w:p>
    <w:p w14:paraId="33F031D3">
      <w:pPr>
        <w:spacing w:line="360" w:lineRule="auto"/>
        <w:rPr>
          <w:rFonts w:cs="Arial"/>
          <w:color w:val="auto"/>
          <w:highlight w:val="none"/>
        </w:rPr>
      </w:pPr>
    </w:p>
    <w:p w14:paraId="7A687041">
      <w:pPr>
        <w:spacing w:line="360" w:lineRule="auto"/>
        <w:rPr>
          <w:rFonts w:cs="Arial"/>
          <w:color w:val="auto"/>
          <w:highlight w:val="none"/>
          <w:u w:val="single"/>
        </w:rPr>
      </w:pPr>
      <w:r>
        <w:rPr>
          <w:rFonts w:cs="Arial"/>
          <w:color w:val="auto"/>
          <w:highlight w:val="none"/>
        </w:rPr>
        <w:t>被授权人联系电话：</w:t>
      </w:r>
      <w:r>
        <w:rPr>
          <w:rFonts w:hint="eastAsia" w:cs="Arial"/>
          <w:color w:val="auto"/>
          <w:highlight w:val="none"/>
          <w:u w:val="single"/>
        </w:rPr>
        <w:t xml:space="preserve">         </w:t>
      </w:r>
      <w:r>
        <w:rPr>
          <w:rFonts w:cs="Arial"/>
          <w:color w:val="auto"/>
          <w:highlight w:val="none"/>
          <w:u w:val="single"/>
        </w:rPr>
        <w:t xml:space="preserve">       </w:t>
      </w:r>
      <w:r>
        <w:rPr>
          <w:rFonts w:hint="eastAsia" w:cs="Arial"/>
          <w:color w:val="auto"/>
          <w:highlight w:val="none"/>
          <w:u w:val="single"/>
        </w:rPr>
        <w:t xml:space="preserve">          </w:t>
      </w:r>
      <w:r>
        <w:rPr>
          <w:rFonts w:cs="Arial"/>
          <w:color w:val="auto"/>
          <w:highlight w:val="none"/>
          <w:u w:val="single"/>
        </w:rPr>
        <w:t xml:space="preserve">        </w:t>
      </w:r>
      <w:r>
        <w:rPr>
          <w:rFonts w:cs="Arial"/>
          <w:color w:val="auto"/>
          <w:highlight w:val="none"/>
        </w:rPr>
        <w:t xml:space="preserve">               </w:t>
      </w:r>
      <w:r>
        <w:rPr>
          <w:rFonts w:hint="eastAsia" w:cs="Arial"/>
          <w:color w:val="auto"/>
          <w:highlight w:val="none"/>
          <w:u w:val="single"/>
        </w:rPr>
        <w:t xml:space="preserve">             </w:t>
      </w:r>
      <w:r>
        <w:rPr>
          <w:rFonts w:cs="Arial"/>
          <w:color w:val="auto"/>
          <w:highlight w:val="none"/>
          <w:u w:val="single"/>
        </w:rPr>
        <w:t xml:space="preserve">               </w:t>
      </w:r>
    </w:p>
    <w:p w14:paraId="5A8A9DE9">
      <w:pPr>
        <w:spacing w:line="360" w:lineRule="auto"/>
        <w:rPr>
          <w:rFonts w:cs="Arial"/>
          <w:color w:val="auto"/>
          <w:highlight w:val="none"/>
          <w:u w:val="single"/>
        </w:rPr>
      </w:pPr>
      <w:r>
        <w:rPr>
          <w:rFonts w:cs="Arial"/>
          <w:color w:val="auto"/>
          <w:highlight w:val="none"/>
        </w:rPr>
        <w:t>被授权人（委托代理人）签名：</w:t>
      </w:r>
      <w:r>
        <w:rPr>
          <w:rFonts w:cs="Arial"/>
          <w:color w:val="auto"/>
          <w:highlight w:val="none"/>
          <w:u w:val="single"/>
        </w:rPr>
        <w:t xml:space="preserve">           </w:t>
      </w:r>
      <w:r>
        <w:rPr>
          <w:rFonts w:cs="Arial"/>
          <w:color w:val="auto"/>
          <w:highlight w:val="none"/>
        </w:rPr>
        <w:t>授权人（法定代表人）签名：</w:t>
      </w:r>
      <w:r>
        <w:rPr>
          <w:rFonts w:cs="Arial"/>
          <w:color w:val="auto"/>
          <w:highlight w:val="none"/>
          <w:u w:val="single"/>
        </w:rPr>
        <w:tab/>
      </w:r>
      <w:r>
        <w:rPr>
          <w:rFonts w:cs="Arial"/>
          <w:color w:val="auto"/>
          <w:highlight w:val="none"/>
          <w:u w:val="single"/>
        </w:rPr>
        <w:tab/>
      </w:r>
    </w:p>
    <w:p w14:paraId="17B04AC2">
      <w:pPr>
        <w:spacing w:line="360" w:lineRule="auto"/>
        <w:rPr>
          <w:rFonts w:cs="Arial"/>
          <w:color w:val="auto"/>
          <w:highlight w:val="none"/>
          <w:u w:val="single"/>
        </w:rPr>
      </w:pPr>
      <w:r>
        <w:rPr>
          <w:rFonts w:cs="Arial"/>
          <w:color w:val="auto"/>
          <w:highlight w:val="none"/>
        </w:rPr>
        <w:t>职务：</w:t>
      </w:r>
      <w:r>
        <w:rPr>
          <w:rFonts w:cs="Arial"/>
          <w:color w:val="auto"/>
          <w:highlight w:val="none"/>
          <w:u w:val="single"/>
        </w:rPr>
        <w:t xml:space="preserve">       </w:t>
      </w:r>
      <w:r>
        <w:rPr>
          <w:rFonts w:hint="eastAsia" w:cs="Arial"/>
          <w:color w:val="auto"/>
          <w:highlight w:val="none"/>
          <w:u w:val="single"/>
        </w:rPr>
        <w:t xml:space="preserve">          </w:t>
      </w:r>
      <w:r>
        <w:rPr>
          <w:rFonts w:cs="Arial"/>
          <w:color w:val="auto"/>
          <w:highlight w:val="none"/>
          <w:u w:val="single"/>
        </w:rPr>
        <w:t xml:space="preserve">    </w:t>
      </w:r>
      <w:r>
        <w:rPr>
          <w:rFonts w:cs="Arial"/>
          <w:color w:val="auto"/>
          <w:highlight w:val="none"/>
        </w:rPr>
        <w:t xml:space="preserve">            职务：</w:t>
      </w:r>
      <w:r>
        <w:rPr>
          <w:rFonts w:cs="Arial"/>
          <w:color w:val="auto"/>
          <w:highlight w:val="none"/>
          <w:u w:val="single"/>
        </w:rPr>
        <w:tab/>
      </w:r>
      <w:r>
        <w:rPr>
          <w:rFonts w:cs="Arial"/>
          <w:color w:val="auto"/>
          <w:highlight w:val="none"/>
          <w:u w:val="single"/>
        </w:rPr>
        <w:tab/>
      </w:r>
      <w:r>
        <w:rPr>
          <w:rFonts w:cs="Arial"/>
          <w:color w:val="auto"/>
          <w:highlight w:val="none"/>
          <w:u w:val="single"/>
        </w:rPr>
        <w:tab/>
      </w:r>
    </w:p>
    <w:p w14:paraId="55C2D012">
      <w:pPr>
        <w:spacing w:line="360" w:lineRule="auto"/>
        <w:rPr>
          <w:rFonts w:hint="eastAsia" w:ascii="宋体" w:hAnsi="宋体" w:cs="宋体"/>
          <w:color w:val="auto"/>
          <w:kern w:val="0"/>
          <w:sz w:val="24"/>
          <w:szCs w:val="24"/>
          <w:highlight w:val="none"/>
          <w:lang w:val="zh-CN" w:eastAsia="zh-CN"/>
        </w:rPr>
      </w:pPr>
      <w:r>
        <w:rPr>
          <w:rFonts w:cs="Arial"/>
          <w:color w:val="auto"/>
          <w:highlight w:val="none"/>
        </w:rPr>
        <w:t>附：</w:t>
      </w:r>
      <w:r>
        <w:rPr>
          <w:rFonts w:hint="eastAsia" w:ascii="宋体" w:hAnsi="宋体" w:cs="宋体"/>
          <w:color w:val="auto"/>
          <w:kern w:val="0"/>
          <w:sz w:val="24"/>
          <w:szCs w:val="24"/>
          <w:highlight w:val="none"/>
        </w:rPr>
        <w:t>被授权人第二代身份证双面扫描（或复印）件</w:t>
      </w:r>
    </w:p>
    <w:p w14:paraId="61667132">
      <w:pPr>
        <w:autoSpaceDE w:val="0"/>
        <w:autoSpaceDN w:val="0"/>
        <w:spacing w:line="360" w:lineRule="auto"/>
        <w:rPr>
          <w:rFonts w:cs="Arial"/>
          <w:color w:val="auto"/>
          <w:highlight w:val="none"/>
        </w:rPr>
      </w:pPr>
    </w:p>
    <w:p w14:paraId="2BA0E2FE">
      <w:pPr>
        <w:pStyle w:val="12"/>
        <w:spacing w:line="360" w:lineRule="auto"/>
        <w:rPr>
          <w:color w:val="auto"/>
          <w:highlight w:val="none"/>
        </w:rPr>
      </w:pPr>
    </w:p>
    <w:p w14:paraId="2FCCBDEE">
      <w:pPr>
        <w:pStyle w:val="17"/>
        <w:spacing w:line="360" w:lineRule="auto"/>
        <w:rPr>
          <w:color w:val="auto"/>
          <w:highlight w:val="none"/>
        </w:rPr>
      </w:pPr>
    </w:p>
    <w:p w14:paraId="5F22762C">
      <w:pPr>
        <w:pStyle w:val="17"/>
        <w:spacing w:line="360" w:lineRule="auto"/>
        <w:rPr>
          <w:color w:val="auto"/>
          <w:highlight w:val="none"/>
        </w:rPr>
      </w:pPr>
    </w:p>
    <w:p w14:paraId="2D84F43D">
      <w:pPr>
        <w:pStyle w:val="57"/>
        <w:spacing w:line="360" w:lineRule="auto"/>
        <w:ind w:left="0" w:leftChars="0" w:firstLine="0" w:firstLineChars="0"/>
        <w:rPr>
          <w:color w:val="auto"/>
          <w:highlight w:val="none"/>
        </w:rPr>
      </w:pPr>
    </w:p>
    <w:p w14:paraId="79BD6F36">
      <w:pPr>
        <w:spacing w:line="360" w:lineRule="auto"/>
        <w:ind w:firstLine="482"/>
        <w:jc w:val="center"/>
        <w:rPr>
          <w:rFonts w:hint="eastAsia" w:ascii="宋体" w:hAnsi="宋体"/>
          <w:b/>
          <w:color w:val="auto"/>
          <w:highlight w:val="none"/>
        </w:rPr>
      </w:pPr>
      <w:r>
        <w:rPr>
          <w:rFonts w:hint="eastAsia" w:ascii="宋体" w:hAnsi="宋体"/>
          <w:b/>
          <w:color w:val="auto"/>
          <w:highlight w:val="none"/>
          <w:lang w:val="en-US" w:eastAsia="zh-CN"/>
        </w:rPr>
        <w:t xml:space="preserve">               </w:t>
      </w:r>
      <w:r>
        <w:rPr>
          <w:rFonts w:hint="eastAsia" w:ascii="宋体" w:hAnsi="宋体"/>
          <w:b/>
          <w:color w:val="auto"/>
          <w:highlight w:val="none"/>
        </w:rPr>
        <w:t xml:space="preserve">   投标供应商：</w:t>
      </w:r>
      <w:r>
        <w:rPr>
          <w:rFonts w:hint="eastAsia" w:ascii="仿宋_GB2312" w:eastAsia="仿宋_GB2312" w:cs="宋体"/>
          <w:color w:val="auto"/>
          <w:kern w:val="0"/>
          <w:highlight w:val="none"/>
          <w:u w:val="single"/>
        </w:rPr>
        <w:t xml:space="preserve">       </w:t>
      </w:r>
      <w:r>
        <w:rPr>
          <w:rFonts w:hint="eastAsia" w:ascii="宋体" w:hAnsi="宋体"/>
          <w:b/>
          <w:color w:val="auto"/>
          <w:highlight w:val="none"/>
        </w:rPr>
        <w:t>（公章）</w:t>
      </w:r>
    </w:p>
    <w:p w14:paraId="60EAC69A">
      <w:pPr>
        <w:spacing w:line="360" w:lineRule="auto"/>
        <w:ind w:firstLine="482"/>
        <w:jc w:val="center"/>
        <w:rPr>
          <w:rFonts w:ascii="宋体" w:hAnsi="宋体"/>
          <w:b/>
          <w:color w:val="auto"/>
          <w:highlight w:val="none"/>
        </w:rPr>
      </w:pPr>
      <w:r>
        <w:rPr>
          <w:rFonts w:hint="eastAsia" w:ascii="宋体" w:hAnsi="宋体"/>
          <w:b/>
          <w:color w:val="auto"/>
          <w:highlight w:val="none"/>
        </w:rPr>
        <w:t xml:space="preserve">              </w:t>
      </w:r>
      <w:r>
        <w:rPr>
          <w:rFonts w:hint="eastAsia" w:ascii="宋体" w:hAnsi="宋体"/>
          <w:b/>
          <w:color w:val="auto"/>
          <w:highlight w:val="none"/>
          <w:lang w:val="en-US" w:eastAsia="zh-CN"/>
        </w:rPr>
        <w:t xml:space="preserve">   </w:t>
      </w:r>
      <w:r>
        <w:rPr>
          <w:rFonts w:hint="eastAsia" w:ascii="宋体" w:hAnsi="宋体"/>
          <w:b/>
          <w:color w:val="auto"/>
          <w:highlight w:val="none"/>
        </w:rPr>
        <w:t xml:space="preserve">    法定代表人：</w:t>
      </w:r>
      <w:r>
        <w:rPr>
          <w:rFonts w:hint="eastAsia" w:ascii="仿宋_GB2312" w:eastAsia="仿宋_GB2312" w:cs="宋体"/>
          <w:color w:val="auto"/>
          <w:kern w:val="0"/>
          <w:highlight w:val="none"/>
          <w:u w:val="single"/>
        </w:rPr>
        <w:t xml:space="preserve">       </w:t>
      </w:r>
      <w:r>
        <w:rPr>
          <w:rFonts w:hint="eastAsia" w:ascii="宋体" w:hAnsi="宋体"/>
          <w:b/>
          <w:color w:val="auto"/>
          <w:highlight w:val="none"/>
        </w:rPr>
        <w:t>（签字或盖章）</w:t>
      </w:r>
    </w:p>
    <w:p w14:paraId="7E4DC542">
      <w:pPr>
        <w:spacing w:line="360" w:lineRule="auto"/>
        <w:ind w:firstLine="482"/>
        <w:jc w:val="center"/>
        <w:rPr>
          <w:rFonts w:hint="eastAsia" w:ascii="宋体" w:hAnsi="宋体"/>
          <w:b/>
          <w:color w:val="auto"/>
          <w:highlight w:val="none"/>
        </w:rPr>
      </w:pPr>
      <w:r>
        <w:rPr>
          <w:rFonts w:hint="eastAsia" w:ascii="宋体" w:hAnsi="宋体"/>
          <w:b/>
          <w:color w:val="auto"/>
          <w:highlight w:val="none"/>
        </w:rPr>
        <w:t xml:space="preserve">             年   月  日</w:t>
      </w:r>
    </w:p>
    <w:p w14:paraId="0B7F9F9C">
      <w:pPr>
        <w:pStyle w:val="25"/>
        <w:spacing w:line="360" w:lineRule="auto"/>
        <w:jc w:val="left"/>
        <w:rPr>
          <w:rFonts w:hint="eastAsia" w:ascii="宋体" w:hAnsi="宋体"/>
          <w:b/>
          <w:bCs w:val="0"/>
          <w:color w:val="auto"/>
          <w:kern w:val="2"/>
          <w:sz w:val="32"/>
          <w:szCs w:val="20"/>
          <w:highlight w:val="none"/>
          <w:lang w:val="zh-CN" w:eastAsia="zh-CN" w:bidi="ar-SA"/>
        </w:rPr>
      </w:pPr>
    </w:p>
    <w:p w14:paraId="7B71ADED">
      <w:pPr>
        <w:pStyle w:val="4"/>
        <w:numPr>
          <w:ilvl w:val="0"/>
          <w:numId w:val="0"/>
        </w:numPr>
        <w:tabs>
          <w:tab w:val="left" w:pos="425"/>
        </w:tabs>
        <w:spacing w:line="360" w:lineRule="auto"/>
        <w:ind w:left="0" w:leftChars="0" w:firstLine="643" w:firstLineChars="200"/>
        <w:jc w:val="left"/>
        <w:rPr>
          <w:rFonts w:hint="default"/>
          <w:color w:val="auto"/>
          <w:sz w:val="32"/>
          <w:szCs w:val="32"/>
          <w:highlight w:val="none"/>
          <w:lang w:val="en-US"/>
        </w:rPr>
      </w:pPr>
      <w:bookmarkStart w:id="309" w:name="_Toc8208"/>
      <w:r>
        <w:rPr>
          <w:rFonts w:hint="default" w:ascii="宋体" w:hAnsi="Times New Roman" w:eastAsia="宋体" w:cs="Times New Roman"/>
          <w:b/>
          <w:color w:val="auto"/>
          <w:kern w:val="2"/>
          <w:sz w:val="32"/>
          <w:szCs w:val="32"/>
          <w:highlight w:val="none"/>
          <w:lang w:val="en-US" w:eastAsia="zh-CN" w:bidi="ar-SA"/>
        </w:rPr>
        <w:t>4．</w:t>
      </w:r>
      <w:bookmarkStart w:id="310" w:name="_Toc8650"/>
      <w:r>
        <w:rPr>
          <w:rFonts w:hint="eastAsia" w:ascii="宋体" w:hAnsi="Times New Roman" w:eastAsia="宋体" w:cs="Times New Roman"/>
          <w:b/>
          <w:color w:val="auto"/>
          <w:kern w:val="2"/>
          <w:sz w:val="32"/>
          <w:szCs w:val="32"/>
          <w:highlight w:val="none"/>
          <w:lang w:val="en-US" w:eastAsia="zh-CN" w:bidi="ar-SA"/>
        </w:rPr>
        <w:t>联合体协议书（如有）</w:t>
      </w:r>
      <w:bookmarkEnd w:id="309"/>
      <w:bookmarkEnd w:id="310"/>
    </w:p>
    <w:p w14:paraId="68677AA5">
      <w:pPr>
        <w:spacing w:line="360" w:lineRule="auto"/>
        <w:rPr>
          <w:rFonts w:hint="default"/>
          <w:color w:val="auto"/>
          <w:highlight w:val="none"/>
          <w:lang w:val="en-US"/>
        </w:rPr>
      </w:pPr>
    </w:p>
    <w:p w14:paraId="1B6C2D9F">
      <w:pPr>
        <w:autoSpaceDE w:val="0"/>
        <w:autoSpaceDN w:val="0"/>
        <w:adjustRightInd w:val="0"/>
        <w:spacing w:line="360" w:lineRule="auto"/>
        <w:jc w:val="center"/>
        <w:rPr>
          <w:rFonts w:hint="eastAsia" w:ascii="宋体" w:hAnsi="宋体" w:cs="宋体"/>
          <w:b/>
          <w:bCs/>
          <w:color w:val="auto"/>
          <w:kern w:val="0"/>
          <w:sz w:val="30"/>
          <w:szCs w:val="30"/>
          <w:highlight w:val="none"/>
          <w:lang w:val="zh-CN"/>
        </w:rPr>
      </w:pPr>
      <w:r>
        <w:rPr>
          <w:rFonts w:hint="eastAsia" w:ascii="宋体" w:hAnsi="宋体" w:cs="宋体"/>
          <w:b/>
          <w:bCs/>
          <w:color w:val="auto"/>
          <w:kern w:val="0"/>
          <w:sz w:val="30"/>
          <w:szCs w:val="30"/>
          <w:highlight w:val="none"/>
          <w:lang w:val="en-US" w:eastAsia="zh-CN"/>
        </w:rPr>
        <w:t>联合体协议书（本项目不适用）</w:t>
      </w:r>
    </w:p>
    <w:p w14:paraId="24A70EE5">
      <w:pPr>
        <w:spacing w:line="360" w:lineRule="auto"/>
        <w:ind w:firstLine="480" w:firstLineChars="200"/>
        <w:rPr>
          <w:rFonts w:hint="eastAsia" w:ascii="宋体" w:hAnsi="宋体"/>
          <w:color w:val="auto"/>
          <w:sz w:val="24"/>
          <w:highlight w:val="none"/>
          <w:u w:val="single"/>
        </w:rPr>
      </w:pPr>
    </w:p>
    <w:p w14:paraId="55888D12">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 xml:space="preserve"> （所有成员单位名称）自愿组成</w:t>
      </w:r>
      <w:r>
        <w:rPr>
          <w:rFonts w:hint="eastAsia" w:ascii="宋体" w:hAnsi="宋体"/>
          <w:color w:val="auto"/>
          <w:sz w:val="24"/>
          <w:highlight w:val="none"/>
          <w:u w:val="single"/>
        </w:rPr>
        <w:t xml:space="preserve">    </w:t>
      </w:r>
      <w:r>
        <w:rPr>
          <w:rFonts w:hint="eastAsia" w:ascii="宋体" w:hAnsi="宋体"/>
          <w:color w:val="auto"/>
          <w:sz w:val="24"/>
          <w:highlight w:val="none"/>
        </w:rPr>
        <w:t>（联合体名称）联合体，共同参加</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（项目名称）</w:t>
      </w:r>
      <w:r>
        <w:rPr>
          <w:rFonts w:hint="eastAsia" w:ascii="宋体" w:hAnsi="宋体"/>
          <w:color w:val="auto"/>
          <w:sz w:val="24"/>
          <w:highlight w:val="none"/>
        </w:rPr>
        <w:t>投标。现就联合体投标事宜订立如下协议。</w:t>
      </w:r>
    </w:p>
    <w:p w14:paraId="163E8B4F">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u w:val="single"/>
        </w:rPr>
        <w:t xml:space="preserve">     </w:t>
      </w:r>
      <w:r>
        <w:rPr>
          <w:rFonts w:hint="eastAsia" w:ascii="宋体" w:hAnsi="宋体"/>
          <w:color w:val="auto"/>
          <w:sz w:val="24"/>
          <w:highlight w:val="none"/>
        </w:rPr>
        <w:t>（某成员单位名称）为</w:t>
      </w:r>
      <w:r>
        <w:rPr>
          <w:rFonts w:hint="eastAsia" w:ascii="宋体" w:hAnsi="宋体"/>
          <w:color w:val="auto"/>
          <w:sz w:val="24"/>
          <w:highlight w:val="none"/>
          <w:u w:val="single"/>
        </w:rPr>
        <w:t xml:space="preserve">       </w:t>
      </w:r>
      <w:r>
        <w:rPr>
          <w:rFonts w:hint="eastAsia" w:ascii="宋体" w:hAnsi="宋体"/>
          <w:color w:val="auto"/>
          <w:sz w:val="24"/>
          <w:highlight w:val="none"/>
        </w:rPr>
        <w:t>（联合体名称）牵头人。</w:t>
      </w:r>
    </w:p>
    <w:p w14:paraId="3684C91B">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1D0B9320">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3、联合体将严格按照招标文件的各项要求，递交投标文件，履行合同，并对外承担连带责任。</w:t>
      </w:r>
    </w:p>
    <w:p w14:paraId="23F9498D">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4、联合体各成员单位内部的职责分工如下：</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49E20460">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5、本协议书自签署之日起生效，合同履行完毕后自动失效。</w:t>
      </w:r>
    </w:p>
    <w:p w14:paraId="396DFC13">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6、本协议书一式</w:t>
      </w:r>
      <w:r>
        <w:rPr>
          <w:rFonts w:hint="eastAsia" w:ascii="宋体" w:hAnsi="宋体"/>
          <w:color w:val="auto"/>
          <w:sz w:val="24"/>
          <w:highlight w:val="none"/>
          <w:u w:val="single"/>
        </w:rPr>
        <w:t xml:space="preserve">     </w:t>
      </w:r>
      <w:r>
        <w:rPr>
          <w:rFonts w:hint="eastAsia" w:ascii="宋体" w:hAnsi="宋体"/>
          <w:color w:val="auto"/>
          <w:sz w:val="24"/>
          <w:highlight w:val="none"/>
        </w:rPr>
        <w:t>份，联合体成员和招标人各执一份。</w:t>
      </w:r>
    </w:p>
    <w:p w14:paraId="16D4073E">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注：本协议书由委托代理人签字的，应附法定代表人签字的授权委托书。</w:t>
      </w:r>
    </w:p>
    <w:p w14:paraId="2CF49D76">
      <w:pPr>
        <w:spacing w:line="360" w:lineRule="auto"/>
        <w:rPr>
          <w:rFonts w:hint="eastAsia" w:ascii="宋体" w:hAnsi="宋体"/>
          <w:color w:val="auto"/>
          <w:sz w:val="24"/>
          <w:highlight w:val="none"/>
        </w:rPr>
      </w:pPr>
    </w:p>
    <w:p w14:paraId="5BB1F429">
      <w:pPr>
        <w:spacing w:line="360" w:lineRule="auto"/>
        <w:rPr>
          <w:rFonts w:hint="eastAsia" w:ascii="宋体" w:hAnsi="宋体"/>
          <w:color w:val="auto"/>
          <w:sz w:val="24"/>
          <w:highlight w:val="none"/>
        </w:rPr>
      </w:pPr>
      <w:r>
        <w:rPr>
          <w:rFonts w:hint="eastAsia" w:ascii="宋体" w:hAnsi="宋体"/>
          <w:color w:val="auto"/>
          <w:sz w:val="24"/>
          <w:highlight w:val="none"/>
        </w:rPr>
        <w:t>牵头人名称：</w:t>
      </w:r>
      <w:r>
        <w:rPr>
          <w:rFonts w:hint="eastAsia" w:ascii="宋体" w:hAnsi="宋体"/>
          <w:color w:val="auto"/>
          <w:sz w:val="24"/>
          <w:highlight w:val="none"/>
          <w:u w:val="single"/>
        </w:rPr>
        <w:t xml:space="preserve">                       </w:t>
      </w:r>
      <w:r>
        <w:rPr>
          <w:rFonts w:hint="eastAsia" w:ascii="宋体" w:hAnsi="宋体"/>
          <w:color w:val="auto"/>
          <w:sz w:val="24"/>
          <w:highlight w:val="none"/>
        </w:rPr>
        <w:t>（盖单位章）</w:t>
      </w:r>
    </w:p>
    <w:p w14:paraId="6D8A5575">
      <w:pPr>
        <w:spacing w:line="360" w:lineRule="auto"/>
        <w:rPr>
          <w:rFonts w:hint="eastAsia" w:ascii="宋体" w:hAnsi="宋体"/>
          <w:color w:val="auto"/>
          <w:sz w:val="24"/>
          <w:highlight w:val="none"/>
        </w:rPr>
      </w:pPr>
      <w:r>
        <w:rPr>
          <w:rFonts w:hint="eastAsia" w:ascii="宋体" w:hAnsi="宋体"/>
          <w:color w:val="auto"/>
          <w:sz w:val="24"/>
          <w:highlight w:val="none"/>
        </w:rPr>
        <w:t>法定代表人或其委托代理人：</w:t>
      </w:r>
      <w:r>
        <w:rPr>
          <w:rFonts w:hint="eastAsia" w:ascii="宋体" w:hAnsi="宋体"/>
          <w:color w:val="auto"/>
          <w:sz w:val="24"/>
          <w:highlight w:val="none"/>
          <w:u w:val="single"/>
        </w:rPr>
        <w:t xml:space="preserve">         </w:t>
      </w:r>
      <w:r>
        <w:rPr>
          <w:rFonts w:hint="eastAsia" w:ascii="宋体" w:hAnsi="宋体"/>
          <w:color w:val="auto"/>
          <w:sz w:val="24"/>
          <w:highlight w:val="none"/>
        </w:rPr>
        <w:t>（签字）</w:t>
      </w:r>
    </w:p>
    <w:p w14:paraId="3ADB9261">
      <w:pPr>
        <w:spacing w:line="360" w:lineRule="auto"/>
        <w:ind w:firstLine="480" w:firstLineChars="200"/>
        <w:rPr>
          <w:rFonts w:hint="eastAsia" w:ascii="宋体" w:hAnsi="宋体"/>
          <w:color w:val="auto"/>
          <w:sz w:val="24"/>
          <w:highlight w:val="none"/>
        </w:rPr>
      </w:pPr>
    </w:p>
    <w:p w14:paraId="39298D2C">
      <w:pPr>
        <w:spacing w:line="360" w:lineRule="auto"/>
        <w:rPr>
          <w:rFonts w:hint="eastAsia" w:ascii="宋体" w:hAnsi="宋体"/>
          <w:color w:val="auto"/>
          <w:sz w:val="24"/>
          <w:highlight w:val="none"/>
        </w:rPr>
      </w:pPr>
      <w:r>
        <w:rPr>
          <w:rFonts w:hint="eastAsia" w:ascii="宋体" w:hAnsi="宋体"/>
          <w:color w:val="auto"/>
          <w:sz w:val="24"/>
          <w:highlight w:val="none"/>
        </w:rPr>
        <w:t>成员一名称：</w:t>
      </w:r>
      <w:r>
        <w:rPr>
          <w:rFonts w:hint="eastAsia" w:ascii="宋体" w:hAnsi="宋体"/>
          <w:color w:val="auto"/>
          <w:sz w:val="24"/>
          <w:highlight w:val="none"/>
          <w:u w:val="single"/>
        </w:rPr>
        <w:t xml:space="preserve">                       </w:t>
      </w:r>
      <w:r>
        <w:rPr>
          <w:rFonts w:hint="eastAsia" w:ascii="宋体" w:hAnsi="宋体"/>
          <w:color w:val="auto"/>
          <w:sz w:val="24"/>
          <w:highlight w:val="none"/>
        </w:rPr>
        <w:t>（盖单位章）</w:t>
      </w:r>
    </w:p>
    <w:p w14:paraId="3AC958C3">
      <w:pPr>
        <w:spacing w:line="360" w:lineRule="auto"/>
        <w:rPr>
          <w:rFonts w:hint="eastAsia" w:ascii="宋体" w:hAnsi="宋体"/>
          <w:color w:val="auto"/>
          <w:sz w:val="24"/>
          <w:highlight w:val="none"/>
        </w:rPr>
      </w:pPr>
      <w:r>
        <w:rPr>
          <w:rFonts w:hint="eastAsia" w:ascii="宋体" w:hAnsi="宋体"/>
          <w:color w:val="auto"/>
          <w:sz w:val="24"/>
          <w:highlight w:val="none"/>
        </w:rPr>
        <w:t>法定代表人或其委托代理人：</w:t>
      </w:r>
      <w:r>
        <w:rPr>
          <w:rFonts w:hint="eastAsia" w:ascii="宋体" w:hAnsi="宋体"/>
          <w:color w:val="auto"/>
          <w:sz w:val="24"/>
          <w:highlight w:val="none"/>
          <w:u w:val="single"/>
        </w:rPr>
        <w:t xml:space="preserve">         </w:t>
      </w:r>
      <w:r>
        <w:rPr>
          <w:rFonts w:hint="eastAsia" w:ascii="宋体" w:hAnsi="宋体"/>
          <w:color w:val="auto"/>
          <w:sz w:val="24"/>
          <w:highlight w:val="none"/>
        </w:rPr>
        <w:t>（签字）</w:t>
      </w:r>
    </w:p>
    <w:p w14:paraId="79F9987A">
      <w:pPr>
        <w:spacing w:line="360" w:lineRule="auto"/>
        <w:ind w:firstLine="480" w:firstLineChars="200"/>
        <w:rPr>
          <w:rFonts w:hint="eastAsia" w:ascii="宋体" w:hAnsi="宋体"/>
          <w:color w:val="auto"/>
          <w:sz w:val="24"/>
          <w:highlight w:val="none"/>
        </w:rPr>
      </w:pPr>
    </w:p>
    <w:p w14:paraId="2820F2B7">
      <w:pPr>
        <w:spacing w:line="360" w:lineRule="auto"/>
        <w:rPr>
          <w:rFonts w:hint="eastAsia" w:ascii="宋体" w:hAnsi="宋体"/>
          <w:color w:val="auto"/>
          <w:sz w:val="24"/>
          <w:highlight w:val="none"/>
        </w:rPr>
      </w:pPr>
      <w:r>
        <w:rPr>
          <w:rFonts w:hint="eastAsia" w:ascii="宋体" w:hAnsi="宋体"/>
          <w:color w:val="auto"/>
          <w:sz w:val="24"/>
          <w:highlight w:val="none"/>
        </w:rPr>
        <w:t>成员二名称：</w:t>
      </w:r>
      <w:r>
        <w:rPr>
          <w:rFonts w:hint="eastAsia" w:ascii="宋体" w:hAnsi="宋体"/>
          <w:color w:val="auto"/>
          <w:sz w:val="24"/>
          <w:highlight w:val="none"/>
          <w:u w:val="single"/>
        </w:rPr>
        <w:t xml:space="preserve">                       </w:t>
      </w:r>
      <w:r>
        <w:rPr>
          <w:rFonts w:hint="eastAsia" w:ascii="宋体" w:hAnsi="宋体"/>
          <w:color w:val="auto"/>
          <w:sz w:val="24"/>
          <w:highlight w:val="none"/>
        </w:rPr>
        <w:t>（盖单位章）</w:t>
      </w:r>
    </w:p>
    <w:p w14:paraId="4B6992D1">
      <w:pPr>
        <w:spacing w:line="360" w:lineRule="auto"/>
        <w:rPr>
          <w:rFonts w:hint="eastAsia" w:ascii="宋体" w:hAnsi="宋体"/>
          <w:color w:val="auto"/>
          <w:sz w:val="24"/>
          <w:highlight w:val="none"/>
        </w:rPr>
      </w:pPr>
      <w:r>
        <w:rPr>
          <w:rFonts w:hint="eastAsia" w:ascii="宋体" w:hAnsi="宋体"/>
          <w:color w:val="auto"/>
          <w:sz w:val="24"/>
          <w:highlight w:val="none"/>
        </w:rPr>
        <w:t>法定代表人或其委托代理人：</w:t>
      </w:r>
      <w:r>
        <w:rPr>
          <w:rFonts w:hint="eastAsia" w:ascii="宋体" w:hAnsi="宋体"/>
          <w:color w:val="auto"/>
          <w:sz w:val="24"/>
          <w:highlight w:val="none"/>
          <w:u w:val="single"/>
        </w:rPr>
        <w:t xml:space="preserve">         </w:t>
      </w:r>
      <w:r>
        <w:rPr>
          <w:rFonts w:hint="eastAsia" w:ascii="宋体" w:hAnsi="宋体"/>
          <w:color w:val="auto"/>
          <w:sz w:val="24"/>
          <w:highlight w:val="none"/>
        </w:rPr>
        <w:t>（签字）</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60C1999D">
      <w:pPr>
        <w:spacing w:line="360" w:lineRule="auto"/>
        <w:rPr>
          <w:rFonts w:ascii="Arial" w:hAnsi="Arial" w:cs="Arial"/>
          <w:b/>
          <w:bCs/>
          <w:color w:val="auto"/>
          <w:kern w:val="2"/>
          <w:sz w:val="32"/>
          <w:szCs w:val="32"/>
          <w:highlight w:val="none"/>
          <w:lang w:val="zh-CN"/>
        </w:rPr>
      </w:pPr>
      <w:r>
        <w:rPr>
          <w:rFonts w:ascii="Arial" w:hAnsi="Arial" w:cs="Arial"/>
          <w:b/>
          <w:bCs/>
          <w:color w:val="auto"/>
          <w:kern w:val="2"/>
          <w:sz w:val="32"/>
          <w:szCs w:val="32"/>
          <w:highlight w:val="none"/>
          <w:lang w:val="zh-CN"/>
        </w:rPr>
        <w:br w:type="page"/>
      </w:r>
    </w:p>
    <w:p w14:paraId="1C5353F8">
      <w:pPr>
        <w:pStyle w:val="4"/>
        <w:numPr>
          <w:ilvl w:val="0"/>
          <w:numId w:val="0"/>
        </w:numPr>
        <w:tabs>
          <w:tab w:val="left" w:pos="425"/>
        </w:tabs>
        <w:spacing w:line="360" w:lineRule="auto"/>
        <w:ind w:left="0" w:leftChars="0" w:firstLine="643" w:firstLineChars="200"/>
        <w:jc w:val="left"/>
        <w:rPr>
          <w:rFonts w:hint="eastAsia" w:ascii="宋体" w:hAnsi="Times New Roman" w:eastAsia="宋体" w:cs="Times New Roman"/>
          <w:b/>
          <w:color w:val="auto"/>
          <w:kern w:val="2"/>
          <w:sz w:val="32"/>
          <w:szCs w:val="32"/>
          <w:highlight w:val="none"/>
          <w:lang w:val="zh-CN" w:eastAsia="zh-CN" w:bidi="ar-SA"/>
        </w:rPr>
      </w:pPr>
      <w:bookmarkStart w:id="311" w:name="_Toc31433"/>
      <w:bookmarkStart w:id="312" w:name="_Toc25067"/>
      <w:r>
        <w:rPr>
          <w:rFonts w:hint="default" w:ascii="宋体" w:hAnsi="Times New Roman" w:eastAsia="宋体" w:cs="Times New Roman"/>
          <w:b/>
          <w:color w:val="auto"/>
          <w:kern w:val="2"/>
          <w:sz w:val="32"/>
          <w:szCs w:val="32"/>
          <w:highlight w:val="none"/>
          <w:lang w:val="zh-CN" w:eastAsia="zh-CN" w:bidi="ar-SA"/>
        </w:rPr>
        <w:t>5．</w:t>
      </w:r>
      <w:r>
        <w:rPr>
          <w:rFonts w:hint="eastAsia" w:ascii="宋体" w:hAnsi="Times New Roman" w:eastAsia="宋体" w:cs="Times New Roman"/>
          <w:b/>
          <w:color w:val="auto"/>
          <w:kern w:val="2"/>
          <w:sz w:val="32"/>
          <w:szCs w:val="32"/>
          <w:highlight w:val="none"/>
          <w:lang w:val="zh-CN" w:eastAsia="zh-CN" w:bidi="ar-SA"/>
        </w:rPr>
        <w:t>投标供应商承诺函</w:t>
      </w:r>
      <w:bookmarkEnd w:id="311"/>
      <w:bookmarkEnd w:id="312"/>
    </w:p>
    <w:p w14:paraId="7A82D5BF">
      <w:pPr>
        <w:autoSpaceDE w:val="0"/>
        <w:autoSpaceDN w:val="0"/>
        <w:spacing w:line="360" w:lineRule="auto"/>
        <w:jc w:val="center"/>
        <w:rPr>
          <w:rFonts w:cs="Arial"/>
          <w:b/>
          <w:bCs/>
          <w:color w:val="auto"/>
          <w:sz w:val="30"/>
          <w:szCs w:val="30"/>
          <w:highlight w:val="none"/>
          <w:lang w:val="zh-CN"/>
        </w:rPr>
      </w:pPr>
      <w:r>
        <w:rPr>
          <w:rFonts w:cs="Arial"/>
          <w:b/>
          <w:bCs/>
          <w:color w:val="auto"/>
          <w:sz w:val="30"/>
          <w:szCs w:val="30"/>
          <w:highlight w:val="none"/>
          <w:lang w:val="zh-CN"/>
        </w:rPr>
        <w:t>投标供应商承诺函</w:t>
      </w:r>
    </w:p>
    <w:p w14:paraId="48419826">
      <w:pPr>
        <w:spacing w:line="360" w:lineRule="auto"/>
        <w:rPr>
          <w:rFonts w:cs="Arial"/>
          <w:b/>
          <w:bCs/>
          <w:color w:val="auto"/>
          <w:szCs w:val="28"/>
          <w:highlight w:val="none"/>
        </w:rPr>
      </w:pPr>
      <w:r>
        <w:rPr>
          <w:rFonts w:cs="Arial"/>
          <w:b/>
          <w:bCs/>
          <w:color w:val="auto"/>
          <w:szCs w:val="28"/>
          <w:highlight w:val="none"/>
        </w:rPr>
        <w:t>致：</w:t>
      </w:r>
      <w:r>
        <w:rPr>
          <w:rFonts w:hint="eastAsia" w:cs="Arial"/>
          <w:b/>
          <w:bCs/>
          <w:color w:val="auto"/>
          <w:szCs w:val="28"/>
          <w:highlight w:val="none"/>
        </w:rPr>
        <w:t>青海海际项目咨询管理有限公司</w:t>
      </w:r>
    </w:p>
    <w:p w14:paraId="5FFC7FB7">
      <w:pPr>
        <w:spacing w:line="360" w:lineRule="auto"/>
        <w:rPr>
          <w:rFonts w:cs="Arial"/>
          <w:color w:val="auto"/>
          <w:szCs w:val="28"/>
          <w:highlight w:val="none"/>
        </w:rPr>
      </w:pPr>
    </w:p>
    <w:p w14:paraId="5026C40B">
      <w:pPr>
        <w:spacing w:line="360" w:lineRule="auto"/>
        <w:ind w:firstLine="480" w:firstLineChars="200"/>
        <w:rPr>
          <w:rFonts w:cs="Arial"/>
          <w:color w:val="auto"/>
          <w:szCs w:val="28"/>
          <w:highlight w:val="none"/>
        </w:rPr>
      </w:pPr>
      <w:r>
        <w:rPr>
          <w:rFonts w:cs="Arial"/>
          <w:color w:val="auto"/>
          <w:szCs w:val="28"/>
          <w:highlight w:val="none"/>
        </w:rPr>
        <w:t>关于贵方</w:t>
      </w:r>
      <w:r>
        <w:rPr>
          <w:rFonts w:cs="Arial"/>
          <w:color w:val="auto"/>
          <w:szCs w:val="28"/>
          <w:highlight w:val="none"/>
          <w:u w:val="single"/>
        </w:rPr>
        <w:t xml:space="preserve">     </w:t>
      </w:r>
      <w:r>
        <w:rPr>
          <w:rFonts w:cs="Arial"/>
          <w:color w:val="auto"/>
          <w:szCs w:val="28"/>
          <w:highlight w:val="none"/>
        </w:rPr>
        <w:t>年</w:t>
      </w:r>
      <w:r>
        <w:rPr>
          <w:rFonts w:cs="Arial"/>
          <w:color w:val="auto"/>
          <w:szCs w:val="28"/>
          <w:highlight w:val="none"/>
          <w:u w:val="single"/>
        </w:rPr>
        <w:t xml:space="preserve">   </w:t>
      </w:r>
      <w:r>
        <w:rPr>
          <w:rFonts w:cs="Arial"/>
          <w:color w:val="auto"/>
          <w:szCs w:val="28"/>
          <w:highlight w:val="none"/>
        </w:rPr>
        <w:t>月</w:t>
      </w:r>
      <w:r>
        <w:rPr>
          <w:rFonts w:cs="Arial"/>
          <w:color w:val="auto"/>
          <w:szCs w:val="28"/>
          <w:highlight w:val="none"/>
          <w:u w:val="single"/>
        </w:rPr>
        <w:t xml:space="preserve">   </w:t>
      </w:r>
      <w:r>
        <w:rPr>
          <w:rFonts w:cs="Arial"/>
          <w:color w:val="auto"/>
          <w:szCs w:val="28"/>
          <w:highlight w:val="none"/>
        </w:rPr>
        <w:t>日</w:t>
      </w:r>
      <w:r>
        <w:rPr>
          <w:rFonts w:cs="Arial"/>
          <w:color w:val="auto"/>
          <w:szCs w:val="28"/>
          <w:highlight w:val="none"/>
          <w:u w:val="single"/>
        </w:rPr>
        <w:t xml:space="preserve"> </w:t>
      </w:r>
      <w:r>
        <w:rPr>
          <w:rFonts w:hint="eastAsia" w:cs="Arial"/>
          <w:color w:val="auto"/>
          <w:szCs w:val="28"/>
          <w:highlight w:val="none"/>
          <w:u w:val="single"/>
        </w:rPr>
        <w:t xml:space="preserve">         </w:t>
      </w:r>
      <w:r>
        <w:rPr>
          <w:rFonts w:cs="Arial"/>
          <w:color w:val="auto"/>
          <w:szCs w:val="28"/>
          <w:highlight w:val="none"/>
          <w:u w:val="single"/>
        </w:rPr>
        <w:t>(项目名称)</w:t>
      </w:r>
      <w:r>
        <w:rPr>
          <w:rFonts w:cs="Arial"/>
          <w:color w:val="auto"/>
          <w:highlight w:val="none"/>
          <w:u w:val="single"/>
        </w:rPr>
        <w:t>（</w:t>
      </w:r>
      <w:r>
        <w:rPr>
          <w:rFonts w:hint="eastAsia" w:cs="Arial"/>
          <w:color w:val="auto"/>
          <w:highlight w:val="none"/>
          <w:u w:val="single"/>
        </w:rPr>
        <w:t>项目编号）</w:t>
      </w:r>
      <w:r>
        <w:rPr>
          <w:rFonts w:cs="Arial"/>
          <w:color w:val="auto"/>
          <w:szCs w:val="28"/>
          <w:highlight w:val="none"/>
        </w:rPr>
        <w:t>采购项目，本签字人愿意参加磋商，提供采购一览表中要求的所有产品，并证实提交的所有资料是准确的和真实的。同时，我代表</w:t>
      </w:r>
      <w:r>
        <w:rPr>
          <w:rFonts w:cs="Arial"/>
          <w:color w:val="auto"/>
          <w:szCs w:val="28"/>
          <w:highlight w:val="none"/>
          <w:u w:val="single"/>
        </w:rPr>
        <w:t>（投标供应商名称）</w:t>
      </w:r>
      <w:r>
        <w:rPr>
          <w:rFonts w:cs="Arial"/>
          <w:color w:val="auto"/>
          <w:szCs w:val="28"/>
          <w:highlight w:val="none"/>
        </w:rPr>
        <w:t>，在此作如下承诺：</w:t>
      </w:r>
    </w:p>
    <w:p w14:paraId="5F430F6C">
      <w:pPr>
        <w:spacing w:line="360" w:lineRule="auto"/>
        <w:ind w:firstLine="480" w:firstLineChars="200"/>
        <w:rPr>
          <w:rFonts w:cs="Arial"/>
          <w:color w:val="auto"/>
          <w:szCs w:val="28"/>
          <w:highlight w:val="none"/>
        </w:rPr>
      </w:pPr>
      <w:r>
        <w:rPr>
          <w:rFonts w:cs="Arial"/>
          <w:color w:val="auto"/>
          <w:szCs w:val="28"/>
          <w:highlight w:val="none"/>
        </w:rPr>
        <w:t>1、完全理解和接受磋商文件的一切规定和要求；</w:t>
      </w:r>
    </w:p>
    <w:p w14:paraId="2ADF00A5">
      <w:pPr>
        <w:spacing w:line="360" w:lineRule="auto"/>
        <w:ind w:firstLine="480" w:firstLineChars="200"/>
        <w:rPr>
          <w:rFonts w:cs="Arial"/>
          <w:color w:val="auto"/>
          <w:szCs w:val="28"/>
          <w:highlight w:val="none"/>
        </w:rPr>
      </w:pPr>
      <w:r>
        <w:rPr>
          <w:rFonts w:cs="Arial"/>
          <w:color w:val="auto"/>
          <w:szCs w:val="28"/>
          <w:highlight w:val="none"/>
        </w:rPr>
        <w:t>2、若成交，我方将按照磋商文件的具体规定与采购单位签订合同，并且严格履行合同义务，按时交货，提供优质的产品和服务。如果在合同执行过程中，发现质量出现问题，我方一定尽快更换或保修，并承担相应的经济责任；</w:t>
      </w:r>
    </w:p>
    <w:p w14:paraId="29DE5411">
      <w:pPr>
        <w:spacing w:line="360" w:lineRule="auto"/>
        <w:ind w:firstLine="480" w:firstLineChars="200"/>
        <w:rPr>
          <w:rFonts w:cs="Arial"/>
          <w:color w:val="auto"/>
          <w:szCs w:val="28"/>
          <w:highlight w:val="none"/>
        </w:rPr>
      </w:pPr>
      <w:r>
        <w:rPr>
          <w:rFonts w:cs="Arial"/>
          <w:color w:val="auto"/>
          <w:szCs w:val="28"/>
          <w:highlight w:val="none"/>
        </w:rPr>
        <w:t>3、在整个磋商过程中我方若有违规行为，贵方可按磋商文件之规定给予惩罚，我方完全接受。</w:t>
      </w:r>
    </w:p>
    <w:p w14:paraId="41EB89DA">
      <w:pPr>
        <w:spacing w:line="360" w:lineRule="auto"/>
        <w:ind w:firstLine="480" w:firstLineChars="200"/>
        <w:rPr>
          <w:rFonts w:cs="Arial"/>
          <w:color w:val="auto"/>
          <w:szCs w:val="28"/>
          <w:highlight w:val="none"/>
        </w:rPr>
      </w:pPr>
      <w:r>
        <w:rPr>
          <w:rFonts w:cs="Arial"/>
          <w:color w:val="auto"/>
          <w:szCs w:val="28"/>
          <w:highlight w:val="none"/>
        </w:rPr>
        <w:t>4、若成交，本承诺将成为合同不可分割的一部分，与合同具有同等的法律效力。</w:t>
      </w:r>
    </w:p>
    <w:p w14:paraId="19F0235F">
      <w:pPr>
        <w:tabs>
          <w:tab w:val="left" w:pos="168"/>
        </w:tabs>
        <w:spacing w:line="360" w:lineRule="auto"/>
        <w:ind w:firstLine="560" w:firstLineChars="200"/>
        <w:textAlignment w:val="baseline"/>
        <w:rPr>
          <w:rFonts w:cs="Arial"/>
          <w:bCs/>
          <w:color w:val="auto"/>
          <w:sz w:val="28"/>
          <w:szCs w:val="28"/>
          <w:highlight w:val="none"/>
        </w:rPr>
      </w:pPr>
    </w:p>
    <w:p w14:paraId="72D97E22">
      <w:pPr>
        <w:tabs>
          <w:tab w:val="left" w:pos="168"/>
        </w:tabs>
        <w:spacing w:line="360" w:lineRule="auto"/>
        <w:ind w:firstLine="560" w:firstLineChars="200"/>
        <w:textAlignment w:val="baseline"/>
        <w:rPr>
          <w:rFonts w:cs="Arial"/>
          <w:bCs/>
          <w:color w:val="auto"/>
          <w:sz w:val="28"/>
          <w:szCs w:val="28"/>
          <w:highlight w:val="none"/>
        </w:rPr>
      </w:pPr>
    </w:p>
    <w:p w14:paraId="7AB1E3B0">
      <w:pPr>
        <w:tabs>
          <w:tab w:val="left" w:pos="168"/>
        </w:tabs>
        <w:spacing w:line="360" w:lineRule="auto"/>
        <w:ind w:firstLine="560" w:firstLineChars="200"/>
        <w:textAlignment w:val="baseline"/>
        <w:rPr>
          <w:rFonts w:cs="Arial"/>
          <w:bCs/>
          <w:color w:val="auto"/>
          <w:sz w:val="28"/>
          <w:szCs w:val="28"/>
          <w:highlight w:val="none"/>
        </w:rPr>
      </w:pPr>
    </w:p>
    <w:p w14:paraId="4F6444F2">
      <w:pPr>
        <w:tabs>
          <w:tab w:val="left" w:pos="168"/>
        </w:tabs>
        <w:spacing w:line="360" w:lineRule="auto"/>
        <w:ind w:firstLine="560" w:firstLineChars="200"/>
        <w:textAlignment w:val="baseline"/>
        <w:rPr>
          <w:rFonts w:cs="Arial"/>
          <w:bCs/>
          <w:color w:val="auto"/>
          <w:sz w:val="28"/>
          <w:szCs w:val="28"/>
          <w:highlight w:val="none"/>
        </w:rPr>
      </w:pPr>
    </w:p>
    <w:p w14:paraId="04B94CDB">
      <w:pPr>
        <w:tabs>
          <w:tab w:val="left" w:pos="168"/>
        </w:tabs>
        <w:spacing w:line="360" w:lineRule="auto"/>
        <w:textAlignment w:val="baseline"/>
        <w:rPr>
          <w:rFonts w:cs="Arial"/>
          <w:bCs/>
          <w:color w:val="auto"/>
          <w:sz w:val="28"/>
          <w:szCs w:val="28"/>
          <w:highlight w:val="none"/>
        </w:rPr>
      </w:pPr>
    </w:p>
    <w:p w14:paraId="15620BB8">
      <w:pPr>
        <w:tabs>
          <w:tab w:val="left" w:pos="168"/>
        </w:tabs>
        <w:spacing w:line="360" w:lineRule="auto"/>
        <w:ind w:firstLine="560" w:firstLineChars="200"/>
        <w:textAlignment w:val="baseline"/>
        <w:rPr>
          <w:rFonts w:cs="Arial"/>
          <w:bCs/>
          <w:color w:val="auto"/>
          <w:sz w:val="28"/>
          <w:szCs w:val="28"/>
          <w:highlight w:val="none"/>
        </w:rPr>
      </w:pPr>
    </w:p>
    <w:p w14:paraId="27DB59F4">
      <w:pPr>
        <w:tabs>
          <w:tab w:val="left" w:pos="168"/>
        </w:tabs>
        <w:spacing w:line="360" w:lineRule="auto"/>
        <w:ind w:firstLine="560" w:firstLineChars="200"/>
        <w:textAlignment w:val="baseline"/>
        <w:rPr>
          <w:rFonts w:cs="Arial"/>
          <w:bCs/>
          <w:color w:val="auto"/>
          <w:sz w:val="28"/>
          <w:szCs w:val="28"/>
          <w:highlight w:val="none"/>
        </w:rPr>
      </w:pPr>
    </w:p>
    <w:p w14:paraId="73361A74">
      <w:pPr>
        <w:tabs>
          <w:tab w:val="left" w:pos="168"/>
        </w:tabs>
        <w:spacing w:line="360" w:lineRule="auto"/>
        <w:ind w:firstLine="560" w:firstLineChars="200"/>
        <w:textAlignment w:val="baseline"/>
        <w:rPr>
          <w:rFonts w:cs="Arial"/>
          <w:bCs/>
          <w:color w:val="auto"/>
          <w:sz w:val="28"/>
          <w:szCs w:val="28"/>
          <w:highlight w:val="none"/>
        </w:rPr>
      </w:pPr>
    </w:p>
    <w:p w14:paraId="6A31E0B0">
      <w:pPr>
        <w:spacing w:line="360" w:lineRule="auto"/>
        <w:ind w:firstLine="482"/>
        <w:jc w:val="center"/>
        <w:rPr>
          <w:rFonts w:hint="eastAsia" w:ascii="宋体" w:hAnsi="宋体"/>
          <w:b/>
          <w:color w:val="auto"/>
          <w:highlight w:val="none"/>
        </w:rPr>
      </w:pPr>
      <w:r>
        <w:rPr>
          <w:rFonts w:hint="eastAsia" w:ascii="宋体" w:hAnsi="宋体"/>
          <w:b/>
          <w:color w:val="auto"/>
          <w:highlight w:val="none"/>
        </w:rPr>
        <w:t xml:space="preserve">   投标供应商：</w:t>
      </w:r>
      <w:r>
        <w:rPr>
          <w:rFonts w:hint="eastAsia" w:ascii="仿宋_GB2312" w:eastAsia="仿宋_GB2312" w:cs="宋体"/>
          <w:color w:val="auto"/>
          <w:kern w:val="0"/>
          <w:highlight w:val="none"/>
          <w:u w:val="single"/>
        </w:rPr>
        <w:t xml:space="preserve">       </w:t>
      </w:r>
      <w:r>
        <w:rPr>
          <w:rFonts w:hint="eastAsia" w:ascii="宋体" w:hAnsi="宋体"/>
          <w:b/>
          <w:color w:val="auto"/>
          <w:highlight w:val="none"/>
        </w:rPr>
        <w:t>（公章）</w:t>
      </w:r>
    </w:p>
    <w:p w14:paraId="1E5C3FC3">
      <w:pPr>
        <w:spacing w:line="360" w:lineRule="auto"/>
        <w:ind w:firstLine="482"/>
        <w:jc w:val="center"/>
        <w:rPr>
          <w:rFonts w:ascii="宋体" w:hAnsi="宋体"/>
          <w:b/>
          <w:color w:val="auto"/>
          <w:highlight w:val="none"/>
        </w:rPr>
      </w:pPr>
      <w:r>
        <w:rPr>
          <w:rFonts w:hint="eastAsia" w:ascii="宋体" w:hAnsi="宋体"/>
          <w:b/>
          <w:color w:val="auto"/>
          <w:highlight w:val="none"/>
        </w:rPr>
        <w:t xml:space="preserve">                  法定代表人或委托代理人：</w:t>
      </w:r>
      <w:r>
        <w:rPr>
          <w:rFonts w:hint="eastAsia" w:ascii="仿宋_GB2312" w:eastAsia="仿宋_GB2312" w:cs="宋体"/>
          <w:color w:val="auto"/>
          <w:kern w:val="0"/>
          <w:highlight w:val="none"/>
          <w:u w:val="single"/>
        </w:rPr>
        <w:t xml:space="preserve">       </w:t>
      </w:r>
      <w:r>
        <w:rPr>
          <w:rFonts w:hint="eastAsia" w:ascii="宋体" w:hAnsi="宋体"/>
          <w:b/>
          <w:color w:val="auto"/>
          <w:highlight w:val="none"/>
        </w:rPr>
        <w:t>（签字或盖章）</w:t>
      </w:r>
    </w:p>
    <w:p w14:paraId="573E4A75">
      <w:pPr>
        <w:spacing w:line="360" w:lineRule="auto"/>
        <w:ind w:firstLine="482"/>
        <w:jc w:val="center"/>
        <w:rPr>
          <w:rFonts w:hint="eastAsia" w:ascii="宋体" w:hAnsi="宋体"/>
          <w:b/>
          <w:color w:val="auto"/>
          <w:highlight w:val="none"/>
        </w:rPr>
      </w:pPr>
      <w:r>
        <w:rPr>
          <w:rFonts w:hint="eastAsia" w:ascii="宋体" w:hAnsi="宋体"/>
          <w:b/>
          <w:color w:val="auto"/>
          <w:highlight w:val="none"/>
        </w:rPr>
        <w:t xml:space="preserve">             年   月  日</w:t>
      </w:r>
    </w:p>
    <w:p w14:paraId="61EE0E58">
      <w:pPr>
        <w:rPr>
          <w:rFonts w:hint="default" w:ascii="宋体" w:hAnsi="Times New Roman" w:eastAsia="宋体" w:cs="Times New Roman"/>
          <w:b/>
          <w:color w:val="auto"/>
          <w:kern w:val="2"/>
          <w:sz w:val="32"/>
          <w:szCs w:val="32"/>
          <w:highlight w:val="none"/>
          <w:lang w:val="zh-CN" w:eastAsia="zh-CN" w:bidi="ar-SA"/>
        </w:rPr>
      </w:pPr>
      <w:r>
        <w:rPr>
          <w:rFonts w:hint="default" w:ascii="宋体" w:hAnsi="Times New Roman" w:eastAsia="宋体" w:cs="Times New Roman"/>
          <w:b/>
          <w:color w:val="auto"/>
          <w:kern w:val="2"/>
          <w:sz w:val="32"/>
          <w:szCs w:val="32"/>
          <w:highlight w:val="none"/>
          <w:lang w:val="zh-CN" w:eastAsia="zh-CN" w:bidi="ar-SA"/>
        </w:rPr>
        <w:br w:type="page"/>
      </w:r>
    </w:p>
    <w:p w14:paraId="31E05401">
      <w:pPr>
        <w:pStyle w:val="4"/>
        <w:numPr>
          <w:ilvl w:val="0"/>
          <w:numId w:val="0"/>
        </w:numPr>
        <w:tabs>
          <w:tab w:val="left" w:pos="425"/>
        </w:tabs>
        <w:spacing w:line="360" w:lineRule="auto"/>
        <w:ind w:left="0" w:leftChars="0" w:firstLine="643" w:firstLineChars="200"/>
        <w:jc w:val="left"/>
        <w:rPr>
          <w:rFonts w:hint="eastAsia" w:ascii="宋体" w:hAnsi="Times New Roman" w:eastAsia="宋体" w:cs="Times New Roman"/>
          <w:b/>
          <w:color w:val="auto"/>
          <w:kern w:val="2"/>
          <w:sz w:val="32"/>
          <w:szCs w:val="32"/>
          <w:highlight w:val="none"/>
          <w:lang w:val="zh-CN" w:eastAsia="zh-CN" w:bidi="ar-SA"/>
        </w:rPr>
      </w:pPr>
      <w:bookmarkStart w:id="313" w:name="_Toc18079"/>
      <w:r>
        <w:rPr>
          <w:rFonts w:hint="default" w:ascii="宋体" w:hAnsi="Times New Roman" w:eastAsia="宋体" w:cs="Times New Roman"/>
          <w:b/>
          <w:color w:val="auto"/>
          <w:kern w:val="2"/>
          <w:sz w:val="32"/>
          <w:szCs w:val="32"/>
          <w:highlight w:val="none"/>
          <w:lang w:val="zh-CN" w:eastAsia="zh-CN" w:bidi="ar-SA"/>
        </w:rPr>
        <w:t>6．</w:t>
      </w:r>
      <w:bookmarkStart w:id="314" w:name="_Toc21867"/>
      <w:r>
        <w:rPr>
          <w:rFonts w:hint="eastAsia" w:ascii="宋体" w:hAnsi="Times New Roman" w:eastAsia="宋体" w:cs="Times New Roman"/>
          <w:b/>
          <w:color w:val="auto"/>
          <w:kern w:val="2"/>
          <w:sz w:val="32"/>
          <w:szCs w:val="32"/>
          <w:highlight w:val="none"/>
          <w:lang w:val="zh-CN" w:eastAsia="zh-CN" w:bidi="ar-SA"/>
        </w:rPr>
        <w:t>供应商诚信承诺书</w:t>
      </w:r>
      <w:bookmarkEnd w:id="313"/>
      <w:bookmarkEnd w:id="314"/>
    </w:p>
    <w:p w14:paraId="12DD2938">
      <w:pPr>
        <w:autoSpaceDE w:val="0"/>
        <w:autoSpaceDN w:val="0"/>
        <w:spacing w:line="360" w:lineRule="auto"/>
        <w:jc w:val="center"/>
        <w:rPr>
          <w:rFonts w:cs="Arial"/>
          <w:b/>
          <w:bCs/>
          <w:color w:val="auto"/>
          <w:sz w:val="30"/>
          <w:szCs w:val="30"/>
          <w:highlight w:val="none"/>
          <w:lang w:val="zh-CN"/>
        </w:rPr>
      </w:pPr>
      <w:r>
        <w:rPr>
          <w:rFonts w:cs="Arial"/>
          <w:b/>
          <w:bCs/>
          <w:color w:val="auto"/>
          <w:sz w:val="30"/>
          <w:szCs w:val="30"/>
          <w:highlight w:val="none"/>
          <w:lang w:val="zh-CN"/>
        </w:rPr>
        <w:t>供应商诚信承诺书</w:t>
      </w:r>
    </w:p>
    <w:p w14:paraId="556DBB07">
      <w:pPr>
        <w:autoSpaceDE w:val="0"/>
        <w:autoSpaceDN w:val="0"/>
        <w:spacing w:line="360" w:lineRule="auto"/>
        <w:rPr>
          <w:rFonts w:cs="Arial"/>
          <w:color w:val="auto"/>
          <w:highlight w:val="none"/>
          <w:lang w:val="zh-CN"/>
        </w:rPr>
      </w:pPr>
    </w:p>
    <w:p w14:paraId="787CCB4E">
      <w:pPr>
        <w:autoSpaceDE w:val="0"/>
        <w:autoSpaceDN w:val="0"/>
        <w:spacing w:line="360" w:lineRule="auto"/>
        <w:rPr>
          <w:rFonts w:cs="Arial"/>
          <w:b/>
          <w:bCs/>
          <w:color w:val="auto"/>
          <w:highlight w:val="none"/>
          <w:lang w:val="zh-CN"/>
        </w:rPr>
      </w:pPr>
      <w:r>
        <w:rPr>
          <w:rFonts w:cs="Arial"/>
          <w:b/>
          <w:bCs/>
          <w:color w:val="auto"/>
          <w:highlight w:val="none"/>
          <w:lang w:val="zh-CN"/>
        </w:rPr>
        <w:t>致：</w:t>
      </w:r>
      <w:r>
        <w:rPr>
          <w:rFonts w:hint="eastAsia" w:cs="Arial"/>
          <w:b/>
          <w:bCs/>
          <w:color w:val="auto"/>
          <w:highlight w:val="none"/>
          <w:lang w:val="zh-CN"/>
        </w:rPr>
        <w:t>青海海际项目咨询管理有限公司</w:t>
      </w:r>
    </w:p>
    <w:p w14:paraId="25F36238">
      <w:pPr>
        <w:autoSpaceDE w:val="0"/>
        <w:autoSpaceDN w:val="0"/>
        <w:spacing w:line="360" w:lineRule="auto"/>
        <w:rPr>
          <w:rFonts w:cs="Arial"/>
          <w:color w:val="auto"/>
          <w:highlight w:val="none"/>
          <w:lang w:val="zh-CN"/>
        </w:rPr>
      </w:pPr>
    </w:p>
    <w:p w14:paraId="609282FF">
      <w:pPr>
        <w:autoSpaceDE w:val="0"/>
        <w:autoSpaceDN w:val="0"/>
        <w:spacing w:line="360" w:lineRule="auto"/>
        <w:ind w:firstLine="480"/>
        <w:rPr>
          <w:rFonts w:cs="Arial"/>
          <w:color w:val="auto"/>
          <w:highlight w:val="none"/>
          <w:lang w:val="zh-CN"/>
        </w:rPr>
      </w:pPr>
      <w:r>
        <w:rPr>
          <w:rFonts w:cs="Arial"/>
          <w:color w:val="auto"/>
          <w:highlight w:val="none"/>
          <w:lang w:val="zh-CN"/>
        </w:rPr>
        <w:t>为了诚实、客观、有序地参与青海省政府采购活动，愿就以下内容做出承诺：</w:t>
      </w:r>
    </w:p>
    <w:p w14:paraId="4C7A2025">
      <w:pPr>
        <w:autoSpaceDE w:val="0"/>
        <w:autoSpaceDN w:val="0"/>
        <w:spacing w:line="360" w:lineRule="auto"/>
        <w:ind w:firstLine="480"/>
        <w:rPr>
          <w:rFonts w:cs="Arial"/>
          <w:color w:val="auto"/>
          <w:highlight w:val="none"/>
          <w:lang w:val="zh-CN"/>
        </w:rPr>
      </w:pPr>
      <w:r>
        <w:rPr>
          <w:rFonts w:cs="Arial"/>
          <w:color w:val="auto"/>
          <w:highlight w:val="none"/>
          <w:lang w:val="zh-CN"/>
        </w:rPr>
        <w:t>一、自觉遵守各项法律、法规、规章、制度以及社会公德，维护廉洁环境，与同场竞争的供应商平等参加政府采购活动。</w:t>
      </w:r>
    </w:p>
    <w:p w14:paraId="53476D85">
      <w:pPr>
        <w:autoSpaceDE w:val="0"/>
        <w:autoSpaceDN w:val="0"/>
        <w:spacing w:line="360" w:lineRule="auto"/>
        <w:ind w:firstLine="480"/>
        <w:rPr>
          <w:rFonts w:cs="Arial"/>
          <w:color w:val="auto"/>
          <w:highlight w:val="none"/>
          <w:lang w:val="zh-CN"/>
        </w:rPr>
      </w:pPr>
      <w:r>
        <w:rPr>
          <w:rFonts w:cs="Arial"/>
          <w:color w:val="auto"/>
          <w:highlight w:val="none"/>
          <w:lang w:val="zh-CN"/>
        </w:rPr>
        <w:t>二、参加采购代理机构组织的政府采购活动时，严格按照磋商文件的规定和要求提供所需的相关材料，并对所提供的各类资料的真实性负责，不虚假应标，不虚列业绩。</w:t>
      </w:r>
    </w:p>
    <w:p w14:paraId="0D37B920">
      <w:pPr>
        <w:autoSpaceDE w:val="0"/>
        <w:autoSpaceDN w:val="0"/>
        <w:spacing w:line="360" w:lineRule="auto"/>
        <w:ind w:firstLine="480"/>
        <w:rPr>
          <w:rFonts w:cs="Arial"/>
          <w:color w:val="auto"/>
          <w:highlight w:val="none"/>
          <w:lang w:val="zh-CN"/>
        </w:rPr>
      </w:pPr>
      <w:r>
        <w:rPr>
          <w:rFonts w:cs="Arial"/>
          <w:color w:val="auto"/>
          <w:highlight w:val="none"/>
          <w:lang w:val="zh-CN"/>
        </w:rPr>
        <w:t>三、尊重参与政府采购活动各相关方的合法行为，接受政府采购活动依法形成的意见、结果。</w:t>
      </w:r>
    </w:p>
    <w:p w14:paraId="134989CE">
      <w:pPr>
        <w:autoSpaceDE w:val="0"/>
        <w:autoSpaceDN w:val="0"/>
        <w:spacing w:line="360" w:lineRule="auto"/>
        <w:ind w:firstLine="480"/>
        <w:rPr>
          <w:rFonts w:cs="Arial"/>
          <w:color w:val="auto"/>
          <w:highlight w:val="none"/>
          <w:lang w:val="zh-CN"/>
        </w:rPr>
      </w:pPr>
      <w:r>
        <w:rPr>
          <w:rFonts w:cs="Arial"/>
          <w:color w:val="auto"/>
          <w:highlight w:val="none"/>
          <w:lang w:val="zh-CN"/>
        </w:rPr>
        <w:t>四、依法参加政府采购活动，不围标、串标，维护市场秩序，不提供“三无”产品、以次充好。</w:t>
      </w:r>
    </w:p>
    <w:p w14:paraId="0774FDC3">
      <w:pPr>
        <w:autoSpaceDE w:val="0"/>
        <w:autoSpaceDN w:val="0"/>
        <w:spacing w:line="360" w:lineRule="auto"/>
        <w:ind w:firstLine="480"/>
        <w:rPr>
          <w:rFonts w:cs="Arial"/>
          <w:color w:val="auto"/>
          <w:highlight w:val="none"/>
          <w:lang w:val="zh-CN"/>
        </w:rPr>
      </w:pPr>
      <w:r>
        <w:rPr>
          <w:rFonts w:cs="Arial"/>
          <w:color w:val="auto"/>
          <w:highlight w:val="none"/>
          <w:lang w:val="zh-CN"/>
        </w:rPr>
        <w:t>五、积极推动政府采购活动健康开展，对采购活动有疑问、异议时，按法律规定的程序实名反映情况，不恶意中伤、无事生非，以和谐、平等的心态参加政府采购活动。</w:t>
      </w:r>
    </w:p>
    <w:p w14:paraId="158E53F9">
      <w:pPr>
        <w:autoSpaceDE w:val="0"/>
        <w:autoSpaceDN w:val="0"/>
        <w:spacing w:line="360" w:lineRule="auto"/>
        <w:ind w:firstLine="480"/>
        <w:rPr>
          <w:rFonts w:cs="Arial"/>
          <w:color w:val="auto"/>
          <w:highlight w:val="none"/>
          <w:lang w:val="zh-CN"/>
        </w:rPr>
      </w:pPr>
      <w:r>
        <w:rPr>
          <w:rFonts w:cs="Arial"/>
          <w:color w:val="auto"/>
          <w:highlight w:val="none"/>
          <w:lang w:val="zh-CN"/>
        </w:rPr>
        <w:t>六、认真履行成交人应承担的责任和义务，全面执行采购合同规定的各项内容，保质保量地按时提供采购物品。</w:t>
      </w:r>
    </w:p>
    <w:p w14:paraId="2531F8D2">
      <w:pPr>
        <w:autoSpaceDE w:val="0"/>
        <w:autoSpaceDN w:val="0"/>
        <w:spacing w:line="360" w:lineRule="auto"/>
        <w:ind w:firstLine="480" w:firstLineChars="200"/>
        <w:rPr>
          <w:rFonts w:cs="Arial"/>
          <w:color w:val="auto"/>
          <w:highlight w:val="none"/>
          <w:lang w:val="zh-CN"/>
        </w:rPr>
      </w:pPr>
      <w:r>
        <w:rPr>
          <w:rFonts w:cs="Arial"/>
          <w:color w:val="auto"/>
          <w:highlight w:val="none"/>
          <w:lang w:val="zh-CN"/>
        </w:rPr>
        <w:t>若本企业（单位）发生有悖于上述承诺的行为，愿意接受《中华人民共和国政府采购法》和《政府采购法实施条例》中对供应商的相关处理。</w:t>
      </w:r>
    </w:p>
    <w:p w14:paraId="0AF1868A">
      <w:pPr>
        <w:autoSpaceDE w:val="0"/>
        <w:autoSpaceDN w:val="0"/>
        <w:spacing w:line="360" w:lineRule="auto"/>
        <w:rPr>
          <w:rFonts w:cs="Arial"/>
          <w:color w:val="auto"/>
          <w:highlight w:val="none"/>
          <w:lang w:val="zh-CN"/>
        </w:rPr>
      </w:pPr>
      <w:r>
        <w:rPr>
          <w:rFonts w:cs="Arial"/>
          <w:color w:val="auto"/>
          <w:highlight w:val="none"/>
          <w:lang w:val="zh-CN"/>
        </w:rPr>
        <w:t>本承诺是采购项目磋商文件的组成部分。</w:t>
      </w:r>
    </w:p>
    <w:p w14:paraId="7076C70D">
      <w:pPr>
        <w:tabs>
          <w:tab w:val="left" w:pos="168"/>
        </w:tabs>
        <w:spacing w:line="360" w:lineRule="auto"/>
        <w:textAlignment w:val="baseline"/>
        <w:rPr>
          <w:rFonts w:cs="Arial"/>
          <w:bCs/>
          <w:color w:val="auto"/>
          <w:sz w:val="28"/>
          <w:szCs w:val="28"/>
          <w:highlight w:val="none"/>
        </w:rPr>
      </w:pPr>
    </w:p>
    <w:p w14:paraId="221A741C">
      <w:pPr>
        <w:spacing w:line="360" w:lineRule="auto"/>
        <w:ind w:firstLine="482"/>
        <w:jc w:val="center"/>
        <w:rPr>
          <w:rFonts w:hint="eastAsia" w:ascii="宋体" w:hAnsi="宋体"/>
          <w:b/>
          <w:color w:val="auto"/>
          <w:highlight w:val="none"/>
        </w:rPr>
      </w:pPr>
      <w:r>
        <w:rPr>
          <w:rFonts w:hint="eastAsia" w:ascii="宋体" w:hAnsi="宋体"/>
          <w:b/>
          <w:color w:val="auto"/>
          <w:highlight w:val="none"/>
        </w:rPr>
        <w:t xml:space="preserve">   投标供应商：</w:t>
      </w:r>
      <w:r>
        <w:rPr>
          <w:rFonts w:hint="eastAsia" w:ascii="仿宋_GB2312" w:eastAsia="仿宋_GB2312" w:cs="宋体"/>
          <w:color w:val="auto"/>
          <w:kern w:val="0"/>
          <w:highlight w:val="none"/>
          <w:u w:val="single"/>
        </w:rPr>
        <w:t xml:space="preserve">       </w:t>
      </w:r>
      <w:r>
        <w:rPr>
          <w:rFonts w:hint="eastAsia" w:ascii="宋体" w:hAnsi="宋体"/>
          <w:b/>
          <w:color w:val="auto"/>
          <w:highlight w:val="none"/>
        </w:rPr>
        <w:t>（公章）</w:t>
      </w:r>
    </w:p>
    <w:p w14:paraId="5E40C173">
      <w:pPr>
        <w:spacing w:line="360" w:lineRule="auto"/>
        <w:ind w:firstLine="482"/>
        <w:jc w:val="center"/>
        <w:rPr>
          <w:rFonts w:ascii="宋体" w:hAnsi="宋体"/>
          <w:b/>
          <w:color w:val="auto"/>
          <w:highlight w:val="none"/>
        </w:rPr>
      </w:pPr>
      <w:r>
        <w:rPr>
          <w:rFonts w:hint="eastAsia" w:ascii="宋体" w:hAnsi="宋体"/>
          <w:b/>
          <w:color w:val="auto"/>
          <w:highlight w:val="none"/>
        </w:rPr>
        <w:t xml:space="preserve">                  法定代表人或委托代理人：</w:t>
      </w:r>
      <w:r>
        <w:rPr>
          <w:rFonts w:hint="eastAsia" w:ascii="仿宋_GB2312" w:eastAsia="仿宋_GB2312" w:cs="宋体"/>
          <w:color w:val="auto"/>
          <w:kern w:val="0"/>
          <w:highlight w:val="none"/>
          <w:u w:val="single"/>
        </w:rPr>
        <w:t xml:space="preserve">       </w:t>
      </w:r>
      <w:r>
        <w:rPr>
          <w:rFonts w:hint="eastAsia" w:ascii="宋体" w:hAnsi="宋体"/>
          <w:b/>
          <w:color w:val="auto"/>
          <w:highlight w:val="none"/>
        </w:rPr>
        <w:t>（签字或盖章）</w:t>
      </w:r>
    </w:p>
    <w:p w14:paraId="1408E88E">
      <w:pPr>
        <w:spacing w:line="360" w:lineRule="auto"/>
        <w:ind w:firstLine="482"/>
        <w:jc w:val="center"/>
        <w:rPr>
          <w:rFonts w:hint="eastAsia" w:ascii="宋体" w:hAnsi="宋体"/>
          <w:b/>
          <w:color w:val="auto"/>
          <w:highlight w:val="none"/>
        </w:rPr>
      </w:pPr>
      <w:r>
        <w:rPr>
          <w:rFonts w:hint="eastAsia" w:ascii="宋体" w:hAnsi="宋体"/>
          <w:b/>
          <w:color w:val="auto"/>
          <w:highlight w:val="none"/>
        </w:rPr>
        <w:t xml:space="preserve">             年   月  日</w:t>
      </w:r>
    </w:p>
    <w:p w14:paraId="076B27F3">
      <w:pPr>
        <w:pStyle w:val="4"/>
        <w:numPr>
          <w:ilvl w:val="0"/>
          <w:numId w:val="0"/>
        </w:numPr>
        <w:tabs>
          <w:tab w:val="left" w:pos="425"/>
        </w:tabs>
        <w:spacing w:line="360" w:lineRule="auto"/>
        <w:ind w:left="0" w:leftChars="0" w:firstLine="643" w:firstLineChars="200"/>
        <w:jc w:val="left"/>
        <w:rPr>
          <w:rFonts w:hint="eastAsia" w:ascii="宋体" w:hAnsi="Times New Roman" w:eastAsia="宋体" w:cs="Times New Roman"/>
          <w:b/>
          <w:color w:val="auto"/>
          <w:kern w:val="2"/>
          <w:sz w:val="32"/>
          <w:szCs w:val="32"/>
          <w:highlight w:val="none"/>
          <w:lang w:val="zh-CN" w:eastAsia="zh-CN" w:bidi="ar-SA"/>
        </w:rPr>
      </w:pPr>
      <w:r>
        <w:rPr>
          <w:rFonts w:hint="eastAsia" w:ascii="宋体" w:hAnsi="Times New Roman" w:eastAsia="宋体" w:cs="Times New Roman"/>
          <w:b/>
          <w:color w:val="auto"/>
          <w:kern w:val="2"/>
          <w:sz w:val="32"/>
          <w:szCs w:val="32"/>
          <w:highlight w:val="none"/>
          <w:lang w:val="zh-CN" w:eastAsia="zh-CN" w:bidi="ar-SA"/>
        </w:rPr>
        <w:br w:type="page"/>
      </w:r>
      <w:bookmarkStart w:id="315" w:name="_Toc372"/>
      <w:bookmarkStart w:id="316" w:name="_Toc5576"/>
      <w:r>
        <w:rPr>
          <w:rFonts w:hint="eastAsia" w:ascii="宋体" w:cs="Times New Roman"/>
          <w:b/>
          <w:color w:val="auto"/>
          <w:kern w:val="2"/>
          <w:sz w:val="32"/>
          <w:szCs w:val="32"/>
          <w:highlight w:val="none"/>
          <w:lang w:val="en-US" w:eastAsia="zh-CN" w:bidi="ar-SA"/>
        </w:rPr>
        <w:t>7.</w:t>
      </w:r>
      <w:r>
        <w:rPr>
          <w:rFonts w:hint="eastAsia" w:ascii="宋体" w:hAnsi="Times New Roman" w:eastAsia="宋体" w:cs="Times New Roman"/>
          <w:b/>
          <w:color w:val="auto"/>
          <w:kern w:val="2"/>
          <w:sz w:val="32"/>
          <w:szCs w:val="32"/>
          <w:highlight w:val="none"/>
          <w:lang w:val="zh-CN" w:eastAsia="zh-CN" w:bidi="ar-SA"/>
        </w:rPr>
        <w:t>资格证明材料</w:t>
      </w:r>
      <w:bookmarkEnd w:id="315"/>
      <w:bookmarkEnd w:id="316"/>
    </w:p>
    <w:p w14:paraId="2CF37C8C">
      <w:pPr>
        <w:spacing w:line="360" w:lineRule="auto"/>
        <w:rPr>
          <w:rFonts w:cs="Arial"/>
          <w:color w:val="auto"/>
          <w:highlight w:val="none"/>
          <w:lang w:val="zh-CN"/>
        </w:rPr>
      </w:pPr>
    </w:p>
    <w:p w14:paraId="5CA6341A">
      <w:pPr>
        <w:autoSpaceDE w:val="0"/>
        <w:autoSpaceDN w:val="0"/>
        <w:spacing w:line="360" w:lineRule="auto"/>
        <w:jc w:val="center"/>
        <w:rPr>
          <w:rFonts w:cs="Arial"/>
          <w:b/>
          <w:bCs/>
          <w:color w:val="auto"/>
          <w:sz w:val="30"/>
          <w:szCs w:val="30"/>
          <w:highlight w:val="none"/>
          <w:lang w:val="zh-CN"/>
        </w:rPr>
      </w:pPr>
      <w:r>
        <w:rPr>
          <w:rFonts w:cs="Arial"/>
          <w:b/>
          <w:bCs/>
          <w:color w:val="auto"/>
          <w:sz w:val="30"/>
          <w:szCs w:val="30"/>
          <w:highlight w:val="none"/>
          <w:lang w:val="zh-CN"/>
        </w:rPr>
        <w:t>资格证明材料</w:t>
      </w:r>
    </w:p>
    <w:p w14:paraId="485E319B">
      <w:pPr>
        <w:spacing w:line="360" w:lineRule="auto"/>
        <w:ind w:firstLine="424" w:firstLineChars="177"/>
        <w:rPr>
          <w:rFonts w:cs="Arial"/>
          <w:color w:val="auto"/>
          <w:highlight w:val="none"/>
        </w:rPr>
      </w:pPr>
      <w:r>
        <w:rPr>
          <w:rFonts w:cs="Arial"/>
          <w:color w:val="auto"/>
          <w:highlight w:val="none"/>
        </w:rPr>
        <w:t>资格证明材料包括：</w:t>
      </w:r>
    </w:p>
    <w:p w14:paraId="33802B53">
      <w:pPr>
        <w:spacing w:line="360" w:lineRule="auto"/>
        <w:rPr>
          <w:rFonts w:cs="Arial"/>
          <w:color w:val="auto"/>
          <w:highlight w:val="none"/>
        </w:rPr>
      </w:pPr>
      <w:r>
        <w:rPr>
          <w:rFonts w:cs="Arial"/>
          <w:color w:val="auto"/>
          <w:highlight w:val="none"/>
        </w:rPr>
        <w:t>（1）单位法人营业执照、税务登记证、组织机构代码证</w:t>
      </w:r>
      <w:r>
        <w:rPr>
          <w:rFonts w:hint="eastAsia" w:cs="Arial"/>
          <w:color w:val="auto"/>
          <w:highlight w:val="none"/>
        </w:rPr>
        <w:t>或三证合一统一社会代码证</w:t>
      </w:r>
      <w:r>
        <w:rPr>
          <w:rFonts w:cs="Arial"/>
          <w:color w:val="auto"/>
          <w:highlight w:val="none"/>
        </w:rPr>
        <w:t>；</w:t>
      </w:r>
    </w:p>
    <w:p w14:paraId="726B8A89">
      <w:pPr>
        <w:spacing w:line="360" w:lineRule="auto"/>
        <w:rPr>
          <w:rFonts w:cs="Arial"/>
          <w:color w:val="auto"/>
          <w:highlight w:val="none"/>
        </w:rPr>
      </w:pPr>
      <w:r>
        <w:rPr>
          <w:rFonts w:cs="Arial"/>
          <w:color w:val="auto"/>
          <w:highlight w:val="none"/>
        </w:rPr>
        <w:t>（</w:t>
      </w:r>
      <w:r>
        <w:rPr>
          <w:rFonts w:hint="eastAsia" w:cs="Arial"/>
          <w:color w:val="auto"/>
          <w:highlight w:val="none"/>
        </w:rPr>
        <w:t>2</w:t>
      </w:r>
      <w:r>
        <w:rPr>
          <w:rFonts w:cs="Arial"/>
          <w:color w:val="auto"/>
          <w:highlight w:val="none"/>
        </w:rPr>
        <w:t>）投标供应商简介及获得相关</w:t>
      </w:r>
      <w:r>
        <w:rPr>
          <w:rFonts w:hint="eastAsia" w:cs="Arial"/>
          <w:color w:val="auto"/>
          <w:highlight w:val="none"/>
        </w:rPr>
        <w:t>资格</w:t>
      </w:r>
      <w:r>
        <w:rPr>
          <w:rFonts w:cs="Arial"/>
          <w:color w:val="auto"/>
          <w:highlight w:val="none"/>
        </w:rPr>
        <w:t>证书</w:t>
      </w:r>
      <w:r>
        <w:rPr>
          <w:rFonts w:hint="eastAsia" w:cs="Arial"/>
          <w:color w:val="auto"/>
          <w:highlight w:val="none"/>
        </w:rPr>
        <w:t>、许可证书、认证等</w:t>
      </w:r>
      <w:r>
        <w:rPr>
          <w:rFonts w:cs="Arial"/>
          <w:color w:val="auto"/>
          <w:highlight w:val="none"/>
        </w:rPr>
        <w:t>证明文件；</w:t>
      </w:r>
    </w:p>
    <w:p w14:paraId="15CD108F">
      <w:pPr>
        <w:spacing w:line="360" w:lineRule="auto"/>
        <w:rPr>
          <w:rFonts w:cs="Arial"/>
          <w:color w:val="auto"/>
          <w:highlight w:val="none"/>
        </w:rPr>
      </w:pPr>
      <w:r>
        <w:rPr>
          <w:rFonts w:cs="Arial"/>
          <w:color w:val="auto"/>
          <w:highlight w:val="none"/>
        </w:rPr>
        <w:t>（</w:t>
      </w:r>
      <w:r>
        <w:rPr>
          <w:rFonts w:hint="eastAsia" w:cs="Arial"/>
          <w:color w:val="auto"/>
          <w:highlight w:val="none"/>
        </w:rPr>
        <w:t>3</w:t>
      </w:r>
      <w:r>
        <w:rPr>
          <w:rFonts w:cs="Arial"/>
          <w:color w:val="auto"/>
          <w:highlight w:val="none"/>
        </w:rPr>
        <w:t>）投标供应商认为有必要提供的其他资格证明文件。</w:t>
      </w:r>
    </w:p>
    <w:p w14:paraId="1EEF85F4">
      <w:pPr>
        <w:pStyle w:val="4"/>
        <w:numPr>
          <w:ilvl w:val="0"/>
          <w:numId w:val="0"/>
        </w:numPr>
        <w:tabs>
          <w:tab w:val="left" w:pos="425"/>
        </w:tabs>
        <w:spacing w:line="360" w:lineRule="auto"/>
        <w:ind w:left="0" w:leftChars="0" w:firstLine="643" w:firstLineChars="200"/>
        <w:jc w:val="left"/>
        <w:rPr>
          <w:rFonts w:hint="eastAsia" w:ascii="宋体" w:hAnsi="Times New Roman" w:eastAsia="宋体" w:cs="Times New Roman"/>
          <w:b/>
          <w:color w:val="auto"/>
          <w:kern w:val="2"/>
          <w:sz w:val="32"/>
          <w:szCs w:val="32"/>
          <w:highlight w:val="none"/>
          <w:lang w:val="zh-CN" w:eastAsia="zh-CN" w:bidi="ar-SA"/>
        </w:rPr>
      </w:pPr>
      <w:r>
        <w:rPr>
          <w:rFonts w:hint="eastAsia" w:ascii="宋体" w:hAnsi="Times New Roman" w:eastAsia="宋体" w:cs="Times New Roman"/>
          <w:b/>
          <w:color w:val="auto"/>
          <w:kern w:val="2"/>
          <w:sz w:val="32"/>
          <w:szCs w:val="32"/>
          <w:highlight w:val="none"/>
          <w:lang w:val="zh-CN" w:eastAsia="zh-CN" w:bidi="ar-SA"/>
        </w:rPr>
        <w:br w:type="page"/>
      </w:r>
      <w:bookmarkStart w:id="317" w:name="_Toc31807"/>
      <w:bookmarkStart w:id="318" w:name="_Toc17201"/>
      <w:r>
        <w:rPr>
          <w:rFonts w:hint="eastAsia" w:ascii="宋体" w:cs="Times New Roman"/>
          <w:b/>
          <w:color w:val="auto"/>
          <w:kern w:val="2"/>
          <w:sz w:val="32"/>
          <w:szCs w:val="32"/>
          <w:highlight w:val="none"/>
          <w:lang w:val="en-US" w:eastAsia="zh-CN" w:bidi="ar-SA"/>
        </w:rPr>
        <w:t>8.</w:t>
      </w:r>
      <w:r>
        <w:rPr>
          <w:rFonts w:hint="eastAsia" w:ascii="宋体" w:hAnsi="Times New Roman" w:eastAsia="宋体" w:cs="Times New Roman"/>
          <w:b/>
          <w:color w:val="auto"/>
          <w:kern w:val="2"/>
          <w:sz w:val="32"/>
          <w:szCs w:val="32"/>
          <w:highlight w:val="none"/>
          <w:lang w:val="zh-CN" w:eastAsia="zh-CN" w:bidi="ar-SA"/>
        </w:rPr>
        <w:t>财务状况、缴纳税收和社会保障资金证明</w:t>
      </w:r>
      <w:bookmarkEnd w:id="317"/>
      <w:bookmarkEnd w:id="318"/>
    </w:p>
    <w:p w14:paraId="6946BFAC">
      <w:pPr>
        <w:spacing w:line="360" w:lineRule="auto"/>
        <w:rPr>
          <w:rFonts w:cs="Arial"/>
          <w:color w:val="auto"/>
          <w:highlight w:val="none"/>
          <w:lang w:val="zh-CN"/>
        </w:rPr>
      </w:pPr>
    </w:p>
    <w:p w14:paraId="336D86D8">
      <w:pPr>
        <w:autoSpaceDE w:val="0"/>
        <w:autoSpaceDN w:val="0"/>
        <w:spacing w:line="360" w:lineRule="auto"/>
        <w:jc w:val="center"/>
        <w:rPr>
          <w:rFonts w:cs="Arial"/>
          <w:b/>
          <w:bCs/>
          <w:color w:val="auto"/>
          <w:sz w:val="30"/>
          <w:szCs w:val="30"/>
          <w:highlight w:val="none"/>
          <w:lang w:val="zh-CN"/>
        </w:rPr>
      </w:pPr>
      <w:r>
        <w:rPr>
          <w:rFonts w:cs="Arial"/>
          <w:b/>
          <w:bCs/>
          <w:color w:val="auto"/>
          <w:sz w:val="30"/>
          <w:szCs w:val="30"/>
          <w:highlight w:val="none"/>
          <w:lang w:val="zh-CN"/>
        </w:rPr>
        <w:t>财务状况、缴纳税收和社会保障资金证明</w:t>
      </w:r>
    </w:p>
    <w:p w14:paraId="61D6DDF2">
      <w:pPr>
        <w:autoSpaceDE w:val="0"/>
        <w:autoSpaceDN w:val="0"/>
        <w:spacing w:line="360" w:lineRule="auto"/>
        <w:rPr>
          <w:rFonts w:cs="Arial"/>
          <w:color w:val="auto"/>
          <w:highlight w:val="none"/>
          <w:lang w:val="zh-CN"/>
        </w:rPr>
      </w:pPr>
    </w:p>
    <w:p w14:paraId="74DF3857">
      <w:pPr>
        <w:spacing w:line="360" w:lineRule="auto"/>
        <w:ind w:firstLine="480" w:firstLineChars="200"/>
        <w:rPr>
          <w:rFonts w:cs="Arial"/>
          <w:color w:val="auto"/>
          <w:highlight w:val="none"/>
        </w:rPr>
      </w:pPr>
      <w:r>
        <w:rPr>
          <w:rFonts w:hint="eastAsia" w:cs="Arial"/>
          <w:color w:val="auto"/>
          <w:highlight w:val="none"/>
          <w:lang w:eastAsia="zh-CN"/>
        </w:rPr>
        <w:t>应</w:t>
      </w:r>
      <w:r>
        <w:rPr>
          <w:rFonts w:cs="Arial"/>
          <w:color w:val="auto"/>
          <w:highlight w:val="none"/>
        </w:rPr>
        <w:t>提供以下相关材料。</w:t>
      </w:r>
    </w:p>
    <w:p w14:paraId="3CC057AB">
      <w:pPr>
        <w:numPr>
          <w:ilvl w:val="0"/>
          <w:numId w:val="13"/>
        </w:numPr>
        <w:spacing w:line="360" w:lineRule="auto"/>
        <w:rPr>
          <w:color w:val="auto"/>
          <w:highlight w:val="none"/>
        </w:rPr>
      </w:pPr>
      <w:r>
        <w:rPr>
          <w:rFonts w:cs="Arial"/>
          <w:color w:val="auto"/>
          <w:highlight w:val="none"/>
          <w:lang w:val="zh-CN"/>
        </w:rPr>
        <w:t>供应商基本开户银行近三个月内出具的资信证明</w:t>
      </w:r>
      <w:r>
        <w:rPr>
          <w:rFonts w:hint="eastAsia" w:cs="Arial"/>
          <w:color w:val="auto"/>
          <w:highlight w:val="none"/>
          <w:lang w:val="zh-CN"/>
        </w:rPr>
        <w:t>（</w:t>
      </w:r>
      <w:r>
        <w:rPr>
          <w:rFonts w:hint="eastAsia" w:cs="Arial"/>
          <w:color w:val="auto"/>
          <w:highlight w:val="none"/>
        </w:rPr>
        <w:t>附</w:t>
      </w:r>
      <w:r>
        <w:rPr>
          <w:rFonts w:cs="Arial"/>
          <w:bCs/>
          <w:color w:val="auto"/>
          <w:highlight w:val="none"/>
          <w:lang w:val="zh-CN"/>
        </w:rPr>
        <w:t>开户许可证复印件</w:t>
      </w:r>
      <w:r>
        <w:rPr>
          <w:rFonts w:hint="eastAsia" w:cs="Arial"/>
          <w:color w:val="auto"/>
          <w:highlight w:val="none"/>
          <w:lang w:val="zh-CN"/>
        </w:rPr>
        <w:t>）</w:t>
      </w:r>
      <w:r>
        <w:rPr>
          <w:rFonts w:cs="Arial"/>
          <w:color w:val="auto"/>
          <w:highlight w:val="none"/>
          <w:lang w:val="zh-CN"/>
        </w:rPr>
        <w:t>或经第三方机构出具的</w:t>
      </w:r>
      <w:r>
        <w:rPr>
          <w:rFonts w:hint="eastAsia" w:cs="Arial"/>
          <w:color w:val="auto"/>
          <w:highlight w:val="none"/>
          <w:lang w:val="en-US" w:eastAsia="zh-CN"/>
        </w:rPr>
        <w:t>2024年或2025年度</w:t>
      </w:r>
      <w:r>
        <w:rPr>
          <w:rFonts w:cs="Arial"/>
          <w:color w:val="auto"/>
          <w:highlight w:val="none"/>
          <w:lang w:val="zh-CN"/>
        </w:rPr>
        <w:t>财务状况审计报告（</w:t>
      </w:r>
      <w:r>
        <w:rPr>
          <w:rFonts w:ascii="宋体" w:hAnsi="宋体"/>
          <w:color w:val="auto"/>
          <w:highlight w:val="none"/>
        </w:rPr>
        <w:t>扫描或复印件应全面、完整、清晰</w:t>
      </w:r>
      <w:r>
        <w:rPr>
          <w:rFonts w:cs="Arial"/>
          <w:color w:val="auto"/>
          <w:highlight w:val="none"/>
          <w:lang w:val="zh-CN"/>
        </w:rPr>
        <w:t>）包括资产负债表、现金流量表、利润表</w:t>
      </w:r>
      <w:r>
        <w:rPr>
          <w:rFonts w:hint="eastAsia" w:cs="Arial"/>
          <w:color w:val="auto"/>
          <w:highlight w:val="none"/>
          <w:lang w:val="zh-CN"/>
        </w:rPr>
        <w:t>或收入费用表</w:t>
      </w:r>
      <w:r>
        <w:rPr>
          <w:rFonts w:cs="Arial"/>
          <w:color w:val="auto"/>
          <w:highlight w:val="none"/>
          <w:lang w:val="zh-CN"/>
        </w:rPr>
        <w:t>和财务（会计）报表附注</w:t>
      </w:r>
      <w:r>
        <w:rPr>
          <w:rFonts w:hint="eastAsia" w:cs="Arial"/>
          <w:color w:val="auto"/>
          <w:highlight w:val="none"/>
        </w:rPr>
        <w:t>，</w:t>
      </w:r>
      <w:r>
        <w:rPr>
          <w:rFonts w:cs="Arial"/>
          <w:color w:val="auto"/>
          <w:highlight w:val="none"/>
          <w:lang w:val="zh-CN"/>
        </w:rPr>
        <w:t>并提供第三方机构的营业执照、执业证书</w:t>
      </w:r>
      <w:r>
        <w:rPr>
          <w:rFonts w:hint="eastAsia" w:cs="Arial"/>
          <w:color w:val="auto"/>
          <w:highlight w:val="none"/>
          <w:lang w:val="zh-CN"/>
        </w:rPr>
        <w:t>。</w:t>
      </w:r>
    </w:p>
    <w:p w14:paraId="2A68447B">
      <w:pPr>
        <w:pStyle w:val="138"/>
        <w:numPr>
          <w:ilvl w:val="0"/>
          <w:numId w:val="13"/>
        </w:numPr>
        <w:spacing w:line="360" w:lineRule="auto"/>
        <w:ind w:firstLineChars="0"/>
        <w:rPr>
          <w:rFonts w:cs="Arial"/>
          <w:color w:val="auto"/>
          <w:highlight w:val="none"/>
        </w:rPr>
      </w:pPr>
      <w:r>
        <w:rPr>
          <w:rFonts w:hint="eastAsia" w:ascii="宋体" w:hAnsi="宋体" w:cs="宋体"/>
          <w:color w:val="auto"/>
          <w:sz w:val="24"/>
          <w:szCs w:val="24"/>
          <w:highlight w:val="none"/>
          <w:lang w:eastAsia="zh-CN"/>
        </w:rPr>
        <w:t>近半年内任意</w:t>
      </w:r>
      <w:r>
        <w:rPr>
          <w:rFonts w:hint="eastAsia" w:ascii="宋体" w:hAnsi="宋体" w:cs="宋体"/>
          <w:color w:val="auto"/>
          <w:sz w:val="24"/>
          <w:szCs w:val="24"/>
          <w:highlight w:val="none"/>
          <w:lang w:val="en-US" w:eastAsia="zh-CN"/>
        </w:rPr>
        <w:t>一</w:t>
      </w:r>
      <w:r>
        <w:rPr>
          <w:rFonts w:hint="eastAsia" w:ascii="宋体" w:hAnsi="宋体" w:cs="宋体"/>
          <w:color w:val="auto"/>
          <w:sz w:val="24"/>
          <w:szCs w:val="24"/>
          <w:highlight w:val="none"/>
          <w:lang w:eastAsia="zh-CN"/>
        </w:rPr>
        <w:t>个月的依法缴纳税收和社会保障资金记录的证明材料</w:t>
      </w:r>
      <w:r>
        <w:rPr>
          <w:rFonts w:cs="Arial"/>
          <w:color w:val="auto"/>
          <w:highlight w:val="none"/>
          <w:lang w:val="zh-CN"/>
        </w:rPr>
        <w:t>；依法免税或不需要缴纳社会保障资金的供应商须提供相应文件证明其依法免税或不需要缴纳社会保障资金。</w:t>
      </w:r>
    </w:p>
    <w:p w14:paraId="0D1F0175">
      <w:pPr>
        <w:pStyle w:val="4"/>
        <w:numPr>
          <w:ilvl w:val="0"/>
          <w:numId w:val="0"/>
        </w:numPr>
        <w:tabs>
          <w:tab w:val="left" w:pos="425"/>
        </w:tabs>
        <w:spacing w:line="360" w:lineRule="auto"/>
        <w:ind w:left="0" w:leftChars="0" w:firstLine="643" w:firstLineChars="200"/>
        <w:rPr>
          <w:rFonts w:hint="default" w:ascii="宋体" w:hAnsi="Times New Roman" w:eastAsia="宋体" w:cs="Times New Roman"/>
          <w:b/>
          <w:color w:val="auto"/>
          <w:kern w:val="2"/>
          <w:sz w:val="32"/>
          <w:szCs w:val="32"/>
          <w:highlight w:val="none"/>
          <w:lang w:val="zh-CN" w:eastAsia="zh-CN" w:bidi="ar-SA"/>
        </w:rPr>
      </w:pPr>
    </w:p>
    <w:p w14:paraId="4D469345">
      <w:pPr>
        <w:pStyle w:val="4"/>
        <w:numPr>
          <w:ilvl w:val="0"/>
          <w:numId w:val="0"/>
        </w:numPr>
        <w:tabs>
          <w:tab w:val="left" w:pos="425"/>
        </w:tabs>
        <w:spacing w:line="360" w:lineRule="auto"/>
        <w:ind w:left="0" w:leftChars="0" w:firstLine="643" w:firstLineChars="200"/>
        <w:jc w:val="left"/>
        <w:rPr>
          <w:rFonts w:hint="eastAsia" w:ascii="宋体" w:hAnsi="Times New Roman" w:eastAsia="宋体" w:cs="Times New Roman"/>
          <w:b/>
          <w:color w:val="auto"/>
          <w:kern w:val="2"/>
          <w:sz w:val="32"/>
          <w:szCs w:val="32"/>
          <w:highlight w:val="none"/>
          <w:lang w:val="zh-CN" w:eastAsia="zh-CN" w:bidi="ar-SA"/>
        </w:rPr>
      </w:pPr>
      <w:r>
        <w:rPr>
          <w:rFonts w:hint="eastAsia" w:ascii="宋体" w:hAnsi="Times New Roman" w:eastAsia="宋体" w:cs="Times New Roman"/>
          <w:b/>
          <w:color w:val="auto"/>
          <w:kern w:val="2"/>
          <w:sz w:val="32"/>
          <w:szCs w:val="32"/>
          <w:highlight w:val="none"/>
          <w:lang w:val="zh-CN" w:eastAsia="zh-CN" w:bidi="ar-SA"/>
        </w:rPr>
        <w:br w:type="page"/>
      </w:r>
      <w:bookmarkStart w:id="319" w:name="_Toc24607"/>
      <w:bookmarkStart w:id="320" w:name="_Toc18742"/>
      <w:r>
        <w:rPr>
          <w:rFonts w:hint="default" w:ascii="宋体" w:hAnsi="Times New Roman" w:eastAsia="宋体" w:cs="Times New Roman"/>
          <w:b/>
          <w:color w:val="auto"/>
          <w:kern w:val="2"/>
          <w:sz w:val="32"/>
          <w:szCs w:val="32"/>
          <w:highlight w:val="none"/>
          <w:lang w:val="zh-CN" w:eastAsia="zh-CN" w:bidi="ar-SA"/>
        </w:rPr>
        <w:t>9．</w:t>
      </w:r>
      <w:r>
        <w:rPr>
          <w:rFonts w:hint="eastAsia" w:ascii="宋体" w:hAnsi="Times New Roman" w:eastAsia="宋体" w:cs="Times New Roman"/>
          <w:b/>
          <w:color w:val="auto"/>
          <w:kern w:val="2"/>
          <w:sz w:val="32"/>
          <w:szCs w:val="32"/>
          <w:highlight w:val="none"/>
          <w:lang w:val="zh-CN" w:eastAsia="zh-CN" w:bidi="ar-SA"/>
        </w:rPr>
        <w:t>具备履行合同所必须的设备和专业技术能力证明</w:t>
      </w:r>
      <w:bookmarkEnd w:id="319"/>
      <w:bookmarkEnd w:id="320"/>
    </w:p>
    <w:p w14:paraId="37E59BF9">
      <w:pPr>
        <w:autoSpaceDE w:val="0"/>
        <w:autoSpaceDN w:val="0"/>
        <w:spacing w:line="360" w:lineRule="auto"/>
        <w:rPr>
          <w:rFonts w:cs="Arial"/>
          <w:color w:val="auto"/>
          <w:highlight w:val="none"/>
          <w:lang w:val="zh-CN"/>
        </w:rPr>
      </w:pPr>
    </w:p>
    <w:p w14:paraId="6A3999F5">
      <w:pPr>
        <w:autoSpaceDE w:val="0"/>
        <w:autoSpaceDN w:val="0"/>
        <w:spacing w:line="360" w:lineRule="auto"/>
        <w:jc w:val="center"/>
        <w:rPr>
          <w:rFonts w:cs="Arial"/>
          <w:b/>
          <w:bCs/>
          <w:color w:val="auto"/>
          <w:sz w:val="30"/>
          <w:szCs w:val="30"/>
          <w:highlight w:val="none"/>
          <w:lang w:val="zh-CN"/>
        </w:rPr>
      </w:pPr>
      <w:r>
        <w:rPr>
          <w:rFonts w:cs="Arial"/>
          <w:b/>
          <w:bCs/>
          <w:color w:val="auto"/>
          <w:sz w:val="30"/>
          <w:szCs w:val="30"/>
          <w:highlight w:val="none"/>
          <w:lang w:val="zh-CN"/>
        </w:rPr>
        <w:t>具备履行合同所必须的设备和专业技术能力证明</w:t>
      </w:r>
    </w:p>
    <w:p w14:paraId="08CF860F">
      <w:pPr>
        <w:autoSpaceDE w:val="0"/>
        <w:autoSpaceDN w:val="0"/>
        <w:spacing w:line="360" w:lineRule="auto"/>
        <w:rPr>
          <w:rFonts w:cs="Arial"/>
          <w:color w:val="auto"/>
          <w:highlight w:val="none"/>
          <w:lang w:val="zh-CN"/>
        </w:rPr>
      </w:pPr>
    </w:p>
    <w:p w14:paraId="67FDBB75">
      <w:pPr>
        <w:autoSpaceDE w:val="0"/>
        <w:autoSpaceDN w:val="0"/>
        <w:spacing w:line="360" w:lineRule="auto"/>
        <w:ind w:firstLine="480"/>
        <w:rPr>
          <w:rFonts w:hint="eastAsia" w:ascii="宋体" w:hAnsi="宋体" w:cs="宋体"/>
          <w:color w:val="auto"/>
          <w:kern w:val="0"/>
          <w:highlight w:val="none"/>
          <w:lang w:val="zh-CN"/>
        </w:rPr>
      </w:pPr>
      <w:r>
        <w:rPr>
          <w:rFonts w:hint="eastAsia" w:ascii="宋体" w:hAnsi="宋体" w:cs="宋体"/>
          <w:color w:val="auto"/>
          <w:kern w:val="0"/>
          <w:highlight w:val="none"/>
          <w:lang w:val="zh-CN"/>
        </w:rPr>
        <w:t>为保证本项目合同的顺利履行，投标人必须具备履行合同的设备和专业技术能力，须提供必须具备履行合同的设备和专业技术能力的承诺函（格式自拟），并提供相关设备的购置发票或相关人员的职称证书或用工合同等证明材料。</w:t>
      </w:r>
    </w:p>
    <w:p w14:paraId="095C4F7C">
      <w:pPr>
        <w:pStyle w:val="4"/>
        <w:numPr>
          <w:ilvl w:val="0"/>
          <w:numId w:val="0"/>
        </w:numPr>
        <w:tabs>
          <w:tab w:val="left" w:pos="425"/>
        </w:tabs>
        <w:spacing w:line="360" w:lineRule="auto"/>
        <w:ind w:leftChars="200"/>
        <w:rPr>
          <w:rFonts w:hint="eastAsia" w:ascii="宋体" w:hAnsi="Times New Roman" w:eastAsia="宋体" w:cs="Times New Roman"/>
          <w:b/>
          <w:color w:val="auto"/>
          <w:kern w:val="2"/>
          <w:sz w:val="32"/>
          <w:szCs w:val="32"/>
          <w:highlight w:val="none"/>
          <w:lang w:val="zh-CN" w:eastAsia="zh-CN" w:bidi="ar-SA"/>
        </w:rPr>
      </w:pPr>
      <w:r>
        <w:rPr>
          <w:rFonts w:hint="eastAsia" w:ascii="宋体" w:hAnsi="Times New Roman" w:eastAsia="宋体" w:cs="Times New Roman"/>
          <w:b/>
          <w:color w:val="auto"/>
          <w:kern w:val="2"/>
          <w:sz w:val="32"/>
          <w:szCs w:val="32"/>
          <w:highlight w:val="none"/>
          <w:lang w:val="zh-CN" w:eastAsia="zh-CN" w:bidi="ar-SA"/>
        </w:rPr>
        <w:br w:type="page"/>
      </w:r>
    </w:p>
    <w:p w14:paraId="301F48FB">
      <w:pPr>
        <w:pStyle w:val="4"/>
        <w:numPr>
          <w:ilvl w:val="0"/>
          <w:numId w:val="0"/>
        </w:numPr>
        <w:tabs>
          <w:tab w:val="left" w:pos="425"/>
        </w:tabs>
        <w:spacing w:line="360" w:lineRule="auto"/>
        <w:ind w:left="0" w:leftChars="0" w:firstLine="643" w:firstLineChars="200"/>
        <w:rPr>
          <w:rFonts w:hint="eastAsia" w:ascii="宋体" w:hAnsi="Times New Roman" w:eastAsia="宋体" w:cs="Times New Roman"/>
          <w:b/>
          <w:color w:val="auto"/>
          <w:kern w:val="2"/>
          <w:sz w:val="32"/>
          <w:szCs w:val="32"/>
          <w:highlight w:val="none"/>
          <w:lang w:val="zh-CN" w:eastAsia="zh-CN" w:bidi="ar-SA"/>
        </w:rPr>
      </w:pPr>
      <w:bookmarkStart w:id="321" w:name="_Toc11435"/>
      <w:bookmarkStart w:id="322" w:name="_Toc2008"/>
      <w:r>
        <w:rPr>
          <w:rFonts w:hint="default" w:ascii="宋体" w:hAnsi="Times New Roman" w:eastAsia="宋体" w:cs="Times New Roman"/>
          <w:b/>
          <w:color w:val="auto"/>
          <w:kern w:val="2"/>
          <w:sz w:val="32"/>
          <w:szCs w:val="32"/>
          <w:highlight w:val="none"/>
          <w:lang w:val="zh-CN" w:eastAsia="zh-CN" w:bidi="ar-SA"/>
        </w:rPr>
        <w:t>10．</w:t>
      </w:r>
      <w:r>
        <w:rPr>
          <w:rFonts w:hint="eastAsia" w:ascii="宋体" w:hAnsi="Times New Roman" w:eastAsia="宋体" w:cs="Times New Roman"/>
          <w:b/>
          <w:color w:val="auto"/>
          <w:kern w:val="2"/>
          <w:sz w:val="32"/>
          <w:szCs w:val="32"/>
          <w:highlight w:val="none"/>
          <w:lang w:val="zh-CN" w:eastAsia="zh-CN" w:bidi="ar-SA"/>
        </w:rPr>
        <w:t>无重大违法记录声明</w:t>
      </w:r>
      <w:bookmarkEnd w:id="321"/>
      <w:bookmarkEnd w:id="322"/>
    </w:p>
    <w:p w14:paraId="69CBECAF">
      <w:pPr>
        <w:autoSpaceDE w:val="0"/>
        <w:autoSpaceDN w:val="0"/>
        <w:spacing w:line="360" w:lineRule="auto"/>
        <w:rPr>
          <w:rFonts w:cs="Arial"/>
          <w:color w:val="auto"/>
          <w:highlight w:val="none"/>
          <w:lang w:val="zh-CN"/>
        </w:rPr>
      </w:pPr>
    </w:p>
    <w:p w14:paraId="7FF93D34">
      <w:pPr>
        <w:autoSpaceDE w:val="0"/>
        <w:autoSpaceDN w:val="0"/>
        <w:spacing w:line="360" w:lineRule="auto"/>
        <w:jc w:val="center"/>
        <w:rPr>
          <w:rFonts w:cs="Arial"/>
          <w:b/>
          <w:bCs/>
          <w:color w:val="auto"/>
          <w:sz w:val="30"/>
          <w:szCs w:val="30"/>
          <w:highlight w:val="none"/>
          <w:lang w:val="zh-CN"/>
        </w:rPr>
      </w:pPr>
      <w:r>
        <w:rPr>
          <w:rFonts w:cs="Arial"/>
          <w:b/>
          <w:bCs/>
          <w:color w:val="auto"/>
          <w:sz w:val="30"/>
          <w:szCs w:val="30"/>
          <w:highlight w:val="none"/>
          <w:lang w:val="zh-CN"/>
        </w:rPr>
        <w:t>无重大违法记录声明</w:t>
      </w:r>
    </w:p>
    <w:p w14:paraId="137F5E08">
      <w:pPr>
        <w:autoSpaceDE w:val="0"/>
        <w:autoSpaceDN w:val="0"/>
        <w:spacing w:line="360" w:lineRule="auto"/>
        <w:rPr>
          <w:rFonts w:cs="Arial"/>
          <w:color w:val="auto"/>
          <w:highlight w:val="none"/>
          <w:lang w:val="zh-CN"/>
        </w:rPr>
      </w:pPr>
    </w:p>
    <w:p w14:paraId="3AF8FF82">
      <w:pPr>
        <w:spacing w:line="360" w:lineRule="auto"/>
        <w:rPr>
          <w:rFonts w:cs="Arial"/>
          <w:b/>
          <w:bCs/>
          <w:color w:val="auto"/>
          <w:sz w:val="28"/>
          <w:szCs w:val="28"/>
          <w:highlight w:val="none"/>
          <w:lang w:val="zh-CN"/>
        </w:rPr>
      </w:pPr>
      <w:r>
        <w:rPr>
          <w:rFonts w:cs="Arial"/>
          <w:b/>
          <w:bCs/>
          <w:color w:val="auto"/>
          <w:szCs w:val="28"/>
          <w:highlight w:val="none"/>
          <w:lang w:val="zh-CN"/>
        </w:rPr>
        <w:t>致：</w:t>
      </w:r>
      <w:r>
        <w:rPr>
          <w:rFonts w:hint="eastAsia" w:cs="Arial"/>
          <w:b/>
          <w:bCs/>
          <w:color w:val="auto"/>
          <w:szCs w:val="28"/>
          <w:highlight w:val="none"/>
          <w:lang w:val="zh-CN"/>
        </w:rPr>
        <w:t>青海海际项目咨询管理有限公司</w:t>
      </w:r>
    </w:p>
    <w:p w14:paraId="0DEF16D5">
      <w:pPr>
        <w:spacing w:line="360" w:lineRule="auto"/>
        <w:rPr>
          <w:rFonts w:cs="Arial"/>
          <w:color w:val="auto"/>
          <w:highlight w:val="none"/>
        </w:rPr>
      </w:pPr>
    </w:p>
    <w:p w14:paraId="0D389F4F">
      <w:pPr>
        <w:spacing w:line="360" w:lineRule="auto"/>
        <w:ind w:firstLine="424" w:firstLineChars="177"/>
        <w:rPr>
          <w:rFonts w:cs="Arial"/>
          <w:color w:val="auto"/>
          <w:highlight w:val="none"/>
        </w:rPr>
      </w:pPr>
      <w:r>
        <w:rPr>
          <w:rFonts w:cs="Arial"/>
          <w:color w:val="auto"/>
          <w:highlight w:val="none"/>
          <w:u w:val="single"/>
        </w:rPr>
        <w:t>（供应商名称）</w:t>
      </w:r>
      <w:r>
        <w:rPr>
          <w:rFonts w:cs="Arial"/>
          <w:color w:val="auto"/>
          <w:highlight w:val="none"/>
        </w:rPr>
        <w:t>郑重声明，我方参加本项目竞磋活动前三年内无重大违法活动记录，符合《中华人民共和国政府采购法》规定的供应商资格条件。我方对此声明负全部法律责任。</w:t>
      </w:r>
    </w:p>
    <w:p w14:paraId="7EFBD5F3">
      <w:pPr>
        <w:spacing w:line="360" w:lineRule="auto"/>
        <w:ind w:firstLine="424" w:firstLineChars="177"/>
        <w:rPr>
          <w:rFonts w:cs="Arial"/>
          <w:color w:val="auto"/>
          <w:highlight w:val="none"/>
        </w:rPr>
      </w:pPr>
      <w:r>
        <w:rPr>
          <w:rFonts w:cs="Arial"/>
          <w:color w:val="auto"/>
          <w:highlight w:val="none"/>
        </w:rPr>
        <w:t xml:space="preserve"> </w:t>
      </w:r>
    </w:p>
    <w:p w14:paraId="5C318C43">
      <w:pPr>
        <w:spacing w:line="360" w:lineRule="auto"/>
        <w:ind w:firstLine="424" w:firstLineChars="177"/>
        <w:rPr>
          <w:rFonts w:cs="Arial"/>
          <w:color w:val="auto"/>
          <w:highlight w:val="none"/>
        </w:rPr>
      </w:pPr>
    </w:p>
    <w:p w14:paraId="62B43EF1">
      <w:pPr>
        <w:spacing w:line="360" w:lineRule="auto"/>
        <w:ind w:firstLine="424" w:firstLineChars="177"/>
        <w:rPr>
          <w:rFonts w:cs="Arial"/>
          <w:color w:val="auto"/>
          <w:highlight w:val="none"/>
        </w:rPr>
      </w:pPr>
      <w:r>
        <w:rPr>
          <w:rFonts w:cs="Arial"/>
          <w:color w:val="auto"/>
          <w:highlight w:val="none"/>
        </w:rPr>
        <w:t>特此声明。</w:t>
      </w:r>
    </w:p>
    <w:p w14:paraId="7BEC303F">
      <w:pPr>
        <w:spacing w:line="360" w:lineRule="auto"/>
        <w:ind w:firstLine="480"/>
        <w:rPr>
          <w:color w:val="auto"/>
          <w:highlight w:val="none"/>
        </w:rPr>
      </w:pPr>
      <w:r>
        <w:rPr>
          <w:rFonts w:hint="eastAsia"/>
          <w:color w:val="auto"/>
          <w:highlight w:val="none"/>
          <w:lang w:val="en-US" w:eastAsia="zh-CN"/>
        </w:rPr>
        <w:t>附</w:t>
      </w:r>
      <w:r>
        <w:rPr>
          <w:color w:val="auto"/>
          <w:highlight w:val="none"/>
        </w:rPr>
        <w:t>经信用中国（www.creditchina.gov.cn）、中国政府采购网（www.ccgp.gov.cn）等渠道查询后，列入失信被执行人、</w:t>
      </w:r>
      <w:r>
        <w:rPr>
          <w:rFonts w:hint="eastAsia"/>
          <w:color w:val="auto"/>
          <w:highlight w:val="none"/>
        </w:rPr>
        <w:t>重大税收违法失信主体</w:t>
      </w:r>
      <w:r>
        <w:rPr>
          <w:color w:val="auto"/>
          <w:highlight w:val="none"/>
        </w:rPr>
        <w:t>、政府采购严重违法失信行为记录名单的，取消投标资格。（</w:t>
      </w:r>
      <w:r>
        <w:rPr>
          <w:rFonts w:hint="eastAsia"/>
          <w:color w:val="auto"/>
          <w:highlight w:val="none"/>
        </w:rPr>
        <w:t>提供“信用中国”网站无任何不良记录的查询截图，时间为投标截止时间前10天内并附上“信用中国”完整的《信用信息报告》</w:t>
      </w:r>
      <w:r>
        <w:rPr>
          <w:color w:val="auto"/>
          <w:highlight w:val="none"/>
        </w:rPr>
        <w:t>）。</w:t>
      </w:r>
    </w:p>
    <w:p w14:paraId="67BEEC79">
      <w:pPr>
        <w:spacing w:line="360" w:lineRule="auto"/>
        <w:ind w:firstLine="424" w:firstLineChars="177"/>
        <w:rPr>
          <w:rFonts w:cs="Arial"/>
          <w:color w:val="auto"/>
          <w:highlight w:val="none"/>
        </w:rPr>
      </w:pPr>
    </w:p>
    <w:p w14:paraId="64FDEC40">
      <w:pPr>
        <w:spacing w:line="360" w:lineRule="auto"/>
        <w:ind w:firstLine="424" w:firstLineChars="177"/>
        <w:rPr>
          <w:rFonts w:cs="Arial"/>
          <w:color w:val="auto"/>
          <w:highlight w:val="none"/>
        </w:rPr>
      </w:pPr>
    </w:p>
    <w:p w14:paraId="10B818B1">
      <w:pPr>
        <w:spacing w:line="360" w:lineRule="auto"/>
        <w:ind w:left="0" w:leftChars="0" w:firstLine="0" w:firstLineChars="0"/>
        <w:rPr>
          <w:rFonts w:cs="Arial"/>
          <w:color w:val="auto"/>
          <w:highlight w:val="none"/>
        </w:rPr>
      </w:pPr>
    </w:p>
    <w:p w14:paraId="57968F6F">
      <w:pPr>
        <w:spacing w:line="360" w:lineRule="auto"/>
        <w:ind w:firstLine="424" w:firstLineChars="177"/>
        <w:rPr>
          <w:rFonts w:cs="Arial"/>
          <w:color w:val="auto"/>
          <w:highlight w:val="none"/>
        </w:rPr>
      </w:pPr>
    </w:p>
    <w:p w14:paraId="0618723B">
      <w:pPr>
        <w:spacing w:line="360" w:lineRule="auto"/>
        <w:ind w:firstLine="424" w:firstLineChars="177"/>
        <w:rPr>
          <w:rFonts w:cs="Arial"/>
          <w:color w:val="auto"/>
          <w:highlight w:val="none"/>
        </w:rPr>
      </w:pPr>
    </w:p>
    <w:p w14:paraId="685501F6">
      <w:pPr>
        <w:spacing w:line="360" w:lineRule="auto"/>
        <w:ind w:firstLine="424" w:firstLineChars="177"/>
        <w:rPr>
          <w:rFonts w:cs="Arial"/>
          <w:color w:val="auto"/>
          <w:highlight w:val="none"/>
        </w:rPr>
      </w:pPr>
    </w:p>
    <w:p w14:paraId="1A08C1A1">
      <w:pPr>
        <w:spacing w:line="360" w:lineRule="auto"/>
        <w:ind w:firstLine="424" w:firstLineChars="177"/>
        <w:rPr>
          <w:rFonts w:cs="Arial"/>
          <w:color w:val="auto"/>
          <w:highlight w:val="none"/>
        </w:rPr>
      </w:pPr>
    </w:p>
    <w:p w14:paraId="6B2477FC">
      <w:pPr>
        <w:spacing w:line="360" w:lineRule="auto"/>
        <w:ind w:firstLine="424" w:firstLineChars="177"/>
        <w:rPr>
          <w:rFonts w:cs="Arial"/>
          <w:color w:val="auto"/>
          <w:highlight w:val="none"/>
        </w:rPr>
      </w:pPr>
    </w:p>
    <w:p w14:paraId="50B9CFC6">
      <w:pPr>
        <w:spacing w:line="360" w:lineRule="auto"/>
        <w:ind w:firstLine="482"/>
        <w:jc w:val="center"/>
        <w:rPr>
          <w:rFonts w:hint="eastAsia" w:ascii="宋体" w:hAnsi="宋体"/>
          <w:b/>
          <w:color w:val="auto"/>
          <w:highlight w:val="none"/>
        </w:rPr>
      </w:pPr>
      <w:r>
        <w:rPr>
          <w:rFonts w:hint="eastAsia" w:ascii="宋体" w:hAnsi="宋体"/>
          <w:b/>
          <w:color w:val="auto"/>
          <w:highlight w:val="none"/>
        </w:rPr>
        <w:t xml:space="preserve">  投标供应商：</w:t>
      </w:r>
      <w:r>
        <w:rPr>
          <w:rFonts w:hint="eastAsia" w:ascii="仿宋_GB2312" w:eastAsia="仿宋_GB2312" w:cs="宋体"/>
          <w:color w:val="auto"/>
          <w:kern w:val="0"/>
          <w:highlight w:val="none"/>
          <w:u w:val="single"/>
        </w:rPr>
        <w:t xml:space="preserve">       </w:t>
      </w:r>
      <w:r>
        <w:rPr>
          <w:rFonts w:hint="eastAsia" w:ascii="宋体" w:hAnsi="宋体"/>
          <w:b/>
          <w:color w:val="auto"/>
          <w:highlight w:val="none"/>
        </w:rPr>
        <w:t>（公章）</w:t>
      </w:r>
    </w:p>
    <w:p w14:paraId="0559A131">
      <w:pPr>
        <w:spacing w:line="360" w:lineRule="auto"/>
        <w:ind w:firstLine="482"/>
        <w:jc w:val="center"/>
        <w:rPr>
          <w:rFonts w:ascii="宋体" w:hAnsi="宋体"/>
          <w:b/>
          <w:color w:val="auto"/>
          <w:highlight w:val="none"/>
        </w:rPr>
      </w:pPr>
      <w:r>
        <w:rPr>
          <w:rFonts w:hint="eastAsia" w:ascii="宋体" w:hAnsi="宋体"/>
          <w:b/>
          <w:color w:val="auto"/>
          <w:highlight w:val="none"/>
        </w:rPr>
        <w:t xml:space="preserve">                  法定代表人或委托代理人：</w:t>
      </w:r>
      <w:r>
        <w:rPr>
          <w:rFonts w:hint="eastAsia" w:ascii="仿宋_GB2312" w:eastAsia="仿宋_GB2312" w:cs="宋体"/>
          <w:color w:val="auto"/>
          <w:kern w:val="0"/>
          <w:highlight w:val="none"/>
          <w:u w:val="single"/>
        </w:rPr>
        <w:t xml:space="preserve">       </w:t>
      </w:r>
      <w:r>
        <w:rPr>
          <w:rFonts w:hint="eastAsia" w:ascii="宋体" w:hAnsi="宋体"/>
          <w:b/>
          <w:color w:val="auto"/>
          <w:highlight w:val="none"/>
        </w:rPr>
        <w:t>（签字或盖章）</w:t>
      </w:r>
    </w:p>
    <w:p w14:paraId="5B04EE00">
      <w:pPr>
        <w:spacing w:line="360" w:lineRule="auto"/>
        <w:ind w:firstLine="482"/>
        <w:jc w:val="center"/>
        <w:rPr>
          <w:rFonts w:hint="eastAsia" w:ascii="宋体" w:hAnsi="宋体"/>
          <w:b/>
          <w:color w:val="auto"/>
          <w:highlight w:val="none"/>
        </w:rPr>
      </w:pPr>
      <w:r>
        <w:rPr>
          <w:rFonts w:hint="eastAsia" w:ascii="宋体" w:hAnsi="宋体"/>
          <w:b/>
          <w:color w:val="auto"/>
          <w:highlight w:val="none"/>
        </w:rPr>
        <w:t xml:space="preserve">             年   月  日</w:t>
      </w:r>
    </w:p>
    <w:p w14:paraId="18CD6C67">
      <w:pPr>
        <w:pStyle w:val="14"/>
        <w:spacing w:line="360" w:lineRule="auto"/>
        <w:ind w:left="497"/>
        <w:rPr>
          <w:color w:val="auto"/>
          <w:highlight w:val="none"/>
        </w:rPr>
      </w:pPr>
      <w:r>
        <w:rPr>
          <w:rFonts w:ascii="Arial" w:hAnsi="Arial" w:cs="Arial"/>
          <w:color w:val="auto"/>
          <w:szCs w:val="28"/>
          <w:highlight w:val="none"/>
        </w:rPr>
        <w:br w:type="page"/>
      </w:r>
    </w:p>
    <w:p w14:paraId="4014E4C8">
      <w:pPr>
        <w:pStyle w:val="4"/>
        <w:numPr>
          <w:ilvl w:val="0"/>
          <w:numId w:val="0"/>
        </w:numPr>
        <w:tabs>
          <w:tab w:val="left" w:pos="425"/>
        </w:tabs>
        <w:spacing w:line="360" w:lineRule="auto"/>
        <w:ind w:left="0" w:leftChars="0" w:firstLine="643" w:firstLineChars="200"/>
        <w:rPr>
          <w:rFonts w:hint="eastAsia" w:ascii="宋体" w:hAnsi="Times New Roman" w:eastAsia="宋体" w:cs="Times New Roman"/>
          <w:b/>
          <w:color w:val="auto"/>
          <w:kern w:val="2"/>
          <w:sz w:val="32"/>
          <w:szCs w:val="32"/>
          <w:highlight w:val="none"/>
          <w:lang w:val="zh-CN" w:eastAsia="zh-CN" w:bidi="ar-SA"/>
        </w:rPr>
      </w:pPr>
      <w:bookmarkStart w:id="323" w:name="_Toc234"/>
      <w:bookmarkStart w:id="324" w:name="_Toc5717"/>
      <w:r>
        <w:rPr>
          <w:rFonts w:hint="default" w:ascii="宋体" w:hAnsi="Times New Roman" w:eastAsia="宋体" w:cs="Times New Roman"/>
          <w:b/>
          <w:color w:val="auto"/>
          <w:kern w:val="2"/>
          <w:sz w:val="32"/>
          <w:szCs w:val="32"/>
          <w:highlight w:val="none"/>
          <w:lang w:val="zh-CN" w:eastAsia="zh-CN" w:bidi="ar-SA"/>
        </w:rPr>
        <w:t>11．</w:t>
      </w:r>
      <w:r>
        <w:rPr>
          <w:rFonts w:hint="eastAsia" w:ascii="宋体" w:hAnsi="Times New Roman" w:eastAsia="宋体" w:cs="Times New Roman"/>
          <w:b/>
          <w:color w:val="auto"/>
          <w:kern w:val="2"/>
          <w:sz w:val="32"/>
          <w:szCs w:val="32"/>
          <w:highlight w:val="none"/>
          <w:lang w:val="zh-CN" w:eastAsia="zh-CN" w:bidi="ar-SA"/>
        </w:rPr>
        <w:t>磋商保证金证明</w:t>
      </w:r>
      <w:bookmarkEnd w:id="323"/>
      <w:bookmarkEnd w:id="324"/>
    </w:p>
    <w:p w14:paraId="6C50F35F">
      <w:pPr>
        <w:spacing w:line="360" w:lineRule="auto"/>
        <w:rPr>
          <w:rFonts w:cs="Arial"/>
          <w:color w:val="auto"/>
          <w:highlight w:val="none"/>
          <w:lang w:val="zh-CN"/>
        </w:rPr>
      </w:pPr>
    </w:p>
    <w:p w14:paraId="2FCADC19">
      <w:pPr>
        <w:autoSpaceDE w:val="0"/>
        <w:autoSpaceDN w:val="0"/>
        <w:spacing w:line="360" w:lineRule="auto"/>
        <w:jc w:val="center"/>
        <w:rPr>
          <w:rFonts w:cs="Arial"/>
          <w:b/>
          <w:bCs/>
          <w:color w:val="auto"/>
          <w:sz w:val="30"/>
          <w:szCs w:val="30"/>
          <w:highlight w:val="none"/>
          <w:lang w:val="zh-CN"/>
        </w:rPr>
      </w:pPr>
      <w:r>
        <w:rPr>
          <w:rFonts w:cs="Arial"/>
          <w:b/>
          <w:bCs/>
          <w:color w:val="auto"/>
          <w:sz w:val="30"/>
          <w:szCs w:val="30"/>
          <w:highlight w:val="none"/>
          <w:lang w:val="zh-CN"/>
        </w:rPr>
        <w:t>磋商保证金证明</w:t>
      </w:r>
    </w:p>
    <w:p w14:paraId="63907619">
      <w:pPr>
        <w:autoSpaceDE w:val="0"/>
        <w:autoSpaceDN w:val="0"/>
        <w:spacing w:line="360" w:lineRule="auto"/>
        <w:rPr>
          <w:rFonts w:cs="Arial"/>
          <w:b/>
          <w:bCs/>
          <w:color w:val="auto"/>
          <w:sz w:val="28"/>
          <w:szCs w:val="28"/>
          <w:highlight w:val="none"/>
          <w:lang w:val="zh-CN"/>
        </w:rPr>
      </w:pPr>
    </w:p>
    <w:p w14:paraId="37311CA3">
      <w:pPr>
        <w:autoSpaceDE w:val="0"/>
        <w:autoSpaceDN w:val="0"/>
        <w:spacing w:line="360" w:lineRule="auto"/>
        <w:rPr>
          <w:rFonts w:cs="Arial"/>
          <w:b/>
          <w:bCs/>
          <w:color w:val="auto"/>
          <w:sz w:val="22"/>
          <w:szCs w:val="21"/>
          <w:highlight w:val="none"/>
          <w:lang w:val="zh-CN"/>
        </w:rPr>
      </w:pPr>
      <w:r>
        <w:rPr>
          <w:rFonts w:cs="Arial"/>
          <w:b/>
          <w:bCs/>
          <w:color w:val="auto"/>
          <w:szCs w:val="24"/>
          <w:highlight w:val="none"/>
          <w:lang w:val="zh-CN"/>
        </w:rPr>
        <w:t>致：</w:t>
      </w:r>
      <w:r>
        <w:rPr>
          <w:rFonts w:hint="eastAsia" w:cs="Arial"/>
          <w:b/>
          <w:bCs/>
          <w:color w:val="auto"/>
          <w:szCs w:val="24"/>
          <w:highlight w:val="none"/>
          <w:lang w:val="zh-CN"/>
        </w:rPr>
        <w:t>青海海际项目咨询管理有限公司</w:t>
      </w:r>
    </w:p>
    <w:p w14:paraId="2F912999">
      <w:pPr>
        <w:autoSpaceDE w:val="0"/>
        <w:autoSpaceDN w:val="0"/>
        <w:spacing w:line="360" w:lineRule="auto"/>
        <w:jc w:val="both"/>
        <w:rPr>
          <w:rFonts w:cs="Arial"/>
          <w:b/>
          <w:bCs/>
          <w:color w:val="auto"/>
          <w:highlight w:val="none"/>
          <w:lang w:val="zh-CN"/>
        </w:rPr>
      </w:pPr>
    </w:p>
    <w:p w14:paraId="27940455">
      <w:pPr>
        <w:autoSpaceDE w:val="0"/>
        <w:autoSpaceDN w:val="0"/>
        <w:spacing w:line="360" w:lineRule="auto"/>
        <w:ind w:firstLine="480" w:firstLineChars="200"/>
        <w:jc w:val="both"/>
        <w:rPr>
          <w:rFonts w:cs="Arial"/>
          <w:color w:val="auto"/>
          <w:highlight w:val="none"/>
          <w:lang w:val="zh-CN"/>
        </w:rPr>
      </w:pPr>
      <w:r>
        <w:rPr>
          <w:rFonts w:cs="Arial"/>
          <w:color w:val="auto"/>
          <w:highlight w:val="none"/>
          <w:lang w:val="zh-CN"/>
        </w:rPr>
        <w:t>我方为</w:t>
      </w:r>
      <w:r>
        <w:rPr>
          <w:rFonts w:cs="Arial"/>
          <w:color w:val="auto"/>
          <w:highlight w:val="none"/>
          <w:u w:val="single"/>
          <w:lang w:val="zh-CN"/>
        </w:rPr>
        <w:t>（项目名称）</w:t>
      </w:r>
      <w:r>
        <w:rPr>
          <w:rFonts w:cs="Arial"/>
          <w:color w:val="auto"/>
          <w:highlight w:val="none"/>
          <w:lang w:val="zh-CN"/>
        </w:rPr>
        <w:t>项目（采购编号：</w:t>
      </w:r>
      <w:r>
        <w:rPr>
          <w:rFonts w:hint="eastAsia" w:cs="Arial"/>
          <w:color w:val="auto"/>
          <w:highlight w:val="none"/>
          <w:u w:val="single"/>
          <w:lang w:val="en-US" w:eastAsia="zh-CN"/>
        </w:rPr>
        <w:t xml:space="preserve"> </w:t>
      </w:r>
      <w:r>
        <w:rPr>
          <w:rFonts w:cs="Arial"/>
          <w:color w:val="auto"/>
          <w:highlight w:val="none"/>
          <w:u w:val="single"/>
          <w:lang w:val="zh-CN"/>
        </w:rPr>
        <w:t xml:space="preserve">    </w:t>
      </w:r>
      <w:r>
        <w:rPr>
          <w:rFonts w:cs="Arial"/>
          <w:color w:val="auto"/>
          <w:highlight w:val="none"/>
          <w:lang w:val="zh-CN"/>
        </w:rPr>
        <w:t>）递交保证金人民币</w:t>
      </w:r>
      <w:r>
        <w:rPr>
          <w:rFonts w:cs="Arial"/>
          <w:color w:val="auto"/>
          <w:highlight w:val="none"/>
          <w:u w:val="single"/>
          <w:lang w:val="zh-CN"/>
        </w:rPr>
        <w:t xml:space="preserve">          </w:t>
      </w:r>
      <w:r>
        <w:rPr>
          <w:rFonts w:cs="Arial"/>
          <w:color w:val="auto"/>
          <w:highlight w:val="none"/>
          <w:lang w:val="zh-CN"/>
        </w:rPr>
        <w:t>（大写：人民币</w:t>
      </w:r>
      <w:r>
        <w:rPr>
          <w:rFonts w:cs="Arial"/>
          <w:color w:val="auto"/>
          <w:highlight w:val="none"/>
          <w:u w:val="single"/>
          <w:lang w:val="zh-CN"/>
        </w:rPr>
        <w:t xml:space="preserve">        </w:t>
      </w:r>
      <w:r>
        <w:rPr>
          <w:rFonts w:cs="Arial"/>
          <w:color w:val="auto"/>
          <w:highlight w:val="none"/>
          <w:lang w:val="zh-CN"/>
        </w:rPr>
        <w:t>元）</w:t>
      </w:r>
      <w:r>
        <w:rPr>
          <w:rFonts w:hint="eastAsia" w:cs="Arial"/>
          <w:color w:val="auto"/>
          <w:highlight w:val="none"/>
          <w:lang w:val="zh-CN"/>
        </w:rPr>
        <w:t>，</w:t>
      </w:r>
      <w:r>
        <w:rPr>
          <w:rFonts w:cs="Arial"/>
          <w:color w:val="auto"/>
          <w:highlight w:val="none"/>
          <w:lang w:val="zh-CN"/>
        </w:rPr>
        <w:t>已于</w:t>
      </w:r>
      <w:r>
        <w:rPr>
          <w:rFonts w:cs="Arial"/>
          <w:color w:val="auto"/>
          <w:highlight w:val="none"/>
          <w:u w:val="single"/>
          <w:lang w:val="zh-CN"/>
        </w:rPr>
        <w:t xml:space="preserve">     </w:t>
      </w:r>
      <w:r>
        <w:rPr>
          <w:rFonts w:cs="Arial"/>
          <w:color w:val="auto"/>
          <w:highlight w:val="none"/>
          <w:lang w:val="zh-CN"/>
        </w:rPr>
        <w:t>年</w:t>
      </w:r>
      <w:r>
        <w:rPr>
          <w:rFonts w:cs="Arial"/>
          <w:color w:val="auto"/>
          <w:highlight w:val="none"/>
          <w:u w:val="single"/>
          <w:lang w:val="zh-CN"/>
        </w:rPr>
        <w:t xml:space="preserve">    </w:t>
      </w:r>
      <w:r>
        <w:rPr>
          <w:rFonts w:cs="Arial"/>
          <w:color w:val="auto"/>
          <w:highlight w:val="none"/>
          <w:lang w:val="zh-CN"/>
        </w:rPr>
        <w:t>月</w:t>
      </w:r>
      <w:r>
        <w:rPr>
          <w:rFonts w:cs="Arial"/>
          <w:color w:val="auto"/>
          <w:highlight w:val="none"/>
          <w:u w:val="single"/>
          <w:lang w:val="zh-CN"/>
        </w:rPr>
        <w:t xml:space="preserve">    </w:t>
      </w:r>
      <w:r>
        <w:rPr>
          <w:rFonts w:cs="Arial"/>
          <w:color w:val="auto"/>
          <w:highlight w:val="none"/>
          <w:lang w:val="zh-CN"/>
        </w:rPr>
        <w:t>日以基本户转账方式汇入</w:t>
      </w:r>
      <w:r>
        <w:rPr>
          <w:rFonts w:hint="eastAsia" w:cs="Arial"/>
          <w:color w:val="auto"/>
          <w:highlight w:val="none"/>
        </w:rPr>
        <w:t>规定账户</w:t>
      </w:r>
    </w:p>
    <w:p w14:paraId="5158E1E6">
      <w:pPr>
        <w:autoSpaceDE w:val="0"/>
        <w:autoSpaceDN w:val="0"/>
        <w:spacing w:line="360" w:lineRule="auto"/>
        <w:ind w:firstLine="480" w:firstLineChars="200"/>
        <w:jc w:val="both"/>
        <w:rPr>
          <w:rFonts w:cs="Arial"/>
          <w:bCs/>
          <w:color w:val="auto"/>
          <w:highlight w:val="none"/>
          <w:lang w:val="zh-CN"/>
        </w:rPr>
      </w:pPr>
      <w:r>
        <w:rPr>
          <w:rFonts w:cs="Arial"/>
          <w:bCs/>
          <w:color w:val="auto"/>
          <w:highlight w:val="none"/>
          <w:lang w:val="zh-CN"/>
        </w:rPr>
        <w:t>附件：保证金交款证明及开户许可证复印件（加盖公章）</w:t>
      </w:r>
    </w:p>
    <w:p w14:paraId="1EAABC41">
      <w:pPr>
        <w:autoSpaceDE w:val="0"/>
        <w:autoSpaceDN w:val="0"/>
        <w:spacing w:line="360" w:lineRule="auto"/>
        <w:ind w:firstLine="480" w:firstLineChars="200"/>
        <w:jc w:val="both"/>
        <w:rPr>
          <w:rFonts w:cs="Arial"/>
          <w:color w:val="auto"/>
          <w:highlight w:val="none"/>
          <w:lang w:val="zh-CN"/>
        </w:rPr>
      </w:pPr>
      <w:r>
        <w:rPr>
          <w:rFonts w:cs="Arial"/>
          <w:color w:val="auto"/>
          <w:highlight w:val="none"/>
          <w:lang w:val="zh-CN"/>
        </w:rPr>
        <w:t>退还保证金时请按以下内容汇入至</w:t>
      </w:r>
      <w:r>
        <w:rPr>
          <w:rFonts w:hint="eastAsia" w:cs="Arial"/>
          <w:color w:val="auto"/>
          <w:highlight w:val="none"/>
          <w:lang w:val="zh-CN"/>
        </w:rPr>
        <w:t>规定</w:t>
      </w:r>
      <w:r>
        <w:rPr>
          <w:rFonts w:cs="Arial"/>
          <w:color w:val="auto"/>
          <w:highlight w:val="none"/>
          <w:lang w:val="zh-CN"/>
        </w:rPr>
        <w:t>账户（同递交保证金账户）。若因提供内容不全、错误等原因导致该项目保证金未能及时退还或退还过程中发生错误，我方将承担全部责任和损失。</w:t>
      </w:r>
    </w:p>
    <w:p w14:paraId="4808623F">
      <w:pPr>
        <w:autoSpaceDE w:val="0"/>
        <w:autoSpaceDN w:val="0"/>
        <w:spacing w:line="360" w:lineRule="auto"/>
        <w:ind w:firstLine="360"/>
        <w:rPr>
          <w:rFonts w:cs="Arial"/>
          <w:color w:val="auto"/>
          <w:highlight w:val="none"/>
          <w:lang w:val="zh-CN"/>
        </w:rPr>
      </w:pPr>
      <w:r>
        <w:rPr>
          <w:rFonts w:cs="Arial"/>
          <w:color w:val="auto"/>
          <w:highlight w:val="none"/>
          <w:lang w:val="zh-CN"/>
        </w:rPr>
        <w:t>户    名：</w:t>
      </w:r>
    </w:p>
    <w:p w14:paraId="4D6290CC">
      <w:pPr>
        <w:autoSpaceDE w:val="0"/>
        <w:autoSpaceDN w:val="0"/>
        <w:spacing w:line="360" w:lineRule="auto"/>
        <w:ind w:firstLine="360"/>
        <w:rPr>
          <w:rFonts w:cs="Arial"/>
          <w:color w:val="auto"/>
          <w:highlight w:val="none"/>
          <w:lang w:val="zh-CN"/>
        </w:rPr>
      </w:pPr>
      <w:r>
        <w:rPr>
          <w:rFonts w:cs="Arial"/>
          <w:color w:val="auto"/>
          <w:highlight w:val="none"/>
          <w:lang w:val="zh-CN"/>
        </w:rPr>
        <w:t>开户银行：</w:t>
      </w:r>
    </w:p>
    <w:p w14:paraId="2D80B390">
      <w:pPr>
        <w:autoSpaceDE w:val="0"/>
        <w:autoSpaceDN w:val="0"/>
        <w:spacing w:line="360" w:lineRule="auto"/>
        <w:ind w:firstLine="360"/>
        <w:rPr>
          <w:rFonts w:cs="Arial"/>
          <w:color w:val="auto"/>
          <w:highlight w:val="none"/>
          <w:lang w:val="zh-CN"/>
        </w:rPr>
      </w:pPr>
      <w:r>
        <w:rPr>
          <w:rFonts w:cs="Arial"/>
          <w:color w:val="auto"/>
          <w:highlight w:val="none"/>
          <w:lang w:val="zh-CN"/>
        </w:rPr>
        <w:t>开户帐号：</w:t>
      </w:r>
    </w:p>
    <w:p w14:paraId="0411FEEC">
      <w:pPr>
        <w:autoSpaceDE w:val="0"/>
        <w:autoSpaceDN w:val="0"/>
        <w:spacing w:line="360" w:lineRule="auto"/>
        <w:rPr>
          <w:rFonts w:cs="Arial"/>
          <w:color w:val="auto"/>
          <w:highlight w:val="none"/>
          <w:lang w:val="zh-CN"/>
        </w:rPr>
      </w:pPr>
    </w:p>
    <w:p w14:paraId="0CCF00A1">
      <w:pPr>
        <w:autoSpaceDE w:val="0"/>
        <w:autoSpaceDN w:val="0"/>
        <w:spacing w:line="360" w:lineRule="auto"/>
        <w:rPr>
          <w:rFonts w:cs="Arial"/>
          <w:color w:val="auto"/>
          <w:highlight w:val="none"/>
          <w:lang w:val="zh-CN"/>
        </w:rPr>
      </w:pPr>
    </w:p>
    <w:p w14:paraId="51D1D814">
      <w:pPr>
        <w:autoSpaceDE w:val="0"/>
        <w:autoSpaceDN w:val="0"/>
        <w:spacing w:line="360" w:lineRule="auto"/>
        <w:rPr>
          <w:rFonts w:cs="Arial"/>
          <w:color w:val="auto"/>
          <w:highlight w:val="none"/>
          <w:lang w:val="zh-CN"/>
        </w:rPr>
      </w:pPr>
    </w:p>
    <w:p w14:paraId="4703748D">
      <w:pPr>
        <w:autoSpaceDE w:val="0"/>
        <w:autoSpaceDN w:val="0"/>
        <w:spacing w:line="360" w:lineRule="auto"/>
        <w:rPr>
          <w:rFonts w:cs="Arial"/>
          <w:color w:val="auto"/>
          <w:highlight w:val="none"/>
          <w:lang w:val="zh-CN"/>
        </w:rPr>
      </w:pPr>
    </w:p>
    <w:p w14:paraId="7CAFD292">
      <w:pPr>
        <w:autoSpaceDE w:val="0"/>
        <w:autoSpaceDN w:val="0"/>
        <w:spacing w:line="360" w:lineRule="auto"/>
        <w:rPr>
          <w:rFonts w:cs="Arial"/>
          <w:color w:val="auto"/>
          <w:highlight w:val="none"/>
          <w:lang w:val="zh-CN"/>
        </w:rPr>
      </w:pPr>
    </w:p>
    <w:p w14:paraId="4FBA7634">
      <w:pPr>
        <w:autoSpaceDE w:val="0"/>
        <w:autoSpaceDN w:val="0"/>
        <w:spacing w:line="360" w:lineRule="auto"/>
        <w:rPr>
          <w:rFonts w:cs="Arial"/>
          <w:color w:val="auto"/>
          <w:highlight w:val="none"/>
          <w:lang w:val="zh-CN"/>
        </w:rPr>
      </w:pPr>
    </w:p>
    <w:p w14:paraId="77D7E3CD">
      <w:pPr>
        <w:spacing w:line="360" w:lineRule="auto"/>
        <w:ind w:firstLine="482"/>
        <w:jc w:val="center"/>
        <w:rPr>
          <w:rFonts w:hint="eastAsia" w:ascii="宋体" w:hAnsi="宋体"/>
          <w:b/>
          <w:color w:val="auto"/>
          <w:highlight w:val="none"/>
        </w:rPr>
      </w:pPr>
      <w:r>
        <w:rPr>
          <w:rFonts w:hint="eastAsia" w:ascii="宋体" w:hAnsi="宋体"/>
          <w:b/>
          <w:color w:val="auto"/>
          <w:highlight w:val="none"/>
        </w:rPr>
        <w:t xml:space="preserve">   投标供应商：</w:t>
      </w:r>
      <w:r>
        <w:rPr>
          <w:rFonts w:hint="eastAsia" w:ascii="仿宋_GB2312" w:eastAsia="仿宋_GB2312" w:cs="宋体"/>
          <w:color w:val="auto"/>
          <w:kern w:val="0"/>
          <w:highlight w:val="none"/>
          <w:u w:val="single"/>
        </w:rPr>
        <w:t xml:space="preserve">       </w:t>
      </w:r>
      <w:r>
        <w:rPr>
          <w:rFonts w:hint="eastAsia" w:ascii="宋体" w:hAnsi="宋体"/>
          <w:b/>
          <w:color w:val="auto"/>
          <w:highlight w:val="none"/>
        </w:rPr>
        <w:t>（公章）</w:t>
      </w:r>
    </w:p>
    <w:p w14:paraId="186110C2">
      <w:pPr>
        <w:spacing w:line="360" w:lineRule="auto"/>
        <w:ind w:firstLine="482"/>
        <w:jc w:val="center"/>
        <w:rPr>
          <w:rFonts w:ascii="宋体" w:hAnsi="宋体"/>
          <w:b/>
          <w:color w:val="auto"/>
          <w:highlight w:val="none"/>
        </w:rPr>
      </w:pPr>
      <w:r>
        <w:rPr>
          <w:rFonts w:hint="eastAsia" w:ascii="宋体" w:hAnsi="宋体"/>
          <w:b/>
          <w:color w:val="auto"/>
          <w:highlight w:val="none"/>
        </w:rPr>
        <w:t xml:space="preserve">                  法定代表人或委托代理人：</w:t>
      </w:r>
      <w:r>
        <w:rPr>
          <w:rFonts w:hint="eastAsia" w:ascii="仿宋_GB2312" w:eastAsia="仿宋_GB2312" w:cs="宋体"/>
          <w:color w:val="auto"/>
          <w:kern w:val="0"/>
          <w:highlight w:val="none"/>
          <w:u w:val="single"/>
        </w:rPr>
        <w:t xml:space="preserve">       </w:t>
      </w:r>
      <w:r>
        <w:rPr>
          <w:rFonts w:hint="eastAsia" w:ascii="宋体" w:hAnsi="宋体"/>
          <w:b/>
          <w:color w:val="auto"/>
          <w:highlight w:val="none"/>
        </w:rPr>
        <w:t>（签字或盖章）</w:t>
      </w:r>
    </w:p>
    <w:p w14:paraId="58EA8423">
      <w:pPr>
        <w:spacing w:line="360" w:lineRule="auto"/>
        <w:ind w:firstLine="482"/>
        <w:jc w:val="center"/>
        <w:rPr>
          <w:rFonts w:hint="eastAsia" w:ascii="宋体" w:hAnsi="宋体"/>
          <w:b/>
          <w:color w:val="auto"/>
          <w:highlight w:val="none"/>
        </w:rPr>
      </w:pPr>
      <w:r>
        <w:rPr>
          <w:rFonts w:hint="eastAsia" w:ascii="宋体" w:hAnsi="宋体"/>
          <w:b/>
          <w:color w:val="auto"/>
          <w:highlight w:val="none"/>
        </w:rPr>
        <w:t xml:space="preserve">             年   月  日</w:t>
      </w:r>
    </w:p>
    <w:p w14:paraId="4EE8C044">
      <w:pPr>
        <w:autoSpaceDE w:val="0"/>
        <w:autoSpaceDN w:val="0"/>
        <w:spacing w:line="360" w:lineRule="auto"/>
        <w:ind w:right="-197" w:rightChars="-82"/>
        <w:jc w:val="both"/>
        <w:rPr>
          <w:rFonts w:hint="eastAsia" w:ascii="宋体" w:hAnsi="Cambria" w:cs="宋体"/>
          <w:b/>
          <w:color w:val="auto"/>
          <w:highlight w:val="none"/>
        </w:rPr>
      </w:pPr>
    </w:p>
    <w:p w14:paraId="711DB0F7">
      <w:pPr>
        <w:spacing w:line="360" w:lineRule="auto"/>
        <w:rPr>
          <w:color w:val="auto"/>
          <w:highlight w:val="none"/>
        </w:rPr>
      </w:pPr>
      <w:r>
        <w:rPr>
          <w:rFonts w:hint="eastAsia" w:ascii="宋体" w:hAnsi="Cambria" w:cs="宋体"/>
          <w:b/>
          <w:color w:val="auto"/>
          <w:highlight w:val="none"/>
        </w:rPr>
        <w:t>注：</w:t>
      </w:r>
      <w:r>
        <w:rPr>
          <w:rFonts w:hint="eastAsia" w:ascii="宋体" w:hAnsi="Cambria" w:cs="宋体"/>
          <w:b/>
          <w:color w:val="auto"/>
          <w:highlight w:val="none"/>
          <w:lang w:val="en-US" w:eastAsia="zh-CN"/>
        </w:rPr>
        <w:t>磋商</w:t>
      </w:r>
      <w:r>
        <w:rPr>
          <w:rFonts w:hint="eastAsia" w:ascii="宋体" w:hAnsi="Cambria" w:cs="宋体"/>
          <w:b/>
          <w:color w:val="auto"/>
          <w:highlight w:val="none"/>
          <w:lang w:val="zh-CN"/>
        </w:rPr>
        <w:t>保证金</w:t>
      </w:r>
      <w:r>
        <w:rPr>
          <w:rFonts w:hint="eastAsia" w:ascii="宋体" w:hAnsi="Cambria" w:cs="宋体"/>
          <w:b/>
          <w:color w:val="auto"/>
          <w:highlight w:val="none"/>
        </w:rPr>
        <w:t>若以</w:t>
      </w:r>
      <w:r>
        <w:rPr>
          <w:rFonts w:hint="eastAsia" w:ascii="宋体" w:hAnsi="Cambria" w:cs="宋体"/>
          <w:b/>
          <w:color w:val="auto"/>
          <w:highlight w:val="none"/>
          <w:lang w:val="zh-CN"/>
        </w:rPr>
        <w:t>支票、汇票、本票或者金融机构或担保机构出具的保函等非现金形式提交，</w:t>
      </w:r>
      <w:r>
        <w:rPr>
          <w:rFonts w:hint="eastAsia" w:ascii="宋体" w:hAnsi="Cambria" w:cs="宋体"/>
          <w:b/>
          <w:color w:val="auto"/>
          <w:highlight w:val="none"/>
        </w:rPr>
        <w:t>提交证明材料即可。</w:t>
      </w:r>
    </w:p>
    <w:p w14:paraId="69E0A73A">
      <w:pPr>
        <w:spacing w:line="360" w:lineRule="auto"/>
        <w:rPr>
          <w:color w:val="auto"/>
          <w:highlight w:val="none"/>
        </w:rPr>
      </w:pPr>
    </w:p>
    <w:p w14:paraId="3D5803B7">
      <w:pPr>
        <w:pStyle w:val="4"/>
        <w:numPr>
          <w:ilvl w:val="0"/>
          <w:numId w:val="14"/>
        </w:numPr>
        <w:tabs>
          <w:tab w:val="left" w:pos="425"/>
        </w:tabs>
        <w:spacing w:line="360" w:lineRule="auto"/>
        <w:rPr>
          <w:rFonts w:ascii="Arial" w:hAnsi="Arial" w:cs="Arial"/>
          <w:color w:val="auto"/>
          <w:highlight w:val="none"/>
          <w:lang w:val="zh-CN"/>
        </w:rPr>
      </w:pPr>
      <w:r>
        <w:rPr>
          <w:rFonts w:ascii="Arial" w:hAnsi="Arial" w:cs="Arial"/>
          <w:color w:val="auto"/>
          <w:highlight w:val="none"/>
          <w:lang w:val="zh-CN"/>
        </w:rPr>
        <w:br w:type="page"/>
      </w:r>
      <w:bookmarkStart w:id="325" w:name="_Toc12102"/>
      <w:bookmarkStart w:id="326" w:name="_Toc32414"/>
      <w:r>
        <w:rPr>
          <w:rFonts w:ascii="Arial" w:hAnsi="Arial" w:cs="Arial"/>
          <w:color w:val="auto"/>
          <w:highlight w:val="none"/>
          <w:lang w:val="zh-CN"/>
        </w:rPr>
        <w:t>磋商响应文件封面(下册)</w:t>
      </w:r>
      <w:bookmarkEnd w:id="325"/>
      <w:bookmarkEnd w:id="326"/>
    </w:p>
    <w:p w14:paraId="557E98AB">
      <w:pPr>
        <w:spacing w:line="360" w:lineRule="auto"/>
        <w:jc w:val="right"/>
        <w:rPr>
          <w:rFonts w:cs="Arial"/>
          <w:b/>
          <w:bCs/>
          <w:color w:val="auto"/>
          <w:sz w:val="36"/>
          <w:szCs w:val="36"/>
          <w:highlight w:val="none"/>
        </w:rPr>
      </w:pPr>
    </w:p>
    <w:p w14:paraId="086F8609">
      <w:pPr>
        <w:spacing w:line="360" w:lineRule="auto"/>
        <w:ind w:firstLine="2088" w:firstLineChars="400"/>
        <w:rPr>
          <w:rFonts w:hint="eastAsia" w:ascii="仿宋_GB2312" w:hAnsi="宋体" w:eastAsia="仿宋_GB2312"/>
          <w:b/>
          <w:color w:val="auto"/>
          <w:sz w:val="52"/>
          <w:szCs w:val="52"/>
          <w:highlight w:val="none"/>
        </w:rPr>
      </w:pPr>
    </w:p>
    <w:p w14:paraId="3C0D3933">
      <w:pPr>
        <w:widowControl/>
        <w:adjustRightInd w:val="0"/>
        <w:snapToGrid w:val="0"/>
        <w:spacing w:line="360" w:lineRule="auto"/>
        <w:ind w:firstLine="0" w:firstLineChars="0"/>
        <w:jc w:val="center"/>
        <w:rPr>
          <w:rFonts w:ascii="Arial" w:hAnsi="Arial" w:eastAsia="宋体" w:cs="Arial"/>
          <w:b/>
          <w:color w:val="auto"/>
          <w:kern w:val="0"/>
          <w:sz w:val="96"/>
          <w:szCs w:val="22"/>
          <w:highlight w:val="none"/>
        </w:rPr>
      </w:pPr>
      <w:r>
        <w:rPr>
          <w:rFonts w:ascii="Arial" w:hAnsi="Arial" w:eastAsia="宋体" w:cs="Arial"/>
          <w:b/>
          <w:color w:val="auto"/>
          <w:kern w:val="0"/>
          <w:sz w:val="72"/>
          <w:szCs w:val="22"/>
          <w:highlight w:val="none"/>
        </w:rPr>
        <w:t>青海省政府采购项目</w:t>
      </w:r>
    </w:p>
    <w:p w14:paraId="2D225EBB">
      <w:pPr>
        <w:widowControl/>
        <w:adjustRightInd w:val="0"/>
        <w:snapToGrid w:val="0"/>
        <w:spacing w:line="360" w:lineRule="auto"/>
        <w:ind w:firstLine="0" w:firstLineChars="0"/>
        <w:jc w:val="center"/>
        <w:rPr>
          <w:rFonts w:ascii="Arial" w:hAnsi="Arial" w:eastAsia="宋体" w:cs="Arial"/>
          <w:b/>
          <w:color w:val="auto"/>
          <w:kern w:val="0"/>
          <w:sz w:val="48"/>
          <w:szCs w:val="22"/>
          <w:highlight w:val="none"/>
        </w:rPr>
      </w:pPr>
    </w:p>
    <w:p w14:paraId="5B275783">
      <w:pPr>
        <w:widowControl/>
        <w:adjustRightInd w:val="0"/>
        <w:snapToGrid w:val="0"/>
        <w:spacing w:line="360" w:lineRule="auto"/>
        <w:ind w:firstLine="0" w:firstLineChars="0"/>
        <w:jc w:val="center"/>
        <w:rPr>
          <w:rFonts w:ascii="Arial" w:hAnsi="Arial" w:eastAsia="宋体" w:cs="Arial"/>
          <w:b/>
          <w:color w:val="auto"/>
          <w:kern w:val="0"/>
          <w:sz w:val="48"/>
          <w:szCs w:val="22"/>
          <w:highlight w:val="none"/>
        </w:rPr>
      </w:pPr>
    </w:p>
    <w:p w14:paraId="0047E19E">
      <w:pPr>
        <w:widowControl/>
        <w:adjustRightInd w:val="0"/>
        <w:snapToGrid w:val="0"/>
        <w:spacing w:line="360" w:lineRule="auto"/>
        <w:ind w:firstLine="0" w:firstLineChars="0"/>
        <w:jc w:val="center"/>
        <w:rPr>
          <w:rFonts w:hint="eastAsia" w:ascii="宋体" w:hAnsi="宋体"/>
          <w:b/>
          <w:color w:val="auto"/>
          <w:sz w:val="72"/>
          <w:szCs w:val="72"/>
          <w:highlight w:val="none"/>
        </w:rPr>
      </w:pPr>
      <w:r>
        <w:rPr>
          <w:rFonts w:ascii="Arial" w:hAnsi="Arial" w:eastAsia="宋体" w:cs="Arial"/>
          <w:b/>
          <w:color w:val="auto"/>
          <w:kern w:val="0"/>
          <w:sz w:val="52"/>
          <w:szCs w:val="22"/>
          <w:highlight w:val="none"/>
        </w:rPr>
        <w:t>磋商响应文件</w:t>
      </w:r>
      <w:r>
        <w:rPr>
          <w:rFonts w:hint="eastAsia" w:ascii="Arial" w:hAnsi="Arial" w:eastAsia="宋体" w:cs="Arial"/>
          <w:b/>
          <w:color w:val="auto"/>
          <w:kern w:val="0"/>
          <w:sz w:val="52"/>
          <w:szCs w:val="22"/>
          <w:highlight w:val="none"/>
        </w:rPr>
        <w:t>（</w:t>
      </w:r>
      <w:r>
        <w:rPr>
          <w:rFonts w:hint="eastAsia" w:ascii="Arial" w:hAnsi="Arial" w:eastAsia="宋体" w:cs="Arial"/>
          <w:b/>
          <w:color w:val="auto"/>
          <w:kern w:val="0"/>
          <w:sz w:val="52"/>
          <w:szCs w:val="22"/>
          <w:highlight w:val="none"/>
          <w:lang w:val="en-US" w:eastAsia="zh-CN"/>
        </w:rPr>
        <w:t>下</w:t>
      </w:r>
      <w:r>
        <w:rPr>
          <w:rFonts w:hint="eastAsia" w:ascii="Arial" w:hAnsi="Arial" w:eastAsia="宋体" w:cs="Arial"/>
          <w:b/>
          <w:color w:val="auto"/>
          <w:kern w:val="0"/>
          <w:sz w:val="52"/>
          <w:szCs w:val="22"/>
          <w:highlight w:val="none"/>
        </w:rPr>
        <w:t>册）</w:t>
      </w:r>
    </w:p>
    <w:p w14:paraId="4FA860B8">
      <w:pPr>
        <w:adjustRightInd w:val="0"/>
        <w:spacing w:line="360" w:lineRule="auto"/>
        <w:ind w:firstLine="0" w:firstLineChars="0"/>
        <w:jc w:val="center"/>
        <w:textAlignment w:val="baseline"/>
        <w:rPr>
          <w:rFonts w:hint="eastAsia" w:ascii="宋体" w:hAnsi="宋体"/>
          <w:b/>
          <w:bCs/>
          <w:color w:val="auto"/>
          <w:sz w:val="36"/>
          <w:szCs w:val="36"/>
          <w:highlight w:val="none"/>
        </w:rPr>
      </w:pPr>
      <w:r>
        <w:rPr>
          <w:rFonts w:hint="eastAsia" w:ascii="宋体" w:hAnsi="宋体"/>
          <w:b/>
          <w:bCs/>
          <w:color w:val="auto"/>
          <w:sz w:val="36"/>
          <w:szCs w:val="36"/>
          <w:highlight w:val="none"/>
        </w:rPr>
        <w:t>（</w:t>
      </w:r>
      <w:r>
        <w:rPr>
          <w:rFonts w:hint="eastAsia" w:ascii="宋体" w:hAnsi="宋体"/>
          <w:b/>
          <w:bCs/>
          <w:color w:val="auto"/>
          <w:sz w:val="36"/>
          <w:szCs w:val="36"/>
          <w:highlight w:val="none"/>
          <w:lang w:val="en-US" w:eastAsia="zh-CN"/>
        </w:rPr>
        <w:t>符合性审查</w:t>
      </w:r>
      <w:r>
        <w:rPr>
          <w:rFonts w:hint="eastAsia" w:ascii="宋体" w:hAnsi="宋体"/>
          <w:b/>
          <w:bCs/>
          <w:color w:val="auto"/>
          <w:sz w:val="36"/>
          <w:szCs w:val="36"/>
          <w:highlight w:val="none"/>
        </w:rPr>
        <w:t>部分）</w:t>
      </w:r>
    </w:p>
    <w:p w14:paraId="52A8892D">
      <w:pPr>
        <w:spacing w:line="360" w:lineRule="auto"/>
        <w:ind w:firstLine="788" w:firstLineChars="327"/>
        <w:rPr>
          <w:rFonts w:hint="eastAsia" w:ascii="宋体" w:hAnsi="宋体"/>
          <w:b/>
          <w:color w:val="auto"/>
          <w:highlight w:val="none"/>
        </w:rPr>
      </w:pPr>
    </w:p>
    <w:p w14:paraId="7BDD34FE">
      <w:pPr>
        <w:adjustRightInd w:val="0"/>
        <w:spacing w:line="360" w:lineRule="auto"/>
        <w:ind w:firstLine="0" w:firstLineChars="0"/>
        <w:textAlignment w:val="baseline"/>
        <w:rPr>
          <w:rFonts w:hint="eastAsia" w:ascii="宋体" w:hAnsi="宋体"/>
          <w:b/>
          <w:bCs/>
          <w:color w:val="auto"/>
          <w:sz w:val="32"/>
          <w:highlight w:val="none"/>
        </w:rPr>
      </w:pPr>
    </w:p>
    <w:p w14:paraId="5A4FBC1D">
      <w:pPr>
        <w:adjustRightInd w:val="0"/>
        <w:spacing w:line="360" w:lineRule="auto"/>
        <w:ind w:firstLine="0" w:firstLineChars="0"/>
        <w:textAlignment w:val="baseline"/>
        <w:rPr>
          <w:rFonts w:hint="default" w:ascii="宋体" w:hAnsi="宋体" w:eastAsia="宋体"/>
          <w:b/>
          <w:color w:val="auto"/>
          <w:sz w:val="36"/>
          <w:szCs w:val="36"/>
          <w:highlight w:val="none"/>
          <w:lang w:val="en-US" w:eastAsia="zh-CN"/>
        </w:rPr>
      </w:pPr>
      <w:r>
        <w:rPr>
          <w:rFonts w:hint="eastAsia" w:ascii="宋体" w:hAnsi="宋体"/>
          <w:b/>
          <w:bCs/>
          <w:color w:val="auto"/>
          <w:sz w:val="36"/>
          <w:szCs w:val="36"/>
          <w:highlight w:val="none"/>
        </w:rPr>
        <w:t>采购项目编号</w:t>
      </w:r>
      <w:r>
        <w:rPr>
          <w:rFonts w:hint="eastAsia" w:ascii="宋体" w:hAnsi="宋体"/>
          <w:b/>
          <w:color w:val="auto"/>
          <w:sz w:val="36"/>
          <w:szCs w:val="36"/>
          <w:highlight w:val="none"/>
        </w:rPr>
        <w:t>：</w:t>
      </w:r>
      <w:r>
        <w:rPr>
          <w:rFonts w:hint="eastAsia" w:ascii="宋体" w:hAnsi="宋体" w:eastAsia="宋体" w:cs="Times New Roman"/>
          <w:b/>
          <w:bCs/>
          <w:color w:val="auto"/>
          <w:sz w:val="36"/>
          <w:szCs w:val="36"/>
          <w:highlight w:val="none"/>
          <w:lang w:eastAsia="zh-CN"/>
        </w:rPr>
        <w:t>____________________</w:t>
      </w:r>
    </w:p>
    <w:p w14:paraId="5EF654C4">
      <w:pPr>
        <w:spacing w:line="360" w:lineRule="auto"/>
        <w:ind w:left="2660" w:hanging="2660" w:hangingChars="736"/>
        <w:jc w:val="left"/>
        <w:rPr>
          <w:rFonts w:hint="eastAsia" w:ascii="宋体" w:hAnsi="宋体" w:eastAsia="宋体"/>
          <w:b/>
          <w:bCs/>
          <w:color w:val="auto"/>
          <w:sz w:val="36"/>
          <w:szCs w:val="36"/>
          <w:highlight w:val="none"/>
          <w:lang w:eastAsia="zh-CN"/>
        </w:rPr>
      </w:pPr>
      <w:r>
        <w:rPr>
          <w:rFonts w:hint="eastAsia" w:ascii="宋体" w:hAnsi="宋体"/>
          <w:b/>
          <w:bCs/>
          <w:color w:val="auto"/>
          <w:sz w:val="36"/>
          <w:szCs w:val="36"/>
          <w:highlight w:val="none"/>
        </w:rPr>
        <w:t>采购项目名称：</w:t>
      </w:r>
      <w:r>
        <w:rPr>
          <w:rFonts w:hint="eastAsia" w:ascii="宋体" w:hAnsi="宋体" w:eastAsia="宋体" w:cs="Times New Roman"/>
          <w:b/>
          <w:bCs/>
          <w:color w:val="auto"/>
          <w:sz w:val="36"/>
          <w:szCs w:val="36"/>
          <w:highlight w:val="none"/>
          <w:lang w:eastAsia="zh-CN"/>
        </w:rPr>
        <w:t>____________________</w:t>
      </w:r>
    </w:p>
    <w:p w14:paraId="4B349C7E">
      <w:pPr>
        <w:spacing w:line="360" w:lineRule="auto"/>
        <w:ind w:left="2660" w:hanging="2660" w:hangingChars="736"/>
        <w:jc w:val="left"/>
        <w:rPr>
          <w:rFonts w:hint="eastAsia" w:ascii="宋体" w:hAnsi="宋体" w:eastAsia="宋体" w:cs="Times New Roman"/>
          <w:b/>
          <w:bCs/>
          <w:color w:val="auto"/>
          <w:sz w:val="36"/>
          <w:szCs w:val="36"/>
          <w:highlight w:val="none"/>
          <w:lang w:eastAsia="zh-CN"/>
        </w:rPr>
      </w:pPr>
      <w:r>
        <w:rPr>
          <w:rFonts w:hint="eastAsia" w:ascii="宋体" w:hAnsi="宋体" w:eastAsia="宋体" w:cs="Times New Roman"/>
          <w:b/>
          <w:bCs/>
          <w:color w:val="auto"/>
          <w:sz w:val="36"/>
          <w:szCs w:val="36"/>
          <w:highlight w:val="none"/>
          <w:lang w:eastAsia="zh-CN"/>
        </w:rPr>
        <w:t xml:space="preserve">投标供应商：  ____________________（公章）   </w:t>
      </w:r>
    </w:p>
    <w:p w14:paraId="49832F1A">
      <w:pPr>
        <w:spacing w:line="360" w:lineRule="auto"/>
        <w:ind w:left="2660" w:hanging="2660" w:hangingChars="736"/>
        <w:jc w:val="left"/>
        <w:rPr>
          <w:rFonts w:hint="eastAsia" w:ascii="宋体" w:hAnsi="宋体" w:eastAsia="宋体" w:cs="Times New Roman"/>
          <w:b/>
          <w:bCs/>
          <w:color w:val="auto"/>
          <w:sz w:val="36"/>
          <w:szCs w:val="36"/>
          <w:highlight w:val="none"/>
          <w:lang w:eastAsia="zh-CN"/>
        </w:rPr>
      </w:pPr>
      <w:r>
        <w:rPr>
          <w:rFonts w:hint="eastAsia" w:ascii="宋体" w:hAnsi="宋体" w:eastAsia="宋体" w:cs="Times New Roman"/>
          <w:b/>
          <w:bCs/>
          <w:color w:val="auto"/>
          <w:sz w:val="36"/>
          <w:szCs w:val="36"/>
          <w:highlight w:val="none"/>
          <w:lang w:eastAsia="zh-CN"/>
        </w:rPr>
        <w:t xml:space="preserve">法定代表人：  _______________（签字或盖章） </w:t>
      </w:r>
    </w:p>
    <w:p w14:paraId="34902501">
      <w:pPr>
        <w:spacing w:line="360" w:lineRule="auto"/>
        <w:ind w:left="2660" w:hanging="2660" w:hangingChars="736"/>
        <w:jc w:val="center"/>
        <w:rPr>
          <w:rFonts w:hint="eastAsia" w:ascii="宋体" w:cs="Times New Roman"/>
          <w:b/>
          <w:color w:val="auto"/>
          <w:kern w:val="2"/>
          <w:sz w:val="32"/>
          <w:szCs w:val="32"/>
          <w:highlight w:val="none"/>
          <w:lang w:val="en-US" w:eastAsia="zh-CN" w:bidi="ar-SA"/>
        </w:rPr>
      </w:pPr>
      <w:r>
        <w:rPr>
          <w:rFonts w:hint="eastAsia" w:ascii="宋体" w:hAnsi="宋体" w:eastAsia="宋体" w:cs="Times New Roman"/>
          <w:b/>
          <w:bCs/>
          <w:color w:val="auto"/>
          <w:sz w:val="36"/>
          <w:szCs w:val="36"/>
          <w:highlight w:val="none"/>
          <w:lang w:eastAsia="zh-CN"/>
        </w:rPr>
        <w:t>年    月    日</w:t>
      </w:r>
      <w:bookmarkStart w:id="327" w:name="_Toc28078205"/>
      <w:bookmarkStart w:id="328" w:name="_Toc85643995"/>
    </w:p>
    <w:p w14:paraId="471508F2">
      <w:pPr>
        <w:rPr>
          <w:rFonts w:hint="default" w:ascii="宋体" w:hAnsi="Times New Roman" w:eastAsia="宋体" w:cs="Times New Roman"/>
          <w:b/>
          <w:color w:val="auto"/>
          <w:kern w:val="2"/>
          <w:sz w:val="32"/>
          <w:szCs w:val="32"/>
          <w:highlight w:val="none"/>
          <w:lang w:val="zh-CN" w:eastAsia="zh-CN" w:bidi="ar-SA"/>
        </w:rPr>
      </w:pPr>
      <w:r>
        <w:rPr>
          <w:rFonts w:hint="default" w:ascii="宋体" w:hAnsi="Times New Roman" w:eastAsia="宋体" w:cs="Times New Roman"/>
          <w:b/>
          <w:color w:val="auto"/>
          <w:kern w:val="2"/>
          <w:sz w:val="32"/>
          <w:szCs w:val="32"/>
          <w:highlight w:val="none"/>
          <w:lang w:val="zh-CN" w:eastAsia="zh-CN" w:bidi="ar-SA"/>
        </w:rPr>
        <w:br w:type="page"/>
      </w:r>
    </w:p>
    <w:p w14:paraId="690153E0">
      <w:pPr>
        <w:pStyle w:val="4"/>
        <w:numPr>
          <w:ilvl w:val="0"/>
          <w:numId w:val="0"/>
        </w:numPr>
        <w:tabs>
          <w:tab w:val="left" w:pos="425"/>
        </w:tabs>
        <w:spacing w:line="360" w:lineRule="auto"/>
        <w:ind w:left="0" w:leftChars="0" w:firstLine="643" w:firstLineChars="200"/>
        <w:rPr>
          <w:rFonts w:hint="eastAsia" w:ascii="宋体" w:hAnsi="Times New Roman" w:eastAsia="宋体" w:cs="Times New Roman"/>
          <w:b/>
          <w:color w:val="auto"/>
          <w:kern w:val="2"/>
          <w:sz w:val="32"/>
          <w:szCs w:val="32"/>
          <w:highlight w:val="none"/>
          <w:lang w:val="zh-CN" w:eastAsia="zh-CN" w:bidi="ar-SA"/>
        </w:rPr>
      </w:pPr>
      <w:bookmarkStart w:id="329" w:name="_Toc28183"/>
      <w:r>
        <w:rPr>
          <w:rFonts w:hint="default" w:ascii="宋体" w:hAnsi="Times New Roman" w:eastAsia="宋体" w:cs="Times New Roman"/>
          <w:b/>
          <w:color w:val="auto"/>
          <w:kern w:val="2"/>
          <w:sz w:val="32"/>
          <w:szCs w:val="32"/>
          <w:highlight w:val="none"/>
          <w:lang w:val="zh-CN" w:eastAsia="zh-CN" w:bidi="ar-SA"/>
        </w:rPr>
        <w:t>12．</w:t>
      </w:r>
      <w:r>
        <w:rPr>
          <w:rFonts w:hint="eastAsia" w:ascii="宋体" w:hAnsi="Times New Roman" w:eastAsia="宋体" w:cs="Times New Roman"/>
          <w:b/>
          <w:color w:val="auto"/>
          <w:kern w:val="2"/>
          <w:sz w:val="32"/>
          <w:szCs w:val="32"/>
          <w:highlight w:val="none"/>
          <w:lang w:val="en-US" w:eastAsia="zh-CN" w:bidi="ar-SA"/>
        </w:rPr>
        <w:t>报价一览表</w:t>
      </w:r>
      <w:bookmarkEnd w:id="329"/>
    </w:p>
    <w:p w14:paraId="3E0DB389">
      <w:pPr>
        <w:widowControl/>
        <w:snapToGrid w:val="0"/>
        <w:spacing w:line="360" w:lineRule="auto"/>
        <w:ind w:firstLine="0" w:firstLineChars="0"/>
        <w:jc w:val="center"/>
        <w:outlineLvl w:val="1"/>
        <w:rPr>
          <w:rFonts w:hint="eastAsia" w:ascii="宋体"/>
          <w:b/>
          <w:color w:val="auto"/>
          <w:sz w:val="36"/>
          <w:szCs w:val="36"/>
          <w:highlight w:val="none"/>
        </w:rPr>
      </w:pPr>
    </w:p>
    <w:p w14:paraId="62490273">
      <w:pPr>
        <w:spacing w:line="360" w:lineRule="auto"/>
        <w:ind w:firstLine="0" w:firstLineChars="0"/>
        <w:jc w:val="center"/>
        <w:rPr>
          <w:rFonts w:hint="eastAsia" w:ascii="宋体" w:cs="Times New Roman"/>
          <w:b/>
          <w:color w:val="auto"/>
          <w:kern w:val="2"/>
          <w:sz w:val="32"/>
          <w:szCs w:val="32"/>
          <w:highlight w:val="none"/>
          <w:lang w:val="en-US" w:eastAsia="zh-CN" w:bidi="ar-SA"/>
        </w:rPr>
      </w:pPr>
      <w:r>
        <w:rPr>
          <w:rFonts w:hint="eastAsia" w:ascii="宋体" w:cs="Times New Roman"/>
          <w:b/>
          <w:color w:val="auto"/>
          <w:kern w:val="2"/>
          <w:sz w:val="32"/>
          <w:szCs w:val="32"/>
          <w:highlight w:val="none"/>
          <w:lang w:val="en-US" w:eastAsia="zh-CN" w:bidi="ar-SA"/>
        </w:rPr>
        <w:t>报价一览表</w:t>
      </w:r>
    </w:p>
    <w:p w14:paraId="58437EF9">
      <w:pPr>
        <w:spacing w:line="360" w:lineRule="auto"/>
        <w:ind w:firstLine="0" w:firstLineChars="0"/>
        <w:rPr>
          <w:rFonts w:hint="eastAsia" w:ascii="宋体" w:hAnsi="宋体"/>
          <w:b/>
          <w:color w:val="auto"/>
          <w:highlight w:val="none"/>
        </w:rPr>
      </w:pPr>
      <w:r>
        <w:rPr>
          <w:rFonts w:hint="eastAsia" w:ascii="宋体" w:hAnsi="宋体"/>
          <w:b/>
          <w:color w:val="auto"/>
          <w:highlight w:val="none"/>
        </w:rPr>
        <w:t xml:space="preserve">供应商名称：                                       </w:t>
      </w:r>
    </w:p>
    <w:p w14:paraId="0DDF3B6D">
      <w:pPr>
        <w:spacing w:line="360" w:lineRule="auto"/>
        <w:ind w:right="120" w:firstLine="0" w:firstLineChars="0"/>
        <w:jc w:val="right"/>
        <w:rPr>
          <w:rFonts w:hint="eastAsia" w:ascii="宋体" w:hAnsi="宋体"/>
          <w:b/>
          <w:color w:val="auto"/>
          <w:highlight w:val="none"/>
        </w:rPr>
      </w:pPr>
      <w:r>
        <w:rPr>
          <w:rFonts w:hint="eastAsia" w:ascii="宋体" w:hAnsi="宋体"/>
          <w:color w:val="auto"/>
          <w:highlight w:val="none"/>
        </w:rPr>
        <w:t>单位：</w:t>
      </w:r>
      <w:r>
        <w:rPr>
          <w:rFonts w:hint="eastAsia" w:ascii="宋体" w:hAnsi="宋体"/>
          <w:bCs/>
          <w:color w:val="auto"/>
          <w:highlight w:val="none"/>
        </w:rPr>
        <w:t>人民币(元)</w:t>
      </w:r>
    </w:p>
    <w:tbl>
      <w:tblPr>
        <w:tblStyle w:val="35"/>
        <w:tblpPr w:leftFromText="180" w:rightFromText="180" w:vertAnchor="text" w:horzAnchor="margin" w:tblpY="1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4111"/>
        <w:gridCol w:w="1559"/>
        <w:gridCol w:w="1134"/>
      </w:tblGrid>
      <w:tr w14:paraId="40D37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trPr>
        <w:tc>
          <w:tcPr>
            <w:tcW w:w="2093" w:type="dxa"/>
            <w:noWrap w:val="0"/>
            <w:vAlign w:val="center"/>
          </w:tcPr>
          <w:p w14:paraId="536A9D07">
            <w:pPr>
              <w:adjustRightInd w:val="0"/>
              <w:spacing w:line="360" w:lineRule="auto"/>
              <w:ind w:firstLine="482"/>
              <w:textAlignment w:val="baseline"/>
              <w:rPr>
                <w:rFonts w:hint="eastAsia" w:ascii="宋体" w:hAnsi="宋体"/>
                <w:b/>
                <w:color w:val="auto"/>
                <w:highlight w:val="none"/>
              </w:rPr>
            </w:pPr>
            <w:r>
              <w:rPr>
                <w:rFonts w:hint="eastAsia" w:ascii="宋体" w:hAnsi="宋体"/>
                <w:b/>
                <w:color w:val="auto"/>
                <w:highlight w:val="none"/>
              </w:rPr>
              <w:t>项目名称</w:t>
            </w:r>
          </w:p>
        </w:tc>
        <w:tc>
          <w:tcPr>
            <w:tcW w:w="4111" w:type="dxa"/>
            <w:noWrap w:val="0"/>
            <w:vAlign w:val="center"/>
          </w:tcPr>
          <w:p w14:paraId="284DDDB3">
            <w:pPr>
              <w:adjustRightInd w:val="0"/>
              <w:spacing w:line="360" w:lineRule="auto"/>
              <w:ind w:firstLine="482"/>
              <w:jc w:val="center"/>
              <w:textAlignment w:val="baseline"/>
              <w:rPr>
                <w:rFonts w:hint="eastAsia" w:ascii="宋体" w:hAnsi="宋体"/>
                <w:b/>
                <w:color w:val="auto"/>
                <w:highlight w:val="none"/>
              </w:rPr>
            </w:pPr>
            <w:r>
              <w:rPr>
                <w:rFonts w:hint="eastAsia" w:ascii="宋体" w:hAnsi="宋体"/>
                <w:b/>
                <w:color w:val="auto"/>
                <w:highlight w:val="none"/>
              </w:rPr>
              <w:t>竞争性磋商首次报价</w:t>
            </w:r>
          </w:p>
        </w:tc>
        <w:tc>
          <w:tcPr>
            <w:tcW w:w="1559" w:type="dxa"/>
            <w:noWrap w:val="0"/>
            <w:vAlign w:val="center"/>
          </w:tcPr>
          <w:p w14:paraId="7F2BECEB">
            <w:pPr>
              <w:adjustRightInd w:val="0"/>
              <w:spacing w:line="360" w:lineRule="auto"/>
              <w:ind w:left="279" w:leftChars="16" w:hanging="241" w:hangingChars="100"/>
              <w:jc w:val="center"/>
              <w:textAlignment w:val="baseline"/>
              <w:rPr>
                <w:rFonts w:hint="eastAsia" w:ascii="宋体" w:hAnsi="宋体"/>
                <w:b/>
                <w:color w:val="auto"/>
                <w:highlight w:val="none"/>
              </w:rPr>
            </w:pPr>
            <w:r>
              <w:rPr>
                <w:rFonts w:hint="eastAsia" w:ascii="宋体" w:hAnsi="宋体"/>
                <w:b/>
                <w:color w:val="auto"/>
                <w:highlight w:val="none"/>
              </w:rPr>
              <w:t>服务期限</w:t>
            </w:r>
          </w:p>
        </w:tc>
        <w:tc>
          <w:tcPr>
            <w:tcW w:w="1134" w:type="dxa"/>
            <w:noWrap w:val="0"/>
            <w:vAlign w:val="center"/>
          </w:tcPr>
          <w:p w14:paraId="1E546D65">
            <w:pPr>
              <w:adjustRightInd w:val="0"/>
              <w:spacing w:line="360" w:lineRule="auto"/>
              <w:ind w:firstLine="0" w:firstLineChars="0"/>
              <w:jc w:val="center"/>
              <w:textAlignment w:val="baseline"/>
              <w:rPr>
                <w:rFonts w:hint="eastAsia" w:ascii="宋体" w:hAnsi="宋体"/>
                <w:b/>
                <w:color w:val="auto"/>
                <w:highlight w:val="none"/>
              </w:rPr>
            </w:pPr>
            <w:r>
              <w:rPr>
                <w:rFonts w:hint="eastAsia" w:ascii="宋体" w:hAnsi="宋体"/>
                <w:b/>
                <w:color w:val="auto"/>
                <w:highlight w:val="none"/>
              </w:rPr>
              <w:t>备注</w:t>
            </w:r>
          </w:p>
        </w:tc>
      </w:tr>
      <w:tr w14:paraId="13BAF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trPr>
        <w:tc>
          <w:tcPr>
            <w:tcW w:w="2093" w:type="dxa"/>
            <w:vMerge w:val="restart"/>
            <w:noWrap w:val="0"/>
            <w:vAlign w:val="center"/>
          </w:tcPr>
          <w:p w14:paraId="60AE3C46">
            <w:pPr>
              <w:adjustRightInd w:val="0"/>
              <w:spacing w:line="360" w:lineRule="auto"/>
              <w:ind w:firstLine="482"/>
              <w:textAlignment w:val="baseline"/>
              <w:rPr>
                <w:rFonts w:hint="eastAsia" w:ascii="宋体" w:hAnsi="宋体"/>
                <w:b/>
                <w:bCs/>
                <w:color w:val="auto"/>
                <w:highlight w:val="none"/>
              </w:rPr>
            </w:pPr>
          </w:p>
        </w:tc>
        <w:tc>
          <w:tcPr>
            <w:tcW w:w="4111" w:type="dxa"/>
            <w:noWrap w:val="0"/>
            <w:vAlign w:val="center"/>
          </w:tcPr>
          <w:p w14:paraId="48983FB1">
            <w:pPr>
              <w:adjustRightInd w:val="0"/>
              <w:spacing w:line="360" w:lineRule="auto"/>
              <w:ind w:firstLine="0" w:firstLineChars="0"/>
              <w:textAlignment w:val="baseline"/>
              <w:rPr>
                <w:rFonts w:hint="eastAsia" w:ascii="宋体" w:hAnsi="宋体"/>
                <w:b/>
                <w:color w:val="auto"/>
                <w:highlight w:val="none"/>
              </w:rPr>
            </w:pPr>
            <w:r>
              <w:rPr>
                <w:rFonts w:hint="eastAsia" w:ascii="宋体" w:hAnsi="宋体"/>
                <w:b/>
                <w:color w:val="auto"/>
                <w:highlight w:val="none"/>
              </w:rPr>
              <w:t>大写：</w:t>
            </w:r>
          </w:p>
        </w:tc>
        <w:tc>
          <w:tcPr>
            <w:tcW w:w="1559" w:type="dxa"/>
            <w:vMerge w:val="restart"/>
            <w:noWrap w:val="0"/>
            <w:vAlign w:val="top"/>
          </w:tcPr>
          <w:p w14:paraId="788D838F">
            <w:pPr>
              <w:adjustRightInd w:val="0"/>
              <w:spacing w:line="360" w:lineRule="auto"/>
              <w:ind w:firstLine="0" w:firstLineChars="0"/>
              <w:textAlignment w:val="baseline"/>
              <w:rPr>
                <w:rFonts w:hint="eastAsia" w:ascii="宋体" w:hAnsi="宋体"/>
                <w:b/>
                <w:color w:val="auto"/>
                <w:highlight w:val="none"/>
              </w:rPr>
            </w:pPr>
          </w:p>
        </w:tc>
        <w:tc>
          <w:tcPr>
            <w:tcW w:w="1134" w:type="dxa"/>
            <w:vMerge w:val="restart"/>
            <w:noWrap w:val="0"/>
            <w:vAlign w:val="top"/>
          </w:tcPr>
          <w:p w14:paraId="72A9F8BE">
            <w:pPr>
              <w:adjustRightInd w:val="0"/>
              <w:spacing w:line="360" w:lineRule="auto"/>
              <w:ind w:firstLine="0" w:firstLineChars="0"/>
              <w:textAlignment w:val="baseline"/>
              <w:rPr>
                <w:rFonts w:hint="eastAsia" w:ascii="宋体" w:hAnsi="宋体"/>
                <w:b/>
                <w:color w:val="auto"/>
                <w:highlight w:val="none"/>
              </w:rPr>
            </w:pPr>
          </w:p>
        </w:tc>
      </w:tr>
      <w:tr w14:paraId="10FFF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2093" w:type="dxa"/>
            <w:vMerge w:val="continue"/>
            <w:noWrap w:val="0"/>
            <w:vAlign w:val="center"/>
          </w:tcPr>
          <w:p w14:paraId="58D9A2FC">
            <w:pPr>
              <w:adjustRightInd w:val="0"/>
              <w:spacing w:line="360" w:lineRule="auto"/>
              <w:ind w:firstLine="482"/>
              <w:textAlignment w:val="baseline"/>
              <w:rPr>
                <w:rFonts w:hint="eastAsia" w:ascii="宋体" w:hAnsi="宋体"/>
                <w:b/>
                <w:bCs/>
                <w:color w:val="auto"/>
                <w:highlight w:val="none"/>
              </w:rPr>
            </w:pPr>
          </w:p>
        </w:tc>
        <w:tc>
          <w:tcPr>
            <w:tcW w:w="4111" w:type="dxa"/>
            <w:noWrap w:val="0"/>
            <w:vAlign w:val="center"/>
          </w:tcPr>
          <w:p w14:paraId="7A5E1AF2">
            <w:pPr>
              <w:adjustRightInd w:val="0"/>
              <w:spacing w:line="360" w:lineRule="auto"/>
              <w:ind w:firstLine="0" w:firstLineChars="0"/>
              <w:textAlignment w:val="baseline"/>
              <w:rPr>
                <w:rFonts w:hint="eastAsia" w:ascii="宋体" w:hAnsi="宋体"/>
                <w:b/>
                <w:color w:val="auto"/>
                <w:highlight w:val="none"/>
              </w:rPr>
            </w:pPr>
            <w:r>
              <w:rPr>
                <w:rFonts w:hint="eastAsia" w:ascii="宋体" w:hAnsi="宋体"/>
                <w:b/>
                <w:color w:val="auto"/>
                <w:highlight w:val="none"/>
              </w:rPr>
              <w:t>小写：</w:t>
            </w:r>
          </w:p>
        </w:tc>
        <w:tc>
          <w:tcPr>
            <w:tcW w:w="1559" w:type="dxa"/>
            <w:vMerge w:val="continue"/>
            <w:noWrap w:val="0"/>
            <w:vAlign w:val="top"/>
          </w:tcPr>
          <w:p w14:paraId="6AA3F55C">
            <w:pPr>
              <w:adjustRightInd w:val="0"/>
              <w:spacing w:line="360" w:lineRule="auto"/>
              <w:ind w:firstLine="0" w:firstLineChars="0"/>
              <w:textAlignment w:val="baseline"/>
              <w:rPr>
                <w:rFonts w:hint="eastAsia" w:ascii="宋体" w:hAnsi="宋体"/>
                <w:b/>
                <w:color w:val="auto"/>
                <w:highlight w:val="none"/>
              </w:rPr>
            </w:pPr>
          </w:p>
        </w:tc>
        <w:tc>
          <w:tcPr>
            <w:tcW w:w="1134" w:type="dxa"/>
            <w:vMerge w:val="continue"/>
            <w:noWrap w:val="0"/>
            <w:vAlign w:val="top"/>
          </w:tcPr>
          <w:p w14:paraId="0CB7CBBC">
            <w:pPr>
              <w:adjustRightInd w:val="0"/>
              <w:spacing w:line="360" w:lineRule="auto"/>
              <w:ind w:firstLine="0" w:firstLineChars="0"/>
              <w:textAlignment w:val="baseline"/>
              <w:rPr>
                <w:rFonts w:hint="eastAsia" w:ascii="宋体" w:hAnsi="宋体"/>
                <w:b/>
                <w:color w:val="auto"/>
                <w:highlight w:val="none"/>
              </w:rPr>
            </w:pPr>
          </w:p>
        </w:tc>
      </w:tr>
      <w:tr w14:paraId="20107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7" w:hRule="atLeast"/>
        </w:trPr>
        <w:tc>
          <w:tcPr>
            <w:tcW w:w="8897" w:type="dxa"/>
            <w:gridSpan w:val="4"/>
            <w:noWrap w:val="0"/>
            <w:vAlign w:val="center"/>
          </w:tcPr>
          <w:p w14:paraId="2DC86AE2">
            <w:pPr>
              <w:adjustRightInd w:val="0"/>
              <w:spacing w:line="360" w:lineRule="auto"/>
              <w:ind w:firstLine="0" w:firstLineChars="0"/>
              <w:textAlignment w:val="baseline"/>
              <w:rPr>
                <w:rFonts w:hint="eastAsia" w:ascii="宋体" w:hAnsi="宋体"/>
                <w:b/>
                <w:color w:val="auto"/>
                <w:highlight w:val="none"/>
              </w:rPr>
            </w:pPr>
            <w:r>
              <w:rPr>
                <w:rFonts w:hint="eastAsia" w:ascii="宋体" w:hAnsi="宋体"/>
                <w:b/>
                <w:color w:val="auto"/>
                <w:highlight w:val="none"/>
              </w:rPr>
              <w:t>其他承诺及需要说明的事项：</w:t>
            </w:r>
          </w:p>
        </w:tc>
      </w:tr>
    </w:tbl>
    <w:p w14:paraId="03050DA6">
      <w:pPr>
        <w:adjustRightInd w:val="0"/>
        <w:spacing w:line="360" w:lineRule="auto"/>
        <w:ind w:firstLine="0" w:firstLineChars="0"/>
        <w:textAlignment w:val="baseline"/>
        <w:rPr>
          <w:rFonts w:hint="eastAsia" w:ascii="宋体" w:hAnsi="宋体"/>
          <w:color w:val="auto"/>
          <w:highlight w:val="none"/>
        </w:rPr>
      </w:pPr>
      <w:r>
        <w:rPr>
          <w:rFonts w:hint="eastAsia" w:ascii="宋体" w:hAnsi="宋体"/>
          <w:b/>
          <w:color w:val="auto"/>
          <w:highlight w:val="none"/>
        </w:rPr>
        <w:t>注：</w:t>
      </w:r>
      <w:r>
        <w:rPr>
          <w:rFonts w:hint="eastAsia" w:ascii="宋体" w:hAnsi="宋体"/>
          <w:color w:val="auto"/>
          <w:highlight w:val="none"/>
        </w:rPr>
        <w:t>1.填写此表时不得改变表格形式。</w:t>
      </w:r>
    </w:p>
    <w:p w14:paraId="1297A79D">
      <w:pPr>
        <w:adjustRightInd w:val="0"/>
        <w:spacing w:line="360" w:lineRule="auto"/>
        <w:ind w:firstLine="480"/>
        <w:textAlignment w:val="baseline"/>
        <w:rPr>
          <w:rFonts w:hint="eastAsia" w:ascii="宋体" w:hAnsi="宋体" w:eastAsia="宋体"/>
          <w:color w:val="auto"/>
          <w:highlight w:val="none"/>
          <w:lang w:val="en-US" w:eastAsia="zh-CN"/>
        </w:rPr>
      </w:pPr>
      <w:r>
        <w:rPr>
          <w:rFonts w:hint="eastAsia" w:ascii="宋体" w:hAnsi="宋体"/>
          <w:color w:val="auto"/>
          <w:highlight w:val="none"/>
        </w:rPr>
        <w:t>2.磋商报价为总报价。</w:t>
      </w:r>
      <w:r>
        <w:rPr>
          <w:rFonts w:hint="eastAsia" w:ascii="宋体" w:hAnsi="宋体"/>
          <w:color w:val="auto"/>
          <w:highlight w:val="none"/>
          <w:lang w:eastAsia="zh-CN"/>
        </w:rPr>
        <w:t>包括开展资料收集、系列编图、工作报告及其他不可预见的全部费用。</w:t>
      </w:r>
    </w:p>
    <w:p w14:paraId="2DD93619">
      <w:pPr>
        <w:adjustRightInd w:val="0"/>
        <w:spacing w:line="360" w:lineRule="auto"/>
        <w:ind w:firstLine="480"/>
        <w:textAlignment w:val="baseline"/>
        <w:rPr>
          <w:rFonts w:hint="eastAsia" w:ascii="宋体" w:hAnsi="宋体"/>
          <w:color w:val="auto"/>
          <w:highlight w:val="none"/>
        </w:rPr>
      </w:pPr>
      <w:r>
        <w:rPr>
          <w:rFonts w:hint="eastAsia" w:ascii="宋体" w:hAnsi="宋体"/>
          <w:color w:val="auto"/>
          <w:highlight w:val="none"/>
        </w:rPr>
        <w:t>3.“服务期限”是指该项目能够交付使用的具体时间。</w:t>
      </w:r>
    </w:p>
    <w:p w14:paraId="29A23F4B">
      <w:pPr>
        <w:adjustRightInd w:val="0"/>
        <w:spacing w:line="360" w:lineRule="auto"/>
        <w:ind w:firstLine="480"/>
        <w:textAlignment w:val="baseline"/>
        <w:rPr>
          <w:rFonts w:hint="eastAsia" w:ascii="宋体" w:hAnsi="宋体"/>
          <w:color w:val="auto"/>
          <w:highlight w:val="none"/>
        </w:rPr>
      </w:pPr>
      <w:r>
        <w:rPr>
          <w:rFonts w:hint="eastAsia" w:ascii="宋体" w:hAnsi="宋体"/>
          <w:color w:val="auto"/>
          <w:highlight w:val="none"/>
        </w:rPr>
        <w:t>4.除在投标文件中编制此表以外，投标人应在青海省政府采购电子化平台中进行网上报价，网上报价应和此表报价一致，否则以网上报价为准，不接受者投标无效。</w:t>
      </w:r>
    </w:p>
    <w:p w14:paraId="2098F4F1">
      <w:pPr>
        <w:adjustRightInd w:val="0"/>
        <w:spacing w:line="360" w:lineRule="auto"/>
        <w:ind w:firstLine="480"/>
        <w:textAlignment w:val="baseline"/>
        <w:rPr>
          <w:rFonts w:hint="eastAsia" w:ascii="宋体" w:hAnsi="宋体"/>
          <w:color w:val="auto"/>
          <w:highlight w:val="none"/>
        </w:rPr>
      </w:pPr>
      <w:r>
        <w:rPr>
          <w:rFonts w:hint="eastAsia" w:ascii="宋体" w:hAnsi="宋体"/>
          <w:color w:val="auto"/>
          <w:highlight w:val="none"/>
        </w:rPr>
        <w:t>5.投标总报价不能有两个或两个以上的报价方案，否则，投标无效。</w:t>
      </w:r>
    </w:p>
    <w:p w14:paraId="7DB78451">
      <w:pPr>
        <w:adjustRightInd w:val="0"/>
        <w:spacing w:line="360" w:lineRule="auto"/>
        <w:ind w:firstLine="480"/>
        <w:textAlignment w:val="baseline"/>
        <w:rPr>
          <w:rFonts w:hint="eastAsia" w:ascii="宋体" w:hAnsi="宋体"/>
          <w:color w:val="auto"/>
          <w:highlight w:val="none"/>
        </w:rPr>
      </w:pPr>
      <w:r>
        <w:rPr>
          <w:rFonts w:hint="eastAsia" w:ascii="宋体" w:hAnsi="宋体"/>
          <w:color w:val="auto"/>
          <w:highlight w:val="none"/>
        </w:rPr>
        <w:t>6.投标人应及时关注开标过程，查看开标结果并在报价一览表上进行电子签署。若投标人不进行相关签署，将被视为其对报价一览表中所载内容无异议。</w:t>
      </w:r>
    </w:p>
    <w:p w14:paraId="08BC68AB">
      <w:pPr>
        <w:spacing w:line="360" w:lineRule="auto"/>
        <w:ind w:firstLine="482"/>
        <w:jc w:val="center"/>
        <w:rPr>
          <w:rFonts w:hint="eastAsia" w:ascii="宋体" w:hAnsi="宋体"/>
          <w:b/>
          <w:color w:val="auto"/>
          <w:highlight w:val="none"/>
        </w:rPr>
      </w:pPr>
      <w:r>
        <w:rPr>
          <w:rFonts w:hint="eastAsia" w:ascii="宋体" w:hAnsi="宋体"/>
          <w:b/>
          <w:color w:val="auto"/>
          <w:highlight w:val="none"/>
        </w:rPr>
        <w:t xml:space="preserve">              </w:t>
      </w:r>
    </w:p>
    <w:p w14:paraId="7578B28E">
      <w:pPr>
        <w:spacing w:line="360" w:lineRule="auto"/>
        <w:ind w:firstLine="482"/>
        <w:jc w:val="center"/>
        <w:rPr>
          <w:rFonts w:hint="eastAsia" w:ascii="宋体" w:hAnsi="宋体"/>
          <w:b/>
          <w:color w:val="auto"/>
          <w:highlight w:val="none"/>
        </w:rPr>
      </w:pPr>
      <w:r>
        <w:rPr>
          <w:rFonts w:hint="eastAsia" w:ascii="宋体" w:hAnsi="宋体"/>
          <w:b/>
          <w:color w:val="auto"/>
          <w:highlight w:val="none"/>
        </w:rPr>
        <w:t xml:space="preserve">                          投标供应商：</w:t>
      </w:r>
      <w:r>
        <w:rPr>
          <w:rFonts w:hint="eastAsia" w:ascii="仿宋_GB2312" w:eastAsia="仿宋_GB2312" w:cs="宋体"/>
          <w:color w:val="auto"/>
          <w:kern w:val="0"/>
          <w:highlight w:val="none"/>
          <w:u w:val="single"/>
        </w:rPr>
        <w:t xml:space="preserve">       </w:t>
      </w:r>
      <w:r>
        <w:rPr>
          <w:rFonts w:hint="eastAsia" w:ascii="宋体" w:hAnsi="宋体"/>
          <w:b/>
          <w:color w:val="auto"/>
          <w:highlight w:val="none"/>
        </w:rPr>
        <w:t>（公章）</w:t>
      </w:r>
    </w:p>
    <w:p w14:paraId="6DA41287">
      <w:pPr>
        <w:spacing w:line="360" w:lineRule="auto"/>
        <w:ind w:firstLine="482"/>
        <w:jc w:val="center"/>
        <w:rPr>
          <w:rFonts w:ascii="宋体" w:hAnsi="宋体"/>
          <w:b/>
          <w:color w:val="auto"/>
          <w:highlight w:val="none"/>
        </w:rPr>
      </w:pPr>
      <w:r>
        <w:rPr>
          <w:rFonts w:hint="eastAsia" w:ascii="宋体" w:hAnsi="宋体"/>
          <w:b/>
          <w:color w:val="auto"/>
          <w:highlight w:val="none"/>
        </w:rPr>
        <w:t xml:space="preserve">                  法定代表人或委托代理人：</w:t>
      </w:r>
      <w:r>
        <w:rPr>
          <w:rFonts w:hint="eastAsia" w:ascii="仿宋_GB2312" w:eastAsia="仿宋_GB2312" w:cs="宋体"/>
          <w:color w:val="auto"/>
          <w:kern w:val="0"/>
          <w:highlight w:val="none"/>
          <w:u w:val="single"/>
        </w:rPr>
        <w:t xml:space="preserve">       </w:t>
      </w:r>
      <w:r>
        <w:rPr>
          <w:rFonts w:hint="eastAsia" w:ascii="宋体" w:hAnsi="宋体"/>
          <w:b/>
          <w:color w:val="auto"/>
          <w:highlight w:val="none"/>
        </w:rPr>
        <w:t>（签字或盖章）</w:t>
      </w:r>
    </w:p>
    <w:p w14:paraId="325C3C30">
      <w:pPr>
        <w:spacing w:line="360" w:lineRule="auto"/>
        <w:ind w:firstLine="482"/>
        <w:jc w:val="center"/>
        <w:rPr>
          <w:rFonts w:hint="eastAsia" w:ascii="宋体" w:hAnsi="宋体"/>
          <w:b/>
          <w:color w:val="auto"/>
          <w:highlight w:val="none"/>
        </w:rPr>
      </w:pPr>
      <w:r>
        <w:rPr>
          <w:rFonts w:hint="eastAsia" w:ascii="宋体" w:hAnsi="宋体"/>
          <w:b/>
          <w:color w:val="auto"/>
          <w:highlight w:val="none"/>
        </w:rPr>
        <w:t xml:space="preserve">             年   月  日</w:t>
      </w:r>
    </w:p>
    <w:p w14:paraId="1CD8FB21">
      <w:pPr>
        <w:spacing w:line="360" w:lineRule="auto"/>
        <w:ind w:firstLine="0" w:firstLineChars="0"/>
        <w:rPr>
          <w:rFonts w:hint="eastAsia" w:ascii="宋体" w:hAnsi="宋体"/>
          <w:b/>
          <w:color w:val="auto"/>
          <w:highlight w:val="none"/>
        </w:rPr>
      </w:pPr>
    </w:p>
    <w:p w14:paraId="277896ED">
      <w:pPr>
        <w:pStyle w:val="4"/>
        <w:numPr>
          <w:ilvl w:val="0"/>
          <w:numId w:val="0"/>
        </w:numPr>
        <w:tabs>
          <w:tab w:val="left" w:pos="425"/>
        </w:tabs>
        <w:spacing w:line="360" w:lineRule="auto"/>
        <w:ind w:left="0" w:leftChars="0" w:firstLine="643" w:firstLineChars="200"/>
        <w:rPr>
          <w:rFonts w:hint="eastAsia" w:ascii="宋体" w:hAnsi="宋体"/>
          <w:b/>
          <w:color w:val="auto"/>
          <w:sz w:val="36"/>
          <w:szCs w:val="36"/>
          <w:highlight w:val="none"/>
        </w:rPr>
      </w:pPr>
      <w:bookmarkStart w:id="330" w:name="_Toc12903"/>
      <w:r>
        <w:rPr>
          <w:rFonts w:hint="default" w:ascii="宋体" w:hAnsi="Times New Roman" w:eastAsia="宋体" w:cs="Times New Roman"/>
          <w:b/>
          <w:color w:val="auto"/>
          <w:sz w:val="32"/>
          <w:szCs w:val="32"/>
          <w:highlight w:val="none"/>
          <w:lang w:val="en-US" w:eastAsia="zh-CN" w:bidi="ar-SA"/>
        </w:rPr>
        <w:t>13．</w:t>
      </w:r>
      <w:bookmarkStart w:id="331" w:name="_Toc85643991"/>
      <w:bookmarkStart w:id="332" w:name="_Toc15677"/>
      <w:r>
        <w:rPr>
          <w:rFonts w:hint="eastAsia" w:ascii="宋体" w:hAnsi="Times New Roman" w:eastAsia="宋体" w:cs="Times New Roman"/>
          <w:b/>
          <w:color w:val="auto"/>
          <w:kern w:val="2"/>
          <w:sz w:val="32"/>
          <w:szCs w:val="32"/>
          <w:highlight w:val="none"/>
          <w:lang w:val="zh-CN" w:eastAsia="zh-CN" w:bidi="ar-SA"/>
        </w:rPr>
        <w:t>分项报价表</w:t>
      </w:r>
      <w:bookmarkEnd w:id="330"/>
      <w:bookmarkEnd w:id="331"/>
      <w:bookmarkEnd w:id="332"/>
      <w:r>
        <w:rPr>
          <w:rFonts w:hint="eastAsia" w:ascii="宋体" w:hAnsi="Times New Roman" w:eastAsia="宋体" w:cs="Times New Roman"/>
          <w:b/>
          <w:color w:val="auto"/>
          <w:kern w:val="2"/>
          <w:sz w:val="32"/>
          <w:szCs w:val="32"/>
          <w:highlight w:val="none"/>
          <w:lang w:val="zh-CN" w:eastAsia="zh-CN" w:bidi="ar-SA"/>
        </w:rPr>
        <w:t xml:space="preserve">  </w:t>
      </w:r>
      <w:r>
        <w:rPr>
          <w:rFonts w:hint="eastAsia" w:ascii="宋体"/>
          <w:b/>
          <w:color w:val="auto"/>
          <w:sz w:val="28"/>
          <w:szCs w:val="28"/>
          <w:highlight w:val="none"/>
        </w:rPr>
        <w:t xml:space="preserve">  </w:t>
      </w:r>
      <w:bookmarkStart w:id="333" w:name="_Toc365019575"/>
      <w:bookmarkStart w:id="334" w:name="_Toc325726039"/>
    </w:p>
    <w:p w14:paraId="0EDAD738">
      <w:pPr>
        <w:spacing w:line="360" w:lineRule="auto"/>
        <w:ind w:firstLine="3162" w:firstLineChars="1050"/>
        <w:rPr>
          <w:rFonts w:hint="eastAsia" w:ascii="宋体" w:hAnsi="宋体"/>
          <w:b/>
          <w:color w:val="auto"/>
          <w:sz w:val="30"/>
          <w:szCs w:val="30"/>
          <w:highlight w:val="none"/>
        </w:rPr>
      </w:pPr>
      <w:r>
        <w:rPr>
          <w:rFonts w:hint="eastAsia" w:ascii="宋体" w:hAnsi="宋体"/>
          <w:b/>
          <w:color w:val="auto"/>
          <w:sz w:val="30"/>
          <w:szCs w:val="30"/>
          <w:highlight w:val="none"/>
        </w:rPr>
        <w:t>分项报价表</w:t>
      </w:r>
      <w:bookmarkEnd w:id="333"/>
      <w:bookmarkEnd w:id="334"/>
    </w:p>
    <w:p w14:paraId="2C7327B3">
      <w:pPr>
        <w:spacing w:line="360" w:lineRule="auto"/>
        <w:ind w:firstLine="0" w:firstLineChars="0"/>
        <w:rPr>
          <w:rFonts w:hint="eastAsia" w:ascii="宋体" w:hAnsi="宋体"/>
          <w:b/>
          <w:color w:val="auto"/>
          <w:highlight w:val="none"/>
        </w:rPr>
      </w:pPr>
    </w:p>
    <w:p w14:paraId="54731BC2">
      <w:pPr>
        <w:spacing w:line="360" w:lineRule="auto"/>
        <w:ind w:firstLine="0" w:firstLineChars="0"/>
        <w:rPr>
          <w:rFonts w:hint="eastAsia" w:ascii="宋体" w:hAnsi="宋体"/>
          <w:b/>
          <w:color w:val="auto"/>
          <w:highlight w:val="none"/>
        </w:rPr>
      </w:pPr>
      <w:r>
        <w:rPr>
          <w:rFonts w:hint="eastAsia" w:ascii="宋体" w:hAnsi="宋体"/>
          <w:b/>
          <w:color w:val="auto"/>
          <w:highlight w:val="none"/>
        </w:rPr>
        <w:t>供应商名称:</w:t>
      </w:r>
    </w:p>
    <w:p w14:paraId="02E0A337">
      <w:pPr>
        <w:spacing w:after="120" w:afterLines="50" w:line="360" w:lineRule="auto"/>
        <w:ind w:firstLine="482"/>
        <w:rPr>
          <w:rFonts w:hint="eastAsia" w:ascii="宋体" w:hAnsi="宋体"/>
          <w:b/>
          <w:color w:val="auto"/>
          <w:highlight w:val="none"/>
        </w:rPr>
      </w:pPr>
      <w:r>
        <w:rPr>
          <w:rFonts w:hint="eastAsia" w:ascii="宋体" w:hAnsi="宋体"/>
          <w:b/>
          <w:color w:val="auto"/>
          <w:highlight w:val="none"/>
        </w:rPr>
        <w:t xml:space="preserve">                                               </w:t>
      </w:r>
      <w:r>
        <w:rPr>
          <w:rFonts w:hint="eastAsia" w:ascii="宋体" w:hAnsi="宋体"/>
          <w:color w:val="auto"/>
          <w:highlight w:val="none"/>
        </w:rPr>
        <w:t xml:space="preserve"> 单位：人民币（元）</w:t>
      </w:r>
    </w:p>
    <w:tbl>
      <w:tblPr>
        <w:tblStyle w:val="35"/>
        <w:tblW w:w="8959"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58"/>
        <w:gridCol w:w="3765"/>
        <w:gridCol w:w="1842"/>
        <w:gridCol w:w="993"/>
        <w:gridCol w:w="850"/>
        <w:gridCol w:w="851"/>
      </w:tblGrid>
      <w:tr w14:paraId="59A3E1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9" w:hRule="atLeast"/>
        </w:trPr>
        <w:tc>
          <w:tcPr>
            <w:tcW w:w="658" w:type="dxa"/>
            <w:noWrap w:val="0"/>
            <w:vAlign w:val="center"/>
          </w:tcPr>
          <w:p w14:paraId="468039D2">
            <w:pPr>
              <w:spacing w:line="360" w:lineRule="auto"/>
              <w:ind w:firstLine="0" w:firstLineChars="0"/>
              <w:jc w:val="center"/>
              <w:rPr>
                <w:rFonts w:hint="eastAsia" w:ascii="宋体" w:hAnsi="宋体"/>
                <w:color w:val="auto"/>
                <w:highlight w:val="none"/>
              </w:rPr>
            </w:pPr>
            <w:r>
              <w:rPr>
                <w:rFonts w:hint="eastAsia" w:ascii="宋体" w:hAnsi="宋体"/>
                <w:color w:val="auto"/>
                <w:highlight w:val="none"/>
              </w:rPr>
              <w:t>序号</w:t>
            </w:r>
          </w:p>
        </w:tc>
        <w:tc>
          <w:tcPr>
            <w:tcW w:w="3765" w:type="dxa"/>
            <w:noWrap w:val="0"/>
            <w:vAlign w:val="center"/>
          </w:tcPr>
          <w:p w14:paraId="224D18CF">
            <w:pPr>
              <w:spacing w:line="360" w:lineRule="auto"/>
              <w:ind w:firstLine="0" w:firstLineChars="0"/>
              <w:jc w:val="center"/>
              <w:rPr>
                <w:rFonts w:hint="eastAsia" w:ascii="宋体" w:hAnsi="宋体"/>
                <w:color w:val="auto"/>
                <w:highlight w:val="none"/>
              </w:rPr>
            </w:pPr>
            <w:r>
              <w:rPr>
                <w:rFonts w:hint="eastAsia" w:ascii="宋体" w:hAnsi="宋体"/>
                <w:color w:val="auto"/>
                <w:highlight w:val="none"/>
              </w:rPr>
              <w:t>针对该项目所提供的服务分项内容</w:t>
            </w:r>
          </w:p>
        </w:tc>
        <w:tc>
          <w:tcPr>
            <w:tcW w:w="1842" w:type="dxa"/>
            <w:noWrap w:val="0"/>
            <w:vAlign w:val="center"/>
          </w:tcPr>
          <w:p w14:paraId="6BCD2FAB">
            <w:pPr>
              <w:spacing w:line="360" w:lineRule="auto"/>
              <w:ind w:firstLine="0" w:firstLineChars="0"/>
              <w:jc w:val="center"/>
              <w:rPr>
                <w:rFonts w:hint="eastAsia" w:ascii="宋体" w:hAnsi="宋体"/>
                <w:color w:val="auto"/>
                <w:highlight w:val="none"/>
              </w:rPr>
            </w:pPr>
            <w:r>
              <w:rPr>
                <w:rFonts w:hint="eastAsia" w:ascii="宋体" w:hAnsi="宋体"/>
                <w:color w:val="auto"/>
                <w:highlight w:val="none"/>
              </w:rPr>
              <w:t>数量及单位</w:t>
            </w:r>
          </w:p>
        </w:tc>
        <w:tc>
          <w:tcPr>
            <w:tcW w:w="993" w:type="dxa"/>
            <w:noWrap w:val="0"/>
            <w:vAlign w:val="center"/>
          </w:tcPr>
          <w:p w14:paraId="51B32F22">
            <w:pPr>
              <w:spacing w:line="360" w:lineRule="auto"/>
              <w:ind w:firstLine="0" w:firstLineChars="0"/>
              <w:jc w:val="center"/>
              <w:rPr>
                <w:rFonts w:hint="eastAsia" w:ascii="宋体" w:hAnsi="宋体"/>
                <w:color w:val="auto"/>
                <w:highlight w:val="none"/>
              </w:rPr>
            </w:pPr>
            <w:r>
              <w:rPr>
                <w:rFonts w:hint="eastAsia" w:ascii="宋体" w:hAnsi="宋体"/>
                <w:color w:val="auto"/>
                <w:highlight w:val="none"/>
              </w:rPr>
              <w:t>单价</w:t>
            </w:r>
          </w:p>
        </w:tc>
        <w:tc>
          <w:tcPr>
            <w:tcW w:w="850" w:type="dxa"/>
            <w:noWrap w:val="0"/>
            <w:vAlign w:val="center"/>
          </w:tcPr>
          <w:p w14:paraId="4F4773C5">
            <w:pPr>
              <w:spacing w:line="360" w:lineRule="auto"/>
              <w:ind w:firstLine="0" w:firstLineChars="0"/>
              <w:jc w:val="center"/>
              <w:rPr>
                <w:rFonts w:hint="eastAsia" w:ascii="宋体" w:hAnsi="宋体"/>
                <w:color w:val="auto"/>
                <w:highlight w:val="none"/>
              </w:rPr>
            </w:pPr>
            <w:r>
              <w:rPr>
                <w:rFonts w:hint="eastAsia" w:ascii="宋体" w:hAnsi="宋体"/>
                <w:color w:val="auto"/>
                <w:highlight w:val="none"/>
              </w:rPr>
              <w:t>合计</w:t>
            </w:r>
          </w:p>
        </w:tc>
        <w:tc>
          <w:tcPr>
            <w:tcW w:w="851" w:type="dxa"/>
            <w:noWrap w:val="0"/>
            <w:vAlign w:val="center"/>
          </w:tcPr>
          <w:p w14:paraId="5EA910FD">
            <w:pPr>
              <w:spacing w:line="360" w:lineRule="auto"/>
              <w:ind w:firstLine="0" w:firstLineChars="0"/>
              <w:jc w:val="center"/>
              <w:rPr>
                <w:rFonts w:hint="eastAsia" w:ascii="宋体" w:hAnsi="宋体"/>
                <w:color w:val="auto"/>
                <w:highlight w:val="none"/>
              </w:rPr>
            </w:pPr>
            <w:r>
              <w:rPr>
                <w:rFonts w:hint="eastAsia" w:ascii="宋体" w:hAnsi="宋体"/>
                <w:color w:val="auto"/>
                <w:highlight w:val="none"/>
              </w:rPr>
              <w:t>备注</w:t>
            </w:r>
          </w:p>
        </w:tc>
      </w:tr>
      <w:tr w14:paraId="6C2892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9" w:hRule="atLeast"/>
        </w:trPr>
        <w:tc>
          <w:tcPr>
            <w:tcW w:w="658" w:type="dxa"/>
            <w:noWrap w:val="0"/>
            <w:vAlign w:val="center"/>
          </w:tcPr>
          <w:p w14:paraId="4E387A32">
            <w:pPr>
              <w:spacing w:line="360" w:lineRule="auto"/>
              <w:ind w:firstLine="199" w:firstLineChars="83"/>
              <w:jc w:val="center"/>
              <w:rPr>
                <w:rFonts w:hint="eastAsia" w:ascii="宋体" w:hAnsi="宋体"/>
                <w:color w:val="auto"/>
                <w:highlight w:val="none"/>
              </w:rPr>
            </w:pPr>
            <w:r>
              <w:rPr>
                <w:rFonts w:hint="eastAsia" w:ascii="宋体" w:hAnsi="宋体"/>
                <w:color w:val="auto"/>
                <w:highlight w:val="none"/>
              </w:rPr>
              <w:t>1</w:t>
            </w:r>
          </w:p>
        </w:tc>
        <w:tc>
          <w:tcPr>
            <w:tcW w:w="3765" w:type="dxa"/>
            <w:noWrap w:val="0"/>
            <w:vAlign w:val="center"/>
          </w:tcPr>
          <w:p w14:paraId="04213566">
            <w:pPr>
              <w:spacing w:line="360" w:lineRule="auto"/>
              <w:ind w:firstLine="480"/>
              <w:jc w:val="center"/>
              <w:rPr>
                <w:rFonts w:hint="eastAsia" w:ascii="宋体" w:hAnsi="宋体"/>
                <w:color w:val="auto"/>
                <w:highlight w:val="none"/>
              </w:rPr>
            </w:pPr>
          </w:p>
        </w:tc>
        <w:tc>
          <w:tcPr>
            <w:tcW w:w="1842" w:type="dxa"/>
            <w:noWrap w:val="0"/>
            <w:vAlign w:val="center"/>
          </w:tcPr>
          <w:p w14:paraId="706AA5CD">
            <w:pPr>
              <w:spacing w:line="360" w:lineRule="auto"/>
              <w:ind w:firstLine="480"/>
              <w:jc w:val="center"/>
              <w:rPr>
                <w:rFonts w:hint="eastAsia" w:ascii="宋体" w:hAnsi="宋体"/>
                <w:color w:val="auto"/>
                <w:highlight w:val="none"/>
              </w:rPr>
            </w:pPr>
          </w:p>
        </w:tc>
        <w:tc>
          <w:tcPr>
            <w:tcW w:w="993" w:type="dxa"/>
            <w:noWrap w:val="0"/>
            <w:vAlign w:val="center"/>
          </w:tcPr>
          <w:p w14:paraId="0426B441">
            <w:pPr>
              <w:spacing w:line="360" w:lineRule="auto"/>
              <w:ind w:firstLine="480"/>
              <w:rPr>
                <w:rFonts w:hint="eastAsia" w:ascii="宋体" w:hAnsi="宋体"/>
                <w:color w:val="auto"/>
                <w:highlight w:val="none"/>
              </w:rPr>
            </w:pPr>
          </w:p>
        </w:tc>
        <w:tc>
          <w:tcPr>
            <w:tcW w:w="850" w:type="dxa"/>
            <w:noWrap w:val="0"/>
            <w:vAlign w:val="center"/>
          </w:tcPr>
          <w:p w14:paraId="1FAC0DFD">
            <w:pPr>
              <w:spacing w:line="360" w:lineRule="auto"/>
              <w:ind w:firstLine="480"/>
              <w:jc w:val="center"/>
              <w:rPr>
                <w:rFonts w:hint="eastAsia" w:ascii="宋体" w:hAnsi="宋体"/>
                <w:color w:val="auto"/>
                <w:highlight w:val="none"/>
              </w:rPr>
            </w:pPr>
          </w:p>
        </w:tc>
        <w:tc>
          <w:tcPr>
            <w:tcW w:w="851" w:type="dxa"/>
            <w:noWrap w:val="0"/>
            <w:vAlign w:val="center"/>
          </w:tcPr>
          <w:p w14:paraId="51F6E94D">
            <w:pPr>
              <w:spacing w:line="360" w:lineRule="auto"/>
              <w:ind w:firstLine="480"/>
              <w:jc w:val="center"/>
              <w:rPr>
                <w:rFonts w:hint="eastAsia" w:ascii="宋体" w:hAnsi="宋体"/>
                <w:color w:val="auto"/>
                <w:highlight w:val="none"/>
              </w:rPr>
            </w:pPr>
          </w:p>
        </w:tc>
      </w:tr>
      <w:tr w14:paraId="323F8F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9" w:hRule="atLeast"/>
        </w:trPr>
        <w:tc>
          <w:tcPr>
            <w:tcW w:w="658" w:type="dxa"/>
            <w:noWrap w:val="0"/>
            <w:vAlign w:val="center"/>
          </w:tcPr>
          <w:p w14:paraId="0AEBE78E">
            <w:pPr>
              <w:spacing w:line="360" w:lineRule="auto"/>
              <w:ind w:firstLine="199" w:firstLineChars="83"/>
              <w:jc w:val="center"/>
              <w:rPr>
                <w:rFonts w:hint="eastAsia" w:ascii="宋体" w:hAnsi="宋体"/>
                <w:color w:val="auto"/>
                <w:highlight w:val="none"/>
              </w:rPr>
            </w:pPr>
            <w:r>
              <w:rPr>
                <w:rFonts w:hint="eastAsia" w:ascii="宋体" w:hAnsi="宋体"/>
                <w:color w:val="auto"/>
                <w:highlight w:val="none"/>
              </w:rPr>
              <w:t>2</w:t>
            </w:r>
          </w:p>
        </w:tc>
        <w:tc>
          <w:tcPr>
            <w:tcW w:w="3765" w:type="dxa"/>
            <w:noWrap w:val="0"/>
            <w:vAlign w:val="center"/>
          </w:tcPr>
          <w:p w14:paraId="321F6B7D">
            <w:pPr>
              <w:spacing w:line="360" w:lineRule="auto"/>
              <w:ind w:firstLine="480"/>
              <w:jc w:val="center"/>
              <w:rPr>
                <w:rFonts w:hint="eastAsia" w:ascii="宋体" w:hAnsi="宋体"/>
                <w:color w:val="auto"/>
                <w:highlight w:val="none"/>
              </w:rPr>
            </w:pPr>
          </w:p>
        </w:tc>
        <w:tc>
          <w:tcPr>
            <w:tcW w:w="1842" w:type="dxa"/>
            <w:noWrap w:val="0"/>
            <w:vAlign w:val="center"/>
          </w:tcPr>
          <w:p w14:paraId="460A87AA">
            <w:pPr>
              <w:spacing w:line="360" w:lineRule="auto"/>
              <w:ind w:firstLine="480"/>
              <w:jc w:val="center"/>
              <w:rPr>
                <w:rFonts w:hint="eastAsia" w:ascii="宋体" w:hAnsi="宋体"/>
                <w:color w:val="auto"/>
                <w:highlight w:val="none"/>
              </w:rPr>
            </w:pPr>
          </w:p>
        </w:tc>
        <w:tc>
          <w:tcPr>
            <w:tcW w:w="993" w:type="dxa"/>
            <w:noWrap w:val="0"/>
            <w:vAlign w:val="center"/>
          </w:tcPr>
          <w:p w14:paraId="7CBB517F">
            <w:pPr>
              <w:spacing w:line="360" w:lineRule="auto"/>
              <w:ind w:firstLine="480"/>
              <w:jc w:val="center"/>
              <w:rPr>
                <w:rFonts w:hint="eastAsia" w:ascii="宋体" w:hAnsi="宋体"/>
                <w:color w:val="auto"/>
                <w:highlight w:val="none"/>
              </w:rPr>
            </w:pPr>
          </w:p>
        </w:tc>
        <w:tc>
          <w:tcPr>
            <w:tcW w:w="850" w:type="dxa"/>
            <w:noWrap w:val="0"/>
            <w:vAlign w:val="center"/>
          </w:tcPr>
          <w:p w14:paraId="2F28A3F2">
            <w:pPr>
              <w:spacing w:line="360" w:lineRule="auto"/>
              <w:ind w:firstLine="480"/>
              <w:jc w:val="center"/>
              <w:rPr>
                <w:rFonts w:hint="eastAsia" w:ascii="宋体" w:hAnsi="宋体"/>
                <w:color w:val="auto"/>
                <w:highlight w:val="none"/>
              </w:rPr>
            </w:pPr>
          </w:p>
        </w:tc>
        <w:tc>
          <w:tcPr>
            <w:tcW w:w="851" w:type="dxa"/>
            <w:noWrap w:val="0"/>
            <w:vAlign w:val="center"/>
          </w:tcPr>
          <w:p w14:paraId="6C6AE23F">
            <w:pPr>
              <w:spacing w:line="360" w:lineRule="auto"/>
              <w:ind w:firstLine="480"/>
              <w:jc w:val="center"/>
              <w:rPr>
                <w:rFonts w:hint="eastAsia" w:ascii="宋体" w:hAnsi="宋体"/>
                <w:color w:val="auto"/>
                <w:highlight w:val="none"/>
              </w:rPr>
            </w:pPr>
          </w:p>
        </w:tc>
      </w:tr>
      <w:tr w14:paraId="2130C8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9" w:hRule="atLeast"/>
        </w:trPr>
        <w:tc>
          <w:tcPr>
            <w:tcW w:w="658" w:type="dxa"/>
            <w:noWrap w:val="0"/>
            <w:vAlign w:val="center"/>
          </w:tcPr>
          <w:p w14:paraId="0C2CD1BC">
            <w:pPr>
              <w:spacing w:line="360" w:lineRule="auto"/>
              <w:ind w:firstLine="199" w:firstLineChars="83"/>
              <w:jc w:val="center"/>
              <w:rPr>
                <w:rFonts w:hint="eastAsia" w:ascii="宋体" w:hAnsi="宋体"/>
                <w:color w:val="auto"/>
                <w:highlight w:val="none"/>
              </w:rPr>
            </w:pPr>
            <w:r>
              <w:rPr>
                <w:rFonts w:hint="eastAsia" w:ascii="宋体" w:hAnsi="宋体"/>
                <w:color w:val="auto"/>
                <w:highlight w:val="none"/>
              </w:rPr>
              <w:t>3</w:t>
            </w:r>
          </w:p>
        </w:tc>
        <w:tc>
          <w:tcPr>
            <w:tcW w:w="3765" w:type="dxa"/>
            <w:noWrap w:val="0"/>
            <w:vAlign w:val="center"/>
          </w:tcPr>
          <w:p w14:paraId="6351908B">
            <w:pPr>
              <w:spacing w:line="360" w:lineRule="auto"/>
              <w:ind w:firstLine="480"/>
              <w:jc w:val="center"/>
              <w:rPr>
                <w:rFonts w:hint="eastAsia" w:ascii="宋体" w:hAnsi="宋体"/>
                <w:color w:val="auto"/>
                <w:highlight w:val="none"/>
              </w:rPr>
            </w:pPr>
          </w:p>
        </w:tc>
        <w:tc>
          <w:tcPr>
            <w:tcW w:w="1842" w:type="dxa"/>
            <w:noWrap w:val="0"/>
            <w:vAlign w:val="center"/>
          </w:tcPr>
          <w:p w14:paraId="2A272F95">
            <w:pPr>
              <w:spacing w:line="360" w:lineRule="auto"/>
              <w:ind w:firstLine="480"/>
              <w:jc w:val="center"/>
              <w:rPr>
                <w:rFonts w:hint="eastAsia" w:ascii="宋体" w:hAnsi="宋体"/>
                <w:color w:val="auto"/>
                <w:highlight w:val="none"/>
              </w:rPr>
            </w:pPr>
          </w:p>
        </w:tc>
        <w:tc>
          <w:tcPr>
            <w:tcW w:w="993" w:type="dxa"/>
            <w:noWrap w:val="0"/>
            <w:vAlign w:val="center"/>
          </w:tcPr>
          <w:p w14:paraId="4B82AE79">
            <w:pPr>
              <w:spacing w:line="360" w:lineRule="auto"/>
              <w:ind w:firstLine="480"/>
              <w:jc w:val="center"/>
              <w:rPr>
                <w:rFonts w:hint="eastAsia" w:ascii="宋体" w:hAnsi="宋体"/>
                <w:color w:val="auto"/>
                <w:highlight w:val="none"/>
              </w:rPr>
            </w:pPr>
          </w:p>
        </w:tc>
        <w:tc>
          <w:tcPr>
            <w:tcW w:w="850" w:type="dxa"/>
            <w:noWrap w:val="0"/>
            <w:vAlign w:val="center"/>
          </w:tcPr>
          <w:p w14:paraId="378BF588">
            <w:pPr>
              <w:spacing w:line="360" w:lineRule="auto"/>
              <w:ind w:firstLine="480"/>
              <w:jc w:val="center"/>
              <w:rPr>
                <w:rFonts w:hint="eastAsia" w:ascii="宋体" w:hAnsi="宋体"/>
                <w:color w:val="auto"/>
                <w:highlight w:val="none"/>
              </w:rPr>
            </w:pPr>
          </w:p>
        </w:tc>
        <w:tc>
          <w:tcPr>
            <w:tcW w:w="851" w:type="dxa"/>
            <w:noWrap w:val="0"/>
            <w:vAlign w:val="center"/>
          </w:tcPr>
          <w:p w14:paraId="0CAB86C4">
            <w:pPr>
              <w:spacing w:line="360" w:lineRule="auto"/>
              <w:ind w:firstLine="480"/>
              <w:jc w:val="center"/>
              <w:rPr>
                <w:rFonts w:hint="eastAsia" w:ascii="宋体" w:hAnsi="宋体"/>
                <w:color w:val="auto"/>
                <w:highlight w:val="none"/>
              </w:rPr>
            </w:pPr>
          </w:p>
        </w:tc>
      </w:tr>
      <w:tr w14:paraId="331247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9" w:hRule="atLeast"/>
        </w:trPr>
        <w:tc>
          <w:tcPr>
            <w:tcW w:w="658" w:type="dxa"/>
            <w:noWrap w:val="0"/>
            <w:vAlign w:val="center"/>
          </w:tcPr>
          <w:p w14:paraId="2B07A6C4">
            <w:pPr>
              <w:spacing w:line="360" w:lineRule="auto"/>
              <w:ind w:firstLine="199" w:firstLineChars="83"/>
              <w:jc w:val="center"/>
              <w:rPr>
                <w:rFonts w:hint="eastAsia" w:ascii="宋体" w:hAnsi="宋体"/>
                <w:color w:val="auto"/>
                <w:highlight w:val="none"/>
              </w:rPr>
            </w:pPr>
            <w:r>
              <w:rPr>
                <w:rFonts w:hint="eastAsia" w:ascii="宋体" w:hAnsi="宋体"/>
                <w:color w:val="auto"/>
                <w:highlight w:val="none"/>
              </w:rPr>
              <w:t>4</w:t>
            </w:r>
          </w:p>
        </w:tc>
        <w:tc>
          <w:tcPr>
            <w:tcW w:w="3765" w:type="dxa"/>
            <w:noWrap w:val="0"/>
            <w:vAlign w:val="center"/>
          </w:tcPr>
          <w:p w14:paraId="285DBC76">
            <w:pPr>
              <w:spacing w:line="360" w:lineRule="auto"/>
              <w:ind w:firstLine="480"/>
              <w:jc w:val="center"/>
              <w:rPr>
                <w:rFonts w:hint="eastAsia" w:ascii="宋体" w:hAnsi="宋体"/>
                <w:color w:val="auto"/>
                <w:highlight w:val="none"/>
              </w:rPr>
            </w:pPr>
          </w:p>
        </w:tc>
        <w:tc>
          <w:tcPr>
            <w:tcW w:w="1842" w:type="dxa"/>
            <w:noWrap w:val="0"/>
            <w:vAlign w:val="center"/>
          </w:tcPr>
          <w:p w14:paraId="2F3BFD29">
            <w:pPr>
              <w:spacing w:line="360" w:lineRule="auto"/>
              <w:ind w:firstLine="480"/>
              <w:jc w:val="center"/>
              <w:rPr>
                <w:rFonts w:hint="eastAsia" w:ascii="宋体" w:hAnsi="宋体"/>
                <w:color w:val="auto"/>
                <w:highlight w:val="none"/>
              </w:rPr>
            </w:pPr>
          </w:p>
        </w:tc>
        <w:tc>
          <w:tcPr>
            <w:tcW w:w="993" w:type="dxa"/>
            <w:noWrap w:val="0"/>
            <w:vAlign w:val="center"/>
          </w:tcPr>
          <w:p w14:paraId="2ECD3EA3">
            <w:pPr>
              <w:spacing w:line="360" w:lineRule="auto"/>
              <w:ind w:firstLine="480"/>
              <w:jc w:val="center"/>
              <w:rPr>
                <w:rFonts w:hint="eastAsia" w:ascii="宋体" w:hAnsi="宋体"/>
                <w:color w:val="auto"/>
                <w:highlight w:val="none"/>
              </w:rPr>
            </w:pPr>
          </w:p>
        </w:tc>
        <w:tc>
          <w:tcPr>
            <w:tcW w:w="850" w:type="dxa"/>
            <w:noWrap w:val="0"/>
            <w:vAlign w:val="center"/>
          </w:tcPr>
          <w:p w14:paraId="5A75AC56">
            <w:pPr>
              <w:spacing w:line="360" w:lineRule="auto"/>
              <w:ind w:firstLine="480"/>
              <w:jc w:val="center"/>
              <w:rPr>
                <w:rFonts w:hint="eastAsia" w:ascii="宋体" w:hAnsi="宋体"/>
                <w:color w:val="auto"/>
                <w:highlight w:val="none"/>
              </w:rPr>
            </w:pPr>
          </w:p>
        </w:tc>
        <w:tc>
          <w:tcPr>
            <w:tcW w:w="851" w:type="dxa"/>
            <w:noWrap w:val="0"/>
            <w:vAlign w:val="center"/>
          </w:tcPr>
          <w:p w14:paraId="1D9A8A22">
            <w:pPr>
              <w:spacing w:line="360" w:lineRule="auto"/>
              <w:ind w:firstLine="480"/>
              <w:jc w:val="center"/>
              <w:rPr>
                <w:rFonts w:hint="eastAsia" w:ascii="宋体" w:hAnsi="宋体"/>
                <w:color w:val="auto"/>
                <w:highlight w:val="none"/>
              </w:rPr>
            </w:pPr>
          </w:p>
        </w:tc>
      </w:tr>
      <w:tr w14:paraId="20C12C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9" w:hRule="atLeast"/>
        </w:trPr>
        <w:tc>
          <w:tcPr>
            <w:tcW w:w="658" w:type="dxa"/>
            <w:noWrap w:val="0"/>
            <w:vAlign w:val="center"/>
          </w:tcPr>
          <w:p w14:paraId="6EFE8417">
            <w:pPr>
              <w:spacing w:line="360" w:lineRule="auto"/>
              <w:ind w:firstLine="199" w:firstLineChars="83"/>
              <w:jc w:val="center"/>
              <w:rPr>
                <w:rFonts w:hint="eastAsia" w:ascii="宋体" w:hAnsi="宋体"/>
                <w:color w:val="auto"/>
                <w:highlight w:val="none"/>
              </w:rPr>
            </w:pPr>
            <w:r>
              <w:rPr>
                <w:rFonts w:ascii="宋体" w:hAnsi="宋体"/>
                <w:color w:val="auto"/>
                <w:highlight w:val="none"/>
              </w:rPr>
              <w:t>…</w:t>
            </w:r>
          </w:p>
        </w:tc>
        <w:tc>
          <w:tcPr>
            <w:tcW w:w="3765" w:type="dxa"/>
            <w:noWrap w:val="0"/>
            <w:vAlign w:val="center"/>
          </w:tcPr>
          <w:p w14:paraId="70A0A354">
            <w:pPr>
              <w:spacing w:line="360" w:lineRule="auto"/>
              <w:ind w:firstLine="480"/>
              <w:jc w:val="center"/>
              <w:rPr>
                <w:rFonts w:hint="eastAsia" w:ascii="宋体" w:hAnsi="宋体"/>
                <w:color w:val="auto"/>
                <w:highlight w:val="none"/>
              </w:rPr>
            </w:pPr>
          </w:p>
        </w:tc>
        <w:tc>
          <w:tcPr>
            <w:tcW w:w="1842" w:type="dxa"/>
            <w:noWrap w:val="0"/>
            <w:vAlign w:val="center"/>
          </w:tcPr>
          <w:p w14:paraId="4F66BAA7">
            <w:pPr>
              <w:spacing w:line="360" w:lineRule="auto"/>
              <w:ind w:firstLine="480"/>
              <w:jc w:val="center"/>
              <w:rPr>
                <w:rFonts w:hint="eastAsia" w:ascii="宋体" w:hAnsi="宋体"/>
                <w:color w:val="auto"/>
                <w:highlight w:val="none"/>
              </w:rPr>
            </w:pPr>
          </w:p>
        </w:tc>
        <w:tc>
          <w:tcPr>
            <w:tcW w:w="993" w:type="dxa"/>
            <w:noWrap w:val="0"/>
            <w:vAlign w:val="center"/>
          </w:tcPr>
          <w:p w14:paraId="6D1482B9">
            <w:pPr>
              <w:spacing w:line="360" w:lineRule="auto"/>
              <w:ind w:firstLine="480"/>
              <w:jc w:val="center"/>
              <w:rPr>
                <w:rFonts w:hint="eastAsia" w:ascii="宋体" w:hAnsi="宋体"/>
                <w:color w:val="auto"/>
                <w:highlight w:val="none"/>
              </w:rPr>
            </w:pPr>
          </w:p>
        </w:tc>
        <w:tc>
          <w:tcPr>
            <w:tcW w:w="850" w:type="dxa"/>
            <w:noWrap w:val="0"/>
            <w:vAlign w:val="center"/>
          </w:tcPr>
          <w:p w14:paraId="79B98CB3">
            <w:pPr>
              <w:spacing w:line="360" w:lineRule="auto"/>
              <w:ind w:firstLine="480"/>
              <w:jc w:val="center"/>
              <w:rPr>
                <w:rFonts w:hint="eastAsia" w:ascii="宋体" w:hAnsi="宋体"/>
                <w:color w:val="auto"/>
                <w:highlight w:val="none"/>
              </w:rPr>
            </w:pPr>
          </w:p>
        </w:tc>
        <w:tc>
          <w:tcPr>
            <w:tcW w:w="851" w:type="dxa"/>
            <w:noWrap w:val="0"/>
            <w:vAlign w:val="center"/>
          </w:tcPr>
          <w:p w14:paraId="7113E700">
            <w:pPr>
              <w:spacing w:line="360" w:lineRule="auto"/>
              <w:ind w:firstLine="480"/>
              <w:jc w:val="center"/>
              <w:rPr>
                <w:rFonts w:hint="eastAsia" w:ascii="宋体" w:hAnsi="宋体"/>
                <w:color w:val="auto"/>
                <w:highlight w:val="none"/>
              </w:rPr>
            </w:pPr>
          </w:p>
        </w:tc>
      </w:tr>
      <w:tr w14:paraId="3B6A3F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67" w:hRule="atLeast"/>
        </w:trPr>
        <w:tc>
          <w:tcPr>
            <w:tcW w:w="8959" w:type="dxa"/>
            <w:gridSpan w:val="6"/>
            <w:noWrap w:val="0"/>
            <w:vAlign w:val="center"/>
          </w:tcPr>
          <w:p w14:paraId="1A1C54F1">
            <w:pPr>
              <w:spacing w:line="360" w:lineRule="auto"/>
              <w:ind w:firstLine="0" w:firstLineChars="0"/>
              <w:rPr>
                <w:rFonts w:hint="eastAsia" w:ascii="宋体" w:hAnsi="宋体"/>
                <w:color w:val="auto"/>
                <w:highlight w:val="none"/>
              </w:rPr>
            </w:pPr>
            <w:r>
              <w:rPr>
                <w:rFonts w:hint="eastAsia" w:ascii="宋体" w:hAnsi="宋体"/>
                <w:color w:val="auto"/>
                <w:highlight w:val="none"/>
              </w:rPr>
              <w:t>其他承诺及需要说明的事项：</w:t>
            </w:r>
          </w:p>
        </w:tc>
      </w:tr>
      <w:tr w14:paraId="06088D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9" w:hRule="atLeast"/>
        </w:trPr>
        <w:tc>
          <w:tcPr>
            <w:tcW w:w="4423" w:type="dxa"/>
            <w:gridSpan w:val="2"/>
            <w:noWrap w:val="0"/>
            <w:vAlign w:val="center"/>
          </w:tcPr>
          <w:p w14:paraId="6BAED48B">
            <w:pPr>
              <w:spacing w:line="360" w:lineRule="auto"/>
              <w:ind w:firstLine="480"/>
              <w:rPr>
                <w:rFonts w:hint="eastAsia" w:ascii="宋体" w:hAnsi="宋体"/>
                <w:color w:val="auto"/>
                <w:highlight w:val="none"/>
              </w:rPr>
            </w:pPr>
            <w:r>
              <w:rPr>
                <w:rFonts w:hint="eastAsia" w:ascii="宋体" w:hAnsi="宋体"/>
                <w:color w:val="auto"/>
                <w:highlight w:val="none"/>
              </w:rPr>
              <w:t>投标总价</w:t>
            </w:r>
          </w:p>
        </w:tc>
        <w:tc>
          <w:tcPr>
            <w:tcW w:w="4536" w:type="dxa"/>
            <w:gridSpan w:val="4"/>
            <w:noWrap w:val="0"/>
            <w:vAlign w:val="center"/>
          </w:tcPr>
          <w:p w14:paraId="414B211C">
            <w:pPr>
              <w:spacing w:line="360" w:lineRule="auto"/>
              <w:ind w:firstLine="480"/>
              <w:rPr>
                <w:rFonts w:hint="eastAsia" w:ascii="宋体" w:hAnsi="宋体"/>
                <w:color w:val="auto"/>
                <w:highlight w:val="none"/>
              </w:rPr>
            </w:pPr>
            <w:r>
              <w:rPr>
                <w:rFonts w:hint="eastAsia" w:ascii="宋体" w:hAnsi="宋体"/>
                <w:color w:val="auto"/>
                <w:highlight w:val="none"/>
              </w:rPr>
              <w:t>大写：                 小写：</w:t>
            </w:r>
          </w:p>
        </w:tc>
      </w:tr>
    </w:tbl>
    <w:p w14:paraId="67F7DEE5">
      <w:pPr>
        <w:spacing w:line="360" w:lineRule="auto"/>
        <w:ind w:firstLine="0" w:firstLineChars="0"/>
        <w:rPr>
          <w:rFonts w:hint="eastAsia" w:ascii="宋体" w:hAnsi="宋体"/>
          <w:b/>
          <w:color w:val="auto"/>
          <w:highlight w:val="none"/>
        </w:rPr>
      </w:pPr>
    </w:p>
    <w:p w14:paraId="1D10980E">
      <w:pPr>
        <w:spacing w:line="360" w:lineRule="auto"/>
        <w:ind w:firstLine="0" w:firstLineChars="0"/>
        <w:rPr>
          <w:rFonts w:hint="eastAsia" w:ascii="宋体" w:hAnsi="宋体"/>
          <w:b/>
          <w:color w:val="auto"/>
          <w:highlight w:val="none"/>
        </w:rPr>
      </w:pPr>
    </w:p>
    <w:p w14:paraId="1C28B03D">
      <w:pPr>
        <w:spacing w:line="360" w:lineRule="auto"/>
        <w:ind w:firstLine="0" w:firstLineChars="0"/>
        <w:jc w:val="right"/>
        <w:rPr>
          <w:rFonts w:hint="eastAsia" w:ascii="宋体" w:hAnsi="宋体"/>
          <w:b/>
          <w:color w:val="auto"/>
          <w:highlight w:val="none"/>
        </w:rPr>
      </w:pPr>
    </w:p>
    <w:p w14:paraId="64B07F71">
      <w:pPr>
        <w:spacing w:line="360" w:lineRule="auto"/>
        <w:ind w:right="480" w:firstLine="4204" w:firstLineChars="1745"/>
        <w:jc w:val="center"/>
        <w:rPr>
          <w:rFonts w:hint="eastAsia" w:ascii="宋体" w:hAnsi="宋体"/>
          <w:b/>
          <w:color w:val="auto"/>
          <w:highlight w:val="none"/>
        </w:rPr>
      </w:pPr>
    </w:p>
    <w:p w14:paraId="199F558A">
      <w:pPr>
        <w:spacing w:line="360" w:lineRule="auto"/>
        <w:ind w:right="480" w:firstLine="4204" w:firstLineChars="1745"/>
        <w:jc w:val="center"/>
        <w:rPr>
          <w:rFonts w:hint="eastAsia" w:ascii="宋体" w:hAnsi="宋体"/>
          <w:b/>
          <w:color w:val="auto"/>
          <w:highlight w:val="none"/>
        </w:rPr>
      </w:pPr>
    </w:p>
    <w:p w14:paraId="762037D0">
      <w:pPr>
        <w:spacing w:line="360" w:lineRule="auto"/>
        <w:ind w:right="480" w:firstLine="4204" w:firstLineChars="1745"/>
        <w:jc w:val="center"/>
        <w:rPr>
          <w:rFonts w:hint="eastAsia" w:ascii="宋体" w:hAnsi="宋体"/>
          <w:b/>
          <w:color w:val="auto"/>
          <w:highlight w:val="none"/>
        </w:rPr>
      </w:pPr>
      <w:r>
        <w:rPr>
          <w:rFonts w:hint="eastAsia" w:ascii="宋体" w:hAnsi="宋体"/>
          <w:b/>
          <w:color w:val="auto"/>
          <w:highlight w:val="none"/>
        </w:rPr>
        <w:t xml:space="preserve">    投标供应商：</w:t>
      </w:r>
      <w:r>
        <w:rPr>
          <w:rFonts w:hint="eastAsia" w:ascii="宋体" w:hAnsi="宋体" w:cs="宋体"/>
          <w:color w:val="auto"/>
          <w:kern w:val="0"/>
          <w:highlight w:val="none"/>
          <w:u w:val="single"/>
        </w:rPr>
        <w:t xml:space="preserve">       </w:t>
      </w:r>
      <w:r>
        <w:rPr>
          <w:rFonts w:hint="eastAsia" w:ascii="宋体" w:hAnsi="宋体"/>
          <w:b/>
          <w:color w:val="auto"/>
          <w:highlight w:val="none"/>
        </w:rPr>
        <w:t>（公章）</w:t>
      </w:r>
    </w:p>
    <w:p w14:paraId="5D28124F">
      <w:pPr>
        <w:spacing w:line="360" w:lineRule="auto"/>
        <w:ind w:firstLine="482"/>
        <w:jc w:val="right"/>
        <w:rPr>
          <w:rFonts w:ascii="宋体" w:hAnsi="宋体"/>
          <w:b/>
          <w:color w:val="auto"/>
          <w:highlight w:val="none"/>
        </w:rPr>
      </w:pPr>
      <w:r>
        <w:rPr>
          <w:rFonts w:hint="eastAsia" w:ascii="宋体" w:hAnsi="宋体"/>
          <w:b/>
          <w:color w:val="auto"/>
          <w:highlight w:val="none"/>
        </w:rPr>
        <w:t xml:space="preserve">                  法定代表人或委托代理人：</w:t>
      </w:r>
      <w:r>
        <w:rPr>
          <w:rFonts w:hint="eastAsia" w:ascii="宋体" w:hAnsi="宋体" w:cs="宋体"/>
          <w:color w:val="auto"/>
          <w:kern w:val="0"/>
          <w:highlight w:val="none"/>
          <w:u w:val="single"/>
        </w:rPr>
        <w:t xml:space="preserve">       </w:t>
      </w:r>
      <w:r>
        <w:rPr>
          <w:rFonts w:hint="eastAsia" w:ascii="宋体" w:hAnsi="宋体"/>
          <w:b/>
          <w:color w:val="auto"/>
          <w:highlight w:val="none"/>
        </w:rPr>
        <w:t>（签字或盖章）</w:t>
      </w:r>
    </w:p>
    <w:p w14:paraId="7A73AF6B">
      <w:pPr>
        <w:spacing w:line="360" w:lineRule="auto"/>
        <w:ind w:right="480" w:firstLine="5903" w:firstLineChars="2450"/>
        <w:rPr>
          <w:rFonts w:hint="eastAsia"/>
          <w:b/>
          <w:color w:val="auto"/>
          <w:highlight w:val="none"/>
        </w:rPr>
      </w:pPr>
      <w:r>
        <w:rPr>
          <w:rFonts w:hint="eastAsia"/>
          <w:b/>
          <w:color w:val="auto"/>
          <w:highlight w:val="none"/>
        </w:rPr>
        <w:t xml:space="preserve"> 年   月  日</w:t>
      </w:r>
    </w:p>
    <w:p w14:paraId="74B907F2">
      <w:pPr>
        <w:spacing w:line="360" w:lineRule="auto"/>
        <w:ind w:firstLine="482"/>
        <w:jc w:val="right"/>
        <w:rPr>
          <w:rFonts w:hint="eastAsia" w:ascii="宋体" w:hAnsi="宋体"/>
          <w:b/>
          <w:color w:val="auto"/>
          <w:highlight w:val="none"/>
        </w:rPr>
      </w:pPr>
    </w:p>
    <w:p w14:paraId="5D45E875">
      <w:pPr>
        <w:pStyle w:val="4"/>
        <w:numPr>
          <w:ilvl w:val="0"/>
          <w:numId w:val="0"/>
        </w:numPr>
        <w:tabs>
          <w:tab w:val="left" w:pos="425"/>
        </w:tabs>
        <w:spacing w:line="360" w:lineRule="auto"/>
        <w:ind w:left="0" w:leftChars="0" w:firstLine="562" w:firstLineChars="200"/>
        <w:rPr>
          <w:rFonts w:hint="eastAsia" w:ascii="宋体"/>
          <w:b/>
          <w:color w:val="auto"/>
          <w:sz w:val="36"/>
          <w:szCs w:val="36"/>
          <w:highlight w:val="none"/>
        </w:rPr>
      </w:pPr>
      <w:bookmarkStart w:id="335" w:name="_Toc496004041"/>
      <w:bookmarkStart w:id="336" w:name="_Toc85643992"/>
      <w:r>
        <w:rPr>
          <w:rFonts w:hint="eastAsia" w:ascii="宋体"/>
          <w:b/>
          <w:color w:val="auto"/>
          <w:sz w:val="28"/>
          <w:szCs w:val="28"/>
          <w:highlight w:val="none"/>
        </w:rPr>
        <w:br w:type="page"/>
      </w:r>
      <w:bookmarkStart w:id="337" w:name="_Toc2019"/>
      <w:bookmarkStart w:id="338" w:name="_Toc19037"/>
      <w:r>
        <w:rPr>
          <w:rFonts w:hint="default" w:ascii="宋体" w:hAnsi="宋体" w:eastAsia="宋体" w:cs="Times New Roman"/>
          <w:b/>
          <w:color w:val="auto"/>
          <w:sz w:val="32"/>
          <w:szCs w:val="32"/>
          <w:highlight w:val="none"/>
          <w:lang w:val="en-US" w:eastAsia="zh-CN" w:bidi="ar-SA"/>
        </w:rPr>
        <w:t>14．</w:t>
      </w:r>
      <w:r>
        <w:rPr>
          <w:rFonts w:hint="eastAsia" w:ascii="宋体" w:hAnsi="Times New Roman" w:eastAsia="宋体" w:cs="Times New Roman"/>
          <w:b/>
          <w:color w:val="auto"/>
          <w:kern w:val="2"/>
          <w:sz w:val="32"/>
          <w:szCs w:val="32"/>
          <w:highlight w:val="none"/>
          <w:lang w:val="zh-CN" w:eastAsia="zh-CN" w:bidi="ar-SA"/>
        </w:rPr>
        <w:t>其他资格证明</w:t>
      </w:r>
      <w:r>
        <w:rPr>
          <w:rFonts w:hint="eastAsia" w:ascii="宋体"/>
          <w:b/>
          <w:color w:val="auto"/>
          <w:sz w:val="32"/>
          <w:szCs w:val="32"/>
          <w:highlight w:val="none"/>
        </w:rPr>
        <w:t>材料</w:t>
      </w:r>
      <w:bookmarkEnd w:id="335"/>
      <w:bookmarkEnd w:id="336"/>
      <w:bookmarkEnd w:id="337"/>
      <w:bookmarkEnd w:id="338"/>
    </w:p>
    <w:p w14:paraId="6ACF8187">
      <w:pPr>
        <w:spacing w:line="360" w:lineRule="auto"/>
        <w:ind w:firstLine="2424" w:firstLineChars="805"/>
        <w:rPr>
          <w:rFonts w:hint="eastAsia" w:ascii="宋体" w:hAnsi="宋体"/>
          <w:b/>
          <w:color w:val="auto"/>
          <w:sz w:val="30"/>
          <w:szCs w:val="30"/>
          <w:highlight w:val="none"/>
        </w:rPr>
      </w:pPr>
      <w:r>
        <w:rPr>
          <w:rFonts w:hint="eastAsia" w:ascii="宋体" w:hAnsi="宋体"/>
          <w:b/>
          <w:color w:val="auto"/>
          <w:sz w:val="30"/>
          <w:szCs w:val="30"/>
          <w:highlight w:val="none"/>
        </w:rPr>
        <w:t>其他资格证明材料</w:t>
      </w:r>
    </w:p>
    <w:p w14:paraId="193D5430">
      <w:pPr>
        <w:spacing w:line="360" w:lineRule="auto"/>
        <w:ind w:firstLine="480"/>
        <w:rPr>
          <w:rFonts w:hint="eastAsia" w:ascii="宋体" w:hAnsi="宋体"/>
          <w:bCs/>
          <w:color w:val="auto"/>
          <w:highlight w:val="none"/>
        </w:rPr>
      </w:pPr>
    </w:p>
    <w:p w14:paraId="3D88FE17">
      <w:pPr>
        <w:spacing w:line="360" w:lineRule="auto"/>
        <w:ind w:firstLine="480"/>
        <w:rPr>
          <w:rFonts w:hint="eastAsia" w:ascii="宋体" w:hAnsi="宋体"/>
          <w:bCs/>
          <w:color w:val="auto"/>
          <w:highlight w:val="none"/>
        </w:rPr>
      </w:pPr>
      <w:r>
        <w:rPr>
          <w:rFonts w:hint="eastAsia" w:ascii="宋体" w:hAnsi="宋体"/>
          <w:bCs/>
          <w:color w:val="auto"/>
          <w:highlight w:val="none"/>
        </w:rPr>
        <w:t>根据采购项目内容，投标时按磋商文件要求提供服务提供商的相关资质、相关认证和投标人认为有必要提供的其他资格证明文件等材料。</w:t>
      </w:r>
    </w:p>
    <w:p w14:paraId="7B5AB5A3">
      <w:pPr>
        <w:pStyle w:val="4"/>
        <w:numPr>
          <w:ilvl w:val="0"/>
          <w:numId w:val="0"/>
        </w:numPr>
        <w:tabs>
          <w:tab w:val="left" w:pos="425"/>
        </w:tabs>
        <w:spacing w:line="360" w:lineRule="auto"/>
        <w:ind w:left="0" w:leftChars="0" w:firstLine="562" w:firstLineChars="200"/>
        <w:rPr>
          <w:rFonts w:hint="eastAsia" w:ascii="宋体"/>
          <w:b/>
          <w:color w:val="auto"/>
          <w:sz w:val="36"/>
          <w:szCs w:val="36"/>
          <w:highlight w:val="none"/>
        </w:rPr>
      </w:pPr>
      <w:r>
        <w:rPr>
          <w:rFonts w:ascii="宋体"/>
          <w:b/>
          <w:color w:val="auto"/>
          <w:sz w:val="28"/>
          <w:szCs w:val="28"/>
          <w:highlight w:val="none"/>
        </w:rPr>
        <w:br w:type="page"/>
      </w:r>
      <w:bookmarkStart w:id="339" w:name="_Toc85643993"/>
      <w:bookmarkStart w:id="340" w:name="_Toc31115"/>
      <w:bookmarkStart w:id="341" w:name="_Toc29211"/>
      <w:bookmarkStart w:id="342" w:name="_Toc376936780"/>
      <w:bookmarkStart w:id="343" w:name="_Toc325726045"/>
      <w:bookmarkStart w:id="344" w:name="_Toc365019586"/>
      <w:r>
        <w:rPr>
          <w:rFonts w:hint="default" w:ascii="宋体" w:hAnsi="Times New Roman" w:eastAsia="宋体" w:cs="Times New Roman"/>
          <w:b/>
          <w:color w:val="auto"/>
          <w:sz w:val="32"/>
          <w:szCs w:val="32"/>
          <w:highlight w:val="none"/>
          <w:lang w:val="en-US" w:eastAsia="zh-CN" w:bidi="ar-SA"/>
        </w:rPr>
        <w:t>15．</w:t>
      </w:r>
      <w:r>
        <w:rPr>
          <w:rFonts w:hint="eastAsia" w:ascii="宋体"/>
          <w:b/>
          <w:color w:val="auto"/>
          <w:sz w:val="32"/>
          <w:szCs w:val="32"/>
          <w:highlight w:val="none"/>
        </w:rPr>
        <w:t>技术</w:t>
      </w:r>
      <w:r>
        <w:rPr>
          <w:rFonts w:hint="eastAsia" w:ascii="宋体" w:hAnsi="Times New Roman" w:eastAsia="宋体" w:cs="Times New Roman"/>
          <w:b/>
          <w:color w:val="auto"/>
          <w:kern w:val="2"/>
          <w:sz w:val="32"/>
          <w:szCs w:val="32"/>
          <w:highlight w:val="none"/>
          <w:lang w:val="zh-CN" w:eastAsia="zh-CN" w:bidi="ar-SA"/>
        </w:rPr>
        <w:t>服务</w:t>
      </w:r>
      <w:r>
        <w:rPr>
          <w:rFonts w:hint="eastAsia" w:ascii="宋体"/>
          <w:b/>
          <w:color w:val="auto"/>
          <w:sz w:val="32"/>
          <w:szCs w:val="32"/>
          <w:highlight w:val="none"/>
        </w:rPr>
        <w:t>方</w:t>
      </w:r>
      <w:r>
        <w:rPr>
          <w:rFonts w:hint="eastAsia" w:ascii="宋体" w:hAnsi="Times New Roman" w:eastAsia="宋体" w:cs="Times New Roman"/>
          <w:b/>
          <w:color w:val="auto"/>
          <w:kern w:val="2"/>
          <w:sz w:val="32"/>
          <w:szCs w:val="32"/>
          <w:highlight w:val="none"/>
          <w:lang w:val="zh-CN" w:eastAsia="zh-CN" w:bidi="ar-SA"/>
        </w:rPr>
        <w:t>案及</w:t>
      </w:r>
      <w:r>
        <w:rPr>
          <w:rFonts w:hint="eastAsia" w:ascii="宋体"/>
          <w:b/>
          <w:color w:val="auto"/>
          <w:sz w:val="32"/>
          <w:szCs w:val="32"/>
          <w:highlight w:val="none"/>
        </w:rPr>
        <w:t>质量保障</w:t>
      </w:r>
      <w:bookmarkEnd w:id="339"/>
      <w:bookmarkEnd w:id="340"/>
      <w:bookmarkEnd w:id="341"/>
    </w:p>
    <w:bookmarkEnd w:id="342"/>
    <w:bookmarkEnd w:id="343"/>
    <w:bookmarkEnd w:id="344"/>
    <w:p w14:paraId="18E494DC">
      <w:pPr>
        <w:spacing w:line="360" w:lineRule="auto"/>
        <w:ind w:firstLine="630" w:firstLineChars="196"/>
        <w:jc w:val="center"/>
        <w:rPr>
          <w:rFonts w:hint="eastAsia" w:ascii="宋体" w:hAnsi="宋体"/>
          <w:bCs/>
          <w:color w:val="auto"/>
          <w:sz w:val="32"/>
          <w:szCs w:val="32"/>
          <w:highlight w:val="none"/>
        </w:rPr>
      </w:pPr>
      <w:r>
        <w:rPr>
          <w:rFonts w:hint="eastAsia" w:ascii="宋体" w:hAnsi="宋体"/>
          <w:b/>
          <w:color w:val="auto"/>
          <w:sz w:val="32"/>
          <w:szCs w:val="32"/>
          <w:highlight w:val="none"/>
        </w:rPr>
        <w:t>技术服务方案及质量保障</w:t>
      </w:r>
    </w:p>
    <w:p w14:paraId="69370657">
      <w:pPr>
        <w:spacing w:line="360" w:lineRule="auto"/>
        <w:ind w:firstLine="480"/>
        <w:rPr>
          <w:rFonts w:hint="eastAsia" w:ascii="宋体" w:hAnsi="宋体"/>
          <w:bCs/>
          <w:color w:val="auto"/>
          <w:highlight w:val="none"/>
        </w:rPr>
      </w:pPr>
    </w:p>
    <w:p w14:paraId="3BA92C99">
      <w:pPr>
        <w:spacing w:line="360" w:lineRule="auto"/>
        <w:ind w:firstLine="480"/>
        <w:rPr>
          <w:rFonts w:hint="eastAsia" w:ascii="宋体" w:hAnsi="宋体"/>
          <w:bCs/>
          <w:color w:val="auto"/>
          <w:highlight w:val="none"/>
          <w:lang w:val="en-US" w:eastAsia="zh-CN"/>
        </w:rPr>
      </w:pPr>
      <w:r>
        <w:rPr>
          <w:rFonts w:hint="eastAsia" w:ascii="宋体" w:hAnsi="宋体"/>
          <w:bCs/>
          <w:color w:val="auto"/>
          <w:highlight w:val="none"/>
        </w:rPr>
        <w:t>根据采购项目内容及评标标准，投标时提供完整的总体技术资料收集整理、工作部署、绿色勘查方法手段及环保措施、保障措施</w:t>
      </w:r>
      <w:r>
        <w:rPr>
          <w:rFonts w:hint="eastAsia" w:ascii="宋体" w:hAnsi="宋体"/>
          <w:bCs/>
          <w:color w:val="auto"/>
          <w:highlight w:val="none"/>
          <w:lang w:eastAsia="zh-CN"/>
        </w:rPr>
        <w:t>等</w:t>
      </w:r>
      <w:r>
        <w:rPr>
          <w:rFonts w:hint="eastAsia" w:ascii="宋体" w:hAnsi="宋体"/>
          <w:bCs/>
          <w:color w:val="auto"/>
          <w:highlight w:val="none"/>
        </w:rPr>
        <w:t>。</w:t>
      </w:r>
      <w:r>
        <w:rPr>
          <w:rFonts w:hint="eastAsia" w:ascii="宋体" w:hAnsi="宋体"/>
          <w:bCs/>
          <w:color w:val="auto"/>
          <w:highlight w:val="none"/>
          <w:lang w:val="en-US" w:eastAsia="zh-CN"/>
        </w:rPr>
        <w:t>（格式自拟）</w:t>
      </w:r>
    </w:p>
    <w:p w14:paraId="5A75DAD1">
      <w:pPr>
        <w:pStyle w:val="4"/>
        <w:numPr>
          <w:ilvl w:val="0"/>
          <w:numId w:val="0"/>
        </w:numPr>
        <w:tabs>
          <w:tab w:val="left" w:pos="425"/>
        </w:tabs>
        <w:spacing w:line="360" w:lineRule="auto"/>
        <w:ind w:left="0" w:leftChars="0" w:firstLine="562" w:firstLineChars="200"/>
        <w:rPr>
          <w:rFonts w:hint="eastAsia" w:ascii="宋体" w:hAnsi="宋体"/>
          <w:b/>
          <w:color w:val="auto"/>
          <w:sz w:val="36"/>
          <w:szCs w:val="36"/>
          <w:highlight w:val="none"/>
        </w:rPr>
      </w:pPr>
      <w:r>
        <w:rPr>
          <w:rFonts w:ascii="宋体"/>
          <w:b/>
          <w:color w:val="auto"/>
          <w:sz w:val="28"/>
          <w:szCs w:val="28"/>
          <w:highlight w:val="none"/>
        </w:rPr>
        <w:br w:type="page"/>
      </w:r>
      <w:bookmarkStart w:id="345" w:name="_Toc85643994"/>
      <w:bookmarkStart w:id="346" w:name="_Toc15773"/>
      <w:bookmarkStart w:id="347" w:name="_Toc4934"/>
      <w:r>
        <w:rPr>
          <w:rFonts w:hint="default" w:ascii="宋体" w:hAnsi="Times New Roman" w:eastAsia="宋体" w:cs="Times New Roman"/>
          <w:b/>
          <w:color w:val="auto"/>
          <w:sz w:val="32"/>
          <w:szCs w:val="32"/>
          <w:highlight w:val="none"/>
          <w:lang w:val="en-US" w:eastAsia="zh-CN" w:bidi="ar-SA"/>
        </w:rPr>
        <w:t>16．</w:t>
      </w:r>
      <w:r>
        <w:rPr>
          <w:rFonts w:hint="eastAsia" w:ascii="宋体" w:hAnsi="Times New Roman" w:eastAsia="宋体" w:cs="Times New Roman"/>
          <w:b/>
          <w:color w:val="auto"/>
          <w:kern w:val="2"/>
          <w:sz w:val="32"/>
          <w:szCs w:val="32"/>
          <w:highlight w:val="none"/>
          <w:lang w:val="zh-CN" w:eastAsia="zh-CN" w:bidi="ar-SA"/>
        </w:rPr>
        <w:t>供应商的类似</w:t>
      </w:r>
      <w:r>
        <w:rPr>
          <w:rFonts w:hint="eastAsia" w:ascii="宋体"/>
          <w:b/>
          <w:color w:val="auto"/>
          <w:sz w:val="32"/>
          <w:szCs w:val="32"/>
          <w:highlight w:val="none"/>
        </w:rPr>
        <w:t>业绩证明材料</w:t>
      </w:r>
      <w:bookmarkEnd w:id="345"/>
      <w:bookmarkEnd w:id="346"/>
      <w:bookmarkEnd w:id="347"/>
    </w:p>
    <w:p w14:paraId="2FE70FD0">
      <w:pPr>
        <w:spacing w:line="360" w:lineRule="auto"/>
        <w:ind w:firstLine="0" w:firstLineChars="0"/>
        <w:jc w:val="center"/>
        <w:rPr>
          <w:rFonts w:hint="eastAsia" w:ascii="宋体" w:hAnsi="宋体"/>
          <w:b/>
          <w:color w:val="auto"/>
          <w:sz w:val="30"/>
          <w:szCs w:val="30"/>
          <w:highlight w:val="none"/>
        </w:rPr>
      </w:pPr>
      <w:r>
        <w:rPr>
          <w:rFonts w:hint="eastAsia" w:ascii="宋体" w:hAnsi="宋体"/>
          <w:b/>
          <w:color w:val="auto"/>
          <w:sz w:val="30"/>
          <w:szCs w:val="30"/>
          <w:highlight w:val="none"/>
        </w:rPr>
        <w:t>供应商的类似业绩证明材料</w:t>
      </w:r>
    </w:p>
    <w:p w14:paraId="647994A9">
      <w:pPr>
        <w:tabs>
          <w:tab w:val="left" w:pos="168"/>
        </w:tabs>
        <w:adjustRightInd w:val="0"/>
        <w:spacing w:line="360" w:lineRule="auto"/>
        <w:ind w:firstLine="2530" w:firstLineChars="700"/>
        <w:textAlignment w:val="baseline"/>
        <w:rPr>
          <w:rFonts w:hint="eastAsia" w:ascii="宋体"/>
          <w:b/>
          <w:color w:val="auto"/>
          <w:sz w:val="36"/>
          <w:szCs w:val="36"/>
          <w:highlight w:val="none"/>
        </w:rPr>
      </w:pPr>
    </w:p>
    <w:p w14:paraId="3F7CFA74">
      <w:pPr>
        <w:tabs>
          <w:tab w:val="left" w:pos="168"/>
        </w:tabs>
        <w:adjustRightInd w:val="0"/>
        <w:ind w:firstLine="480"/>
        <w:textAlignment w:val="baseline"/>
        <w:rPr>
          <w:rFonts w:hint="eastAsia" w:ascii="宋体"/>
          <w:b/>
          <w:color w:val="auto"/>
          <w:sz w:val="28"/>
          <w:szCs w:val="28"/>
          <w:highlight w:val="none"/>
        </w:rPr>
      </w:pPr>
      <w:bookmarkStart w:id="348" w:name="_Toc496004044"/>
      <w:r>
        <w:rPr>
          <w:rFonts w:hint="eastAsia" w:ascii="宋体" w:hAnsi="宋体"/>
          <w:color w:val="auto"/>
          <w:highlight w:val="none"/>
        </w:rPr>
        <w:t>提供</w:t>
      </w:r>
      <w:r>
        <w:rPr>
          <w:rFonts w:hint="eastAsia" w:ascii="宋体" w:hAnsi="宋体"/>
          <w:color w:val="auto"/>
          <w:highlight w:val="none"/>
          <w:lang w:eastAsia="zh-CN"/>
        </w:rPr>
        <w:t>近</w:t>
      </w:r>
      <w:r>
        <w:rPr>
          <w:rFonts w:hint="eastAsia" w:ascii="宋体" w:hAnsi="宋体"/>
          <w:color w:val="auto"/>
          <w:highlight w:val="none"/>
          <w:lang w:val="en-US" w:eastAsia="zh-CN"/>
        </w:rPr>
        <w:t>5</w:t>
      </w:r>
      <w:r>
        <w:rPr>
          <w:rFonts w:hint="eastAsia" w:ascii="宋体" w:hAnsi="宋体"/>
          <w:color w:val="auto"/>
          <w:highlight w:val="none"/>
        </w:rPr>
        <w:t>年</w:t>
      </w:r>
      <w:r>
        <w:rPr>
          <w:rFonts w:hint="eastAsia" w:ascii="宋体" w:hAnsi="宋体"/>
          <w:color w:val="auto"/>
          <w:highlight w:val="none"/>
        </w:rPr>
        <w:t>来的类似业绩证明材料。类似业绩是指与采购项目在服务类型、服务功能、合同规模等方面相同或相近的项目。需提供包含合同首页、标的及金额所在页、供货合同签字盖章页的扫描（或复印）件。</w:t>
      </w:r>
      <w:r>
        <w:rPr>
          <w:rFonts w:ascii="宋体" w:hAnsi="宋体"/>
          <w:b/>
          <w:color w:val="auto"/>
          <w:highlight w:val="none"/>
        </w:rPr>
        <w:br w:type="page"/>
      </w:r>
      <w:bookmarkEnd w:id="348"/>
      <w:bookmarkStart w:id="349" w:name="_Toc3953"/>
      <w:r>
        <w:rPr>
          <w:rFonts w:hint="eastAsia" w:ascii="宋体" w:hAnsi="Times New Roman" w:eastAsia="宋体" w:cs="Times New Roman"/>
          <w:b/>
          <w:color w:val="auto"/>
          <w:kern w:val="2"/>
          <w:sz w:val="32"/>
          <w:szCs w:val="32"/>
          <w:highlight w:val="none"/>
          <w:lang w:val="en-US" w:eastAsia="zh-CN" w:bidi="ar-SA"/>
        </w:rPr>
        <w:t>17.</w:t>
      </w:r>
      <w:r>
        <w:rPr>
          <w:rFonts w:hint="eastAsia" w:ascii="宋体" w:hAnsi="Times New Roman" w:eastAsia="宋体" w:cs="Times New Roman"/>
          <w:b/>
          <w:color w:val="auto"/>
          <w:kern w:val="2"/>
          <w:sz w:val="32"/>
          <w:szCs w:val="32"/>
          <w:highlight w:val="none"/>
          <w:lang w:val="zh-CN" w:eastAsia="zh-CN" w:bidi="ar-SA"/>
        </w:rPr>
        <w:t>享受政府采购政策优惠的证明资料</w:t>
      </w:r>
      <w:bookmarkEnd w:id="349"/>
    </w:p>
    <w:p w14:paraId="3A60555E">
      <w:pPr>
        <w:pStyle w:val="4"/>
        <w:tabs>
          <w:tab w:val="left" w:pos="425"/>
        </w:tabs>
        <w:spacing w:line="360" w:lineRule="auto"/>
        <w:ind w:left="0" w:leftChars="0" w:firstLine="0" w:firstLineChars="0"/>
        <w:rPr>
          <w:rFonts w:hint="eastAsia" w:ascii="宋体" w:hAnsi="宋体" w:eastAsia="宋体" w:cs="宋体"/>
          <w:b/>
          <w:bCs/>
          <w:color w:val="auto"/>
          <w:kern w:val="2"/>
          <w:sz w:val="32"/>
          <w:szCs w:val="32"/>
          <w:highlight w:val="none"/>
          <w:lang w:val="zh-CN"/>
        </w:rPr>
      </w:pPr>
      <w:bookmarkStart w:id="350" w:name="_Toc16711"/>
      <w:bookmarkStart w:id="351" w:name="_Toc7690"/>
      <w:r>
        <w:rPr>
          <w:rFonts w:hint="eastAsia" w:ascii="宋体" w:hAnsi="宋体" w:eastAsia="宋体" w:cs="宋体"/>
          <w:b/>
          <w:bCs/>
          <w:color w:val="auto"/>
          <w:kern w:val="2"/>
          <w:sz w:val="32"/>
          <w:szCs w:val="32"/>
          <w:highlight w:val="none"/>
          <w:lang w:val="en-US" w:eastAsia="zh-CN"/>
        </w:rPr>
        <w:t>17.1</w:t>
      </w:r>
      <w:r>
        <w:rPr>
          <w:rFonts w:hint="eastAsia" w:ascii="宋体" w:hAnsi="宋体" w:eastAsia="宋体" w:cs="宋体"/>
          <w:b/>
          <w:bCs/>
          <w:color w:val="auto"/>
          <w:kern w:val="2"/>
          <w:sz w:val="32"/>
          <w:szCs w:val="32"/>
          <w:highlight w:val="none"/>
          <w:lang w:val="zh-CN"/>
        </w:rPr>
        <w:t>中小企业声明函（工程、服务）</w:t>
      </w:r>
      <w:bookmarkEnd w:id="350"/>
      <w:bookmarkEnd w:id="351"/>
    </w:p>
    <w:p w14:paraId="394DD5AC">
      <w:pPr>
        <w:spacing w:line="360" w:lineRule="auto"/>
        <w:rPr>
          <w:rFonts w:hint="eastAsia"/>
          <w:color w:val="auto"/>
          <w:highlight w:val="none"/>
          <w:lang w:val="zh-CN"/>
        </w:rPr>
      </w:pPr>
    </w:p>
    <w:p w14:paraId="47295011">
      <w:pPr>
        <w:spacing w:line="360" w:lineRule="auto"/>
        <w:ind w:left="0" w:leftChars="0" w:firstLine="0" w:firstLineChars="0"/>
        <w:jc w:val="center"/>
        <w:rPr>
          <w:rFonts w:hint="eastAsia" w:ascii="宋体" w:hAnsi="宋体" w:eastAsia="宋体" w:cs="宋体"/>
          <w:b/>
          <w:color w:val="auto"/>
          <w:sz w:val="30"/>
          <w:szCs w:val="30"/>
          <w:highlight w:val="none"/>
          <w:lang w:val="zh-CN"/>
        </w:rPr>
      </w:pPr>
      <w:r>
        <w:rPr>
          <w:rFonts w:hint="eastAsia" w:ascii="宋体" w:hAnsi="宋体" w:eastAsia="宋体" w:cs="宋体"/>
          <w:b/>
          <w:color w:val="auto"/>
          <w:sz w:val="30"/>
          <w:szCs w:val="30"/>
          <w:highlight w:val="none"/>
          <w:lang w:val="zh-CN"/>
        </w:rPr>
        <w:t>中小企业声明函</w:t>
      </w:r>
    </w:p>
    <w:p w14:paraId="18B26FD6">
      <w:pPr>
        <w:pStyle w:val="14"/>
        <w:spacing w:line="360" w:lineRule="auto"/>
        <w:rPr>
          <w:rFonts w:hint="eastAsia"/>
          <w:color w:val="auto"/>
          <w:highlight w:val="none"/>
        </w:rPr>
      </w:pPr>
    </w:p>
    <w:p w14:paraId="520AC5A8">
      <w:pPr>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本公司（联合体）郑重声明，根据《政府采购促进中小企业发展管理办法》（财库〔2020〕46 号）的规定，本公司</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参加</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（单位名称） </w:t>
      </w:r>
      <w:r>
        <w:rPr>
          <w:rFonts w:hint="eastAsia" w:ascii="宋体" w:hAnsi="宋体" w:eastAsia="宋体" w:cs="宋体"/>
          <w:color w:val="auto"/>
          <w:sz w:val="24"/>
          <w:szCs w:val="24"/>
          <w:highlight w:val="none"/>
        </w:rPr>
        <w:t>的</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（项目名称） </w:t>
      </w:r>
      <w:r>
        <w:rPr>
          <w:rFonts w:hint="eastAsia" w:ascii="宋体" w:hAnsi="宋体" w:eastAsia="宋体" w:cs="宋体"/>
          <w:color w:val="auto"/>
          <w:sz w:val="24"/>
          <w:szCs w:val="24"/>
          <w:highlight w:val="none"/>
        </w:rPr>
        <w:t>采购活动，服务全部由符合政策要求的中小企业承接。相关企业（含联合体中的中小企业、签订分包意向协议的中小企业）的具体情况如下：</w:t>
      </w:r>
    </w:p>
    <w:p w14:paraId="41D1BBAC">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1.</w:t>
      </w:r>
      <w:r>
        <w:rPr>
          <w:rFonts w:hint="eastAsia" w:ascii="宋体" w:hAnsi="宋体" w:eastAsia="宋体" w:cs="宋体"/>
          <w:color w:val="auto"/>
          <w:sz w:val="24"/>
          <w:szCs w:val="24"/>
          <w:highlight w:val="none"/>
          <w:u w:val="single"/>
        </w:rPr>
        <w:t xml:space="preserve">（标的名称） </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（其他未列明行业）</w:t>
      </w:r>
      <w:r>
        <w:rPr>
          <w:rFonts w:hint="eastAsia" w:ascii="宋体" w:hAnsi="宋体" w:eastAsia="宋体" w:cs="宋体"/>
          <w:color w:val="auto"/>
          <w:sz w:val="24"/>
          <w:szCs w:val="24"/>
          <w:highlight w:val="none"/>
        </w:rPr>
        <w:t>；承接企业为</w:t>
      </w:r>
      <w:r>
        <w:rPr>
          <w:rFonts w:hint="eastAsia" w:ascii="宋体" w:hAnsi="宋体" w:eastAsia="宋体" w:cs="宋体"/>
          <w:color w:val="auto"/>
          <w:sz w:val="24"/>
          <w:szCs w:val="24"/>
          <w:highlight w:val="none"/>
          <w:u w:val="single"/>
        </w:rPr>
        <w:t xml:space="preserve"> （企业名称） </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（中型企业、小型企业、微型企业） </w:t>
      </w:r>
      <w:r>
        <w:rPr>
          <w:rFonts w:hint="eastAsia" w:ascii="宋体" w:hAnsi="宋体" w:eastAsia="宋体" w:cs="宋体"/>
          <w:color w:val="auto"/>
          <w:sz w:val="24"/>
          <w:szCs w:val="24"/>
          <w:highlight w:val="none"/>
        </w:rPr>
        <w:t>；</w:t>
      </w:r>
    </w:p>
    <w:p w14:paraId="2DDF30CA">
      <w:pPr>
        <w:spacing w:line="360" w:lineRule="auto"/>
        <w:ind w:firstLine="600" w:firstLineChars="2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 xml:space="preserve"> （标的名称） </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 xml:space="preserve"> （采购文件中明确的所属行业） </w:t>
      </w:r>
      <w:r>
        <w:rPr>
          <w:rFonts w:hint="eastAsia" w:ascii="宋体" w:hAnsi="宋体" w:eastAsia="宋体" w:cs="宋体"/>
          <w:color w:val="auto"/>
          <w:sz w:val="24"/>
          <w:szCs w:val="24"/>
          <w:highlight w:val="none"/>
        </w:rPr>
        <w:t>；承接企业为</w:t>
      </w:r>
      <w:r>
        <w:rPr>
          <w:rFonts w:hint="eastAsia" w:ascii="宋体" w:hAnsi="宋体" w:eastAsia="宋体" w:cs="宋体"/>
          <w:color w:val="auto"/>
          <w:sz w:val="24"/>
          <w:szCs w:val="24"/>
          <w:highlight w:val="none"/>
          <w:u w:val="single"/>
        </w:rPr>
        <w:t xml:space="preserve"> （企业名称） </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 xml:space="preserve"> （中型企业、小型企业、微型企业） </w:t>
      </w:r>
      <w:r>
        <w:rPr>
          <w:rFonts w:hint="eastAsia" w:ascii="宋体" w:hAnsi="宋体" w:eastAsia="宋体" w:cs="宋体"/>
          <w:color w:val="auto"/>
          <w:sz w:val="24"/>
          <w:szCs w:val="24"/>
          <w:highlight w:val="none"/>
        </w:rPr>
        <w:t>；</w:t>
      </w:r>
    </w:p>
    <w:p w14:paraId="4A0585C8">
      <w:pPr>
        <w:spacing w:line="360" w:lineRule="auto"/>
        <w:ind w:firstLine="600" w:firstLineChars="2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2E9C1C01">
      <w:pPr>
        <w:spacing w:line="360" w:lineRule="auto"/>
        <w:ind w:firstLine="600" w:firstLineChars="2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3DF06F24">
      <w:pPr>
        <w:spacing w:line="360" w:lineRule="auto"/>
        <w:ind w:firstLine="600" w:firstLineChars="2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3245DB5C">
      <w:pPr>
        <w:pStyle w:val="52"/>
        <w:spacing w:line="360" w:lineRule="auto"/>
        <w:rPr>
          <w:rFonts w:hint="eastAsia" w:ascii="宋体" w:hAnsi="宋体" w:eastAsia="宋体" w:cs="宋体"/>
          <w:color w:val="auto"/>
          <w:sz w:val="24"/>
          <w:szCs w:val="24"/>
          <w:highlight w:val="none"/>
        </w:rPr>
      </w:pPr>
    </w:p>
    <w:p w14:paraId="6176EA64">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rPr>
        <w:t xml:space="preserve">     企业名称（盖章）：</w:t>
      </w:r>
    </w:p>
    <w:p w14:paraId="689900B6">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日 期：</w:t>
      </w:r>
    </w:p>
    <w:p w14:paraId="50C1221C">
      <w:pPr>
        <w:spacing w:line="360" w:lineRule="auto"/>
        <w:jc w:val="center"/>
        <w:rPr>
          <w:rFonts w:hint="eastAsia" w:ascii="宋体" w:hAnsi="宋体" w:eastAsia="宋体" w:cs="宋体"/>
          <w:color w:val="auto"/>
          <w:sz w:val="24"/>
          <w:szCs w:val="24"/>
          <w:highlight w:val="none"/>
        </w:rPr>
      </w:pPr>
    </w:p>
    <w:p w14:paraId="62686F82">
      <w:pPr>
        <w:spacing w:line="360" w:lineRule="auto"/>
        <w:jc w:val="both"/>
        <w:rPr>
          <w:rFonts w:hint="eastAsia" w:ascii="宋体" w:hAnsi="宋体" w:eastAsia="宋体" w:cs="宋体"/>
          <w:color w:val="auto"/>
          <w:sz w:val="21"/>
          <w:szCs w:val="21"/>
          <w:highlight w:val="none"/>
        </w:rPr>
      </w:pPr>
    </w:p>
    <w:p w14:paraId="79980438">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注：从业人员、营业收入、资产总额填报上一年度数据，无上一年度数据的新成立企业可不填报。</w:t>
      </w:r>
    </w:p>
    <w:p w14:paraId="2C63A3E7">
      <w:pPr>
        <w:widowControl/>
        <w:snapToGrid w:val="0"/>
        <w:spacing w:line="360" w:lineRule="auto"/>
        <w:ind w:firstLine="0" w:firstLineChars="0"/>
        <w:outlineLvl w:val="1"/>
        <w:rPr>
          <w:rFonts w:hint="default" w:ascii="Arial" w:hAnsi="Arial" w:eastAsia="宋体" w:cs="Arial"/>
          <w:b/>
          <w:bCs/>
          <w:color w:val="auto"/>
          <w:kern w:val="2"/>
          <w:sz w:val="32"/>
          <w:szCs w:val="32"/>
          <w:highlight w:val="none"/>
          <w:lang w:val="en-US" w:eastAsia="zh-CN" w:bidi="ar-SA"/>
        </w:rPr>
      </w:pPr>
      <w:r>
        <w:rPr>
          <w:rFonts w:hint="eastAsia" w:ascii="Arial" w:hAnsi="Arial" w:eastAsia="宋体" w:cs="Arial"/>
          <w:b/>
          <w:bCs/>
          <w:color w:val="auto"/>
          <w:kern w:val="2"/>
          <w:sz w:val="32"/>
          <w:szCs w:val="32"/>
          <w:highlight w:val="none"/>
          <w:lang w:val="en-US" w:eastAsia="zh-CN" w:bidi="ar-SA"/>
        </w:rPr>
        <w:br w:type="page"/>
      </w:r>
      <w:bookmarkStart w:id="352" w:name="_Toc15388"/>
      <w:bookmarkStart w:id="353" w:name="_Toc20376"/>
      <w:bookmarkStart w:id="354" w:name="_Toc29043"/>
      <w:r>
        <w:rPr>
          <w:rFonts w:hint="eastAsia" w:ascii="宋体" w:hAnsi="宋体" w:eastAsia="宋体" w:cs="宋体"/>
          <w:b/>
          <w:bCs/>
          <w:color w:val="auto"/>
          <w:kern w:val="2"/>
          <w:sz w:val="32"/>
          <w:szCs w:val="32"/>
          <w:highlight w:val="none"/>
          <w:lang w:val="en-US" w:eastAsia="zh-CN" w:bidi="ar-SA"/>
        </w:rPr>
        <w:t>17.2</w:t>
      </w:r>
      <w:r>
        <w:rPr>
          <w:rFonts w:hint="eastAsia" w:ascii="宋体" w:hAnsi="宋体" w:eastAsia="宋体" w:cs="宋体"/>
          <w:b/>
          <w:bCs/>
          <w:color w:val="auto"/>
          <w:kern w:val="2"/>
          <w:sz w:val="32"/>
          <w:szCs w:val="32"/>
          <w:highlight w:val="none"/>
          <w:lang w:val="zh-CN" w:eastAsia="zh-CN" w:bidi="ar-SA"/>
        </w:rPr>
        <w:t>残疾人福利性单位声明函</w:t>
      </w:r>
      <w:bookmarkEnd w:id="352"/>
      <w:bookmarkEnd w:id="353"/>
      <w:bookmarkEnd w:id="354"/>
    </w:p>
    <w:p w14:paraId="3D655F6C">
      <w:pPr>
        <w:spacing w:line="360" w:lineRule="auto"/>
        <w:ind w:firstLine="0" w:firstLineChars="0"/>
        <w:jc w:val="center"/>
        <w:rPr>
          <w:rFonts w:hint="eastAsia" w:ascii="宋体" w:hAnsi="宋体"/>
          <w:b/>
          <w:color w:val="auto"/>
          <w:sz w:val="36"/>
          <w:szCs w:val="36"/>
          <w:highlight w:val="none"/>
        </w:rPr>
      </w:pPr>
    </w:p>
    <w:p w14:paraId="77971E8A">
      <w:pPr>
        <w:spacing w:line="360" w:lineRule="auto"/>
        <w:ind w:left="0" w:leftChars="0" w:firstLine="0" w:firstLineChars="0"/>
        <w:jc w:val="center"/>
        <w:rPr>
          <w:rFonts w:hint="eastAsia" w:ascii="宋体" w:hAnsi="宋体" w:eastAsia="宋体" w:cs="宋体"/>
          <w:b/>
          <w:color w:val="auto"/>
          <w:sz w:val="32"/>
          <w:szCs w:val="32"/>
          <w:highlight w:val="none"/>
          <w:lang w:val="zh-CN"/>
        </w:rPr>
      </w:pPr>
      <w:r>
        <w:rPr>
          <w:rFonts w:hint="eastAsia" w:ascii="宋体" w:hAnsi="宋体" w:eastAsia="宋体" w:cs="宋体"/>
          <w:b/>
          <w:color w:val="auto"/>
          <w:sz w:val="32"/>
          <w:szCs w:val="32"/>
          <w:highlight w:val="none"/>
          <w:lang w:val="zh-CN"/>
        </w:rPr>
        <w:t>残疾人福利性单位声明函</w:t>
      </w:r>
    </w:p>
    <w:p w14:paraId="31DAE20A">
      <w:pPr>
        <w:spacing w:after="120" w:afterLines="50" w:line="360" w:lineRule="auto"/>
        <w:rPr>
          <w:rFonts w:cs="Arial"/>
          <w:bCs/>
          <w:color w:val="auto"/>
          <w:highlight w:val="none"/>
        </w:rPr>
      </w:pPr>
    </w:p>
    <w:p w14:paraId="6951C128">
      <w:pPr>
        <w:spacing w:line="360" w:lineRule="auto"/>
        <w:ind w:left="6987" w:hanging="6987" w:hangingChars="2900"/>
        <w:rPr>
          <w:rFonts w:cs="Arial"/>
          <w:b/>
          <w:bCs/>
          <w:color w:val="auto"/>
          <w:highlight w:val="none"/>
          <w:lang w:val="zh-CN"/>
        </w:rPr>
      </w:pPr>
      <w:r>
        <w:rPr>
          <w:rFonts w:cs="Arial"/>
          <w:b/>
          <w:bCs/>
          <w:color w:val="auto"/>
          <w:highlight w:val="none"/>
          <w:lang w:val="zh-CN"/>
        </w:rPr>
        <w:t>致：</w:t>
      </w:r>
      <w:r>
        <w:rPr>
          <w:rFonts w:hint="eastAsia" w:cs="Arial"/>
          <w:b/>
          <w:bCs/>
          <w:color w:val="auto"/>
          <w:highlight w:val="none"/>
          <w:lang w:val="zh-CN"/>
        </w:rPr>
        <w:t>青海海际项目咨询管理有限公司</w:t>
      </w:r>
    </w:p>
    <w:p w14:paraId="4A734D3F">
      <w:pPr>
        <w:spacing w:line="360" w:lineRule="auto"/>
        <w:ind w:firstLine="480"/>
        <w:rPr>
          <w:rFonts w:cs="Arial"/>
          <w:color w:val="auto"/>
          <w:highlight w:val="none"/>
        </w:rPr>
      </w:pPr>
    </w:p>
    <w:p w14:paraId="1206C572">
      <w:pPr>
        <w:spacing w:line="360" w:lineRule="auto"/>
        <w:ind w:left="-5" w:leftChars="-2" w:firstLine="480" w:firstLineChars="200"/>
        <w:rPr>
          <w:rFonts w:cs="Arial"/>
          <w:color w:val="auto"/>
          <w:highlight w:val="none"/>
        </w:rPr>
      </w:pPr>
      <w:r>
        <w:rPr>
          <w:rFonts w:cs="Arial"/>
          <w:color w:val="auto"/>
          <w:highlight w:val="none"/>
        </w:rPr>
        <w:t>本单位郑重声明，根据《财政部、民政部、中国残疾人联合会关于促进残疾人就业政府采购政策的通知》（财库〔2017〕141号）的规定，本单位为符合条件的残疾人福利性单位，本单位在职职工人数为</w:t>
      </w:r>
      <w:r>
        <w:rPr>
          <w:rFonts w:cs="Arial"/>
          <w:color w:val="auto"/>
          <w:highlight w:val="none"/>
          <w:u w:val="single"/>
        </w:rPr>
        <w:t xml:space="preserve">       </w:t>
      </w:r>
      <w:r>
        <w:rPr>
          <w:rFonts w:cs="Arial"/>
          <w:color w:val="auto"/>
          <w:highlight w:val="none"/>
        </w:rPr>
        <w:t>人，安置的残疾人人数</w:t>
      </w:r>
      <w:r>
        <w:rPr>
          <w:rFonts w:cs="Arial"/>
          <w:color w:val="auto"/>
          <w:highlight w:val="none"/>
          <w:u w:val="single"/>
        </w:rPr>
        <w:t xml:space="preserve">      </w:t>
      </w:r>
      <w:r>
        <w:rPr>
          <w:rFonts w:cs="Arial"/>
          <w:color w:val="auto"/>
          <w:highlight w:val="none"/>
        </w:rPr>
        <w:t>人。且本单位参加______单位的______项目采购活动提供本单位制造的货物（由本单位承担工程/提供服务），或者提供其他残疾人福利性单位制造的货物（不包括使用非残疾人福利性单位注册商标的货物）。</w:t>
      </w:r>
    </w:p>
    <w:p w14:paraId="56024C03">
      <w:pPr>
        <w:spacing w:line="360" w:lineRule="auto"/>
        <w:ind w:left="-5" w:leftChars="-2" w:firstLine="480" w:firstLineChars="200"/>
        <w:rPr>
          <w:rFonts w:cs="Arial"/>
          <w:color w:val="auto"/>
          <w:highlight w:val="none"/>
        </w:rPr>
      </w:pPr>
      <w:r>
        <w:rPr>
          <w:rFonts w:cs="Arial"/>
          <w:color w:val="auto"/>
          <w:highlight w:val="none"/>
        </w:rPr>
        <w:t>本单位对上述声明的真实性负责。如有虚假，将依法承担相应责任。</w:t>
      </w:r>
    </w:p>
    <w:p w14:paraId="2D792868">
      <w:pPr>
        <w:spacing w:line="360" w:lineRule="auto"/>
        <w:ind w:left="-5" w:leftChars="-2" w:firstLine="480" w:firstLineChars="200"/>
        <w:rPr>
          <w:rFonts w:cs="Arial"/>
          <w:color w:val="auto"/>
          <w:highlight w:val="none"/>
        </w:rPr>
      </w:pPr>
    </w:p>
    <w:p w14:paraId="574188CB">
      <w:pPr>
        <w:spacing w:line="360" w:lineRule="auto"/>
        <w:ind w:left="-5" w:leftChars="-2" w:firstLine="480" w:firstLineChars="200"/>
        <w:rPr>
          <w:rFonts w:cs="Arial"/>
          <w:color w:val="auto"/>
          <w:highlight w:val="none"/>
        </w:rPr>
      </w:pPr>
      <w:r>
        <w:rPr>
          <w:rFonts w:cs="Arial"/>
          <w:color w:val="auto"/>
          <w:highlight w:val="none"/>
        </w:rPr>
        <w:t>注：若无此项内容，可不提供此函。</w:t>
      </w:r>
    </w:p>
    <w:p w14:paraId="214B95CD">
      <w:pPr>
        <w:spacing w:line="360" w:lineRule="auto"/>
        <w:ind w:firstLine="480"/>
        <w:rPr>
          <w:rFonts w:cs="Arial"/>
          <w:color w:val="auto"/>
          <w:highlight w:val="none"/>
        </w:rPr>
      </w:pPr>
    </w:p>
    <w:p w14:paraId="65B696F9">
      <w:pPr>
        <w:spacing w:line="360" w:lineRule="auto"/>
        <w:ind w:firstLine="480"/>
        <w:rPr>
          <w:rFonts w:cs="Arial"/>
          <w:color w:val="auto"/>
          <w:highlight w:val="none"/>
        </w:rPr>
      </w:pPr>
    </w:p>
    <w:p w14:paraId="0DFEBD8A">
      <w:pPr>
        <w:spacing w:line="360" w:lineRule="auto"/>
        <w:ind w:firstLine="480"/>
        <w:rPr>
          <w:rFonts w:cs="Arial"/>
          <w:color w:val="auto"/>
          <w:highlight w:val="none"/>
        </w:rPr>
      </w:pPr>
    </w:p>
    <w:p w14:paraId="12BE88AB">
      <w:pPr>
        <w:spacing w:line="360" w:lineRule="auto"/>
        <w:ind w:firstLine="480"/>
        <w:rPr>
          <w:rFonts w:cs="Arial"/>
          <w:color w:val="auto"/>
          <w:highlight w:val="none"/>
        </w:rPr>
      </w:pPr>
    </w:p>
    <w:p w14:paraId="4FC914D6">
      <w:pPr>
        <w:spacing w:line="360" w:lineRule="auto"/>
        <w:ind w:firstLine="480"/>
        <w:rPr>
          <w:rFonts w:cs="Arial"/>
          <w:color w:val="auto"/>
          <w:highlight w:val="none"/>
        </w:rPr>
      </w:pPr>
    </w:p>
    <w:p w14:paraId="5B8BBC85">
      <w:pPr>
        <w:spacing w:line="360" w:lineRule="auto"/>
        <w:ind w:firstLine="480"/>
        <w:rPr>
          <w:rFonts w:cs="Arial"/>
          <w:color w:val="auto"/>
          <w:highlight w:val="none"/>
        </w:rPr>
      </w:pPr>
    </w:p>
    <w:p w14:paraId="08C5133A">
      <w:pPr>
        <w:spacing w:line="360" w:lineRule="auto"/>
        <w:ind w:firstLine="480"/>
        <w:rPr>
          <w:rFonts w:cs="Arial"/>
          <w:color w:val="auto"/>
          <w:highlight w:val="none"/>
        </w:rPr>
      </w:pPr>
    </w:p>
    <w:p w14:paraId="19CD8AE7">
      <w:pPr>
        <w:autoSpaceDE w:val="0"/>
        <w:autoSpaceDN w:val="0"/>
        <w:spacing w:line="360" w:lineRule="auto"/>
        <w:jc w:val="right"/>
        <w:rPr>
          <w:rFonts w:cs="Arial"/>
          <w:b/>
          <w:bCs w:val="0"/>
          <w:color w:val="auto"/>
          <w:szCs w:val="28"/>
          <w:highlight w:val="none"/>
        </w:rPr>
      </w:pPr>
      <w:r>
        <w:rPr>
          <w:rFonts w:cs="Arial"/>
          <w:b/>
          <w:color w:val="auto"/>
          <w:highlight w:val="none"/>
        </w:rPr>
        <w:t xml:space="preserve">                   </w:t>
      </w:r>
      <w:r>
        <w:rPr>
          <w:rFonts w:cs="Arial"/>
          <w:b w:val="0"/>
          <w:bCs/>
          <w:color w:val="auto"/>
          <w:highlight w:val="none"/>
        </w:rPr>
        <w:t xml:space="preserve"> </w:t>
      </w:r>
      <w:r>
        <w:rPr>
          <w:rFonts w:cs="Arial"/>
          <w:b/>
          <w:bCs w:val="0"/>
          <w:color w:val="auto"/>
          <w:highlight w:val="none"/>
        </w:rPr>
        <w:t xml:space="preserve"> </w:t>
      </w:r>
      <w:r>
        <w:rPr>
          <w:rFonts w:cs="Arial"/>
          <w:b/>
          <w:bCs w:val="0"/>
          <w:color w:val="auto"/>
          <w:szCs w:val="28"/>
          <w:highlight w:val="none"/>
        </w:rPr>
        <w:t>企业名称：            （公章）</w:t>
      </w:r>
    </w:p>
    <w:p w14:paraId="6C647AF1">
      <w:pPr>
        <w:autoSpaceDE w:val="0"/>
        <w:autoSpaceDN w:val="0"/>
        <w:spacing w:line="360" w:lineRule="auto"/>
        <w:jc w:val="right"/>
        <w:rPr>
          <w:rFonts w:cs="Arial"/>
          <w:b/>
          <w:bCs w:val="0"/>
          <w:color w:val="auto"/>
          <w:szCs w:val="28"/>
          <w:highlight w:val="none"/>
        </w:rPr>
      </w:pPr>
      <w:r>
        <w:rPr>
          <w:rFonts w:cs="Arial"/>
          <w:b/>
          <w:bCs w:val="0"/>
          <w:color w:val="auto"/>
          <w:szCs w:val="28"/>
          <w:highlight w:val="none"/>
        </w:rPr>
        <w:t xml:space="preserve">       企业法定代表人：         （签字或盖章）</w:t>
      </w:r>
    </w:p>
    <w:p w14:paraId="0BAF39B9">
      <w:pPr>
        <w:wordWrap w:val="0"/>
        <w:autoSpaceDE w:val="0"/>
        <w:autoSpaceDN w:val="0"/>
        <w:spacing w:line="360" w:lineRule="auto"/>
        <w:jc w:val="right"/>
        <w:rPr>
          <w:rFonts w:cs="Arial"/>
          <w:b/>
          <w:bCs w:val="0"/>
          <w:color w:val="auto"/>
          <w:szCs w:val="28"/>
          <w:highlight w:val="none"/>
        </w:rPr>
      </w:pPr>
      <w:r>
        <w:rPr>
          <w:rFonts w:cs="Arial"/>
          <w:b/>
          <w:bCs w:val="0"/>
          <w:color w:val="auto"/>
          <w:szCs w:val="28"/>
          <w:highlight w:val="none"/>
        </w:rPr>
        <w:t xml:space="preserve">              年   </w:t>
      </w:r>
      <w:r>
        <w:rPr>
          <w:rFonts w:hint="eastAsia" w:cs="Arial"/>
          <w:b/>
          <w:bCs w:val="0"/>
          <w:color w:val="auto"/>
          <w:szCs w:val="28"/>
          <w:highlight w:val="none"/>
        </w:rPr>
        <w:t xml:space="preserve">  </w:t>
      </w:r>
      <w:r>
        <w:rPr>
          <w:rFonts w:cs="Arial"/>
          <w:b/>
          <w:bCs w:val="0"/>
          <w:color w:val="auto"/>
          <w:szCs w:val="28"/>
          <w:highlight w:val="none"/>
        </w:rPr>
        <w:t>月</w:t>
      </w:r>
      <w:r>
        <w:rPr>
          <w:rFonts w:hint="eastAsia" w:cs="Arial"/>
          <w:b/>
          <w:bCs w:val="0"/>
          <w:color w:val="auto"/>
          <w:szCs w:val="28"/>
          <w:highlight w:val="none"/>
        </w:rPr>
        <w:t xml:space="preserve">   </w:t>
      </w:r>
      <w:r>
        <w:rPr>
          <w:rFonts w:cs="Arial"/>
          <w:b/>
          <w:bCs w:val="0"/>
          <w:color w:val="auto"/>
          <w:szCs w:val="28"/>
          <w:highlight w:val="none"/>
        </w:rPr>
        <w:t xml:space="preserve">  日</w:t>
      </w:r>
    </w:p>
    <w:p w14:paraId="42955BDF">
      <w:pPr>
        <w:spacing w:line="360" w:lineRule="auto"/>
        <w:jc w:val="both"/>
        <w:rPr>
          <w:rFonts w:hint="eastAsia" w:ascii="宋体" w:hAnsi="宋体" w:cs="宋体"/>
          <w:b/>
          <w:color w:val="auto"/>
          <w:sz w:val="36"/>
          <w:szCs w:val="36"/>
          <w:highlight w:val="none"/>
        </w:rPr>
      </w:pPr>
      <w:r>
        <w:rPr>
          <w:rFonts w:ascii="宋体"/>
          <w:b/>
          <w:color w:val="auto"/>
          <w:sz w:val="28"/>
          <w:szCs w:val="28"/>
          <w:highlight w:val="none"/>
        </w:rPr>
        <w:br w:type="page"/>
      </w:r>
      <w:r>
        <w:rPr>
          <w:rFonts w:hint="eastAsia" w:ascii="宋体" w:hAnsi="宋体" w:eastAsia="宋体" w:cs="宋体"/>
          <w:b/>
          <w:bCs/>
          <w:color w:val="auto"/>
          <w:kern w:val="2"/>
          <w:sz w:val="32"/>
          <w:szCs w:val="32"/>
          <w:highlight w:val="none"/>
          <w:lang w:val="en-US" w:eastAsia="zh-CN" w:bidi="ar-SA"/>
        </w:rPr>
        <w:t>17.3</w:t>
      </w:r>
      <w:r>
        <w:rPr>
          <w:rFonts w:hint="eastAsia" w:ascii="宋体" w:hAnsi="宋体" w:eastAsia="宋体" w:cs="宋体"/>
          <w:b/>
          <w:bCs/>
          <w:color w:val="auto"/>
          <w:kern w:val="2"/>
          <w:sz w:val="32"/>
          <w:szCs w:val="32"/>
          <w:highlight w:val="none"/>
          <w:lang w:val="zh-CN" w:eastAsia="zh-CN" w:bidi="ar-SA"/>
        </w:rPr>
        <w:t>监狱企业证明文件</w:t>
      </w:r>
    </w:p>
    <w:p w14:paraId="372560B9">
      <w:pPr>
        <w:spacing w:line="360" w:lineRule="auto"/>
        <w:ind w:firstLine="723" w:firstLineChars="200"/>
        <w:jc w:val="center"/>
        <w:rPr>
          <w:rFonts w:hint="eastAsia" w:ascii="宋体" w:hAnsi="宋体" w:cs="宋体"/>
          <w:b/>
          <w:color w:val="auto"/>
          <w:sz w:val="36"/>
          <w:szCs w:val="36"/>
          <w:highlight w:val="none"/>
        </w:rPr>
      </w:pPr>
    </w:p>
    <w:p w14:paraId="599A2041">
      <w:pPr>
        <w:spacing w:line="360" w:lineRule="auto"/>
        <w:ind w:firstLine="723" w:firstLineChars="200"/>
        <w:jc w:val="center"/>
        <w:rPr>
          <w:rFonts w:hint="eastAsia" w:ascii="宋体" w:hAnsi="宋体" w:cs="宋体"/>
          <w:b/>
          <w:color w:val="auto"/>
          <w:sz w:val="36"/>
          <w:szCs w:val="36"/>
          <w:highlight w:val="none"/>
        </w:rPr>
      </w:pPr>
    </w:p>
    <w:p w14:paraId="21C4FD43">
      <w:pPr>
        <w:spacing w:line="360" w:lineRule="auto"/>
        <w:ind w:left="0" w:leftChars="0" w:firstLine="0" w:firstLineChars="0"/>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监狱企业证明文件</w:t>
      </w:r>
    </w:p>
    <w:p w14:paraId="0FF20A57">
      <w:pPr>
        <w:pStyle w:val="52"/>
        <w:spacing w:line="360" w:lineRule="auto"/>
        <w:rPr>
          <w:rFonts w:hint="eastAsia"/>
          <w:color w:val="auto"/>
          <w:highlight w:val="none"/>
        </w:rPr>
      </w:pPr>
    </w:p>
    <w:p w14:paraId="710A5327">
      <w:pPr>
        <w:spacing w:line="360" w:lineRule="auto"/>
        <w:ind w:firstLine="480" w:firstLineChars="200"/>
        <w:rPr>
          <w:rFonts w:ascii="宋体" w:hAnsi="宋体"/>
          <w:color w:val="auto"/>
          <w:highlight w:val="none"/>
        </w:rPr>
      </w:pPr>
      <w:r>
        <w:rPr>
          <w:rFonts w:hint="eastAsia" w:ascii="宋体" w:hAnsi="宋体"/>
          <w:color w:val="auto"/>
          <w:highlight w:val="none"/>
        </w:rPr>
        <w:t>投标供应商如属于监狱企业，须按照《财政部司法部关于政府采购支持监狱企业发展有关问题的通知》（财库[2014]68号）提供相关证明文件</w:t>
      </w:r>
      <w:r>
        <w:rPr>
          <w:rFonts w:hint="eastAsia" w:ascii="宋体" w:hAnsi="宋体" w:eastAsia="宋体" w:cs="仿宋_GB2312"/>
          <w:color w:val="auto"/>
          <w:highlight w:val="none"/>
        </w:rPr>
        <w:t>（复印件）</w:t>
      </w:r>
      <w:r>
        <w:rPr>
          <w:rFonts w:hint="eastAsia" w:ascii="宋体" w:hAnsi="宋体"/>
          <w:color w:val="auto"/>
          <w:highlight w:val="none"/>
        </w:rPr>
        <w:t>。</w:t>
      </w:r>
    </w:p>
    <w:p w14:paraId="40D54237">
      <w:pPr>
        <w:autoSpaceDE w:val="0"/>
        <w:autoSpaceDN w:val="0"/>
        <w:spacing w:line="360" w:lineRule="auto"/>
        <w:ind w:firstLine="482" w:firstLineChars="200"/>
        <w:jc w:val="right"/>
        <w:rPr>
          <w:rFonts w:hint="eastAsia" w:ascii="宋体" w:hAnsi="宋体" w:cs="宋体"/>
          <w:b/>
          <w:bCs/>
          <w:color w:val="auto"/>
          <w:highlight w:val="none"/>
          <w:lang w:val="zh-CN"/>
        </w:rPr>
      </w:pPr>
    </w:p>
    <w:p w14:paraId="3349BC1B">
      <w:pPr>
        <w:autoSpaceDE w:val="0"/>
        <w:autoSpaceDN w:val="0"/>
        <w:spacing w:line="360" w:lineRule="auto"/>
        <w:ind w:firstLine="482" w:firstLineChars="200"/>
        <w:jc w:val="right"/>
        <w:rPr>
          <w:rFonts w:hint="eastAsia" w:ascii="宋体" w:hAnsi="宋体" w:cs="宋体"/>
          <w:b/>
          <w:bCs/>
          <w:color w:val="auto"/>
          <w:highlight w:val="none"/>
          <w:lang w:val="zh-CN"/>
        </w:rPr>
      </w:pPr>
    </w:p>
    <w:p w14:paraId="71DE83A7">
      <w:pPr>
        <w:autoSpaceDE w:val="0"/>
        <w:autoSpaceDN w:val="0"/>
        <w:spacing w:line="360" w:lineRule="auto"/>
        <w:ind w:firstLine="482" w:firstLineChars="200"/>
        <w:jc w:val="right"/>
        <w:rPr>
          <w:rFonts w:hint="eastAsia" w:ascii="宋体" w:hAnsi="宋体" w:cs="宋体"/>
          <w:b/>
          <w:bCs/>
          <w:color w:val="auto"/>
          <w:highlight w:val="none"/>
          <w:lang w:val="zh-CN"/>
        </w:rPr>
      </w:pPr>
    </w:p>
    <w:p w14:paraId="0878B5C0">
      <w:pPr>
        <w:autoSpaceDE w:val="0"/>
        <w:autoSpaceDN w:val="0"/>
        <w:spacing w:line="360" w:lineRule="auto"/>
        <w:ind w:firstLine="482" w:firstLineChars="200"/>
        <w:jc w:val="right"/>
        <w:rPr>
          <w:rFonts w:hint="eastAsia" w:ascii="宋体" w:hAnsi="宋体" w:cs="宋体"/>
          <w:b/>
          <w:bCs/>
          <w:color w:val="auto"/>
          <w:highlight w:val="none"/>
          <w:lang w:val="zh-CN"/>
        </w:rPr>
      </w:pPr>
    </w:p>
    <w:p w14:paraId="397A59ED">
      <w:pPr>
        <w:autoSpaceDE w:val="0"/>
        <w:autoSpaceDN w:val="0"/>
        <w:spacing w:line="360" w:lineRule="auto"/>
        <w:ind w:firstLine="482" w:firstLineChars="200"/>
        <w:jc w:val="right"/>
        <w:rPr>
          <w:rFonts w:hint="eastAsia" w:ascii="宋体" w:hAnsi="宋体" w:cs="宋体"/>
          <w:b/>
          <w:bCs/>
          <w:color w:val="auto"/>
          <w:highlight w:val="none"/>
          <w:lang w:val="zh-CN"/>
        </w:rPr>
      </w:pPr>
    </w:p>
    <w:p w14:paraId="557BC5E9">
      <w:pPr>
        <w:autoSpaceDE w:val="0"/>
        <w:autoSpaceDN w:val="0"/>
        <w:spacing w:line="360" w:lineRule="auto"/>
        <w:ind w:firstLine="482" w:firstLineChars="200"/>
        <w:jc w:val="right"/>
        <w:rPr>
          <w:rFonts w:hint="eastAsia" w:ascii="宋体" w:hAnsi="宋体" w:cs="宋体"/>
          <w:b/>
          <w:bCs/>
          <w:color w:val="auto"/>
          <w:highlight w:val="none"/>
          <w:lang w:val="zh-CN"/>
        </w:rPr>
      </w:pPr>
    </w:p>
    <w:p w14:paraId="53A7DD9A">
      <w:pPr>
        <w:autoSpaceDE w:val="0"/>
        <w:autoSpaceDN w:val="0"/>
        <w:spacing w:line="360" w:lineRule="auto"/>
        <w:ind w:firstLine="482" w:firstLineChars="200"/>
        <w:jc w:val="right"/>
        <w:rPr>
          <w:rFonts w:hint="eastAsia" w:ascii="宋体" w:hAnsi="宋体" w:cs="宋体"/>
          <w:b/>
          <w:bCs/>
          <w:color w:val="auto"/>
          <w:highlight w:val="none"/>
          <w:lang w:val="zh-CN"/>
        </w:rPr>
      </w:pPr>
    </w:p>
    <w:p w14:paraId="4F2D233E">
      <w:pPr>
        <w:autoSpaceDE w:val="0"/>
        <w:autoSpaceDN w:val="0"/>
        <w:spacing w:line="360" w:lineRule="auto"/>
        <w:ind w:firstLine="482" w:firstLineChars="200"/>
        <w:jc w:val="right"/>
        <w:rPr>
          <w:rFonts w:hint="eastAsia" w:ascii="宋体" w:hAnsi="宋体" w:cs="宋体"/>
          <w:b/>
          <w:bCs/>
          <w:color w:val="auto"/>
          <w:highlight w:val="none"/>
          <w:lang w:val="zh-CN"/>
        </w:rPr>
      </w:pPr>
    </w:p>
    <w:p w14:paraId="5B88C6E2">
      <w:pPr>
        <w:autoSpaceDE w:val="0"/>
        <w:autoSpaceDN w:val="0"/>
        <w:spacing w:line="360" w:lineRule="auto"/>
        <w:ind w:firstLine="482" w:firstLineChars="200"/>
        <w:jc w:val="right"/>
        <w:rPr>
          <w:rFonts w:hint="eastAsia" w:ascii="宋体" w:hAnsi="宋体" w:cs="宋体"/>
          <w:b/>
          <w:bCs/>
          <w:color w:val="auto"/>
          <w:highlight w:val="none"/>
          <w:lang w:val="zh-CN"/>
        </w:rPr>
      </w:pPr>
    </w:p>
    <w:p w14:paraId="7F8AA79B">
      <w:pPr>
        <w:autoSpaceDE w:val="0"/>
        <w:autoSpaceDN w:val="0"/>
        <w:spacing w:line="360" w:lineRule="auto"/>
        <w:ind w:firstLine="482" w:firstLineChars="200"/>
        <w:jc w:val="right"/>
        <w:rPr>
          <w:rFonts w:hint="eastAsia" w:ascii="宋体" w:hAnsi="宋体" w:cs="宋体"/>
          <w:b/>
          <w:bCs/>
          <w:color w:val="auto"/>
          <w:highlight w:val="none"/>
          <w:lang w:val="zh-CN"/>
        </w:rPr>
      </w:pPr>
    </w:p>
    <w:p w14:paraId="3013A244">
      <w:pPr>
        <w:autoSpaceDE w:val="0"/>
        <w:autoSpaceDN w:val="0"/>
        <w:spacing w:line="360" w:lineRule="auto"/>
        <w:ind w:firstLine="482" w:firstLineChars="200"/>
        <w:jc w:val="right"/>
        <w:rPr>
          <w:rFonts w:ascii="宋体" w:cs="宋体"/>
          <w:b/>
          <w:bCs/>
          <w:color w:val="auto"/>
          <w:highlight w:val="none"/>
          <w:lang w:val="zh-CN"/>
        </w:rPr>
      </w:pPr>
      <w:r>
        <w:rPr>
          <w:rFonts w:hint="eastAsia" w:ascii="宋体" w:hAnsi="宋体" w:cs="宋体"/>
          <w:b/>
          <w:bCs/>
          <w:color w:val="auto"/>
          <w:highlight w:val="none"/>
          <w:lang w:val="zh-CN"/>
        </w:rPr>
        <w:t>投标供应商：</w:t>
      </w:r>
      <w:r>
        <w:rPr>
          <w:rFonts w:hint="eastAsia" w:ascii="宋体" w:hAnsi="宋体" w:cs="宋体"/>
          <w:b/>
          <w:bCs/>
          <w:color w:val="auto"/>
          <w:highlight w:val="none"/>
          <w:lang w:val="en-US" w:eastAsia="zh-CN"/>
        </w:rPr>
        <w:t xml:space="preserve">                        </w:t>
      </w:r>
      <w:r>
        <w:rPr>
          <w:rFonts w:hint="eastAsia" w:ascii="宋体" w:hAnsi="宋体" w:cs="宋体"/>
          <w:b/>
          <w:bCs/>
          <w:color w:val="auto"/>
          <w:highlight w:val="none"/>
          <w:lang w:val="zh-CN"/>
        </w:rPr>
        <w:t xml:space="preserve">  （公章）</w:t>
      </w:r>
    </w:p>
    <w:p w14:paraId="7C19B444">
      <w:pPr>
        <w:autoSpaceDE w:val="0"/>
        <w:autoSpaceDN w:val="0"/>
        <w:spacing w:line="360" w:lineRule="auto"/>
        <w:ind w:firstLine="482" w:firstLineChars="200"/>
        <w:jc w:val="right"/>
        <w:rPr>
          <w:rFonts w:ascii="宋体" w:cs="宋体"/>
          <w:b/>
          <w:bCs/>
          <w:color w:val="auto"/>
          <w:highlight w:val="none"/>
          <w:lang w:val="zh-CN"/>
        </w:rPr>
      </w:pPr>
      <w:r>
        <w:rPr>
          <w:rFonts w:hint="eastAsia" w:ascii="宋体" w:hAnsi="宋体" w:cs="宋体"/>
          <w:b/>
          <w:bCs/>
          <w:color w:val="auto"/>
          <w:highlight w:val="none"/>
          <w:lang w:val="zh-CN"/>
        </w:rPr>
        <w:t>法定代表人或委托代理人：</w:t>
      </w:r>
      <w:r>
        <w:rPr>
          <w:rFonts w:hint="eastAsia" w:ascii="宋体" w:hAnsi="宋体" w:cs="宋体"/>
          <w:b/>
          <w:bCs/>
          <w:color w:val="auto"/>
          <w:highlight w:val="none"/>
          <w:lang w:val="en-US" w:eastAsia="zh-CN"/>
        </w:rPr>
        <w:t xml:space="preserve">      </w:t>
      </w:r>
      <w:r>
        <w:rPr>
          <w:rFonts w:hint="eastAsia" w:ascii="宋体" w:hAnsi="宋体" w:cs="宋体"/>
          <w:b/>
          <w:bCs/>
          <w:color w:val="auto"/>
          <w:highlight w:val="none"/>
          <w:lang w:val="zh-CN"/>
        </w:rPr>
        <w:t xml:space="preserve"> </w:t>
      </w:r>
      <w:r>
        <w:rPr>
          <w:rFonts w:hint="eastAsia" w:ascii="宋体" w:hAnsi="宋体" w:cs="宋体"/>
          <w:b/>
          <w:bCs/>
          <w:color w:val="auto"/>
          <w:highlight w:val="none"/>
          <w:lang w:val="en-US" w:eastAsia="zh-CN"/>
        </w:rPr>
        <w:t xml:space="preserve"> </w:t>
      </w:r>
      <w:r>
        <w:rPr>
          <w:rFonts w:hint="eastAsia" w:ascii="宋体" w:hAnsi="宋体" w:cs="宋体"/>
          <w:b/>
          <w:bCs/>
          <w:color w:val="auto"/>
          <w:highlight w:val="none"/>
          <w:lang w:val="zh-CN"/>
        </w:rPr>
        <w:t>（签字或盖章）</w:t>
      </w:r>
    </w:p>
    <w:p w14:paraId="21D5421D">
      <w:pPr>
        <w:autoSpaceDE w:val="0"/>
        <w:autoSpaceDN w:val="0"/>
        <w:spacing w:line="360" w:lineRule="auto"/>
        <w:ind w:firstLine="482" w:firstLineChars="200"/>
        <w:jc w:val="center"/>
        <w:rPr>
          <w:rFonts w:ascii="宋体" w:cs="宋体"/>
          <w:color w:val="auto"/>
          <w:highlight w:val="none"/>
          <w:lang w:val="zh-CN"/>
        </w:rPr>
      </w:pPr>
      <w:r>
        <w:rPr>
          <w:rFonts w:hint="eastAsia" w:ascii="宋体" w:hAnsi="宋体" w:cs="宋体"/>
          <w:b/>
          <w:bCs/>
          <w:color w:val="auto"/>
          <w:highlight w:val="none"/>
          <w:lang w:val="zh-CN"/>
        </w:rPr>
        <w:t>年  月  日</w:t>
      </w:r>
    </w:p>
    <w:p w14:paraId="437153DC">
      <w:pPr>
        <w:spacing w:line="360" w:lineRule="auto"/>
        <w:ind w:firstLine="482" w:firstLineChars="200"/>
        <w:rPr>
          <w:rFonts w:hint="eastAsia" w:ascii="宋体" w:hAnsi="宋体" w:eastAsia="宋体" w:cs="宋体"/>
          <w:b/>
          <w:color w:val="auto"/>
          <w:highlight w:val="none"/>
          <w:lang w:val="en-US" w:eastAsia="zh-CN"/>
        </w:rPr>
      </w:pPr>
    </w:p>
    <w:p w14:paraId="00705BA3">
      <w:pPr>
        <w:spacing w:line="360" w:lineRule="auto"/>
        <w:ind w:firstLine="482" w:firstLineChars="200"/>
        <w:rPr>
          <w:rFonts w:hint="eastAsia" w:ascii="宋体" w:hAnsi="宋体" w:eastAsia="宋体" w:cs="宋体"/>
          <w:b/>
          <w:color w:val="auto"/>
          <w:highlight w:val="none"/>
          <w:lang w:val="en-US" w:eastAsia="zh-CN"/>
        </w:rPr>
      </w:pPr>
    </w:p>
    <w:p w14:paraId="47BFBBAE">
      <w:pPr>
        <w:spacing w:line="360" w:lineRule="auto"/>
        <w:ind w:firstLine="482" w:firstLineChars="200"/>
        <w:rPr>
          <w:rFonts w:hint="eastAsia" w:ascii="宋体" w:hAnsi="宋体" w:eastAsia="宋体" w:cs="宋体"/>
          <w:b/>
          <w:color w:val="auto"/>
          <w:highlight w:val="none"/>
          <w:lang w:val="en-US" w:eastAsia="zh-CN"/>
        </w:rPr>
      </w:pPr>
    </w:p>
    <w:p w14:paraId="01106128">
      <w:pPr>
        <w:spacing w:line="360" w:lineRule="auto"/>
        <w:ind w:firstLine="482" w:firstLineChars="200"/>
        <w:rPr>
          <w:rFonts w:hint="eastAsia" w:ascii="宋体" w:hAnsi="宋体" w:eastAsia="宋体" w:cs="宋体"/>
          <w:b/>
          <w:color w:val="auto"/>
          <w:highlight w:val="none"/>
          <w:lang w:val="en-US" w:eastAsia="zh-CN"/>
        </w:rPr>
      </w:pPr>
    </w:p>
    <w:p w14:paraId="58805A3D">
      <w:pPr>
        <w:spacing w:line="360" w:lineRule="auto"/>
        <w:ind w:firstLine="482" w:firstLineChars="200"/>
        <w:rPr>
          <w:rFonts w:ascii="宋体" w:hAnsi="宋体" w:eastAsia="宋体" w:cs="宋体"/>
          <w:b/>
          <w:color w:val="auto"/>
          <w:highlight w:val="none"/>
        </w:rPr>
      </w:pPr>
      <w:r>
        <w:rPr>
          <w:rFonts w:hint="eastAsia" w:ascii="宋体" w:hAnsi="宋体" w:eastAsia="宋体" w:cs="宋体"/>
          <w:b/>
          <w:color w:val="auto"/>
          <w:highlight w:val="none"/>
          <w:lang w:val="en-US" w:eastAsia="zh-CN"/>
        </w:rPr>
        <w:t>说明</w:t>
      </w:r>
      <w:r>
        <w:rPr>
          <w:rFonts w:ascii="宋体" w:hAnsi="宋体" w:eastAsia="宋体" w:cs="宋体"/>
          <w:b/>
          <w:color w:val="auto"/>
          <w:highlight w:val="none"/>
        </w:rPr>
        <w:t>：</w:t>
      </w:r>
      <w:r>
        <w:rPr>
          <w:rFonts w:hint="eastAsia" w:ascii="宋体" w:hAnsi="宋体" w:eastAsia="宋体" w:cs="宋体"/>
          <w:b/>
          <w:color w:val="auto"/>
          <w:highlight w:val="none"/>
          <w:lang w:val="en-US" w:eastAsia="zh-CN"/>
        </w:rPr>
        <w:t>供应商</w:t>
      </w:r>
      <w:r>
        <w:rPr>
          <w:rFonts w:ascii="宋体" w:hAnsi="宋体" w:eastAsia="宋体" w:cs="宋体"/>
          <w:b/>
          <w:color w:val="auto"/>
          <w:highlight w:val="none"/>
        </w:rPr>
        <w:t>参加本次采购活动时，提供虚假监狱企业声明函的，以提供虚假材料谋取</w:t>
      </w:r>
      <w:r>
        <w:rPr>
          <w:rFonts w:hint="eastAsia" w:ascii="宋体" w:hAnsi="宋体" w:eastAsia="宋体" w:cs="宋体"/>
          <w:b/>
          <w:color w:val="auto"/>
          <w:highlight w:val="none"/>
          <w:lang w:val="en-US" w:eastAsia="zh-CN"/>
        </w:rPr>
        <w:t>中标</w:t>
      </w:r>
      <w:r>
        <w:rPr>
          <w:rFonts w:ascii="宋体" w:hAnsi="宋体" w:eastAsia="宋体" w:cs="宋体"/>
          <w:b/>
          <w:color w:val="auto"/>
          <w:highlight w:val="none"/>
        </w:rPr>
        <w:t>处理。</w:t>
      </w:r>
    </w:p>
    <w:p w14:paraId="478CFB70">
      <w:pPr>
        <w:widowControl/>
        <w:snapToGrid w:val="0"/>
        <w:spacing w:line="360" w:lineRule="auto"/>
        <w:ind w:firstLine="482" w:firstLineChars="200"/>
        <w:rPr>
          <w:rFonts w:hint="eastAsia" w:ascii="宋体"/>
          <w:b/>
          <w:color w:val="auto"/>
          <w:sz w:val="28"/>
          <w:szCs w:val="28"/>
          <w:highlight w:val="none"/>
          <w:lang w:val="en-US" w:eastAsia="zh-CN"/>
        </w:rPr>
      </w:pPr>
      <w:r>
        <w:rPr>
          <w:rFonts w:hint="eastAsia" w:ascii="宋体" w:hAnsi="宋体" w:eastAsia="宋体" w:cs="宋体"/>
          <w:b/>
          <w:color w:val="auto"/>
          <w:highlight w:val="none"/>
          <w:lang w:val="en-US" w:eastAsia="zh-CN"/>
        </w:rPr>
        <w:t>注：</w:t>
      </w:r>
      <w:r>
        <w:rPr>
          <w:rFonts w:hint="eastAsia" w:ascii="宋体" w:hAnsi="宋体" w:cs="宋体"/>
          <w:b/>
          <w:color w:val="auto"/>
          <w:highlight w:val="none"/>
          <w:lang w:val="en-US" w:eastAsia="zh-CN"/>
        </w:rPr>
        <w:t>供应商</w:t>
      </w:r>
      <w:r>
        <w:rPr>
          <w:rFonts w:hint="eastAsia" w:ascii="宋体" w:hAnsi="宋体" w:eastAsia="宋体" w:cs="宋体"/>
          <w:b/>
          <w:color w:val="auto"/>
          <w:highlight w:val="none"/>
          <w:lang w:val="en-US" w:eastAsia="zh-CN"/>
        </w:rPr>
        <w:t>为非监狱企业的，可不提供此函。</w:t>
      </w:r>
    </w:p>
    <w:p w14:paraId="114EE452">
      <w:pPr>
        <w:pStyle w:val="4"/>
        <w:numPr>
          <w:ilvl w:val="0"/>
          <w:numId w:val="0"/>
        </w:numPr>
        <w:tabs>
          <w:tab w:val="left" w:pos="425"/>
        </w:tabs>
        <w:spacing w:line="360" w:lineRule="auto"/>
        <w:ind w:leftChars="200"/>
        <w:rPr>
          <w:rFonts w:hint="eastAsia" w:ascii="宋体" w:hAnsi="宋体"/>
          <w:b/>
          <w:color w:val="auto"/>
          <w:sz w:val="36"/>
          <w:szCs w:val="36"/>
          <w:highlight w:val="none"/>
        </w:rPr>
      </w:pPr>
      <w:bookmarkStart w:id="355" w:name="_Toc12122"/>
      <w:r>
        <w:rPr>
          <w:rFonts w:hint="eastAsia" w:ascii="宋体"/>
          <w:b/>
          <w:color w:val="auto"/>
          <w:sz w:val="32"/>
          <w:szCs w:val="32"/>
          <w:highlight w:val="none"/>
          <w:lang w:val="en-US" w:eastAsia="zh-CN"/>
        </w:rPr>
        <w:t>18.</w:t>
      </w:r>
      <w:bookmarkStart w:id="356" w:name="_Toc9689"/>
      <w:r>
        <w:rPr>
          <w:rFonts w:hint="eastAsia" w:ascii="宋体" w:hAnsi="Times New Roman" w:eastAsia="宋体" w:cs="Times New Roman"/>
          <w:b/>
          <w:color w:val="auto"/>
          <w:kern w:val="2"/>
          <w:sz w:val="32"/>
          <w:szCs w:val="32"/>
          <w:highlight w:val="none"/>
          <w:lang w:val="zh-CN" w:eastAsia="zh-CN" w:bidi="ar-SA"/>
        </w:rPr>
        <w:t>服务相关内容</w:t>
      </w:r>
      <w:bookmarkEnd w:id="355"/>
      <w:bookmarkEnd w:id="356"/>
      <w:r>
        <w:rPr>
          <w:rFonts w:hint="eastAsia" w:ascii="宋体" w:hAnsi="宋体"/>
          <w:b/>
          <w:color w:val="auto"/>
          <w:sz w:val="36"/>
          <w:szCs w:val="36"/>
          <w:highlight w:val="none"/>
        </w:rPr>
        <w:t xml:space="preserve">  </w:t>
      </w:r>
    </w:p>
    <w:p w14:paraId="1551A50A">
      <w:pPr>
        <w:spacing w:line="360" w:lineRule="auto"/>
        <w:ind w:firstLine="723"/>
        <w:jc w:val="center"/>
        <w:rPr>
          <w:rFonts w:hint="eastAsia" w:ascii="宋体" w:hAnsi="宋体"/>
          <w:b/>
          <w:color w:val="auto"/>
          <w:sz w:val="30"/>
          <w:szCs w:val="30"/>
          <w:highlight w:val="none"/>
        </w:rPr>
      </w:pPr>
      <w:r>
        <w:rPr>
          <w:rFonts w:hint="eastAsia" w:ascii="宋体" w:hAnsi="宋体"/>
          <w:b/>
          <w:color w:val="auto"/>
          <w:sz w:val="30"/>
          <w:szCs w:val="30"/>
          <w:highlight w:val="none"/>
        </w:rPr>
        <w:t>服务相关内容</w:t>
      </w:r>
    </w:p>
    <w:p w14:paraId="40DD0A44">
      <w:pPr>
        <w:spacing w:line="360" w:lineRule="auto"/>
        <w:ind w:firstLine="480"/>
        <w:rPr>
          <w:rFonts w:hint="eastAsia"/>
          <w:color w:val="auto"/>
          <w:highlight w:val="none"/>
        </w:rPr>
      </w:pPr>
    </w:p>
    <w:p w14:paraId="01C8A26C">
      <w:pPr>
        <w:spacing w:line="360" w:lineRule="auto"/>
        <w:ind w:firstLine="480"/>
        <w:rPr>
          <w:rFonts w:ascii="宋体" w:hAnsi="宋体"/>
          <w:color w:val="auto"/>
          <w:highlight w:val="none"/>
        </w:rPr>
      </w:pPr>
      <w:r>
        <w:rPr>
          <w:rFonts w:hint="eastAsia" w:ascii="宋体" w:hAnsi="宋体"/>
          <w:color w:val="auto"/>
          <w:highlight w:val="none"/>
        </w:rPr>
        <w:t>按照磋商文件评审标准中的相关要求，提供服务人员配置（表附后）。</w:t>
      </w:r>
    </w:p>
    <w:p w14:paraId="7767761A">
      <w:pPr>
        <w:spacing w:line="360" w:lineRule="auto"/>
        <w:ind w:firstLine="480"/>
        <w:rPr>
          <w:rFonts w:hint="eastAsia" w:ascii="宋体" w:hAnsi="宋体"/>
          <w:color w:val="auto"/>
          <w:highlight w:val="none"/>
        </w:rPr>
      </w:pPr>
      <w:r>
        <w:rPr>
          <w:rFonts w:ascii="宋体" w:hAnsi="宋体"/>
          <w:color w:val="auto"/>
          <w:highlight w:val="none"/>
        </w:rPr>
        <w:br w:type="page"/>
      </w:r>
    </w:p>
    <w:p w14:paraId="5BECABAC">
      <w:pPr>
        <w:spacing w:line="360" w:lineRule="auto"/>
        <w:ind w:firstLine="482"/>
        <w:jc w:val="center"/>
        <w:rPr>
          <w:rFonts w:hint="eastAsia"/>
          <w:b/>
          <w:color w:val="auto"/>
          <w:highlight w:val="none"/>
        </w:rPr>
      </w:pPr>
      <w:r>
        <w:rPr>
          <w:rFonts w:hint="eastAsia"/>
          <w:b/>
          <w:color w:val="auto"/>
          <w:highlight w:val="none"/>
        </w:rPr>
        <w:t>（一）项目负责人基本情况表</w:t>
      </w:r>
    </w:p>
    <w:p w14:paraId="2350398D">
      <w:pPr>
        <w:spacing w:line="360" w:lineRule="auto"/>
        <w:ind w:firstLine="0" w:firstLineChars="0"/>
        <w:rPr>
          <w:rFonts w:hint="eastAsia"/>
          <w:b/>
          <w:color w:val="auto"/>
          <w:highlight w:val="none"/>
        </w:rPr>
      </w:pP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7"/>
        <w:gridCol w:w="430"/>
        <w:gridCol w:w="770"/>
        <w:gridCol w:w="741"/>
        <w:gridCol w:w="719"/>
        <w:gridCol w:w="415"/>
        <w:gridCol w:w="1145"/>
        <w:gridCol w:w="414"/>
        <w:gridCol w:w="1895"/>
        <w:gridCol w:w="11"/>
      </w:tblGrid>
      <w:tr w14:paraId="62566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89" w:hRule="atLeast"/>
          <w:jc w:val="center"/>
        </w:trPr>
        <w:tc>
          <w:tcPr>
            <w:tcW w:w="1997" w:type="dxa"/>
            <w:noWrap w:val="0"/>
            <w:vAlign w:val="center"/>
          </w:tcPr>
          <w:p w14:paraId="0FB15782">
            <w:pPr>
              <w:widowControl/>
              <w:spacing w:before="100" w:beforeAutospacing="1" w:after="100" w:afterAutospacing="1" w:line="360" w:lineRule="auto"/>
              <w:ind w:firstLine="0" w:firstLineChars="0"/>
              <w:jc w:val="center"/>
              <w:rPr>
                <w:rFonts w:hint="eastAsia" w:ascii="宋体" w:hAnsi="宋体" w:cs="宋体"/>
                <w:color w:val="auto"/>
                <w:kern w:val="0"/>
                <w:szCs w:val="28"/>
                <w:highlight w:val="none"/>
              </w:rPr>
            </w:pPr>
            <w:r>
              <w:rPr>
                <w:rFonts w:hint="eastAsia" w:ascii="宋体" w:hAnsi="宋体" w:cs="宋体"/>
                <w:color w:val="auto"/>
                <w:kern w:val="0"/>
                <w:szCs w:val="28"/>
                <w:highlight w:val="none"/>
              </w:rPr>
              <w:t>姓名</w:t>
            </w:r>
          </w:p>
        </w:tc>
        <w:tc>
          <w:tcPr>
            <w:tcW w:w="1200" w:type="dxa"/>
            <w:gridSpan w:val="2"/>
            <w:noWrap w:val="0"/>
            <w:vAlign w:val="center"/>
          </w:tcPr>
          <w:p w14:paraId="02523BBF">
            <w:pPr>
              <w:widowControl/>
              <w:spacing w:before="100" w:beforeAutospacing="1" w:after="100" w:afterAutospacing="1" w:line="360" w:lineRule="auto"/>
              <w:ind w:firstLine="0" w:firstLineChars="0"/>
              <w:jc w:val="center"/>
              <w:rPr>
                <w:rFonts w:hint="eastAsia" w:ascii="宋体" w:hAnsi="宋体" w:cs="宋体"/>
                <w:color w:val="auto"/>
                <w:kern w:val="0"/>
                <w:szCs w:val="28"/>
                <w:highlight w:val="none"/>
              </w:rPr>
            </w:pPr>
          </w:p>
        </w:tc>
        <w:tc>
          <w:tcPr>
            <w:tcW w:w="741" w:type="dxa"/>
            <w:noWrap w:val="0"/>
            <w:vAlign w:val="center"/>
          </w:tcPr>
          <w:p w14:paraId="526577DB">
            <w:pPr>
              <w:widowControl/>
              <w:spacing w:before="100" w:beforeAutospacing="1" w:after="100" w:afterAutospacing="1" w:line="360" w:lineRule="auto"/>
              <w:ind w:firstLine="0" w:firstLineChars="0"/>
              <w:rPr>
                <w:rFonts w:hint="eastAsia" w:ascii="宋体" w:hAnsi="宋体" w:cs="宋体"/>
                <w:color w:val="auto"/>
                <w:kern w:val="0"/>
                <w:szCs w:val="28"/>
                <w:highlight w:val="none"/>
              </w:rPr>
            </w:pPr>
            <w:r>
              <w:rPr>
                <w:rFonts w:hint="eastAsia" w:ascii="宋体" w:hAnsi="宋体" w:cs="宋体"/>
                <w:color w:val="auto"/>
                <w:kern w:val="0"/>
                <w:szCs w:val="28"/>
                <w:highlight w:val="none"/>
              </w:rPr>
              <w:t>性别</w:t>
            </w:r>
          </w:p>
        </w:tc>
        <w:tc>
          <w:tcPr>
            <w:tcW w:w="1134" w:type="dxa"/>
            <w:gridSpan w:val="2"/>
            <w:noWrap w:val="0"/>
            <w:vAlign w:val="center"/>
          </w:tcPr>
          <w:p w14:paraId="3DD74D6F">
            <w:pPr>
              <w:widowControl/>
              <w:spacing w:before="100" w:beforeAutospacing="1" w:after="100" w:afterAutospacing="1" w:line="360" w:lineRule="auto"/>
              <w:ind w:firstLine="0" w:firstLineChars="0"/>
              <w:jc w:val="center"/>
              <w:rPr>
                <w:rFonts w:hint="eastAsia" w:ascii="宋体" w:hAnsi="宋体" w:cs="宋体"/>
                <w:color w:val="auto"/>
                <w:kern w:val="0"/>
                <w:szCs w:val="28"/>
                <w:highlight w:val="none"/>
              </w:rPr>
            </w:pPr>
          </w:p>
        </w:tc>
        <w:tc>
          <w:tcPr>
            <w:tcW w:w="1559" w:type="dxa"/>
            <w:gridSpan w:val="2"/>
            <w:noWrap w:val="0"/>
            <w:vAlign w:val="center"/>
          </w:tcPr>
          <w:p w14:paraId="63F4746C">
            <w:pPr>
              <w:widowControl/>
              <w:spacing w:before="100" w:beforeAutospacing="1" w:after="100" w:afterAutospacing="1" w:line="360" w:lineRule="auto"/>
              <w:ind w:firstLine="0" w:firstLineChars="0"/>
              <w:jc w:val="center"/>
              <w:rPr>
                <w:rFonts w:hint="eastAsia" w:ascii="宋体" w:hAnsi="宋体" w:cs="宋体"/>
                <w:color w:val="auto"/>
                <w:kern w:val="0"/>
                <w:szCs w:val="28"/>
                <w:highlight w:val="none"/>
              </w:rPr>
            </w:pPr>
            <w:r>
              <w:rPr>
                <w:rFonts w:hint="eastAsia" w:ascii="宋体" w:hAnsi="宋体" w:cs="宋体"/>
                <w:color w:val="auto"/>
                <w:kern w:val="0"/>
                <w:szCs w:val="28"/>
                <w:highlight w:val="none"/>
              </w:rPr>
              <w:t>出生日期</w:t>
            </w:r>
          </w:p>
        </w:tc>
        <w:tc>
          <w:tcPr>
            <w:tcW w:w="1895" w:type="dxa"/>
            <w:noWrap w:val="0"/>
            <w:vAlign w:val="center"/>
          </w:tcPr>
          <w:p w14:paraId="0B098F1D">
            <w:pPr>
              <w:widowControl/>
              <w:spacing w:before="100" w:beforeAutospacing="1" w:after="100" w:afterAutospacing="1" w:line="360" w:lineRule="auto"/>
              <w:ind w:firstLine="0" w:firstLineChars="0"/>
              <w:jc w:val="center"/>
              <w:rPr>
                <w:rFonts w:hint="eastAsia" w:ascii="宋体" w:hAnsi="宋体" w:cs="宋体"/>
                <w:color w:val="auto"/>
                <w:kern w:val="0"/>
                <w:szCs w:val="28"/>
                <w:highlight w:val="none"/>
              </w:rPr>
            </w:pPr>
          </w:p>
        </w:tc>
      </w:tr>
      <w:tr w14:paraId="06FD4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54" w:hRule="atLeast"/>
          <w:jc w:val="center"/>
        </w:trPr>
        <w:tc>
          <w:tcPr>
            <w:tcW w:w="1997" w:type="dxa"/>
            <w:noWrap w:val="0"/>
            <w:vAlign w:val="center"/>
          </w:tcPr>
          <w:p w14:paraId="59B54FBB">
            <w:pPr>
              <w:widowControl/>
              <w:spacing w:before="100" w:beforeAutospacing="1" w:after="100" w:afterAutospacing="1" w:line="360" w:lineRule="auto"/>
              <w:ind w:firstLine="0" w:firstLineChars="0"/>
              <w:jc w:val="center"/>
              <w:rPr>
                <w:rFonts w:hint="eastAsia" w:ascii="宋体" w:hAnsi="宋体" w:cs="宋体"/>
                <w:color w:val="auto"/>
                <w:kern w:val="0"/>
                <w:szCs w:val="28"/>
                <w:highlight w:val="none"/>
              </w:rPr>
            </w:pPr>
            <w:r>
              <w:rPr>
                <w:rFonts w:hint="eastAsia" w:ascii="宋体" w:hAnsi="宋体" w:cs="宋体"/>
                <w:color w:val="auto"/>
                <w:kern w:val="0"/>
                <w:szCs w:val="28"/>
                <w:highlight w:val="none"/>
              </w:rPr>
              <w:t>毕业院校及专业</w:t>
            </w:r>
          </w:p>
        </w:tc>
        <w:tc>
          <w:tcPr>
            <w:tcW w:w="3075" w:type="dxa"/>
            <w:gridSpan w:val="5"/>
            <w:noWrap w:val="0"/>
            <w:vAlign w:val="center"/>
          </w:tcPr>
          <w:p w14:paraId="58BA8F20">
            <w:pPr>
              <w:widowControl/>
              <w:spacing w:before="100" w:beforeAutospacing="1" w:after="100" w:afterAutospacing="1" w:line="360" w:lineRule="auto"/>
              <w:ind w:firstLine="0" w:firstLineChars="0"/>
              <w:jc w:val="center"/>
              <w:rPr>
                <w:rFonts w:hint="eastAsia" w:ascii="宋体" w:hAnsi="宋体" w:cs="宋体"/>
                <w:color w:val="auto"/>
                <w:kern w:val="0"/>
                <w:szCs w:val="28"/>
                <w:highlight w:val="none"/>
              </w:rPr>
            </w:pPr>
          </w:p>
        </w:tc>
        <w:tc>
          <w:tcPr>
            <w:tcW w:w="1559" w:type="dxa"/>
            <w:gridSpan w:val="2"/>
            <w:noWrap w:val="0"/>
            <w:vAlign w:val="center"/>
          </w:tcPr>
          <w:p w14:paraId="3B69746C">
            <w:pPr>
              <w:widowControl/>
              <w:spacing w:before="100" w:beforeAutospacing="1" w:after="100" w:afterAutospacing="1" w:line="360" w:lineRule="auto"/>
              <w:ind w:firstLine="0" w:firstLineChars="0"/>
              <w:jc w:val="center"/>
              <w:rPr>
                <w:rFonts w:hint="eastAsia" w:ascii="宋体" w:hAnsi="宋体" w:cs="宋体"/>
                <w:color w:val="auto"/>
                <w:kern w:val="0"/>
                <w:szCs w:val="28"/>
                <w:highlight w:val="none"/>
              </w:rPr>
            </w:pPr>
            <w:r>
              <w:rPr>
                <w:rFonts w:hint="eastAsia" w:ascii="宋体" w:hAnsi="宋体" w:cs="宋体"/>
                <w:color w:val="auto"/>
                <w:kern w:val="0"/>
                <w:szCs w:val="28"/>
                <w:highlight w:val="none"/>
              </w:rPr>
              <w:t>学历</w:t>
            </w:r>
          </w:p>
        </w:tc>
        <w:tc>
          <w:tcPr>
            <w:tcW w:w="1895" w:type="dxa"/>
            <w:noWrap w:val="0"/>
            <w:vAlign w:val="center"/>
          </w:tcPr>
          <w:p w14:paraId="6A895FCB">
            <w:pPr>
              <w:widowControl/>
              <w:spacing w:before="100" w:beforeAutospacing="1" w:after="100" w:afterAutospacing="1" w:line="360" w:lineRule="auto"/>
              <w:ind w:firstLine="0" w:firstLineChars="0"/>
              <w:jc w:val="center"/>
              <w:rPr>
                <w:rFonts w:hint="eastAsia" w:ascii="宋体" w:hAnsi="宋体" w:cs="宋体"/>
                <w:color w:val="auto"/>
                <w:kern w:val="0"/>
                <w:szCs w:val="28"/>
                <w:highlight w:val="none"/>
              </w:rPr>
            </w:pPr>
          </w:p>
        </w:tc>
      </w:tr>
      <w:tr w14:paraId="2CD0B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8" w:hRule="atLeast"/>
          <w:jc w:val="center"/>
        </w:trPr>
        <w:tc>
          <w:tcPr>
            <w:tcW w:w="1997" w:type="dxa"/>
            <w:noWrap w:val="0"/>
            <w:vAlign w:val="center"/>
          </w:tcPr>
          <w:p w14:paraId="6D1CA244">
            <w:pPr>
              <w:widowControl/>
              <w:spacing w:before="100" w:beforeAutospacing="1" w:after="100" w:afterAutospacing="1" w:line="360" w:lineRule="auto"/>
              <w:ind w:firstLine="0" w:firstLineChars="0"/>
              <w:jc w:val="center"/>
              <w:rPr>
                <w:rFonts w:hint="eastAsia" w:ascii="宋体" w:hAnsi="宋体" w:cs="宋体"/>
                <w:color w:val="auto"/>
                <w:kern w:val="0"/>
                <w:szCs w:val="28"/>
                <w:highlight w:val="none"/>
              </w:rPr>
            </w:pPr>
            <w:r>
              <w:rPr>
                <w:rFonts w:hint="eastAsia" w:ascii="宋体" w:hAnsi="宋体" w:cs="宋体"/>
                <w:color w:val="auto"/>
                <w:kern w:val="0"/>
                <w:szCs w:val="28"/>
                <w:highlight w:val="none"/>
              </w:rPr>
              <w:t>从事本专业时间</w:t>
            </w:r>
          </w:p>
        </w:tc>
        <w:tc>
          <w:tcPr>
            <w:tcW w:w="3075" w:type="dxa"/>
            <w:gridSpan w:val="5"/>
            <w:noWrap w:val="0"/>
            <w:vAlign w:val="center"/>
          </w:tcPr>
          <w:p w14:paraId="52625A89">
            <w:pPr>
              <w:widowControl/>
              <w:spacing w:before="100" w:beforeAutospacing="1" w:after="100" w:afterAutospacing="1" w:line="360" w:lineRule="auto"/>
              <w:ind w:firstLine="0" w:firstLineChars="0"/>
              <w:jc w:val="center"/>
              <w:rPr>
                <w:rFonts w:hint="eastAsia" w:ascii="宋体" w:hAnsi="宋体" w:cs="宋体"/>
                <w:color w:val="auto"/>
                <w:kern w:val="0"/>
                <w:szCs w:val="28"/>
                <w:highlight w:val="none"/>
              </w:rPr>
            </w:pPr>
          </w:p>
        </w:tc>
        <w:tc>
          <w:tcPr>
            <w:tcW w:w="1559" w:type="dxa"/>
            <w:gridSpan w:val="2"/>
            <w:noWrap w:val="0"/>
            <w:vAlign w:val="center"/>
          </w:tcPr>
          <w:p w14:paraId="45A272AE">
            <w:pPr>
              <w:widowControl/>
              <w:spacing w:before="100" w:beforeAutospacing="1" w:after="100" w:afterAutospacing="1" w:line="360" w:lineRule="auto"/>
              <w:ind w:firstLine="0" w:firstLineChars="0"/>
              <w:jc w:val="center"/>
              <w:rPr>
                <w:rFonts w:hint="eastAsia" w:ascii="宋体" w:hAnsi="宋体" w:cs="宋体"/>
                <w:color w:val="auto"/>
                <w:kern w:val="0"/>
                <w:szCs w:val="28"/>
                <w:highlight w:val="none"/>
              </w:rPr>
            </w:pPr>
            <w:r>
              <w:rPr>
                <w:rFonts w:hint="eastAsia" w:ascii="宋体" w:hAnsi="宋体" w:cs="宋体"/>
                <w:color w:val="auto"/>
                <w:kern w:val="0"/>
                <w:szCs w:val="28"/>
                <w:highlight w:val="none"/>
              </w:rPr>
              <w:t>为投标人工作时间</w:t>
            </w:r>
          </w:p>
        </w:tc>
        <w:tc>
          <w:tcPr>
            <w:tcW w:w="1895" w:type="dxa"/>
            <w:noWrap w:val="0"/>
            <w:vAlign w:val="center"/>
          </w:tcPr>
          <w:p w14:paraId="79492E53">
            <w:pPr>
              <w:widowControl/>
              <w:spacing w:before="100" w:beforeAutospacing="1" w:after="100" w:afterAutospacing="1" w:line="360" w:lineRule="auto"/>
              <w:ind w:firstLine="0" w:firstLineChars="0"/>
              <w:jc w:val="center"/>
              <w:rPr>
                <w:rFonts w:hint="eastAsia" w:ascii="宋体" w:hAnsi="宋体" w:cs="宋体"/>
                <w:color w:val="auto"/>
                <w:kern w:val="0"/>
                <w:szCs w:val="28"/>
                <w:highlight w:val="none"/>
              </w:rPr>
            </w:pPr>
          </w:p>
        </w:tc>
      </w:tr>
      <w:tr w14:paraId="57EB4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70" w:hRule="atLeast"/>
          <w:jc w:val="center"/>
        </w:trPr>
        <w:tc>
          <w:tcPr>
            <w:tcW w:w="1997" w:type="dxa"/>
            <w:noWrap w:val="0"/>
            <w:vAlign w:val="center"/>
          </w:tcPr>
          <w:p w14:paraId="28430A69">
            <w:pPr>
              <w:widowControl/>
              <w:spacing w:line="360" w:lineRule="auto"/>
              <w:ind w:firstLine="0" w:firstLineChars="0"/>
              <w:jc w:val="center"/>
              <w:rPr>
                <w:rFonts w:hint="eastAsia" w:ascii="宋体" w:hAnsi="宋体" w:cs="宋体"/>
                <w:color w:val="auto"/>
                <w:kern w:val="0"/>
                <w:szCs w:val="28"/>
                <w:highlight w:val="none"/>
              </w:rPr>
            </w:pPr>
            <w:r>
              <w:rPr>
                <w:rFonts w:hint="eastAsia" w:ascii="宋体" w:hAnsi="宋体" w:cs="宋体"/>
                <w:color w:val="auto"/>
                <w:kern w:val="0"/>
                <w:szCs w:val="28"/>
                <w:highlight w:val="none"/>
              </w:rPr>
              <w:t>职务</w:t>
            </w:r>
          </w:p>
        </w:tc>
        <w:tc>
          <w:tcPr>
            <w:tcW w:w="3075" w:type="dxa"/>
            <w:gridSpan w:val="5"/>
            <w:noWrap w:val="0"/>
            <w:vAlign w:val="center"/>
          </w:tcPr>
          <w:p w14:paraId="120D2DEF">
            <w:pPr>
              <w:widowControl/>
              <w:spacing w:before="100" w:beforeAutospacing="1" w:after="100" w:afterAutospacing="1" w:line="360" w:lineRule="auto"/>
              <w:ind w:firstLine="0" w:firstLineChars="0"/>
              <w:jc w:val="center"/>
              <w:rPr>
                <w:rFonts w:hint="eastAsia" w:ascii="宋体" w:hAnsi="宋体" w:cs="宋体"/>
                <w:color w:val="auto"/>
                <w:kern w:val="0"/>
                <w:szCs w:val="28"/>
                <w:highlight w:val="none"/>
              </w:rPr>
            </w:pPr>
          </w:p>
        </w:tc>
        <w:tc>
          <w:tcPr>
            <w:tcW w:w="1559" w:type="dxa"/>
            <w:gridSpan w:val="2"/>
            <w:noWrap w:val="0"/>
            <w:vAlign w:val="center"/>
          </w:tcPr>
          <w:p w14:paraId="54D34CBE">
            <w:pPr>
              <w:widowControl/>
              <w:spacing w:before="100" w:beforeAutospacing="1" w:after="100" w:afterAutospacing="1" w:line="360" w:lineRule="auto"/>
              <w:ind w:firstLine="0" w:firstLineChars="0"/>
              <w:jc w:val="center"/>
              <w:rPr>
                <w:rFonts w:hint="eastAsia" w:ascii="宋体" w:hAnsi="宋体" w:cs="宋体"/>
                <w:color w:val="auto"/>
                <w:kern w:val="0"/>
                <w:szCs w:val="28"/>
                <w:highlight w:val="none"/>
              </w:rPr>
            </w:pPr>
            <w:r>
              <w:rPr>
                <w:rFonts w:hint="eastAsia" w:ascii="宋体" w:hAnsi="宋体" w:cs="宋体"/>
                <w:color w:val="auto"/>
                <w:kern w:val="0"/>
                <w:szCs w:val="28"/>
                <w:highlight w:val="none"/>
              </w:rPr>
              <w:t>职称</w:t>
            </w:r>
          </w:p>
        </w:tc>
        <w:tc>
          <w:tcPr>
            <w:tcW w:w="1895" w:type="dxa"/>
            <w:noWrap w:val="0"/>
            <w:vAlign w:val="center"/>
          </w:tcPr>
          <w:p w14:paraId="33174D6B">
            <w:pPr>
              <w:widowControl/>
              <w:spacing w:before="100" w:beforeAutospacing="1" w:after="100" w:afterAutospacing="1" w:line="360" w:lineRule="auto"/>
              <w:ind w:firstLine="0" w:firstLineChars="0"/>
              <w:jc w:val="center"/>
              <w:rPr>
                <w:rFonts w:hint="eastAsia" w:ascii="宋体" w:hAnsi="宋体" w:cs="宋体"/>
                <w:color w:val="auto"/>
                <w:kern w:val="0"/>
                <w:szCs w:val="28"/>
                <w:highlight w:val="none"/>
              </w:rPr>
            </w:pPr>
          </w:p>
        </w:tc>
      </w:tr>
      <w:tr w14:paraId="0364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935" w:hRule="atLeast"/>
          <w:jc w:val="center"/>
        </w:trPr>
        <w:tc>
          <w:tcPr>
            <w:tcW w:w="1997" w:type="dxa"/>
            <w:noWrap w:val="0"/>
            <w:vAlign w:val="center"/>
          </w:tcPr>
          <w:p w14:paraId="24DEE55B">
            <w:pPr>
              <w:widowControl/>
              <w:spacing w:line="360" w:lineRule="auto"/>
              <w:ind w:firstLine="0" w:firstLineChars="0"/>
              <w:jc w:val="center"/>
              <w:rPr>
                <w:rFonts w:hint="eastAsia" w:ascii="宋体" w:hAnsi="宋体" w:cs="宋体"/>
                <w:color w:val="auto"/>
                <w:kern w:val="0"/>
                <w:szCs w:val="28"/>
                <w:highlight w:val="none"/>
              </w:rPr>
            </w:pPr>
            <w:r>
              <w:rPr>
                <w:rFonts w:hint="eastAsia" w:ascii="宋体" w:hAnsi="宋体" w:cs="宋体"/>
                <w:color w:val="auto"/>
                <w:kern w:val="0"/>
                <w:szCs w:val="28"/>
                <w:highlight w:val="none"/>
              </w:rPr>
              <w:t>在本项目中主要负责内容</w:t>
            </w:r>
          </w:p>
        </w:tc>
        <w:tc>
          <w:tcPr>
            <w:tcW w:w="6529" w:type="dxa"/>
            <w:gridSpan w:val="8"/>
            <w:noWrap w:val="0"/>
            <w:vAlign w:val="center"/>
          </w:tcPr>
          <w:p w14:paraId="79B4F5DB">
            <w:pPr>
              <w:widowControl/>
              <w:spacing w:before="100" w:beforeAutospacing="1" w:after="100" w:afterAutospacing="1" w:line="360" w:lineRule="auto"/>
              <w:ind w:firstLine="0" w:firstLineChars="0"/>
              <w:rPr>
                <w:rFonts w:hint="eastAsia" w:ascii="宋体" w:hAnsi="宋体" w:cs="宋体"/>
                <w:color w:val="auto"/>
                <w:kern w:val="0"/>
                <w:szCs w:val="28"/>
                <w:highlight w:val="none"/>
              </w:rPr>
            </w:pPr>
          </w:p>
        </w:tc>
      </w:tr>
      <w:tr w14:paraId="7B1AD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997" w:type="dxa"/>
            <w:vMerge w:val="restart"/>
            <w:noWrap w:val="0"/>
            <w:vAlign w:val="center"/>
          </w:tcPr>
          <w:p w14:paraId="676108CB">
            <w:pPr>
              <w:widowControl/>
              <w:spacing w:line="360" w:lineRule="auto"/>
              <w:ind w:firstLine="0" w:firstLineChars="0"/>
              <w:jc w:val="center"/>
              <w:rPr>
                <w:rFonts w:hint="eastAsia" w:ascii="宋体" w:hAnsi="宋体" w:cs="宋体"/>
                <w:color w:val="auto"/>
                <w:kern w:val="0"/>
                <w:szCs w:val="28"/>
                <w:highlight w:val="none"/>
              </w:rPr>
            </w:pPr>
            <w:r>
              <w:rPr>
                <w:rFonts w:hint="eastAsia" w:ascii="宋体" w:hAnsi="宋体" w:cs="宋体"/>
                <w:color w:val="auto"/>
                <w:kern w:val="0"/>
                <w:szCs w:val="28"/>
                <w:highlight w:val="none"/>
              </w:rPr>
              <w:t>主要成果</w:t>
            </w:r>
          </w:p>
        </w:tc>
        <w:tc>
          <w:tcPr>
            <w:tcW w:w="430" w:type="dxa"/>
            <w:noWrap w:val="0"/>
            <w:vAlign w:val="center"/>
          </w:tcPr>
          <w:p w14:paraId="76371F96">
            <w:pPr>
              <w:widowControl/>
              <w:spacing w:before="100" w:beforeAutospacing="1" w:after="100" w:afterAutospacing="1" w:line="360" w:lineRule="auto"/>
              <w:ind w:firstLine="0" w:firstLineChars="0"/>
              <w:jc w:val="center"/>
              <w:rPr>
                <w:rFonts w:hint="eastAsia" w:ascii="宋体" w:hAnsi="宋体" w:cs="宋体"/>
                <w:color w:val="auto"/>
                <w:kern w:val="0"/>
                <w:szCs w:val="28"/>
                <w:highlight w:val="none"/>
              </w:rPr>
            </w:pPr>
            <w:r>
              <w:rPr>
                <w:rFonts w:hint="eastAsia" w:ascii="宋体" w:hAnsi="宋体" w:cs="宋体"/>
                <w:color w:val="auto"/>
                <w:kern w:val="0"/>
                <w:szCs w:val="28"/>
                <w:highlight w:val="none"/>
              </w:rPr>
              <w:t>1</w:t>
            </w:r>
          </w:p>
        </w:tc>
        <w:tc>
          <w:tcPr>
            <w:tcW w:w="2230" w:type="dxa"/>
            <w:gridSpan w:val="3"/>
            <w:noWrap w:val="0"/>
            <w:vAlign w:val="center"/>
          </w:tcPr>
          <w:p w14:paraId="0D8EE12C">
            <w:pPr>
              <w:widowControl/>
              <w:spacing w:before="100" w:beforeAutospacing="1" w:after="100" w:afterAutospacing="1" w:line="360" w:lineRule="auto"/>
              <w:ind w:firstLine="0" w:firstLineChars="0"/>
              <w:jc w:val="center"/>
              <w:rPr>
                <w:rFonts w:hint="eastAsia" w:ascii="宋体" w:hAnsi="宋体" w:cs="宋体"/>
                <w:color w:val="auto"/>
                <w:kern w:val="0"/>
                <w:szCs w:val="28"/>
                <w:highlight w:val="none"/>
              </w:rPr>
            </w:pPr>
            <w:r>
              <w:rPr>
                <w:rFonts w:hint="eastAsia" w:ascii="宋体" w:hAnsi="宋体" w:cs="宋体"/>
                <w:color w:val="auto"/>
                <w:kern w:val="0"/>
                <w:szCs w:val="28"/>
                <w:highlight w:val="none"/>
              </w:rPr>
              <w:t>项目名称及规模</w:t>
            </w:r>
          </w:p>
        </w:tc>
        <w:tc>
          <w:tcPr>
            <w:tcW w:w="1560" w:type="dxa"/>
            <w:gridSpan w:val="2"/>
            <w:noWrap w:val="0"/>
            <w:vAlign w:val="center"/>
          </w:tcPr>
          <w:p w14:paraId="0EA50862">
            <w:pPr>
              <w:widowControl/>
              <w:spacing w:before="100" w:beforeAutospacing="1" w:after="100" w:afterAutospacing="1" w:line="360" w:lineRule="auto"/>
              <w:ind w:firstLine="0" w:firstLineChars="0"/>
              <w:rPr>
                <w:rFonts w:hint="eastAsia" w:ascii="宋体" w:hAnsi="宋体" w:cs="宋体"/>
                <w:color w:val="auto"/>
                <w:kern w:val="0"/>
                <w:szCs w:val="28"/>
                <w:highlight w:val="none"/>
              </w:rPr>
            </w:pPr>
            <w:r>
              <w:rPr>
                <w:rFonts w:hint="eastAsia" w:ascii="宋体" w:hAnsi="宋体" w:cs="宋体"/>
                <w:color w:val="auto"/>
                <w:kern w:val="0"/>
                <w:szCs w:val="28"/>
                <w:highlight w:val="none"/>
              </w:rPr>
              <w:t>完成年月</w:t>
            </w:r>
          </w:p>
        </w:tc>
        <w:tc>
          <w:tcPr>
            <w:tcW w:w="2320" w:type="dxa"/>
            <w:gridSpan w:val="3"/>
            <w:noWrap w:val="0"/>
            <w:vAlign w:val="center"/>
          </w:tcPr>
          <w:p w14:paraId="6B0CEEB5">
            <w:pPr>
              <w:widowControl/>
              <w:spacing w:before="100" w:beforeAutospacing="1" w:after="100" w:afterAutospacing="1" w:line="360" w:lineRule="auto"/>
              <w:ind w:firstLine="0" w:firstLineChars="0"/>
              <w:jc w:val="center"/>
              <w:rPr>
                <w:rFonts w:hint="eastAsia" w:ascii="宋体" w:hAnsi="宋体" w:cs="宋体"/>
                <w:color w:val="auto"/>
                <w:kern w:val="0"/>
                <w:szCs w:val="28"/>
                <w:highlight w:val="none"/>
              </w:rPr>
            </w:pPr>
            <w:r>
              <w:rPr>
                <w:rFonts w:hint="eastAsia" w:ascii="宋体" w:hAnsi="宋体" w:cs="宋体"/>
                <w:color w:val="auto"/>
                <w:kern w:val="0"/>
                <w:szCs w:val="28"/>
                <w:highlight w:val="none"/>
              </w:rPr>
              <w:t>在该项目中任何职</w:t>
            </w:r>
          </w:p>
        </w:tc>
      </w:tr>
      <w:tr w14:paraId="75B42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97" w:type="dxa"/>
            <w:vMerge w:val="continue"/>
            <w:noWrap w:val="0"/>
            <w:vAlign w:val="center"/>
          </w:tcPr>
          <w:p w14:paraId="3A7F269F">
            <w:pPr>
              <w:widowControl/>
              <w:spacing w:before="100" w:beforeAutospacing="1" w:after="100" w:afterAutospacing="1" w:line="360" w:lineRule="auto"/>
              <w:ind w:firstLine="0" w:firstLineChars="0"/>
              <w:jc w:val="center"/>
              <w:rPr>
                <w:rFonts w:hint="eastAsia" w:ascii="宋体" w:hAnsi="宋体" w:cs="宋体"/>
                <w:color w:val="auto"/>
                <w:kern w:val="0"/>
                <w:szCs w:val="28"/>
                <w:highlight w:val="none"/>
              </w:rPr>
            </w:pPr>
          </w:p>
        </w:tc>
        <w:tc>
          <w:tcPr>
            <w:tcW w:w="430" w:type="dxa"/>
            <w:noWrap w:val="0"/>
            <w:vAlign w:val="center"/>
          </w:tcPr>
          <w:p w14:paraId="44B1C8C7">
            <w:pPr>
              <w:widowControl/>
              <w:spacing w:before="100" w:beforeAutospacing="1" w:after="100" w:afterAutospacing="1" w:line="360" w:lineRule="auto"/>
              <w:ind w:firstLine="0" w:firstLineChars="0"/>
              <w:jc w:val="center"/>
              <w:rPr>
                <w:rFonts w:hint="eastAsia" w:ascii="宋体" w:hAnsi="宋体" w:cs="宋体"/>
                <w:color w:val="auto"/>
                <w:kern w:val="0"/>
                <w:szCs w:val="28"/>
                <w:highlight w:val="none"/>
              </w:rPr>
            </w:pPr>
            <w:r>
              <w:rPr>
                <w:rFonts w:hint="eastAsia" w:ascii="宋体" w:hAnsi="宋体" w:cs="宋体"/>
                <w:color w:val="auto"/>
                <w:kern w:val="0"/>
                <w:szCs w:val="28"/>
                <w:highlight w:val="none"/>
              </w:rPr>
              <w:t>2</w:t>
            </w:r>
          </w:p>
        </w:tc>
        <w:tc>
          <w:tcPr>
            <w:tcW w:w="2230" w:type="dxa"/>
            <w:gridSpan w:val="3"/>
            <w:noWrap w:val="0"/>
            <w:vAlign w:val="center"/>
          </w:tcPr>
          <w:p w14:paraId="6B619F0C">
            <w:pPr>
              <w:widowControl/>
              <w:spacing w:before="100" w:beforeAutospacing="1" w:after="100" w:afterAutospacing="1" w:line="360" w:lineRule="auto"/>
              <w:ind w:firstLine="0" w:firstLineChars="0"/>
              <w:jc w:val="center"/>
              <w:rPr>
                <w:rFonts w:hint="eastAsia" w:ascii="宋体" w:hAnsi="宋体" w:cs="宋体"/>
                <w:color w:val="auto"/>
                <w:kern w:val="0"/>
                <w:szCs w:val="28"/>
                <w:highlight w:val="none"/>
              </w:rPr>
            </w:pPr>
          </w:p>
        </w:tc>
        <w:tc>
          <w:tcPr>
            <w:tcW w:w="1560" w:type="dxa"/>
            <w:gridSpan w:val="2"/>
            <w:noWrap w:val="0"/>
            <w:vAlign w:val="center"/>
          </w:tcPr>
          <w:p w14:paraId="7D9BAC90">
            <w:pPr>
              <w:widowControl/>
              <w:spacing w:before="100" w:beforeAutospacing="1" w:after="100" w:afterAutospacing="1" w:line="360" w:lineRule="auto"/>
              <w:ind w:firstLine="0" w:firstLineChars="0"/>
              <w:jc w:val="center"/>
              <w:rPr>
                <w:rFonts w:hint="eastAsia" w:ascii="宋体" w:hAnsi="宋体" w:cs="宋体"/>
                <w:color w:val="auto"/>
                <w:kern w:val="0"/>
                <w:szCs w:val="28"/>
                <w:highlight w:val="none"/>
              </w:rPr>
            </w:pPr>
          </w:p>
        </w:tc>
        <w:tc>
          <w:tcPr>
            <w:tcW w:w="2320" w:type="dxa"/>
            <w:gridSpan w:val="3"/>
            <w:noWrap w:val="0"/>
            <w:vAlign w:val="center"/>
          </w:tcPr>
          <w:p w14:paraId="5B4542C5">
            <w:pPr>
              <w:widowControl/>
              <w:spacing w:before="100" w:beforeAutospacing="1" w:after="100" w:afterAutospacing="1" w:line="360" w:lineRule="auto"/>
              <w:ind w:firstLine="0" w:firstLineChars="0"/>
              <w:jc w:val="center"/>
              <w:rPr>
                <w:rFonts w:hint="eastAsia" w:ascii="宋体" w:hAnsi="宋体" w:cs="宋体"/>
                <w:color w:val="auto"/>
                <w:kern w:val="0"/>
                <w:szCs w:val="28"/>
                <w:highlight w:val="none"/>
              </w:rPr>
            </w:pPr>
          </w:p>
        </w:tc>
      </w:tr>
      <w:tr w14:paraId="30F3A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997" w:type="dxa"/>
            <w:vMerge w:val="continue"/>
            <w:noWrap w:val="0"/>
            <w:vAlign w:val="center"/>
          </w:tcPr>
          <w:p w14:paraId="7AE8578B">
            <w:pPr>
              <w:widowControl/>
              <w:spacing w:before="100" w:beforeAutospacing="1" w:after="100" w:afterAutospacing="1" w:line="360" w:lineRule="auto"/>
              <w:ind w:firstLine="0" w:firstLineChars="0"/>
              <w:jc w:val="center"/>
              <w:rPr>
                <w:rFonts w:hint="eastAsia" w:ascii="宋体" w:hAnsi="宋体" w:cs="宋体"/>
                <w:color w:val="auto"/>
                <w:kern w:val="0"/>
                <w:szCs w:val="28"/>
                <w:highlight w:val="none"/>
              </w:rPr>
            </w:pPr>
          </w:p>
        </w:tc>
        <w:tc>
          <w:tcPr>
            <w:tcW w:w="430" w:type="dxa"/>
            <w:noWrap w:val="0"/>
            <w:vAlign w:val="center"/>
          </w:tcPr>
          <w:p w14:paraId="0B487520">
            <w:pPr>
              <w:widowControl/>
              <w:spacing w:before="100" w:beforeAutospacing="1" w:after="100" w:afterAutospacing="1" w:line="360" w:lineRule="auto"/>
              <w:ind w:firstLine="0" w:firstLineChars="0"/>
              <w:jc w:val="center"/>
              <w:rPr>
                <w:rFonts w:hint="eastAsia" w:ascii="宋体" w:hAnsi="宋体" w:cs="宋体"/>
                <w:color w:val="auto"/>
                <w:kern w:val="0"/>
                <w:szCs w:val="28"/>
                <w:highlight w:val="none"/>
              </w:rPr>
            </w:pPr>
            <w:r>
              <w:rPr>
                <w:rFonts w:hint="eastAsia" w:ascii="宋体" w:hAnsi="宋体" w:cs="宋体"/>
                <w:color w:val="auto"/>
                <w:kern w:val="0"/>
                <w:szCs w:val="28"/>
                <w:highlight w:val="none"/>
              </w:rPr>
              <w:t>3</w:t>
            </w:r>
          </w:p>
        </w:tc>
        <w:tc>
          <w:tcPr>
            <w:tcW w:w="2230" w:type="dxa"/>
            <w:gridSpan w:val="3"/>
            <w:noWrap w:val="0"/>
            <w:vAlign w:val="center"/>
          </w:tcPr>
          <w:p w14:paraId="69390C8E">
            <w:pPr>
              <w:widowControl/>
              <w:spacing w:before="100" w:beforeAutospacing="1" w:after="100" w:afterAutospacing="1" w:line="360" w:lineRule="auto"/>
              <w:ind w:firstLine="0" w:firstLineChars="0"/>
              <w:jc w:val="center"/>
              <w:rPr>
                <w:rFonts w:hint="eastAsia" w:ascii="宋体" w:hAnsi="宋体" w:cs="宋体"/>
                <w:color w:val="auto"/>
                <w:kern w:val="0"/>
                <w:szCs w:val="28"/>
                <w:highlight w:val="none"/>
              </w:rPr>
            </w:pPr>
          </w:p>
        </w:tc>
        <w:tc>
          <w:tcPr>
            <w:tcW w:w="1560" w:type="dxa"/>
            <w:gridSpan w:val="2"/>
            <w:noWrap w:val="0"/>
            <w:vAlign w:val="center"/>
          </w:tcPr>
          <w:p w14:paraId="1FD4EEBA">
            <w:pPr>
              <w:widowControl/>
              <w:spacing w:before="100" w:beforeAutospacing="1" w:after="100" w:afterAutospacing="1" w:line="360" w:lineRule="auto"/>
              <w:ind w:firstLine="0" w:firstLineChars="0"/>
              <w:rPr>
                <w:rFonts w:hint="eastAsia" w:ascii="宋体" w:hAnsi="宋体" w:cs="宋体"/>
                <w:color w:val="auto"/>
                <w:kern w:val="0"/>
                <w:szCs w:val="28"/>
                <w:highlight w:val="none"/>
              </w:rPr>
            </w:pPr>
          </w:p>
        </w:tc>
        <w:tc>
          <w:tcPr>
            <w:tcW w:w="2320" w:type="dxa"/>
            <w:gridSpan w:val="3"/>
            <w:noWrap w:val="0"/>
            <w:vAlign w:val="center"/>
          </w:tcPr>
          <w:p w14:paraId="0684CF42">
            <w:pPr>
              <w:widowControl/>
              <w:spacing w:before="100" w:beforeAutospacing="1" w:after="100" w:afterAutospacing="1" w:line="360" w:lineRule="auto"/>
              <w:ind w:firstLine="0" w:firstLineChars="0"/>
              <w:jc w:val="center"/>
              <w:rPr>
                <w:rFonts w:hint="eastAsia" w:ascii="宋体" w:hAnsi="宋体" w:cs="宋体"/>
                <w:color w:val="auto"/>
                <w:kern w:val="0"/>
                <w:szCs w:val="28"/>
                <w:highlight w:val="none"/>
              </w:rPr>
            </w:pPr>
          </w:p>
        </w:tc>
      </w:tr>
      <w:tr w14:paraId="73A38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997" w:type="dxa"/>
            <w:vMerge w:val="continue"/>
            <w:noWrap w:val="0"/>
            <w:vAlign w:val="center"/>
          </w:tcPr>
          <w:p w14:paraId="5D587231">
            <w:pPr>
              <w:widowControl/>
              <w:spacing w:before="100" w:beforeAutospacing="1" w:after="100" w:afterAutospacing="1" w:line="360" w:lineRule="auto"/>
              <w:ind w:firstLine="0" w:firstLineChars="0"/>
              <w:jc w:val="center"/>
              <w:rPr>
                <w:rFonts w:hint="eastAsia" w:ascii="宋体" w:hAnsi="宋体" w:cs="宋体"/>
                <w:color w:val="auto"/>
                <w:kern w:val="0"/>
                <w:szCs w:val="28"/>
                <w:highlight w:val="none"/>
              </w:rPr>
            </w:pPr>
          </w:p>
        </w:tc>
        <w:tc>
          <w:tcPr>
            <w:tcW w:w="430" w:type="dxa"/>
            <w:noWrap w:val="0"/>
            <w:vAlign w:val="center"/>
          </w:tcPr>
          <w:p w14:paraId="3C9CA746">
            <w:pPr>
              <w:widowControl/>
              <w:spacing w:before="100" w:beforeAutospacing="1" w:after="100" w:afterAutospacing="1" w:line="360" w:lineRule="auto"/>
              <w:ind w:firstLine="0" w:firstLineChars="0"/>
              <w:jc w:val="center"/>
              <w:rPr>
                <w:rFonts w:hint="eastAsia" w:ascii="宋体" w:hAnsi="宋体" w:cs="宋体"/>
                <w:color w:val="auto"/>
                <w:kern w:val="0"/>
                <w:szCs w:val="28"/>
                <w:highlight w:val="none"/>
              </w:rPr>
            </w:pPr>
            <w:r>
              <w:rPr>
                <w:rFonts w:hint="eastAsia" w:ascii="宋体" w:hAnsi="宋体" w:cs="宋体"/>
                <w:color w:val="auto"/>
                <w:kern w:val="0"/>
                <w:szCs w:val="28"/>
                <w:highlight w:val="none"/>
              </w:rPr>
              <w:t>4</w:t>
            </w:r>
          </w:p>
        </w:tc>
        <w:tc>
          <w:tcPr>
            <w:tcW w:w="2230" w:type="dxa"/>
            <w:gridSpan w:val="3"/>
            <w:noWrap w:val="0"/>
            <w:vAlign w:val="center"/>
          </w:tcPr>
          <w:p w14:paraId="4E975E10">
            <w:pPr>
              <w:widowControl/>
              <w:spacing w:before="100" w:beforeAutospacing="1" w:after="100" w:afterAutospacing="1" w:line="360" w:lineRule="auto"/>
              <w:ind w:firstLine="0" w:firstLineChars="0"/>
              <w:rPr>
                <w:rFonts w:hint="eastAsia" w:ascii="宋体" w:hAnsi="宋体" w:cs="宋体"/>
                <w:color w:val="auto"/>
                <w:kern w:val="0"/>
                <w:szCs w:val="28"/>
                <w:highlight w:val="none"/>
              </w:rPr>
            </w:pPr>
          </w:p>
        </w:tc>
        <w:tc>
          <w:tcPr>
            <w:tcW w:w="1560" w:type="dxa"/>
            <w:gridSpan w:val="2"/>
            <w:noWrap w:val="0"/>
            <w:vAlign w:val="center"/>
          </w:tcPr>
          <w:p w14:paraId="2DAD68B3">
            <w:pPr>
              <w:widowControl/>
              <w:spacing w:before="100" w:beforeAutospacing="1" w:after="100" w:afterAutospacing="1" w:line="360" w:lineRule="auto"/>
              <w:ind w:firstLine="0" w:firstLineChars="0"/>
              <w:jc w:val="center"/>
              <w:rPr>
                <w:rFonts w:hint="eastAsia" w:ascii="宋体" w:hAnsi="宋体" w:cs="宋体"/>
                <w:color w:val="auto"/>
                <w:kern w:val="0"/>
                <w:szCs w:val="28"/>
                <w:highlight w:val="none"/>
              </w:rPr>
            </w:pPr>
          </w:p>
        </w:tc>
        <w:tc>
          <w:tcPr>
            <w:tcW w:w="2320" w:type="dxa"/>
            <w:gridSpan w:val="3"/>
            <w:noWrap w:val="0"/>
            <w:vAlign w:val="center"/>
          </w:tcPr>
          <w:p w14:paraId="3014014E">
            <w:pPr>
              <w:widowControl/>
              <w:spacing w:before="100" w:beforeAutospacing="1" w:after="100" w:afterAutospacing="1" w:line="360" w:lineRule="auto"/>
              <w:ind w:firstLine="0" w:firstLineChars="0"/>
              <w:jc w:val="center"/>
              <w:rPr>
                <w:rFonts w:hint="eastAsia" w:ascii="宋体" w:hAnsi="宋体" w:cs="宋体"/>
                <w:color w:val="auto"/>
                <w:kern w:val="0"/>
                <w:szCs w:val="28"/>
                <w:highlight w:val="none"/>
              </w:rPr>
            </w:pPr>
          </w:p>
        </w:tc>
      </w:tr>
      <w:tr w14:paraId="4F58A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997" w:type="dxa"/>
            <w:vMerge w:val="continue"/>
            <w:noWrap w:val="0"/>
            <w:vAlign w:val="center"/>
          </w:tcPr>
          <w:p w14:paraId="0D92550F">
            <w:pPr>
              <w:widowControl/>
              <w:spacing w:before="100" w:beforeAutospacing="1" w:after="100" w:afterAutospacing="1" w:line="360" w:lineRule="auto"/>
              <w:ind w:firstLine="0" w:firstLineChars="0"/>
              <w:jc w:val="center"/>
              <w:rPr>
                <w:rFonts w:hint="eastAsia" w:ascii="宋体" w:hAnsi="宋体" w:cs="宋体"/>
                <w:color w:val="auto"/>
                <w:kern w:val="0"/>
                <w:szCs w:val="28"/>
                <w:highlight w:val="none"/>
              </w:rPr>
            </w:pPr>
          </w:p>
        </w:tc>
        <w:tc>
          <w:tcPr>
            <w:tcW w:w="430" w:type="dxa"/>
            <w:noWrap w:val="0"/>
            <w:vAlign w:val="center"/>
          </w:tcPr>
          <w:p w14:paraId="2E41F54E">
            <w:pPr>
              <w:widowControl/>
              <w:spacing w:before="100" w:beforeAutospacing="1" w:after="100" w:afterAutospacing="1" w:line="360" w:lineRule="auto"/>
              <w:ind w:firstLine="0" w:firstLineChars="0"/>
              <w:jc w:val="center"/>
              <w:rPr>
                <w:rFonts w:hint="eastAsia" w:ascii="宋体" w:hAnsi="宋体" w:cs="宋体"/>
                <w:color w:val="auto"/>
                <w:kern w:val="0"/>
                <w:szCs w:val="28"/>
                <w:highlight w:val="none"/>
              </w:rPr>
            </w:pPr>
            <w:r>
              <w:rPr>
                <w:rFonts w:hint="eastAsia" w:ascii="宋体" w:hAnsi="宋体" w:cs="宋体"/>
                <w:color w:val="auto"/>
                <w:kern w:val="0"/>
                <w:szCs w:val="28"/>
                <w:highlight w:val="none"/>
              </w:rPr>
              <w:t>5</w:t>
            </w:r>
          </w:p>
        </w:tc>
        <w:tc>
          <w:tcPr>
            <w:tcW w:w="2230" w:type="dxa"/>
            <w:gridSpan w:val="3"/>
            <w:noWrap w:val="0"/>
            <w:vAlign w:val="center"/>
          </w:tcPr>
          <w:p w14:paraId="0BA2F48D">
            <w:pPr>
              <w:widowControl/>
              <w:spacing w:before="100" w:beforeAutospacing="1" w:after="100" w:afterAutospacing="1" w:line="360" w:lineRule="auto"/>
              <w:ind w:firstLine="0" w:firstLineChars="0"/>
              <w:rPr>
                <w:rFonts w:hint="eastAsia" w:ascii="宋体" w:hAnsi="宋体" w:cs="宋体"/>
                <w:color w:val="auto"/>
                <w:kern w:val="0"/>
                <w:szCs w:val="28"/>
                <w:highlight w:val="none"/>
              </w:rPr>
            </w:pPr>
          </w:p>
        </w:tc>
        <w:tc>
          <w:tcPr>
            <w:tcW w:w="1560" w:type="dxa"/>
            <w:gridSpan w:val="2"/>
            <w:noWrap w:val="0"/>
            <w:vAlign w:val="center"/>
          </w:tcPr>
          <w:p w14:paraId="23F217CC">
            <w:pPr>
              <w:widowControl/>
              <w:spacing w:before="100" w:beforeAutospacing="1" w:after="100" w:afterAutospacing="1" w:line="360" w:lineRule="auto"/>
              <w:ind w:firstLine="0" w:firstLineChars="0"/>
              <w:jc w:val="center"/>
              <w:rPr>
                <w:rFonts w:hint="eastAsia" w:ascii="宋体" w:hAnsi="宋体" w:cs="宋体"/>
                <w:color w:val="auto"/>
                <w:kern w:val="0"/>
                <w:szCs w:val="28"/>
                <w:highlight w:val="none"/>
              </w:rPr>
            </w:pPr>
          </w:p>
        </w:tc>
        <w:tc>
          <w:tcPr>
            <w:tcW w:w="2320" w:type="dxa"/>
            <w:gridSpan w:val="3"/>
            <w:noWrap w:val="0"/>
            <w:vAlign w:val="center"/>
          </w:tcPr>
          <w:p w14:paraId="22B09812">
            <w:pPr>
              <w:widowControl/>
              <w:spacing w:before="100" w:beforeAutospacing="1" w:after="100" w:afterAutospacing="1" w:line="360" w:lineRule="auto"/>
              <w:ind w:firstLine="0" w:firstLineChars="0"/>
              <w:jc w:val="center"/>
              <w:rPr>
                <w:rFonts w:hint="eastAsia" w:ascii="宋体" w:hAnsi="宋体" w:cs="宋体"/>
                <w:color w:val="auto"/>
                <w:kern w:val="0"/>
                <w:szCs w:val="28"/>
                <w:highlight w:val="none"/>
              </w:rPr>
            </w:pPr>
          </w:p>
        </w:tc>
      </w:tr>
      <w:tr w14:paraId="3B4A9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1319" w:hRule="atLeast"/>
          <w:jc w:val="center"/>
        </w:trPr>
        <w:tc>
          <w:tcPr>
            <w:tcW w:w="1997" w:type="dxa"/>
            <w:noWrap w:val="0"/>
            <w:vAlign w:val="center"/>
          </w:tcPr>
          <w:p w14:paraId="31D32418">
            <w:pPr>
              <w:widowControl/>
              <w:spacing w:before="100" w:beforeAutospacing="1" w:after="100" w:afterAutospacing="1" w:line="360" w:lineRule="auto"/>
              <w:ind w:firstLine="0" w:firstLineChars="0"/>
              <w:jc w:val="center"/>
              <w:rPr>
                <w:rFonts w:hint="eastAsia" w:ascii="宋体" w:hAnsi="宋体" w:cs="宋体"/>
                <w:color w:val="auto"/>
                <w:kern w:val="0"/>
                <w:szCs w:val="28"/>
                <w:highlight w:val="none"/>
              </w:rPr>
            </w:pPr>
            <w:r>
              <w:rPr>
                <w:rFonts w:hint="eastAsia" w:ascii="宋体" w:hAnsi="宋体" w:cs="宋体"/>
                <w:color w:val="auto"/>
                <w:kern w:val="0"/>
                <w:szCs w:val="28"/>
                <w:highlight w:val="none"/>
              </w:rPr>
              <w:t>技术职称</w:t>
            </w:r>
          </w:p>
          <w:p w14:paraId="02AAB38B">
            <w:pPr>
              <w:widowControl/>
              <w:spacing w:before="100" w:beforeAutospacing="1" w:after="100" w:afterAutospacing="1" w:line="360" w:lineRule="auto"/>
              <w:ind w:firstLine="0" w:firstLineChars="0"/>
              <w:jc w:val="center"/>
              <w:rPr>
                <w:rFonts w:hint="eastAsia" w:ascii="宋体" w:hAnsi="宋体" w:cs="宋体"/>
                <w:color w:val="auto"/>
                <w:kern w:val="0"/>
                <w:szCs w:val="28"/>
                <w:highlight w:val="none"/>
              </w:rPr>
            </w:pPr>
            <w:r>
              <w:rPr>
                <w:rFonts w:hint="eastAsia" w:ascii="宋体" w:hAnsi="宋体" w:cs="宋体"/>
                <w:color w:val="auto"/>
                <w:kern w:val="0"/>
                <w:szCs w:val="28"/>
                <w:highlight w:val="none"/>
              </w:rPr>
              <w:t>（资质证书）</w:t>
            </w:r>
          </w:p>
        </w:tc>
        <w:tc>
          <w:tcPr>
            <w:tcW w:w="6529" w:type="dxa"/>
            <w:gridSpan w:val="8"/>
            <w:noWrap w:val="0"/>
            <w:vAlign w:val="center"/>
          </w:tcPr>
          <w:p w14:paraId="41946A5D">
            <w:pPr>
              <w:widowControl/>
              <w:spacing w:before="100" w:beforeAutospacing="1" w:after="100" w:afterAutospacing="1" w:line="360" w:lineRule="auto"/>
              <w:ind w:firstLine="0" w:firstLineChars="0"/>
              <w:rPr>
                <w:rFonts w:hint="eastAsia" w:ascii="宋体" w:hAnsi="宋体" w:cs="宋体"/>
                <w:color w:val="auto"/>
                <w:kern w:val="0"/>
                <w:szCs w:val="28"/>
                <w:highlight w:val="none"/>
              </w:rPr>
            </w:pPr>
          </w:p>
        </w:tc>
      </w:tr>
      <w:tr w14:paraId="424DC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858" w:hRule="atLeast"/>
          <w:jc w:val="center"/>
        </w:trPr>
        <w:tc>
          <w:tcPr>
            <w:tcW w:w="1997" w:type="dxa"/>
            <w:noWrap w:val="0"/>
            <w:vAlign w:val="center"/>
          </w:tcPr>
          <w:p w14:paraId="088926F6">
            <w:pPr>
              <w:widowControl/>
              <w:spacing w:before="100" w:beforeAutospacing="1" w:after="100" w:afterAutospacing="1" w:line="360" w:lineRule="auto"/>
              <w:ind w:firstLine="0" w:firstLineChars="0"/>
              <w:jc w:val="center"/>
              <w:rPr>
                <w:rFonts w:hint="eastAsia" w:ascii="宋体" w:hAnsi="宋体" w:cs="宋体"/>
                <w:color w:val="auto"/>
                <w:kern w:val="0"/>
                <w:szCs w:val="28"/>
                <w:highlight w:val="none"/>
              </w:rPr>
            </w:pPr>
            <w:r>
              <w:rPr>
                <w:rFonts w:hint="eastAsia" w:ascii="宋体" w:hAnsi="宋体" w:cs="宋体"/>
                <w:color w:val="auto"/>
                <w:kern w:val="0"/>
                <w:szCs w:val="28"/>
                <w:highlight w:val="none"/>
              </w:rPr>
              <w:t>获奖情况</w:t>
            </w:r>
          </w:p>
        </w:tc>
        <w:tc>
          <w:tcPr>
            <w:tcW w:w="6529" w:type="dxa"/>
            <w:gridSpan w:val="8"/>
            <w:noWrap w:val="0"/>
            <w:vAlign w:val="center"/>
          </w:tcPr>
          <w:p w14:paraId="6F0AA276">
            <w:pPr>
              <w:widowControl/>
              <w:spacing w:before="100" w:beforeAutospacing="1" w:after="100" w:afterAutospacing="1" w:line="360" w:lineRule="auto"/>
              <w:ind w:firstLine="0" w:firstLineChars="0"/>
              <w:rPr>
                <w:rFonts w:hint="eastAsia" w:ascii="宋体" w:hAnsi="宋体" w:cs="宋体"/>
                <w:color w:val="auto"/>
                <w:kern w:val="0"/>
                <w:szCs w:val="28"/>
                <w:highlight w:val="none"/>
              </w:rPr>
            </w:pPr>
          </w:p>
        </w:tc>
      </w:tr>
      <w:tr w14:paraId="69D3B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1088" w:hRule="atLeast"/>
          <w:jc w:val="center"/>
        </w:trPr>
        <w:tc>
          <w:tcPr>
            <w:tcW w:w="1997" w:type="dxa"/>
            <w:noWrap w:val="0"/>
            <w:vAlign w:val="center"/>
          </w:tcPr>
          <w:p w14:paraId="54F519F2">
            <w:pPr>
              <w:widowControl/>
              <w:spacing w:before="100" w:beforeAutospacing="1" w:after="100" w:afterAutospacing="1" w:line="360" w:lineRule="auto"/>
              <w:ind w:firstLine="0" w:firstLineChars="0"/>
              <w:jc w:val="center"/>
              <w:rPr>
                <w:rFonts w:hint="eastAsia" w:ascii="宋体" w:hAnsi="宋体" w:cs="宋体"/>
                <w:color w:val="auto"/>
                <w:kern w:val="0"/>
                <w:szCs w:val="28"/>
                <w:highlight w:val="none"/>
              </w:rPr>
            </w:pPr>
            <w:r>
              <w:rPr>
                <w:rFonts w:hint="eastAsia" w:ascii="宋体" w:hAnsi="宋体" w:cs="宋体"/>
                <w:color w:val="auto"/>
                <w:kern w:val="0"/>
                <w:szCs w:val="28"/>
                <w:highlight w:val="none"/>
              </w:rPr>
              <w:t>备注</w:t>
            </w:r>
          </w:p>
        </w:tc>
        <w:tc>
          <w:tcPr>
            <w:tcW w:w="6529" w:type="dxa"/>
            <w:gridSpan w:val="8"/>
            <w:noWrap w:val="0"/>
            <w:vAlign w:val="center"/>
          </w:tcPr>
          <w:p w14:paraId="7FBD1212">
            <w:pPr>
              <w:widowControl/>
              <w:spacing w:before="100" w:beforeAutospacing="1" w:after="100" w:afterAutospacing="1" w:line="360" w:lineRule="auto"/>
              <w:ind w:firstLine="0" w:firstLineChars="0"/>
              <w:rPr>
                <w:rFonts w:hint="eastAsia" w:ascii="宋体" w:hAnsi="宋体" w:cs="宋体"/>
                <w:color w:val="auto"/>
                <w:kern w:val="0"/>
                <w:szCs w:val="28"/>
                <w:highlight w:val="none"/>
              </w:rPr>
            </w:pPr>
          </w:p>
        </w:tc>
      </w:tr>
    </w:tbl>
    <w:p w14:paraId="466A279F">
      <w:pPr>
        <w:spacing w:line="360" w:lineRule="auto"/>
        <w:ind w:firstLine="482"/>
        <w:jc w:val="center"/>
        <w:rPr>
          <w:b/>
          <w:color w:val="auto"/>
          <w:highlight w:val="none"/>
        </w:rPr>
      </w:pPr>
    </w:p>
    <w:p w14:paraId="766B0897">
      <w:pPr>
        <w:spacing w:line="360" w:lineRule="auto"/>
        <w:ind w:firstLine="480"/>
        <w:rPr>
          <w:rFonts w:hint="eastAsia" w:ascii="宋体" w:hAnsi="宋体"/>
          <w:color w:val="auto"/>
          <w:highlight w:val="none"/>
        </w:rPr>
      </w:pPr>
      <w:r>
        <w:rPr>
          <w:rFonts w:hint="eastAsia" w:ascii="宋体" w:hAnsi="宋体"/>
          <w:color w:val="auto"/>
          <w:highlight w:val="none"/>
        </w:rPr>
        <w:t>注：随本表提供相关资格证书、社保缴纳凭证及相关证明材料。未提供证明材料、相关人员专业与本项目无关或职业人员资格证上的工作单位非投标单位（工作单位变动，资格证正在变更中的，需提供相关管理部门出具的变更证明材料）的不计入有效范围。</w:t>
      </w:r>
    </w:p>
    <w:p w14:paraId="4A88F101">
      <w:pPr>
        <w:widowControl/>
        <w:snapToGrid w:val="0"/>
        <w:spacing w:line="360" w:lineRule="auto"/>
        <w:ind w:firstLine="0" w:firstLineChars="0"/>
        <w:outlineLvl w:val="1"/>
        <w:rPr>
          <w:rFonts w:hint="eastAsia" w:ascii="宋体" w:hAnsi="宋体"/>
          <w:b/>
          <w:color w:val="auto"/>
          <w:highlight w:val="none"/>
        </w:rPr>
      </w:pPr>
    </w:p>
    <w:p w14:paraId="4769880B">
      <w:pPr>
        <w:spacing w:line="360" w:lineRule="auto"/>
        <w:ind w:firstLine="480"/>
        <w:rPr>
          <w:rFonts w:hint="eastAsia" w:ascii="宋体" w:hAnsi="宋体"/>
          <w:color w:val="auto"/>
          <w:highlight w:val="none"/>
        </w:rPr>
      </w:pPr>
    </w:p>
    <w:p w14:paraId="3E88D795">
      <w:pPr>
        <w:rPr>
          <w:rFonts w:hint="eastAsia"/>
          <w:b/>
          <w:color w:val="auto"/>
          <w:highlight w:val="none"/>
        </w:rPr>
      </w:pPr>
      <w:r>
        <w:rPr>
          <w:rFonts w:hint="eastAsia"/>
          <w:b/>
          <w:color w:val="auto"/>
          <w:highlight w:val="none"/>
        </w:rPr>
        <w:br w:type="page"/>
      </w:r>
    </w:p>
    <w:p w14:paraId="398BCEC6">
      <w:pPr>
        <w:spacing w:line="360" w:lineRule="auto"/>
        <w:ind w:firstLine="482"/>
        <w:jc w:val="center"/>
        <w:rPr>
          <w:rFonts w:hint="eastAsia"/>
          <w:b/>
          <w:color w:val="auto"/>
          <w:highlight w:val="none"/>
        </w:rPr>
      </w:pPr>
      <w:r>
        <w:rPr>
          <w:rFonts w:hint="eastAsia"/>
          <w:b/>
          <w:color w:val="auto"/>
          <w:highlight w:val="none"/>
        </w:rPr>
        <w:t>（二）拟投入项目工作人员汇总表</w:t>
      </w:r>
    </w:p>
    <w:p w14:paraId="10C01D53">
      <w:pPr>
        <w:spacing w:line="360" w:lineRule="auto"/>
        <w:jc w:val="both"/>
        <w:rPr>
          <w:rFonts w:hint="eastAsia"/>
          <w:b/>
          <w:color w:val="auto"/>
          <w:highlight w:val="none"/>
        </w:rPr>
      </w:pPr>
      <w:r>
        <w:rPr>
          <w:rFonts w:hint="eastAsia"/>
          <w:b/>
          <w:color w:val="auto"/>
          <w:highlight w:val="none"/>
        </w:rPr>
        <w:t xml:space="preserve"> </w:t>
      </w:r>
    </w:p>
    <w:tbl>
      <w:tblPr>
        <w:tblStyle w:val="3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840"/>
        <w:gridCol w:w="992"/>
        <w:gridCol w:w="1276"/>
        <w:gridCol w:w="930"/>
        <w:gridCol w:w="912"/>
        <w:gridCol w:w="1560"/>
        <w:gridCol w:w="1701"/>
      </w:tblGrid>
      <w:tr w14:paraId="486ED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660" w:type="dxa"/>
            <w:gridSpan w:val="3"/>
            <w:noWrap w:val="0"/>
            <w:vAlign w:val="center"/>
          </w:tcPr>
          <w:p w14:paraId="4DB9B799">
            <w:pPr>
              <w:widowControl/>
              <w:spacing w:before="100" w:beforeAutospacing="1" w:after="100" w:afterAutospacing="1" w:line="240" w:lineRule="auto"/>
              <w:ind w:firstLine="0" w:firstLineChars="0"/>
              <w:jc w:val="center"/>
              <w:rPr>
                <w:rFonts w:hint="eastAsia" w:ascii="宋体" w:hAnsi="宋体" w:cs="宋体"/>
                <w:b/>
                <w:color w:val="auto"/>
                <w:kern w:val="0"/>
                <w:highlight w:val="none"/>
              </w:rPr>
            </w:pPr>
            <w:r>
              <w:rPr>
                <w:rFonts w:hint="eastAsia" w:ascii="宋体" w:hAnsi="宋体"/>
                <w:b/>
                <w:color w:val="auto"/>
                <w:highlight w:val="none"/>
              </w:rPr>
              <w:t>项目工作人员总数</w:t>
            </w:r>
          </w:p>
        </w:tc>
        <w:tc>
          <w:tcPr>
            <w:tcW w:w="6379" w:type="dxa"/>
            <w:gridSpan w:val="5"/>
            <w:noWrap w:val="0"/>
            <w:vAlign w:val="center"/>
          </w:tcPr>
          <w:p w14:paraId="69D7F711">
            <w:pPr>
              <w:widowControl/>
              <w:spacing w:before="100" w:beforeAutospacing="1" w:after="100" w:afterAutospacing="1" w:line="240" w:lineRule="auto"/>
              <w:ind w:firstLine="0" w:firstLineChars="0"/>
              <w:jc w:val="center"/>
              <w:rPr>
                <w:rFonts w:hint="eastAsia" w:ascii="宋体" w:hAnsi="宋体" w:cs="宋体"/>
                <w:b/>
                <w:color w:val="auto"/>
                <w:kern w:val="0"/>
                <w:highlight w:val="none"/>
              </w:rPr>
            </w:pPr>
          </w:p>
        </w:tc>
      </w:tr>
      <w:tr w14:paraId="25A99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28" w:type="dxa"/>
            <w:noWrap w:val="0"/>
            <w:vAlign w:val="center"/>
          </w:tcPr>
          <w:p w14:paraId="0E41E3A3">
            <w:pPr>
              <w:widowControl/>
              <w:spacing w:before="100" w:beforeAutospacing="1" w:after="100" w:afterAutospacing="1" w:line="240" w:lineRule="auto"/>
              <w:ind w:firstLine="0" w:firstLineChars="0"/>
              <w:jc w:val="center"/>
              <w:rPr>
                <w:rFonts w:hint="eastAsia" w:ascii="宋体" w:hAnsi="宋体" w:cs="宋体"/>
                <w:b/>
                <w:color w:val="auto"/>
                <w:kern w:val="0"/>
                <w:highlight w:val="none"/>
              </w:rPr>
            </w:pPr>
            <w:r>
              <w:rPr>
                <w:rFonts w:hint="eastAsia" w:ascii="宋体" w:hAnsi="宋体" w:cs="宋体"/>
                <w:b/>
                <w:color w:val="auto"/>
                <w:kern w:val="0"/>
                <w:highlight w:val="none"/>
              </w:rPr>
              <w:t>序号</w:t>
            </w:r>
          </w:p>
        </w:tc>
        <w:tc>
          <w:tcPr>
            <w:tcW w:w="840" w:type="dxa"/>
            <w:noWrap w:val="0"/>
            <w:vAlign w:val="center"/>
          </w:tcPr>
          <w:p w14:paraId="7FC0BE4F">
            <w:pPr>
              <w:widowControl/>
              <w:spacing w:before="100" w:beforeAutospacing="1" w:after="100" w:afterAutospacing="1" w:line="240" w:lineRule="auto"/>
              <w:ind w:firstLine="22" w:firstLineChars="9"/>
              <w:jc w:val="center"/>
              <w:rPr>
                <w:rFonts w:hint="eastAsia" w:ascii="宋体" w:hAnsi="宋体" w:cs="宋体"/>
                <w:b/>
                <w:color w:val="auto"/>
                <w:kern w:val="0"/>
                <w:highlight w:val="none"/>
              </w:rPr>
            </w:pPr>
            <w:r>
              <w:rPr>
                <w:rFonts w:hint="eastAsia" w:ascii="宋体" w:hAnsi="宋体" w:cs="宋体"/>
                <w:b/>
                <w:color w:val="auto"/>
                <w:kern w:val="0"/>
                <w:highlight w:val="none"/>
              </w:rPr>
              <w:t>姓名</w:t>
            </w:r>
          </w:p>
        </w:tc>
        <w:tc>
          <w:tcPr>
            <w:tcW w:w="992" w:type="dxa"/>
            <w:noWrap w:val="0"/>
            <w:vAlign w:val="center"/>
          </w:tcPr>
          <w:p w14:paraId="4D5F0AA8">
            <w:pPr>
              <w:widowControl/>
              <w:spacing w:before="100" w:beforeAutospacing="1" w:after="100" w:afterAutospacing="1" w:line="240" w:lineRule="auto"/>
              <w:ind w:firstLine="31" w:firstLineChars="13"/>
              <w:jc w:val="center"/>
              <w:rPr>
                <w:rFonts w:hint="eastAsia" w:ascii="宋体" w:hAnsi="宋体" w:cs="宋体"/>
                <w:b/>
                <w:color w:val="auto"/>
                <w:kern w:val="0"/>
                <w:highlight w:val="none"/>
              </w:rPr>
            </w:pPr>
            <w:r>
              <w:rPr>
                <w:rFonts w:hint="eastAsia" w:ascii="宋体" w:hAnsi="宋体" w:cs="宋体"/>
                <w:b/>
                <w:color w:val="auto"/>
                <w:kern w:val="0"/>
                <w:highlight w:val="none"/>
              </w:rPr>
              <w:t>性别</w:t>
            </w:r>
          </w:p>
        </w:tc>
        <w:tc>
          <w:tcPr>
            <w:tcW w:w="1276" w:type="dxa"/>
            <w:noWrap w:val="0"/>
            <w:vAlign w:val="center"/>
          </w:tcPr>
          <w:p w14:paraId="1D829AA0">
            <w:pPr>
              <w:widowControl/>
              <w:spacing w:before="100" w:beforeAutospacing="1" w:after="100" w:afterAutospacing="1" w:line="240" w:lineRule="auto"/>
              <w:ind w:firstLine="0" w:firstLineChars="0"/>
              <w:jc w:val="center"/>
              <w:rPr>
                <w:rFonts w:hint="eastAsia" w:ascii="宋体" w:hAnsi="宋体" w:cs="宋体"/>
                <w:b/>
                <w:color w:val="auto"/>
                <w:kern w:val="0"/>
                <w:highlight w:val="none"/>
              </w:rPr>
            </w:pPr>
            <w:r>
              <w:rPr>
                <w:rFonts w:hint="eastAsia" w:ascii="宋体" w:hAnsi="宋体" w:cs="宋体"/>
                <w:b/>
                <w:color w:val="auto"/>
                <w:kern w:val="0"/>
                <w:highlight w:val="none"/>
              </w:rPr>
              <w:t>出生日期</w:t>
            </w:r>
          </w:p>
        </w:tc>
        <w:tc>
          <w:tcPr>
            <w:tcW w:w="930" w:type="dxa"/>
            <w:noWrap w:val="0"/>
            <w:vAlign w:val="center"/>
          </w:tcPr>
          <w:p w14:paraId="20780604">
            <w:pPr>
              <w:widowControl/>
              <w:spacing w:before="100" w:beforeAutospacing="1" w:after="100" w:afterAutospacing="1" w:line="240" w:lineRule="auto"/>
              <w:ind w:firstLine="0" w:firstLineChars="0"/>
              <w:jc w:val="center"/>
              <w:rPr>
                <w:rFonts w:hint="eastAsia" w:ascii="宋体" w:hAnsi="宋体" w:cs="宋体"/>
                <w:b/>
                <w:color w:val="auto"/>
                <w:kern w:val="0"/>
                <w:highlight w:val="none"/>
              </w:rPr>
            </w:pPr>
            <w:r>
              <w:rPr>
                <w:rFonts w:hint="eastAsia" w:ascii="宋体" w:hAnsi="宋体" w:cs="宋体"/>
                <w:b/>
                <w:color w:val="auto"/>
                <w:kern w:val="0"/>
                <w:highlight w:val="none"/>
              </w:rPr>
              <w:t>学历</w:t>
            </w:r>
          </w:p>
        </w:tc>
        <w:tc>
          <w:tcPr>
            <w:tcW w:w="912" w:type="dxa"/>
            <w:noWrap w:val="0"/>
            <w:vAlign w:val="center"/>
          </w:tcPr>
          <w:p w14:paraId="7428764A">
            <w:pPr>
              <w:widowControl/>
              <w:spacing w:before="100" w:beforeAutospacing="1" w:after="100" w:afterAutospacing="1" w:line="240" w:lineRule="auto"/>
              <w:ind w:firstLine="0" w:firstLineChars="0"/>
              <w:jc w:val="center"/>
              <w:rPr>
                <w:rFonts w:hint="eastAsia" w:ascii="宋体" w:hAnsi="宋体" w:cs="宋体"/>
                <w:b/>
                <w:color w:val="auto"/>
                <w:kern w:val="0"/>
                <w:highlight w:val="none"/>
              </w:rPr>
            </w:pPr>
            <w:r>
              <w:rPr>
                <w:rFonts w:hint="eastAsia" w:ascii="宋体" w:hAnsi="宋体" w:cs="宋体"/>
                <w:b/>
                <w:color w:val="auto"/>
                <w:kern w:val="0"/>
                <w:highlight w:val="none"/>
              </w:rPr>
              <w:t>专业</w:t>
            </w:r>
          </w:p>
        </w:tc>
        <w:tc>
          <w:tcPr>
            <w:tcW w:w="1560" w:type="dxa"/>
            <w:noWrap w:val="0"/>
            <w:vAlign w:val="center"/>
          </w:tcPr>
          <w:p w14:paraId="6954A90F">
            <w:pPr>
              <w:widowControl/>
              <w:spacing w:before="100" w:beforeAutospacing="1" w:after="100" w:afterAutospacing="1" w:line="240" w:lineRule="auto"/>
              <w:ind w:firstLine="0" w:firstLineChars="0"/>
              <w:jc w:val="center"/>
              <w:rPr>
                <w:rFonts w:hint="eastAsia" w:ascii="宋体" w:hAnsi="宋体" w:eastAsia="宋体" w:cs="宋体"/>
                <w:b/>
                <w:color w:val="auto"/>
                <w:kern w:val="0"/>
                <w:highlight w:val="none"/>
              </w:rPr>
            </w:pPr>
            <w:r>
              <w:rPr>
                <w:rFonts w:hint="eastAsia" w:ascii="宋体" w:hAnsi="宋体" w:eastAsia="宋体" w:cs="宋体"/>
                <w:b/>
                <w:color w:val="auto"/>
                <w:kern w:val="0"/>
                <w:highlight w:val="none"/>
              </w:rPr>
              <w:t>技术职称</w:t>
            </w:r>
            <w:r>
              <w:rPr>
                <w:rFonts w:hint="eastAsia" w:ascii="宋体" w:hAnsi="宋体" w:eastAsia="宋体" w:cs="宋体"/>
                <w:b/>
                <w:color w:val="auto"/>
                <w:kern w:val="0"/>
                <w:highlight w:val="none"/>
                <w:lang w:val="en-US" w:eastAsia="zh-CN"/>
              </w:rPr>
              <w:t xml:space="preserve"> </w:t>
            </w:r>
            <w:r>
              <w:rPr>
                <w:rFonts w:hint="eastAsia" w:ascii="宋体" w:hAnsi="宋体" w:eastAsia="宋体" w:cs="宋体"/>
                <w:b/>
                <w:color w:val="auto"/>
                <w:kern w:val="0"/>
                <w:highlight w:val="none"/>
              </w:rPr>
              <w:t>（资质证书）</w:t>
            </w:r>
          </w:p>
        </w:tc>
        <w:tc>
          <w:tcPr>
            <w:tcW w:w="1701" w:type="dxa"/>
            <w:noWrap w:val="0"/>
            <w:vAlign w:val="center"/>
          </w:tcPr>
          <w:p w14:paraId="74BFB5EF">
            <w:pPr>
              <w:widowControl/>
              <w:spacing w:before="100" w:beforeAutospacing="1" w:after="100" w:afterAutospacing="1" w:line="240" w:lineRule="auto"/>
              <w:ind w:firstLine="0" w:firstLineChars="0"/>
              <w:jc w:val="center"/>
              <w:rPr>
                <w:rFonts w:hint="eastAsia" w:ascii="宋体" w:hAnsi="宋体" w:cs="宋体"/>
                <w:b/>
                <w:color w:val="auto"/>
                <w:kern w:val="0"/>
                <w:highlight w:val="none"/>
              </w:rPr>
            </w:pPr>
            <w:r>
              <w:rPr>
                <w:rFonts w:hint="eastAsia" w:ascii="宋体" w:hAnsi="宋体" w:cs="宋体"/>
                <w:b/>
                <w:color w:val="auto"/>
                <w:kern w:val="0"/>
                <w:highlight w:val="none"/>
              </w:rPr>
              <w:t>在本项目中主要负责工作</w:t>
            </w:r>
          </w:p>
        </w:tc>
      </w:tr>
      <w:tr w14:paraId="2C36B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28" w:type="dxa"/>
            <w:noWrap w:val="0"/>
            <w:vAlign w:val="center"/>
          </w:tcPr>
          <w:p w14:paraId="06D6498C">
            <w:pPr>
              <w:widowControl/>
              <w:spacing w:before="100" w:beforeAutospacing="1" w:after="100" w:afterAutospacing="1" w:line="240" w:lineRule="auto"/>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1</w:t>
            </w:r>
          </w:p>
        </w:tc>
        <w:tc>
          <w:tcPr>
            <w:tcW w:w="840" w:type="dxa"/>
            <w:noWrap w:val="0"/>
            <w:vAlign w:val="center"/>
          </w:tcPr>
          <w:p w14:paraId="43DE9D1D">
            <w:pPr>
              <w:widowControl/>
              <w:spacing w:before="100" w:beforeAutospacing="1" w:after="100" w:afterAutospacing="1" w:line="240" w:lineRule="auto"/>
              <w:ind w:firstLine="21" w:firstLineChars="9"/>
              <w:jc w:val="center"/>
              <w:rPr>
                <w:rFonts w:hint="eastAsia" w:ascii="宋体" w:hAnsi="宋体" w:cs="宋体"/>
                <w:color w:val="auto"/>
                <w:kern w:val="0"/>
                <w:highlight w:val="none"/>
              </w:rPr>
            </w:pPr>
          </w:p>
        </w:tc>
        <w:tc>
          <w:tcPr>
            <w:tcW w:w="992" w:type="dxa"/>
            <w:noWrap w:val="0"/>
            <w:vAlign w:val="center"/>
          </w:tcPr>
          <w:p w14:paraId="312C323E">
            <w:pPr>
              <w:widowControl/>
              <w:spacing w:before="100" w:beforeAutospacing="1" w:after="100" w:afterAutospacing="1" w:line="240" w:lineRule="auto"/>
              <w:ind w:firstLine="31" w:firstLineChars="13"/>
              <w:jc w:val="center"/>
              <w:rPr>
                <w:rFonts w:hint="eastAsia" w:ascii="宋体" w:hAnsi="宋体" w:cs="宋体"/>
                <w:color w:val="auto"/>
                <w:kern w:val="0"/>
                <w:highlight w:val="none"/>
              </w:rPr>
            </w:pPr>
          </w:p>
        </w:tc>
        <w:tc>
          <w:tcPr>
            <w:tcW w:w="1276" w:type="dxa"/>
            <w:noWrap w:val="0"/>
            <w:vAlign w:val="center"/>
          </w:tcPr>
          <w:p w14:paraId="7B29B579">
            <w:pPr>
              <w:widowControl/>
              <w:spacing w:before="100" w:beforeAutospacing="1" w:after="100" w:afterAutospacing="1" w:line="240" w:lineRule="auto"/>
              <w:ind w:firstLine="480"/>
              <w:jc w:val="center"/>
              <w:rPr>
                <w:rFonts w:hint="eastAsia" w:ascii="宋体" w:hAnsi="宋体" w:cs="宋体"/>
                <w:color w:val="auto"/>
                <w:kern w:val="0"/>
                <w:highlight w:val="none"/>
              </w:rPr>
            </w:pPr>
          </w:p>
        </w:tc>
        <w:tc>
          <w:tcPr>
            <w:tcW w:w="930" w:type="dxa"/>
            <w:noWrap w:val="0"/>
            <w:vAlign w:val="center"/>
          </w:tcPr>
          <w:p w14:paraId="5097E0DE">
            <w:pPr>
              <w:widowControl/>
              <w:spacing w:before="100" w:beforeAutospacing="1" w:after="100" w:afterAutospacing="1" w:line="240" w:lineRule="auto"/>
              <w:ind w:firstLine="480"/>
              <w:jc w:val="center"/>
              <w:rPr>
                <w:rFonts w:hint="eastAsia" w:ascii="宋体" w:hAnsi="宋体" w:cs="宋体"/>
                <w:color w:val="auto"/>
                <w:kern w:val="0"/>
                <w:highlight w:val="none"/>
              </w:rPr>
            </w:pPr>
          </w:p>
        </w:tc>
        <w:tc>
          <w:tcPr>
            <w:tcW w:w="912" w:type="dxa"/>
            <w:noWrap w:val="0"/>
            <w:vAlign w:val="center"/>
          </w:tcPr>
          <w:p w14:paraId="0AE7003D">
            <w:pPr>
              <w:widowControl/>
              <w:spacing w:before="100" w:beforeAutospacing="1" w:after="100" w:afterAutospacing="1" w:line="240" w:lineRule="auto"/>
              <w:ind w:firstLine="480"/>
              <w:jc w:val="center"/>
              <w:rPr>
                <w:rFonts w:hint="eastAsia" w:ascii="宋体" w:hAnsi="宋体" w:cs="宋体"/>
                <w:color w:val="auto"/>
                <w:kern w:val="0"/>
                <w:highlight w:val="none"/>
              </w:rPr>
            </w:pPr>
          </w:p>
        </w:tc>
        <w:tc>
          <w:tcPr>
            <w:tcW w:w="1560" w:type="dxa"/>
            <w:noWrap w:val="0"/>
            <w:vAlign w:val="center"/>
          </w:tcPr>
          <w:p w14:paraId="5BD0E223">
            <w:pPr>
              <w:widowControl/>
              <w:spacing w:before="100" w:beforeAutospacing="1" w:after="100" w:afterAutospacing="1" w:line="240" w:lineRule="auto"/>
              <w:ind w:firstLine="0" w:firstLineChars="0"/>
              <w:jc w:val="center"/>
              <w:rPr>
                <w:rFonts w:hint="eastAsia" w:ascii="宋体" w:hAnsi="宋体" w:eastAsia="宋体" w:cs="宋体"/>
                <w:b/>
                <w:color w:val="auto"/>
                <w:kern w:val="0"/>
                <w:highlight w:val="none"/>
              </w:rPr>
            </w:pPr>
          </w:p>
        </w:tc>
        <w:tc>
          <w:tcPr>
            <w:tcW w:w="1701" w:type="dxa"/>
            <w:noWrap w:val="0"/>
            <w:vAlign w:val="center"/>
          </w:tcPr>
          <w:p w14:paraId="74BF4EE2">
            <w:pPr>
              <w:widowControl/>
              <w:spacing w:before="100" w:beforeAutospacing="1" w:after="100" w:afterAutospacing="1" w:line="240" w:lineRule="auto"/>
              <w:ind w:firstLine="480"/>
              <w:jc w:val="center"/>
              <w:rPr>
                <w:rFonts w:hint="eastAsia" w:ascii="宋体" w:hAnsi="宋体" w:cs="宋体"/>
                <w:color w:val="auto"/>
                <w:kern w:val="0"/>
                <w:highlight w:val="none"/>
              </w:rPr>
            </w:pPr>
          </w:p>
        </w:tc>
      </w:tr>
      <w:tr w14:paraId="7E78D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28" w:type="dxa"/>
            <w:noWrap w:val="0"/>
            <w:vAlign w:val="center"/>
          </w:tcPr>
          <w:p w14:paraId="18F12FF0">
            <w:pPr>
              <w:widowControl/>
              <w:spacing w:before="100" w:beforeAutospacing="1" w:after="100" w:afterAutospacing="1" w:line="240" w:lineRule="auto"/>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2</w:t>
            </w:r>
          </w:p>
        </w:tc>
        <w:tc>
          <w:tcPr>
            <w:tcW w:w="840" w:type="dxa"/>
            <w:noWrap w:val="0"/>
            <w:vAlign w:val="center"/>
          </w:tcPr>
          <w:p w14:paraId="5F57B852">
            <w:pPr>
              <w:widowControl/>
              <w:spacing w:before="100" w:beforeAutospacing="1" w:after="100" w:afterAutospacing="1" w:line="240" w:lineRule="auto"/>
              <w:ind w:firstLine="21" w:firstLineChars="9"/>
              <w:jc w:val="center"/>
              <w:rPr>
                <w:rFonts w:hint="eastAsia" w:ascii="宋体" w:hAnsi="宋体" w:cs="宋体"/>
                <w:color w:val="auto"/>
                <w:kern w:val="0"/>
                <w:highlight w:val="none"/>
              </w:rPr>
            </w:pPr>
          </w:p>
        </w:tc>
        <w:tc>
          <w:tcPr>
            <w:tcW w:w="992" w:type="dxa"/>
            <w:noWrap w:val="0"/>
            <w:vAlign w:val="center"/>
          </w:tcPr>
          <w:p w14:paraId="5E9311AC">
            <w:pPr>
              <w:widowControl/>
              <w:spacing w:before="100" w:beforeAutospacing="1" w:after="100" w:afterAutospacing="1" w:line="240" w:lineRule="auto"/>
              <w:ind w:firstLine="31" w:firstLineChars="13"/>
              <w:jc w:val="center"/>
              <w:rPr>
                <w:rFonts w:hint="eastAsia" w:ascii="宋体" w:hAnsi="宋体" w:cs="宋体"/>
                <w:color w:val="auto"/>
                <w:kern w:val="0"/>
                <w:highlight w:val="none"/>
              </w:rPr>
            </w:pPr>
          </w:p>
        </w:tc>
        <w:tc>
          <w:tcPr>
            <w:tcW w:w="1276" w:type="dxa"/>
            <w:noWrap w:val="0"/>
            <w:vAlign w:val="center"/>
          </w:tcPr>
          <w:p w14:paraId="286B9572">
            <w:pPr>
              <w:widowControl/>
              <w:spacing w:before="100" w:beforeAutospacing="1" w:after="100" w:afterAutospacing="1" w:line="240" w:lineRule="auto"/>
              <w:ind w:firstLine="480"/>
              <w:jc w:val="center"/>
              <w:rPr>
                <w:rFonts w:hint="eastAsia" w:ascii="宋体" w:hAnsi="宋体" w:cs="宋体"/>
                <w:color w:val="auto"/>
                <w:kern w:val="0"/>
                <w:highlight w:val="none"/>
              </w:rPr>
            </w:pPr>
          </w:p>
        </w:tc>
        <w:tc>
          <w:tcPr>
            <w:tcW w:w="930" w:type="dxa"/>
            <w:noWrap w:val="0"/>
            <w:vAlign w:val="center"/>
          </w:tcPr>
          <w:p w14:paraId="74617422">
            <w:pPr>
              <w:widowControl/>
              <w:spacing w:before="100" w:beforeAutospacing="1" w:after="100" w:afterAutospacing="1" w:line="240" w:lineRule="auto"/>
              <w:ind w:firstLine="480"/>
              <w:jc w:val="center"/>
              <w:rPr>
                <w:rFonts w:hint="eastAsia" w:ascii="宋体" w:hAnsi="宋体" w:cs="宋体"/>
                <w:color w:val="auto"/>
                <w:kern w:val="0"/>
                <w:highlight w:val="none"/>
              </w:rPr>
            </w:pPr>
          </w:p>
        </w:tc>
        <w:tc>
          <w:tcPr>
            <w:tcW w:w="912" w:type="dxa"/>
            <w:noWrap w:val="0"/>
            <w:vAlign w:val="center"/>
          </w:tcPr>
          <w:p w14:paraId="5F9C5308">
            <w:pPr>
              <w:widowControl/>
              <w:spacing w:before="100" w:beforeAutospacing="1" w:after="100" w:afterAutospacing="1" w:line="240" w:lineRule="auto"/>
              <w:ind w:firstLine="480"/>
              <w:jc w:val="center"/>
              <w:rPr>
                <w:rFonts w:hint="eastAsia" w:ascii="宋体" w:hAnsi="宋体" w:cs="宋体"/>
                <w:color w:val="auto"/>
                <w:kern w:val="0"/>
                <w:highlight w:val="none"/>
              </w:rPr>
            </w:pPr>
          </w:p>
        </w:tc>
        <w:tc>
          <w:tcPr>
            <w:tcW w:w="1560" w:type="dxa"/>
            <w:noWrap w:val="0"/>
            <w:vAlign w:val="center"/>
          </w:tcPr>
          <w:p w14:paraId="052B1BF4">
            <w:pPr>
              <w:widowControl/>
              <w:spacing w:before="100" w:beforeAutospacing="1" w:after="100" w:afterAutospacing="1" w:line="240" w:lineRule="auto"/>
              <w:ind w:firstLine="480"/>
              <w:jc w:val="center"/>
              <w:rPr>
                <w:rFonts w:hint="eastAsia" w:ascii="宋体" w:hAnsi="宋体" w:cs="宋体"/>
                <w:color w:val="auto"/>
                <w:kern w:val="0"/>
                <w:highlight w:val="none"/>
              </w:rPr>
            </w:pPr>
          </w:p>
        </w:tc>
        <w:tc>
          <w:tcPr>
            <w:tcW w:w="1701" w:type="dxa"/>
            <w:noWrap w:val="0"/>
            <w:vAlign w:val="center"/>
          </w:tcPr>
          <w:p w14:paraId="2BC9A594">
            <w:pPr>
              <w:widowControl/>
              <w:spacing w:before="100" w:beforeAutospacing="1" w:after="100" w:afterAutospacing="1" w:line="240" w:lineRule="auto"/>
              <w:ind w:firstLine="480"/>
              <w:jc w:val="center"/>
              <w:rPr>
                <w:rFonts w:hint="eastAsia" w:ascii="宋体" w:hAnsi="宋体" w:cs="宋体"/>
                <w:color w:val="auto"/>
                <w:kern w:val="0"/>
                <w:highlight w:val="none"/>
              </w:rPr>
            </w:pPr>
          </w:p>
        </w:tc>
      </w:tr>
      <w:tr w14:paraId="27EEE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28" w:type="dxa"/>
            <w:noWrap w:val="0"/>
            <w:vAlign w:val="center"/>
          </w:tcPr>
          <w:p w14:paraId="44ECF502">
            <w:pPr>
              <w:widowControl/>
              <w:spacing w:before="100" w:beforeAutospacing="1" w:after="100" w:afterAutospacing="1" w:line="240" w:lineRule="auto"/>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3</w:t>
            </w:r>
          </w:p>
        </w:tc>
        <w:tc>
          <w:tcPr>
            <w:tcW w:w="840" w:type="dxa"/>
            <w:noWrap w:val="0"/>
            <w:vAlign w:val="center"/>
          </w:tcPr>
          <w:p w14:paraId="3CD747C6">
            <w:pPr>
              <w:widowControl/>
              <w:spacing w:before="100" w:beforeAutospacing="1" w:after="100" w:afterAutospacing="1" w:line="240" w:lineRule="auto"/>
              <w:ind w:firstLine="21" w:firstLineChars="9"/>
              <w:jc w:val="center"/>
              <w:rPr>
                <w:rFonts w:hint="eastAsia" w:ascii="宋体" w:hAnsi="宋体" w:cs="宋体"/>
                <w:color w:val="auto"/>
                <w:kern w:val="0"/>
                <w:highlight w:val="none"/>
              </w:rPr>
            </w:pPr>
          </w:p>
        </w:tc>
        <w:tc>
          <w:tcPr>
            <w:tcW w:w="992" w:type="dxa"/>
            <w:noWrap w:val="0"/>
            <w:vAlign w:val="center"/>
          </w:tcPr>
          <w:p w14:paraId="49B7CD9B">
            <w:pPr>
              <w:widowControl/>
              <w:spacing w:before="100" w:beforeAutospacing="1" w:after="100" w:afterAutospacing="1" w:line="240" w:lineRule="auto"/>
              <w:ind w:firstLine="31" w:firstLineChars="13"/>
              <w:jc w:val="center"/>
              <w:rPr>
                <w:rFonts w:hint="eastAsia" w:ascii="宋体" w:hAnsi="宋体" w:cs="宋体"/>
                <w:color w:val="auto"/>
                <w:kern w:val="0"/>
                <w:highlight w:val="none"/>
              </w:rPr>
            </w:pPr>
          </w:p>
        </w:tc>
        <w:tc>
          <w:tcPr>
            <w:tcW w:w="1276" w:type="dxa"/>
            <w:noWrap w:val="0"/>
            <w:vAlign w:val="center"/>
          </w:tcPr>
          <w:p w14:paraId="4A70F584">
            <w:pPr>
              <w:widowControl/>
              <w:spacing w:before="100" w:beforeAutospacing="1" w:after="100" w:afterAutospacing="1" w:line="240" w:lineRule="auto"/>
              <w:ind w:firstLine="480"/>
              <w:jc w:val="center"/>
              <w:rPr>
                <w:rFonts w:hint="eastAsia" w:ascii="宋体" w:hAnsi="宋体" w:cs="宋体"/>
                <w:color w:val="auto"/>
                <w:kern w:val="0"/>
                <w:highlight w:val="none"/>
              </w:rPr>
            </w:pPr>
          </w:p>
        </w:tc>
        <w:tc>
          <w:tcPr>
            <w:tcW w:w="930" w:type="dxa"/>
            <w:noWrap w:val="0"/>
            <w:vAlign w:val="center"/>
          </w:tcPr>
          <w:p w14:paraId="4CE16053">
            <w:pPr>
              <w:widowControl/>
              <w:spacing w:before="100" w:beforeAutospacing="1" w:after="100" w:afterAutospacing="1" w:line="240" w:lineRule="auto"/>
              <w:ind w:firstLine="480"/>
              <w:jc w:val="center"/>
              <w:rPr>
                <w:rFonts w:hint="eastAsia" w:ascii="宋体" w:hAnsi="宋体" w:cs="宋体"/>
                <w:color w:val="auto"/>
                <w:kern w:val="0"/>
                <w:highlight w:val="none"/>
              </w:rPr>
            </w:pPr>
          </w:p>
        </w:tc>
        <w:tc>
          <w:tcPr>
            <w:tcW w:w="912" w:type="dxa"/>
            <w:noWrap w:val="0"/>
            <w:vAlign w:val="center"/>
          </w:tcPr>
          <w:p w14:paraId="656245DC">
            <w:pPr>
              <w:widowControl/>
              <w:spacing w:before="100" w:beforeAutospacing="1" w:after="100" w:afterAutospacing="1" w:line="240" w:lineRule="auto"/>
              <w:ind w:firstLine="480"/>
              <w:jc w:val="center"/>
              <w:rPr>
                <w:rFonts w:hint="eastAsia" w:ascii="宋体" w:hAnsi="宋体" w:cs="宋体"/>
                <w:color w:val="auto"/>
                <w:kern w:val="0"/>
                <w:highlight w:val="none"/>
              </w:rPr>
            </w:pPr>
          </w:p>
        </w:tc>
        <w:tc>
          <w:tcPr>
            <w:tcW w:w="1560" w:type="dxa"/>
            <w:noWrap w:val="0"/>
            <w:vAlign w:val="center"/>
          </w:tcPr>
          <w:p w14:paraId="7B2C7DC3">
            <w:pPr>
              <w:widowControl/>
              <w:spacing w:before="100" w:beforeAutospacing="1" w:after="100" w:afterAutospacing="1" w:line="240" w:lineRule="auto"/>
              <w:ind w:firstLine="480"/>
              <w:jc w:val="center"/>
              <w:rPr>
                <w:rFonts w:hint="eastAsia" w:ascii="宋体" w:hAnsi="宋体" w:cs="宋体"/>
                <w:color w:val="auto"/>
                <w:kern w:val="0"/>
                <w:highlight w:val="none"/>
              </w:rPr>
            </w:pPr>
          </w:p>
        </w:tc>
        <w:tc>
          <w:tcPr>
            <w:tcW w:w="1701" w:type="dxa"/>
            <w:noWrap w:val="0"/>
            <w:vAlign w:val="center"/>
          </w:tcPr>
          <w:p w14:paraId="786D5E1C">
            <w:pPr>
              <w:widowControl/>
              <w:spacing w:before="100" w:beforeAutospacing="1" w:after="100" w:afterAutospacing="1" w:line="240" w:lineRule="auto"/>
              <w:ind w:firstLine="480"/>
              <w:jc w:val="center"/>
              <w:rPr>
                <w:rFonts w:hint="eastAsia" w:ascii="宋体" w:hAnsi="宋体" w:cs="宋体"/>
                <w:color w:val="auto"/>
                <w:kern w:val="0"/>
                <w:highlight w:val="none"/>
              </w:rPr>
            </w:pPr>
          </w:p>
        </w:tc>
      </w:tr>
      <w:tr w14:paraId="185B4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828" w:type="dxa"/>
            <w:noWrap w:val="0"/>
            <w:vAlign w:val="center"/>
          </w:tcPr>
          <w:p w14:paraId="560E8607">
            <w:pPr>
              <w:widowControl/>
              <w:spacing w:before="100" w:beforeAutospacing="1" w:after="100" w:afterAutospacing="1" w:line="240" w:lineRule="auto"/>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4</w:t>
            </w:r>
          </w:p>
        </w:tc>
        <w:tc>
          <w:tcPr>
            <w:tcW w:w="840" w:type="dxa"/>
            <w:noWrap w:val="0"/>
            <w:vAlign w:val="center"/>
          </w:tcPr>
          <w:p w14:paraId="291F9533">
            <w:pPr>
              <w:widowControl/>
              <w:spacing w:before="100" w:beforeAutospacing="1" w:after="100" w:afterAutospacing="1" w:line="240" w:lineRule="auto"/>
              <w:ind w:firstLine="21" w:firstLineChars="9"/>
              <w:jc w:val="center"/>
              <w:rPr>
                <w:rFonts w:hint="eastAsia" w:ascii="宋体" w:hAnsi="宋体" w:cs="宋体"/>
                <w:color w:val="auto"/>
                <w:kern w:val="0"/>
                <w:highlight w:val="none"/>
              </w:rPr>
            </w:pPr>
          </w:p>
        </w:tc>
        <w:tc>
          <w:tcPr>
            <w:tcW w:w="992" w:type="dxa"/>
            <w:noWrap w:val="0"/>
            <w:vAlign w:val="center"/>
          </w:tcPr>
          <w:p w14:paraId="559685DD">
            <w:pPr>
              <w:widowControl/>
              <w:spacing w:before="100" w:beforeAutospacing="1" w:after="100" w:afterAutospacing="1" w:line="240" w:lineRule="auto"/>
              <w:ind w:firstLine="31" w:firstLineChars="13"/>
              <w:jc w:val="center"/>
              <w:rPr>
                <w:rFonts w:hint="eastAsia" w:ascii="宋体" w:hAnsi="宋体" w:cs="宋体"/>
                <w:color w:val="auto"/>
                <w:kern w:val="0"/>
                <w:highlight w:val="none"/>
              </w:rPr>
            </w:pPr>
          </w:p>
        </w:tc>
        <w:tc>
          <w:tcPr>
            <w:tcW w:w="1276" w:type="dxa"/>
            <w:noWrap w:val="0"/>
            <w:vAlign w:val="center"/>
          </w:tcPr>
          <w:p w14:paraId="329B7C3E">
            <w:pPr>
              <w:widowControl/>
              <w:spacing w:before="100" w:beforeAutospacing="1" w:after="100" w:afterAutospacing="1" w:line="240" w:lineRule="auto"/>
              <w:ind w:firstLine="480"/>
              <w:jc w:val="center"/>
              <w:rPr>
                <w:rFonts w:hint="eastAsia" w:ascii="宋体" w:hAnsi="宋体" w:cs="宋体"/>
                <w:color w:val="auto"/>
                <w:kern w:val="0"/>
                <w:highlight w:val="none"/>
              </w:rPr>
            </w:pPr>
          </w:p>
        </w:tc>
        <w:tc>
          <w:tcPr>
            <w:tcW w:w="930" w:type="dxa"/>
            <w:noWrap w:val="0"/>
            <w:vAlign w:val="center"/>
          </w:tcPr>
          <w:p w14:paraId="430AB5DE">
            <w:pPr>
              <w:widowControl/>
              <w:spacing w:before="100" w:beforeAutospacing="1" w:after="100" w:afterAutospacing="1" w:line="240" w:lineRule="auto"/>
              <w:ind w:firstLine="480"/>
              <w:jc w:val="center"/>
              <w:rPr>
                <w:rFonts w:hint="eastAsia" w:ascii="宋体" w:hAnsi="宋体" w:cs="宋体"/>
                <w:color w:val="auto"/>
                <w:kern w:val="0"/>
                <w:highlight w:val="none"/>
              </w:rPr>
            </w:pPr>
          </w:p>
        </w:tc>
        <w:tc>
          <w:tcPr>
            <w:tcW w:w="912" w:type="dxa"/>
            <w:noWrap w:val="0"/>
            <w:vAlign w:val="center"/>
          </w:tcPr>
          <w:p w14:paraId="081C087F">
            <w:pPr>
              <w:widowControl/>
              <w:spacing w:before="100" w:beforeAutospacing="1" w:after="100" w:afterAutospacing="1" w:line="240" w:lineRule="auto"/>
              <w:ind w:firstLine="480"/>
              <w:jc w:val="center"/>
              <w:rPr>
                <w:rFonts w:hint="eastAsia" w:ascii="宋体" w:hAnsi="宋体" w:cs="宋体"/>
                <w:color w:val="auto"/>
                <w:kern w:val="0"/>
                <w:highlight w:val="none"/>
              </w:rPr>
            </w:pPr>
          </w:p>
        </w:tc>
        <w:tc>
          <w:tcPr>
            <w:tcW w:w="1560" w:type="dxa"/>
            <w:noWrap w:val="0"/>
            <w:vAlign w:val="center"/>
          </w:tcPr>
          <w:p w14:paraId="02FFB5BE">
            <w:pPr>
              <w:widowControl/>
              <w:spacing w:before="100" w:beforeAutospacing="1" w:after="100" w:afterAutospacing="1" w:line="240" w:lineRule="auto"/>
              <w:ind w:firstLine="480"/>
              <w:jc w:val="center"/>
              <w:rPr>
                <w:rFonts w:hint="eastAsia" w:ascii="宋体" w:hAnsi="宋体" w:cs="宋体"/>
                <w:color w:val="auto"/>
                <w:kern w:val="0"/>
                <w:highlight w:val="none"/>
              </w:rPr>
            </w:pPr>
          </w:p>
        </w:tc>
        <w:tc>
          <w:tcPr>
            <w:tcW w:w="1701" w:type="dxa"/>
            <w:noWrap w:val="0"/>
            <w:vAlign w:val="center"/>
          </w:tcPr>
          <w:p w14:paraId="55E38792">
            <w:pPr>
              <w:widowControl/>
              <w:spacing w:before="100" w:beforeAutospacing="1" w:after="100" w:afterAutospacing="1" w:line="240" w:lineRule="auto"/>
              <w:ind w:firstLine="480"/>
              <w:jc w:val="center"/>
              <w:rPr>
                <w:rFonts w:hint="eastAsia" w:ascii="宋体" w:hAnsi="宋体" w:cs="宋体"/>
                <w:color w:val="auto"/>
                <w:kern w:val="0"/>
                <w:highlight w:val="none"/>
              </w:rPr>
            </w:pPr>
          </w:p>
        </w:tc>
      </w:tr>
      <w:tr w14:paraId="1C571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28" w:type="dxa"/>
            <w:noWrap w:val="0"/>
            <w:vAlign w:val="center"/>
          </w:tcPr>
          <w:p w14:paraId="6CF9D7A8">
            <w:pPr>
              <w:widowControl/>
              <w:spacing w:before="100" w:beforeAutospacing="1" w:after="100" w:afterAutospacing="1" w:line="240" w:lineRule="auto"/>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5</w:t>
            </w:r>
          </w:p>
        </w:tc>
        <w:tc>
          <w:tcPr>
            <w:tcW w:w="840" w:type="dxa"/>
            <w:noWrap w:val="0"/>
            <w:vAlign w:val="center"/>
          </w:tcPr>
          <w:p w14:paraId="59DE32DB">
            <w:pPr>
              <w:widowControl/>
              <w:spacing w:before="100" w:beforeAutospacing="1" w:after="100" w:afterAutospacing="1" w:line="240" w:lineRule="auto"/>
              <w:ind w:firstLine="21" w:firstLineChars="9"/>
              <w:jc w:val="center"/>
              <w:rPr>
                <w:rFonts w:hint="eastAsia" w:ascii="宋体" w:hAnsi="宋体" w:cs="宋体"/>
                <w:color w:val="auto"/>
                <w:kern w:val="0"/>
                <w:highlight w:val="none"/>
              </w:rPr>
            </w:pPr>
          </w:p>
        </w:tc>
        <w:tc>
          <w:tcPr>
            <w:tcW w:w="992" w:type="dxa"/>
            <w:noWrap w:val="0"/>
            <w:vAlign w:val="center"/>
          </w:tcPr>
          <w:p w14:paraId="02D6C0AA">
            <w:pPr>
              <w:widowControl/>
              <w:spacing w:before="100" w:beforeAutospacing="1" w:after="100" w:afterAutospacing="1" w:line="240" w:lineRule="auto"/>
              <w:ind w:firstLine="31" w:firstLineChars="13"/>
              <w:jc w:val="center"/>
              <w:rPr>
                <w:rFonts w:hint="eastAsia" w:ascii="宋体" w:hAnsi="宋体" w:cs="宋体"/>
                <w:color w:val="auto"/>
                <w:kern w:val="0"/>
                <w:highlight w:val="none"/>
              </w:rPr>
            </w:pPr>
          </w:p>
        </w:tc>
        <w:tc>
          <w:tcPr>
            <w:tcW w:w="1276" w:type="dxa"/>
            <w:noWrap w:val="0"/>
            <w:vAlign w:val="center"/>
          </w:tcPr>
          <w:p w14:paraId="7381ABAE">
            <w:pPr>
              <w:widowControl/>
              <w:spacing w:before="100" w:beforeAutospacing="1" w:after="100" w:afterAutospacing="1" w:line="240" w:lineRule="auto"/>
              <w:ind w:firstLine="480"/>
              <w:jc w:val="center"/>
              <w:rPr>
                <w:rFonts w:hint="eastAsia" w:ascii="宋体" w:hAnsi="宋体" w:cs="宋体"/>
                <w:color w:val="auto"/>
                <w:kern w:val="0"/>
                <w:highlight w:val="none"/>
              </w:rPr>
            </w:pPr>
          </w:p>
        </w:tc>
        <w:tc>
          <w:tcPr>
            <w:tcW w:w="930" w:type="dxa"/>
            <w:noWrap w:val="0"/>
            <w:vAlign w:val="center"/>
          </w:tcPr>
          <w:p w14:paraId="4DBA0DA1">
            <w:pPr>
              <w:widowControl/>
              <w:spacing w:before="100" w:beforeAutospacing="1" w:after="100" w:afterAutospacing="1" w:line="240" w:lineRule="auto"/>
              <w:ind w:firstLine="480"/>
              <w:jc w:val="center"/>
              <w:rPr>
                <w:rFonts w:hint="eastAsia" w:ascii="宋体" w:hAnsi="宋体" w:cs="宋体"/>
                <w:color w:val="auto"/>
                <w:kern w:val="0"/>
                <w:highlight w:val="none"/>
              </w:rPr>
            </w:pPr>
          </w:p>
        </w:tc>
        <w:tc>
          <w:tcPr>
            <w:tcW w:w="912" w:type="dxa"/>
            <w:noWrap w:val="0"/>
            <w:vAlign w:val="center"/>
          </w:tcPr>
          <w:p w14:paraId="2C142767">
            <w:pPr>
              <w:widowControl/>
              <w:spacing w:before="100" w:beforeAutospacing="1" w:after="100" w:afterAutospacing="1" w:line="240" w:lineRule="auto"/>
              <w:ind w:firstLine="480"/>
              <w:jc w:val="center"/>
              <w:rPr>
                <w:rFonts w:hint="eastAsia" w:ascii="宋体" w:hAnsi="宋体" w:cs="宋体"/>
                <w:color w:val="auto"/>
                <w:kern w:val="0"/>
                <w:highlight w:val="none"/>
              </w:rPr>
            </w:pPr>
          </w:p>
        </w:tc>
        <w:tc>
          <w:tcPr>
            <w:tcW w:w="1560" w:type="dxa"/>
            <w:noWrap w:val="0"/>
            <w:vAlign w:val="center"/>
          </w:tcPr>
          <w:p w14:paraId="16EFA449">
            <w:pPr>
              <w:widowControl/>
              <w:spacing w:before="100" w:beforeAutospacing="1" w:after="100" w:afterAutospacing="1" w:line="240" w:lineRule="auto"/>
              <w:ind w:firstLine="480"/>
              <w:jc w:val="center"/>
              <w:rPr>
                <w:rFonts w:hint="eastAsia" w:ascii="宋体" w:hAnsi="宋体" w:cs="宋体"/>
                <w:color w:val="auto"/>
                <w:kern w:val="0"/>
                <w:highlight w:val="none"/>
              </w:rPr>
            </w:pPr>
          </w:p>
        </w:tc>
        <w:tc>
          <w:tcPr>
            <w:tcW w:w="1701" w:type="dxa"/>
            <w:noWrap w:val="0"/>
            <w:vAlign w:val="center"/>
          </w:tcPr>
          <w:p w14:paraId="1EB9C601">
            <w:pPr>
              <w:widowControl/>
              <w:spacing w:before="100" w:beforeAutospacing="1" w:after="100" w:afterAutospacing="1" w:line="240" w:lineRule="auto"/>
              <w:ind w:firstLine="480"/>
              <w:jc w:val="center"/>
              <w:rPr>
                <w:rFonts w:hint="eastAsia" w:ascii="宋体" w:hAnsi="宋体" w:cs="宋体"/>
                <w:color w:val="auto"/>
                <w:kern w:val="0"/>
                <w:highlight w:val="none"/>
              </w:rPr>
            </w:pPr>
          </w:p>
        </w:tc>
      </w:tr>
      <w:tr w14:paraId="4D58F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8" w:type="dxa"/>
            <w:noWrap w:val="0"/>
            <w:vAlign w:val="center"/>
          </w:tcPr>
          <w:p w14:paraId="50662B2F">
            <w:pPr>
              <w:widowControl/>
              <w:spacing w:before="100" w:beforeAutospacing="1" w:after="100" w:afterAutospacing="1" w:line="240" w:lineRule="auto"/>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6</w:t>
            </w:r>
          </w:p>
        </w:tc>
        <w:tc>
          <w:tcPr>
            <w:tcW w:w="840" w:type="dxa"/>
            <w:noWrap w:val="0"/>
            <w:vAlign w:val="center"/>
          </w:tcPr>
          <w:p w14:paraId="6FEED36D">
            <w:pPr>
              <w:widowControl/>
              <w:spacing w:before="100" w:beforeAutospacing="1" w:after="100" w:afterAutospacing="1" w:line="240" w:lineRule="auto"/>
              <w:ind w:firstLine="21" w:firstLineChars="9"/>
              <w:jc w:val="center"/>
              <w:rPr>
                <w:rFonts w:hint="eastAsia" w:ascii="宋体" w:hAnsi="宋体" w:cs="宋体"/>
                <w:color w:val="auto"/>
                <w:kern w:val="0"/>
                <w:highlight w:val="none"/>
              </w:rPr>
            </w:pPr>
          </w:p>
        </w:tc>
        <w:tc>
          <w:tcPr>
            <w:tcW w:w="992" w:type="dxa"/>
            <w:noWrap w:val="0"/>
            <w:vAlign w:val="center"/>
          </w:tcPr>
          <w:p w14:paraId="0326FEAA">
            <w:pPr>
              <w:widowControl/>
              <w:spacing w:before="100" w:beforeAutospacing="1" w:after="100" w:afterAutospacing="1" w:line="240" w:lineRule="auto"/>
              <w:ind w:firstLine="31" w:firstLineChars="13"/>
              <w:jc w:val="center"/>
              <w:rPr>
                <w:rFonts w:hint="eastAsia" w:ascii="宋体" w:hAnsi="宋体" w:cs="宋体"/>
                <w:color w:val="auto"/>
                <w:kern w:val="0"/>
                <w:highlight w:val="none"/>
              </w:rPr>
            </w:pPr>
          </w:p>
        </w:tc>
        <w:tc>
          <w:tcPr>
            <w:tcW w:w="1276" w:type="dxa"/>
            <w:noWrap w:val="0"/>
            <w:vAlign w:val="center"/>
          </w:tcPr>
          <w:p w14:paraId="0D32F6C6">
            <w:pPr>
              <w:widowControl/>
              <w:spacing w:before="100" w:beforeAutospacing="1" w:after="100" w:afterAutospacing="1" w:line="240" w:lineRule="auto"/>
              <w:ind w:firstLine="480"/>
              <w:jc w:val="center"/>
              <w:rPr>
                <w:rFonts w:hint="eastAsia" w:ascii="宋体" w:hAnsi="宋体" w:cs="宋体"/>
                <w:color w:val="auto"/>
                <w:kern w:val="0"/>
                <w:highlight w:val="none"/>
              </w:rPr>
            </w:pPr>
          </w:p>
        </w:tc>
        <w:tc>
          <w:tcPr>
            <w:tcW w:w="930" w:type="dxa"/>
            <w:noWrap w:val="0"/>
            <w:vAlign w:val="center"/>
          </w:tcPr>
          <w:p w14:paraId="39EED062">
            <w:pPr>
              <w:widowControl/>
              <w:spacing w:before="100" w:beforeAutospacing="1" w:after="100" w:afterAutospacing="1" w:line="240" w:lineRule="auto"/>
              <w:ind w:firstLine="480"/>
              <w:jc w:val="center"/>
              <w:rPr>
                <w:rFonts w:hint="eastAsia" w:ascii="宋体" w:hAnsi="宋体" w:cs="宋体"/>
                <w:color w:val="auto"/>
                <w:kern w:val="0"/>
                <w:highlight w:val="none"/>
              </w:rPr>
            </w:pPr>
          </w:p>
        </w:tc>
        <w:tc>
          <w:tcPr>
            <w:tcW w:w="912" w:type="dxa"/>
            <w:noWrap w:val="0"/>
            <w:vAlign w:val="center"/>
          </w:tcPr>
          <w:p w14:paraId="0F75EB6C">
            <w:pPr>
              <w:widowControl/>
              <w:spacing w:before="100" w:beforeAutospacing="1" w:after="100" w:afterAutospacing="1" w:line="240" w:lineRule="auto"/>
              <w:ind w:firstLine="480"/>
              <w:jc w:val="center"/>
              <w:rPr>
                <w:rFonts w:hint="eastAsia" w:ascii="宋体" w:hAnsi="宋体" w:cs="宋体"/>
                <w:color w:val="auto"/>
                <w:kern w:val="0"/>
                <w:highlight w:val="none"/>
              </w:rPr>
            </w:pPr>
          </w:p>
        </w:tc>
        <w:tc>
          <w:tcPr>
            <w:tcW w:w="1560" w:type="dxa"/>
            <w:noWrap w:val="0"/>
            <w:vAlign w:val="center"/>
          </w:tcPr>
          <w:p w14:paraId="32A2CAE2">
            <w:pPr>
              <w:widowControl/>
              <w:spacing w:before="100" w:beforeAutospacing="1" w:after="100" w:afterAutospacing="1" w:line="240" w:lineRule="auto"/>
              <w:ind w:firstLine="480"/>
              <w:jc w:val="center"/>
              <w:rPr>
                <w:rFonts w:hint="eastAsia" w:ascii="宋体" w:hAnsi="宋体" w:cs="宋体"/>
                <w:color w:val="auto"/>
                <w:kern w:val="0"/>
                <w:highlight w:val="none"/>
              </w:rPr>
            </w:pPr>
          </w:p>
        </w:tc>
        <w:tc>
          <w:tcPr>
            <w:tcW w:w="1701" w:type="dxa"/>
            <w:noWrap w:val="0"/>
            <w:vAlign w:val="center"/>
          </w:tcPr>
          <w:p w14:paraId="7B91EBD9">
            <w:pPr>
              <w:widowControl/>
              <w:spacing w:before="100" w:beforeAutospacing="1" w:after="100" w:afterAutospacing="1" w:line="240" w:lineRule="auto"/>
              <w:ind w:firstLine="480"/>
              <w:jc w:val="center"/>
              <w:rPr>
                <w:rFonts w:hint="eastAsia" w:ascii="宋体" w:hAnsi="宋体" w:cs="宋体"/>
                <w:color w:val="auto"/>
                <w:kern w:val="0"/>
                <w:highlight w:val="none"/>
              </w:rPr>
            </w:pPr>
          </w:p>
        </w:tc>
      </w:tr>
      <w:tr w14:paraId="4D51D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28" w:type="dxa"/>
            <w:noWrap w:val="0"/>
            <w:vAlign w:val="center"/>
          </w:tcPr>
          <w:p w14:paraId="0F29BAEF">
            <w:pPr>
              <w:widowControl/>
              <w:spacing w:before="100" w:beforeAutospacing="1" w:after="100" w:afterAutospacing="1" w:line="240" w:lineRule="auto"/>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7</w:t>
            </w:r>
          </w:p>
        </w:tc>
        <w:tc>
          <w:tcPr>
            <w:tcW w:w="840" w:type="dxa"/>
            <w:noWrap w:val="0"/>
            <w:vAlign w:val="center"/>
          </w:tcPr>
          <w:p w14:paraId="53CA0328">
            <w:pPr>
              <w:widowControl/>
              <w:spacing w:before="100" w:beforeAutospacing="1" w:after="100" w:afterAutospacing="1" w:line="240" w:lineRule="auto"/>
              <w:ind w:firstLine="21" w:firstLineChars="9"/>
              <w:jc w:val="center"/>
              <w:rPr>
                <w:rFonts w:hint="eastAsia" w:ascii="宋体" w:hAnsi="宋体" w:cs="宋体"/>
                <w:color w:val="auto"/>
                <w:kern w:val="0"/>
                <w:highlight w:val="none"/>
              </w:rPr>
            </w:pPr>
          </w:p>
        </w:tc>
        <w:tc>
          <w:tcPr>
            <w:tcW w:w="992" w:type="dxa"/>
            <w:noWrap w:val="0"/>
            <w:vAlign w:val="center"/>
          </w:tcPr>
          <w:p w14:paraId="05C95B04">
            <w:pPr>
              <w:widowControl/>
              <w:spacing w:before="100" w:beforeAutospacing="1" w:after="100" w:afterAutospacing="1" w:line="240" w:lineRule="auto"/>
              <w:ind w:firstLine="31" w:firstLineChars="13"/>
              <w:jc w:val="center"/>
              <w:rPr>
                <w:rFonts w:hint="eastAsia" w:ascii="宋体" w:hAnsi="宋体" w:cs="宋体"/>
                <w:color w:val="auto"/>
                <w:kern w:val="0"/>
                <w:highlight w:val="none"/>
              </w:rPr>
            </w:pPr>
          </w:p>
        </w:tc>
        <w:tc>
          <w:tcPr>
            <w:tcW w:w="1276" w:type="dxa"/>
            <w:noWrap w:val="0"/>
            <w:vAlign w:val="center"/>
          </w:tcPr>
          <w:p w14:paraId="36C6800A">
            <w:pPr>
              <w:widowControl/>
              <w:spacing w:before="100" w:beforeAutospacing="1" w:after="100" w:afterAutospacing="1" w:line="240" w:lineRule="auto"/>
              <w:ind w:firstLine="480"/>
              <w:jc w:val="center"/>
              <w:rPr>
                <w:rFonts w:hint="eastAsia" w:ascii="宋体" w:hAnsi="宋体" w:cs="宋体"/>
                <w:color w:val="auto"/>
                <w:kern w:val="0"/>
                <w:highlight w:val="none"/>
              </w:rPr>
            </w:pPr>
          </w:p>
        </w:tc>
        <w:tc>
          <w:tcPr>
            <w:tcW w:w="930" w:type="dxa"/>
            <w:noWrap w:val="0"/>
            <w:vAlign w:val="center"/>
          </w:tcPr>
          <w:p w14:paraId="5DB3E53D">
            <w:pPr>
              <w:widowControl/>
              <w:spacing w:before="100" w:beforeAutospacing="1" w:after="100" w:afterAutospacing="1" w:line="240" w:lineRule="auto"/>
              <w:ind w:firstLine="480"/>
              <w:jc w:val="center"/>
              <w:rPr>
                <w:rFonts w:hint="eastAsia" w:ascii="宋体" w:hAnsi="宋体" w:cs="宋体"/>
                <w:color w:val="auto"/>
                <w:kern w:val="0"/>
                <w:highlight w:val="none"/>
              </w:rPr>
            </w:pPr>
          </w:p>
        </w:tc>
        <w:tc>
          <w:tcPr>
            <w:tcW w:w="912" w:type="dxa"/>
            <w:noWrap w:val="0"/>
            <w:vAlign w:val="center"/>
          </w:tcPr>
          <w:p w14:paraId="4BC15BE4">
            <w:pPr>
              <w:widowControl/>
              <w:spacing w:before="100" w:beforeAutospacing="1" w:after="100" w:afterAutospacing="1" w:line="240" w:lineRule="auto"/>
              <w:ind w:firstLine="480"/>
              <w:jc w:val="center"/>
              <w:rPr>
                <w:rFonts w:hint="eastAsia" w:ascii="宋体" w:hAnsi="宋体" w:cs="宋体"/>
                <w:color w:val="auto"/>
                <w:kern w:val="0"/>
                <w:highlight w:val="none"/>
              </w:rPr>
            </w:pPr>
          </w:p>
        </w:tc>
        <w:tc>
          <w:tcPr>
            <w:tcW w:w="1560" w:type="dxa"/>
            <w:noWrap w:val="0"/>
            <w:vAlign w:val="center"/>
          </w:tcPr>
          <w:p w14:paraId="707B55CB">
            <w:pPr>
              <w:widowControl/>
              <w:spacing w:before="100" w:beforeAutospacing="1" w:after="100" w:afterAutospacing="1" w:line="240" w:lineRule="auto"/>
              <w:ind w:firstLine="480"/>
              <w:jc w:val="center"/>
              <w:rPr>
                <w:rFonts w:hint="eastAsia" w:ascii="宋体" w:hAnsi="宋体" w:cs="宋体"/>
                <w:color w:val="auto"/>
                <w:kern w:val="0"/>
                <w:highlight w:val="none"/>
              </w:rPr>
            </w:pPr>
          </w:p>
        </w:tc>
        <w:tc>
          <w:tcPr>
            <w:tcW w:w="1701" w:type="dxa"/>
            <w:noWrap w:val="0"/>
            <w:vAlign w:val="center"/>
          </w:tcPr>
          <w:p w14:paraId="19D7128C">
            <w:pPr>
              <w:widowControl/>
              <w:spacing w:before="100" w:beforeAutospacing="1" w:after="100" w:afterAutospacing="1" w:line="240" w:lineRule="auto"/>
              <w:ind w:firstLine="480"/>
              <w:jc w:val="center"/>
              <w:rPr>
                <w:rFonts w:hint="eastAsia" w:ascii="宋体" w:hAnsi="宋体" w:cs="宋体"/>
                <w:color w:val="auto"/>
                <w:kern w:val="0"/>
                <w:highlight w:val="none"/>
              </w:rPr>
            </w:pPr>
          </w:p>
        </w:tc>
      </w:tr>
      <w:tr w14:paraId="7749A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28" w:type="dxa"/>
            <w:noWrap w:val="0"/>
            <w:vAlign w:val="center"/>
          </w:tcPr>
          <w:p w14:paraId="1714B77A">
            <w:pPr>
              <w:widowControl/>
              <w:spacing w:before="100" w:beforeAutospacing="1" w:after="100" w:afterAutospacing="1" w:line="240" w:lineRule="auto"/>
              <w:ind w:firstLine="0" w:firstLineChars="0"/>
              <w:jc w:val="center"/>
              <w:rPr>
                <w:rFonts w:hint="eastAsia" w:ascii="宋体" w:hAnsi="宋体" w:cs="宋体"/>
                <w:color w:val="auto"/>
                <w:kern w:val="0"/>
                <w:highlight w:val="none"/>
              </w:rPr>
            </w:pPr>
            <w:r>
              <w:rPr>
                <w:rFonts w:hint="eastAsia" w:ascii="宋体" w:hAnsi="宋体" w:cs="宋体"/>
                <w:color w:val="auto"/>
                <w:kern w:val="0"/>
                <w:highlight w:val="none"/>
              </w:rPr>
              <w:t>8</w:t>
            </w:r>
          </w:p>
        </w:tc>
        <w:tc>
          <w:tcPr>
            <w:tcW w:w="840" w:type="dxa"/>
            <w:noWrap w:val="0"/>
            <w:vAlign w:val="center"/>
          </w:tcPr>
          <w:p w14:paraId="2AFF77DA">
            <w:pPr>
              <w:widowControl/>
              <w:spacing w:before="100" w:beforeAutospacing="1" w:after="100" w:afterAutospacing="1" w:line="240" w:lineRule="auto"/>
              <w:ind w:firstLine="21" w:firstLineChars="9"/>
              <w:jc w:val="center"/>
              <w:rPr>
                <w:rFonts w:hint="eastAsia" w:ascii="宋体" w:hAnsi="宋体" w:cs="宋体"/>
                <w:color w:val="auto"/>
                <w:kern w:val="0"/>
                <w:highlight w:val="none"/>
              </w:rPr>
            </w:pPr>
          </w:p>
        </w:tc>
        <w:tc>
          <w:tcPr>
            <w:tcW w:w="992" w:type="dxa"/>
            <w:noWrap w:val="0"/>
            <w:vAlign w:val="center"/>
          </w:tcPr>
          <w:p w14:paraId="493FE16E">
            <w:pPr>
              <w:widowControl/>
              <w:spacing w:before="100" w:beforeAutospacing="1" w:after="100" w:afterAutospacing="1" w:line="240" w:lineRule="auto"/>
              <w:ind w:firstLine="31" w:firstLineChars="13"/>
              <w:jc w:val="center"/>
              <w:rPr>
                <w:rFonts w:hint="eastAsia" w:ascii="宋体" w:hAnsi="宋体" w:cs="宋体"/>
                <w:color w:val="auto"/>
                <w:kern w:val="0"/>
                <w:highlight w:val="none"/>
              </w:rPr>
            </w:pPr>
          </w:p>
        </w:tc>
        <w:tc>
          <w:tcPr>
            <w:tcW w:w="1276" w:type="dxa"/>
            <w:noWrap w:val="0"/>
            <w:vAlign w:val="center"/>
          </w:tcPr>
          <w:p w14:paraId="61DFC975">
            <w:pPr>
              <w:widowControl/>
              <w:spacing w:before="100" w:beforeAutospacing="1" w:after="100" w:afterAutospacing="1" w:line="240" w:lineRule="auto"/>
              <w:ind w:firstLine="480"/>
              <w:jc w:val="center"/>
              <w:rPr>
                <w:rFonts w:hint="eastAsia" w:ascii="宋体" w:hAnsi="宋体" w:cs="宋体"/>
                <w:color w:val="auto"/>
                <w:kern w:val="0"/>
                <w:highlight w:val="none"/>
              </w:rPr>
            </w:pPr>
          </w:p>
        </w:tc>
        <w:tc>
          <w:tcPr>
            <w:tcW w:w="930" w:type="dxa"/>
            <w:noWrap w:val="0"/>
            <w:vAlign w:val="center"/>
          </w:tcPr>
          <w:p w14:paraId="13A68947">
            <w:pPr>
              <w:widowControl/>
              <w:spacing w:before="100" w:beforeAutospacing="1" w:after="100" w:afterAutospacing="1" w:line="240" w:lineRule="auto"/>
              <w:ind w:firstLine="480"/>
              <w:jc w:val="center"/>
              <w:rPr>
                <w:rFonts w:hint="eastAsia" w:ascii="宋体" w:hAnsi="宋体" w:cs="宋体"/>
                <w:color w:val="auto"/>
                <w:kern w:val="0"/>
                <w:highlight w:val="none"/>
              </w:rPr>
            </w:pPr>
          </w:p>
        </w:tc>
        <w:tc>
          <w:tcPr>
            <w:tcW w:w="912" w:type="dxa"/>
            <w:noWrap w:val="0"/>
            <w:vAlign w:val="center"/>
          </w:tcPr>
          <w:p w14:paraId="14777830">
            <w:pPr>
              <w:widowControl/>
              <w:spacing w:before="100" w:beforeAutospacing="1" w:after="100" w:afterAutospacing="1" w:line="240" w:lineRule="auto"/>
              <w:ind w:firstLine="480"/>
              <w:jc w:val="center"/>
              <w:rPr>
                <w:rFonts w:hint="eastAsia" w:ascii="宋体" w:hAnsi="宋体" w:cs="宋体"/>
                <w:color w:val="auto"/>
                <w:kern w:val="0"/>
                <w:highlight w:val="none"/>
              </w:rPr>
            </w:pPr>
          </w:p>
        </w:tc>
        <w:tc>
          <w:tcPr>
            <w:tcW w:w="1560" w:type="dxa"/>
            <w:noWrap w:val="0"/>
            <w:vAlign w:val="center"/>
          </w:tcPr>
          <w:p w14:paraId="1EDBBD1D">
            <w:pPr>
              <w:widowControl/>
              <w:spacing w:before="100" w:beforeAutospacing="1" w:after="100" w:afterAutospacing="1" w:line="240" w:lineRule="auto"/>
              <w:ind w:firstLine="480"/>
              <w:jc w:val="center"/>
              <w:rPr>
                <w:rFonts w:hint="eastAsia" w:ascii="宋体" w:hAnsi="宋体" w:cs="宋体"/>
                <w:color w:val="auto"/>
                <w:kern w:val="0"/>
                <w:highlight w:val="none"/>
              </w:rPr>
            </w:pPr>
          </w:p>
        </w:tc>
        <w:tc>
          <w:tcPr>
            <w:tcW w:w="1701" w:type="dxa"/>
            <w:noWrap w:val="0"/>
            <w:vAlign w:val="center"/>
          </w:tcPr>
          <w:p w14:paraId="3197AE3F">
            <w:pPr>
              <w:widowControl/>
              <w:spacing w:before="100" w:beforeAutospacing="1" w:after="100" w:afterAutospacing="1" w:line="240" w:lineRule="auto"/>
              <w:ind w:firstLine="480"/>
              <w:jc w:val="center"/>
              <w:rPr>
                <w:rFonts w:hint="eastAsia" w:ascii="宋体" w:hAnsi="宋体" w:cs="宋体"/>
                <w:color w:val="auto"/>
                <w:kern w:val="0"/>
                <w:highlight w:val="none"/>
              </w:rPr>
            </w:pPr>
          </w:p>
        </w:tc>
      </w:tr>
      <w:tr w14:paraId="0437D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28" w:type="dxa"/>
            <w:noWrap w:val="0"/>
            <w:vAlign w:val="center"/>
          </w:tcPr>
          <w:p w14:paraId="6119E0DF">
            <w:pPr>
              <w:widowControl/>
              <w:spacing w:before="100" w:beforeAutospacing="1" w:after="100" w:afterAutospacing="1" w:line="240" w:lineRule="auto"/>
              <w:ind w:firstLine="0" w:firstLineChars="0"/>
              <w:jc w:val="center"/>
              <w:rPr>
                <w:rFonts w:hint="eastAsia" w:ascii="宋体" w:hAnsi="宋体" w:cs="宋体"/>
                <w:color w:val="auto"/>
                <w:kern w:val="0"/>
                <w:highlight w:val="none"/>
              </w:rPr>
            </w:pPr>
            <w:r>
              <w:rPr>
                <w:rFonts w:ascii="宋体" w:hAnsi="宋体" w:cs="宋体"/>
                <w:color w:val="auto"/>
                <w:kern w:val="0"/>
                <w:highlight w:val="none"/>
              </w:rPr>
              <w:t>…</w:t>
            </w:r>
          </w:p>
        </w:tc>
        <w:tc>
          <w:tcPr>
            <w:tcW w:w="840" w:type="dxa"/>
            <w:noWrap w:val="0"/>
            <w:vAlign w:val="center"/>
          </w:tcPr>
          <w:p w14:paraId="61274ED5">
            <w:pPr>
              <w:widowControl/>
              <w:spacing w:before="100" w:beforeAutospacing="1" w:after="100" w:afterAutospacing="1" w:line="240" w:lineRule="auto"/>
              <w:ind w:firstLine="21" w:firstLineChars="9"/>
              <w:jc w:val="center"/>
              <w:rPr>
                <w:rFonts w:hint="eastAsia" w:ascii="宋体" w:hAnsi="宋体" w:cs="宋体"/>
                <w:color w:val="auto"/>
                <w:kern w:val="0"/>
                <w:highlight w:val="none"/>
              </w:rPr>
            </w:pPr>
          </w:p>
        </w:tc>
        <w:tc>
          <w:tcPr>
            <w:tcW w:w="992" w:type="dxa"/>
            <w:noWrap w:val="0"/>
            <w:vAlign w:val="center"/>
          </w:tcPr>
          <w:p w14:paraId="4B572CC3">
            <w:pPr>
              <w:widowControl/>
              <w:spacing w:before="100" w:beforeAutospacing="1" w:after="100" w:afterAutospacing="1" w:line="240" w:lineRule="auto"/>
              <w:ind w:firstLine="31" w:firstLineChars="13"/>
              <w:jc w:val="center"/>
              <w:rPr>
                <w:rFonts w:hint="eastAsia" w:ascii="宋体" w:hAnsi="宋体" w:cs="宋体"/>
                <w:color w:val="auto"/>
                <w:kern w:val="0"/>
                <w:highlight w:val="none"/>
              </w:rPr>
            </w:pPr>
          </w:p>
        </w:tc>
        <w:tc>
          <w:tcPr>
            <w:tcW w:w="1276" w:type="dxa"/>
            <w:noWrap w:val="0"/>
            <w:vAlign w:val="center"/>
          </w:tcPr>
          <w:p w14:paraId="7669EC5C">
            <w:pPr>
              <w:widowControl/>
              <w:spacing w:before="100" w:beforeAutospacing="1" w:after="100" w:afterAutospacing="1" w:line="240" w:lineRule="auto"/>
              <w:ind w:firstLine="480"/>
              <w:jc w:val="center"/>
              <w:rPr>
                <w:rFonts w:hint="eastAsia" w:ascii="宋体" w:hAnsi="宋体" w:cs="宋体"/>
                <w:color w:val="auto"/>
                <w:kern w:val="0"/>
                <w:highlight w:val="none"/>
              </w:rPr>
            </w:pPr>
          </w:p>
        </w:tc>
        <w:tc>
          <w:tcPr>
            <w:tcW w:w="930" w:type="dxa"/>
            <w:noWrap w:val="0"/>
            <w:vAlign w:val="center"/>
          </w:tcPr>
          <w:p w14:paraId="15BBB593">
            <w:pPr>
              <w:widowControl/>
              <w:spacing w:before="100" w:beforeAutospacing="1" w:after="100" w:afterAutospacing="1" w:line="240" w:lineRule="auto"/>
              <w:ind w:firstLine="480"/>
              <w:jc w:val="center"/>
              <w:rPr>
                <w:rFonts w:hint="eastAsia" w:ascii="宋体" w:hAnsi="宋体" w:cs="宋体"/>
                <w:color w:val="auto"/>
                <w:kern w:val="0"/>
                <w:highlight w:val="none"/>
              </w:rPr>
            </w:pPr>
          </w:p>
        </w:tc>
        <w:tc>
          <w:tcPr>
            <w:tcW w:w="912" w:type="dxa"/>
            <w:noWrap w:val="0"/>
            <w:vAlign w:val="center"/>
          </w:tcPr>
          <w:p w14:paraId="7EEA59FA">
            <w:pPr>
              <w:widowControl/>
              <w:spacing w:before="100" w:beforeAutospacing="1" w:after="100" w:afterAutospacing="1" w:line="240" w:lineRule="auto"/>
              <w:ind w:firstLine="480"/>
              <w:jc w:val="center"/>
              <w:rPr>
                <w:rFonts w:hint="eastAsia" w:ascii="宋体" w:hAnsi="宋体" w:cs="宋体"/>
                <w:color w:val="auto"/>
                <w:kern w:val="0"/>
                <w:highlight w:val="none"/>
              </w:rPr>
            </w:pPr>
          </w:p>
        </w:tc>
        <w:tc>
          <w:tcPr>
            <w:tcW w:w="1560" w:type="dxa"/>
            <w:noWrap w:val="0"/>
            <w:vAlign w:val="center"/>
          </w:tcPr>
          <w:p w14:paraId="7824FCF9">
            <w:pPr>
              <w:widowControl/>
              <w:spacing w:before="100" w:beforeAutospacing="1" w:after="100" w:afterAutospacing="1" w:line="240" w:lineRule="auto"/>
              <w:ind w:firstLine="480"/>
              <w:jc w:val="center"/>
              <w:rPr>
                <w:rFonts w:hint="eastAsia" w:ascii="宋体" w:hAnsi="宋体" w:cs="宋体"/>
                <w:color w:val="auto"/>
                <w:kern w:val="0"/>
                <w:highlight w:val="none"/>
              </w:rPr>
            </w:pPr>
          </w:p>
        </w:tc>
        <w:tc>
          <w:tcPr>
            <w:tcW w:w="1701" w:type="dxa"/>
            <w:noWrap w:val="0"/>
            <w:vAlign w:val="center"/>
          </w:tcPr>
          <w:p w14:paraId="3504B297">
            <w:pPr>
              <w:widowControl/>
              <w:spacing w:before="100" w:beforeAutospacing="1" w:after="100" w:afterAutospacing="1" w:line="240" w:lineRule="auto"/>
              <w:ind w:firstLine="480"/>
              <w:jc w:val="center"/>
              <w:rPr>
                <w:rFonts w:hint="eastAsia" w:ascii="宋体" w:hAnsi="宋体" w:cs="宋体"/>
                <w:color w:val="auto"/>
                <w:kern w:val="0"/>
                <w:highlight w:val="none"/>
              </w:rPr>
            </w:pPr>
          </w:p>
        </w:tc>
      </w:tr>
    </w:tbl>
    <w:p w14:paraId="3DC349A0">
      <w:pPr>
        <w:spacing w:line="360" w:lineRule="auto"/>
        <w:ind w:firstLine="480"/>
        <w:rPr>
          <w:rFonts w:ascii="宋体" w:hAnsi="宋体"/>
          <w:color w:val="auto"/>
          <w:highlight w:val="none"/>
        </w:rPr>
      </w:pPr>
      <w:bookmarkStart w:id="357" w:name="_Toc478396721"/>
      <w:bookmarkStart w:id="358" w:name="_Toc487816975"/>
      <w:bookmarkStart w:id="359" w:name="_Toc501444975"/>
      <w:bookmarkStart w:id="360" w:name="_Toc492973937"/>
      <w:bookmarkStart w:id="361" w:name="_Toc457229309"/>
      <w:bookmarkStart w:id="362" w:name="_Toc478482844"/>
      <w:bookmarkStart w:id="363" w:name="_Toc21732"/>
      <w:bookmarkStart w:id="364" w:name="_Toc493753807"/>
      <w:bookmarkStart w:id="365" w:name="_Toc489004471"/>
      <w:bookmarkStart w:id="366" w:name="_Toc501444775"/>
      <w:bookmarkStart w:id="367" w:name="_Toc476039519"/>
      <w:bookmarkStart w:id="368" w:name="_Toc501444651"/>
      <w:bookmarkStart w:id="369" w:name="_Toc493752348"/>
      <w:r>
        <w:rPr>
          <w:rFonts w:hint="eastAsia" w:ascii="宋体" w:hAnsi="宋体"/>
          <w:color w:val="auto"/>
          <w:highlight w:val="none"/>
        </w:rPr>
        <w:t>注：要求在表格后附相关专业职称证书证明材料。未提供证明材料或工作人员专业与本项目无关的不计入有效范围。</w:t>
      </w:r>
      <w:bookmarkEnd w:id="357"/>
      <w:bookmarkEnd w:id="358"/>
      <w:bookmarkEnd w:id="359"/>
      <w:bookmarkEnd w:id="360"/>
      <w:bookmarkEnd w:id="361"/>
      <w:bookmarkEnd w:id="362"/>
      <w:bookmarkEnd w:id="363"/>
      <w:bookmarkEnd w:id="364"/>
      <w:bookmarkEnd w:id="365"/>
      <w:bookmarkEnd w:id="366"/>
      <w:bookmarkEnd w:id="367"/>
      <w:bookmarkEnd w:id="368"/>
      <w:bookmarkEnd w:id="369"/>
    </w:p>
    <w:p w14:paraId="386C3F9C">
      <w:pPr>
        <w:pStyle w:val="4"/>
        <w:numPr>
          <w:ilvl w:val="0"/>
          <w:numId w:val="0"/>
        </w:numPr>
        <w:tabs>
          <w:tab w:val="left" w:pos="425"/>
        </w:tabs>
        <w:spacing w:line="360" w:lineRule="auto"/>
        <w:ind w:left="0" w:leftChars="0" w:firstLine="480" w:firstLineChars="200"/>
        <w:rPr>
          <w:rFonts w:hint="eastAsia" w:ascii="宋体"/>
          <w:b/>
          <w:color w:val="auto"/>
          <w:sz w:val="28"/>
          <w:szCs w:val="28"/>
          <w:highlight w:val="none"/>
        </w:rPr>
      </w:pPr>
      <w:r>
        <w:rPr>
          <w:rFonts w:ascii="宋体" w:hAnsi="宋体"/>
          <w:color w:val="auto"/>
          <w:highlight w:val="none"/>
        </w:rPr>
        <w:br w:type="page"/>
      </w:r>
      <w:bookmarkStart w:id="370" w:name="_Toc14360"/>
      <w:bookmarkStart w:id="371" w:name="_Toc11263"/>
      <w:r>
        <w:rPr>
          <w:rFonts w:hint="eastAsia" w:ascii="宋体" w:hAnsi="宋体"/>
          <w:color w:val="auto"/>
          <w:sz w:val="32"/>
          <w:szCs w:val="32"/>
          <w:highlight w:val="none"/>
          <w:lang w:val="en-US" w:eastAsia="zh-CN"/>
        </w:rPr>
        <w:t>19.</w:t>
      </w:r>
      <w:r>
        <w:rPr>
          <w:rFonts w:hint="eastAsia" w:ascii="宋体" w:hAnsi="Times New Roman" w:eastAsia="宋体" w:cs="Times New Roman"/>
          <w:b/>
          <w:color w:val="auto"/>
          <w:kern w:val="2"/>
          <w:sz w:val="32"/>
          <w:szCs w:val="32"/>
          <w:highlight w:val="none"/>
          <w:lang w:val="zh-CN" w:eastAsia="zh-CN" w:bidi="ar-SA"/>
        </w:rPr>
        <w:t>供应商认为在其他方面有必要说明的事项</w:t>
      </w:r>
      <w:bookmarkEnd w:id="370"/>
      <w:bookmarkEnd w:id="371"/>
    </w:p>
    <w:p w14:paraId="49717A4D">
      <w:pPr>
        <w:spacing w:line="360" w:lineRule="auto"/>
        <w:ind w:firstLine="723"/>
        <w:jc w:val="center"/>
        <w:rPr>
          <w:rFonts w:hint="eastAsia" w:ascii="宋体" w:hAnsi="宋体"/>
          <w:b/>
          <w:color w:val="auto"/>
          <w:sz w:val="36"/>
          <w:szCs w:val="36"/>
          <w:highlight w:val="none"/>
        </w:rPr>
      </w:pPr>
    </w:p>
    <w:p w14:paraId="2868F195">
      <w:pPr>
        <w:spacing w:line="360" w:lineRule="auto"/>
        <w:ind w:firstLine="723"/>
        <w:jc w:val="center"/>
        <w:rPr>
          <w:rFonts w:hint="eastAsia" w:ascii="宋体" w:hAnsi="宋体"/>
          <w:b/>
          <w:color w:val="auto"/>
          <w:sz w:val="30"/>
          <w:szCs w:val="30"/>
          <w:highlight w:val="none"/>
        </w:rPr>
      </w:pPr>
      <w:r>
        <w:rPr>
          <w:rFonts w:hint="eastAsia" w:ascii="宋体" w:hAnsi="宋体"/>
          <w:b/>
          <w:color w:val="auto"/>
          <w:sz w:val="30"/>
          <w:szCs w:val="30"/>
          <w:highlight w:val="none"/>
        </w:rPr>
        <w:t>供应商认为在其他方面有必要说明的事项</w:t>
      </w:r>
    </w:p>
    <w:p w14:paraId="4D3A37C3">
      <w:pPr>
        <w:spacing w:line="360" w:lineRule="auto"/>
        <w:ind w:firstLine="723"/>
        <w:jc w:val="center"/>
        <w:rPr>
          <w:rFonts w:hint="eastAsia" w:ascii="宋体" w:hAnsi="宋体"/>
          <w:b/>
          <w:color w:val="auto"/>
          <w:sz w:val="36"/>
          <w:szCs w:val="36"/>
          <w:highlight w:val="none"/>
        </w:rPr>
      </w:pPr>
      <w:r>
        <w:rPr>
          <w:rFonts w:hint="eastAsia" w:ascii="宋体" w:hAnsi="宋体"/>
          <w:b/>
          <w:color w:val="auto"/>
          <w:sz w:val="36"/>
          <w:szCs w:val="36"/>
          <w:highlight w:val="none"/>
        </w:rPr>
        <w:t>（格式自定）</w:t>
      </w:r>
    </w:p>
    <w:p w14:paraId="146900AD">
      <w:pPr>
        <w:widowControl/>
        <w:snapToGrid w:val="0"/>
        <w:spacing w:line="360" w:lineRule="auto"/>
        <w:ind w:firstLine="0" w:firstLineChars="0"/>
        <w:outlineLvl w:val="1"/>
        <w:rPr>
          <w:rFonts w:hint="eastAsia" w:ascii="宋体" w:hAnsi="宋体"/>
          <w:b/>
          <w:color w:val="auto"/>
          <w:highlight w:val="none"/>
        </w:rPr>
      </w:pPr>
    </w:p>
    <w:p w14:paraId="602103D0">
      <w:pPr>
        <w:keepNext/>
        <w:keepLines/>
        <w:widowControl/>
        <w:snapToGrid w:val="0"/>
        <w:spacing w:line="360" w:lineRule="auto"/>
        <w:ind w:firstLine="0" w:firstLineChars="0"/>
        <w:outlineLvl w:val="0"/>
        <w:rPr>
          <w:rFonts w:hint="eastAsia" w:ascii="宋体"/>
          <w:b/>
          <w:color w:val="auto"/>
          <w:kern w:val="28"/>
          <w:sz w:val="36"/>
          <w:szCs w:val="20"/>
          <w:highlight w:val="none"/>
        </w:rPr>
      </w:pPr>
      <w:r>
        <w:rPr>
          <w:rFonts w:hint="eastAsia" w:ascii="宋体" w:hAnsi="宋体"/>
          <w:b/>
          <w:color w:val="auto"/>
          <w:highlight w:val="none"/>
        </w:rPr>
        <w:br w:type="page"/>
      </w:r>
    </w:p>
    <w:p w14:paraId="77099116">
      <w:pPr>
        <w:keepNext/>
        <w:keepLines/>
        <w:widowControl/>
        <w:snapToGrid w:val="0"/>
        <w:spacing w:line="360" w:lineRule="auto"/>
        <w:ind w:firstLine="0" w:firstLineChars="0"/>
        <w:jc w:val="center"/>
        <w:outlineLvl w:val="0"/>
        <w:rPr>
          <w:rFonts w:hint="eastAsia" w:ascii="宋体"/>
          <w:b/>
          <w:color w:val="auto"/>
          <w:kern w:val="28"/>
          <w:sz w:val="36"/>
          <w:szCs w:val="20"/>
          <w:highlight w:val="none"/>
        </w:rPr>
      </w:pPr>
      <w:bookmarkStart w:id="372" w:name="_Toc14452"/>
      <w:bookmarkStart w:id="373" w:name="_Toc14018"/>
      <w:r>
        <w:rPr>
          <w:rFonts w:hint="eastAsia" w:ascii="宋体"/>
          <w:b/>
          <w:color w:val="auto"/>
          <w:kern w:val="28"/>
          <w:sz w:val="36"/>
          <w:szCs w:val="20"/>
          <w:highlight w:val="none"/>
        </w:rPr>
        <w:t>第</w:t>
      </w:r>
      <w:r>
        <w:rPr>
          <w:rFonts w:hint="eastAsia" w:ascii="宋体"/>
          <w:b/>
          <w:color w:val="auto"/>
          <w:kern w:val="28"/>
          <w:sz w:val="36"/>
          <w:szCs w:val="20"/>
          <w:highlight w:val="none"/>
          <w:lang w:val="en-US" w:eastAsia="zh-CN"/>
        </w:rPr>
        <w:t>六</w:t>
      </w:r>
      <w:r>
        <w:rPr>
          <w:rFonts w:hint="eastAsia" w:ascii="宋体"/>
          <w:b/>
          <w:color w:val="auto"/>
          <w:kern w:val="28"/>
          <w:sz w:val="36"/>
          <w:szCs w:val="20"/>
          <w:highlight w:val="none"/>
        </w:rPr>
        <w:t>部分  磋商及采购项目服务要求</w:t>
      </w:r>
      <w:bookmarkEnd w:id="372"/>
      <w:bookmarkEnd w:id="373"/>
    </w:p>
    <w:p w14:paraId="1644701B">
      <w:pPr>
        <w:widowControl/>
        <w:spacing w:before="480" w:beforeLines="200" w:after="480" w:afterLines="200" w:line="360" w:lineRule="auto"/>
        <w:ind w:firstLine="0" w:firstLineChars="0"/>
        <w:jc w:val="center"/>
        <w:outlineLvl w:val="1"/>
        <w:rPr>
          <w:rFonts w:hint="eastAsia" w:ascii="宋体" w:hAnsi="宋体"/>
          <w:b/>
          <w:bCs/>
          <w:color w:val="auto"/>
          <w:kern w:val="0"/>
          <w:sz w:val="36"/>
          <w:szCs w:val="36"/>
          <w:highlight w:val="none"/>
        </w:rPr>
      </w:pPr>
      <w:bookmarkStart w:id="374" w:name="_Toc30878"/>
      <w:bookmarkStart w:id="375" w:name="_Toc22295"/>
      <w:bookmarkStart w:id="376" w:name="_Toc455"/>
      <w:r>
        <w:rPr>
          <w:rFonts w:hint="eastAsia" w:ascii="宋体" w:hAnsi="宋体"/>
          <w:b/>
          <w:bCs/>
          <w:color w:val="auto"/>
          <w:kern w:val="0"/>
          <w:sz w:val="36"/>
          <w:szCs w:val="36"/>
          <w:highlight w:val="none"/>
        </w:rPr>
        <w:t>一、磋商要求</w:t>
      </w:r>
      <w:bookmarkEnd w:id="374"/>
      <w:bookmarkEnd w:id="375"/>
      <w:bookmarkEnd w:id="376"/>
    </w:p>
    <w:p w14:paraId="5DD67DF2">
      <w:pPr>
        <w:widowControl/>
        <w:spacing w:before="100" w:beforeAutospacing="1" w:after="100" w:afterAutospacing="1" w:line="360" w:lineRule="auto"/>
        <w:ind w:firstLine="542"/>
        <w:jc w:val="left"/>
        <w:outlineLvl w:val="2"/>
        <w:rPr>
          <w:rFonts w:hint="eastAsia" w:ascii="宋体" w:hAnsi="宋体"/>
          <w:b/>
          <w:bCs/>
          <w:color w:val="auto"/>
          <w:kern w:val="0"/>
          <w:sz w:val="27"/>
          <w:szCs w:val="27"/>
          <w:highlight w:val="none"/>
        </w:rPr>
      </w:pPr>
      <w:bookmarkStart w:id="377" w:name="_Toc14215"/>
      <w:bookmarkStart w:id="378" w:name="_Toc11312"/>
      <w:r>
        <w:rPr>
          <w:rFonts w:hint="eastAsia" w:ascii="宋体" w:hAnsi="宋体"/>
          <w:b/>
          <w:bCs/>
          <w:color w:val="auto"/>
          <w:kern w:val="0"/>
          <w:sz w:val="27"/>
          <w:szCs w:val="27"/>
          <w:highlight w:val="none"/>
        </w:rPr>
        <w:t>1.磋商说明</w:t>
      </w:r>
      <w:bookmarkEnd w:id="377"/>
      <w:bookmarkEnd w:id="378"/>
    </w:p>
    <w:p w14:paraId="4149743D">
      <w:pPr>
        <w:spacing w:line="360" w:lineRule="auto"/>
        <w:ind w:firstLine="470" w:firstLineChars="196"/>
        <w:rPr>
          <w:rFonts w:hint="eastAsia"/>
          <w:color w:val="auto"/>
          <w:highlight w:val="none"/>
        </w:rPr>
      </w:pPr>
      <w:r>
        <w:rPr>
          <w:rFonts w:hint="eastAsia" w:ascii="宋体" w:hAnsi="宋体"/>
          <w:color w:val="auto"/>
          <w:highlight w:val="none"/>
        </w:rPr>
        <w:t>1.1供应商必须对磋商文件采购需求中所有内容作为一个整体进行投标，不能拆分或少报。否则，视为无效投标。</w:t>
      </w:r>
    </w:p>
    <w:p w14:paraId="5F4A7C01">
      <w:pPr>
        <w:spacing w:line="360" w:lineRule="auto"/>
        <w:ind w:firstLine="470" w:firstLineChars="196"/>
        <w:rPr>
          <w:rFonts w:ascii="宋体" w:hAnsi="宋体"/>
          <w:color w:val="auto"/>
          <w:highlight w:val="none"/>
        </w:rPr>
      </w:pPr>
      <w:r>
        <w:rPr>
          <w:rFonts w:hint="eastAsia" w:ascii="宋体" w:hAnsi="宋体"/>
          <w:color w:val="auto"/>
          <w:highlight w:val="none"/>
        </w:rPr>
        <w:t>1.2磋商报价为总报价。</w:t>
      </w:r>
      <w:r>
        <w:rPr>
          <w:rFonts w:hint="eastAsia" w:ascii="宋体" w:hAnsi="宋体"/>
          <w:color w:val="auto"/>
          <w:highlight w:val="none"/>
          <w:lang w:eastAsia="zh-CN"/>
        </w:rPr>
        <w:t>包括开展资料收集、系列编图、工作报告及其他不可预见的全部费用。</w:t>
      </w:r>
      <w:r>
        <w:rPr>
          <w:rFonts w:hint="eastAsia" w:ascii="宋体" w:hAnsi="宋体"/>
          <w:color w:val="auto"/>
          <w:highlight w:val="none"/>
        </w:rPr>
        <w:t>若投标磋商不能完全包括上述内容，该投标将被认为非实质性响应。</w:t>
      </w:r>
    </w:p>
    <w:p w14:paraId="55B96A62">
      <w:pPr>
        <w:spacing w:line="360" w:lineRule="auto"/>
        <w:ind w:firstLine="470" w:firstLineChars="196"/>
        <w:rPr>
          <w:rFonts w:hint="eastAsia" w:ascii="宋体" w:hAnsi="宋体"/>
          <w:color w:val="auto"/>
          <w:highlight w:val="none"/>
        </w:rPr>
      </w:pPr>
      <w:r>
        <w:rPr>
          <w:rFonts w:hint="eastAsia" w:ascii="宋体" w:hAnsi="宋体"/>
          <w:color w:val="auto"/>
          <w:highlight w:val="none"/>
        </w:rPr>
        <w:t>1.3所投产品或其任何一部分不得侵犯专利权、著作权、商标权和工业设计权等知识产权。</w:t>
      </w:r>
    </w:p>
    <w:p w14:paraId="4EC7862D">
      <w:pPr>
        <w:spacing w:line="360" w:lineRule="auto"/>
        <w:ind w:firstLine="470" w:firstLineChars="196"/>
        <w:rPr>
          <w:rFonts w:hint="eastAsia" w:ascii="宋体" w:hAnsi="宋体"/>
          <w:color w:val="auto"/>
          <w:highlight w:val="none"/>
        </w:rPr>
      </w:pPr>
      <w:r>
        <w:rPr>
          <w:rFonts w:hint="eastAsia" w:ascii="宋体" w:hAnsi="宋体"/>
          <w:color w:val="auto"/>
          <w:highlight w:val="none"/>
        </w:rPr>
        <w:t>1.4服务时间、地点：按采购人指定的时间、地点提供相关服务。</w:t>
      </w:r>
    </w:p>
    <w:p w14:paraId="3E5C92A5">
      <w:pPr>
        <w:widowControl/>
        <w:spacing w:before="100" w:beforeAutospacing="1" w:after="100" w:afterAutospacing="1" w:line="360" w:lineRule="auto"/>
        <w:ind w:firstLine="542"/>
        <w:jc w:val="left"/>
        <w:outlineLvl w:val="2"/>
        <w:rPr>
          <w:rFonts w:hint="eastAsia" w:ascii="宋体" w:hAnsi="宋体"/>
          <w:b/>
          <w:bCs/>
          <w:color w:val="auto"/>
          <w:kern w:val="0"/>
          <w:sz w:val="27"/>
          <w:szCs w:val="27"/>
          <w:highlight w:val="none"/>
        </w:rPr>
      </w:pPr>
      <w:bookmarkStart w:id="379" w:name="_Toc25293"/>
      <w:bookmarkStart w:id="380" w:name="_Toc20042"/>
      <w:r>
        <w:rPr>
          <w:rFonts w:hint="eastAsia" w:ascii="宋体" w:hAnsi="宋体"/>
          <w:b/>
          <w:bCs/>
          <w:color w:val="auto"/>
          <w:kern w:val="0"/>
          <w:sz w:val="27"/>
          <w:szCs w:val="27"/>
          <w:highlight w:val="none"/>
        </w:rPr>
        <w:t>2.报价说明</w:t>
      </w:r>
      <w:bookmarkEnd w:id="379"/>
      <w:bookmarkEnd w:id="380"/>
    </w:p>
    <w:p w14:paraId="3025822F">
      <w:pPr>
        <w:spacing w:line="360" w:lineRule="auto"/>
        <w:ind w:firstLine="470" w:firstLineChars="196"/>
        <w:rPr>
          <w:rFonts w:hint="eastAsia" w:ascii="宋体" w:hAnsi="宋体"/>
          <w:color w:val="auto"/>
          <w:highlight w:val="none"/>
        </w:rPr>
      </w:pPr>
      <w:r>
        <w:rPr>
          <w:rFonts w:hint="eastAsia" w:ascii="宋体" w:hAnsi="宋体"/>
          <w:color w:val="auto"/>
          <w:highlight w:val="none"/>
        </w:rPr>
        <w:t>本次磋商文件中规定的采购预算为招标最高限价，投标单位的投标报价不得超出此预算。否则，投标无效。</w:t>
      </w:r>
    </w:p>
    <w:p w14:paraId="767EFA38">
      <w:pPr>
        <w:widowControl/>
        <w:spacing w:before="100" w:beforeAutospacing="1" w:after="100" w:afterAutospacing="1" w:line="360" w:lineRule="auto"/>
        <w:ind w:firstLine="542"/>
        <w:jc w:val="left"/>
        <w:outlineLvl w:val="2"/>
        <w:rPr>
          <w:rFonts w:hint="eastAsia" w:ascii="宋体" w:hAnsi="宋体"/>
          <w:b/>
          <w:bCs/>
          <w:color w:val="auto"/>
          <w:kern w:val="0"/>
          <w:sz w:val="27"/>
          <w:szCs w:val="27"/>
          <w:highlight w:val="none"/>
        </w:rPr>
      </w:pPr>
      <w:bookmarkStart w:id="381" w:name="_Toc23143"/>
      <w:bookmarkStart w:id="382" w:name="_Toc21680"/>
      <w:r>
        <w:rPr>
          <w:rFonts w:hint="eastAsia" w:ascii="宋体" w:hAnsi="宋体"/>
          <w:b/>
          <w:bCs/>
          <w:color w:val="auto"/>
          <w:kern w:val="0"/>
          <w:sz w:val="27"/>
          <w:szCs w:val="27"/>
          <w:highlight w:val="none"/>
        </w:rPr>
        <w:t>3.重要指标</w:t>
      </w:r>
      <w:bookmarkEnd w:id="381"/>
      <w:bookmarkEnd w:id="382"/>
    </w:p>
    <w:p w14:paraId="1122189D">
      <w:pPr>
        <w:spacing w:line="360" w:lineRule="auto"/>
        <w:ind w:firstLine="470" w:firstLineChars="196"/>
        <w:rPr>
          <w:rFonts w:hint="eastAsia" w:ascii="宋体" w:hAnsi="宋体" w:cs="宋体"/>
          <w:color w:val="auto"/>
          <w:kern w:val="0"/>
          <w:highlight w:val="none"/>
        </w:rPr>
      </w:pPr>
      <w:r>
        <w:rPr>
          <w:rFonts w:hint="eastAsia" w:ascii="宋体" w:hAnsi="宋体"/>
          <w:color w:val="auto"/>
          <w:highlight w:val="none"/>
        </w:rPr>
        <w:t>磋商文件在技术要求中列出了采购人可以接受的最低技术指标，供应商必须对采购一览表及服务内容和指标进行实质性响应，所提供的每一项技术指标不能低于所列的各项指标。</w:t>
      </w:r>
    </w:p>
    <w:p w14:paraId="2CF7CFC7">
      <w:pPr>
        <w:widowControl/>
        <w:spacing w:before="480" w:beforeLines="200" w:after="480" w:afterLines="200" w:line="360" w:lineRule="auto"/>
        <w:ind w:firstLine="0" w:firstLineChars="0"/>
        <w:jc w:val="center"/>
        <w:outlineLvl w:val="1"/>
        <w:rPr>
          <w:rFonts w:hint="eastAsia" w:ascii="宋体" w:hAnsi="宋体"/>
          <w:b/>
          <w:bCs/>
          <w:color w:val="auto"/>
          <w:kern w:val="0"/>
          <w:sz w:val="36"/>
          <w:szCs w:val="36"/>
          <w:highlight w:val="none"/>
        </w:rPr>
      </w:pPr>
    </w:p>
    <w:p w14:paraId="103755DE">
      <w:pPr>
        <w:rPr>
          <w:rFonts w:hint="eastAsia" w:ascii="宋体" w:hAnsi="宋体"/>
          <w:b/>
          <w:bCs/>
          <w:color w:val="auto"/>
          <w:kern w:val="0"/>
          <w:sz w:val="36"/>
          <w:szCs w:val="36"/>
          <w:highlight w:val="none"/>
        </w:rPr>
      </w:pPr>
      <w:bookmarkStart w:id="383" w:name="_Toc7056"/>
      <w:r>
        <w:rPr>
          <w:rFonts w:hint="eastAsia" w:ascii="宋体" w:hAnsi="宋体"/>
          <w:b/>
          <w:bCs/>
          <w:color w:val="auto"/>
          <w:kern w:val="0"/>
          <w:sz w:val="36"/>
          <w:szCs w:val="36"/>
          <w:highlight w:val="none"/>
        </w:rPr>
        <w:br w:type="page"/>
      </w:r>
    </w:p>
    <w:p w14:paraId="493D4E02">
      <w:pPr>
        <w:widowControl/>
        <w:spacing w:before="480" w:beforeLines="200" w:after="480" w:afterLines="200" w:line="360" w:lineRule="auto"/>
        <w:ind w:firstLine="0" w:firstLineChars="0"/>
        <w:jc w:val="center"/>
        <w:outlineLvl w:val="1"/>
        <w:rPr>
          <w:rFonts w:hint="eastAsia" w:ascii="宋体" w:hAnsi="宋体"/>
          <w:b/>
          <w:bCs/>
          <w:color w:val="auto"/>
          <w:kern w:val="0"/>
          <w:sz w:val="36"/>
          <w:szCs w:val="36"/>
          <w:highlight w:val="none"/>
        </w:rPr>
      </w:pPr>
      <w:bookmarkStart w:id="384" w:name="_Toc2444"/>
      <w:bookmarkStart w:id="385" w:name="_Toc22405"/>
      <w:r>
        <w:rPr>
          <w:rFonts w:hint="eastAsia" w:ascii="宋体" w:hAnsi="宋体"/>
          <w:b/>
          <w:bCs/>
          <w:color w:val="auto"/>
          <w:kern w:val="0"/>
          <w:sz w:val="36"/>
          <w:szCs w:val="36"/>
          <w:highlight w:val="none"/>
        </w:rPr>
        <w:t>二、项目概况及服务内容</w:t>
      </w:r>
      <w:bookmarkEnd w:id="383"/>
      <w:bookmarkEnd w:id="384"/>
      <w:bookmarkEnd w:id="385"/>
    </w:p>
    <w:p w14:paraId="3F98130F">
      <w:pPr>
        <w:widowControl/>
        <w:spacing w:before="100" w:beforeAutospacing="1" w:after="100" w:afterAutospacing="1" w:line="360" w:lineRule="auto"/>
        <w:ind w:firstLine="542"/>
        <w:jc w:val="left"/>
        <w:outlineLvl w:val="2"/>
        <w:rPr>
          <w:rFonts w:hint="eastAsia" w:ascii="宋体" w:hAnsi="宋体"/>
          <w:b/>
          <w:bCs/>
          <w:color w:val="auto"/>
          <w:kern w:val="0"/>
          <w:sz w:val="27"/>
          <w:szCs w:val="27"/>
          <w:highlight w:val="none"/>
        </w:rPr>
      </w:pPr>
      <w:bookmarkStart w:id="386" w:name="_Toc14455"/>
      <w:bookmarkStart w:id="387" w:name="_Toc25482"/>
      <w:r>
        <w:rPr>
          <w:rFonts w:hint="eastAsia" w:ascii="宋体" w:hAnsi="宋体"/>
          <w:b/>
          <w:bCs/>
          <w:color w:val="auto"/>
          <w:kern w:val="0"/>
          <w:sz w:val="27"/>
          <w:szCs w:val="27"/>
          <w:highlight w:val="none"/>
        </w:rPr>
        <w:t>1.项目概况</w:t>
      </w:r>
      <w:bookmarkEnd w:id="386"/>
      <w:bookmarkEnd w:id="387"/>
    </w:p>
    <w:p w14:paraId="262B4B67">
      <w:pPr>
        <w:ind w:firstLine="480"/>
        <w:rPr>
          <w:rFonts w:hint="eastAsia" w:ascii="宋体" w:hAnsi="宋体"/>
          <w:color w:val="auto"/>
          <w:highlight w:val="none"/>
        </w:rPr>
      </w:pPr>
      <w:bookmarkStart w:id="388" w:name="_Toc16513"/>
      <w:r>
        <w:rPr>
          <w:rFonts w:hint="eastAsia" w:ascii="宋体" w:hAnsi="宋体"/>
          <w:color w:val="auto"/>
          <w:highlight w:val="none"/>
        </w:rPr>
        <w:t>1.1项目名称：青海省成矿远景区划</w:t>
      </w:r>
    </w:p>
    <w:p w14:paraId="458AD751">
      <w:pPr>
        <w:widowControl/>
        <w:ind w:firstLine="480"/>
        <w:textAlignment w:val="center"/>
        <w:rPr>
          <w:rFonts w:hint="eastAsia" w:ascii="宋体" w:hAnsi="宋体"/>
          <w:color w:val="auto"/>
          <w:highlight w:val="none"/>
          <w:u w:val="single"/>
        </w:rPr>
      </w:pPr>
      <w:r>
        <w:rPr>
          <w:rFonts w:hint="eastAsia" w:ascii="宋体" w:hAnsi="宋体"/>
          <w:color w:val="auto"/>
          <w:highlight w:val="none"/>
        </w:rPr>
        <w:t>1.2采购预算：200万元</w:t>
      </w:r>
    </w:p>
    <w:p w14:paraId="4543A5DB">
      <w:pPr>
        <w:widowControl/>
        <w:ind w:firstLine="480"/>
        <w:textAlignment w:val="center"/>
        <w:rPr>
          <w:rFonts w:hint="eastAsia" w:ascii="宋体" w:hAnsi="宋体"/>
          <w:color w:val="auto"/>
          <w:highlight w:val="none"/>
        </w:rPr>
      </w:pPr>
      <w:r>
        <w:rPr>
          <w:rFonts w:hint="eastAsia" w:ascii="宋体" w:hAnsi="宋体"/>
          <w:color w:val="auto"/>
          <w:highlight w:val="none"/>
        </w:rPr>
        <w:t>1.3服务内容：</w:t>
      </w:r>
      <w:r>
        <w:rPr>
          <w:rFonts w:hint="eastAsia" w:ascii="宋体" w:hAnsi="宋体"/>
          <w:color w:val="auto"/>
          <w:highlight w:val="none"/>
        </w:rPr>
        <w:t>该项目共1个包，</w:t>
      </w:r>
      <w:r>
        <w:rPr>
          <w:rFonts w:hint="eastAsia" w:ascii="宋体" w:hAnsi="宋体"/>
          <w:color w:val="auto"/>
          <w:highlight w:val="none"/>
        </w:rPr>
        <w:t>采用资料收集、系列编图、工作报告</w:t>
      </w:r>
      <w:r>
        <w:rPr>
          <w:rFonts w:hint="eastAsia" w:ascii="宋体" w:hAnsi="宋体"/>
          <w:color w:val="auto"/>
          <w:highlight w:val="none"/>
          <w:lang w:eastAsia="zh-CN"/>
        </w:rPr>
        <w:t>等方法技术手段开展的成矿远景区划，</w:t>
      </w:r>
      <w:r>
        <w:rPr>
          <w:rFonts w:hint="eastAsia" w:ascii="宋体" w:hAnsi="宋体"/>
          <w:color w:val="auto"/>
          <w:highlight w:val="none"/>
        </w:rPr>
        <w:t>采购标的经采购人确认属于</w:t>
      </w:r>
      <w:r>
        <w:rPr>
          <w:rFonts w:hint="eastAsia" w:ascii="宋体" w:hAnsi="宋体"/>
          <w:color w:val="auto"/>
          <w:highlight w:val="none"/>
          <w:u w:val="single"/>
        </w:rPr>
        <w:t>其他未列明</w:t>
      </w:r>
      <w:r>
        <w:rPr>
          <w:rFonts w:hint="eastAsia" w:ascii="宋体" w:hAnsi="宋体"/>
          <w:color w:val="auto"/>
          <w:highlight w:val="none"/>
        </w:rPr>
        <w:t>行业。服务内容详见磋商文件《采购一览表及服务内容》。</w:t>
      </w:r>
    </w:p>
    <w:p w14:paraId="185AC1CF">
      <w:pPr>
        <w:widowControl/>
        <w:spacing w:before="100" w:beforeAutospacing="1" w:after="100" w:afterAutospacing="1" w:line="240" w:lineRule="auto"/>
        <w:ind w:firstLine="542"/>
        <w:jc w:val="left"/>
        <w:outlineLvl w:val="2"/>
        <w:rPr>
          <w:rFonts w:hint="eastAsia" w:ascii="宋体" w:hAnsi="宋体"/>
          <w:b/>
          <w:bCs/>
          <w:color w:val="auto"/>
          <w:kern w:val="0"/>
          <w:sz w:val="27"/>
          <w:szCs w:val="27"/>
          <w:highlight w:val="none"/>
        </w:rPr>
      </w:pPr>
      <w:r>
        <w:rPr>
          <w:rFonts w:hint="eastAsia" w:ascii="宋体" w:hAnsi="宋体"/>
          <w:b/>
          <w:bCs/>
          <w:color w:val="auto"/>
          <w:kern w:val="0"/>
          <w:sz w:val="27"/>
          <w:szCs w:val="27"/>
          <w:highlight w:val="none"/>
        </w:rPr>
        <w:t>2.采购一览表及服务内容</w:t>
      </w:r>
      <w:bookmarkEnd w:id="388"/>
    </w:p>
    <w:p w14:paraId="2E6660A1">
      <w:pPr>
        <w:ind w:firstLine="480"/>
        <w:rPr>
          <w:rFonts w:hint="eastAsia" w:ascii="宋体" w:hAnsi="宋体"/>
          <w:color w:val="auto"/>
          <w:highlight w:val="none"/>
        </w:rPr>
      </w:pPr>
      <w:bookmarkStart w:id="389" w:name="_Toc22431"/>
      <w:bookmarkStart w:id="390" w:name="_Toc6400"/>
      <w:r>
        <w:rPr>
          <w:rFonts w:ascii="宋体" w:hAnsi="宋体"/>
          <w:color w:val="auto"/>
          <w:highlight w:val="none"/>
        </w:rPr>
        <w:t xml:space="preserve">2.1 </w:t>
      </w:r>
      <w:r>
        <w:rPr>
          <w:rFonts w:hint="eastAsia" w:ascii="宋体" w:hAnsi="宋体"/>
          <w:color w:val="auto"/>
          <w:highlight w:val="none"/>
        </w:rPr>
        <w:t>任务目标</w:t>
      </w:r>
      <w:bookmarkStart w:id="405" w:name="_GoBack"/>
      <w:bookmarkEnd w:id="405"/>
    </w:p>
    <w:p w14:paraId="45575296">
      <w:pPr>
        <w:ind w:firstLine="480"/>
        <w:rPr>
          <w:rFonts w:ascii="宋体" w:hAnsi="宋体"/>
          <w:color w:val="auto"/>
          <w:highlight w:val="none"/>
        </w:rPr>
      </w:pPr>
      <w:r>
        <w:rPr>
          <w:rFonts w:hint="eastAsia" w:ascii="宋体" w:hAnsi="宋体"/>
          <w:color w:val="auto"/>
          <w:highlight w:val="none"/>
        </w:rPr>
        <w:t>（1）总体任务目标</w:t>
      </w:r>
    </w:p>
    <w:p w14:paraId="08D0BE7E">
      <w:pPr>
        <w:ind w:firstLine="480"/>
        <w:rPr>
          <w:rFonts w:hint="eastAsia" w:ascii="宋体" w:hAnsi="宋体"/>
          <w:color w:val="auto"/>
          <w:highlight w:val="none"/>
        </w:rPr>
      </w:pPr>
      <w:r>
        <w:rPr>
          <w:rFonts w:hint="eastAsia" w:ascii="宋体" w:hAnsi="宋体"/>
          <w:color w:val="auto"/>
          <w:highlight w:val="none"/>
        </w:rPr>
        <w:t>1.在青海省“三轮区划”“青海矿产志”和最新潜在矿产资源评价等成果的基础上，聚焦“十五五”重点找矿矿种，以国家紧缺、我省优势、具有市场前景的战略性矿种为重点，开展青海省全省范围内非油气的常态化成矿远景区划工作。主要任务包括分析成矿地质背景、研究成矿规律、进行成矿预测、优选找矿区域、提出找矿（部署）建议。</w:t>
      </w:r>
    </w:p>
    <w:p w14:paraId="227D5CE6">
      <w:pPr>
        <w:ind w:firstLine="480"/>
        <w:rPr>
          <w:rFonts w:ascii="宋体" w:hAnsi="宋体"/>
          <w:color w:val="auto"/>
          <w:highlight w:val="none"/>
        </w:rPr>
      </w:pPr>
      <w:r>
        <w:rPr>
          <w:rFonts w:hint="eastAsia" w:ascii="宋体" w:hAnsi="宋体"/>
          <w:color w:val="auto"/>
          <w:highlight w:val="none"/>
        </w:rPr>
        <w:t>（</w:t>
      </w:r>
      <w:r>
        <w:rPr>
          <w:rFonts w:ascii="宋体" w:hAnsi="宋体"/>
          <w:color w:val="auto"/>
          <w:highlight w:val="none"/>
        </w:rPr>
        <w:t>2</w:t>
      </w:r>
      <w:r>
        <w:rPr>
          <w:rFonts w:hint="eastAsia" w:ascii="宋体" w:hAnsi="宋体"/>
          <w:color w:val="auto"/>
          <w:highlight w:val="none"/>
        </w:rPr>
        <w:t>）2026年度任务目标</w:t>
      </w:r>
    </w:p>
    <w:p w14:paraId="2B3DBA35">
      <w:pPr>
        <w:ind w:firstLine="480"/>
        <w:rPr>
          <w:rFonts w:hint="eastAsia" w:ascii="宋体" w:hAnsi="宋体"/>
          <w:color w:val="auto"/>
          <w:highlight w:val="none"/>
        </w:rPr>
      </w:pPr>
      <w:r>
        <w:rPr>
          <w:rFonts w:hint="eastAsia" w:ascii="宋体" w:hAnsi="宋体"/>
          <w:color w:val="auto"/>
          <w:highlight w:val="none"/>
        </w:rPr>
        <w:t>1）在系统收集全省科研、地质、矿产、物探、化探、遥感等相关资料的基础上，开展全省成矿地质背景研究，总结区域成矿规律。</w:t>
      </w:r>
    </w:p>
    <w:p w14:paraId="73C3A55C">
      <w:pPr>
        <w:ind w:firstLine="480"/>
        <w:rPr>
          <w:rFonts w:hint="eastAsia" w:ascii="宋体" w:hAnsi="宋体"/>
          <w:color w:val="auto"/>
          <w:highlight w:val="none"/>
        </w:rPr>
      </w:pPr>
      <w:r>
        <w:rPr>
          <w:rFonts w:hint="eastAsia" w:ascii="宋体" w:hAnsi="宋体"/>
          <w:color w:val="auto"/>
          <w:highlight w:val="none"/>
        </w:rPr>
        <w:t>2）以钾、锂、镍、钴、铬、金、铍、铌、锡、钛、萤石、石英岩等12矿种为主攻矿种，以铜、铁、银、锰、锑、铀、钽、硼、石墨、干热岩、地下热水等11矿种为兼顾矿种，共计23种矿种，综合运用地质、物探、化探、遥感等多元信息，</w:t>
      </w:r>
      <w:bookmarkStart w:id="391" w:name="OLE_LINK1"/>
      <w:r>
        <w:rPr>
          <w:rFonts w:hint="eastAsia" w:ascii="宋体" w:hAnsi="宋体"/>
          <w:color w:val="auto"/>
          <w:highlight w:val="none"/>
        </w:rPr>
        <w:t>开展成矿远景区划工作，圈定成矿远景区、找矿预测区等</w:t>
      </w:r>
      <w:bookmarkEnd w:id="391"/>
      <w:r>
        <w:rPr>
          <w:rFonts w:hint="eastAsia" w:ascii="宋体" w:hAnsi="宋体"/>
          <w:color w:val="auto"/>
          <w:highlight w:val="none"/>
        </w:rPr>
        <w:t>，筛选提出出让区块。</w:t>
      </w:r>
    </w:p>
    <w:p w14:paraId="19BFAB36">
      <w:pPr>
        <w:ind w:firstLine="480"/>
        <w:rPr>
          <w:rFonts w:ascii="宋体" w:hAnsi="宋体"/>
          <w:color w:val="auto"/>
          <w:highlight w:val="none"/>
        </w:rPr>
      </w:pPr>
      <w:r>
        <w:rPr>
          <w:rFonts w:ascii="宋体" w:hAnsi="宋体"/>
          <w:color w:val="auto"/>
          <w:highlight w:val="none"/>
        </w:rPr>
        <w:t>2.2 工作周期</w:t>
      </w:r>
    </w:p>
    <w:p w14:paraId="56247DA8">
      <w:pPr>
        <w:ind w:firstLine="480"/>
        <w:rPr>
          <w:rFonts w:ascii="宋体" w:hAnsi="宋体"/>
          <w:color w:val="auto"/>
          <w:highlight w:val="none"/>
        </w:rPr>
      </w:pPr>
      <w:r>
        <w:rPr>
          <w:rFonts w:hint="eastAsia" w:ascii="宋体" w:hAnsi="宋体"/>
          <w:color w:val="auto"/>
          <w:highlight w:val="none"/>
          <w:lang w:eastAsia="zh-CN"/>
        </w:rPr>
        <w:t>自合同签订之日起-2026年12月</w:t>
      </w:r>
      <w:r>
        <w:rPr>
          <w:rFonts w:hint="eastAsia" w:ascii="宋体" w:hAnsi="宋体"/>
          <w:color w:val="auto"/>
          <w:highlight w:val="none"/>
        </w:rPr>
        <w:t>。</w:t>
      </w:r>
    </w:p>
    <w:p w14:paraId="3CA513CA">
      <w:pPr>
        <w:ind w:firstLine="480"/>
        <w:rPr>
          <w:rFonts w:ascii="宋体" w:hAnsi="宋体"/>
          <w:color w:val="auto"/>
          <w:highlight w:val="none"/>
        </w:rPr>
      </w:pPr>
      <w:r>
        <w:rPr>
          <w:rFonts w:ascii="宋体" w:hAnsi="宋体"/>
          <w:color w:val="auto"/>
          <w:highlight w:val="none"/>
        </w:rPr>
        <w:t>2.3 工作范围</w:t>
      </w:r>
    </w:p>
    <w:p w14:paraId="0312EE84">
      <w:pPr>
        <w:ind w:firstLine="480"/>
        <w:rPr>
          <w:rFonts w:hint="eastAsia" w:ascii="宋体" w:hAnsi="宋体"/>
          <w:color w:val="auto"/>
          <w:highlight w:val="none"/>
        </w:rPr>
      </w:pPr>
      <w:r>
        <w:rPr>
          <w:rFonts w:ascii="宋体" w:hAnsi="宋体"/>
          <w:color w:val="auto"/>
          <w:highlight w:val="none"/>
        </w:rPr>
        <w:t>工作区位于</w:t>
      </w:r>
      <w:bookmarkStart w:id="392" w:name="_Hlk116227703"/>
      <w:r>
        <w:rPr>
          <w:rFonts w:ascii="宋体" w:hAnsi="宋体"/>
          <w:color w:val="auto"/>
          <w:highlight w:val="none"/>
        </w:rPr>
        <w:t>青海省</w:t>
      </w:r>
      <w:bookmarkEnd w:id="392"/>
      <w:r>
        <w:rPr>
          <w:rFonts w:hint="eastAsia" w:ascii="宋体" w:hAnsi="宋体"/>
          <w:color w:val="auto"/>
          <w:highlight w:val="none"/>
        </w:rPr>
        <w:t>。</w:t>
      </w:r>
    </w:p>
    <w:p w14:paraId="789965E9">
      <w:pPr>
        <w:ind w:firstLine="480"/>
        <w:rPr>
          <w:rFonts w:ascii="宋体" w:hAnsi="宋体"/>
          <w:color w:val="auto"/>
          <w:highlight w:val="none"/>
        </w:rPr>
      </w:pPr>
      <w:r>
        <w:rPr>
          <w:rFonts w:ascii="宋体" w:hAnsi="宋体"/>
          <w:color w:val="auto"/>
          <w:highlight w:val="none"/>
        </w:rPr>
        <w:t>2.4 质量及技术要求</w:t>
      </w:r>
    </w:p>
    <w:p w14:paraId="07C97EF9">
      <w:pPr>
        <w:ind w:firstLine="470" w:firstLineChars="196"/>
        <w:rPr>
          <w:rFonts w:ascii="宋体" w:hAnsi="宋体"/>
          <w:color w:val="auto"/>
          <w:highlight w:val="none"/>
        </w:rPr>
      </w:pPr>
      <w:r>
        <w:rPr>
          <w:rFonts w:hint="eastAsia" w:ascii="宋体" w:hAnsi="宋体"/>
          <w:color w:val="auto"/>
          <w:highlight w:val="none"/>
        </w:rPr>
        <w:t>（1）工作方法及技术质量要求按照以下相关规范、规定执行：</w:t>
      </w:r>
    </w:p>
    <w:p w14:paraId="0C2647EF">
      <w:pPr>
        <w:ind w:firstLine="470" w:firstLineChars="196"/>
        <w:rPr>
          <w:rFonts w:hint="eastAsia" w:ascii="宋体" w:hAnsi="宋体"/>
          <w:color w:val="auto"/>
          <w:highlight w:val="none"/>
        </w:rPr>
      </w:pPr>
      <w:r>
        <w:rPr>
          <w:rFonts w:hint="eastAsia" w:ascii="宋体" w:hAnsi="宋体"/>
          <w:color w:val="auto"/>
          <w:highlight w:val="none"/>
        </w:rPr>
        <w:t>《自然资源部关于开展常态化成矿远景区划工作助推新一轮找矿突破战略行动的通知》（自然资发〔2025〕25号）</w:t>
      </w:r>
    </w:p>
    <w:p w14:paraId="5E1820D2">
      <w:pPr>
        <w:ind w:firstLine="470" w:firstLineChars="196"/>
        <w:rPr>
          <w:rFonts w:hint="eastAsia" w:ascii="宋体" w:hAnsi="宋体"/>
          <w:color w:val="auto"/>
          <w:highlight w:val="none"/>
        </w:rPr>
      </w:pPr>
      <w:r>
        <w:rPr>
          <w:rFonts w:hint="eastAsia" w:ascii="宋体" w:hAnsi="宋体"/>
          <w:color w:val="auto"/>
          <w:highlight w:val="none"/>
        </w:rPr>
        <w:t>《自然资源部办公厅关于建立利用地质资料和矿产地质志常态化筛选出让勘查区块工作机制助推新一轮找矿突破的通知》（自然资办函〔2025〕126号）</w:t>
      </w:r>
    </w:p>
    <w:p w14:paraId="57979DFD">
      <w:pPr>
        <w:ind w:firstLine="470" w:firstLineChars="196"/>
        <w:rPr>
          <w:rFonts w:hint="eastAsia" w:ascii="宋体" w:hAnsi="宋体"/>
          <w:color w:val="auto"/>
          <w:highlight w:val="none"/>
        </w:rPr>
      </w:pPr>
      <w:r>
        <w:rPr>
          <w:rFonts w:hint="eastAsia" w:ascii="宋体" w:hAnsi="宋体"/>
          <w:color w:val="auto"/>
          <w:highlight w:val="none"/>
        </w:rPr>
        <w:t>《自然资源部办公厅关于拓展出让区块来源助推新一轮找矿突破的通知》（自然资办发〔2023〕49号）</w:t>
      </w:r>
    </w:p>
    <w:p w14:paraId="1409EF2F">
      <w:pPr>
        <w:ind w:firstLine="470" w:firstLineChars="196"/>
        <w:rPr>
          <w:rFonts w:hint="eastAsia" w:ascii="宋体" w:hAnsi="宋体"/>
          <w:color w:val="auto"/>
          <w:highlight w:val="none"/>
        </w:rPr>
      </w:pPr>
      <w:r>
        <w:rPr>
          <w:rFonts w:hint="eastAsia" w:ascii="宋体" w:hAnsi="宋体"/>
          <w:color w:val="auto"/>
          <w:highlight w:val="none"/>
        </w:rPr>
        <w:t>《中国矿产地质志·省级矿产地质志研编技术要求》.2016.中国矿产地质志项目办公室编</w:t>
      </w:r>
    </w:p>
    <w:p w14:paraId="28E8F91A">
      <w:pPr>
        <w:ind w:firstLine="470" w:firstLineChars="196"/>
        <w:rPr>
          <w:rFonts w:hint="eastAsia" w:ascii="宋体" w:hAnsi="宋体"/>
          <w:color w:val="auto"/>
          <w:highlight w:val="none"/>
        </w:rPr>
      </w:pPr>
      <w:r>
        <w:rPr>
          <w:rFonts w:hint="eastAsia" w:ascii="宋体" w:hAnsi="宋体"/>
          <w:color w:val="auto"/>
          <w:highlight w:val="none"/>
        </w:rPr>
        <w:t>《矿产资源潜力评价规范（1∶250 000）》（DZ/T 0419-2022）</w:t>
      </w:r>
    </w:p>
    <w:p w14:paraId="2E7F1138">
      <w:pPr>
        <w:ind w:firstLine="470" w:firstLineChars="196"/>
        <w:rPr>
          <w:rFonts w:hint="eastAsia" w:ascii="宋体" w:hAnsi="宋体"/>
          <w:color w:val="auto"/>
          <w:highlight w:val="none"/>
        </w:rPr>
      </w:pPr>
      <w:r>
        <w:rPr>
          <w:rFonts w:hint="eastAsia" w:ascii="宋体" w:hAnsi="宋体"/>
          <w:color w:val="auto"/>
          <w:highlight w:val="none"/>
        </w:rPr>
        <w:t>《固体矿产资源储量分类》（GB/T 17766—2020）</w:t>
      </w:r>
    </w:p>
    <w:p w14:paraId="1DF96470">
      <w:pPr>
        <w:ind w:firstLine="470" w:firstLineChars="196"/>
        <w:rPr>
          <w:rFonts w:hint="eastAsia" w:ascii="宋体" w:hAnsi="宋体"/>
          <w:color w:val="auto"/>
          <w:highlight w:val="none"/>
        </w:rPr>
      </w:pPr>
      <w:r>
        <w:rPr>
          <w:rFonts w:hint="eastAsia" w:ascii="宋体" w:hAnsi="宋体"/>
          <w:color w:val="auto"/>
          <w:highlight w:val="none"/>
        </w:rPr>
        <w:t>《固体矿产地质勘查规范总则》（GB/T 13908-2022）</w:t>
      </w:r>
    </w:p>
    <w:p w14:paraId="5A61957C">
      <w:pPr>
        <w:ind w:firstLine="470" w:firstLineChars="196"/>
        <w:rPr>
          <w:rFonts w:hint="eastAsia" w:ascii="宋体" w:hAnsi="宋体"/>
          <w:color w:val="auto"/>
          <w:highlight w:val="none"/>
        </w:rPr>
      </w:pPr>
      <w:r>
        <w:rPr>
          <w:rFonts w:hint="eastAsia" w:ascii="宋体" w:hAnsi="宋体"/>
          <w:color w:val="auto"/>
          <w:highlight w:val="none"/>
        </w:rPr>
        <w:t>《固体矿产勘查规范》（GB/T 33444-2022）</w:t>
      </w:r>
    </w:p>
    <w:p w14:paraId="2A7F98A0">
      <w:pPr>
        <w:ind w:firstLine="470" w:firstLineChars="196"/>
        <w:rPr>
          <w:rFonts w:hint="eastAsia" w:ascii="宋体" w:hAnsi="宋体"/>
          <w:color w:val="auto"/>
          <w:highlight w:val="none"/>
        </w:rPr>
      </w:pPr>
      <w:r>
        <w:rPr>
          <w:rFonts w:hint="eastAsia" w:ascii="宋体" w:hAnsi="宋体"/>
          <w:color w:val="auto"/>
          <w:highlight w:val="none"/>
        </w:rPr>
        <w:t>《区域地质图图例》（GB/T 958-2023）</w:t>
      </w:r>
      <w:r>
        <w:rPr>
          <w:rFonts w:hint="eastAsia" w:ascii="宋体" w:hAnsi="宋体"/>
          <w:color w:val="auto"/>
          <w:highlight w:val="none"/>
        </w:rPr>
        <w:t xml:space="preserve"> </w:t>
      </w:r>
    </w:p>
    <w:p w14:paraId="320A4AF0">
      <w:pPr>
        <w:ind w:firstLine="470" w:firstLineChars="196"/>
        <w:rPr>
          <w:rFonts w:hint="eastAsia" w:ascii="宋体" w:hAnsi="宋体"/>
          <w:color w:val="auto"/>
          <w:highlight w:val="none"/>
        </w:rPr>
      </w:pPr>
      <w:r>
        <w:rPr>
          <w:rFonts w:hint="eastAsia" w:ascii="宋体" w:hAnsi="宋体"/>
          <w:color w:val="auto"/>
          <w:highlight w:val="none"/>
        </w:rPr>
        <w:t>《地质图用色标准（1:500000～1000000）》（GB/T 6390-2023）</w:t>
      </w:r>
    </w:p>
    <w:p w14:paraId="6182DEBD">
      <w:pPr>
        <w:ind w:firstLine="470" w:firstLineChars="196"/>
        <w:rPr>
          <w:rFonts w:hint="eastAsia" w:ascii="宋体" w:hAnsi="宋体"/>
          <w:color w:val="auto"/>
          <w:highlight w:val="none"/>
        </w:rPr>
      </w:pPr>
      <w:r>
        <w:rPr>
          <w:rFonts w:hint="eastAsia" w:ascii="宋体" w:hAnsi="宋体"/>
          <w:color w:val="auto"/>
          <w:highlight w:val="none"/>
        </w:rPr>
        <w:t>中华人民共和国国土资源部公布的单矿种地质勘查规范</w:t>
      </w:r>
    </w:p>
    <w:p w14:paraId="5E3A27B5">
      <w:pPr>
        <w:ind w:firstLine="470" w:firstLineChars="196"/>
        <w:rPr>
          <w:rFonts w:hint="eastAsia" w:ascii="宋体" w:hAnsi="宋体"/>
          <w:color w:val="auto"/>
          <w:highlight w:val="none"/>
        </w:rPr>
      </w:pPr>
      <w:r>
        <w:rPr>
          <w:rFonts w:hint="eastAsia" w:ascii="宋体" w:hAnsi="宋体"/>
          <w:color w:val="auto"/>
          <w:highlight w:val="none"/>
        </w:rPr>
        <w:t>《铁、锰、铬矿地质勘查规范》(DZ/T 0200-2020)；</w:t>
      </w:r>
    </w:p>
    <w:p w14:paraId="214308BF">
      <w:pPr>
        <w:ind w:firstLine="470" w:firstLineChars="196"/>
        <w:rPr>
          <w:rFonts w:hint="eastAsia" w:ascii="宋体" w:hAnsi="宋体"/>
          <w:color w:val="auto"/>
          <w:highlight w:val="none"/>
        </w:rPr>
      </w:pPr>
      <w:r>
        <w:rPr>
          <w:rFonts w:hint="eastAsia" w:ascii="宋体" w:hAnsi="宋体"/>
          <w:color w:val="auto"/>
          <w:highlight w:val="none"/>
        </w:rPr>
        <w:t>《铜、铅、锌、银、镍、钼矿地质勘查规范》(DZ/T 0214-2020)；</w:t>
      </w:r>
    </w:p>
    <w:p w14:paraId="6AF5ED1A">
      <w:pPr>
        <w:ind w:firstLine="470" w:firstLineChars="196"/>
        <w:rPr>
          <w:rFonts w:hint="eastAsia" w:ascii="宋体" w:hAnsi="宋体"/>
          <w:color w:val="auto"/>
          <w:highlight w:val="none"/>
        </w:rPr>
      </w:pPr>
      <w:r>
        <w:rPr>
          <w:rFonts w:hint="eastAsia" w:ascii="宋体" w:hAnsi="宋体"/>
          <w:color w:val="auto"/>
          <w:highlight w:val="none"/>
        </w:rPr>
        <w:t>《钨、锡、汞、锑矿产地质勘查规范》(DZ/T 0201-2020)；</w:t>
      </w:r>
    </w:p>
    <w:p w14:paraId="65692203">
      <w:pPr>
        <w:ind w:firstLine="470" w:firstLineChars="196"/>
        <w:rPr>
          <w:rFonts w:hint="eastAsia" w:ascii="宋体" w:hAnsi="宋体"/>
          <w:color w:val="auto"/>
          <w:highlight w:val="none"/>
        </w:rPr>
      </w:pPr>
      <w:r>
        <w:rPr>
          <w:rFonts w:hint="eastAsia" w:ascii="宋体" w:hAnsi="宋体"/>
          <w:color w:val="auto"/>
          <w:highlight w:val="none"/>
        </w:rPr>
        <w:t>《岩金矿地质勘查规范》(DZ/T 0205-2020)；</w:t>
      </w:r>
    </w:p>
    <w:p w14:paraId="05A9D76A">
      <w:pPr>
        <w:ind w:firstLine="470" w:firstLineChars="196"/>
        <w:rPr>
          <w:rFonts w:hint="eastAsia" w:ascii="宋体" w:hAnsi="宋体"/>
          <w:color w:val="auto"/>
          <w:highlight w:val="none"/>
        </w:rPr>
      </w:pPr>
      <w:r>
        <w:rPr>
          <w:rFonts w:hint="eastAsia" w:ascii="宋体" w:hAnsi="宋体"/>
          <w:color w:val="auto"/>
          <w:highlight w:val="none"/>
        </w:rPr>
        <w:t>《砂矿(金属矿产)地质勘查规范》(DZ/T 0208-2020)；</w:t>
      </w:r>
    </w:p>
    <w:p w14:paraId="02DFDCA9">
      <w:pPr>
        <w:ind w:firstLine="470" w:firstLineChars="196"/>
        <w:rPr>
          <w:rFonts w:hint="eastAsia" w:ascii="宋体" w:hAnsi="宋体"/>
          <w:color w:val="auto"/>
          <w:highlight w:val="none"/>
        </w:rPr>
      </w:pPr>
      <w:r>
        <w:rPr>
          <w:rFonts w:hint="eastAsia" w:ascii="宋体" w:hAnsi="宋体"/>
          <w:color w:val="auto"/>
          <w:highlight w:val="none"/>
        </w:rPr>
        <w:t>《铝土矿、冶镁菱镁矿地质勘查规范》(DZ/T 0202-2020)</w:t>
      </w:r>
      <w:r>
        <w:rPr>
          <w:rFonts w:hint="eastAsia" w:ascii="宋体" w:hAnsi="宋体"/>
          <w:color w:val="auto"/>
          <w:highlight w:val="none"/>
        </w:rPr>
        <w:t>；</w:t>
      </w:r>
    </w:p>
    <w:p w14:paraId="15D051D7">
      <w:pPr>
        <w:ind w:firstLine="470" w:firstLineChars="196"/>
        <w:rPr>
          <w:rFonts w:hint="eastAsia" w:ascii="宋体" w:hAnsi="宋体"/>
          <w:color w:val="auto"/>
          <w:highlight w:val="none"/>
        </w:rPr>
      </w:pPr>
      <w:r>
        <w:rPr>
          <w:rFonts w:hint="eastAsia" w:ascii="宋体" w:hAnsi="宋体"/>
          <w:color w:val="auto"/>
          <w:highlight w:val="none"/>
        </w:rPr>
        <w:t>《稀有金属矿产地质勘查规范》(DZ/T 0203-2020)；</w:t>
      </w:r>
    </w:p>
    <w:p w14:paraId="1CF007D6">
      <w:pPr>
        <w:ind w:firstLine="470" w:firstLineChars="196"/>
        <w:rPr>
          <w:rFonts w:hint="eastAsia" w:ascii="宋体" w:hAnsi="宋体"/>
          <w:color w:val="auto"/>
          <w:highlight w:val="none"/>
        </w:rPr>
      </w:pPr>
      <w:r>
        <w:rPr>
          <w:rFonts w:hint="eastAsia" w:ascii="宋体" w:hAnsi="宋体"/>
          <w:color w:val="auto"/>
          <w:highlight w:val="none"/>
        </w:rPr>
        <w:t>《稀土矿产地质勘查规范》(DZ/T 0204-2020)；</w:t>
      </w:r>
    </w:p>
    <w:p w14:paraId="5C26EB9F">
      <w:pPr>
        <w:ind w:firstLine="470" w:firstLineChars="196"/>
        <w:rPr>
          <w:rFonts w:hint="eastAsia" w:ascii="宋体" w:hAnsi="宋体"/>
          <w:color w:val="auto"/>
          <w:highlight w:val="none"/>
        </w:rPr>
      </w:pPr>
      <w:r>
        <w:rPr>
          <w:rFonts w:hint="eastAsia" w:ascii="宋体" w:hAnsi="宋体"/>
          <w:color w:val="auto"/>
          <w:highlight w:val="none"/>
        </w:rPr>
        <w:t>《磷矿地质勘查规范》(DZ/T 0209-2020)；</w:t>
      </w:r>
    </w:p>
    <w:p w14:paraId="2CB73805">
      <w:pPr>
        <w:ind w:firstLine="470" w:firstLineChars="196"/>
        <w:rPr>
          <w:rFonts w:hint="eastAsia" w:ascii="宋体" w:hAnsi="宋体"/>
          <w:color w:val="auto"/>
          <w:highlight w:val="none"/>
        </w:rPr>
      </w:pPr>
      <w:r>
        <w:rPr>
          <w:rFonts w:hint="eastAsia" w:ascii="宋体" w:hAnsi="宋体"/>
          <w:color w:val="auto"/>
          <w:highlight w:val="none"/>
        </w:rPr>
        <w:t>《硫铁矿地质勘查规范》(DZ/T 0210-2020)；</w:t>
      </w:r>
    </w:p>
    <w:p w14:paraId="1E53BF2D">
      <w:pPr>
        <w:ind w:firstLine="470" w:firstLineChars="196"/>
        <w:rPr>
          <w:rFonts w:hint="eastAsia" w:ascii="宋体" w:hAnsi="宋体"/>
          <w:color w:val="auto"/>
          <w:highlight w:val="none"/>
        </w:rPr>
      </w:pPr>
      <w:r>
        <w:rPr>
          <w:rFonts w:hint="eastAsia" w:ascii="宋体" w:hAnsi="宋体"/>
          <w:color w:val="auto"/>
          <w:highlight w:val="none"/>
        </w:rPr>
        <w:t>《重晶石、毒重石、萤石、硼矿地质勘查规范》(DZ/T 0211-2020)；</w:t>
      </w:r>
    </w:p>
    <w:p w14:paraId="7D8C1D3E">
      <w:pPr>
        <w:ind w:firstLine="470" w:firstLineChars="196"/>
        <w:rPr>
          <w:rFonts w:hint="eastAsia" w:ascii="宋体" w:hAnsi="宋体"/>
          <w:color w:val="auto"/>
          <w:highlight w:val="none"/>
        </w:rPr>
      </w:pPr>
      <w:r>
        <w:rPr>
          <w:rFonts w:hint="eastAsia" w:ascii="宋体" w:hAnsi="宋体"/>
          <w:color w:val="auto"/>
          <w:highlight w:val="none"/>
        </w:rPr>
        <w:t>《盐湖和盐类矿产地质勘查规范》(DZ/T 0212-2020)；</w:t>
      </w:r>
    </w:p>
    <w:p w14:paraId="6D94451C">
      <w:pPr>
        <w:ind w:firstLine="470" w:firstLineChars="196"/>
        <w:rPr>
          <w:rFonts w:hint="eastAsia" w:ascii="宋体" w:hAnsi="宋体"/>
          <w:color w:val="auto"/>
          <w:highlight w:val="none"/>
        </w:rPr>
      </w:pPr>
      <w:r>
        <w:rPr>
          <w:rFonts w:hint="eastAsia" w:ascii="宋体" w:hAnsi="宋体"/>
          <w:color w:val="auto"/>
          <w:highlight w:val="none"/>
        </w:rPr>
        <w:t>《煤、泥炭地质勘查规范》(DZ/T0215-2022)；</w:t>
      </w:r>
    </w:p>
    <w:p w14:paraId="0EB5AD52">
      <w:pPr>
        <w:ind w:firstLine="470" w:firstLineChars="196"/>
        <w:rPr>
          <w:rFonts w:hint="eastAsia" w:ascii="宋体" w:hAnsi="宋体"/>
          <w:color w:val="auto"/>
          <w:highlight w:val="none"/>
        </w:rPr>
      </w:pPr>
      <w:r>
        <w:rPr>
          <w:rFonts w:hint="eastAsia" w:ascii="宋体" w:hAnsi="宋体"/>
          <w:color w:val="auto"/>
          <w:highlight w:val="none"/>
        </w:rPr>
        <w:t>《国家基本比例尺地形图分幅和编号》（GB/T 13989-2012）</w:t>
      </w:r>
    </w:p>
    <w:p w14:paraId="6C05EC2E">
      <w:pPr>
        <w:ind w:firstLine="470" w:firstLineChars="196"/>
        <w:rPr>
          <w:rFonts w:hint="eastAsia" w:ascii="宋体" w:hAnsi="宋体"/>
          <w:color w:val="auto"/>
          <w:highlight w:val="none"/>
        </w:rPr>
      </w:pPr>
      <w:r>
        <w:rPr>
          <w:rFonts w:hint="eastAsia" w:ascii="宋体" w:hAnsi="宋体"/>
          <w:color w:val="auto"/>
          <w:highlight w:val="none"/>
        </w:rPr>
        <w:t>《地质信息元数据标准》（DZ/T 0197-2015）</w:t>
      </w:r>
    </w:p>
    <w:p w14:paraId="3822B079">
      <w:pPr>
        <w:ind w:firstLine="470" w:firstLineChars="196"/>
        <w:rPr>
          <w:rFonts w:hint="eastAsia" w:ascii="宋体" w:hAnsi="宋体"/>
          <w:color w:val="auto"/>
          <w:highlight w:val="none"/>
        </w:rPr>
      </w:pPr>
      <w:r>
        <w:rPr>
          <w:rFonts w:hint="eastAsia" w:ascii="宋体" w:hAnsi="宋体"/>
          <w:color w:val="auto"/>
          <w:highlight w:val="none"/>
        </w:rPr>
        <w:t>《地理信息 核心元数据》（GB/T 39608-2020）</w:t>
      </w:r>
    </w:p>
    <w:p w14:paraId="1BB44F08">
      <w:pPr>
        <w:ind w:firstLine="470" w:firstLineChars="196"/>
        <w:rPr>
          <w:rFonts w:hint="eastAsia" w:ascii="宋体" w:hAnsi="宋体"/>
          <w:color w:val="auto"/>
          <w:highlight w:val="none"/>
        </w:rPr>
      </w:pPr>
      <w:r>
        <w:rPr>
          <w:rFonts w:hint="eastAsia" w:ascii="宋体" w:hAnsi="宋体"/>
          <w:color w:val="auto"/>
          <w:highlight w:val="none"/>
        </w:rPr>
        <w:t>《青海省省级地质勘查专项资金项目管理办法》</w:t>
      </w:r>
    </w:p>
    <w:p w14:paraId="5CBFA3FA">
      <w:pPr>
        <w:ind w:firstLine="470" w:firstLineChars="196"/>
        <w:rPr>
          <w:rFonts w:hint="eastAsia" w:ascii="宋体" w:hAnsi="宋体"/>
          <w:color w:val="auto"/>
          <w:highlight w:val="none"/>
        </w:rPr>
      </w:pPr>
      <w:r>
        <w:rPr>
          <w:rFonts w:hint="eastAsia" w:ascii="宋体" w:hAnsi="宋体"/>
          <w:color w:val="auto"/>
          <w:highlight w:val="none"/>
        </w:rPr>
        <w:t>其它相关规范、规定。</w:t>
      </w:r>
    </w:p>
    <w:p w14:paraId="23D363BF">
      <w:pPr>
        <w:ind w:firstLine="470" w:firstLineChars="196"/>
        <w:rPr>
          <w:rFonts w:hint="eastAsia" w:ascii="宋体" w:hAnsi="宋体"/>
          <w:color w:val="auto"/>
          <w:highlight w:val="none"/>
        </w:rPr>
      </w:pPr>
      <w:r>
        <w:rPr>
          <w:rFonts w:hint="eastAsia" w:ascii="宋体" w:hAnsi="宋体"/>
          <w:color w:val="auto"/>
          <w:highlight w:val="none"/>
        </w:rPr>
        <w:t>（2）2026年编写设计，参加全国项目办组织的培训会、组织召开关于成矿区划工作的研讨会，开展资料收集、系列编图等相关工作，编制年度阶段性工作总结并通过验收。</w:t>
      </w:r>
    </w:p>
    <w:p w14:paraId="6A6460AE">
      <w:pPr>
        <w:ind w:firstLine="480"/>
        <w:rPr>
          <w:rFonts w:ascii="宋体" w:hAnsi="宋体"/>
          <w:color w:val="auto"/>
          <w:highlight w:val="none"/>
        </w:rPr>
      </w:pPr>
      <w:r>
        <w:rPr>
          <w:rFonts w:ascii="宋体" w:hAnsi="宋体"/>
          <w:color w:val="auto"/>
          <w:highlight w:val="none"/>
        </w:rPr>
        <w:t>2.5 预期成果</w:t>
      </w:r>
    </w:p>
    <w:p w14:paraId="60E8FB8F">
      <w:pPr>
        <w:ind w:firstLine="480"/>
        <w:rPr>
          <w:rFonts w:hint="eastAsia" w:ascii="宋体" w:hAnsi="宋体"/>
          <w:color w:val="auto"/>
          <w:highlight w:val="none"/>
        </w:rPr>
      </w:pPr>
      <w:r>
        <w:rPr>
          <w:rFonts w:hint="eastAsia" w:ascii="宋体" w:hAnsi="宋体"/>
          <w:color w:val="auto"/>
          <w:highlight w:val="none"/>
          <w:lang w:eastAsia="zh-CN"/>
        </w:rPr>
        <w:t>（</w:t>
      </w:r>
      <w:r>
        <w:rPr>
          <w:rFonts w:hint="eastAsia" w:ascii="宋体" w:hAnsi="宋体"/>
          <w:color w:val="auto"/>
          <w:highlight w:val="none"/>
          <w:lang w:val="en-US" w:eastAsia="zh-CN"/>
        </w:rPr>
        <w:t>1</w:t>
      </w:r>
      <w:r>
        <w:rPr>
          <w:rFonts w:hint="eastAsia" w:ascii="宋体" w:hAnsi="宋体"/>
          <w:color w:val="auto"/>
          <w:highlight w:val="none"/>
          <w:lang w:eastAsia="zh-CN"/>
        </w:rPr>
        <w:t>）</w:t>
      </w:r>
      <w:r>
        <w:rPr>
          <w:rFonts w:hint="eastAsia" w:ascii="宋体" w:hAnsi="宋体"/>
          <w:color w:val="auto"/>
          <w:highlight w:val="none"/>
        </w:rPr>
        <w:t>圈定成矿远景区、找矿预测区等，筛选提出出让区块。</w:t>
      </w:r>
    </w:p>
    <w:p w14:paraId="298DBB70">
      <w:pPr>
        <w:ind w:firstLine="480"/>
        <w:rPr>
          <w:rFonts w:hint="eastAsia" w:ascii="宋体" w:hAnsi="宋体"/>
          <w:color w:val="auto"/>
          <w:highlight w:val="none"/>
          <w:lang w:eastAsia="zh-CN"/>
        </w:rPr>
      </w:pPr>
      <w:r>
        <w:rPr>
          <w:rFonts w:hint="eastAsia" w:ascii="宋体" w:hAnsi="宋体"/>
          <w:color w:val="auto"/>
          <w:highlight w:val="none"/>
          <w:lang w:eastAsia="zh-CN"/>
        </w:rPr>
        <w:t>（</w:t>
      </w:r>
      <w:r>
        <w:rPr>
          <w:rFonts w:hint="eastAsia" w:ascii="宋体" w:hAnsi="宋体"/>
          <w:color w:val="auto"/>
          <w:highlight w:val="none"/>
          <w:lang w:val="en-US" w:eastAsia="zh-CN"/>
        </w:rPr>
        <w:t>2</w:t>
      </w:r>
      <w:r>
        <w:rPr>
          <w:rFonts w:hint="eastAsia" w:ascii="宋体" w:hAnsi="宋体"/>
          <w:color w:val="auto"/>
          <w:highlight w:val="none"/>
          <w:lang w:eastAsia="zh-CN"/>
        </w:rPr>
        <w:t>）提交年度阶段性工作总结。</w:t>
      </w:r>
    </w:p>
    <w:p w14:paraId="0F6ACEF1">
      <w:pPr>
        <w:ind w:firstLine="480"/>
        <w:rPr>
          <w:rFonts w:ascii="宋体" w:hAnsi="宋体"/>
          <w:color w:val="auto"/>
          <w:highlight w:val="none"/>
        </w:rPr>
      </w:pPr>
      <w:r>
        <w:rPr>
          <w:rFonts w:ascii="宋体" w:hAnsi="宋体"/>
          <w:color w:val="auto"/>
          <w:highlight w:val="none"/>
        </w:rPr>
        <w:t>2.6 参考主要实物工作量</w:t>
      </w:r>
    </w:p>
    <w:p w14:paraId="4919E61F">
      <w:pPr>
        <w:ind w:firstLine="480"/>
        <w:jc w:val="center"/>
        <w:rPr>
          <w:rFonts w:hint="eastAsia" w:ascii="宋体" w:hAnsi="宋体"/>
          <w:color w:val="auto"/>
          <w:highlight w:val="none"/>
        </w:rPr>
      </w:pPr>
      <w:r>
        <w:rPr>
          <w:rFonts w:hint="eastAsia" w:ascii="宋体" w:hAnsi="宋体"/>
          <w:color w:val="auto"/>
          <w:highlight w:val="none"/>
        </w:rPr>
        <w:t>2026年计划实物工作量表</w:t>
      </w:r>
    </w:p>
    <w:tbl>
      <w:tblPr>
        <w:tblStyle w:val="35"/>
        <w:tblpPr w:leftFromText="180" w:rightFromText="180" w:vertAnchor="text" w:tblpXSpec="center" w:tblpY="1"/>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4678"/>
        <w:gridCol w:w="1257"/>
        <w:gridCol w:w="2251"/>
      </w:tblGrid>
      <w:tr w14:paraId="0BA5A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3D72895C">
            <w:pPr>
              <w:ind w:firstLine="0" w:firstLineChars="0"/>
              <w:jc w:val="center"/>
              <w:rPr>
                <w:rFonts w:ascii="宋体" w:hAnsi="宋体"/>
                <w:color w:val="auto"/>
                <w:highlight w:val="none"/>
              </w:rPr>
            </w:pPr>
            <w:r>
              <w:rPr>
                <w:rFonts w:ascii="宋体" w:hAnsi="宋体"/>
                <w:color w:val="auto"/>
                <w:highlight w:val="none"/>
              </w:rPr>
              <w:t>序号</w:t>
            </w:r>
          </w:p>
        </w:tc>
        <w:tc>
          <w:tcPr>
            <w:tcW w:w="4678" w:type="dxa"/>
            <w:noWrap w:val="0"/>
            <w:vAlign w:val="center"/>
          </w:tcPr>
          <w:p w14:paraId="586BC8DE">
            <w:pPr>
              <w:ind w:firstLine="0" w:firstLineChars="0"/>
              <w:jc w:val="center"/>
              <w:rPr>
                <w:rFonts w:ascii="宋体" w:hAnsi="宋体"/>
                <w:color w:val="auto"/>
                <w:highlight w:val="none"/>
              </w:rPr>
            </w:pPr>
            <w:r>
              <w:rPr>
                <w:rFonts w:ascii="宋体" w:hAnsi="宋体"/>
                <w:color w:val="auto"/>
                <w:highlight w:val="none"/>
              </w:rPr>
              <w:t>工作内容</w:t>
            </w:r>
          </w:p>
        </w:tc>
        <w:tc>
          <w:tcPr>
            <w:tcW w:w="1257" w:type="dxa"/>
            <w:noWrap w:val="0"/>
            <w:vAlign w:val="center"/>
          </w:tcPr>
          <w:p w14:paraId="0ADBEA52">
            <w:pPr>
              <w:ind w:firstLine="0" w:firstLineChars="0"/>
              <w:jc w:val="center"/>
              <w:rPr>
                <w:rFonts w:ascii="宋体" w:hAnsi="宋体"/>
                <w:color w:val="auto"/>
                <w:highlight w:val="none"/>
              </w:rPr>
            </w:pPr>
            <w:r>
              <w:rPr>
                <w:rFonts w:ascii="宋体" w:hAnsi="宋体"/>
                <w:color w:val="auto"/>
                <w:highlight w:val="none"/>
              </w:rPr>
              <w:t>单位</w:t>
            </w:r>
          </w:p>
        </w:tc>
        <w:tc>
          <w:tcPr>
            <w:tcW w:w="2251" w:type="dxa"/>
            <w:noWrap w:val="0"/>
            <w:vAlign w:val="center"/>
          </w:tcPr>
          <w:p w14:paraId="12BDBA46">
            <w:pPr>
              <w:ind w:firstLine="0" w:firstLineChars="0"/>
              <w:jc w:val="center"/>
              <w:rPr>
                <w:rFonts w:ascii="宋体" w:hAnsi="宋体"/>
                <w:color w:val="auto"/>
                <w:highlight w:val="none"/>
              </w:rPr>
            </w:pPr>
            <w:r>
              <w:rPr>
                <w:rFonts w:ascii="宋体" w:hAnsi="宋体"/>
                <w:color w:val="auto"/>
                <w:highlight w:val="none"/>
              </w:rPr>
              <w:t>数量</w:t>
            </w:r>
          </w:p>
        </w:tc>
      </w:tr>
      <w:tr w14:paraId="435B1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696BCDE9">
            <w:pPr>
              <w:ind w:firstLine="0" w:firstLineChars="0"/>
              <w:jc w:val="center"/>
              <w:rPr>
                <w:rFonts w:ascii="宋体" w:hAnsi="宋体"/>
                <w:color w:val="auto"/>
                <w:highlight w:val="none"/>
              </w:rPr>
            </w:pPr>
            <w:r>
              <w:rPr>
                <w:rFonts w:hint="eastAsia" w:ascii="宋体" w:hAnsi="宋体"/>
                <w:color w:val="auto"/>
                <w:highlight w:val="none"/>
              </w:rPr>
              <w:t>1</w:t>
            </w:r>
          </w:p>
        </w:tc>
        <w:tc>
          <w:tcPr>
            <w:tcW w:w="4678" w:type="dxa"/>
            <w:noWrap w:val="0"/>
            <w:vAlign w:val="center"/>
          </w:tcPr>
          <w:p w14:paraId="3E959AB2">
            <w:pPr>
              <w:ind w:firstLine="0" w:firstLineChars="0"/>
              <w:jc w:val="center"/>
              <w:rPr>
                <w:rFonts w:hint="eastAsia" w:ascii="宋体" w:hAnsi="宋体"/>
                <w:color w:val="auto"/>
                <w:highlight w:val="none"/>
              </w:rPr>
            </w:pPr>
            <w:r>
              <w:rPr>
                <w:rFonts w:hint="eastAsia" w:ascii="宋体" w:hAnsi="宋体"/>
                <w:color w:val="auto"/>
                <w:highlight w:val="none"/>
              </w:rPr>
              <w:t>参加全国项目办组织的培训会</w:t>
            </w:r>
          </w:p>
        </w:tc>
        <w:tc>
          <w:tcPr>
            <w:tcW w:w="1257" w:type="dxa"/>
            <w:noWrap w:val="0"/>
            <w:vAlign w:val="center"/>
          </w:tcPr>
          <w:p w14:paraId="38AA0379">
            <w:pPr>
              <w:ind w:firstLine="0" w:firstLineChars="0"/>
              <w:jc w:val="center"/>
              <w:rPr>
                <w:rFonts w:hint="eastAsia" w:ascii="宋体" w:hAnsi="宋体"/>
                <w:color w:val="auto"/>
                <w:highlight w:val="none"/>
              </w:rPr>
            </w:pPr>
            <w:r>
              <w:rPr>
                <w:rFonts w:hint="eastAsia" w:ascii="宋体" w:hAnsi="宋体"/>
                <w:color w:val="auto"/>
                <w:highlight w:val="none"/>
              </w:rPr>
              <w:t>次</w:t>
            </w:r>
          </w:p>
        </w:tc>
        <w:tc>
          <w:tcPr>
            <w:tcW w:w="2251" w:type="dxa"/>
            <w:noWrap w:val="0"/>
            <w:vAlign w:val="center"/>
          </w:tcPr>
          <w:p w14:paraId="47A26343">
            <w:pPr>
              <w:ind w:firstLine="0" w:firstLineChars="0"/>
              <w:jc w:val="center"/>
              <w:rPr>
                <w:rFonts w:ascii="宋体" w:hAnsi="宋体"/>
                <w:color w:val="auto"/>
                <w:highlight w:val="none"/>
              </w:rPr>
            </w:pPr>
            <w:r>
              <w:rPr>
                <w:rFonts w:hint="eastAsia" w:ascii="宋体" w:hAnsi="宋体"/>
                <w:color w:val="auto"/>
                <w:highlight w:val="none"/>
              </w:rPr>
              <w:t>1-2</w:t>
            </w:r>
          </w:p>
        </w:tc>
      </w:tr>
      <w:tr w14:paraId="25EB8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629DB4D0">
            <w:pPr>
              <w:ind w:firstLine="0" w:firstLineChars="0"/>
              <w:jc w:val="center"/>
              <w:rPr>
                <w:rFonts w:ascii="宋体" w:hAnsi="宋体"/>
                <w:color w:val="auto"/>
                <w:highlight w:val="none"/>
              </w:rPr>
            </w:pPr>
            <w:r>
              <w:rPr>
                <w:rFonts w:hint="eastAsia" w:ascii="宋体" w:hAnsi="宋体"/>
                <w:color w:val="auto"/>
                <w:highlight w:val="none"/>
              </w:rPr>
              <w:t>2</w:t>
            </w:r>
          </w:p>
        </w:tc>
        <w:tc>
          <w:tcPr>
            <w:tcW w:w="4678" w:type="dxa"/>
            <w:noWrap w:val="0"/>
            <w:vAlign w:val="center"/>
          </w:tcPr>
          <w:p w14:paraId="7138E654">
            <w:pPr>
              <w:ind w:firstLine="0" w:firstLineChars="0"/>
              <w:jc w:val="center"/>
              <w:rPr>
                <w:rFonts w:hint="eastAsia" w:ascii="宋体" w:hAnsi="宋体"/>
                <w:color w:val="auto"/>
                <w:highlight w:val="none"/>
              </w:rPr>
            </w:pPr>
            <w:r>
              <w:rPr>
                <w:rFonts w:hint="eastAsia" w:ascii="宋体" w:hAnsi="宋体"/>
                <w:color w:val="auto"/>
                <w:highlight w:val="none"/>
              </w:rPr>
              <w:t>组织召开关于成矿区划工作的研讨会</w:t>
            </w:r>
          </w:p>
        </w:tc>
        <w:tc>
          <w:tcPr>
            <w:tcW w:w="1257" w:type="dxa"/>
            <w:noWrap w:val="0"/>
            <w:vAlign w:val="center"/>
          </w:tcPr>
          <w:p w14:paraId="52702663">
            <w:pPr>
              <w:ind w:firstLine="0" w:firstLineChars="0"/>
              <w:jc w:val="center"/>
              <w:rPr>
                <w:rFonts w:hint="eastAsia" w:ascii="宋体" w:hAnsi="宋体"/>
                <w:color w:val="auto"/>
                <w:highlight w:val="none"/>
              </w:rPr>
            </w:pPr>
            <w:r>
              <w:rPr>
                <w:rFonts w:hint="eastAsia" w:ascii="宋体" w:hAnsi="宋体"/>
                <w:color w:val="auto"/>
                <w:highlight w:val="none"/>
              </w:rPr>
              <w:t>次</w:t>
            </w:r>
          </w:p>
        </w:tc>
        <w:tc>
          <w:tcPr>
            <w:tcW w:w="2251" w:type="dxa"/>
            <w:noWrap w:val="0"/>
            <w:vAlign w:val="center"/>
          </w:tcPr>
          <w:p w14:paraId="789B0184">
            <w:pPr>
              <w:ind w:firstLine="0" w:firstLineChars="0"/>
              <w:jc w:val="center"/>
              <w:rPr>
                <w:rFonts w:ascii="宋体" w:hAnsi="宋体"/>
                <w:color w:val="auto"/>
                <w:highlight w:val="none"/>
              </w:rPr>
            </w:pPr>
            <w:r>
              <w:rPr>
                <w:rFonts w:hint="eastAsia" w:ascii="宋体" w:hAnsi="宋体"/>
                <w:color w:val="auto"/>
                <w:highlight w:val="none"/>
              </w:rPr>
              <w:t>1-2</w:t>
            </w:r>
          </w:p>
        </w:tc>
      </w:tr>
      <w:tr w14:paraId="1187E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2427714C">
            <w:pPr>
              <w:ind w:firstLine="0" w:firstLineChars="0"/>
              <w:jc w:val="center"/>
              <w:rPr>
                <w:rFonts w:hint="eastAsia" w:ascii="宋体" w:hAnsi="宋体"/>
                <w:color w:val="auto"/>
                <w:highlight w:val="none"/>
              </w:rPr>
            </w:pPr>
            <w:r>
              <w:rPr>
                <w:rFonts w:hint="eastAsia" w:ascii="宋体" w:hAnsi="宋体"/>
                <w:color w:val="auto"/>
                <w:highlight w:val="none"/>
              </w:rPr>
              <w:t>3</w:t>
            </w:r>
          </w:p>
        </w:tc>
        <w:tc>
          <w:tcPr>
            <w:tcW w:w="4678" w:type="dxa"/>
            <w:noWrap w:val="0"/>
            <w:vAlign w:val="center"/>
          </w:tcPr>
          <w:p w14:paraId="46E26551">
            <w:pPr>
              <w:ind w:firstLine="0" w:firstLineChars="0"/>
              <w:jc w:val="center"/>
              <w:rPr>
                <w:rFonts w:hint="eastAsia" w:ascii="宋体" w:hAnsi="宋体"/>
                <w:color w:val="auto"/>
                <w:highlight w:val="none"/>
              </w:rPr>
            </w:pPr>
            <w:r>
              <w:rPr>
                <w:rFonts w:hint="eastAsia" w:ascii="宋体" w:hAnsi="宋体"/>
                <w:color w:val="auto"/>
                <w:highlight w:val="none"/>
              </w:rPr>
              <w:t>资料收集</w:t>
            </w:r>
          </w:p>
        </w:tc>
        <w:tc>
          <w:tcPr>
            <w:tcW w:w="1257" w:type="dxa"/>
            <w:noWrap w:val="0"/>
            <w:vAlign w:val="center"/>
          </w:tcPr>
          <w:p w14:paraId="39D378E7">
            <w:pPr>
              <w:ind w:firstLine="0" w:firstLineChars="0"/>
              <w:jc w:val="center"/>
              <w:rPr>
                <w:rFonts w:hint="eastAsia" w:ascii="宋体" w:hAnsi="宋体"/>
                <w:color w:val="auto"/>
                <w:highlight w:val="none"/>
              </w:rPr>
            </w:pPr>
            <w:r>
              <w:rPr>
                <w:rFonts w:hint="eastAsia" w:ascii="宋体" w:hAnsi="宋体"/>
                <w:color w:val="auto"/>
                <w:highlight w:val="none"/>
              </w:rPr>
              <w:t>份</w:t>
            </w:r>
          </w:p>
        </w:tc>
        <w:tc>
          <w:tcPr>
            <w:tcW w:w="2251" w:type="dxa"/>
            <w:noWrap w:val="0"/>
            <w:vAlign w:val="center"/>
          </w:tcPr>
          <w:p w14:paraId="6F668FEF">
            <w:pPr>
              <w:ind w:firstLine="0" w:firstLineChars="0"/>
              <w:jc w:val="center"/>
              <w:rPr>
                <w:rFonts w:ascii="宋体" w:hAnsi="宋体"/>
                <w:color w:val="auto"/>
                <w:highlight w:val="none"/>
              </w:rPr>
            </w:pPr>
            <w:r>
              <w:rPr>
                <w:rFonts w:hint="eastAsia" w:ascii="宋体" w:hAnsi="宋体"/>
                <w:color w:val="auto"/>
                <w:highlight w:val="none"/>
              </w:rPr>
              <w:t>100</w:t>
            </w:r>
          </w:p>
        </w:tc>
      </w:tr>
      <w:tr w14:paraId="6ECEC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5DB225C9">
            <w:pPr>
              <w:ind w:firstLine="0" w:firstLineChars="0"/>
              <w:jc w:val="center"/>
              <w:rPr>
                <w:rFonts w:hint="eastAsia" w:ascii="宋体" w:hAnsi="宋体"/>
                <w:color w:val="auto"/>
                <w:highlight w:val="none"/>
              </w:rPr>
            </w:pPr>
            <w:r>
              <w:rPr>
                <w:rFonts w:hint="eastAsia" w:ascii="宋体" w:hAnsi="宋体"/>
                <w:color w:val="auto"/>
                <w:highlight w:val="none"/>
              </w:rPr>
              <w:t>4</w:t>
            </w:r>
          </w:p>
        </w:tc>
        <w:tc>
          <w:tcPr>
            <w:tcW w:w="4678" w:type="dxa"/>
            <w:noWrap w:val="0"/>
            <w:vAlign w:val="center"/>
          </w:tcPr>
          <w:p w14:paraId="3638C030">
            <w:pPr>
              <w:ind w:firstLine="0" w:firstLineChars="0"/>
              <w:jc w:val="center"/>
              <w:rPr>
                <w:rFonts w:hint="eastAsia" w:ascii="宋体" w:hAnsi="宋体"/>
                <w:color w:val="auto"/>
                <w:highlight w:val="none"/>
              </w:rPr>
            </w:pPr>
            <w:r>
              <w:rPr>
                <w:rFonts w:hint="eastAsia" w:ascii="宋体" w:hAnsi="宋体"/>
                <w:color w:val="auto"/>
                <w:highlight w:val="none"/>
              </w:rPr>
              <w:t>系列编图</w:t>
            </w:r>
          </w:p>
        </w:tc>
        <w:tc>
          <w:tcPr>
            <w:tcW w:w="1257" w:type="dxa"/>
            <w:noWrap w:val="0"/>
            <w:vAlign w:val="center"/>
          </w:tcPr>
          <w:p w14:paraId="750760DB">
            <w:pPr>
              <w:ind w:firstLine="0" w:firstLineChars="0"/>
              <w:jc w:val="center"/>
              <w:rPr>
                <w:rFonts w:hint="eastAsia" w:ascii="宋体" w:hAnsi="宋体"/>
                <w:color w:val="auto"/>
                <w:highlight w:val="none"/>
              </w:rPr>
            </w:pPr>
            <w:r>
              <w:rPr>
                <w:rFonts w:hint="eastAsia" w:ascii="宋体" w:hAnsi="宋体"/>
                <w:color w:val="auto"/>
                <w:highlight w:val="none"/>
              </w:rPr>
              <w:t>张</w:t>
            </w:r>
          </w:p>
        </w:tc>
        <w:tc>
          <w:tcPr>
            <w:tcW w:w="2251" w:type="dxa"/>
            <w:noWrap w:val="0"/>
            <w:vAlign w:val="center"/>
          </w:tcPr>
          <w:p w14:paraId="268BB412">
            <w:pPr>
              <w:ind w:firstLine="0" w:firstLineChars="0"/>
              <w:jc w:val="center"/>
              <w:rPr>
                <w:rFonts w:ascii="宋体" w:hAnsi="宋体"/>
                <w:color w:val="auto"/>
                <w:highlight w:val="none"/>
              </w:rPr>
            </w:pPr>
            <w:r>
              <w:rPr>
                <w:rFonts w:hint="eastAsia" w:ascii="宋体" w:hAnsi="宋体"/>
                <w:color w:val="auto"/>
                <w:highlight w:val="none"/>
              </w:rPr>
              <w:t>26</w:t>
            </w:r>
          </w:p>
        </w:tc>
      </w:tr>
      <w:tr w14:paraId="6CC65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624C3CC7">
            <w:pPr>
              <w:ind w:firstLine="0" w:firstLineChars="0"/>
              <w:jc w:val="center"/>
              <w:rPr>
                <w:rFonts w:hint="eastAsia" w:ascii="宋体" w:hAnsi="宋体"/>
                <w:color w:val="auto"/>
                <w:highlight w:val="none"/>
              </w:rPr>
            </w:pPr>
            <w:r>
              <w:rPr>
                <w:rFonts w:hint="eastAsia" w:ascii="宋体" w:hAnsi="宋体"/>
                <w:color w:val="auto"/>
                <w:highlight w:val="none"/>
              </w:rPr>
              <w:t>5</w:t>
            </w:r>
          </w:p>
        </w:tc>
        <w:tc>
          <w:tcPr>
            <w:tcW w:w="4678" w:type="dxa"/>
            <w:noWrap w:val="0"/>
            <w:vAlign w:val="center"/>
          </w:tcPr>
          <w:p w14:paraId="1BA91A81">
            <w:pPr>
              <w:ind w:firstLine="0" w:firstLineChars="0"/>
              <w:jc w:val="center"/>
              <w:rPr>
                <w:rFonts w:hint="eastAsia" w:ascii="宋体" w:hAnsi="宋体"/>
                <w:color w:val="auto"/>
                <w:highlight w:val="none"/>
              </w:rPr>
            </w:pPr>
            <w:r>
              <w:rPr>
                <w:rFonts w:hint="eastAsia" w:ascii="宋体" w:hAnsi="宋体"/>
                <w:color w:val="auto"/>
                <w:highlight w:val="none"/>
              </w:rPr>
              <w:t>工作报告</w:t>
            </w:r>
          </w:p>
        </w:tc>
        <w:tc>
          <w:tcPr>
            <w:tcW w:w="1257" w:type="dxa"/>
            <w:noWrap w:val="0"/>
            <w:vAlign w:val="center"/>
          </w:tcPr>
          <w:p w14:paraId="7C201724">
            <w:pPr>
              <w:ind w:firstLine="0" w:firstLineChars="0"/>
              <w:jc w:val="center"/>
              <w:rPr>
                <w:rFonts w:hint="eastAsia" w:ascii="宋体" w:hAnsi="宋体"/>
                <w:color w:val="auto"/>
                <w:highlight w:val="none"/>
              </w:rPr>
            </w:pPr>
            <w:r>
              <w:rPr>
                <w:rFonts w:hint="eastAsia" w:ascii="宋体" w:hAnsi="宋体"/>
                <w:color w:val="auto"/>
                <w:highlight w:val="none"/>
              </w:rPr>
              <w:t>份</w:t>
            </w:r>
          </w:p>
        </w:tc>
        <w:tc>
          <w:tcPr>
            <w:tcW w:w="2251" w:type="dxa"/>
            <w:noWrap w:val="0"/>
            <w:vAlign w:val="center"/>
          </w:tcPr>
          <w:p w14:paraId="1690ED57">
            <w:pPr>
              <w:ind w:firstLine="0" w:firstLineChars="0"/>
              <w:jc w:val="center"/>
              <w:rPr>
                <w:rFonts w:ascii="宋体" w:hAnsi="宋体"/>
                <w:color w:val="auto"/>
                <w:highlight w:val="none"/>
              </w:rPr>
            </w:pPr>
            <w:r>
              <w:rPr>
                <w:rFonts w:hint="eastAsia" w:ascii="宋体" w:hAnsi="宋体"/>
                <w:color w:val="auto"/>
                <w:highlight w:val="none"/>
              </w:rPr>
              <w:t>2</w:t>
            </w:r>
          </w:p>
        </w:tc>
      </w:tr>
    </w:tbl>
    <w:p w14:paraId="21893C4F">
      <w:pPr>
        <w:ind w:firstLine="480"/>
        <w:rPr>
          <w:rFonts w:hint="eastAsia" w:ascii="宋体" w:hAnsi="宋体"/>
          <w:color w:val="auto"/>
          <w:highlight w:val="none"/>
        </w:rPr>
      </w:pPr>
      <w:r>
        <w:rPr>
          <w:rFonts w:hint="eastAsia" w:ascii="宋体" w:hAnsi="宋体"/>
          <w:color w:val="auto"/>
          <w:highlight w:val="none"/>
        </w:rPr>
        <w:t>主要实物工作量可根据实际需要进行合理调整。</w:t>
      </w:r>
    </w:p>
    <w:p w14:paraId="2FBDD175">
      <w:pPr>
        <w:ind w:firstLine="480"/>
        <w:rPr>
          <w:rFonts w:hint="eastAsia" w:ascii="宋体" w:hAnsi="宋体"/>
          <w:color w:val="auto"/>
          <w:highlight w:val="none"/>
        </w:rPr>
      </w:pPr>
      <w:r>
        <w:rPr>
          <w:rFonts w:ascii="宋体" w:hAnsi="宋体"/>
          <w:color w:val="auto"/>
          <w:highlight w:val="none"/>
        </w:rPr>
        <w:t xml:space="preserve">2.7 </w:t>
      </w:r>
      <w:r>
        <w:rPr>
          <w:rFonts w:hint="eastAsia" w:ascii="宋体" w:hAnsi="宋体"/>
          <w:color w:val="auto"/>
          <w:highlight w:val="none"/>
        </w:rPr>
        <w:t>技术服务方案及质量保障要求</w:t>
      </w:r>
    </w:p>
    <w:p w14:paraId="62167176">
      <w:pPr>
        <w:widowControl/>
        <w:ind w:firstLine="480"/>
        <w:textAlignment w:val="center"/>
        <w:rPr>
          <w:rFonts w:ascii="宋体" w:hAnsi="宋体"/>
          <w:color w:val="auto"/>
          <w:highlight w:val="none"/>
        </w:rPr>
      </w:pPr>
      <w:r>
        <w:rPr>
          <w:rFonts w:hint="eastAsia" w:ascii="宋体" w:hAnsi="宋体"/>
          <w:color w:val="auto"/>
          <w:highlight w:val="none"/>
        </w:rPr>
        <w:t>（1）资料收集整理</w:t>
      </w:r>
    </w:p>
    <w:p w14:paraId="2AB1F69E">
      <w:pPr>
        <w:widowControl/>
        <w:ind w:firstLine="480"/>
        <w:textAlignment w:val="center"/>
        <w:rPr>
          <w:rFonts w:hint="eastAsia" w:ascii="宋体" w:hAnsi="宋体"/>
          <w:color w:val="auto"/>
          <w:highlight w:val="none"/>
        </w:rPr>
      </w:pPr>
      <w:r>
        <w:rPr>
          <w:rFonts w:hint="eastAsia" w:ascii="宋体" w:hAnsi="宋体"/>
          <w:color w:val="auto"/>
          <w:highlight w:val="none"/>
        </w:rPr>
        <w:t>收集前人资料并做分析研究，包含①收集并详细反映相关科研资料②收集并详细反映各种比例尺地质资料及地质特征③收集并详细反映各种比例尺地球物理资料及异常特征④收集并详细反映各种比例尺地球化学资料及异常特征⑤收集并详细反映遥感资料及异常特征⑥收集并详细反映矿产资料及矿产特征⑦对前人资料进行分析研究，包括分类整理，有新的认识，形成相应的图表等⑧梳理存在问题，主要从项目角度反映前人在工作部署、认识等方面的欠缺和不足，针对问题提出相应的对策措施，从项目角度针对不足提出对策措施。</w:t>
      </w:r>
    </w:p>
    <w:p w14:paraId="7F2D22FA">
      <w:pPr>
        <w:widowControl/>
        <w:ind w:firstLine="480"/>
        <w:textAlignment w:val="center"/>
        <w:rPr>
          <w:rFonts w:ascii="宋体" w:hAnsi="宋体"/>
          <w:color w:val="auto"/>
          <w:highlight w:val="none"/>
        </w:rPr>
      </w:pPr>
      <w:r>
        <w:rPr>
          <w:rFonts w:hint="eastAsia" w:ascii="宋体" w:hAnsi="宋体"/>
          <w:color w:val="auto"/>
          <w:highlight w:val="none"/>
        </w:rPr>
        <w:t>（2）工作部署</w:t>
      </w:r>
    </w:p>
    <w:p w14:paraId="59953EDF">
      <w:pPr>
        <w:widowControl/>
        <w:ind w:firstLine="480"/>
        <w:textAlignment w:val="center"/>
        <w:rPr>
          <w:rFonts w:ascii="宋体" w:hAnsi="宋体"/>
          <w:color w:val="auto"/>
          <w:highlight w:val="none"/>
        </w:rPr>
      </w:pPr>
      <w:r>
        <w:rPr>
          <w:rFonts w:hint="eastAsia" w:ascii="宋体" w:hAnsi="宋体"/>
          <w:color w:val="auto"/>
          <w:highlight w:val="none"/>
        </w:rPr>
        <w:t>工作部署方案：①依据充分，原则明确。提出了符合工作区实际的部署原则，对每种工作方法要反映布置依据和要达到的目的②能满足项目目的任务要求③充分考虑项目实施中可能出现的特殊情况，并有应对措施。</w:t>
      </w:r>
    </w:p>
    <w:p w14:paraId="2655E963">
      <w:pPr>
        <w:widowControl/>
        <w:ind w:firstLine="480"/>
        <w:textAlignment w:val="center"/>
        <w:rPr>
          <w:rFonts w:ascii="宋体" w:hAnsi="宋体"/>
          <w:color w:val="auto"/>
          <w:highlight w:val="none"/>
        </w:rPr>
      </w:pPr>
      <w:r>
        <w:rPr>
          <w:rFonts w:hint="eastAsia" w:ascii="宋体" w:hAnsi="宋体"/>
          <w:color w:val="auto"/>
          <w:highlight w:val="none"/>
        </w:rPr>
        <w:t>工作思路：①具体工作思路清晰严谨，符合项目实际②可操作性强。</w:t>
      </w:r>
    </w:p>
    <w:p w14:paraId="63B1D7DC">
      <w:pPr>
        <w:widowControl/>
        <w:ind w:firstLine="480"/>
        <w:textAlignment w:val="center"/>
        <w:rPr>
          <w:rFonts w:hint="eastAsia" w:ascii="宋体" w:hAnsi="宋体"/>
          <w:color w:val="auto"/>
          <w:highlight w:val="none"/>
        </w:rPr>
      </w:pPr>
      <w:r>
        <w:rPr>
          <w:rFonts w:hint="eastAsia" w:ascii="宋体" w:hAnsi="宋体"/>
          <w:color w:val="auto"/>
          <w:highlight w:val="none"/>
        </w:rPr>
        <w:t>工作内容和程序：①工作内容包括设计编写，资料收集，参加相关培训会、研讨会，工作质量检查，图件制作，编制阶段性工作总结②技术路线清晰能达到项目目的任务③技术方法和工作精度要求符合规范④工作进度安排得当，符合项目周期及项目管理办法要求。</w:t>
      </w:r>
    </w:p>
    <w:p w14:paraId="3F94E94D">
      <w:pPr>
        <w:widowControl/>
        <w:ind w:firstLine="480"/>
        <w:textAlignment w:val="center"/>
        <w:rPr>
          <w:rFonts w:hint="eastAsia" w:ascii="宋体" w:hAnsi="宋体"/>
          <w:color w:val="auto"/>
          <w:highlight w:val="none"/>
        </w:rPr>
      </w:pPr>
      <w:r>
        <w:rPr>
          <w:rFonts w:hint="eastAsia" w:ascii="宋体" w:hAnsi="宋体"/>
          <w:color w:val="auto"/>
          <w:highlight w:val="none"/>
        </w:rPr>
        <w:t>工作方法：①参加相关培训会、研讨会，开展收集资料，系列编图等工作②技术要求符合规范③图件制作规范。</w:t>
      </w:r>
    </w:p>
    <w:p w14:paraId="2780CA8A">
      <w:pPr>
        <w:widowControl/>
        <w:ind w:firstLine="480"/>
        <w:textAlignment w:val="center"/>
        <w:rPr>
          <w:rFonts w:ascii="宋体" w:hAnsi="宋体"/>
          <w:color w:val="auto"/>
          <w:highlight w:val="none"/>
        </w:rPr>
      </w:pPr>
      <w:r>
        <w:rPr>
          <w:rFonts w:hint="eastAsia" w:ascii="宋体" w:hAnsi="宋体"/>
          <w:color w:val="auto"/>
          <w:highlight w:val="none"/>
        </w:rPr>
        <w:t>实物工作量：①工作量设置满足项目要求②可操作性强，符合工作实际。</w:t>
      </w:r>
    </w:p>
    <w:p w14:paraId="294AC3C3">
      <w:pPr>
        <w:widowControl/>
        <w:ind w:firstLine="480"/>
        <w:textAlignment w:val="center"/>
        <w:rPr>
          <w:rFonts w:ascii="宋体" w:hAnsi="宋体"/>
          <w:color w:val="auto"/>
          <w:highlight w:val="none"/>
        </w:rPr>
      </w:pPr>
      <w:r>
        <w:rPr>
          <w:rFonts w:hint="eastAsia" w:ascii="宋体" w:hAnsi="宋体"/>
          <w:color w:val="auto"/>
          <w:highlight w:val="none"/>
        </w:rPr>
        <w:t>预期成果与文图：①预期成果明确②文图齐全③符合规范。</w:t>
      </w:r>
    </w:p>
    <w:p w14:paraId="32020B4B">
      <w:pPr>
        <w:widowControl/>
        <w:ind w:firstLine="480"/>
        <w:textAlignment w:val="center"/>
        <w:rPr>
          <w:rFonts w:ascii="宋体" w:hAnsi="宋体"/>
          <w:color w:val="auto"/>
          <w:highlight w:val="none"/>
        </w:rPr>
      </w:pPr>
      <w:r>
        <w:rPr>
          <w:rFonts w:hint="eastAsia" w:ascii="宋体" w:hAnsi="宋体"/>
          <w:color w:val="auto"/>
          <w:highlight w:val="none"/>
        </w:rPr>
        <w:t>（3）保障措施</w:t>
      </w:r>
    </w:p>
    <w:p w14:paraId="284CB862">
      <w:pPr>
        <w:widowControl/>
        <w:ind w:firstLine="480"/>
        <w:textAlignment w:val="center"/>
        <w:rPr>
          <w:rFonts w:ascii="宋体" w:hAnsi="宋体"/>
          <w:color w:val="auto"/>
          <w:highlight w:val="none"/>
        </w:rPr>
      </w:pPr>
      <w:r>
        <w:rPr>
          <w:rFonts w:hint="eastAsia" w:ascii="宋体" w:hAnsi="宋体"/>
          <w:color w:val="auto"/>
          <w:highlight w:val="none"/>
        </w:rPr>
        <w:t>项目组织管理：①规章制度齐全②组织机构健全。</w:t>
      </w:r>
    </w:p>
    <w:p w14:paraId="7632DCE3">
      <w:pPr>
        <w:widowControl/>
        <w:ind w:firstLine="480"/>
        <w:textAlignment w:val="center"/>
        <w:rPr>
          <w:rFonts w:ascii="宋体" w:hAnsi="宋体"/>
          <w:color w:val="auto"/>
          <w:highlight w:val="none"/>
        </w:rPr>
      </w:pPr>
      <w:r>
        <w:rPr>
          <w:rFonts w:hint="eastAsia" w:ascii="宋体" w:hAnsi="宋体"/>
          <w:color w:val="auto"/>
          <w:highlight w:val="none"/>
        </w:rPr>
        <w:t>质量保障：①质量管理制度齐全②质量监控措施有力。</w:t>
      </w:r>
    </w:p>
    <w:p w14:paraId="3E70804F">
      <w:pPr>
        <w:widowControl/>
        <w:ind w:firstLine="480"/>
        <w:textAlignment w:val="center"/>
        <w:rPr>
          <w:rFonts w:ascii="宋体" w:hAnsi="宋体"/>
          <w:color w:val="auto"/>
          <w:highlight w:val="none"/>
        </w:rPr>
      </w:pPr>
      <w:r>
        <w:rPr>
          <w:rFonts w:hint="eastAsia" w:ascii="宋体" w:hAnsi="宋体"/>
          <w:color w:val="auto"/>
          <w:highlight w:val="none"/>
        </w:rPr>
        <w:t>安全措施应体现但不限于：危险源分辨全面、制度齐全、应急预案操作性强。</w:t>
      </w:r>
    </w:p>
    <w:p w14:paraId="3C769FAB">
      <w:pPr>
        <w:widowControl/>
        <w:ind w:firstLine="480"/>
        <w:textAlignment w:val="center"/>
        <w:rPr>
          <w:rFonts w:ascii="宋体" w:hAnsi="宋体"/>
          <w:color w:val="auto"/>
          <w:highlight w:val="none"/>
        </w:rPr>
      </w:pPr>
      <w:r>
        <w:rPr>
          <w:rFonts w:hint="eastAsia" w:ascii="宋体" w:hAnsi="宋体"/>
          <w:color w:val="auto"/>
          <w:highlight w:val="none"/>
        </w:rPr>
        <w:t>仪器装备：仪器设备能保障项目顺利完成。</w:t>
      </w:r>
    </w:p>
    <w:p w14:paraId="717825FE">
      <w:pPr>
        <w:widowControl/>
        <w:ind w:firstLine="480"/>
        <w:textAlignment w:val="center"/>
        <w:rPr>
          <w:rFonts w:ascii="宋体" w:hAnsi="宋体"/>
          <w:color w:val="auto"/>
          <w:highlight w:val="none"/>
        </w:rPr>
      </w:pPr>
      <w:r>
        <w:rPr>
          <w:rFonts w:ascii="宋体" w:hAnsi="宋体"/>
          <w:color w:val="auto"/>
          <w:highlight w:val="none"/>
        </w:rPr>
        <w:t xml:space="preserve">2.8 </w:t>
      </w:r>
      <w:r>
        <w:rPr>
          <w:rFonts w:hint="eastAsia" w:ascii="宋体" w:hAnsi="宋体"/>
          <w:color w:val="auto"/>
          <w:highlight w:val="none"/>
        </w:rPr>
        <w:t>服务人员配置</w:t>
      </w:r>
    </w:p>
    <w:p w14:paraId="7AE5F223">
      <w:pPr>
        <w:widowControl/>
        <w:ind w:firstLine="480"/>
        <w:textAlignment w:val="center"/>
        <w:rPr>
          <w:rFonts w:ascii="宋体" w:hAnsi="宋体"/>
          <w:color w:val="auto"/>
          <w:highlight w:val="none"/>
        </w:rPr>
      </w:pPr>
      <w:r>
        <w:rPr>
          <w:rFonts w:hint="eastAsia" w:ascii="宋体" w:hAnsi="宋体"/>
          <w:color w:val="auto"/>
          <w:highlight w:val="none"/>
        </w:rPr>
        <w:t>项目负责人：①具有地质矿产专业高级及以上技术职称②近</w:t>
      </w:r>
      <w:bookmarkStart w:id="393" w:name="OLE_LINK3"/>
      <w:r>
        <w:rPr>
          <w:rFonts w:hint="eastAsia" w:ascii="宋体" w:hAnsi="宋体"/>
          <w:color w:val="auto"/>
          <w:highlight w:val="none"/>
        </w:rPr>
        <w:t>五</w:t>
      </w:r>
      <w:bookmarkEnd w:id="393"/>
      <w:r>
        <w:rPr>
          <w:rFonts w:hint="eastAsia" w:ascii="宋体" w:hAnsi="宋体"/>
          <w:color w:val="auto"/>
          <w:highlight w:val="none"/>
        </w:rPr>
        <w:t>年来主持或负责完成过类似项目。</w:t>
      </w:r>
    </w:p>
    <w:p w14:paraId="0E264D65">
      <w:pPr>
        <w:widowControl/>
        <w:ind w:firstLine="480"/>
        <w:textAlignment w:val="center"/>
        <w:rPr>
          <w:rFonts w:ascii="宋体" w:hAnsi="宋体"/>
          <w:color w:val="auto"/>
          <w:highlight w:val="none"/>
        </w:rPr>
      </w:pPr>
      <w:r>
        <w:rPr>
          <w:rFonts w:hint="eastAsia" w:ascii="宋体" w:hAnsi="宋体"/>
          <w:color w:val="auto"/>
          <w:highlight w:val="none"/>
        </w:rPr>
        <w:t>技术负责和技术骨干：①具有地质矿产或物化探专业中级及以上技术职称②近五年作为主要技术人员参与完成过相似项目。</w:t>
      </w:r>
    </w:p>
    <w:p w14:paraId="38F544E1">
      <w:pPr>
        <w:ind w:firstLine="480"/>
        <w:outlineLvl w:val="0"/>
        <w:rPr>
          <w:rFonts w:hint="eastAsia" w:ascii="宋体" w:hAnsi="宋体"/>
          <w:color w:val="auto"/>
          <w:highlight w:val="none"/>
        </w:rPr>
      </w:pPr>
      <w:r>
        <w:rPr>
          <w:rFonts w:hint="eastAsia" w:ascii="宋体" w:hAnsi="宋体"/>
          <w:color w:val="auto"/>
          <w:highlight w:val="none"/>
        </w:rPr>
        <w:t>项目组成员：结构合理，专业技术人员≥8人。</w:t>
      </w:r>
    </w:p>
    <w:p w14:paraId="6C2B4608">
      <w:pPr>
        <w:ind w:firstLine="480"/>
        <w:outlineLvl w:val="0"/>
        <w:rPr>
          <w:rFonts w:hint="eastAsia" w:ascii="宋体" w:hAnsi="宋体"/>
          <w:color w:val="auto"/>
          <w:highlight w:val="none"/>
        </w:rPr>
      </w:pPr>
      <w:r>
        <w:rPr>
          <w:rFonts w:hint="eastAsia" w:ascii="宋体" w:hAnsi="宋体"/>
          <w:color w:val="auto"/>
          <w:highlight w:val="none"/>
        </w:rPr>
        <w:t>2.9 图件相关要求</w:t>
      </w:r>
      <w:bookmarkEnd w:id="389"/>
      <w:bookmarkEnd w:id="390"/>
    </w:p>
    <w:p w14:paraId="2629387D">
      <w:pPr>
        <w:ind w:firstLine="480"/>
        <w:outlineLvl w:val="0"/>
        <w:rPr>
          <w:rFonts w:hint="eastAsia" w:ascii="宋体" w:hAnsi="宋体"/>
          <w:color w:val="auto"/>
          <w:highlight w:val="none"/>
        </w:rPr>
      </w:pPr>
      <w:bookmarkStart w:id="394" w:name="_Toc8812"/>
      <w:bookmarkStart w:id="395" w:name="_Toc21713"/>
      <w:r>
        <w:rPr>
          <w:rFonts w:hint="eastAsia" w:ascii="宋体" w:hAnsi="宋体"/>
          <w:color w:val="auto"/>
          <w:highlight w:val="none"/>
        </w:rPr>
        <w:t>提供包含但不限于以下图件：</w:t>
      </w:r>
      <w:r>
        <w:rPr>
          <w:rFonts w:hint="eastAsia" w:ascii="宋体" w:hAnsi="宋体"/>
          <w:color w:val="auto"/>
          <w:highlight w:val="none"/>
          <w:lang w:eastAsia="zh-CN"/>
        </w:rPr>
        <w:t>成矿远景区划图</w:t>
      </w:r>
      <w:r>
        <w:rPr>
          <w:rFonts w:hint="eastAsia" w:ascii="宋体" w:hAnsi="宋体"/>
          <w:color w:val="auto"/>
          <w:highlight w:val="none"/>
        </w:rPr>
        <w:t>。</w:t>
      </w:r>
      <w:bookmarkEnd w:id="394"/>
      <w:bookmarkEnd w:id="395"/>
    </w:p>
    <w:p w14:paraId="5CD953FD">
      <w:pPr>
        <w:ind w:firstLine="480"/>
        <w:outlineLvl w:val="0"/>
        <w:rPr>
          <w:rFonts w:hint="eastAsia" w:ascii="宋体" w:hAnsi="宋体"/>
          <w:color w:val="auto"/>
          <w:highlight w:val="none"/>
        </w:rPr>
      </w:pPr>
      <w:bookmarkStart w:id="396" w:name="_Toc22392"/>
      <w:bookmarkStart w:id="397" w:name="_Toc23344"/>
      <w:r>
        <w:rPr>
          <w:rFonts w:hint="eastAsia" w:ascii="宋体" w:hAnsi="宋体"/>
          <w:color w:val="auto"/>
          <w:highlight w:val="none"/>
        </w:rPr>
        <w:t>纸质版附图进行脱密处理后于投标截止时间前同磋商响应文件一同上传至政采云平台。</w:t>
      </w:r>
      <w:bookmarkEnd w:id="396"/>
      <w:bookmarkEnd w:id="397"/>
      <w:bookmarkStart w:id="398" w:name="_Toc11580"/>
      <w:bookmarkStart w:id="399" w:name="_Toc25402"/>
    </w:p>
    <w:bookmarkEnd w:id="398"/>
    <w:bookmarkEnd w:id="399"/>
    <w:p w14:paraId="18E6A8FF">
      <w:pPr>
        <w:ind w:firstLine="480"/>
        <w:rPr>
          <w:rFonts w:ascii="宋体" w:hAnsi="宋体"/>
          <w:color w:val="auto"/>
          <w:highlight w:val="none"/>
        </w:rPr>
      </w:pPr>
      <w:bookmarkStart w:id="400" w:name="_Toc6475"/>
      <w:r>
        <w:rPr>
          <w:rFonts w:ascii="宋体" w:hAnsi="宋体"/>
          <w:color w:val="auto"/>
          <w:highlight w:val="none"/>
        </w:rPr>
        <w:t>2.10 预算编制要求及资金来源</w:t>
      </w:r>
    </w:p>
    <w:p w14:paraId="3CAD8A6C">
      <w:pPr>
        <w:ind w:firstLine="470" w:firstLineChars="196"/>
        <w:rPr>
          <w:rFonts w:hint="eastAsia" w:ascii="宋体" w:hAnsi="宋体"/>
          <w:color w:val="auto"/>
          <w:highlight w:val="none"/>
        </w:rPr>
      </w:pPr>
      <w:r>
        <w:rPr>
          <w:rFonts w:hint="eastAsia" w:ascii="宋体" w:hAnsi="宋体"/>
          <w:color w:val="auto"/>
          <w:highlight w:val="none"/>
        </w:rPr>
        <w:t>项目经费预算标准严格按照青海省财政厅和青海省国土资源厅《关于印发地质调查项目预算标准(2010年试用版)的通知》（青财建字〔2012〕78号）执行，不得随意调整。投标供应商应在“经费预算”章节中编写预算编制说明和预算表。预算格式按《中国地质调查局地质矿产调查评价项目预算编制和审查要求（试行）的通知》（中地调函〔2010〕88号）执行。预算编制采用</w:t>
      </w:r>
      <w:r>
        <w:rPr>
          <w:rFonts w:hint="eastAsia" w:ascii="宋体" w:hAnsi="宋体"/>
          <w:color w:val="auto"/>
          <w:highlight w:val="none"/>
          <w:lang w:eastAsia="zh-CN"/>
        </w:rPr>
        <w:t>乙</w:t>
      </w:r>
      <w:r>
        <w:rPr>
          <w:rFonts w:hint="eastAsia" w:ascii="宋体" w:hAnsi="宋体"/>
          <w:color w:val="auto"/>
          <w:highlight w:val="none"/>
        </w:rPr>
        <w:t>类项目预算方法编制。</w:t>
      </w:r>
    </w:p>
    <w:p w14:paraId="3B9E2D5A">
      <w:pPr>
        <w:ind w:firstLine="470" w:firstLineChars="196"/>
        <w:rPr>
          <w:rFonts w:hint="eastAsia" w:ascii="宋体" w:hAnsi="宋体"/>
          <w:color w:val="auto"/>
          <w:highlight w:val="none"/>
        </w:rPr>
      </w:pPr>
      <w:r>
        <w:rPr>
          <w:rFonts w:hint="eastAsia" w:ascii="宋体" w:hAnsi="宋体"/>
          <w:color w:val="auto"/>
          <w:highlight w:val="none"/>
        </w:rPr>
        <w:t>项目经费由青海省省级地质勘查专项资金全额出资，2026年控制经费200万元。本次磋商文件中“采购预算”指项目2026年度经费，项目后续安</w:t>
      </w:r>
      <w:r>
        <w:rPr>
          <w:rFonts w:hint="eastAsia" w:ascii="宋体" w:hAnsi="宋体"/>
          <w:color w:val="auto"/>
          <w:highlight w:val="none"/>
        </w:rPr>
        <w:t>排根据《青海省省级地质勘查专项资金项目管理办法》相关</w:t>
      </w:r>
      <w:r>
        <w:rPr>
          <w:rFonts w:hint="eastAsia" w:ascii="宋体" w:hAnsi="宋体"/>
          <w:color w:val="auto"/>
          <w:highlight w:val="none"/>
        </w:rPr>
        <w:t>规定执行。</w:t>
      </w:r>
    </w:p>
    <w:p w14:paraId="352E6D3D">
      <w:pPr>
        <w:widowControl/>
        <w:spacing w:before="100" w:beforeAutospacing="1" w:after="100" w:afterAutospacing="1" w:line="240" w:lineRule="auto"/>
        <w:ind w:firstLine="542"/>
        <w:jc w:val="left"/>
        <w:outlineLvl w:val="2"/>
        <w:rPr>
          <w:rFonts w:ascii="宋体" w:hAnsi="宋体"/>
          <w:b/>
          <w:bCs/>
          <w:color w:val="auto"/>
          <w:kern w:val="0"/>
          <w:sz w:val="27"/>
          <w:szCs w:val="27"/>
          <w:highlight w:val="none"/>
        </w:rPr>
      </w:pPr>
      <w:r>
        <w:rPr>
          <w:rFonts w:hint="eastAsia" w:ascii="宋体" w:hAnsi="宋体"/>
          <w:b/>
          <w:bCs/>
          <w:color w:val="auto"/>
          <w:kern w:val="0"/>
          <w:sz w:val="27"/>
          <w:szCs w:val="27"/>
          <w:highlight w:val="none"/>
        </w:rPr>
        <w:t>3.服务期限及地点</w:t>
      </w:r>
      <w:bookmarkEnd w:id="400"/>
    </w:p>
    <w:p w14:paraId="7F4941BD">
      <w:pPr>
        <w:ind w:firstLine="480"/>
        <w:outlineLvl w:val="0"/>
        <w:rPr>
          <w:rFonts w:hint="eastAsia" w:ascii="宋体" w:hAnsi="宋体"/>
          <w:color w:val="auto"/>
          <w:highlight w:val="none"/>
        </w:rPr>
      </w:pPr>
      <w:bookmarkStart w:id="401" w:name="_Toc18149"/>
      <w:bookmarkStart w:id="402" w:name="_Toc32344"/>
      <w:r>
        <w:rPr>
          <w:rFonts w:hint="eastAsia" w:ascii="宋体" w:hAnsi="宋体"/>
          <w:color w:val="auto"/>
          <w:highlight w:val="none"/>
        </w:rPr>
        <w:t>3.1服务期限：</w:t>
      </w:r>
      <w:r>
        <w:rPr>
          <w:rFonts w:hint="eastAsia" w:ascii="宋体" w:hAnsi="宋体"/>
          <w:color w:val="auto"/>
          <w:highlight w:val="none"/>
          <w:lang w:eastAsia="zh-CN"/>
        </w:rPr>
        <w:t>自合同签订之日起-2026年12月</w:t>
      </w:r>
      <w:r>
        <w:rPr>
          <w:rFonts w:hint="eastAsia" w:ascii="宋体" w:hAnsi="宋体"/>
          <w:color w:val="auto"/>
          <w:highlight w:val="none"/>
        </w:rPr>
        <w:t>。</w:t>
      </w:r>
      <w:bookmarkEnd w:id="401"/>
      <w:bookmarkEnd w:id="402"/>
    </w:p>
    <w:p w14:paraId="54364727">
      <w:pPr>
        <w:pStyle w:val="52"/>
        <w:ind w:left="0" w:leftChars="0" w:firstLine="480" w:firstLineChars="200"/>
        <w:rPr>
          <w:rFonts w:hint="default" w:ascii="宋体" w:hAnsi="宋体" w:eastAsia="宋体" w:cs="Arial"/>
          <w:color w:val="auto"/>
          <w:szCs w:val="24"/>
          <w:highlight w:val="none"/>
          <w:lang w:val="en-US" w:eastAsia="zh-CN"/>
        </w:rPr>
      </w:pPr>
      <w:bookmarkStart w:id="403" w:name="_Toc10388"/>
      <w:bookmarkStart w:id="404" w:name="_Toc12137"/>
      <w:r>
        <w:rPr>
          <w:rFonts w:hint="eastAsia" w:ascii="宋体" w:hAnsi="宋体"/>
          <w:color w:val="auto"/>
          <w:highlight w:val="none"/>
        </w:rPr>
        <w:t>3.2服务地点：甲方指定地点。</w:t>
      </w:r>
      <w:bookmarkEnd w:id="327"/>
      <w:bookmarkEnd w:id="328"/>
      <w:bookmarkEnd w:id="403"/>
      <w:bookmarkEnd w:id="404"/>
    </w:p>
    <w:sectPr>
      <w:footerReference r:id="rId13" w:type="first"/>
      <w:footerReference r:id="rId12" w:type="default"/>
      <w:pgSz w:w="11849" w:h="16781"/>
      <w:pgMar w:top="1247" w:right="1361" w:bottom="1134" w:left="1361" w:header="709" w:footer="510" w:gutter="0"/>
      <w:pgBorders w:offsetFrom="page">
        <w:top w:val="single" w:color="BFBFBF" w:sz="18" w:space="24"/>
        <w:left w:val="single" w:color="BFBFBF" w:sz="18" w:space="24"/>
        <w:bottom w:val="single" w:color="BFBFBF" w:sz="18" w:space="24"/>
        <w:right w:val="single" w:color="BFBFBF" w:sz="18" w:space="24"/>
      </w:pgBorders>
      <w:pgNumType w:fmt="decimal"/>
      <w:cols w:space="720" w:num="1"/>
      <w:titlePg/>
      <w:docGrid w:linePitch="39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14E15EB-A77B-4AF9-910B-613A742FA9A1}"/>
  </w:font>
  <w:font w:name="黑体">
    <w:panose1 w:val="02010609060101010101"/>
    <w:charset w:val="86"/>
    <w:family w:val="auto"/>
    <w:pitch w:val="default"/>
    <w:sig w:usb0="800002BF" w:usb1="38CF7CFA" w:usb2="00000016" w:usb3="00000000" w:csb0="00040001" w:csb1="00000000"/>
    <w:embedRegular r:id="rId2" w:fontKey="{C8E377B1-695A-42CB-82A1-D92EE5AF9115}"/>
  </w:font>
  <w:font w:name="Courier New">
    <w:panose1 w:val="02070309020205020404"/>
    <w:charset w:val="01"/>
    <w:family w:val="modern"/>
    <w:pitch w:val="default"/>
    <w:sig w:usb0="E0002EFF" w:usb1="C0007843" w:usb2="00000009" w:usb3="00000000" w:csb0="400001FF" w:csb1="FFFF0000"/>
    <w:embedRegular r:id="rId3" w:fontKey="{2409F8D5-1165-41A4-8206-34ED48546622}"/>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01C1C82D-FA31-4E12-9EB7-09383F189DF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embedRegular r:id="rId5" w:fontKey="{82C0FF96-8147-4496-A88C-2EC7D8DEA19C}"/>
  </w:font>
  <w:font w:name="Calibri Light">
    <w:panose1 w:val="020F03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embedRegular r:id="rId6" w:fontKey="{AEC24F45-171F-4899-BB46-894DAC84F0A7}"/>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sfont">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embedRegular r:id="rId7" w:fontKey="{2DC25C3F-9671-4FB0-89FA-272596357EE6}"/>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embedRegular r:id="rId8" w:fontKey="{268EC4C4-C7AA-4155-A84D-35B9923531B7}"/>
  </w:font>
  <w:font w:name="WPSEMBED10">
    <w:panose1 w:val="02010600040101010101"/>
    <w:charset w:val="86"/>
    <w:family w:val="auto"/>
    <w:pitch w:val="default"/>
    <w:sig w:usb0="00000287" w:usb1="080F0000" w:usb2="00000000" w:usb3="00000000" w:csb0="0004009F" w:csb1="DFD70000"/>
  </w:font>
  <w:font w:name="WPSEMBED9">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0377D">
    <w:pPr>
      <w:tabs>
        <w:tab w:val="left" w:pos="7761"/>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CD23D">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FF5AD">
    <w:pPr>
      <w:pStyle w:val="2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ED132">
    <w:pPr>
      <w:pStyle w:val="2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BDFDDD">
                          <w:pPr>
                            <w:pStyle w:val="21"/>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5BDFDDD">
                    <w:pPr>
                      <w:pStyle w:val="21"/>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58087">
    <w:pPr>
      <w:pStyle w:val="21"/>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94438F">
                          <w:pPr>
                            <w:pStyle w:val="21"/>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694438F">
                    <w:pPr>
                      <w:pStyle w:val="21"/>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DC06B">
    <w:pPr>
      <w:pStyle w:val="22"/>
      <w:pBdr>
        <w:bottom w:val="none" w:color="auto" w:sz="0" w:space="1"/>
      </w:pBdr>
      <w:jc w:val="left"/>
    </w:pPr>
    <w:r>
      <w:drawing>
        <wp:inline distT="0" distB="0" distL="114300" distR="114300">
          <wp:extent cx="2270125" cy="408940"/>
          <wp:effectExtent l="0" t="0" r="15875" b="10160"/>
          <wp:docPr id="10" name="图片 10" descr="b505f917836027f892fbb6bc74e8d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b505f917836027f892fbb6bc74e8d1a"/>
                  <pic:cNvPicPr>
                    <a:picLocks noChangeAspect="1"/>
                  </pic:cNvPicPr>
                </pic:nvPicPr>
                <pic:blipFill>
                  <a:blip r:embed="rId1"/>
                  <a:stretch>
                    <a:fillRect/>
                  </a:stretch>
                </pic:blipFill>
                <pic:spPr>
                  <a:xfrm>
                    <a:off x="0" y="0"/>
                    <a:ext cx="2270125" cy="408940"/>
                  </a:xfrm>
                  <a:prstGeom prst="rect">
                    <a:avLst/>
                  </a:prstGeom>
                  <a:noFill/>
                  <a:ln>
                    <a:noFill/>
                  </a:ln>
                </pic:spPr>
              </pic:pic>
            </a:graphicData>
          </a:graphic>
        </wp:inline>
      </w:drawing>
    </w:r>
    <w:r>
      <w:rPr>
        <w:sz w:val="18"/>
      </w:rP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4389120" cy="3611880"/>
          <wp:effectExtent l="0" t="0" r="0" b="0"/>
          <wp:wrapNone/>
          <wp:docPr id="2" name="WordPictureWatermark40232" descr="海际 logo 仅图标 （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40232" descr="海际 logo 仅图标 （蓝）"/>
                  <pic:cNvPicPr>
                    <a:picLocks noChangeAspect="1"/>
                  </pic:cNvPicPr>
                </pic:nvPicPr>
                <pic:blipFill>
                  <a:blip r:embed="rId2">
                    <a:lum bright="69998" contrast="-70001"/>
                  </a:blip>
                  <a:stretch>
                    <a:fillRect/>
                  </a:stretch>
                </pic:blipFill>
                <pic:spPr>
                  <a:xfrm>
                    <a:off x="0" y="0"/>
                    <a:ext cx="4389120" cy="361188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73089">
    <w:pPr>
      <w:pStyle w:val="2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DCDBE">
    <w:pPr>
      <w:pStyle w:val="22"/>
      <w:pBdr>
        <w:bottom w:val="none" w:color="auto" w:sz="0" w:space="1"/>
      </w:pBdr>
      <w:jc w:val="left"/>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4389120" cy="3611880"/>
          <wp:effectExtent l="0" t="0" r="0" b="0"/>
          <wp:wrapNone/>
          <wp:docPr id="3" name="WordPictureWatermark40232" descr="海际 logo 仅图标 （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40232" descr="海际 logo 仅图标 （蓝）"/>
                  <pic:cNvPicPr>
                    <a:picLocks noChangeAspect="1"/>
                  </pic:cNvPicPr>
                </pic:nvPicPr>
                <pic:blipFill>
                  <a:blip r:embed="rId1">
                    <a:lum bright="69998" contrast="-70001"/>
                  </a:blip>
                  <a:stretch>
                    <a:fillRect/>
                  </a:stretch>
                </pic:blipFill>
                <pic:spPr>
                  <a:xfrm>
                    <a:off x="0" y="0"/>
                    <a:ext cx="4389120" cy="3611880"/>
                  </a:xfrm>
                  <a:prstGeom prst="rect">
                    <a:avLst/>
                  </a:prstGeom>
                  <a:noFill/>
                  <a:ln>
                    <a:noFill/>
                  </a:ln>
                </pic:spPr>
              </pic:pic>
            </a:graphicData>
          </a:graphic>
        </wp:anchor>
      </w:drawing>
    </w:r>
    <w:r>
      <w:drawing>
        <wp:inline distT="0" distB="0" distL="114300" distR="114300">
          <wp:extent cx="2270125" cy="408940"/>
          <wp:effectExtent l="0" t="0" r="15875" b="10160"/>
          <wp:docPr id="1" name="图片 1" descr="b505f917836027f892fbb6bc74e8d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505f917836027f892fbb6bc74e8d1a"/>
                  <pic:cNvPicPr>
                    <a:picLocks noChangeAspect="1"/>
                  </pic:cNvPicPr>
                </pic:nvPicPr>
                <pic:blipFill>
                  <a:blip r:embed="rId2"/>
                  <a:stretch>
                    <a:fillRect/>
                  </a:stretch>
                </pic:blipFill>
                <pic:spPr>
                  <a:xfrm>
                    <a:off x="0" y="0"/>
                    <a:ext cx="2270125" cy="40894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1BD42">
    <w:pPr>
      <w:pStyle w:val="22"/>
      <w:pBdr>
        <w:bottom w:val="none" w:color="auto" w:sz="0" w:space="1"/>
      </w:pBdr>
      <w:jc w:val="left"/>
    </w:pPr>
    <w:r>
      <w:drawing>
        <wp:inline distT="0" distB="0" distL="114300" distR="114300">
          <wp:extent cx="2270125" cy="408940"/>
          <wp:effectExtent l="0" t="0" r="15875" b="10160"/>
          <wp:docPr id="9" name="图片 9" descr="b505f917836027f892fbb6bc74e8d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b505f917836027f892fbb6bc74e8d1a"/>
                  <pic:cNvPicPr>
                    <a:picLocks noChangeAspect="1"/>
                  </pic:cNvPicPr>
                </pic:nvPicPr>
                <pic:blipFill>
                  <a:blip r:embed="rId1"/>
                  <a:stretch>
                    <a:fillRect/>
                  </a:stretch>
                </pic:blipFill>
                <pic:spPr>
                  <a:xfrm>
                    <a:off x="0" y="0"/>
                    <a:ext cx="2270125" cy="408940"/>
                  </a:xfrm>
                  <a:prstGeom prst="rect">
                    <a:avLst/>
                  </a:prstGeom>
                  <a:noFill/>
                  <a:ln>
                    <a:noFill/>
                  </a:ln>
                </pic:spPr>
              </pic:pic>
            </a:graphicData>
          </a:graphic>
        </wp:inline>
      </w:drawing>
    </w:r>
    <w:r>
      <w:rPr>
        <w:sz w:val="18"/>
      </w:rPr>
      <w:drawing>
        <wp:anchor distT="0" distB="0" distL="114300" distR="114300" simplePos="0" relativeHeight="251661312" behindDoc="1" locked="0" layoutInCell="1" allowOverlap="1">
          <wp:simplePos x="0" y="0"/>
          <wp:positionH relativeFrom="margin">
            <wp:align>center</wp:align>
          </wp:positionH>
          <wp:positionV relativeFrom="margin">
            <wp:align>center</wp:align>
          </wp:positionV>
          <wp:extent cx="4389120" cy="3611880"/>
          <wp:effectExtent l="0" t="0" r="0" b="0"/>
          <wp:wrapNone/>
          <wp:docPr id="4" name="WordPictureWatermark40232" descr="海际 logo 仅图标 （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40232" descr="海际 logo 仅图标 （蓝）"/>
                  <pic:cNvPicPr>
                    <a:picLocks noChangeAspect="1"/>
                  </pic:cNvPicPr>
                </pic:nvPicPr>
                <pic:blipFill>
                  <a:blip r:embed="rId2">
                    <a:lum bright="69998" contrast="-70001"/>
                  </a:blip>
                  <a:stretch>
                    <a:fillRect/>
                  </a:stretch>
                </pic:blipFill>
                <pic:spPr>
                  <a:xfrm>
                    <a:off x="0" y="0"/>
                    <a:ext cx="4389120" cy="361188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BFB9CE"/>
    <w:multiLevelType w:val="singleLevel"/>
    <w:tmpl w:val="A0BFB9CE"/>
    <w:lvl w:ilvl="0" w:tentative="0">
      <w:start w:val="1"/>
      <w:numFmt w:val="chineseCounting"/>
      <w:suff w:val="nothing"/>
      <w:lvlText w:val="%1、"/>
      <w:lvlJc w:val="left"/>
      <w:rPr>
        <w:rFonts w:hint="eastAsia"/>
      </w:rPr>
    </w:lvl>
  </w:abstractNum>
  <w:abstractNum w:abstractNumId="1">
    <w:nsid w:val="C1F27C9A"/>
    <w:multiLevelType w:val="singleLevel"/>
    <w:tmpl w:val="C1F27C9A"/>
    <w:lvl w:ilvl="0" w:tentative="0">
      <w:start w:val="1"/>
      <w:numFmt w:val="decimal"/>
      <w:suff w:val="nothing"/>
      <w:lvlText w:val="（%1）"/>
      <w:lvlJc w:val="left"/>
    </w:lvl>
  </w:abstractNum>
  <w:abstractNum w:abstractNumId="2">
    <w:nsid w:val="E1D98F32"/>
    <w:multiLevelType w:val="singleLevel"/>
    <w:tmpl w:val="E1D98F32"/>
    <w:lvl w:ilvl="0" w:tentative="0">
      <w:start w:val="1"/>
      <w:numFmt w:val="decimal"/>
      <w:lvlText w:val="%1."/>
      <w:lvlJc w:val="left"/>
      <w:pPr>
        <w:ind w:left="425" w:hanging="425"/>
      </w:pPr>
      <w:rPr>
        <w:rFonts w:hint="default"/>
      </w:rPr>
    </w:lvl>
  </w:abstractNum>
  <w:abstractNum w:abstractNumId="3">
    <w:nsid w:val="0000000A"/>
    <w:multiLevelType w:val="multilevel"/>
    <w:tmpl w:val="0000000A"/>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6"/>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1638C41E"/>
    <w:multiLevelType w:val="singleLevel"/>
    <w:tmpl w:val="1638C41E"/>
    <w:lvl w:ilvl="0" w:tentative="0">
      <w:start w:val="1"/>
      <w:numFmt w:val="decimal"/>
      <w:lvlText w:val="(%1)"/>
      <w:lvlJc w:val="left"/>
      <w:pPr>
        <w:ind w:left="425" w:hanging="425"/>
      </w:pPr>
      <w:rPr>
        <w:rFonts w:hint="default"/>
      </w:rPr>
    </w:lvl>
  </w:abstractNum>
  <w:abstractNum w:abstractNumId="5">
    <w:nsid w:val="1D86BFD5"/>
    <w:multiLevelType w:val="singleLevel"/>
    <w:tmpl w:val="1D86BFD5"/>
    <w:lvl w:ilvl="0" w:tentative="0">
      <w:start w:val="2"/>
      <w:numFmt w:val="decimal"/>
      <w:suff w:val="nothing"/>
      <w:lvlText w:val="%1．"/>
      <w:lvlJc w:val="left"/>
    </w:lvl>
  </w:abstractNum>
  <w:abstractNum w:abstractNumId="6">
    <w:nsid w:val="296944A2"/>
    <w:multiLevelType w:val="multilevel"/>
    <w:tmpl w:val="296944A2"/>
    <w:lvl w:ilvl="0" w:tentative="0">
      <w:start w:val="1"/>
      <w:numFmt w:val="decimal"/>
      <w:suff w:val="space"/>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7">
    <w:nsid w:val="2F421EB1"/>
    <w:multiLevelType w:val="multilevel"/>
    <w:tmpl w:val="2F421EB1"/>
    <w:lvl w:ilvl="0" w:tentative="0">
      <w:start w:val="1"/>
      <w:numFmt w:val="decimal"/>
      <w:suff w:val="space"/>
      <w:lvlText w:val="（%1）"/>
      <w:lvlJc w:val="left"/>
      <w:pPr>
        <w:ind w:left="1981" w:hanging="420"/>
      </w:pPr>
      <w:rPr>
        <w:rFonts w:hint="default"/>
      </w:rPr>
    </w:lvl>
    <w:lvl w:ilvl="1" w:tentative="0">
      <w:start w:val="1"/>
      <w:numFmt w:val="lowerLetter"/>
      <w:lvlText w:val="%2)"/>
      <w:lvlJc w:val="left"/>
      <w:pPr>
        <w:ind w:left="2401" w:hanging="420"/>
      </w:pPr>
    </w:lvl>
    <w:lvl w:ilvl="2" w:tentative="0">
      <w:start w:val="1"/>
      <w:numFmt w:val="lowerRoman"/>
      <w:lvlText w:val="%3."/>
      <w:lvlJc w:val="right"/>
      <w:pPr>
        <w:ind w:left="2821" w:hanging="420"/>
      </w:pPr>
    </w:lvl>
    <w:lvl w:ilvl="3" w:tentative="0">
      <w:start w:val="1"/>
      <w:numFmt w:val="decimal"/>
      <w:lvlText w:val="%4."/>
      <w:lvlJc w:val="left"/>
      <w:pPr>
        <w:ind w:left="3241" w:hanging="420"/>
      </w:pPr>
    </w:lvl>
    <w:lvl w:ilvl="4" w:tentative="0">
      <w:start w:val="1"/>
      <w:numFmt w:val="lowerLetter"/>
      <w:lvlText w:val="%5)"/>
      <w:lvlJc w:val="left"/>
      <w:pPr>
        <w:ind w:left="3661" w:hanging="420"/>
      </w:pPr>
    </w:lvl>
    <w:lvl w:ilvl="5" w:tentative="0">
      <w:start w:val="1"/>
      <w:numFmt w:val="lowerRoman"/>
      <w:lvlText w:val="%6."/>
      <w:lvlJc w:val="right"/>
      <w:pPr>
        <w:ind w:left="4081" w:hanging="420"/>
      </w:pPr>
    </w:lvl>
    <w:lvl w:ilvl="6" w:tentative="0">
      <w:start w:val="1"/>
      <w:numFmt w:val="decimal"/>
      <w:lvlText w:val="%7."/>
      <w:lvlJc w:val="left"/>
      <w:pPr>
        <w:ind w:left="4501" w:hanging="420"/>
      </w:pPr>
    </w:lvl>
    <w:lvl w:ilvl="7" w:tentative="0">
      <w:start w:val="1"/>
      <w:numFmt w:val="lowerLetter"/>
      <w:lvlText w:val="%8)"/>
      <w:lvlJc w:val="left"/>
      <w:pPr>
        <w:ind w:left="4921" w:hanging="420"/>
      </w:pPr>
    </w:lvl>
    <w:lvl w:ilvl="8" w:tentative="0">
      <w:start w:val="1"/>
      <w:numFmt w:val="lowerRoman"/>
      <w:lvlText w:val="%9."/>
      <w:lvlJc w:val="right"/>
      <w:pPr>
        <w:ind w:left="5341" w:hanging="420"/>
      </w:pPr>
    </w:lvl>
  </w:abstractNum>
  <w:abstractNum w:abstractNumId="8">
    <w:nsid w:val="31BE1F7E"/>
    <w:multiLevelType w:val="singleLevel"/>
    <w:tmpl w:val="31BE1F7E"/>
    <w:lvl w:ilvl="0" w:tentative="0">
      <w:start w:val="1"/>
      <w:numFmt w:val="decimal"/>
      <w:lvlText w:val="%1)"/>
      <w:lvlJc w:val="left"/>
      <w:pPr>
        <w:ind w:left="425" w:hanging="425"/>
      </w:pPr>
      <w:rPr>
        <w:rFonts w:hint="default"/>
      </w:rPr>
    </w:lvl>
  </w:abstractNum>
  <w:abstractNum w:abstractNumId="9">
    <w:nsid w:val="44D2658A"/>
    <w:multiLevelType w:val="singleLevel"/>
    <w:tmpl w:val="44D2658A"/>
    <w:lvl w:ilvl="0" w:tentative="0">
      <w:start w:val="1"/>
      <w:numFmt w:val="decimal"/>
      <w:suff w:val="nothing"/>
      <w:lvlText w:val="（%1）"/>
      <w:lvlJc w:val="left"/>
    </w:lvl>
  </w:abstractNum>
  <w:abstractNum w:abstractNumId="10">
    <w:nsid w:val="561F52B1"/>
    <w:multiLevelType w:val="singleLevel"/>
    <w:tmpl w:val="561F52B1"/>
    <w:lvl w:ilvl="0" w:tentative="0">
      <w:start w:val="1"/>
      <w:numFmt w:val="decimal"/>
      <w:lvlText w:val="%1"/>
      <w:lvlJc w:val="left"/>
      <w:pPr>
        <w:ind w:left="561" w:hanging="420"/>
      </w:pPr>
      <w:rPr>
        <w:rFonts w:hint="default"/>
      </w:rPr>
    </w:lvl>
  </w:abstractNum>
  <w:abstractNum w:abstractNumId="11">
    <w:nsid w:val="58946D50"/>
    <w:multiLevelType w:val="multilevel"/>
    <w:tmpl w:val="58946D50"/>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44"/>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2">
    <w:nsid w:val="599149B8"/>
    <w:multiLevelType w:val="multilevel"/>
    <w:tmpl w:val="599149B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
    <w:nsid w:val="5B7609C1"/>
    <w:multiLevelType w:val="multilevel"/>
    <w:tmpl w:val="5B7609C1"/>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1"/>
  </w:num>
  <w:num w:numId="3">
    <w:abstractNumId w:val="0"/>
  </w:num>
  <w:num w:numId="4">
    <w:abstractNumId w:val="10"/>
  </w:num>
  <w:num w:numId="5">
    <w:abstractNumId w:val="1"/>
  </w:num>
  <w:num w:numId="6">
    <w:abstractNumId w:val="6"/>
  </w:num>
  <w:num w:numId="7">
    <w:abstractNumId w:val="12"/>
  </w:num>
  <w:num w:numId="8">
    <w:abstractNumId w:val="7"/>
  </w:num>
  <w:num w:numId="9">
    <w:abstractNumId w:val="4"/>
  </w:num>
  <w:num w:numId="10">
    <w:abstractNumId w:val="9"/>
  </w:num>
  <w:num w:numId="11">
    <w:abstractNumId w:val="2"/>
  </w:num>
  <w:num w:numId="12">
    <w:abstractNumId w:val="5"/>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20"/>
  <w:displayHorizontalDrawingGridEvery w:val="1"/>
  <w:displayVerticalDrawingGridEvery w:val="1"/>
  <w:noPunctuationKerning w:val="1"/>
  <w:characterSpacingControl w:val="doNotCompress"/>
  <w:hdrShapeDefaults>
    <o:shapelayout v:ext="edit">
      <o:idmap v:ext="edit" data="1,3"/>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yNWUzYzM4OWFjZWExMTI2MmU0OWZhYTRhY2U2YmEifQ=="/>
  </w:docVars>
  <w:rsids>
    <w:rsidRoot w:val="00D31D50"/>
    <w:rsid w:val="000006CE"/>
    <w:rsid w:val="0000076F"/>
    <w:rsid w:val="0000178A"/>
    <w:rsid w:val="00002F45"/>
    <w:rsid w:val="000031D9"/>
    <w:rsid w:val="00003526"/>
    <w:rsid w:val="00003560"/>
    <w:rsid w:val="000043A9"/>
    <w:rsid w:val="00005AC4"/>
    <w:rsid w:val="00005D57"/>
    <w:rsid w:val="00011BBA"/>
    <w:rsid w:val="000146E8"/>
    <w:rsid w:val="00017B2F"/>
    <w:rsid w:val="00020C45"/>
    <w:rsid w:val="0002239A"/>
    <w:rsid w:val="000228D8"/>
    <w:rsid w:val="0002301D"/>
    <w:rsid w:val="000232D7"/>
    <w:rsid w:val="0002616F"/>
    <w:rsid w:val="00026AAF"/>
    <w:rsid w:val="00031E69"/>
    <w:rsid w:val="00035C80"/>
    <w:rsid w:val="00035E3B"/>
    <w:rsid w:val="000362D6"/>
    <w:rsid w:val="00036362"/>
    <w:rsid w:val="000365BD"/>
    <w:rsid w:val="0003728A"/>
    <w:rsid w:val="000379E5"/>
    <w:rsid w:val="00037A3D"/>
    <w:rsid w:val="00040251"/>
    <w:rsid w:val="000409F6"/>
    <w:rsid w:val="00042B89"/>
    <w:rsid w:val="00042E91"/>
    <w:rsid w:val="00043D60"/>
    <w:rsid w:val="00043ECD"/>
    <w:rsid w:val="00044CB5"/>
    <w:rsid w:val="000454E9"/>
    <w:rsid w:val="00045D84"/>
    <w:rsid w:val="00046FFD"/>
    <w:rsid w:val="00047357"/>
    <w:rsid w:val="00051A36"/>
    <w:rsid w:val="00051B93"/>
    <w:rsid w:val="00053703"/>
    <w:rsid w:val="0005469D"/>
    <w:rsid w:val="00056AD6"/>
    <w:rsid w:val="00056F37"/>
    <w:rsid w:val="00057CB8"/>
    <w:rsid w:val="000609CB"/>
    <w:rsid w:val="000616BE"/>
    <w:rsid w:val="000625E1"/>
    <w:rsid w:val="0006370F"/>
    <w:rsid w:val="00063C3F"/>
    <w:rsid w:val="000640AC"/>
    <w:rsid w:val="00064A41"/>
    <w:rsid w:val="00065B73"/>
    <w:rsid w:val="00066658"/>
    <w:rsid w:val="0007003D"/>
    <w:rsid w:val="000713F4"/>
    <w:rsid w:val="00071894"/>
    <w:rsid w:val="00071CE8"/>
    <w:rsid w:val="0007394E"/>
    <w:rsid w:val="00073B37"/>
    <w:rsid w:val="00080A62"/>
    <w:rsid w:val="000814BE"/>
    <w:rsid w:val="00083472"/>
    <w:rsid w:val="00083B92"/>
    <w:rsid w:val="000844D7"/>
    <w:rsid w:val="00084A3D"/>
    <w:rsid w:val="000854CE"/>
    <w:rsid w:val="00085552"/>
    <w:rsid w:val="00090113"/>
    <w:rsid w:val="000902F3"/>
    <w:rsid w:val="000915CD"/>
    <w:rsid w:val="00092C3D"/>
    <w:rsid w:val="00094856"/>
    <w:rsid w:val="000969AD"/>
    <w:rsid w:val="000A00CE"/>
    <w:rsid w:val="000A0221"/>
    <w:rsid w:val="000A1A74"/>
    <w:rsid w:val="000A3789"/>
    <w:rsid w:val="000A4AC6"/>
    <w:rsid w:val="000A5A7F"/>
    <w:rsid w:val="000A5DFE"/>
    <w:rsid w:val="000B025F"/>
    <w:rsid w:val="000B10D0"/>
    <w:rsid w:val="000B345C"/>
    <w:rsid w:val="000B3B6E"/>
    <w:rsid w:val="000B3F7E"/>
    <w:rsid w:val="000B5360"/>
    <w:rsid w:val="000B54A5"/>
    <w:rsid w:val="000B674A"/>
    <w:rsid w:val="000B6B6D"/>
    <w:rsid w:val="000B73CF"/>
    <w:rsid w:val="000C010B"/>
    <w:rsid w:val="000C0811"/>
    <w:rsid w:val="000C4C0F"/>
    <w:rsid w:val="000C5F12"/>
    <w:rsid w:val="000C5F15"/>
    <w:rsid w:val="000C5FCB"/>
    <w:rsid w:val="000C6561"/>
    <w:rsid w:val="000C6D73"/>
    <w:rsid w:val="000C72E5"/>
    <w:rsid w:val="000C7578"/>
    <w:rsid w:val="000C786E"/>
    <w:rsid w:val="000D07F3"/>
    <w:rsid w:val="000D2879"/>
    <w:rsid w:val="000D2E8B"/>
    <w:rsid w:val="000D33E0"/>
    <w:rsid w:val="000D39C0"/>
    <w:rsid w:val="000D3A04"/>
    <w:rsid w:val="000D3FDE"/>
    <w:rsid w:val="000D4C13"/>
    <w:rsid w:val="000D52F3"/>
    <w:rsid w:val="000D58C4"/>
    <w:rsid w:val="000D65D9"/>
    <w:rsid w:val="000D6B30"/>
    <w:rsid w:val="000E14F1"/>
    <w:rsid w:val="000E3F7C"/>
    <w:rsid w:val="000E4229"/>
    <w:rsid w:val="000E4600"/>
    <w:rsid w:val="000E529F"/>
    <w:rsid w:val="000E6522"/>
    <w:rsid w:val="000E6918"/>
    <w:rsid w:val="000F1B9D"/>
    <w:rsid w:val="000F42C2"/>
    <w:rsid w:val="000F439D"/>
    <w:rsid w:val="000F510D"/>
    <w:rsid w:val="000F5E48"/>
    <w:rsid w:val="000F7A51"/>
    <w:rsid w:val="000F7C78"/>
    <w:rsid w:val="00100645"/>
    <w:rsid w:val="00101133"/>
    <w:rsid w:val="0010178B"/>
    <w:rsid w:val="0010183F"/>
    <w:rsid w:val="00103702"/>
    <w:rsid w:val="00103AEF"/>
    <w:rsid w:val="001040C4"/>
    <w:rsid w:val="0010489E"/>
    <w:rsid w:val="00105098"/>
    <w:rsid w:val="00105663"/>
    <w:rsid w:val="0010568D"/>
    <w:rsid w:val="00106CAA"/>
    <w:rsid w:val="00106F24"/>
    <w:rsid w:val="0011083F"/>
    <w:rsid w:val="001121FB"/>
    <w:rsid w:val="001126C0"/>
    <w:rsid w:val="00112903"/>
    <w:rsid w:val="00112AFB"/>
    <w:rsid w:val="0011328E"/>
    <w:rsid w:val="0011612D"/>
    <w:rsid w:val="0011760F"/>
    <w:rsid w:val="001218A1"/>
    <w:rsid w:val="00122291"/>
    <w:rsid w:val="00122662"/>
    <w:rsid w:val="00123C3F"/>
    <w:rsid w:val="00127145"/>
    <w:rsid w:val="001301BA"/>
    <w:rsid w:val="0013169E"/>
    <w:rsid w:val="001334C8"/>
    <w:rsid w:val="001339CD"/>
    <w:rsid w:val="00133DE5"/>
    <w:rsid w:val="00133FF3"/>
    <w:rsid w:val="00134BD6"/>
    <w:rsid w:val="00135A1E"/>
    <w:rsid w:val="001366EB"/>
    <w:rsid w:val="00136EF7"/>
    <w:rsid w:val="001376EB"/>
    <w:rsid w:val="001404D7"/>
    <w:rsid w:val="0014144D"/>
    <w:rsid w:val="00142B7E"/>
    <w:rsid w:val="00144945"/>
    <w:rsid w:val="00145AB6"/>
    <w:rsid w:val="00147AF9"/>
    <w:rsid w:val="0015009C"/>
    <w:rsid w:val="00150670"/>
    <w:rsid w:val="00151B45"/>
    <w:rsid w:val="00151C11"/>
    <w:rsid w:val="00152B3A"/>
    <w:rsid w:val="00152DD5"/>
    <w:rsid w:val="00157259"/>
    <w:rsid w:val="0016067C"/>
    <w:rsid w:val="00160C65"/>
    <w:rsid w:val="001623F4"/>
    <w:rsid w:val="00162422"/>
    <w:rsid w:val="001636BB"/>
    <w:rsid w:val="00163778"/>
    <w:rsid w:val="00163D3E"/>
    <w:rsid w:val="00165869"/>
    <w:rsid w:val="00165E85"/>
    <w:rsid w:val="00165F0E"/>
    <w:rsid w:val="001665AF"/>
    <w:rsid w:val="001665BC"/>
    <w:rsid w:val="001667C6"/>
    <w:rsid w:val="001673B7"/>
    <w:rsid w:val="0016749B"/>
    <w:rsid w:val="001675AA"/>
    <w:rsid w:val="00167AA8"/>
    <w:rsid w:val="001708EE"/>
    <w:rsid w:val="0017098E"/>
    <w:rsid w:val="001712E9"/>
    <w:rsid w:val="0017146D"/>
    <w:rsid w:val="00172A1F"/>
    <w:rsid w:val="00173564"/>
    <w:rsid w:val="00173A0D"/>
    <w:rsid w:val="001748F6"/>
    <w:rsid w:val="00175F24"/>
    <w:rsid w:val="001760FB"/>
    <w:rsid w:val="00177DF1"/>
    <w:rsid w:val="001800D0"/>
    <w:rsid w:val="001805D4"/>
    <w:rsid w:val="00181DFD"/>
    <w:rsid w:val="0018274C"/>
    <w:rsid w:val="001831E4"/>
    <w:rsid w:val="00184736"/>
    <w:rsid w:val="0019027A"/>
    <w:rsid w:val="00190C00"/>
    <w:rsid w:val="00191356"/>
    <w:rsid w:val="0019136F"/>
    <w:rsid w:val="001925FF"/>
    <w:rsid w:val="00192B5A"/>
    <w:rsid w:val="00192BCC"/>
    <w:rsid w:val="001955EC"/>
    <w:rsid w:val="0019587E"/>
    <w:rsid w:val="0019623E"/>
    <w:rsid w:val="001A0048"/>
    <w:rsid w:val="001A02CC"/>
    <w:rsid w:val="001A063E"/>
    <w:rsid w:val="001A0DA6"/>
    <w:rsid w:val="001A2D1B"/>
    <w:rsid w:val="001A3B25"/>
    <w:rsid w:val="001A4C42"/>
    <w:rsid w:val="001A5476"/>
    <w:rsid w:val="001A73BA"/>
    <w:rsid w:val="001A7888"/>
    <w:rsid w:val="001A7A2E"/>
    <w:rsid w:val="001B0772"/>
    <w:rsid w:val="001B0C7F"/>
    <w:rsid w:val="001B1C79"/>
    <w:rsid w:val="001B21C7"/>
    <w:rsid w:val="001B22EF"/>
    <w:rsid w:val="001B29B5"/>
    <w:rsid w:val="001B49F8"/>
    <w:rsid w:val="001B5340"/>
    <w:rsid w:val="001B6143"/>
    <w:rsid w:val="001B6518"/>
    <w:rsid w:val="001C01C3"/>
    <w:rsid w:val="001C03F9"/>
    <w:rsid w:val="001C0418"/>
    <w:rsid w:val="001C20C7"/>
    <w:rsid w:val="001C2325"/>
    <w:rsid w:val="001C27A0"/>
    <w:rsid w:val="001C3B12"/>
    <w:rsid w:val="001C3DA6"/>
    <w:rsid w:val="001C4BDF"/>
    <w:rsid w:val="001C4EDA"/>
    <w:rsid w:val="001C6237"/>
    <w:rsid w:val="001C70B7"/>
    <w:rsid w:val="001C725E"/>
    <w:rsid w:val="001D0196"/>
    <w:rsid w:val="001D1681"/>
    <w:rsid w:val="001D1F62"/>
    <w:rsid w:val="001D2660"/>
    <w:rsid w:val="001D318B"/>
    <w:rsid w:val="001D31F4"/>
    <w:rsid w:val="001D3B47"/>
    <w:rsid w:val="001D4206"/>
    <w:rsid w:val="001D4407"/>
    <w:rsid w:val="001D49D8"/>
    <w:rsid w:val="001D5BE7"/>
    <w:rsid w:val="001D7385"/>
    <w:rsid w:val="001E135E"/>
    <w:rsid w:val="001E2463"/>
    <w:rsid w:val="001E4084"/>
    <w:rsid w:val="001E524F"/>
    <w:rsid w:val="001E5347"/>
    <w:rsid w:val="001E6529"/>
    <w:rsid w:val="001E77D5"/>
    <w:rsid w:val="001E7C54"/>
    <w:rsid w:val="001F12E7"/>
    <w:rsid w:val="001F1CD6"/>
    <w:rsid w:val="001F3ADA"/>
    <w:rsid w:val="001F4833"/>
    <w:rsid w:val="001F6091"/>
    <w:rsid w:val="001F6365"/>
    <w:rsid w:val="001F6CA3"/>
    <w:rsid w:val="00200CEB"/>
    <w:rsid w:val="002022A5"/>
    <w:rsid w:val="00202C78"/>
    <w:rsid w:val="002034C3"/>
    <w:rsid w:val="00205030"/>
    <w:rsid w:val="00206718"/>
    <w:rsid w:val="002071B7"/>
    <w:rsid w:val="0021084E"/>
    <w:rsid w:val="00215647"/>
    <w:rsid w:val="0021746A"/>
    <w:rsid w:val="0022024D"/>
    <w:rsid w:val="00220EC4"/>
    <w:rsid w:val="002215CE"/>
    <w:rsid w:val="00222D39"/>
    <w:rsid w:val="00223B0E"/>
    <w:rsid w:val="00223BB7"/>
    <w:rsid w:val="00223EB9"/>
    <w:rsid w:val="00223F80"/>
    <w:rsid w:val="002243A8"/>
    <w:rsid w:val="00224861"/>
    <w:rsid w:val="00224B7F"/>
    <w:rsid w:val="002258C8"/>
    <w:rsid w:val="0022719A"/>
    <w:rsid w:val="00231E7F"/>
    <w:rsid w:val="00232705"/>
    <w:rsid w:val="002329E4"/>
    <w:rsid w:val="00233F02"/>
    <w:rsid w:val="002340BC"/>
    <w:rsid w:val="002352CD"/>
    <w:rsid w:val="002365CB"/>
    <w:rsid w:val="00236948"/>
    <w:rsid w:val="00236BB6"/>
    <w:rsid w:val="00236D6C"/>
    <w:rsid w:val="00237017"/>
    <w:rsid w:val="0023717B"/>
    <w:rsid w:val="00241C94"/>
    <w:rsid w:val="002428BF"/>
    <w:rsid w:val="00242F96"/>
    <w:rsid w:val="00243FD8"/>
    <w:rsid w:val="00244A38"/>
    <w:rsid w:val="00245462"/>
    <w:rsid w:val="00246CD4"/>
    <w:rsid w:val="002500BF"/>
    <w:rsid w:val="0025084A"/>
    <w:rsid w:val="00253023"/>
    <w:rsid w:val="00253D8A"/>
    <w:rsid w:val="00255EA1"/>
    <w:rsid w:val="0025628D"/>
    <w:rsid w:val="002602BF"/>
    <w:rsid w:val="0026035A"/>
    <w:rsid w:val="00262926"/>
    <w:rsid w:val="00264897"/>
    <w:rsid w:val="00264B3A"/>
    <w:rsid w:val="00264D3E"/>
    <w:rsid w:val="002652B8"/>
    <w:rsid w:val="002656E6"/>
    <w:rsid w:val="00270030"/>
    <w:rsid w:val="00271167"/>
    <w:rsid w:val="002714A2"/>
    <w:rsid w:val="0027357A"/>
    <w:rsid w:val="002742F2"/>
    <w:rsid w:val="00274B35"/>
    <w:rsid w:val="00274EB1"/>
    <w:rsid w:val="00275F03"/>
    <w:rsid w:val="00275FAC"/>
    <w:rsid w:val="00277AB6"/>
    <w:rsid w:val="00277FCF"/>
    <w:rsid w:val="0028125E"/>
    <w:rsid w:val="0028158E"/>
    <w:rsid w:val="00281846"/>
    <w:rsid w:val="00281920"/>
    <w:rsid w:val="00282E63"/>
    <w:rsid w:val="0028413B"/>
    <w:rsid w:val="00284227"/>
    <w:rsid w:val="00285326"/>
    <w:rsid w:val="002856DC"/>
    <w:rsid w:val="00285862"/>
    <w:rsid w:val="00285F79"/>
    <w:rsid w:val="00286D1B"/>
    <w:rsid w:val="00287E60"/>
    <w:rsid w:val="00290055"/>
    <w:rsid w:val="00290C9E"/>
    <w:rsid w:val="002912D3"/>
    <w:rsid w:val="00294ACD"/>
    <w:rsid w:val="00295226"/>
    <w:rsid w:val="00295303"/>
    <w:rsid w:val="002960E9"/>
    <w:rsid w:val="00297C6D"/>
    <w:rsid w:val="002A0235"/>
    <w:rsid w:val="002A03D4"/>
    <w:rsid w:val="002A0E3E"/>
    <w:rsid w:val="002A1D72"/>
    <w:rsid w:val="002A3245"/>
    <w:rsid w:val="002A3420"/>
    <w:rsid w:val="002A3749"/>
    <w:rsid w:val="002A46C6"/>
    <w:rsid w:val="002A4918"/>
    <w:rsid w:val="002A5322"/>
    <w:rsid w:val="002A60C7"/>
    <w:rsid w:val="002A7C01"/>
    <w:rsid w:val="002B1221"/>
    <w:rsid w:val="002B17B0"/>
    <w:rsid w:val="002B2617"/>
    <w:rsid w:val="002B2B47"/>
    <w:rsid w:val="002B31C4"/>
    <w:rsid w:val="002B339A"/>
    <w:rsid w:val="002B471F"/>
    <w:rsid w:val="002B4861"/>
    <w:rsid w:val="002B4D59"/>
    <w:rsid w:val="002B55D3"/>
    <w:rsid w:val="002B6160"/>
    <w:rsid w:val="002B620F"/>
    <w:rsid w:val="002B77C3"/>
    <w:rsid w:val="002C2943"/>
    <w:rsid w:val="002D20E8"/>
    <w:rsid w:val="002D219B"/>
    <w:rsid w:val="002D316E"/>
    <w:rsid w:val="002D35C0"/>
    <w:rsid w:val="002D37AF"/>
    <w:rsid w:val="002D398E"/>
    <w:rsid w:val="002D51DE"/>
    <w:rsid w:val="002D672A"/>
    <w:rsid w:val="002E0081"/>
    <w:rsid w:val="002E0ED7"/>
    <w:rsid w:val="002E1843"/>
    <w:rsid w:val="002E191D"/>
    <w:rsid w:val="002E2517"/>
    <w:rsid w:val="002E3092"/>
    <w:rsid w:val="002E34ED"/>
    <w:rsid w:val="002E64C1"/>
    <w:rsid w:val="002E6B7B"/>
    <w:rsid w:val="002E75CB"/>
    <w:rsid w:val="002F1826"/>
    <w:rsid w:val="002F4351"/>
    <w:rsid w:val="002F5499"/>
    <w:rsid w:val="002F6983"/>
    <w:rsid w:val="003002F3"/>
    <w:rsid w:val="0030060F"/>
    <w:rsid w:val="003006B1"/>
    <w:rsid w:val="0030452A"/>
    <w:rsid w:val="00304FBB"/>
    <w:rsid w:val="0030560B"/>
    <w:rsid w:val="0030658C"/>
    <w:rsid w:val="003069EB"/>
    <w:rsid w:val="00306BDF"/>
    <w:rsid w:val="00307728"/>
    <w:rsid w:val="00310995"/>
    <w:rsid w:val="00310C51"/>
    <w:rsid w:val="00310DBE"/>
    <w:rsid w:val="003114A3"/>
    <w:rsid w:val="00313C5D"/>
    <w:rsid w:val="003151F6"/>
    <w:rsid w:val="003153AF"/>
    <w:rsid w:val="00315BF6"/>
    <w:rsid w:val="0031735D"/>
    <w:rsid w:val="00317FF7"/>
    <w:rsid w:val="0032123B"/>
    <w:rsid w:val="00323B43"/>
    <w:rsid w:val="00323FB0"/>
    <w:rsid w:val="00323FC0"/>
    <w:rsid w:val="00323FE0"/>
    <w:rsid w:val="00327CB1"/>
    <w:rsid w:val="00330695"/>
    <w:rsid w:val="00330A2E"/>
    <w:rsid w:val="00330CDE"/>
    <w:rsid w:val="00331306"/>
    <w:rsid w:val="003325C5"/>
    <w:rsid w:val="003333CB"/>
    <w:rsid w:val="00333590"/>
    <w:rsid w:val="003335E9"/>
    <w:rsid w:val="003348AA"/>
    <w:rsid w:val="00334A75"/>
    <w:rsid w:val="00334BA6"/>
    <w:rsid w:val="0033522A"/>
    <w:rsid w:val="003354C8"/>
    <w:rsid w:val="0033579F"/>
    <w:rsid w:val="0033593B"/>
    <w:rsid w:val="00336200"/>
    <w:rsid w:val="00336C75"/>
    <w:rsid w:val="00340025"/>
    <w:rsid w:val="00340490"/>
    <w:rsid w:val="0034100A"/>
    <w:rsid w:val="0034259F"/>
    <w:rsid w:val="0034436A"/>
    <w:rsid w:val="00345C1B"/>
    <w:rsid w:val="003508FB"/>
    <w:rsid w:val="00350AF9"/>
    <w:rsid w:val="00350B96"/>
    <w:rsid w:val="003518FA"/>
    <w:rsid w:val="00351BA6"/>
    <w:rsid w:val="00352755"/>
    <w:rsid w:val="0035294A"/>
    <w:rsid w:val="003555CC"/>
    <w:rsid w:val="00355C06"/>
    <w:rsid w:val="00355F94"/>
    <w:rsid w:val="00356172"/>
    <w:rsid w:val="003609D9"/>
    <w:rsid w:val="00361A1D"/>
    <w:rsid w:val="00362586"/>
    <w:rsid w:val="00363342"/>
    <w:rsid w:val="00367262"/>
    <w:rsid w:val="003676AB"/>
    <w:rsid w:val="00367B2F"/>
    <w:rsid w:val="003705F8"/>
    <w:rsid w:val="00370B17"/>
    <w:rsid w:val="00371471"/>
    <w:rsid w:val="00371EA5"/>
    <w:rsid w:val="00372473"/>
    <w:rsid w:val="0037253C"/>
    <w:rsid w:val="00372FDF"/>
    <w:rsid w:val="0037376B"/>
    <w:rsid w:val="003753AC"/>
    <w:rsid w:val="00375A5B"/>
    <w:rsid w:val="00375C08"/>
    <w:rsid w:val="00376693"/>
    <w:rsid w:val="00380B0A"/>
    <w:rsid w:val="003813A5"/>
    <w:rsid w:val="003815DF"/>
    <w:rsid w:val="00381A9B"/>
    <w:rsid w:val="00381D85"/>
    <w:rsid w:val="00383A52"/>
    <w:rsid w:val="00384CD4"/>
    <w:rsid w:val="00385A45"/>
    <w:rsid w:val="003867B9"/>
    <w:rsid w:val="00386AA1"/>
    <w:rsid w:val="0039244F"/>
    <w:rsid w:val="0039442B"/>
    <w:rsid w:val="00394F2D"/>
    <w:rsid w:val="00397733"/>
    <w:rsid w:val="003978F8"/>
    <w:rsid w:val="00397E02"/>
    <w:rsid w:val="003A038B"/>
    <w:rsid w:val="003A0919"/>
    <w:rsid w:val="003A1E5B"/>
    <w:rsid w:val="003A36F1"/>
    <w:rsid w:val="003A38F6"/>
    <w:rsid w:val="003A4EC5"/>
    <w:rsid w:val="003A5A5C"/>
    <w:rsid w:val="003A601C"/>
    <w:rsid w:val="003A6637"/>
    <w:rsid w:val="003A70C7"/>
    <w:rsid w:val="003A7BFB"/>
    <w:rsid w:val="003B0E05"/>
    <w:rsid w:val="003B18F4"/>
    <w:rsid w:val="003B1C47"/>
    <w:rsid w:val="003B1F02"/>
    <w:rsid w:val="003B2ED2"/>
    <w:rsid w:val="003B2F0B"/>
    <w:rsid w:val="003B2F1C"/>
    <w:rsid w:val="003B3290"/>
    <w:rsid w:val="003B3F52"/>
    <w:rsid w:val="003B414F"/>
    <w:rsid w:val="003B4DAD"/>
    <w:rsid w:val="003B611A"/>
    <w:rsid w:val="003B6573"/>
    <w:rsid w:val="003B6EFB"/>
    <w:rsid w:val="003B7E87"/>
    <w:rsid w:val="003C027B"/>
    <w:rsid w:val="003C14AE"/>
    <w:rsid w:val="003C1AA4"/>
    <w:rsid w:val="003C1C29"/>
    <w:rsid w:val="003C1C91"/>
    <w:rsid w:val="003C2D2D"/>
    <w:rsid w:val="003C3D19"/>
    <w:rsid w:val="003C3DE5"/>
    <w:rsid w:val="003C412D"/>
    <w:rsid w:val="003C4409"/>
    <w:rsid w:val="003C46B2"/>
    <w:rsid w:val="003C4CE2"/>
    <w:rsid w:val="003C681E"/>
    <w:rsid w:val="003C7FE7"/>
    <w:rsid w:val="003D0234"/>
    <w:rsid w:val="003D10E9"/>
    <w:rsid w:val="003D1B1E"/>
    <w:rsid w:val="003D213F"/>
    <w:rsid w:val="003D37D8"/>
    <w:rsid w:val="003D38A6"/>
    <w:rsid w:val="003D4948"/>
    <w:rsid w:val="003D55C9"/>
    <w:rsid w:val="003D65E1"/>
    <w:rsid w:val="003D6BCC"/>
    <w:rsid w:val="003E0D5D"/>
    <w:rsid w:val="003E10FD"/>
    <w:rsid w:val="003E2553"/>
    <w:rsid w:val="003E3C82"/>
    <w:rsid w:val="003E5EB6"/>
    <w:rsid w:val="003E65AA"/>
    <w:rsid w:val="003E7345"/>
    <w:rsid w:val="003F039E"/>
    <w:rsid w:val="003F0FED"/>
    <w:rsid w:val="003F2797"/>
    <w:rsid w:val="003F2873"/>
    <w:rsid w:val="003F2E59"/>
    <w:rsid w:val="003F368C"/>
    <w:rsid w:val="003F427F"/>
    <w:rsid w:val="003F54EF"/>
    <w:rsid w:val="003F63F7"/>
    <w:rsid w:val="00400742"/>
    <w:rsid w:val="00402233"/>
    <w:rsid w:val="00403276"/>
    <w:rsid w:val="004032E5"/>
    <w:rsid w:val="004040B0"/>
    <w:rsid w:val="0040466D"/>
    <w:rsid w:val="00405327"/>
    <w:rsid w:val="00406161"/>
    <w:rsid w:val="00406A00"/>
    <w:rsid w:val="00406EFC"/>
    <w:rsid w:val="004074B6"/>
    <w:rsid w:val="00413050"/>
    <w:rsid w:val="0041353F"/>
    <w:rsid w:val="0041370B"/>
    <w:rsid w:val="0041414F"/>
    <w:rsid w:val="004168C6"/>
    <w:rsid w:val="00416A09"/>
    <w:rsid w:val="004173AF"/>
    <w:rsid w:val="00420816"/>
    <w:rsid w:val="00420E31"/>
    <w:rsid w:val="0042104A"/>
    <w:rsid w:val="004225E9"/>
    <w:rsid w:val="00422FBC"/>
    <w:rsid w:val="00423D9B"/>
    <w:rsid w:val="00424A1E"/>
    <w:rsid w:val="00424B40"/>
    <w:rsid w:val="004251AE"/>
    <w:rsid w:val="00426133"/>
    <w:rsid w:val="00426EF6"/>
    <w:rsid w:val="00427160"/>
    <w:rsid w:val="00430794"/>
    <w:rsid w:val="00431C5C"/>
    <w:rsid w:val="00431EBE"/>
    <w:rsid w:val="004322AC"/>
    <w:rsid w:val="004358AB"/>
    <w:rsid w:val="00435B39"/>
    <w:rsid w:val="00436DF0"/>
    <w:rsid w:val="004377C0"/>
    <w:rsid w:val="0044007C"/>
    <w:rsid w:val="00440988"/>
    <w:rsid w:val="0044107B"/>
    <w:rsid w:val="00442CD1"/>
    <w:rsid w:val="00442FD1"/>
    <w:rsid w:val="004439BA"/>
    <w:rsid w:val="0044620E"/>
    <w:rsid w:val="00450172"/>
    <w:rsid w:val="00450526"/>
    <w:rsid w:val="0045053F"/>
    <w:rsid w:val="004508D4"/>
    <w:rsid w:val="00450C90"/>
    <w:rsid w:val="0045115D"/>
    <w:rsid w:val="004515D9"/>
    <w:rsid w:val="004527EA"/>
    <w:rsid w:val="00452D8D"/>
    <w:rsid w:val="00453986"/>
    <w:rsid w:val="00454AD7"/>
    <w:rsid w:val="00457774"/>
    <w:rsid w:val="00457C96"/>
    <w:rsid w:val="00457DF2"/>
    <w:rsid w:val="004623B5"/>
    <w:rsid w:val="00462B1E"/>
    <w:rsid w:val="00463E36"/>
    <w:rsid w:val="0046570E"/>
    <w:rsid w:val="00465F80"/>
    <w:rsid w:val="004661A3"/>
    <w:rsid w:val="004702D5"/>
    <w:rsid w:val="00470719"/>
    <w:rsid w:val="00472D4E"/>
    <w:rsid w:val="00473906"/>
    <w:rsid w:val="0047395A"/>
    <w:rsid w:val="00474D25"/>
    <w:rsid w:val="00475142"/>
    <w:rsid w:val="00477DF1"/>
    <w:rsid w:val="004809E5"/>
    <w:rsid w:val="004811CF"/>
    <w:rsid w:val="00481C2C"/>
    <w:rsid w:val="00482958"/>
    <w:rsid w:val="004844AE"/>
    <w:rsid w:val="00485B57"/>
    <w:rsid w:val="004863B2"/>
    <w:rsid w:val="004866C4"/>
    <w:rsid w:val="00487550"/>
    <w:rsid w:val="00487663"/>
    <w:rsid w:val="00487941"/>
    <w:rsid w:val="00490978"/>
    <w:rsid w:val="004926F4"/>
    <w:rsid w:val="00492897"/>
    <w:rsid w:val="004932F3"/>
    <w:rsid w:val="00493943"/>
    <w:rsid w:val="00493B66"/>
    <w:rsid w:val="004956EE"/>
    <w:rsid w:val="004973F8"/>
    <w:rsid w:val="00497E0D"/>
    <w:rsid w:val="004A010A"/>
    <w:rsid w:val="004A0158"/>
    <w:rsid w:val="004A1DE5"/>
    <w:rsid w:val="004A2A2F"/>
    <w:rsid w:val="004A2C98"/>
    <w:rsid w:val="004A2D85"/>
    <w:rsid w:val="004A3209"/>
    <w:rsid w:val="004A325A"/>
    <w:rsid w:val="004A3DBD"/>
    <w:rsid w:val="004A61E1"/>
    <w:rsid w:val="004A7030"/>
    <w:rsid w:val="004A738B"/>
    <w:rsid w:val="004A73A3"/>
    <w:rsid w:val="004B0427"/>
    <w:rsid w:val="004B0B9E"/>
    <w:rsid w:val="004B0C13"/>
    <w:rsid w:val="004B103F"/>
    <w:rsid w:val="004B2B4F"/>
    <w:rsid w:val="004B2DCA"/>
    <w:rsid w:val="004B4606"/>
    <w:rsid w:val="004B4B95"/>
    <w:rsid w:val="004B54B7"/>
    <w:rsid w:val="004B58FB"/>
    <w:rsid w:val="004B5909"/>
    <w:rsid w:val="004B5D86"/>
    <w:rsid w:val="004C08C2"/>
    <w:rsid w:val="004C1325"/>
    <w:rsid w:val="004C16CF"/>
    <w:rsid w:val="004C4D6C"/>
    <w:rsid w:val="004C6AB4"/>
    <w:rsid w:val="004C6F1F"/>
    <w:rsid w:val="004D05A1"/>
    <w:rsid w:val="004D0838"/>
    <w:rsid w:val="004D2112"/>
    <w:rsid w:val="004D3369"/>
    <w:rsid w:val="004D35F2"/>
    <w:rsid w:val="004D36BE"/>
    <w:rsid w:val="004D5CCD"/>
    <w:rsid w:val="004D6058"/>
    <w:rsid w:val="004D6A52"/>
    <w:rsid w:val="004D74C1"/>
    <w:rsid w:val="004E001F"/>
    <w:rsid w:val="004E138E"/>
    <w:rsid w:val="004E167B"/>
    <w:rsid w:val="004E16C0"/>
    <w:rsid w:val="004E243C"/>
    <w:rsid w:val="004E3DDD"/>
    <w:rsid w:val="004E45F2"/>
    <w:rsid w:val="004E59DE"/>
    <w:rsid w:val="004E5DFE"/>
    <w:rsid w:val="004E6F42"/>
    <w:rsid w:val="004E790A"/>
    <w:rsid w:val="004E7BBB"/>
    <w:rsid w:val="004F072A"/>
    <w:rsid w:val="004F0C48"/>
    <w:rsid w:val="004F1557"/>
    <w:rsid w:val="004F1A49"/>
    <w:rsid w:val="004F2425"/>
    <w:rsid w:val="004F2D22"/>
    <w:rsid w:val="004F2ECC"/>
    <w:rsid w:val="004F2F90"/>
    <w:rsid w:val="004F332E"/>
    <w:rsid w:val="004F394E"/>
    <w:rsid w:val="004F3B3A"/>
    <w:rsid w:val="004F4073"/>
    <w:rsid w:val="004F5B5F"/>
    <w:rsid w:val="004F6FCD"/>
    <w:rsid w:val="00500079"/>
    <w:rsid w:val="00500A2E"/>
    <w:rsid w:val="00502C84"/>
    <w:rsid w:val="005032DE"/>
    <w:rsid w:val="0050797A"/>
    <w:rsid w:val="0051087F"/>
    <w:rsid w:val="0051176B"/>
    <w:rsid w:val="005119EF"/>
    <w:rsid w:val="005127A9"/>
    <w:rsid w:val="00513636"/>
    <w:rsid w:val="00514C45"/>
    <w:rsid w:val="00515B96"/>
    <w:rsid w:val="00517F32"/>
    <w:rsid w:val="00520DD1"/>
    <w:rsid w:val="00521F79"/>
    <w:rsid w:val="00525377"/>
    <w:rsid w:val="00531518"/>
    <w:rsid w:val="00533046"/>
    <w:rsid w:val="0053550C"/>
    <w:rsid w:val="00536B91"/>
    <w:rsid w:val="00536C01"/>
    <w:rsid w:val="00536EB0"/>
    <w:rsid w:val="00537000"/>
    <w:rsid w:val="00537846"/>
    <w:rsid w:val="005408FF"/>
    <w:rsid w:val="0054357A"/>
    <w:rsid w:val="00543756"/>
    <w:rsid w:val="00543803"/>
    <w:rsid w:val="005446E7"/>
    <w:rsid w:val="005454B9"/>
    <w:rsid w:val="00545DF0"/>
    <w:rsid w:val="00546805"/>
    <w:rsid w:val="005471AE"/>
    <w:rsid w:val="00550F1C"/>
    <w:rsid w:val="005517E9"/>
    <w:rsid w:val="005533D5"/>
    <w:rsid w:val="00553921"/>
    <w:rsid w:val="00553CA1"/>
    <w:rsid w:val="0055438B"/>
    <w:rsid w:val="0055758C"/>
    <w:rsid w:val="00560C2B"/>
    <w:rsid w:val="00561767"/>
    <w:rsid w:val="005645E1"/>
    <w:rsid w:val="00565251"/>
    <w:rsid w:val="00566411"/>
    <w:rsid w:val="00566E50"/>
    <w:rsid w:val="00566E84"/>
    <w:rsid w:val="00567A41"/>
    <w:rsid w:val="00567C0D"/>
    <w:rsid w:val="005702C1"/>
    <w:rsid w:val="00571D69"/>
    <w:rsid w:val="005736D3"/>
    <w:rsid w:val="0057482F"/>
    <w:rsid w:val="00574DB5"/>
    <w:rsid w:val="0057522E"/>
    <w:rsid w:val="005758EF"/>
    <w:rsid w:val="00576D5D"/>
    <w:rsid w:val="00576F9C"/>
    <w:rsid w:val="00577394"/>
    <w:rsid w:val="00577B55"/>
    <w:rsid w:val="0058005E"/>
    <w:rsid w:val="00580623"/>
    <w:rsid w:val="0058095A"/>
    <w:rsid w:val="00582753"/>
    <w:rsid w:val="00582B0D"/>
    <w:rsid w:val="00582B99"/>
    <w:rsid w:val="00583DAF"/>
    <w:rsid w:val="00584094"/>
    <w:rsid w:val="005840FD"/>
    <w:rsid w:val="005842B3"/>
    <w:rsid w:val="00584E15"/>
    <w:rsid w:val="0058557E"/>
    <w:rsid w:val="00585671"/>
    <w:rsid w:val="00585B8F"/>
    <w:rsid w:val="00585F00"/>
    <w:rsid w:val="00586884"/>
    <w:rsid w:val="005876E2"/>
    <w:rsid w:val="00587839"/>
    <w:rsid w:val="00587A9D"/>
    <w:rsid w:val="005908A5"/>
    <w:rsid w:val="00590EF9"/>
    <w:rsid w:val="0059288A"/>
    <w:rsid w:val="00592BF8"/>
    <w:rsid w:val="00593592"/>
    <w:rsid w:val="00593801"/>
    <w:rsid w:val="00594470"/>
    <w:rsid w:val="00594D3D"/>
    <w:rsid w:val="00595361"/>
    <w:rsid w:val="00595848"/>
    <w:rsid w:val="00595E19"/>
    <w:rsid w:val="0059669C"/>
    <w:rsid w:val="005976A0"/>
    <w:rsid w:val="005A3A44"/>
    <w:rsid w:val="005A4ECE"/>
    <w:rsid w:val="005A6AC2"/>
    <w:rsid w:val="005A6E30"/>
    <w:rsid w:val="005A6F0E"/>
    <w:rsid w:val="005B06BB"/>
    <w:rsid w:val="005B1A9C"/>
    <w:rsid w:val="005B281F"/>
    <w:rsid w:val="005B4A0E"/>
    <w:rsid w:val="005B7572"/>
    <w:rsid w:val="005B7A64"/>
    <w:rsid w:val="005B7BA5"/>
    <w:rsid w:val="005B7E26"/>
    <w:rsid w:val="005C018C"/>
    <w:rsid w:val="005C2ACA"/>
    <w:rsid w:val="005C40DC"/>
    <w:rsid w:val="005C45C3"/>
    <w:rsid w:val="005C4863"/>
    <w:rsid w:val="005C52AD"/>
    <w:rsid w:val="005C6C30"/>
    <w:rsid w:val="005D06C1"/>
    <w:rsid w:val="005D1A63"/>
    <w:rsid w:val="005D1F63"/>
    <w:rsid w:val="005D40A9"/>
    <w:rsid w:val="005D477E"/>
    <w:rsid w:val="005D4F6C"/>
    <w:rsid w:val="005D56C6"/>
    <w:rsid w:val="005D5B0A"/>
    <w:rsid w:val="005D6D50"/>
    <w:rsid w:val="005D76E5"/>
    <w:rsid w:val="005E0F9A"/>
    <w:rsid w:val="005E1B53"/>
    <w:rsid w:val="005E46EE"/>
    <w:rsid w:val="005E6550"/>
    <w:rsid w:val="005F03CC"/>
    <w:rsid w:val="005F16AA"/>
    <w:rsid w:val="005F1861"/>
    <w:rsid w:val="005F18D0"/>
    <w:rsid w:val="005F273B"/>
    <w:rsid w:val="005F3ED5"/>
    <w:rsid w:val="005F5952"/>
    <w:rsid w:val="005F692A"/>
    <w:rsid w:val="005F7C3C"/>
    <w:rsid w:val="00600038"/>
    <w:rsid w:val="006012D2"/>
    <w:rsid w:val="006043FB"/>
    <w:rsid w:val="0060488E"/>
    <w:rsid w:val="00604D74"/>
    <w:rsid w:val="006066A9"/>
    <w:rsid w:val="00606BE2"/>
    <w:rsid w:val="00606E72"/>
    <w:rsid w:val="0061116C"/>
    <w:rsid w:val="006122DA"/>
    <w:rsid w:val="0061239D"/>
    <w:rsid w:val="00614161"/>
    <w:rsid w:val="0061433B"/>
    <w:rsid w:val="00616ADE"/>
    <w:rsid w:val="00617D52"/>
    <w:rsid w:val="00620298"/>
    <w:rsid w:val="00620554"/>
    <w:rsid w:val="00622513"/>
    <w:rsid w:val="00622CCA"/>
    <w:rsid w:val="00623594"/>
    <w:rsid w:val="00625187"/>
    <w:rsid w:val="006261DD"/>
    <w:rsid w:val="0063256A"/>
    <w:rsid w:val="00632959"/>
    <w:rsid w:val="00635B00"/>
    <w:rsid w:val="006360BD"/>
    <w:rsid w:val="00636395"/>
    <w:rsid w:val="00636EB6"/>
    <w:rsid w:val="0063745C"/>
    <w:rsid w:val="006375C5"/>
    <w:rsid w:val="006377DA"/>
    <w:rsid w:val="0064029F"/>
    <w:rsid w:val="006404D2"/>
    <w:rsid w:val="00642953"/>
    <w:rsid w:val="00643407"/>
    <w:rsid w:val="00643E74"/>
    <w:rsid w:val="00644640"/>
    <w:rsid w:val="00644D81"/>
    <w:rsid w:val="00645950"/>
    <w:rsid w:val="00645D31"/>
    <w:rsid w:val="00646574"/>
    <w:rsid w:val="00646B36"/>
    <w:rsid w:val="0064749A"/>
    <w:rsid w:val="00647F7A"/>
    <w:rsid w:val="006507A0"/>
    <w:rsid w:val="00650B89"/>
    <w:rsid w:val="006522BE"/>
    <w:rsid w:val="00652359"/>
    <w:rsid w:val="00652AAE"/>
    <w:rsid w:val="00653452"/>
    <w:rsid w:val="0065351F"/>
    <w:rsid w:val="00653AD4"/>
    <w:rsid w:val="00654757"/>
    <w:rsid w:val="006548D0"/>
    <w:rsid w:val="00655D0A"/>
    <w:rsid w:val="006561D3"/>
    <w:rsid w:val="0065684B"/>
    <w:rsid w:val="00661AE7"/>
    <w:rsid w:val="006640A5"/>
    <w:rsid w:val="00664E24"/>
    <w:rsid w:val="00666066"/>
    <w:rsid w:val="00666446"/>
    <w:rsid w:val="0066730A"/>
    <w:rsid w:val="006673E5"/>
    <w:rsid w:val="006716BD"/>
    <w:rsid w:val="00673692"/>
    <w:rsid w:val="006739D3"/>
    <w:rsid w:val="00674092"/>
    <w:rsid w:val="00674658"/>
    <w:rsid w:val="00675EA5"/>
    <w:rsid w:val="006765BC"/>
    <w:rsid w:val="006772D2"/>
    <w:rsid w:val="0067764E"/>
    <w:rsid w:val="00677807"/>
    <w:rsid w:val="0067792B"/>
    <w:rsid w:val="00677A56"/>
    <w:rsid w:val="00677AD7"/>
    <w:rsid w:val="00681CE9"/>
    <w:rsid w:val="00682367"/>
    <w:rsid w:val="00682EC2"/>
    <w:rsid w:val="00683105"/>
    <w:rsid w:val="00683E14"/>
    <w:rsid w:val="006869A5"/>
    <w:rsid w:val="006870EC"/>
    <w:rsid w:val="00687676"/>
    <w:rsid w:val="00692027"/>
    <w:rsid w:val="006929CB"/>
    <w:rsid w:val="0069303C"/>
    <w:rsid w:val="00693348"/>
    <w:rsid w:val="00693504"/>
    <w:rsid w:val="00696A9C"/>
    <w:rsid w:val="006977D4"/>
    <w:rsid w:val="006A0F09"/>
    <w:rsid w:val="006A15A2"/>
    <w:rsid w:val="006A1906"/>
    <w:rsid w:val="006A1A5E"/>
    <w:rsid w:val="006A1C73"/>
    <w:rsid w:val="006A3637"/>
    <w:rsid w:val="006A55FE"/>
    <w:rsid w:val="006A5D49"/>
    <w:rsid w:val="006A7204"/>
    <w:rsid w:val="006A72B0"/>
    <w:rsid w:val="006B0E29"/>
    <w:rsid w:val="006B109A"/>
    <w:rsid w:val="006B118F"/>
    <w:rsid w:val="006B1814"/>
    <w:rsid w:val="006B3C12"/>
    <w:rsid w:val="006B3D27"/>
    <w:rsid w:val="006B411B"/>
    <w:rsid w:val="006B487C"/>
    <w:rsid w:val="006B55B0"/>
    <w:rsid w:val="006B58AF"/>
    <w:rsid w:val="006B5B7D"/>
    <w:rsid w:val="006B727F"/>
    <w:rsid w:val="006C0D54"/>
    <w:rsid w:val="006C1D88"/>
    <w:rsid w:val="006C2D96"/>
    <w:rsid w:val="006C4D5D"/>
    <w:rsid w:val="006C693A"/>
    <w:rsid w:val="006D02D3"/>
    <w:rsid w:val="006D0A6F"/>
    <w:rsid w:val="006D22E8"/>
    <w:rsid w:val="006D25F5"/>
    <w:rsid w:val="006D5EC2"/>
    <w:rsid w:val="006D649D"/>
    <w:rsid w:val="006D7785"/>
    <w:rsid w:val="006D7853"/>
    <w:rsid w:val="006E17FB"/>
    <w:rsid w:val="006E2ADB"/>
    <w:rsid w:val="006E2C32"/>
    <w:rsid w:val="006E38D7"/>
    <w:rsid w:val="006E54FB"/>
    <w:rsid w:val="006E6811"/>
    <w:rsid w:val="006E7B84"/>
    <w:rsid w:val="006E7D5F"/>
    <w:rsid w:val="006E7FBA"/>
    <w:rsid w:val="006F00E0"/>
    <w:rsid w:val="006F01B7"/>
    <w:rsid w:val="006F02BA"/>
    <w:rsid w:val="006F33FB"/>
    <w:rsid w:val="006F42EC"/>
    <w:rsid w:val="006F4C10"/>
    <w:rsid w:val="006F5E63"/>
    <w:rsid w:val="006F6AB4"/>
    <w:rsid w:val="00700A6E"/>
    <w:rsid w:val="00700D63"/>
    <w:rsid w:val="007014B2"/>
    <w:rsid w:val="00701A4C"/>
    <w:rsid w:val="00702ECA"/>
    <w:rsid w:val="007041A5"/>
    <w:rsid w:val="007047F6"/>
    <w:rsid w:val="00704E2F"/>
    <w:rsid w:val="00706F68"/>
    <w:rsid w:val="00707616"/>
    <w:rsid w:val="007107F4"/>
    <w:rsid w:val="00711E02"/>
    <w:rsid w:val="00713D8B"/>
    <w:rsid w:val="00714C9C"/>
    <w:rsid w:val="007156EE"/>
    <w:rsid w:val="007161E5"/>
    <w:rsid w:val="00716784"/>
    <w:rsid w:val="00716AD7"/>
    <w:rsid w:val="0071742D"/>
    <w:rsid w:val="00717F06"/>
    <w:rsid w:val="00721C7F"/>
    <w:rsid w:val="0072201C"/>
    <w:rsid w:val="00723026"/>
    <w:rsid w:val="0072315A"/>
    <w:rsid w:val="007238BD"/>
    <w:rsid w:val="007239A8"/>
    <w:rsid w:val="0072432F"/>
    <w:rsid w:val="0072473F"/>
    <w:rsid w:val="00726300"/>
    <w:rsid w:val="0072656C"/>
    <w:rsid w:val="00726E13"/>
    <w:rsid w:val="007300D4"/>
    <w:rsid w:val="007301A4"/>
    <w:rsid w:val="00730BCC"/>
    <w:rsid w:val="00730F99"/>
    <w:rsid w:val="00732CEC"/>
    <w:rsid w:val="00733090"/>
    <w:rsid w:val="00733A4D"/>
    <w:rsid w:val="00733FD3"/>
    <w:rsid w:val="00735E36"/>
    <w:rsid w:val="00736224"/>
    <w:rsid w:val="00737BDB"/>
    <w:rsid w:val="00737DD8"/>
    <w:rsid w:val="00737EDB"/>
    <w:rsid w:val="007401A1"/>
    <w:rsid w:val="0074145A"/>
    <w:rsid w:val="007420E2"/>
    <w:rsid w:val="00743912"/>
    <w:rsid w:val="0074407D"/>
    <w:rsid w:val="00744CD0"/>
    <w:rsid w:val="0074507B"/>
    <w:rsid w:val="007461BE"/>
    <w:rsid w:val="0074645B"/>
    <w:rsid w:val="0074735C"/>
    <w:rsid w:val="00751EC1"/>
    <w:rsid w:val="007525C3"/>
    <w:rsid w:val="00752F14"/>
    <w:rsid w:val="00754541"/>
    <w:rsid w:val="00754B9B"/>
    <w:rsid w:val="00755DE5"/>
    <w:rsid w:val="00756D5C"/>
    <w:rsid w:val="007576C6"/>
    <w:rsid w:val="00757FE9"/>
    <w:rsid w:val="00760777"/>
    <w:rsid w:val="00761B32"/>
    <w:rsid w:val="0076403F"/>
    <w:rsid w:val="00764EA2"/>
    <w:rsid w:val="007656F2"/>
    <w:rsid w:val="00765C55"/>
    <w:rsid w:val="0076670C"/>
    <w:rsid w:val="00766C59"/>
    <w:rsid w:val="00766CAE"/>
    <w:rsid w:val="0077114C"/>
    <w:rsid w:val="007717BB"/>
    <w:rsid w:val="00772ADF"/>
    <w:rsid w:val="00773007"/>
    <w:rsid w:val="00773052"/>
    <w:rsid w:val="0077377F"/>
    <w:rsid w:val="00773D2D"/>
    <w:rsid w:val="0077412D"/>
    <w:rsid w:val="0077504B"/>
    <w:rsid w:val="0078196D"/>
    <w:rsid w:val="00783871"/>
    <w:rsid w:val="007844B4"/>
    <w:rsid w:val="00785BF5"/>
    <w:rsid w:val="00785DEE"/>
    <w:rsid w:val="00785E5F"/>
    <w:rsid w:val="00787C50"/>
    <w:rsid w:val="007912F2"/>
    <w:rsid w:val="0079167F"/>
    <w:rsid w:val="00793365"/>
    <w:rsid w:val="00793A0A"/>
    <w:rsid w:val="00796A61"/>
    <w:rsid w:val="007A0717"/>
    <w:rsid w:val="007A1021"/>
    <w:rsid w:val="007A155F"/>
    <w:rsid w:val="007A173D"/>
    <w:rsid w:val="007A37A3"/>
    <w:rsid w:val="007A4E80"/>
    <w:rsid w:val="007A529B"/>
    <w:rsid w:val="007A68E9"/>
    <w:rsid w:val="007A73A9"/>
    <w:rsid w:val="007B052F"/>
    <w:rsid w:val="007B2E93"/>
    <w:rsid w:val="007B3F5E"/>
    <w:rsid w:val="007B5474"/>
    <w:rsid w:val="007B66AB"/>
    <w:rsid w:val="007B77AA"/>
    <w:rsid w:val="007C030D"/>
    <w:rsid w:val="007C2250"/>
    <w:rsid w:val="007C23BE"/>
    <w:rsid w:val="007C3327"/>
    <w:rsid w:val="007C3B97"/>
    <w:rsid w:val="007C4C2B"/>
    <w:rsid w:val="007C5D7F"/>
    <w:rsid w:val="007C6F93"/>
    <w:rsid w:val="007D0E3B"/>
    <w:rsid w:val="007D11A4"/>
    <w:rsid w:val="007D1693"/>
    <w:rsid w:val="007D2829"/>
    <w:rsid w:val="007D32CB"/>
    <w:rsid w:val="007D3626"/>
    <w:rsid w:val="007D61A0"/>
    <w:rsid w:val="007D63A4"/>
    <w:rsid w:val="007D6839"/>
    <w:rsid w:val="007D732D"/>
    <w:rsid w:val="007D7796"/>
    <w:rsid w:val="007D77D3"/>
    <w:rsid w:val="007E0753"/>
    <w:rsid w:val="007E0ECA"/>
    <w:rsid w:val="007E0F89"/>
    <w:rsid w:val="007E1E36"/>
    <w:rsid w:val="007E2BD6"/>
    <w:rsid w:val="007E4297"/>
    <w:rsid w:val="007E493B"/>
    <w:rsid w:val="007E58AF"/>
    <w:rsid w:val="007E5E18"/>
    <w:rsid w:val="007E6065"/>
    <w:rsid w:val="007E63F2"/>
    <w:rsid w:val="007E68A4"/>
    <w:rsid w:val="007E6A3A"/>
    <w:rsid w:val="007E777F"/>
    <w:rsid w:val="007E78A4"/>
    <w:rsid w:val="007E7B55"/>
    <w:rsid w:val="007F0D2C"/>
    <w:rsid w:val="007F1132"/>
    <w:rsid w:val="007F30D6"/>
    <w:rsid w:val="007F5430"/>
    <w:rsid w:val="007F7066"/>
    <w:rsid w:val="007F717E"/>
    <w:rsid w:val="007F722C"/>
    <w:rsid w:val="007F7A83"/>
    <w:rsid w:val="008009B0"/>
    <w:rsid w:val="0080104C"/>
    <w:rsid w:val="00802B80"/>
    <w:rsid w:val="0080369F"/>
    <w:rsid w:val="00803B95"/>
    <w:rsid w:val="0080617E"/>
    <w:rsid w:val="008069D6"/>
    <w:rsid w:val="0080784C"/>
    <w:rsid w:val="00807A1D"/>
    <w:rsid w:val="00807AAD"/>
    <w:rsid w:val="00810FA4"/>
    <w:rsid w:val="00810FFC"/>
    <w:rsid w:val="00811BE5"/>
    <w:rsid w:val="008120DC"/>
    <w:rsid w:val="00813E9B"/>
    <w:rsid w:val="00814528"/>
    <w:rsid w:val="008148FB"/>
    <w:rsid w:val="00815D2C"/>
    <w:rsid w:val="00816338"/>
    <w:rsid w:val="00816504"/>
    <w:rsid w:val="008170CF"/>
    <w:rsid w:val="008203E3"/>
    <w:rsid w:val="00824850"/>
    <w:rsid w:val="00824CDE"/>
    <w:rsid w:val="00825F6C"/>
    <w:rsid w:val="0082600D"/>
    <w:rsid w:val="008276AA"/>
    <w:rsid w:val="00827BA3"/>
    <w:rsid w:val="0083069E"/>
    <w:rsid w:val="00831327"/>
    <w:rsid w:val="0083151D"/>
    <w:rsid w:val="00832332"/>
    <w:rsid w:val="00832ED6"/>
    <w:rsid w:val="00832F93"/>
    <w:rsid w:val="008332D1"/>
    <w:rsid w:val="00833823"/>
    <w:rsid w:val="00835E11"/>
    <w:rsid w:val="0083641D"/>
    <w:rsid w:val="008371FD"/>
    <w:rsid w:val="0084103E"/>
    <w:rsid w:val="00841D70"/>
    <w:rsid w:val="00841DC5"/>
    <w:rsid w:val="00842EB4"/>
    <w:rsid w:val="008445F0"/>
    <w:rsid w:val="00844FC3"/>
    <w:rsid w:val="0084508A"/>
    <w:rsid w:val="008452F5"/>
    <w:rsid w:val="008458DD"/>
    <w:rsid w:val="0084696B"/>
    <w:rsid w:val="008500F5"/>
    <w:rsid w:val="0085041F"/>
    <w:rsid w:val="008508D9"/>
    <w:rsid w:val="00850A32"/>
    <w:rsid w:val="008522DD"/>
    <w:rsid w:val="00853868"/>
    <w:rsid w:val="00854E30"/>
    <w:rsid w:val="00854E79"/>
    <w:rsid w:val="00855D6C"/>
    <w:rsid w:val="00855D97"/>
    <w:rsid w:val="00860663"/>
    <w:rsid w:val="00860CC5"/>
    <w:rsid w:val="0086198E"/>
    <w:rsid w:val="00861CDF"/>
    <w:rsid w:val="00861D5C"/>
    <w:rsid w:val="00862658"/>
    <w:rsid w:val="00862CED"/>
    <w:rsid w:val="008643FC"/>
    <w:rsid w:val="0086568F"/>
    <w:rsid w:val="00866C04"/>
    <w:rsid w:val="0086749B"/>
    <w:rsid w:val="00871883"/>
    <w:rsid w:val="00872817"/>
    <w:rsid w:val="00872D19"/>
    <w:rsid w:val="00877F83"/>
    <w:rsid w:val="008806D2"/>
    <w:rsid w:val="008816D4"/>
    <w:rsid w:val="00881C08"/>
    <w:rsid w:val="00881CA0"/>
    <w:rsid w:val="00882BEC"/>
    <w:rsid w:val="008832CA"/>
    <w:rsid w:val="00883C5C"/>
    <w:rsid w:val="00885091"/>
    <w:rsid w:val="008859EF"/>
    <w:rsid w:val="00887B5C"/>
    <w:rsid w:val="00890A79"/>
    <w:rsid w:val="00891C39"/>
    <w:rsid w:val="00892B07"/>
    <w:rsid w:val="0089350C"/>
    <w:rsid w:val="0089361B"/>
    <w:rsid w:val="008937CA"/>
    <w:rsid w:val="008947CF"/>
    <w:rsid w:val="00896698"/>
    <w:rsid w:val="00896752"/>
    <w:rsid w:val="00896C2C"/>
    <w:rsid w:val="00896FBF"/>
    <w:rsid w:val="00897503"/>
    <w:rsid w:val="008A10A2"/>
    <w:rsid w:val="008A125B"/>
    <w:rsid w:val="008A4012"/>
    <w:rsid w:val="008A66A3"/>
    <w:rsid w:val="008A6757"/>
    <w:rsid w:val="008A6E0B"/>
    <w:rsid w:val="008A770C"/>
    <w:rsid w:val="008B037A"/>
    <w:rsid w:val="008B1C21"/>
    <w:rsid w:val="008B215F"/>
    <w:rsid w:val="008B2E99"/>
    <w:rsid w:val="008B3274"/>
    <w:rsid w:val="008B369C"/>
    <w:rsid w:val="008B4423"/>
    <w:rsid w:val="008B460E"/>
    <w:rsid w:val="008B4F2C"/>
    <w:rsid w:val="008B576B"/>
    <w:rsid w:val="008B60E1"/>
    <w:rsid w:val="008B6D21"/>
    <w:rsid w:val="008B7726"/>
    <w:rsid w:val="008C12E3"/>
    <w:rsid w:val="008C13A1"/>
    <w:rsid w:val="008C210E"/>
    <w:rsid w:val="008C5EA1"/>
    <w:rsid w:val="008C5EA8"/>
    <w:rsid w:val="008D0FAF"/>
    <w:rsid w:val="008D12E4"/>
    <w:rsid w:val="008D263D"/>
    <w:rsid w:val="008D45FF"/>
    <w:rsid w:val="008D6302"/>
    <w:rsid w:val="008D7047"/>
    <w:rsid w:val="008D7777"/>
    <w:rsid w:val="008E071A"/>
    <w:rsid w:val="008E0BFA"/>
    <w:rsid w:val="008E128D"/>
    <w:rsid w:val="008E1E7A"/>
    <w:rsid w:val="008E32D2"/>
    <w:rsid w:val="008E393A"/>
    <w:rsid w:val="008E4E48"/>
    <w:rsid w:val="008E5D04"/>
    <w:rsid w:val="008E6821"/>
    <w:rsid w:val="008F1231"/>
    <w:rsid w:val="008F1DF1"/>
    <w:rsid w:val="008F36B7"/>
    <w:rsid w:val="008F4CCB"/>
    <w:rsid w:val="008F5EC2"/>
    <w:rsid w:val="008F6E40"/>
    <w:rsid w:val="009012E6"/>
    <w:rsid w:val="009014B6"/>
    <w:rsid w:val="009014C2"/>
    <w:rsid w:val="00901578"/>
    <w:rsid w:val="00902670"/>
    <w:rsid w:val="0090551B"/>
    <w:rsid w:val="009056ED"/>
    <w:rsid w:val="00905955"/>
    <w:rsid w:val="00907C17"/>
    <w:rsid w:val="009109C7"/>
    <w:rsid w:val="009121D5"/>
    <w:rsid w:val="009148B1"/>
    <w:rsid w:val="00915CA2"/>
    <w:rsid w:val="00916374"/>
    <w:rsid w:val="00916502"/>
    <w:rsid w:val="00916BF2"/>
    <w:rsid w:val="00920C2E"/>
    <w:rsid w:val="0092136F"/>
    <w:rsid w:val="009217E4"/>
    <w:rsid w:val="009228EC"/>
    <w:rsid w:val="00922A0E"/>
    <w:rsid w:val="009234D4"/>
    <w:rsid w:val="00923653"/>
    <w:rsid w:val="009236C7"/>
    <w:rsid w:val="009238CE"/>
    <w:rsid w:val="009245A8"/>
    <w:rsid w:val="00926058"/>
    <w:rsid w:val="009304BA"/>
    <w:rsid w:val="00931805"/>
    <w:rsid w:val="00933BFB"/>
    <w:rsid w:val="00934315"/>
    <w:rsid w:val="0093542B"/>
    <w:rsid w:val="009354E1"/>
    <w:rsid w:val="00936C53"/>
    <w:rsid w:val="00936E0C"/>
    <w:rsid w:val="00937412"/>
    <w:rsid w:val="00940D16"/>
    <w:rsid w:val="00941EC4"/>
    <w:rsid w:val="00942B04"/>
    <w:rsid w:val="009432C8"/>
    <w:rsid w:val="00945FA2"/>
    <w:rsid w:val="00947ACA"/>
    <w:rsid w:val="009501CF"/>
    <w:rsid w:val="00952D1F"/>
    <w:rsid w:val="00953572"/>
    <w:rsid w:val="00955F8E"/>
    <w:rsid w:val="009563D0"/>
    <w:rsid w:val="00956992"/>
    <w:rsid w:val="009573CF"/>
    <w:rsid w:val="00957404"/>
    <w:rsid w:val="009578B3"/>
    <w:rsid w:val="0096021E"/>
    <w:rsid w:val="0096079E"/>
    <w:rsid w:val="00960ED1"/>
    <w:rsid w:val="00963274"/>
    <w:rsid w:val="0096346C"/>
    <w:rsid w:val="00963DDC"/>
    <w:rsid w:val="00963EF4"/>
    <w:rsid w:val="009648E4"/>
    <w:rsid w:val="009674AE"/>
    <w:rsid w:val="00967946"/>
    <w:rsid w:val="009712EC"/>
    <w:rsid w:val="00972758"/>
    <w:rsid w:val="00972A4E"/>
    <w:rsid w:val="00972B7E"/>
    <w:rsid w:val="0097390D"/>
    <w:rsid w:val="009765B5"/>
    <w:rsid w:val="00976CC3"/>
    <w:rsid w:val="00977611"/>
    <w:rsid w:val="009778DA"/>
    <w:rsid w:val="00980246"/>
    <w:rsid w:val="009808A5"/>
    <w:rsid w:val="009857F7"/>
    <w:rsid w:val="00985C39"/>
    <w:rsid w:val="0098617D"/>
    <w:rsid w:val="00987031"/>
    <w:rsid w:val="00990284"/>
    <w:rsid w:val="00992214"/>
    <w:rsid w:val="00992283"/>
    <w:rsid w:val="00994C2F"/>
    <w:rsid w:val="00995772"/>
    <w:rsid w:val="009A1BC5"/>
    <w:rsid w:val="009A2296"/>
    <w:rsid w:val="009A24EA"/>
    <w:rsid w:val="009A2664"/>
    <w:rsid w:val="009A2C84"/>
    <w:rsid w:val="009A3BBA"/>
    <w:rsid w:val="009A4709"/>
    <w:rsid w:val="009A4FE5"/>
    <w:rsid w:val="009A5EC4"/>
    <w:rsid w:val="009A6452"/>
    <w:rsid w:val="009A770D"/>
    <w:rsid w:val="009B10F4"/>
    <w:rsid w:val="009B5F15"/>
    <w:rsid w:val="009B7C4B"/>
    <w:rsid w:val="009B7C6A"/>
    <w:rsid w:val="009C0826"/>
    <w:rsid w:val="009C08BB"/>
    <w:rsid w:val="009C0ADD"/>
    <w:rsid w:val="009C17D8"/>
    <w:rsid w:val="009C28F2"/>
    <w:rsid w:val="009C337D"/>
    <w:rsid w:val="009C37F0"/>
    <w:rsid w:val="009C540C"/>
    <w:rsid w:val="009C585F"/>
    <w:rsid w:val="009C758E"/>
    <w:rsid w:val="009D08A3"/>
    <w:rsid w:val="009D0B72"/>
    <w:rsid w:val="009D0F64"/>
    <w:rsid w:val="009D25B1"/>
    <w:rsid w:val="009D28B1"/>
    <w:rsid w:val="009D2D2E"/>
    <w:rsid w:val="009D3693"/>
    <w:rsid w:val="009D6608"/>
    <w:rsid w:val="009D6676"/>
    <w:rsid w:val="009D7C32"/>
    <w:rsid w:val="009E0AE9"/>
    <w:rsid w:val="009E151E"/>
    <w:rsid w:val="009E1A44"/>
    <w:rsid w:val="009E28ED"/>
    <w:rsid w:val="009E433E"/>
    <w:rsid w:val="009E7CA0"/>
    <w:rsid w:val="009F011D"/>
    <w:rsid w:val="009F2039"/>
    <w:rsid w:val="009F3A47"/>
    <w:rsid w:val="009F4409"/>
    <w:rsid w:val="009F5865"/>
    <w:rsid w:val="009F5C60"/>
    <w:rsid w:val="009F62A6"/>
    <w:rsid w:val="009F6A19"/>
    <w:rsid w:val="009F70B5"/>
    <w:rsid w:val="009F7B6C"/>
    <w:rsid w:val="00A005C4"/>
    <w:rsid w:val="00A00C1B"/>
    <w:rsid w:val="00A01DCD"/>
    <w:rsid w:val="00A02ACC"/>
    <w:rsid w:val="00A040AE"/>
    <w:rsid w:val="00A05505"/>
    <w:rsid w:val="00A05D85"/>
    <w:rsid w:val="00A0636F"/>
    <w:rsid w:val="00A07042"/>
    <w:rsid w:val="00A07A32"/>
    <w:rsid w:val="00A10198"/>
    <w:rsid w:val="00A10C82"/>
    <w:rsid w:val="00A11D52"/>
    <w:rsid w:val="00A14946"/>
    <w:rsid w:val="00A17CD3"/>
    <w:rsid w:val="00A22818"/>
    <w:rsid w:val="00A233EF"/>
    <w:rsid w:val="00A23CDD"/>
    <w:rsid w:val="00A24004"/>
    <w:rsid w:val="00A2459B"/>
    <w:rsid w:val="00A2465D"/>
    <w:rsid w:val="00A24A55"/>
    <w:rsid w:val="00A24D11"/>
    <w:rsid w:val="00A24E85"/>
    <w:rsid w:val="00A25595"/>
    <w:rsid w:val="00A25D98"/>
    <w:rsid w:val="00A267CD"/>
    <w:rsid w:val="00A27073"/>
    <w:rsid w:val="00A27361"/>
    <w:rsid w:val="00A27CE0"/>
    <w:rsid w:val="00A301F7"/>
    <w:rsid w:val="00A303C2"/>
    <w:rsid w:val="00A31C26"/>
    <w:rsid w:val="00A3296D"/>
    <w:rsid w:val="00A331CD"/>
    <w:rsid w:val="00A35E7A"/>
    <w:rsid w:val="00A37987"/>
    <w:rsid w:val="00A37D76"/>
    <w:rsid w:val="00A41077"/>
    <w:rsid w:val="00A41553"/>
    <w:rsid w:val="00A42231"/>
    <w:rsid w:val="00A42BDB"/>
    <w:rsid w:val="00A436BF"/>
    <w:rsid w:val="00A45EAF"/>
    <w:rsid w:val="00A46218"/>
    <w:rsid w:val="00A463AA"/>
    <w:rsid w:val="00A47296"/>
    <w:rsid w:val="00A47470"/>
    <w:rsid w:val="00A5038F"/>
    <w:rsid w:val="00A50DAC"/>
    <w:rsid w:val="00A51195"/>
    <w:rsid w:val="00A51DF9"/>
    <w:rsid w:val="00A51F6E"/>
    <w:rsid w:val="00A52214"/>
    <w:rsid w:val="00A53C85"/>
    <w:rsid w:val="00A54681"/>
    <w:rsid w:val="00A54AB7"/>
    <w:rsid w:val="00A54D4E"/>
    <w:rsid w:val="00A55CE4"/>
    <w:rsid w:val="00A56897"/>
    <w:rsid w:val="00A569D0"/>
    <w:rsid w:val="00A56FA7"/>
    <w:rsid w:val="00A572D0"/>
    <w:rsid w:val="00A5785D"/>
    <w:rsid w:val="00A57E35"/>
    <w:rsid w:val="00A60D18"/>
    <w:rsid w:val="00A62400"/>
    <w:rsid w:val="00A62B78"/>
    <w:rsid w:val="00A64109"/>
    <w:rsid w:val="00A641BE"/>
    <w:rsid w:val="00A64B08"/>
    <w:rsid w:val="00A65D12"/>
    <w:rsid w:val="00A67D58"/>
    <w:rsid w:val="00A71FEF"/>
    <w:rsid w:val="00A72988"/>
    <w:rsid w:val="00A7360C"/>
    <w:rsid w:val="00A73980"/>
    <w:rsid w:val="00A73BA6"/>
    <w:rsid w:val="00A75687"/>
    <w:rsid w:val="00A75F66"/>
    <w:rsid w:val="00A764AB"/>
    <w:rsid w:val="00A81E83"/>
    <w:rsid w:val="00A848C6"/>
    <w:rsid w:val="00A861B7"/>
    <w:rsid w:val="00A901CF"/>
    <w:rsid w:val="00A93BFF"/>
    <w:rsid w:val="00A93C91"/>
    <w:rsid w:val="00A944E6"/>
    <w:rsid w:val="00A9520B"/>
    <w:rsid w:val="00A95234"/>
    <w:rsid w:val="00A95B7D"/>
    <w:rsid w:val="00A95C9E"/>
    <w:rsid w:val="00A965DE"/>
    <w:rsid w:val="00A96BE5"/>
    <w:rsid w:val="00AA0F8E"/>
    <w:rsid w:val="00AA1A99"/>
    <w:rsid w:val="00AA2BC9"/>
    <w:rsid w:val="00AA2F1A"/>
    <w:rsid w:val="00AA34F3"/>
    <w:rsid w:val="00AA50EB"/>
    <w:rsid w:val="00AA51B2"/>
    <w:rsid w:val="00AA5A19"/>
    <w:rsid w:val="00AA6E65"/>
    <w:rsid w:val="00AA7E3A"/>
    <w:rsid w:val="00AB0E15"/>
    <w:rsid w:val="00AB137D"/>
    <w:rsid w:val="00AB20F6"/>
    <w:rsid w:val="00AB223E"/>
    <w:rsid w:val="00AB3D10"/>
    <w:rsid w:val="00AB3F2D"/>
    <w:rsid w:val="00AB4178"/>
    <w:rsid w:val="00AB485B"/>
    <w:rsid w:val="00AB6969"/>
    <w:rsid w:val="00AB6A88"/>
    <w:rsid w:val="00AC072F"/>
    <w:rsid w:val="00AC0CCE"/>
    <w:rsid w:val="00AC294A"/>
    <w:rsid w:val="00AC2E79"/>
    <w:rsid w:val="00AC3218"/>
    <w:rsid w:val="00AD06C7"/>
    <w:rsid w:val="00AD0F6B"/>
    <w:rsid w:val="00AD20CC"/>
    <w:rsid w:val="00AD2384"/>
    <w:rsid w:val="00AD3C77"/>
    <w:rsid w:val="00AD5CEE"/>
    <w:rsid w:val="00AD72A3"/>
    <w:rsid w:val="00AE1822"/>
    <w:rsid w:val="00AE1F70"/>
    <w:rsid w:val="00AE3736"/>
    <w:rsid w:val="00AE5C74"/>
    <w:rsid w:val="00AF0041"/>
    <w:rsid w:val="00AF2C66"/>
    <w:rsid w:val="00AF2D44"/>
    <w:rsid w:val="00AF37B4"/>
    <w:rsid w:val="00AF3F4A"/>
    <w:rsid w:val="00AF5AF4"/>
    <w:rsid w:val="00AF6C68"/>
    <w:rsid w:val="00AF7CE8"/>
    <w:rsid w:val="00B00321"/>
    <w:rsid w:val="00B004E2"/>
    <w:rsid w:val="00B0076B"/>
    <w:rsid w:val="00B00882"/>
    <w:rsid w:val="00B03685"/>
    <w:rsid w:val="00B05678"/>
    <w:rsid w:val="00B058CB"/>
    <w:rsid w:val="00B115AE"/>
    <w:rsid w:val="00B12EF4"/>
    <w:rsid w:val="00B13C4D"/>
    <w:rsid w:val="00B143C6"/>
    <w:rsid w:val="00B14C49"/>
    <w:rsid w:val="00B14E14"/>
    <w:rsid w:val="00B15353"/>
    <w:rsid w:val="00B1668E"/>
    <w:rsid w:val="00B16CFA"/>
    <w:rsid w:val="00B17421"/>
    <w:rsid w:val="00B17FFC"/>
    <w:rsid w:val="00B20739"/>
    <w:rsid w:val="00B239B0"/>
    <w:rsid w:val="00B256CF"/>
    <w:rsid w:val="00B25AD0"/>
    <w:rsid w:val="00B27114"/>
    <w:rsid w:val="00B306BC"/>
    <w:rsid w:val="00B3233E"/>
    <w:rsid w:val="00B32581"/>
    <w:rsid w:val="00B33BD4"/>
    <w:rsid w:val="00B33FCA"/>
    <w:rsid w:val="00B340CD"/>
    <w:rsid w:val="00B34369"/>
    <w:rsid w:val="00B34EF7"/>
    <w:rsid w:val="00B35A93"/>
    <w:rsid w:val="00B37099"/>
    <w:rsid w:val="00B406A6"/>
    <w:rsid w:val="00B406C6"/>
    <w:rsid w:val="00B418C9"/>
    <w:rsid w:val="00B4272C"/>
    <w:rsid w:val="00B43787"/>
    <w:rsid w:val="00B454ED"/>
    <w:rsid w:val="00B46371"/>
    <w:rsid w:val="00B47A55"/>
    <w:rsid w:val="00B5197B"/>
    <w:rsid w:val="00B51BD6"/>
    <w:rsid w:val="00B53566"/>
    <w:rsid w:val="00B53FEA"/>
    <w:rsid w:val="00B55FE5"/>
    <w:rsid w:val="00B56F1B"/>
    <w:rsid w:val="00B5705D"/>
    <w:rsid w:val="00B6196E"/>
    <w:rsid w:val="00B61A1A"/>
    <w:rsid w:val="00B632FC"/>
    <w:rsid w:val="00B63C1D"/>
    <w:rsid w:val="00B64157"/>
    <w:rsid w:val="00B64553"/>
    <w:rsid w:val="00B64B3C"/>
    <w:rsid w:val="00B64C2C"/>
    <w:rsid w:val="00B64C52"/>
    <w:rsid w:val="00B66DD6"/>
    <w:rsid w:val="00B6727F"/>
    <w:rsid w:val="00B673FF"/>
    <w:rsid w:val="00B67402"/>
    <w:rsid w:val="00B70146"/>
    <w:rsid w:val="00B70E00"/>
    <w:rsid w:val="00B72C02"/>
    <w:rsid w:val="00B72EBD"/>
    <w:rsid w:val="00B734CB"/>
    <w:rsid w:val="00B736E0"/>
    <w:rsid w:val="00B74CB4"/>
    <w:rsid w:val="00B76786"/>
    <w:rsid w:val="00B767ED"/>
    <w:rsid w:val="00B76BDB"/>
    <w:rsid w:val="00B77B19"/>
    <w:rsid w:val="00B800E4"/>
    <w:rsid w:val="00B80F87"/>
    <w:rsid w:val="00B83BA5"/>
    <w:rsid w:val="00B8499A"/>
    <w:rsid w:val="00B85111"/>
    <w:rsid w:val="00B862DC"/>
    <w:rsid w:val="00B87B58"/>
    <w:rsid w:val="00B90D51"/>
    <w:rsid w:val="00B91094"/>
    <w:rsid w:val="00B915C0"/>
    <w:rsid w:val="00B915E3"/>
    <w:rsid w:val="00B91EA7"/>
    <w:rsid w:val="00B92814"/>
    <w:rsid w:val="00B93DDA"/>
    <w:rsid w:val="00B94FAD"/>
    <w:rsid w:val="00B96379"/>
    <w:rsid w:val="00B9658A"/>
    <w:rsid w:val="00B9674C"/>
    <w:rsid w:val="00B96CA5"/>
    <w:rsid w:val="00BA0105"/>
    <w:rsid w:val="00BA09D8"/>
    <w:rsid w:val="00BA1A55"/>
    <w:rsid w:val="00BA2FCB"/>
    <w:rsid w:val="00BA35D3"/>
    <w:rsid w:val="00BA3E6F"/>
    <w:rsid w:val="00BA43E3"/>
    <w:rsid w:val="00BA47DD"/>
    <w:rsid w:val="00BA52E3"/>
    <w:rsid w:val="00BA6626"/>
    <w:rsid w:val="00BA7983"/>
    <w:rsid w:val="00BA7FBF"/>
    <w:rsid w:val="00BB0116"/>
    <w:rsid w:val="00BB0840"/>
    <w:rsid w:val="00BB0D7A"/>
    <w:rsid w:val="00BB0FA5"/>
    <w:rsid w:val="00BB1029"/>
    <w:rsid w:val="00BB19AE"/>
    <w:rsid w:val="00BB1F50"/>
    <w:rsid w:val="00BB2A04"/>
    <w:rsid w:val="00BB33A5"/>
    <w:rsid w:val="00BB6304"/>
    <w:rsid w:val="00BB77C7"/>
    <w:rsid w:val="00BB7A2E"/>
    <w:rsid w:val="00BB7B34"/>
    <w:rsid w:val="00BC04B6"/>
    <w:rsid w:val="00BC1315"/>
    <w:rsid w:val="00BC14A4"/>
    <w:rsid w:val="00BC1F61"/>
    <w:rsid w:val="00BC35F1"/>
    <w:rsid w:val="00BC4909"/>
    <w:rsid w:val="00BC4D94"/>
    <w:rsid w:val="00BC4DB1"/>
    <w:rsid w:val="00BC4E1E"/>
    <w:rsid w:val="00BC5FBA"/>
    <w:rsid w:val="00BC64A0"/>
    <w:rsid w:val="00BD0646"/>
    <w:rsid w:val="00BD084F"/>
    <w:rsid w:val="00BD0E3F"/>
    <w:rsid w:val="00BD163D"/>
    <w:rsid w:val="00BD177B"/>
    <w:rsid w:val="00BD197C"/>
    <w:rsid w:val="00BD19E0"/>
    <w:rsid w:val="00BD2478"/>
    <w:rsid w:val="00BD2732"/>
    <w:rsid w:val="00BD4828"/>
    <w:rsid w:val="00BD79A0"/>
    <w:rsid w:val="00BE0AE5"/>
    <w:rsid w:val="00BE0B26"/>
    <w:rsid w:val="00BE2436"/>
    <w:rsid w:val="00BE2789"/>
    <w:rsid w:val="00BE33E9"/>
    <w:rsid w:val="00BE34BC"/>
    <w:rsid w:val="00BE4CB1"/>
    <w:rsid w:val="00BE4D85"/>
    <w:rsid w:val="00BE5D79"/>
    <w:rsid w:val="00BE601C"/>
    <w:rsid w:val="00BE716A"/>
    <w:rsid w:val="00BF0BE3"/>
    <w:rsid w:val="00BF1B5F"/>
    <w:rsid w:val="00BF1BFF"/>
    <w:rsid w:val="00BF4051"/>
    <w:rsid w:val="00BF5311"/>
    <w:rsid w:val="00BF5DEA"/>
    <w:rsid w:val="00BF6473"/>
    <w:rsid w:val="00BF6A4E"/>
    <w:rsid w:val="00BF6FBA"/>
    <w:rsid w:val="00BF7555"/>
    <w:rsid w:val="00C00999"/>
    <w:rsid w:val="00C00B93"/>
    <w:rsid w:val="00C0345F"/>
    <w:rsid w:val="00C035EA"/>
    <w:rsid w:val="00C0376A"/>
    <w:rsid w:val="00C039ED"/>
    <w:rsid w:val="00C042FD"/>
    <w:rsid w:val="00C04585"/>
    <w:rsid w:val="00C0567B"/>
    <w:rsid w:val="00C065DD"/>
    <w:rsid w:val="00C067A1"/>
    <w:rsid w:val="00C075A1"/>
    <w:rsid w:val="00C0796E"/>
    <w:rsid w:val="00C1058E"/>
    <w:rsid w:val="00C10F92"/>
    <w:rsid w:val="00C122FE"/>
    <w:rsid w:val="00C12783"/>
    <w:rsid w:val="00C133B1"/>
    <w:rsid w:val="00C14B7B"/>
    <w:rsid w:val="00C20178"/>
    <w:rsid w:val="00C20AAC"/>
    <w:rsid w:val="00C20BBA"/>
    <w:rsid w:val="00C20FE0"/>
    <w:rsid w:val="00C210E8"/>
    <w:rsid w:val="00C21564"/>
    <w:rsid w:val="00C225B4"/>
    <w:rsid w:val="00C22BAC"/>
    <w:rsid w:val="00C24156"/>
    <w:rsid w:val="00C24263"/>
    <w:rsid w:val="00C247ED"/>
    <w:rsid w:val="00C264BD"/>
    <w:rsid w:val="00C2764A"/>
    <w:rsid w:val="00C334FC"/>
    <w:rsid w:val="00C34284"/>
    <w:rsid w:val="00C35406"/>
    <w:rsid w:val="00C36AB1"/>
    <w:rsid w:val="00C370D0"/>
    <w:rsid w:val="00C40B4F"/>
    <w:rsid w:val="00C414FE"/>
    <w:rsid w:val="00C425C9"/>
    <w:rsid w:val="00C43139"/>
    <w:rsid w:val="00C47F2A"/>
    <w:rsid w:val="00C50549"/>
    <w:rsid w:val="00C53621"/>
    <w:rsid w:val="00C53840"/>
    <w:rsid w:val="00C548B8"/>
    <w:rsid w:val="00C54BB7"/>
    <w:rsid w:val="00C552C3"/>
    <w:rsid w:val="00C57FB1"/>
    <w:rsid w:val="00C61F1C"/>
    <w:rsid w:val="00C62501"/>
    <w:rsid w:val="00C63B3A"/>
    <w:rsid w:val="00C6664C"/>
    <w:rsid w:val="00C667F2"/>
    <w:rsid w:val="00C705B0"/>
    <w:rsid w:val="00C70613"/>
    <w:rsid w:val="00C7174D"/>
    <w:rsid w:val="00C71A66"/>
    <w:rsid w:val="00C721F1"/>
    <w:rsid w:val="00C73FB8"/>
    <w:rsid w:val="00C74724"/>
    <w:rsid w:val="00C76054"/>
    <w:rsid w:val="00C77B60"/>
    <w:rsid w:val="00C77E1D"/>
    <w:rsid w:val="00C80F8A"/>
    <w:rsid w:val="00C8136A"/>
    <w:rsid w:val="00C82DBE"/>
    <w:rsid w:val="00C83854"/>
    <w:rsid w:val="00C848F6"/>
    <w:rsid w:val="00C86656"/>
    <w:rsid w:val="00C878F1"/>
    <w:rsid w:val="00C90656"/>
    <w:rsid w:val="00C908E6"/>
    <w:rsid w:val="00C932BC"/>
    <w:rsid w:val="00C941E1"/>
    <w:rsid w:val="00C95DE7"/>
    <w:rsid w:val="00C96D31"/>
    <w:rsid w:val="00C9713B"/>
    <w:rsid w:val="00CA015F"/>
    <w:rsid w:val="00CA1F07"/>
    <w:rsid w:val="00CA3B67"/>
    <w:rsid w:val="00CA3D57"/>
    <w:rsid w:val="00CA4548"/>
    <w:rsid w:val="00CA46A2"/>
    <w:rsid w:val="00CA4A6E"/>
    <w:rsid w:val="00CA5549"/>
    <w:rsid w:val="00CA558D"/>
    <w:rsid w:val="00CA62BC"/>
    <w:rsid w:val="00CA6938"/>
    <w:rsid w:val="00CA6FB6"/>
    <w:rsid w:val="00CA7C0F"/>
    <w:rsid w:val="00CB0C15"/>
    <w:rsid w:val="00CB1B7E"/>
    <w:rsid w:val="00CB2707"/>
    <w:rsid w:val="00CB3028"/>
    <w:rsid w:val="00CB35BE"/>
    <w:rsid w:val="00CB38D3"/>
    <w:rsid w:val="00CB4739"/>
    <w:rsid w:val="00CB4C6A"/>
    <w:rsid w:val="00CB4E1B"/>
    <w:rsid w:val="00CB547B"/>
    <w:rsid w:val="00CB54D6"/>
    <w:rsid w:val="00CB54DC"/>
    <w:rsid w:val="00CB7784"/>
    <w:rsid w:val="00CC0B04"/>
    <w:rsid w:val="00CC3791"/>
    <w:rsid w:val="00CC5D61"/>
    <w:rsid w:val="00CD038A"/>
    <w:rsid w:val="00CD0D69"/>
    <w:rsid w:val="00CD14BC"/>
    <w:rsid w:val="00CD3AB8"/>
    <w:rsid w:val="00CD49B7"/>
    <w:rsid w:val="00CD4A63"/>
    <w:rsid w:val="00CD52EB"/>
    <w:rsid w:val="00CD6539"/>
    <w:rsid w:val="00CD68FE"/>
    <w:rsid w:val="00CD6C71"/>
    <w:rsid w:val="00CD71F8"/>
    <w:rsid w:val="00CE03CE"/>
    <w:rsid w:val="00CE369A"/>
    <w:rsid w:val="00CE3C60"/>
    <w:rsid w:val="00CE500D"/>
    <w:rsid w:val="00CE50B3"/>
    <w:rsid w:val="00CE5A73"/>
    <w:rsid w:val="00CE68EB"/>
    <w:rsid w:val="00CE7A44"/>
    <w:rsid w:val="00CF2CD1"/>
    <w:rsid w:val="00CF4A78"/>
    <w:rsid w:val="00CF4AB7"/>
    <w:rsid w:val="00CF4DAF"/>
    <w:rsid w:val="00CF4E2B"/>
    <w:rsid w:val="00CF6874"/>
    <w:rsid w:val="00D00ABA"/>
    <w:rsid w:val="00D00BBE"/>
    <w:rsid w:val="00D0120C"/>
    <w:rsid w:val="00D02ADE"/>
    <w:rsid w:val="00D06141"/>
    <w:rsid w:val="00D06EFA"/>
    <w:rsid w:val="00D07FAB"/>
    <w:rsid w:val="00D10127"/>
    <w:rsid w:val="00D1055E"/>
    <w:rsid w:val="00D10E7C"/>
    <w:rsid w:val="00D11272"/>
    <w:rsid w:val="00D12423"/>
    <w:rsid w:val="00D1317D"/>
    <w:rsid w:val="00D149C3"/>
    <w:rsid w:val="00D1508B"/>
    <w:rsid w:val="00D15D84"/>
    <w:rsid w:val="00D16695"/>
    <w:rsid w:val="00D16B44"/>
    <w:rsid w:val="00D20199"/>
    <w:rsid w:val="00D21B02"/>
    <w:rsid w:val="00D21B76"/>
    <w:rsid w:val="00D21C2E"/>
    <w:rsid w:val="00D21ED4"/>
    <w:rsid w:val="00D22A14"/>
    <w:rsid w:val="00D24169"/>
    <w:rsid w:val="00D243D3"/>
    <w:rsid w:val="00D258E5"/>
    <w:rsid w:val="00D26A93"/>
    <w:rsid w:val="00D26D9F"/>
    <w:rsid w:val="00D26FAF"/>
    <w:rsid w:val="00D274D0"/>
    <w:rsid w:val="00D312C3"/>
    <w:rsid w:val="00D312C9"/>
    <w:rsid w:val="00D31D50"/>
    <w:rsid w:val="00D33107"/>
    <w:rsid w:val="00D34335"/>
    <w:rsid w:val="00D3469A"/>
    <w:rsid w:val="00D364A0"/>
    <w:rsid w:val="00D36697"/>
    <w:rsid w:val="00D3686D"/>
    <w:rsid w:val="00D36B4B"/>
    <w:rsid w:val="00D36C3A"/>
    <w:rsid w:val="00D36DF7"/>
    <w:rsid w:val="00D401AA"/>
    <w:rsid w:val="00D4072E"/>
    <w:rsid w:val="00D43139"/>
    <w:rsid w:val="00D43A36"/>
    <w:rsid w:val="00D43A6B"/>
    <w:rsid w:val="00D44387"/>
    <w:rsid w:val="00D44865"/>
    <w:rsid w:val="00D4549D"/>
    <w:rsid w:val="00D473AF"/>
    <w:rsid w:val="00D50C83"/>
    <w:rsid w:val="00D529CE"/>
    <w:rsid w:val="00D53329"/>
    <w:rsid w:val="00D536F1"/>
    <w:rsid w:val="00D5456C"/>
    <w:rsid w:val="00D54DE8"/>
    <w:rsid w:val="00D55A35"/>
    <w:rsid w:val="00D56818"/>
    <w:rsid w:val="00D56F46"/>
    <w:rsid w:val="00D64A48"/>
    <w:rsid w:val="00D64C1C"/>
    <w:rsid w:val="00D65D8B"/>
    <w:rsid w:val="00D67081"/>
    <w:rsid w:val="00D6744C"/>
    <w:rsid w:val="00D6744E"/>
    <w:rsid w:val="00D71096"/>
    <w:rsid w:val="00D7140A"/>
    <w:rsid w:val="00D71992"/>
    <w:rsid w:val="00D719FB"/>
    <w:rsid w:val="00D71B10"/>
    <w:rsid w:val="00D74E3D"/>
    <w:rsid w:val="00D7574F"/>
    <w:rsid w:val="00D75B11"/>
    <w:rsid w:val="00D77DE5"/>
    <w:rsid w:val="00D83C42"/>
    <w:rsid w:val="00D84865"/>
    <w:rsid w:val="00D85076"/>
    <w:rsid w:val="00D853BE"/>
    <w:rsid w:val="00D85915"/>
    <w:rsid w:val="00D85AAB"/>
    <w:rsid w:val="00D85D6F"/>
    <w:rsid w:val="00D903B4"/>
    <w:rsid w:val="00D90674"/>
    <w:rsid w:val="00D9123B"/>
    <w:rsid w:val="00D913A6"/>
    <w:rsid w:val="00D94C15"/>
    <w:rsid w:val="00D95EFD"/>
    <w:rsid w:val="00D9637F"/>
    <w:rsid w:val="00D9707B"/>
    <w:rsid w:val="00D97310"/>
    <w:rsid w:val="00D97CE6"/>
    <w:rsid w:val="00DA0C85"/>
    <w:rsid w:val="00DA1BF1"/>
    <w:rsid w:val="00DA2990"/>
    <w:rsid w:val="00DA469C"/>
    <w:rsid w:val="00DA503F"/>
    <w:rsid w:val="00DA55CC"/>
    <w:rsid w:val="00DA61AD"/>
    <w:rsid w:val="00DA6808"/>
    <w:rsid w:val="00DA6E7B"/>
    <w:rsid w:val="00DA778A"/>
    <w:rsid w:val="00DB083E"/>
    <w:rsid w:val="00DB0EB5"/>
    <w:rsid w:val="00DB0F3A"/>
    <w:rsid w:val="00DB4F05"/>
    <w:rsid w:val="00DB51F1"/>
    <w:rsid w:val="00DC020D"/>
    <w:rsid w:val="00DC08D9"/>
    <w:rsid w:val="00DC0C49"/>
    <w:rsid w:val="00DC0D16"/>
    <w:rsid w:val="00DC0DCC"/>
    <w:rsid w:val="00DC1455"/>
    <w:rsid w:val="00DC1874"/>
    <w:rsid w:val="00DC2DD6"/>
    <w:rsid w:val="00DC3A1C"/>
    <w:rsid w:val="00DC48FA"/>
    <w:rsid w:val="00DC5428"/>
    <w:rsid w:val="00DC58F9"/>
    <w:rsid w:val="00DC5912"/>
    <w:rsid w:val="00DC78A9"/>
    <w:rsid w:val="00DD055F"/>
    <w:rsid w:val="00DD12DB"/>
    <w:rsid w:val="00DD1348"/>
    <w:rsid w:val="00DD15D6"/>
    <w:rsid w:val="00DD3612"/>
    <w:rsid w:val="00DD64F0"/>
    <w:rsid w:val="00DD6B2D"/>
    <w:rsid w:val="00DD7C33"/>
    <w:rsid w:val="00DE1296"/>
    <w:rsid w:val="00DE26F0"/>
    <w:rsid w:val="00DE3424"/>
    <w:rsid w:val="00DE384D"/>
    <w:rsid w:val="00DE3BAE"/>
    <w:rsid w:val="00DE3D1E"/>
    <w:rsid w:val="00DE43F7"/>
    <w:rsid w:val="00DE4713"/>
    <w:rsid w:val="00DE6E37"/>
    <w:rsid w:val="00DE72EB"/>
    <w:rsid w:val="00DF0CD5"/>
    <w:rsid w:val="00DF1CEC"/>
    <w:rsid w:val="00DF3045"/>
    <w:rsid w:val="00DF3957"/>
    <w:rsid w:val="00DF414D"/>
    <w:rsid w:val="00DF5AB5"/>
    <w:rsid w:val="00DF6260"/>
    <w:rsid w:val="00DF66B9"/>
    <w:rsid w:val="00DF6B23"/>
    <w:rsid w:val="00E00513"/>
    <w:rsid w:val="00E00D71"/>
    <w:rsid w:val="00E01D9F"/>
    <w:rsid w:val="00E01EE2"/>
    <w:rsid w:val="00E026F0"/>
    <w:rsid w:val="00E05534"/>
    <w:rsid w:val="00E06D9A"/>
    <w:rsid w:val="00E10894"/>
    <w:rsid w:val="00E12E37"/>
    <w:rsid w:val="00E130FA"/>
    <w:rsid w:val="00E13235"/>
    <w:rsid w:val="00E1441C"/>
    <w:rsid w:val="00E14699"/>
    <w:rsid w:val="00E1521C"/>
    <w:rsid w:val="00E17ED5"/>
    <w:rsid w:val="00E200BF"/>
    <w:rsid w:val="00E21FD0"/>
    <w:rsid w:val="00E229C3"/>
    <w:rsid w:val="00E22A69"/>
    <w:rsid w:val="00E22D71"/>
    <w:rsid w:val="00E232A5"/>
    <w:rsid w:val="00E25B8A"/>
    <w:rsid w:val="00E266B4"/>
    <w:rsid w:val="00E31842"/>
    <w:rsid w:val="00E318C9"/>
    <w:rsid w:val="00E31BBC"/>
    <w:rsid w:val="00E31CB4"/>
    <w:rsid w:val="00E31F55"/>
    <w:rsid w:val="00E3433C"/>
    <w:rsid w:val="00E3434B"/>
    <w:rsid w:val="00E34BCA"/>
    <w:rsid w:val="00E34DA1"/>
    <w:rsid w:val="00E36D8A"/>
    <w:rsid w:val="00E40004"/>
    <w:rsid w:val="00E40A24"/>
    <w:rsid w:val="00E40CE1"/>
    <w:rsid w:val="00E40E4A"/>
    <w:rsid w:val="00E429AA"/>
    <w:rsid w:val="00E42D48"/>
    <w:rsid w:val="00E43242"/>
    <w:rsid w:val="00E44C6F"/>
    <w:rsid w:val="00E45D64"/>
    <w:rsid w:val="00E461E2"/>
    <w:rsid w:val="00E462A1"/>
    <w:rsid w:val="00E46E12"/>
    <w:rsid w:val="00E46F91"/>
    <w:rsid w:val="00E53E31"/>
    <w:rsid w:val="00E56265"/>
    <w:rsid w:val="00E56611"/>
    <w:rsid w:val="00E56E75"/>
    <w:rsid w:val="00E60CC2"/>
    <w:rsid w:val="00E6386E"/>
    <w:rsid w:val="00E650A5"/>
    <w:rsid w:val="00E665DC"/>
    <w:rsid w:val="00E666E7"/>
    <w:rsid w:val="00E668F5"/>
    <w:rsid w:val="00E67E0C"/>
    <w:rsid w:val="00E70247"/>
    <w:rsid w:val="00E7175B"/>
    <w:rsid w:val="00E72711"/>
    <w:rsid w:val="00E74D18"/>
    <w:rsid w:val="00E77F50"/>
    <w:rsid w:val="00E8032E"/>
    <w:rsid w:val="00E81C58"/>
    <w:rsid w:val="00E82629"/>
    <w:rsid w:val="00E82ABA"/>
    <w:rsid w:val="00E82BEF"/>
    <w:rsid w:val="00E83BE5"/>
    <w:rsid w:val="00E8485C"/>
    <w:rsid w:val="00E84DCD"/>
    <w:rsid w:val="00E85C62"/>
    <w:rsid w:val="00E85F93"/>
    <w:rsid w:val="00E8710D"/>
    <w:rsid w:val="00E876E6"/>
    <w:rsid w:val="00E90A02"/>
    <w:rsid w:val="00E92174"/>
    <w:rsid w:val="00E96D92"/>
    <w:rsid w:val="00E97281"/>
    <w:rsid w:val="00E9753A"/>
    <w:rsid w:val="00EA0312"/>
    <w:rsid w:val="00EA09BA"/>
    <w:rsid w:val="00EA12FC"/>
    <w:rsid w:val="00EA1928"/>
    <w:rsid w:val="00EA19A2"/>
    <w:rsid w:val="00EA2122"/>
    <w:rsid w:val="00EA27A6"/>
    <w:rsid w:val="00EA316D"/>
    <w:rsid w:val="00EA4817"/>
    <w:rsid w:val="00EA5B52"/>
    <w:rsid w:val="00EB0AE0"/>
    <w:rsid w:val="00EB10F7"/>
    <w:rsid w:val="00EB2A15"/>
    <w:rsid w:val="00EB3AC2"/>
    <w:rsid w:val="00EB3DBF"/>
    <w:rsid w:val="00EB45F3"/>
    <w:rsid w:val="00EB58FB"/>
    <w:rsid w:val="00EB5F47"/>
    <w:rsid w:val="00EB67C0"/>
    <w:rsid w:val="00EB754A"/>
    <w:rsid w:val="00EB7BF2"/>
    <w:rsid w:val="00EC016D"/>
    <w:rsid w:val="00EC13F1"/>
    <w:rsid w:val="00EC18DF"/>
    <w:rsid w:val="00EC1B8E"/>
    <w:rsid w:val="00EC1C9D"/>
    <w:rsid w:val="00EC2B54"/>
    <w:rsid w:val="00EC3894"/>
    <w:rsid w:val="00EC3F9A"/>
    <w:rsid w:val="00EC43BA"/>
    <w:rsid w:val="00ED05A6"/>
    <w:rsid w:val="00ED52F7"/>
    <w:rsid w:val="00ED5986"/>
    <w:rsid w:val="00ED5B70"/>
    <w:rsid w:val="00ED752A"/>
    <w:rsid w:val="00ED7A91"/>
    <w:rsid w:val="00EE04FF"/>
    <w:rsid w:val="00EE06E3"/>
    <w:rsid w:val="00EE23CD"/>
    <w:rsid w:val="00EE2920"/>
    <w:rsid w:val="00EE37D4"/>
    <w:rsid w:val="00EE3920"/>
    <w:rsid w:val="00EE47F3"/>
    <w:rsid w:val="00EE53D9"/>
    <w:rsid w:val="00EE5756"/>
    <w:rsid w:val="00EE6593"/>
    <w:rsid w:val="00EF02D6"/>
    <w:rsid w:val="00EF07E1"/>
    <w:rsid w:val="00EF1245"/>
    <w:rsid w:val="00EF2110"/>
    <w:rsid w:val="00EF2253"/>
    <w:rsid w:val="00EF4902"/>
    <w:rsid w:val="00EF54BF"/>
    <w:rsid w:val="00EF5665"/>
    <w:rsid w:val="00EF63D4"/>
    <w:rsid w:val="00EF6E1C"/>
    <w:rsid w:val="00EF7B27"/>
    <w:rsid w:val="00F007EA"/>
    <w:rsid w:val="00F0209E"/>
    <w:rsid w:val="00F02139"/>
    <w:rsid w:val="00F0279A"/>
    <w:rsid w:val="00F02B1C"/>
    <w:rsid w:val="00F02FC3"/>
    <w:rsid w:val="00F03A64"/>
    <w:rsid w:val="00F04218"/>
    <w:rsid w:val="00F043CC"/>
    <w:rsid w:val="00F04D86"/>
    <w:rsid w:val="00F06ACB"/>
    <w:rsid w:val="00F07BB1"/>
    <w:rsid w:val="00F1085D"/>
    <w:rsid w:val="00F13890"/>
    <w:rsid w:val="00F13C0F"/>
    <w:rsid w:val="00F14366"/>
    <w:rsid w:val="00F144C6"/>
    <w:rsid w:val="00F1472E"/>
    <w:rsid w:val="00F14BBA"/>
    <w:rsid w:val="00F14F2A"/>
    <w:rsid w:val="00F155DD"/>
    <w:rsid w:val="00F16D8E"/>
    <w:rsid w:val="00F20693"/>
    <w:rsid w:val="00F22714"/>
    <w:rsid w:val="00F22D38"/>
    <w:rsid w:val="00F23783"/>
    <w:rsid w:val="00F238B2"/>
    <w:rsid w:val="00F23A26"/>
    <w:rsid w:val="00F25BAD"/>
    <w:rsid w:val="00F25CB9"/>
    <w:rsid w:val="00F26B75"/>
    <w:rsid w:val="00F2729E"/>
    <w:rsid w:val="00F320BC"/>
    <w:rsid w:val="00F32580"/>
    <w:rsid w:val="00F32CFB"/>
    <w:rsid w:val="00F3328B"/>
    <w:rsid w:val="00F33469"/>
    <w:rsid w:val="00F343E3"/>
    <w:rsid w:val="00F35F6C"/>
    <w:rsid w:val="00F35FC0"/>
    <w:rsid w:val="00F401AF"/>
    <w:rsid w:val="00F4032B"/>
    <w:rsid w:val="00F40647"/>
    <w:rsid w:val="00F40CAB"/>
    <w:rsid w:val="00F418C3"/>
    <w:rsid w:val="00F41A87"/>
    <w:rsid w:val="00F42BB8"/>
    <w:rsid w:val="00F444C8"/>
    <w:rsid w:val="00F45556"/>
    <w:rsid w:val="00F468B3"/>
    <w:rsid w:val="00F46BF9"/>
    <w:rsid w:val="00F47032"/>
    <w:rsid w:val="00F5000C"/>
    <w:rsid w:val="00F52239"/>
    <w:rsid w:val="00F52400"/>
    <w:rsid w:val="00F54370"/>
    <w:rsid w:val="00F543FE"/>
    <w:rsid w:val="00F57061"/>
    <w:rsid w:val="00F57431"/>
    <w:rsid w:val="00F6019D"/>
    <w:rsid w:val="00F60A9F"/>
    <w:rsid w:val="00F621CA"/>
    <w:rsid w:val="00F62F17"/>
    <w:rsid w:val="00F63546"/>
    <w:rsid w:val="00F63E18"/>
    <w:rsid w:val="00F6429C"/>
    <w:rsid w:val="00F6439E"/>
    <w:rsid w:val="00F65174"/>
    <w:rsid w:val="00F661B6"/>
    <w:rsid w:val="00F66367"/>
    <w:rsid w:val="00F67279"/>
    <w:rsid w:val="00F672EF"/>
    <w:rsid w:val="00F67568"/>
    <w:rsid w:val="00F67DE3"/>
    <w:rsid w:val="00F67F70"/>
    <w:rsid w:val="00F707FF"/>
    <w:rsid w:val="00F712BA"/>
    <w:rsid w:val="00F738B6"/>
    <w:rsid w:val="00F739B0"/>
    <w:rsid w:val="00F74B9F"/>
    <w:rsid w:val="00F753EF"/>
    <w:rsid w:val="00F75427"/>
    <w:rsid w:val="00F7639D"/>
    <w:rsid w:val="00F7726E"/>
    <w:rsid w:val="00F77EC0"/>
    <w:rsid w:val="00F8277F"/>
    <w:rsid w:val="00F82917"/>
    <w:rsid w:val="00F82B13"/>
    <w:rsid w:val="00F82F7D"/>
    <w:rsid w:val="00F8320D"/>
    <w:rsid w:val="00F83820"/>
    <w:rsid w:val="00F8464C"/>
    <w:rsid w:val="00F84B8D"/>
    <w:rsid w:val="00F856AA"/>
    <w:rsid w:val="00F87320"/>
    <w:rsid w:val="00F876C7"/>
    <w:rsid w:val="00F90659"/>
    <w:rsid w:val="00F91EF2"/>
    <w:rsid w:val="00F92A18"/>
    <w:rsid w:val="00F92E1A"/>
    <w:rsid w:val="00F9390C"/>
    <w:rsid w:val="00F949EF"/>
    <w:rsid w:val="00F952A7"/>
    <w:rsid w:val="00F95A01"/>
    <w:rsid w:val="00F96880"/>
    <w:rsid w:val="00F96DAA"/>
    <w:rsid w:val="00F97719"/>
    <w:rsid w:val="00F97A76"/>
    <w:rsid w:val="00FA1652"/>
    <w:rsid w:val="00FA206D"/>
    <w:rsid w:val="00FA2C08"/>
    <w:rsid w:val="00FA448C"/>
    <w:rsid w:val="00FA5CC5"/>
    <w:rsid w:val="00FA61CC"/>
    <w:rsid w:val="00FB03D3"/>
    <w:rsid w:val="00FB0819"/>
    <w:rsid w:val="00FB0DBC"/>
    <w:rsid w:val="00FB2A57"/>
    <w:rsid w:val="00FB3732"/>
    <w:rsid w:val="00FB565B"/>
    <w:rsid w:val="00FB58FE"/>
    <w:rsid w:val="00FB64EE"/>
    <w:rsid w:val="00FB69F8"/>
    <w:rsid w:val="00FB70D8"/>
    <w:rsid w:val="00FB7E1D"/>
    <w:rsid w:val="00FC052D"/>
    <w:rsid w:val="00FC05AA"/>
    <w:rsid w:val="00FC0B18"/>
    <w:rsid w:val="00FC1BE4"/>
    <w:rsid w:val="00FC238F"/>
    <w:rsid w:val="00FC2431"/>
    <w:rsid w:val="00FC3A49"/>
    <w:rsid w:val="00FC3D9C"/>
    <w:rsid w:val="00FC3E5B"/>
    <w:rsid w:val="00FC47B8"/>
    <w:rsid w:val="00FC643D"/>
    <w:rsid w:val="00FC672A"/>
    <w:rsid w:val="00FC6D0A"/>
    <w:rsid w:val="00FC71EE"/>
    <w:rsid w:val="00FD0A2A"/>
    <w:rsid w:val="00FD0F9F"/>
    <w:rsid w:val="00FD1AED"/>
    <w:rsid w:val="00FD2A02"/>
    <w:rsid w:val="00FD34D5"/>
    <w:rsid w:val="00FD441D"/>
    <w:rsid w:val="00FD752C"/>
    <w:rsid w:val="00FD75BB"/>
    <w:rsid w:val="00FE1230"/>
    <w:rsid w:val="00FE2AF3"/>
    <w:rsid w:val="00FE36BA"/>
    <w:rsid w:val="00FE565B"/>
    <w:rsid w:val="00FE5AD0"/>
    <w:rsid w:val="00FE5B99"/>
    <w:rsid w:val="00FE60C0"/>
    <w:rsid w:val="00FE622A"/>
    <w:rsid w:val="00FE6D4F"/>
    <w:rsid w:val="00FE7D63"/>
    <w:rsid w:val="00FF087D"/>
    <w:rsid w:val="00FF1B04"/>
    <w:rsid w:val="00FF1D6C"/>
    <w:rsid w:val="00FF3AE6"/>
    <w:rsid w:val="00FF449E"/>
    <w:rsid w:val="00FF4A15"/>
    <w:rsid w:val="00FF4B6C"/>
    <w:rsid w:val="00FF5C28"/>
    <w:rsid w:val="00FF6CA5"/>
    <w:rsid w:val="01037C2C"/>
    <w:rsid w:val="01045BA1"/>
    <w:rsid w:val="0104655F"/>
    <w:rsid w:val="01057BA1"/>
    <w:rsid w:val="010827E0"/>
    <w:rsid w:val="010B53A3"/>
    <w:rsid w:val="010F5FF3"/>
    <w:rsid w:val="0110060F"/>
    <w:rsid w:val="01112EA3"/>
    <w:rsid w:val="011415F6"/>
    <w:rsid w:val="01143044"/>
    <w:rsid w:val="011A5FFF"/>
    <w:rsid w:val="011C3FCD"/>
    <w:rsid w:val="011D5477"/>
    <w:rsid w:val="01211AD4"/>
    <w:rsid w:val="01213882"/>
    <w:rsid w:val="012625F1"/>
    <w:rsid w:val="0128578F"/>
    <w:rsid w:val="012A6BDB"/>
    <w:rsid w:val="012B5B29"/>
    <w:rsid w:val="012C4DE7"/>
    <w:rsid w:val="012E2AB7"/>
    <w:rsid w:val="01320F1D"/>
    <w:rsid w:val="013217EC"/>
    <w:rsid w:val="013438BA"/>
    <w:rsid w:val="013567D5"/>
    <w:rsid w:val="01391D59"/>
    <w:rsid w:val="013B6FF3"/>
    <w:rsid w:val="013D0758"/>
    <w:rsid w:val="014632E9"/>
    <w:rsid w:val="0149006C"/>
    <w:rsid w:val="014E618A"/>
    <w:rsid w:val="015249D1"/>
    <w:rsid w:val="0153453C"/>
    <w:rsid w:val="01553717"/>
    <w:rsid w:val="01557DFD"/>
    <w:rsid w:val="015A4C66"/>
    <w:rsid w:val="015E052A"/>
    <w:rsid w:val="0160084E"/>
    <w:rsid w:val="016641C9"/>
    <w:rsid w:val="0169029A"/>
    <w:rsid w:val="016D7BE1"/>
    <w:rsid w:val="01701764"/>
    <w:rsid w:val="01710259"/>
    <w:rsid w:val="017165B7"/>
    <w:rsid w:val="017415E2"/>
    <w:rsid w:val="017912C4"/>
    <w:rsid w:val="017954DB"/>
    <w:rsid w:val="017A5EAB"/>
    <w:rsid w:val="0180147B"/>
    <w:rsid w:val="01834100"/>
    <w:rsid w:val="01840756"/>
    <w:rsid w:val="0185590C"/>
    <w:rsid w:val="01872593"/>
    <w:rsid w:val="01882C14"/>
    <w:rsid w:val="018A58CB"/>
    <w:rsid w:val="018C7D60"/>
    <w:rsid w:val="01907449"/>
    <w:rsid w:val="01943A91"/>
    <w:rsid w:val="019A6693"/>
    <w:rsid w:val="01A0602A"/>
    <w:rsid w:val="01A23B54"/>
    <w:rsid w:val="01A3073B"/>
    <w:rsid w:val="01A70FFF"/>
    <w:rsid w:val="01AA3877"/>
    <w:rsid w:val="01AC373F"/>
    <w:rsid w:val="01AC5569"/>
    <w:rsid w:val="01AD782D"/>
    <w:rsid w:val="01AE0F71"/>
    <w:rsid w:val="01B40578"/>
    <w:rsid w:val="01B44579"/>
    <w:rsid w:val="01B7698B"/>
    <w:rsid w:val="01B86B24"/>
    <w:rsid w:val="01BB3CD7"/>
    <w:rsid w:val="01BB7D22"/>
    <w:rsid w:val="01BD06C6"/>
    <w:rsid w:val="01BD7A4F"/>
    <w:rsid w:val="01C31752"/>
    <w:rsid w:val="01C65488"/>
    <w:rsid w:val="01C65BF6"/>
    <w:rsid w:val="01C80EB6"/>
    <w:rsid w:val="01C963F3"/>
    <w:rsid w:val="01C96FF2"/>
    <w:rsid w:val="01CD286C"/>
    <w:rsid w:val="01CF5308"/>
    <w:rsid w:val="01CF76F0"/>
    <w:rsid w:val="01D13A68"/>
    <w:rsid w:val="01D23EC3"/>
    <w:rsid w:val="01D728CA"/>
    <w:rsid w:val="01D803E5"/>
    <w:rsid w:val="01DD4C9B"/>
    <w:rsid w:val="01DF33B3"/>
    <w:rsid w:val="01E0330A"/>
    <w:rsid w:val="01E0373D"/>
    <w:rsid w:val="01E21263"/>
    <w:rsid w:val="01E41F59"/>
    <w:rsid w:val="01E77BCE"/>
    <w:rsid w:val="01EA1F76"/>
    <w:rsid w:val="01EB2CC1"/>
    <w:rsid w:val="01EB6966"/>
    <w:rsid w:val="01ED30B6"/>
    <w:rsid w:val="01F178BE"/>
    <w:rsid w:val="01F44EC9"/>
    <w:rsid w:val="01F64FFF"/>
    <w:rsid w:val="01F7607B"/>
    <w:rsid w:val="01FA737E"/>
    <w:rsid w:val="01FB2325"/>
    <w:rsid w:val="01FB7D71"/>
    <w:rsid w:val="020236B3"/>
    <w:rsid w:val="020845BF"/>
    <w:rsid w:val="02094F8F"/>
    <w:rsid w:val="020A7264"/>
    <w:rsid w:val="020C3DE9"/>
    <w:rsid w:val="02122FEF"/>
    <w:rsid w:val="02153CE9"/>
    <w:rsid w:val="02154CA5"/>
    <w:rsid w:val="021626E2"/>
    <w:rsid w:val="02165749"/>
    <w:rsid w:val="02166189"/>
    <w:rsid w:val="0219496B"/>
    <w:rsid w:val="021E05A5"/>
    <w:rsid w:val="02203F69"/>
    <w:rsid w:val="02216476"/>
    <w:rsid w:val="02247CA3"/>
    <w:rsid w:val="02250D4E"/>
    <w:rsid w:val="022610D6"/>
    <w:rsid w:val="022645B7"/>
    <w:rsid w:val="022651C4"/>
    <w:rsid w:val="022A6908"/>
    <w:rsid w:val="022C6982"/>
    <w:rsid w:val="022F0983"/>
    <w:rsid w:val="023068FC"/>
    <w:rsid w:val="02355837"/>
    <w:rsid w:val="02377CF5"/>
    <w:rsid w:val="023A6D05"/>
    <w:rsid w:val="023B1DEB"/>
    <w:rsid w:val="023C6C4D"/>
    <w:rsid w:val="023D293E"/>
    <w:rsid w:val="02405FFE"/>
    <w:rsid w:val="02420ECA"/>
    <w:rsid w:val="02445A7A"/>
    <w:rsid w:val="02454596"/>
    <w:rsid w:val="0247556A"/>
    <w:rsid w:val="024D60E8"/>
    <w:rsid w:val="024E3283"/>
    <w:rsid w:val="02525641"/>
    <w:rsid w:val="02577F7D"/>
    <w:rsid w:val="025C5D19"/>
    <w:rsid w:val="0261662C"/>
    <w:rsid w:val="02631B90"/>
    <w:rsid w:val="026954E1"/>
    <w:rsid w:val="026A0E8B"/>
    <w:rsid w:val="026A1FDB"/>
    <w:rsid w:val="026E23CA"/>
    <w:rsid w:val="026E6848"/>
    <w:rsid w:val="0270061D"/>
    <w:rsid w:val="027308E2"/>
    <w:rsid w:val="02730AE2"/>
    <w:rsid w:val="02746834"/>
    <w:rsid w:val="02755EC7"/>
    <w:rsid w:val="027B4222"/>
    <w:rsid w:val="027D71DE"/>
    <w:rsid w:val="027E44BC"/>
    <w:rsid w:val="0285777F"/>
    <w:rsid w:val="028C1A46"/>
    <w:rsid w:val="028F7325"/>
    <w:rsid w:val="02931AC2"/>
    <w:rsid w:val="02937321"/>
    <w:rsid w:val="02970962"/>
    <w:rsid w:val="02975096"/>
    <w:rsid w:val="029944AA"/>
    <w:rsid w:val="029C5905"/>
    <w:rsid w:val="029F2DC3"/>
    <w:rsid w:val="02A013F3"/>
    <w:rsid w:val="02A62291"/>
    <w:rsid w:val="02A84E4A"/>
    <w:rsid w:val="02AB7235"/>
    <w:rsid w:val="02B02538"/>
    <w:rsid w:val="02B349AE"/>
    <w:rsid w:val="02B43197"/>
    <w:rsid w:val="02BA2893"/>
    <w:rsid w:val="02BF0B4C"/>
    <w:rsid w:val="02BF0DBA"/>
    <w:rsid w:val="02C257E9"/>
    <w:rsid w:val="02C41084"/>
    <w:rsid w:val="02C60B85"/>
    <w:rsid w:val="02C97E14"/>
    <w:rsid w:val="02CA21C6"/>
    <w:rsid w:val="02CC0FD1"/>
    <w:rsid w:val="02CF2C58"/>
    <w:rsid w:val="02D7069C"/>
    <w:rsid w:val="02D707EC"/>
    <w:rsid w:val="02D74B40"/>
    <w:rsid w:val="02D768B7"/>
    <w:rsid w:val="02DD6157"/>
    <w:rsid w:val="02DE26F9"/>
    <w:rsid w:val="02DE2B6F"/>
    <w:rsid w:val="02E11AE0"/>
    <w:rsid w:val="02E50851"/>
    <w:rsid w:val="02E54480"/>
    <w:rsid w:val="02E64D83"/>
    <w:rsid w:val="02E96621"/>
    <w:rsid w:val="02EB19C5"/>
    <w:rsid w:val="02EC5A7C"/>
    <w:rsid w:val="02EE216A"/>
    <w:rsid w:val="02F12CCD"/>
    <w:rsid w:val="02F33E59"/>
    <w:rsid w:val="02F62CCF"/>
    <w:rsid w:val="02F8158C"/>
    <w:rsid w:val="02F84E08"/>
    <w:rsid w:val="02FA2BE0"/>
    <w:rsid w:val="02FC0103"/>
    <w:rsid w:val="02FE1410"/>
    <w:rsid w:val="02FE7768"/>
    <w:rsid w:val="03004097"/>
    <w:rsid w:val="03024952"/>
    <w:rsid w:val="03050A00"/>
    <w:rsid w:val="030623C6"/>
    <w:rsid w:val="03062D2F"/>
    <w:rsid w:val="03091B21"/>
    <w:rsid w:val="030B0224"/>
    <w:rsid w:val="030F6088"/>
    <w:rsid w:val="03122D96"/>
    <w:rsid w:val="03192206"/>
    <w:rsid w:val="031B1B8D"/>
    <w:rsid w:val="031E3826"/>
    <w:rsid w:val="031F2043"/>
    <w:rsid w:val="03212E56"/>
    <w:rsid w:val="03253D99"/>
    <w:rsid w:val="03265180"/>
    <w:rsid w:val="032A111E"/>
    <w:rsid w:val="033800E6"/>
    <w:rsid w:val="0339518E"/>
    <w:rsid w:val="033C4A3F"/>
    <w:rsid w:val="033C6EB4"/>
    <w:rsid w:val="033E696D"/>
    <w:rsid w:val="033E7601"/>
    <w:rsid w:val="0343745F"/>
    <w:rsid w:val="034675D0"/>
    <w:rsid w:val="034B64BE"/>
    <w:rsid w:val="034C3334"/>
    <w:rsid w:val="034D4819"/>
    <w:rsid w:val="034F4D7E"/>
    <w:rsid w:val="03534BE8"/>
    <w:rsid w:val="03563C91"/>
    <w:rsid w:val="035736A2"/>
    <w:rsid w:val="03595284"/>
    <w:rsid w:val="035B111D"/>
    <w:rsid w:val="035D3297"/>
    <w:rsid w:val="035E0DBD"/>
    <w:rsid w:val="035F19B9"/>
    <w:rsid w:val="03605BAF"/>
    <w:rsid w:val="0361015E"/>
    <w:rsid w:val="03640B25"/>
    <w:rsid w:val="036F12BA"/>
    <w:rsid w:val="037209BC"/>
    <w:rsid w:val="0376674B"/>
    <w:rsid w:val="037A1377"/>
    <w:rsid w:val="037C3B74"/>
    <w:rsid w:val="0380531D"/>
    <w:rsid w:val="03832D41"/>
    <w:rsid w:val="0383568D"/>
    <w:rsid w:val="0385459C"/>
    <w:rsid w:val="03890E92"/>
    <w:rsid w:val="038A1BB2"/>
    <w:rsid w:val="038B56E3"/>
    <w:rsid w:val="038F0ED6"/>
    <w:rsid w:val="0393705B"/>
    <w:rsid w:val="03966DCD"/>
    <w:rsid w:val="03974937"/>
    <w:rsid w:val="03A24591"/>
    <w:rsid w:val="03A74512"/>
    <w:rsid w:val="03A84E8E"/>
    <w:rsid w:val="03A86C10"/>
    <w:rsid w:val="03AA10FA"/>
    <w:rsid w:val="03AA2416"/>
    <w:rsid w:val="03AD63E7"/>
    <w:rsid w:val="03AF0F38"/>
    <w:rsid w:val="03B24E15"/>
    <w:rsid w:val="03B804CE"/>
    <w:rsid w:val="03B82C9A"/>
    <w:rsid w:val="03B86D45"/>
    <w:rsid w:val="03BF51F0"/>
    <w:rsid w:val="03C57C7E"/>
    <w:rsid w:val="03C70949"/>
    <w:rsid w:val="03C76DE3"/>
    <w:rsid w:val="03C85C0F"/>
    <w:rsid w:val="03CA0201"/>
    <w:rsid w:val="03CE6E4F"/>
    <w:rsid w:val="03CF6D60"/>
    <w:rsid w:val="03D268E3"/>
    <w:rsid w:val="03D764CA"/>
    <w:rsid w:val="03D876B7"/>
    <w:rsid w:val="03DE3CAC"/>
    <w:rsid w:val="03DF5AB3"/>
    <w:rsid w:val="03E709FC"/>
    <w:rsid w:val="03EB43AB"/>
    <w:rsid w:val="03F1578E"/>
    <w:rsid w:val="03F60FF6"/>
    <w:rsid w:val="03F77E3A"/>
    <w:rsid w:val="03F913C3"/>
    <w:rsid w:val="03FA0355"/>
    <w:rsid w:val="040000C7"/>
    <w:rsid w:val="04032D90"/>
    <w:rsid w:val="040E35EA"/>
    <w:rsid w:val="040E60A0"/>
    <w:rsid w:val="04133956"/>
    <w:rsid w:val="041476CE"/>
    <w:rsid w:val="041A6A20"/>
    <w:rsid w:val="041C4B06"/>
    <w:rsid w:val="041C5679"/>
    <w:rsid w:val="041E5351"/>
    <w:rsid w:val="041F37EB"/>
    <w:rsid w:val="04253689"/>
    <w:rsid w:val="042773C8"/>
    <w:rsid w:val="042B6D8D"/>
    <w:rsid w:val="042F0B9E"/>
    <w:rsid w:val="0430275A"/>
    <w:rsid w:val="04311071"/>
    <w:rsid w:val="04336617"/>
    <w:rsid w:val="04361DF1"/>
    <w:rsid w:val="04390C67"/>
    <w:rsid w:val="043C4306"/>
    <w:rsid w:val="043D6C25"/>
    <w:rsid w:val="044116F5"/>
    <w:rsid w:val="04411787"/>
    <w:rsid w:val="04436BCB"/>
    <w:rsid w:val="044848CB"/>
    <w:rsid w:val="044B692A"/>
    <w:rsid w:val="044B7AF3"/>
    <w:rsid w:val="044E5B8B"/>
    <w:rsid w:val="045412C8"/>
    <w:rsid w:val="04573CA6"/>
    <w:rsid w:val="045A4412"/>
    <w:rsid w:val="045B70AB"/>
    <w:rsid w:val="045F303F"/>
    <w:rsid w:val="045F529B"/>
    <w:rsid w:val="045F771A"/>
    <w:rsid w:val="0462136A"/>
    <w:rsid w:val="04642A19"/>
    <w:rsid w:val="046850E4"/>
    <w:rsid w:val="046B7BAB"/>
    <w:rsid w:val="046C750A"/>
    <w:rsid w:val="046D71A3"/>
    <w:rsid w:val="046E3AA9"/>
    <w:rsid w:val="046F7458"/>
    <w:rsid w:val="047067D9"/>
    <w:rsid w:val="04711AFA"/>
    <w:rsid w:val="047210F8"/>
    <w:rsid w:val="04732647"/>
    <w:rsid w:val="0475016D"/>
    <w:rsid w:val="047B2144"/>
    <w:rsid w:val="047C774D"/>
    <w:rsid w:val="047D3D3F"/>
    <w:rsid w:val="0480457E"/>
    <w:rsid w:val="048916B0"/>
    <w:rsid w:val="048A1E93"/>
    <w:rsid w:val="048B3138"/>
    <w:rsid w:val="048D195A"/>
    <w:rsid w:val="049311E7"/>
    <w:rsid w:val="049411F7"/>
    <w:rsid w:val="04970DF6"/>
    <w:rsid w:val="049727D9"/>
    <w:rsid w:val="04974587"/>
    <w:rsid w:val="049878C2"/>
    <w:rsid w:val="049960C7"/>
    <w:rsid w:val="049A4077"/>
    <w:rsid w:val="049D069F"/>
    <w:rsid w:val="049F410F"/>
    <w:rsid w:val="04A27D79"/>
    <w:rsid w:val="04A8074F"/>
    <w:rsid w:val="04AB46CC"/>
    <w:rsid w:val="04AC30BC"/>
    <w:rsid w:val="04AE1728"/>
    <w:rsid w:val="04AF6114"/>
    <w:rsid w:val="04B22EF5"/>
    <w:rsid w:val="04B43B4D"/>
    <w:rsid w:val="04B52C5F"/>
    <w:rsid w:val="04B80D8B"/>
    <w:rsid w:val="04BA0275"/>
    <w:rsid w:val="04BA42F7"/>
    <w:rsid w:val="04BC1D77"/>
    <w:rsid w:val="04BD3815"/>
    <w:rsid w:val="04BE6AE8"/>
    <w:rsid w:val="04C43D43"/>
    <w:rsid w:val="04C674E6"/>
    <w:rsid w:val="04C91CFE"/>
    <w:rsid w:val="04CB224B"/>
    <w:rsid w:val="04D26A80"/>
    <w:rsid w:val="04D330E5"/>
    <w:rsid w:val="04D43368"/>
    <w:rsid w:val="04D53370"/>
    <w:rsid w:val="04D65E08"/>
    <w:rsid w:val="04DE344A"/>
    <w:rsid w:val="04E26926"/>
    <w:rsid w:val="04E815A4"/>
    <w:rsid w:val="04EA3354"/>
    <w:rsid w:val="04EB6681"/>
    <w:rsid w:val="04EE7F1F"/>
    <w:rsid w:val="04F2566D"/>
    <w:rsid w:val="04F8597E"/>
    <w:rsid w:val="04FF48FF"/>
    <w:rsid w:val="05010585"/>
    <w:rsid w:val="05016799"/>
    <w:rsid w:val="0502654D"/>
    <w:rsid w:val="050339F3"/>
    <w:rsid w:val="05062D63"/>
    <w:rsid w:val="050C1D14"/>
    <w:rsid w:val="05117C24"/>
    <w:rsid w:val="051230FA"/>
    <w:rsid w:val="05127A48"/>
    <w:rsid w:val="051457E4"/>
    <w:rsid w:val="05186ECA"/>
    <w:rsid w:val="05263BD8"/>
    <w:rsid w:val="05271493"/>
    <w:rsid w:val="052848AB"/>
    <w:rsid w:val="052B014F"/>
    <w:rsid w:val="052D4E96"/>
    <w:rsid w:val="05302066"/>
    <w:rsid w:val="053161CB"/>
    <w:rsid w:val="05367E8F"/>
    <w:rsid w:val="05394EAB"/>
    <w:rsid w:val="0539563E"/>
    <w:rsid w:val="053F352D"/>
    <w:rsid w:val="054042AA"/>
    <w:rsid w:val="054275BD"/>
    <w:rsid w:val="0543590B"/>
    <w:rsid w:val="054501CE"/>
    <w:rsid w:val="05467D5B"/>
    <w:rsid w:val="054A3D4D"/>
    <w:rsid w:val="054C4B37"/>
    <w:rsid w:val="054D483F"/>
    <w:rsid w:val="05502B8B"/>
    <w:rsid w:val="055354B1"/>
    <w:rsid w:val="05552D8B"/>
    <w:rsid w:val="05573A7D"/>
    <w:rsid w:val="055E1743"/>
    <w:rsid w:val="05625102"/>
    <w:rsid w:val="056778C9"/>
    <w:rsid w:val="056974B0"/>
    <w:rsid w:val="056A4774"/>
    <w:rsid w:val="056B511B"/>
    <w:rsid w:val="056B60EB"/>
    <w:rsid w:val="05704DD8"/>
    <w:rsid w:val="0571302A"/>
    <w:rsid w:val="05726E66"/>
    <w:rsid w:val="05760640"/>
    <w:rsid w:val="05764F09"/>
    <w:rsid w:val="05791EDF"/>
    <w:rsid w:val="057C06B0"/>
    <w:rsid w:val="057C19CF"/>
    <w:rsid w:val="057C2FA4"/>
    <w:rsid w:val="058032C8"/>
    <w:rsid w:val="05805036"/>
    <w:rsid w:val="0581119A"/>
    <w:rsid w:val="058F27D5"/>
    <w:rsid w:val="058F6FFD"/>
    <w:rsid w:val="05934239"/>
    <w:rsid w:val="05976809"/>
    <w:rsid w:val="059B21D1"/>
    <w:rsid w:val="059E5125"/>
    <w:rsid w:val="059E7B97"/>
    <w:rsid w:val="05A11650"/>
    <w:rsid w:val="05A13031"/>
    <w:rsid w:val="05A611F3"/>
    <w:rsid w:val="05A868AA"/>
    <w:rsid w:val="05AA653C"/>
    <w:rsid w:val="05B04AE5"/>
    <w:rsid w:val="05B60A3D"/>
    <w:rsid w:val="05B62288"/>
    <w:rsid w:val="05B762BF"/>
    <w:rsid w:val="05B9677F"/>
    <w:rsid w:val="05BA0275"/>
    <w:rsid w:val="05BA57BC"/>
    <w:rsid w:val="05BA7EFA"/>
    <w:rsid w:val="05BB42A5"/>
    <w:rsid w:val="05BD6A55"/>
    <w:rsid w:val="05BF46DF"/>
    <w:rsid w:val="05C537B7"/>
    <w:rsid w:val="05C91554"/>
    <w:rsid w:val="05CA098C"/>
    <w:rsid w:val="05CA248E"/>
    <w:rsid w:val="05CD222A"/>
    <w:rsid w:val="05D61CCD"/>
    <w:rsid w:val="05DC421B"/>
    <w:rsid w:val="05DE1D42"/>
    <w:rsid w:val="05E8565F"/>
    <w:rsid w:val="05EC21DA"/>
    <w:rsid w:val="05F57AC3"/>
    <w:rsid w:val="05F6352F"/>
    <w:rsid w:val="06017E9D"/>
    <w:rsid w:val="06057BB5"/>
    <w:rsid w:val="06067259"/>
    <w:rsid w:val="06074925"/>
    <w:rsid w:val="06074D02"/>
    <w:rsid w:val="060D24B4"/>
    <w:rsid w:val="061106AA"/>
    <w:rsid w:val="06120286"/>
    <w:rsid w:val="06131024"/>
    <w:rsid w:val="06156D08"/>
    <w:rsid w:val="061610B4"/>
    <w:rsid w:val="06170C41"/>
    <w:rsid w:val="06174205"/>
    <w:rsid w:val="0619721E"/>
    <w:rsid w:val="061A259D"/>
    <w:rsid w:val="061C329C"/>
    <w:rsid w:val="061E7E97"/>
    <w:rsid w:val="062525DB"/>
    <w:rsid w:val="062B070D"/>
    <w:rsid w:val="062E3CC8"/>
    <w:rsid w:val="06310D4C"/>
    <w:rsid w:val="06316315"/>
    <w:rsid w:val="0634258E"/>
    <w:rsid w:val="06352BAA"/>
    <w:rsid w:val="06357213"/>
    <w:rsid w:val="06362943"/>
    <w:rsid w:val="063841F1"/>
    <w:rsid w:val="063B50B3"/>
    <w:rsid w:val="063C232D"/>
    <w:rsid w:val="063C5124"/>
    <w:rsid w:val="063D318D"/>
    <w:rsid w:val="063D4CBA"/>
    <w:rsid w:val="06411CD3"/>
    <w:rsid w:val="06425679"/>
    <w:rsid w:val="0642584F"/>
    <w:rsid w:val="06445B8B"/>
    <w:rsid w:val="06497B03"/>
    <w:rsid w:val="064A387B"/>
    <w:rsid w:val="064C1461"/>
    <w:rsid w:val="064D35D2"/>
    <w:rsid w:val="06524195"/>
    <w:rsid w:val="065266CC"/>
    <w:rsid w:val="06562019"/>
    <w:rsid w:val="06567466"/>
    <w:rsid w:val="06574322"/>
    <w:rsid w:val="06691A52"/>
    <w:rsid w:val="066A1827"/>
    <w:rsid w:val="066B6987"/>
    <w:rsid w:val="066E152E"/>
    <w:rsid w:val="066E4277"/>
    <w:rsid w:val="067E68AC"/>
    <w:rsid w:val="067F52D3"/>
    <w:rsid w:val="06807E43"/>
    <w:rsid w:val="06840E03"/>
    <w:rsid w:val="068842D8"/>
    <w:rsid w:val="068B12C2"/>
    <w:rsid w:val="068E19BA"/>
    <w:rsid w:val="068E1B66"/>
    <w:rsid w:val="06903285"/>
    <w:rsid w:val="06924F1E"/>
    <w:rsid w:val="06955889"/>
    <w:rsid w:val="06972CCF"/>
    <w:rsid w:val="069F1D96"/>
    <w:rsid w:val="06A26552"/>
    <w:rsid w:val="06A27E25"/>
    <w:rsid w:val="06A62A60"/>
    <w:rsid w:val="06AB60C8"/>
    <w:rsid w:val="06AC0458"/>
    <w:rsid w:val="06AE5AD0"/>
    <w:rsid w:val="06BF1DF1"/>
    <w:rsid w:val="06C44F9D"/>
    <w:rsid w:val="06C573C2"/>
    <w:rsid w:val="06CE0008"/>
    <w:rsid w:val="06D07F2E"/>
    <w:rsid w:val="06D31D62"/>
    <w:rsid w:val="06D5195D"/>
    <w:rsid w:val="06D52D5C"/>
    <w:rsid w:val="06D6041A"/>
    <w:rsid w:val="06D617E5"/>
    <w:rsid w:val="06D64668"/>
    <w:rsid w:val="06DA2308"/>
    <w:rsid w:val="06DA2DCB"/>
    <w:rsid w:val="06DB2D59"/>
    <w:rsid w:val="06DB7090"/>
    <w:rsid w:val="06DC5318"/>
    <w:rsid w:val="06DF3FC3"/>
    <w:rsid w:val="06DF4944"/>
    <w:rsid w:val="06E104F8"/>
    <w:rsid w:val="06E27F0A"/>
    <w:rsid w:val="06E66B12"/>
    <w:rsid w:val="06E800B1"/>
    <w:rsid w:val="06E80E6D"/>
    <w:rsid w:val="06EA1AB4"/>
    <w:rsid w:val="06EA529A"/>
    <w:rsid w:val="06EC6C65"/>
    <w:rsid w:val="06F21430"/>
    <w:rsid w:val="06F34BE6"/>
    <w:rsid w:val="06F46A5E"/>
    <w:rsid w:val="06F76C21"/>
    <w:rsid w:val="070223ED"/>
    <w:rsid w:val="0705501D"/>
    <w:rsid w:val="07075E84"/>
    <w:rsid w:val="07093B31"/>
    <w:rsid w:val="070B509F"/>
    <w:rsid w:val="070D4788"/>
    <w:rsid w:val="070D56C7"/>
    <w:rsid w:val="070D71BA"/>
    <w:rsid w:val="071165A4"/>
    <w:rsid w:val="07120A5E"/>
    <w:rsid w:val="07124399"/>
    <w:rsid w:val="07126596"/>
    <w:rsid w:val="07162BFE"/>
    <w:rsid w:val="0718018B"/>
    <w:rsid w:val="071F4765"/>
    <w:rsid w:val="07201EFF"/>
    <w:rsid w:val="07222102"/>
    <w:rsid w:val="072365A6"/>
    <w:rsid w:val="07237CC3"/>
    <w:rsid w:val="07247C28"/>
    <w:rsid w:val="072676A4"/>
    <w:rsid w:val="07267E44"/>
    <w:rsid w:val="072D4D8E"/>
    <w:rsid w:val="072F4F4B"/>
    <w:rsid w:val="07346EEF"/>
    <w:rsid w:val="07397B77"/>
    <w:rsid w:val="073C3DE0"/>
    <w:rsid w:val="073D4529"/>
    <w:rsid w:val="074107DA"/>
    <w:rsid w:val="074327A4"/>
    <w:rsid w:val="074446D1"/>
    <w:rsid w:val="074658D4"/>
    <w:rsid w:val="07493C1A"/>
    <w:rsid w:val="074A4711"/>
    <w:rsid w:val="074C6D89"/>
    <w:rsid w:val="075C73C2"/>
    <w:rsid w:val="075C7BDD"/>
    <w:rsid w:val="075E313A"/>
    <w:rsid w:val="075F6EB2"/>
    <w:rsid w:val="0763196E"/>
    <w:rsid w:val="07646A54"/>
    <w:rsid w:val="0765565D"/>
    <w:rsid w:val="07690379"/>
    <w:rsid w:val="076A3912"/>
    <w:rsid w:val="076B6982"/>
    <w:rsid w:val="076F1998"/>
    <w:rsid w:val="076F4C5A"/>
    <w:rsid w:val="076F7979"/>
    <w:rsid w:val="077847E5"/>
    <w:rsid w:val="07787085"/>
    <w:rsid w:val="077C55BA"/>
    <w:rsid w:val="077F06E3"/>
    <w:rsid w:val="07811169"/>
    <w:rsid w:val="078127DF"/>
    <w:rsid w:val="07837045"/>
    <w:rsid w:val="07843E94"/>
    <w:rsid w:val="07885F8B"/>
    <w:rsid w:val="078E4300"/>
    <w:rsid w:val="078F0E4A"/>
    <w:rsid w:val="07911761"/>
    <w:rsid w:val="0796691A"/>
    <w:rsid w:val="079B33A7"/>
    <w:rsid w:val="079E45CA"/>
    <w:rsid w:val="07A1396F"/>
    <w:rsid w:val="07A2497A"/>
    <w:rsid w:val="07A33243"/>
    <w:rsid w:val="07A34FF1"/>
    <w:rsid w:val="07A50D69"/>
    <w:rsid w:val="07A56FBB"/>
    <w:rsid w:val="07A96E44"/>
    <w:rsid w:val="07AA1A8A"/>
    <w:rsid w:val="07AE12E8"/>
    <w:rsid w:val="07B31386"/>
    <w:rsid w:val="07B32EB3"/>
    <w:rsid w:val="07B44060"/>
    <w:rsid w:val="07B57596"/>
    <w:rsid w:val="07BC2556"/>
    <w:rsid w:val="07BD143C"/>
    <w:rsid w:val="07BE6E82"/>
    <w:rsid w:val="07C118C3"/>
    <w:rsid w:val="07C17062"/>
    <w:rsid w:val="07C63F22"/>
    <w:rsid w:val="07CD6512"/>
    <w:rsid w:val="07D0677A"/>
    <w:rsid w:val="07D33977"/>
    <w:rsid w:val="07D438B1"/>
    <w:rsid w:val="07D5684E"/>
    <w:rsid w:val="07DD49A7"/>
    <w:rsid w:val="07E14B92"/>
    <w:rsid w:val="07E51488"/>
    <w:rsid w:val="07E65491"/>
    <w:rsid w:val="07E94DA0"/>
    <w:rsid w:val="07EA3E31"/>
    <w:rsid w:val="07EE43CC"/>
    <w:rsid w:val="07EF4180"/>
    <w:rsid w:val="07F014C9"/>
    <w:rsid w:val="07F4584C"/>
    <w:rsid w:val="07F95F58"/>
    <w:rsid w:val="07FB6130"/>
    <w:rsid w:val="07FD35C6"/>
    <w:rsid w:val="07FF3A37"/>
    <w:rsid w:val="07FF4DEE"/>
    <w:rsid w:val="0801699D"/>
    <w:rsid w:val="0803180C"/>
    <w:rsid w:val="08044166"/>
    <w:rsid w:val="08057A5A"/>
    <w:rsid w:val="080A72A8"/>
    <w:rsid w:val="080F0E8D"/>
    <w:rsid w:val="08104201"/>
    <w:rsid w:val="081430D3"/>
    <w:rsid w:val="081952B3"/>
    <w:rsid w:val="081D06A4"/>
    <w:rsid w:val="081E1E53"/>
    <w:rsid w:val="082101A7"/>
    <w:rsid w:val="08242ABC"/>
    <w:rsid w:val="082455E4"/>
    <w:rsid w:val="082505BF"/>
    <w:rsid w:val="08254BB8"/>
    <w:rsid w:val="082A03E0"/>
    <w:rsid w:val="0830079E"/>
    <w:rsid w:val="08315D02"/>
    <w:rsid w:val="08387E2F"/>
    <w:rsid w:val="084274E1"/>
    <w:rsid w:val="084757A4"/>
    <w:rsid w:val="08486502"/>
    <w:rsid w:val="084B2747"/>
    <w:rsid w:val="084C7206"/>
    <w:rsid w:val="084D1B8A"/>
    <w:rsid w:val="084D1F90"/>
    <w:rsid w:val="084D453F"/>
    <w:rsid w:val="08537FE0"/>
    <w:rsid w:val="085458AF"/>
    <w:rsid w:val="0857665B"/>
    <w:rsid w:val="0858402D"/>
    <w:rsid w:val="085C159C"/>
    <w:rsid w:val="085D5AE7"/>
    <w:rsid w:val="08601134"/>
    <w:rsid w:val="086230FE"/>
    <w:rsid w:val="0865153A"/>
    <w:rsid w:val="086A5F69"/>
    <w:rsid w:val="086B7C0A"/>
    <w:rsid w:val="086C671A"/>
    <w:rsid w:val="086E55FF"/>
    <w:rsid w:val="086E6F75"/>
    <w:rsid w:val="087C134A"/>
    <w:rsid w:val="087F559D"/>
    <w:rsid w:val="08804CFB"/>
    <w:rsid w:val="08881413"/>
    <w:rsid w:val="0888270F"/>
    <w:rsid w:val="088A3436"/>
    <w:rsid w:val="088B722D"/>
    <w:rsid w:val="088F4307"/>
    <w:rsid w:val="089577A8"/>
    <w:rsid w:val="08963BAB"/>
    <w:rsid w:val="089830A7"/>
    <w:rsid w:val="089A0583"/>
    <w:rsid w:val="089A58E8"/>
    <w:rsid w:val="089B6287"/>
    <w:rsid w:val="089B7173"/>
    <w:rsid w:val="08A2174C"/>
    <w:rsid w:val="08A30791"/>
    <w:rsid w:val="08AA31DD"/>
    <w:rsid w:val="08B37E08"/>
    <w:rsid w:val="08B615A3"/>
    <w:rsid w:val="08B6553E"/>
    <w:rsid w:val="08B6576D"/>
    <w:rsid w:val="08BA6A96"/>
    <w:rsid w:val="08BE74DE"/>
    <w:rsid w:val="08BF6B23"/>
    <w:rsid w:val="08C112AC"/>
    <w:rsid w:val="08C43471"/>
    <w:rsid w:val="08C53BB8"/>
    <w:rsid w:val="08C755C1"/>
    <w:rsid w:val="08C85244"/>
    <w:rsid w:val="08CD0002"/>
    <w:rsid w:val="08CF22D7"/>
    <w:rsid w:val="08D11C22"/>
    <w:rsid w:val="08D4468A"/>
    <w:rsid w:val="08D55683"/>
    <w:rsid w:val="08D97BBC"/>
    <w:rsid w:val="08DA4522"/>
    <w:rsid w:val="08DC2BE5"/>
    <w:rsid w:val="08DC6871"/>
    <w:rsid w:val="08DF5339"/>
    <w:rsid w:val="08E0121D"/>
    <w:rsid w:val="08E42767"/>
    <w:rsid w:val="08ED154E"/>
    <w:rsid w:val="08ED5D2A"/>
    <w:rsid w:val="08F23C3E"/>
    <w:rsid w:val="08F271E9"/>
    <w:rsid w:val="08F40AF9"/>
    <w:rsid w:val="08F63846"/>
    <w:rsid w:val="08F655F4"/>
    <w:rsid w:val="08FA1588"/>
    <w:rsid w:val="08FC24CB"/>
    <w:rsid w:val="08FE434A"/>
    <w:rsid w:val="09002C0C"/>
    <w:rsid w:val="090308C1"/>
    <w:rsid w:val="09041DE4"/>
    <w:rsid w:val="090A08F8"/>
    <w:rsid w:val="090A5D52"/>
    <w:rsid w:val="090B58DE"/>
    <w:rsid w:val="090C4D2B"/>
    <w:rsid w:val="09106773"/>
    <w:rsid w:val="091464AB"/>
    <w:rsid w:val="091823F6"/>
    <w:rsid w:val="091A4765"/>
    <w:rsid w:val="09204DE9"/>
    <w:rsid w:val="09205058"/>
    <w:rsid w:val="092108C3"/>
    <w:rsid w:val="092146C6"/>
    <w:rsid w:val="09292D9E"/>
    <w:rsid w:val="092F3643"/>
    <w:rsid w:val="092F5E9E"/>
    <w:rsid w:val="0930309C"/>
    <w:rsid w:val="093345C3"/>
    <w:rsid w:val="093617EE"/>
    <w:rsid w:val="09382902"/>
    <w:rsid w:val="093A3733"/>
    <w:rsid w:val="093B53D3"/>
    <w:rsid w:val="093C394F"/>
    <w:rsid w:val="093F0D49"/>
    <w:rsid w:val="09412D13"/>
    <w:rsid w:val="094315F9"/>
    <w:rsid w:val="0945653D"/>
    <w:rsid w:val="09495256"/>
    <w:rsid w:val="094A699B"/>
    <w:rsid w:val="09552C12"/>
    <w:rsid w:val="09555643"/>
    <w:rsid w:val="095D11FE"/>
    <w:rsid w:val="09630EDC"/>
    <w:rsid w:val="09647BDF"/>
    <w:rsid w:val="09663A46"/>
    <w:rsid w:val="09670A56"/>
    <w:rsid w:val="0968570C"/>
    <w:rsid w:val="09696A51"/>
    <w:rsid w:val="096D0720"/>
    <w:rsid w:val="096D334D"/>
    <w:rsid w:val="09713B88"/>
    <w:rsid w:val="097344E0"/>
    <w:rsid w:val="097430E9"/>
    <w:rsid w:val="097B5863"/>
    <w:rsid w:val="097B7A0C"/>
    <w:rsid w:val="097D11FE"/>
    <w:rsid w:val="097E0B67"/>
    <w:rsid w:val="09802FCD"/>
    <w:rsid w:val="09807EEF"/>
    <w:rsid w:val="098108C7"/>
    <w:rsid w:val="09820023"/>
    <w:rsid w:val="09822760"/>
    <w:rsid w:val="09825965"/>
    <w:rsid w:val="09875491"/>
    <w:rsid w:val="09961413"/>
    <w:rsid w:val="099A3C73"/>
    <w:rsid w:val="099C0F4D"/>
    <w:rsid w:val="099E13FF"/>
    <w:rsid w:val="099E3CC2"/>
    <w:rsid w:val="09A13B3C"/>
    <w:rsid w:val="09A5691D"/>
    <w:rsid w:val="09AB1516"/>
    <w:rsid w:val="09AB2883"/>
    <w:rsid w:val="09AD1999"/>
    <w:rsid w:val="09AF73C0"/>
    <w:rsid w:val="09B32D18"/>
    <w:rsid w:val="09B419AD"/>
    <w:rsid w:val="09B457B5"/>
    <w:rsid w:val="09B9408C"/>
    <w:rsid w:val="09BA2AC6"/>
    <w:rsid w:val="09BB2F31"/>
    <w:rsid w:val="09BB45B3"/>
    <w:rsid w:val="09BC577A"/>
    <w:rsid w:val="09C74F74"/>
    <w:rsid w:val="09C84A10"/>
    <w:rsid w:val="09CB082F"/>
    <w:rsid w:val="09CD5F2F"/>
    <w:rsid w:val="09D04097"/>
    <w:rsid w:val="09D75285"/>
    <w:rsid w:val="09DA287F"/>
    <w:rsid w:val="09DF06BE"/>
    <w:rsid w:val="09E00DAA"/>
    <w:rsid w:val="09E16C2F"/>
    <w:rsid w:val="09E308CF"/>
    <w:rsid w:val="09E56F39"/>
    <w:rsid w:val="09E76D01"/>
    <w:rsid w:val="09E9179E"/>
    <w:rsid w:val="09EB35FB"/>
    <w:rsid w:val="09F14000"/>
    <w:rsid w:val="09F275D1"/>
    <w:rsid w:val="09F51160"/>
    <w:rsid w:val="09F739D1"/>
    <w:rsid w:val="09FA7B2B"/>
    <w:rsid w:val="09FE29B2"/>
    <w:rsid w:val="0A035434"/>
    <w:rsid w:val="0A0501E5"/>
    <w:rsid w:val="0A0523E1"/>
    <w:rsid w:val="0A0633E0"/>
    <w:rsid w:val="0A066811"/>
    <w:rsid w:val="0A0F2E11"/>
    <w:rsid w:val="0A123DA9"/>
    <w:rsid w:val="0A126FF9"/>
    <w:rsid w:val="0A134C70"/>
    <w:rsid w:val="0A136ED7"/>
    <w:rsid w:val="0A157ED2"/>
    <w:rsid w:val="0A172F17"/>
    <w:rsid w:val="0A176E3F"/>
    <w:rsid w:val="0A194F03"/>
    <w:rsid w:val="0A1A3865"/>
    <w:rsid w:val="0A1B56CF"/>
    <w:rsid w:val="0A1D52F2"/>
    <w:rsid w:val="0A1F1313"/>
    <w:rsid w:val="0A23066B"/>
    <w:rsid w:val="0A24358E"/>
    <w:rsid w:val="0A25532E"/>
    <w:rsid w:val="0A27015B"/>
    <w:rsid w:val="0A2707FC"/>
    <w:rsid w:val="0A281989"/>
    <w:rsid w:val="0A2A2214"/>
    <w:rsid w:val="0A2A7B08"/>
    <w:rsid w:val="0A2C03D5"/>
    <w:rsid w:val="0A2C3B77"/>
    <w:rsid w:val="0A2C616B"/>
    <w:rsid w:val="0A2C751F"/>
    <w:rsid w:val="0A312D88"/>
    <w:rsid w:val="0A3154DC"/>
    <w:rsid w:val="0A3336B8"/>
    <w:rsid w:val="0A3521C7"/>
    <w:rsid w:val="0A3959E4"/>
    <w:rsid w:val="0A397E8E"/>
    <w:rsid w:val="0A3B3C06"/>
    <w:rsid w:val="0A3C2710"/>
    <w:rsid w:val="0A3E60A9"/>
    <w:rsid w:val="0A3F311F"/>
    <w:rsid w:val="0A3F50C6"/>
    <w:rsid w:val="0A430D0D"/>
    <w:rsid w:val="0A4C0326"/>
    <w:rsid w:val="0A4E1E40"/>
    <w:rsid w:val="0A4F7E50"/>
    <w:rsid w:val="0A546A76"/>
    <w:rsid w:val="0A611B7B"/>
    <w:rsid w:val="0A620317"/>
    <w:rsid w:val="0A67265F"/>
    <w:rsid w:val="0A672721"/>
    <w:rsid w:val="0A695297"/>
    <w:rsid w:val="0A6D18E6"/>
    <w:rsid w:val="0A6E5D8A"/>
    <w:rsid w:val="0A6F12D1"/>
    <w:rsid w:val="0A6F1B02"/>
    <w:rsid w:val="0A764223"/>
    <w:rsid w:val="0A7B04A7"/>
    <w:rsid w:val="0A7D2317"/>
    <w:rsid w:val="0A7F563E"/>
    <w:rsid w:val="0A8B24D4"/>
    <w:rsid w:val="0A8E573D"/>
    <w:rsid w:val="0A921096"/>
    <w:rsid w:val="0A9338BE"/>
    <w:rsid w:val="0A9432E3"/>
    <w:rsid w:val="0A945C30"/>
    <w:rsid w:val="0A99638F"/>
    <w:rsid w:val="0A9D6F3F"/>
    <w:rsid w:val="0AA27E72"/>
    <w:rsid w:val="0AA33884"/>
    <w:rsid w:val="0AA40994"/>
    <w:rsid w:val="0AA9385D"/>
    <w:rsid w:val="0AAE42DD"/>
    <w:rsid w:val="0AB6410E"/>
    <w:rsid w:val="0AB65840"/>
    <w:rsid w:val="0AB9307F"/>
    <w:rsid w:val="0ABC58F5"/>
    <w:rsid w:val="0ABE046A"/>
    <w:rsid w:val="0AC8064D"/>
    <w:rsid w:val="0ACE477A"/>
    <w:rsid w:val="0AD007F3"/>
    <w:rsid w:val="0AD0610B"/>
    <w:rsid w:val="0AD14600"/>
    <w:rsid w:val="0AD55E09"/>
    <w:rsid w:val="0ADA055E"/>
    <w:rsid w:val="0ADA3177"/>
    <w:rsid w:val="0ADB2CF4"/>
    <w:rsid w:val="0ADC7C14"/>
    <w:rsid w:val="0ADD4FBF"/>
    <w:rsid w:val="0AE0655C"/>
    <w:rsid w:val="0AE147AE"/>
    <w:rsid w:val="0AE43F4A"/>
    <w:rsid w:val="0AE7630D"/>
    <w:rsid w:val="0AE95741"/>
    <w:rsid w:val="0AE96D10"/>
    <w:rsid w:val="0AEA6190"/>
    <w:rsid w:val="0AF039D3"/>
    <w:rsid w:val="0AF06D41"/>
    <w:rsid w:val="0AF448C5"/>
    <w:rsid w:val="0AF621FC"/>
    <w:rsid w:val="0AF64966"/>
    <w:rsid w:val="0AF72AEB"/>
    <w:rsid w:val="0AF95A0F"/>
    <w:rsid w:val="0AFA761E"/>
    <w:rsid w:val="0AFD535A"/>
    <w:rsid w:val="0AFE2CC0"/>
    <w:rsid w:val="0AFF1AFD"/>
    <w:rsid w:val="0B007048"/>
    <w:rsid w:val="0B032AEB"/>
    <w:rsid w:val="0B035483"/>
    <w:rsid w:val="0B044493"/>
    <w:rsid w:val="0B06110A"/>
    <w:rsid w:val="0B07510C"/>
    <w:rsid w:val="0B095AB3"/>
    <w:rsid w:val="0B0D6C3B"/>
    <w:rsid w:val="0B0E5BD7"/>
    <w:rsid w:val="0B116715"/>
    <w:rsid w:val="0B131714"/>
    <w:rsid w:val="0B147E88"/>
    <w:rsid w:val="0B1701D0"/>
    <w:rsid w:val="0B196A8B"/>
    <w:rsid w:val="0B1B0E2D"/>
    <w:rsid w:val="0B1D7DF8"/>
    <w:rsid w:val="0B1F16D2"/>
    <w:rsid w:val="0B202F39"/>
    <w:rsid w:val="0B290FD8"/>
    <w:rsid w:val="0B2C77A3"/>
    <w:rsid w:val="0B2E376B"/>
    <w:rsid w:val="0B2F4827"/>
    <w:rsid w:val="0B2F7858"/>
    <w:rsid w:val="0B325009"/>
    <w:rsid w:val="0B3308C8"/>
    <w:rsid w:val="0B357BC8"/>
    <w:rsid w:val="0B36617C"/>
    <w:rsid w:val="0B3824C6"/>
    <w:rsid w:val="0B3B0E13"/>
    <w:rsid w:val="0B3C21FA"/>
    <w:rsid w:val="0B3C66F7"/>
    <w:rsid w:val="0B3D39AE"/>
    <w:rsid w:val="0B3D575C"/>
    <w:rsid w:val="0B406949"/>
    <w:rsid w:val="0B462863"/>
    <w:rsid w:val="0B470F57"/>
    <w:rsid w:val="0B4A6B28"/>
    <w:rsid w:val="0B4B7E79"/>
    <w:rsid w:val="0B4D4EB3"/>
    <w:rsid w:val="0B512FB6"/>
    <w:rsid w:val="0B531446"/>
    <w:rsid w:val="0B550CF8"/>
    <w:rsid w:val="0B566951"/>
    <w:rsid w:val="0B586471"/>
    <w:rsid w:val="0B5C58D9"/>
    <w:rsid w:val="0B5C5BE2"/>
    <w:rsid w:val="0B5F197E"/>
    <w:rsid w:val="0B61769D"/>
    <w:rsid w:val="0B62538F"/>
    <w:rsid w:val="0B6B454C"/>
    <w:rsid w:val="0B6B76EE"/>
    <w:rsid w:val="0B6F0245"/>
    <w:rsid w:val="0B7023E7"/>
    <w:rsid w:val="0B742C57"/>
    <w:rsid w:val="0B79056E"/>
    <w:rsid w:val="0B7A1F05"/>
    <w:rsid w:val="0B7C2209"/>
    <w:rsid w:val="0B816C8E"/>
    <w:rsid w:val="0B822121"/>
    <w:rsid w:val="0B855319"/>
    <w:rsid w:val="0B980BE5"/>
    <w:rsid w:val="0B9833C7"/>
    <w:rsid w:val="0BA0344F"/>
    <w:rsid w:val="0BA43B46"/>
    <w:rsid w:val="0BA618C8"/>
    <w:rsid w:val="0BA67C4C"/>
    <w:rsid w:val="0BAC2AFA"/>
    <w:rsid w:val="0BAD3B1E"/>
    <w:rsid w:val="0BB16C80"/>
    <w:rsid w:val="0BB25644"/>
    <w:rsid w:val="0BB313B3"/>
    <w:rsid w:val="0BB31C79"/>
    <w:rsid w:val="0BB47E55"/>
    <w:rsid w:val="0BB65396"/>
    <w:rsid w:val="0BB7008C"/>
    <w:rsid w:val="0BBC003A"/>
    <w:rsid w:val="0BBE5388"/>
    <w:rsid w:val="0BC150C4"/>
    <w:rsid w:val="0BC533F5"/>
    <w:rsid w:val="0BC6166A"/>
    <w:rsid w:val="0BCF2858"/>
    <w:rsid w:val="0BD20135"/>
    <w:rsid w:val="0BD30C48"/>
    <w:rsid w:val="0BD37CE1"/>
    <w:rsid w:val="0BD62BBF"/>
    <w:rsid w:val="0BD7188E"/>
    <w:rsid w:val="0BD77DC1"/>
    <w:rsid w:val="0BD842AB"/>
    <w:rsid w:val="0BE45BD8"/>
    <w:rsid w:val="0BE744CC"/>
    <w:rsid w:val="0BE82909"/>
    <w:rsid w:val="0BE84356"/>
    <w:rsid w:val="0BEC2BDA"/>
    <w:rsid w:val="0BED355C"/>
    <w:rsid w:val="0BEF5038"/>
    <w:rsid w:val="0BF40A97"/>
    <w:rsid w:val="0BF80EAA"/>
    <w:rsid w:val="0BF81618"/>
    <w:rsid w:val="0BFA75BF"/>
    <w:rsid w:val="0BFB31F3"/>
    <w:rsid w:val="0BFC73C5"/>
    <w:rsid w:val="0BFD4BE0"/>
    <w:rsid w:val="0C0103D8"/>
    <w:rsid w:val="0C030754"/>
    <w:rsid w:val="0C032502"/>
    <w:rsid w:val="0C090589"/>
    <w:rsid w:val="0C09471E"/>
    <w:rsid w:val="0C094EF9"/>
    <w:rsid w:val="0C0A4F83"/>
    <w:rsid w:val="0C0B13B7"/>
    <w:rsid w:val="0C0D49CE"/>
    <w:rsid w:val="0C0F616A"/>
    <w:rsid w:val="0C0F6F17"/>
    <w:rsid w:val="0C172C1F"/>
    <w:rsid w:val="0C1808D2"/>
    <w:rsid w:val="0C2076C9"/>
    <w:rsid w:val="0C236700"/>
    <w:rsid w:val="0C25607A"/>
    <w:rsid w:val="0C28696F"/>
    <w:rsid w:val="0C293D32"/>
    <w:rsid w:val="0C2F7E2A"/>
    <w:rsid w:val="0C31104C"/>
    <w:rsid w:val="0C317AF1"/>
    <w:rsid w:val="0C347916"/>
    <w:rsid w:val="0C355D9B"/>
    <w:rsid w:val="0C3E53DA"/>
    <w:rsid w:val="0C3E66E9"/>
    <w:rsid w:val="0C41127C"/>
    <w:rsid w:val="0C436DA2"/>
    <w:rsid w:val="0C44121C"/>
    <w:rsid w:val="0C445FA5"/>
    <w:rsid w:val="0C452B1A"/>
    <w:rsid w:val="0C4A652C"/>
    <w:rsid w:val="0C4B6935"/>
    <w:rsid w:val="0C542D5E"/>
    <w:rsid w:val="0C564383"/>
    <w:rsid w:val="0C5B40EC"/>
    <w:rsid w:val="0C5C6AD4"/>
    <w:rsid w:val="0C5D1A7E"/>
    <w:rsid w:val="0C5E08A8"/>
    <w:rsid w:val="0C603D19"/>
    <w:rsid w:val="0C6312F6"/>
    <w:rsid w:val="0C6D2071"/>
    <w:rsid w:val="0C6E03BB"/>
    <w:rsid w:val="0C721C0A"/>
    <w:rsid w:val="0C747CB5"/>
    <w:rsid w:val="0C7953F6"/>
    <w:rsid w:val="0C7B4EA9"/>
    <w:rsid w:val="0C7C669F"/>
    <w:rsid w:val="0C7E487A"/>
    <w:rsid w:val="0C7E567A"/>
    <w:rsid w:val="0C7F6992"/>
    <w:rsid w:val="0C81450C"/>
    <w:rsid w:val="0C8146ED"/>
    <w:rsid w:val="0C8409F5"/>
    <w:rsid w:val="0C896B70"/>
    <w:rsid w:val="0C9200D9"/>
    <w:rsid w:val="0C923C9D"/>
    <w:rsid w:val="0C962FEE"/>
    <w:rsid w:val="0C9B658C"/>
    <w:rsid w:val="0C9B7EBC"/>
    <w:rsid w:val="0C9C76DB"/>
    <w:rsid w:val="0C9E222B"/>
    <w:rsid w:val="0C9E3E85"/>
    <w:rsid w:val="0C9F4995"/>
    <w:rsid w:val="0CA122B5"/>
    <w:rsid w:val="0CA217EA"/>
    <w:rsid w:val="0CA27143"/>
    <w:rsid w:val="0CAC473B"/>
    <w:rsid w:val="0CAF419E"/>
    <w:rsid w:val="0CB7003B"/>
    <w:rsid w:val="0CB70062"/>
    <w:rsid w:val="0CBB040A"/>
    <w:rsid w:val="0CC30367"/>
    <w:rsid w:val="0CC37D78"/>
    <w:rsid w:val="0CC73C8D"/>
    <w:rsid w:val="0CC748BE"/>
    <w:rsid w:val="0CC954FA"/>
    <w:rsid w:val="0CCC155F"/>
    <w:rsid w:val="0CCD400C"/>
    <w:rsid w:val="0CCE1B19"/>
    <w:rsid w:val="0CCF6888"/>
    <w:rsid w:val="0CD001AC"/>
    <w:rsid w:val="0CD5032B"/>
    <w:rsid w:val="0CD621A0"/>
    <w:rsid w:val="0CD7209C"/>
    <w:rsid w:val="0CDB6F07"/>
    <w:rsid w:val="0CDC46D4"/>
    <w:rsid w:val="0CDD21E3"/>
    <w:rsid w:val="0CDE3E65"/>
    <w:rsid w:val="0CDE52DC"/>
    <w:rsid w:val="0CDF103B"/>
    <w:rsid w:val="0CE02843"/>
    <w:rsid w:val="0CE04CA6"/>
    <w:rsid w:val="0CE150F1"/>
    <w:rsid w:val="0CE1594C"/>
    <w:rsid w:val="0CE16AC4"/>
    <w:rsid w:val="0CE70C9D"/>
    <w:rsid w:val="0CE90E89"/>
    <w:rsid w:val="0CE916F8"/>
    <w:rsid w:val="0CEA193A"/>
    <w:rsid w:val="0CEB0F17"/>
    <w:rsid w:val="0CEE4CA5"/>
    <w:rsid w:val="0CF408A5"/>
    <w:rsid w:val="0CFD1647"/>
    <w:rsid w:val="0CFF7128"/>
    <w:rsid w:val="0D043135"/>
    <w:rsid w:val="0D043D03"/>
    <w:rsid w:val="0D06104B"/>
    <w:rsid w:val="0D0652D0"/>
    <w:rsid w:val="0D0714C6"/>
    <w:rsid w:val="0D0B70D7"/>
    <w:rsid w:val="0D0C098A"/>
    <w:rsid w:val="0D110D49"/>
    <w:rsid w:val="0D112121"/>
    <w:rsid w:val="0D114CA3"/>
    <w:rsid w:val="0D131F27"/>
    <w:rsid w:val="0D1336AF"/>
    <w:rsid w:val="0D1748C4"/>
    <w:rsid w:val="0D1835EA"/>
    <w:rsid w:val="0D192F1B"/>
    <w:rsid w:val="0D1B3E26"/>
    <w:rsid w:val="0D1D5845"/>
    <w:rsid w:val="0D1F6ED5"/>
    <w:rsid w:val="0D2820B6"/>
    <w:rsid w:val="0D2A73CB"/>
    <w:rsid w:val="0D3209B3"/>
    <w:rsid w:val="0D330BC5"/>
    <w:rsid w:val="0D3800F2"/>
    <w:rsid w:val="0D396090"/>
    <w:rsid w:val="0D3C5478"/>
    <w:rsid w:val="0D406A75"/>
    <w:rsid w:val="0D42705A"/>
    <w:rsid w:val="0D447276"/>
    <w:rsid w:val="0D48727E"/>
    <w:rsid w:val="0D4A45D3"/>
    <w:rsid w:val="0D4A480B"/>
    <w:rsid w:val="0D4E32BD"/>
    <w:rsid w:val="0D551290"/>
    <w:rsid w:val="0D6037B5"/>
    <w:rsid w:val="0D643513"/>
    <w:rsid w:val="0D6548A8"/>
    <w:rsid w:val="0D65515A"/>
    <w:rsid w:val="0D660F9A"/>
    <w:rsid w:val="0D6A2BA0"/>
    <w:rsid w:val="0D6E63A2"/>
    <w:rsid w:val="0D705975"/>
    <w:rsid w:val="0D740795"/>
    <w:rsid w:val="0D77254E"/>
    <w:rsid w:val="0D782A7C"/>
    <w:rsid w:val="0D7D4536"/>
    <w:rsid w:val="0D7D7C8F"/>
    <w:rsid w:val="0D7E23FA"/>
    <w:rsid w:val="0D7E6E36"/>
    <w:rsid w:val="0D866521"/>
    <w:rsid w:val="0D8741D0"/>
    <w:rsid w:val="0D87688A"/>
    <w:rsid w:val="0D8853B5"/>
    <w:rsid w:val="0D896E32"/>
    <w:rsid w:val="0D8D42BB"/>
    <w:rsid w:val="0D8D4612"/>
    <w:rsid w:val="0D8E6045"/>
    <w:rsid w:val="0D8F2C1D"/>
    <w:rsid w:val="0D8F4ED4"/>
    <w:rsid w:val="0D9023D3"/>
    <w:rsid w:val="0D913DBB"/>
    <w:rsid w:val="0D934A05"/>
    <w:rsid w:val="0D9570A7"/>
    <w:rsid w:val="0D98311E"/>
    <w:rsid w:val="0D9A147B"/>
    <w:rsid w:val="0D9D11B5"/>
    <w:rsid w:val="0DA029E4"/>
    <w:rsid w:val="0DA51F34"/>
    <w:rsid w:val="0DA822E7"/>
    <w:rsid w:val="0DB31878"/>
    <w:rsid w:val="0DB5782C"/>
    <w:rsid w:val="0DB61905"/>
    <w:rsid w:val="0DC46044"/>
    <w:rsid w:val="0DC66F4B"/>
    <w:rsid w:val="0DC8479D"/>
    <w:rsid w:val="0DCD069E"/>
    <w:rsid w:val="0DCE27CE"/>
    <w:rsid w:val="0DCE5A35"/>
    <w:rsid w:val="0DCE60B2"/>
    <w:rsid w:val="0DD25798"/>
    <w:rsid w:val="0DD73C46"/>
    <w:rsid w:val="0DD83388"/>
    <w:rsid w:val="0DDF6F9F"/>
    <w:rsid w:val="0DE239B8"/>
    <w:rsid w:val="0DE305C7"/>
    <w:rsid w:val="0DE325EB"/>
    <w:rsid w:val="0DE40C01"/>
    <w:rsid w:val="0DE63078"/>
    <w:rsid w:val="0DE8503D"/>
    <w:rsid w:val="0DEC6CFD"/>
    <w:rsid w:val="0DEE137C"/>
    <w:rsid w:val="0DF0289C"/>
    <w:rsid w:val="0DF0779C"/>
    <w:rsid w:val="0DF368EB"/>
    <w:rsid w:val="0DF720B9"/>
    <w:rsid w:val="0DF8734D"/>
    <w:rsid w:val="0DFA14D1"/>
    <w:rsid w:val="0DFD1843"/>
    <w:rsid w:val="0DFD2265"/>
    <w:rsid w:val="0DFE0690"/>
    <w:rsid w:val="0DFE1257"/>
    <w:rsid w:val="0E05094C"/>
    <w:rsid w:val="0E056FF9"/>
    <w:rsid w:val="0E060087"/>
    <w:rsid w:val="0E0B57F1"/>
    <w:rsid w:val="0E0F1632"/>
    <w:rsid w:val="0E1130A7"/>
    <w:rsid w:val="0E116883"/>
    <w:rsid w:val="0E15651D"/>
    <w:rsid w:val="0E1804A3"/>
    <w:rsid w:val="0E187A6C"/>
    <w:rsid w:val="0E1D1299"/>
    <w:rsid w:val="0E1D1A2E"/>
    <w:rsid w:val="0E1E67FA"/>
    <w:rsid w:val="0E213113"/>
    <w:rsid w:val="0E252C04"/>
    <w:rsid w:val="0E256AA9"/>
    <w:rsid w:val="0E294F8D"/>
    <w:rsid w:val="0E2B4C4E"/>
    <w:rsid w:val="0E2D35E2"/>
    <w:rsid w:val="0E2F5830"/>
    <w:rsid w:val="0E303356"/>
    <w:rsid w:val="0E326BF5"/>
    <w:rsid w:val="0E372937"/>
    <w:rsid w:val="0E372E6A"/>
    <w:rsid w:val="0E3B4087"/>
    <w:rsid w:val="0E3E71EF"/>
    <w:rsid w:val="0E464618"/>
    <w:rsid w:val="0E561DFA"/>
    <w:rsid w:val="0E56235C"/>
    <w:rsid w:val="0E586DDE"/>
    <w:rsid w:val="0E5B1B34"/>
    <w:rsid w:val="0E5C7B61"/>
    <w:rsid w:val="0E624A7A"/>
    <w:rsid w:val="0E67321C"/>
    <w:rsid w:val="0E6D09AE"/>
    <w:rsid w:val="0E702ADA"/>
    <w:rsid w:val="0E716170"/>
    <w:rsid w:val="0E734E42"/>
    <w:rsid w:val="0E7516BB"/>
    <w:rsid w:val="0E75670D"/>
    <w:rsid w:val="0E766313"/>
    <w:rsid w:val="0E792F4F"/>
    <w:rsid w:val="0E7E0A28"/>
    <w:rsid w:val="0E815029"/>
    <w:rsid w:val="0E820B99"/>
    <w:rsid w:val="0E8518F4"/>
    <w:rsid w:val="0E884F40"/>
    <w:rsid w:val="0E8A2C50"/>
    <w:rsid w:val="0E8B7790"/>
    <w:rsid w:val="0E905D5E"/>
    <w:rsid w:val="0E963B01"/>
    <w:rsid w:val="0E970DEB"/>
    <w:rsid w:val="0E9C7397"/>
    <w:rsid w:val="0E9C7CA4"/>
    <w:rsid w:val="0E9E1642"/>
    <w:rsid w:val="0E9E2214"/>
    <w:rsid w:val="0E9E2DE3"/>
    <w:rsid w:val="0E9E4764"/>
    <w:rsid w:val="0E9F552A"/>
    <w:rsid w:val="0E9F5F8E"/>
    <w:rsid w:val="0EA224A6"/>
    <w:rsid w:val="0EA3017B"/>
    <w:rsid w:val="0EAC5D49"/>
    <w:rsid w:val="0EAD35C1"/>
    <w:rsid w:val="0EAE0EE8"/>
    <w:rsid w:val="0EB25F01"/>
    <w:rsid w:val="0EB310FA"/>
    <w:rsid w:val="0EB36461"/>
    <w:rsid w:val="0EB65F51"/>
    <w:rsid w:val="0EB83A78"/>
    <w:rsid w:val="0EB86B7A"/>
    <w:rsid w:val="0EBA2BFA"/>
    <w:rsid w:val="0EC63509"/>
    <w:rsid w:val="0ECC2CE5"/>
    <w:rsid w:val="0ECE52EE"/>
    <w:rsid w:val="0ECE571C"/>
    <w:rsid w:val="0ECF18C9"/>
    <w:rsid w:val="0ED27905"/>
    <w:rsid w:val="0ED311CC"/>
    <w:rsid w:val="0ED6549B"/>
    <w:rsid w:val="0ED81B0C"/>
    <w:rsid w:val="0ED86CC1"/>
    <w:rsid w:val="0EDC3107"/>
    <w:rsid w:val="0EDE40A1"/>
    <w:rsid w:val="0EE773A5"/>
    <w:rsid w:val="0EEA1757"/>
    <w:rsid w:val="0EEA69DF"/>
    <w:rsid w:val="0EF2788D"/>
    <w:rsid w:val="0EF82952"/>
    <w:rsid w:val="0F0004FD"/>
    <w:rsid w:val="0F06221A"/>
    <w:rsid w:val="0F06383A"/>
    <w:rsid w:val="0F071CEF"/>
    <w:rsid w:val="0F0D04D0"/>
    <w:rsid w:val="0F0E7099"/>
    <w:rsid w:val="0F101B41"/>
    <w:rsid w:val="0F124AA6"/>
    <w:rsid w:val="0F1669F0"/>
    <w:rsid w:val="0F167B41"/>
    <w:rsid w:val="0F1821E3"/>
    <w:rsid w:val="0F1B4C19"/>
    <w:rsid w:val="0F1C4A5C"/>
    <w:rsid w:val="0F205179"/>
    <w:rsid w:val="0F213F46"/>
    <w:rsid w:val="0F2B0888"/>
    <w:rsid w:val="0F2E1037"/>
    <w:rsid w:val="0F2E5AE8"/>
    <w:rsid w:val="0F2F6501"/>
    <w:rsid w:val="0F3716BF"/>
    <w:rsid w:val="0F397F36"/>
    <w:rsid w:val="0F3D0AD1"/>
    <w:rsid w:val="0F414459"/>
    <w:rsid w:val="0F432530"/>
    <w:rsid w:val="0F435372"/>
    <w:rsid w:val="0F485927"/>
    <w:rsid w:val="0F491E27"/>
    <w:rsid w:val="0F4A6358"/>
    <w:rsid w:val="0F4B404B"/>
    <w:rsid w:val="0F4B5A8B"/>
    <w:rsid w:val="0F4C41C0"/>
    <w:rsid w:val="0F4D1410"/>
    <w:rsid w:val="0F4D2704"/>
    <w:rsid w:val="0F4D75A3"/>
    <w:rsid w:val="0F5035FA"/>
    <w:rsid w:val="0F521894"/>
    <w:rsid w:val="0F564E5D"/>
    <w:rsid w:val="0F576BFF"/>
    <w:rsid w:val="0F5B0BB2"/>
    <w:rsid w:val="0F613213"/>
    <w:rsid w:val="0F6359C5"/>
    <w:rsid w:val="0F6442E8"/>
    <w:rsid w:val="0F644E18"/>
    <w:rsid w:val="0F681627"/>
    <w:rsid w:val="0F691EFD"/>
    <w:rsid w:val="0F6A5E76"/>
    <w:rsid w:val="0F6C499F"/>
    <w:rsid w:val="0F6D09EE"/>
    <w:rsid w:val="0F6F7642"/>
    <w:rsid w:val="0F713C26"/>
    <w:rsid w:val="0F716E65"/>
    <w:rsid w:val="0F743D03"/>
    <w:rsid w:val="0F754ED1"/>
    <w:rsid w:val="0F760D4A"/>
    <w:rsid w:val="0F7873ED"/>
    <w:rsid w:val="0F7977F4"/>
    <w:rsid w:val="0F7A0D2D"/>
    <w:rsid w:val="0F801624"/>
    <w:rsid w:val="0F824086"/>
    <w:rsid w:val="0F836285"/>
    <w:rsid w:val="0F84127D"/>
    <w:rsid w:val="0F8801C5"/>
    <w:rsid w:val="0F894453"/>
    <w:rsid w:val="0F9067A2"/>
    <w:rsid w:val="0F932B79"/>
    <w:rsid w:val="0F943679"/>
    <w:rsid w:val="0F950868"/>
    <w:rsid w:val="0F955B67"/>
    <w:rsid w:val="0F963DAE"/>
    <w:rsid w:val="0F9718DF"/>
    <w:rsid w:val="0F9A4F2B"/>
    <w:rsid w:val="0F9A4F57"/>
    <w:rsid w:val="0FA14F26"/>
    <w:rsid w:val="0FA364D6"/>
    <w:rsid w:val="0FA72D14"/>
    <w:rsid w:val="0FA764C7"/>
    <w:rsid w:val="0FA9766E"/>
    <w:rsid w:val="0FB40F86"/>
    <w:rsid w:val="0FB63C2E"/>
    <w:rsid w:val="0FB950F6"/>
    <w:rsid w:val="0FBB2619"/>
    <w:rsid w:val="0FBC41FF"/>
    <w:rsid w:val="0FBE0A12"/>
    <w:rsid w:val="0FC01449"/>
    <w:rsid w:val="0FC1070A"/>
    <w:rsid w:val="0FC253C6"/>
    <w:rsid w:val="0FC55E8A"/>
    <w:rsid w:val="0FC60D3D"/>
    <w:rsid w:val="0FC91CB4"/>
    <w:rsid w:val="0FCB03F3"/>
    <w:rsid w:val="0FCC70AF"/>
    <w:rsid w:val="0FCE2726"/>
    <w:rsid w:val="0FD01AA7"/>
    <w:rsid w:val="0FD02946"/>
    <w:rsid w:val="0FD0352A"/>
    <w:rsid w:val="0FD5374B"/>
    <w:rsid w:val="0FDA7B00"/>
    <w:rsid w:val="0FE368CF"/>
    <w:rsid w:val="0FE41D05"/>
    <w:rsid w:val="0FEC4E29"/>
    <w:rsid w:val="0FEE3A5F"/>
    <w:rsid w:val="0FF07241"/>
    <w:rsid w:val="0FF5441F"/>
    <w:rsid w:val="0FF7756E"/>
    <w:rsid w:val="0FF80911"/>
    <w:rsid w:val="0FF9721E"/>
    <w:rsid w:val="0FFB6FED"/>
    <w:rsid w:val="0FFB76D2"/>
    <w:rsid w:val="0FFC71E7"/>
    <w:rsid w:val="0FFD6DE6"/>
    <w:rsid w:val="0FFF17B9"/>
    <w:rsid w:val="10043F20"/>
    <w:rsid w:val="10046752"/>
    <w:rsid w:val="10046849"/>
    <w:rsid w:val="100625C1"/>
    <w:rsid w:val="100A0512"/>
    <w:rsid w:val="100E3C54"/>
    <w:rsid w:val="100E4B5E"/>
    <w:rsid w:val="1014378D"/>
    <w:rsid w:val="10152804"/>
    <w:rsid w:val="1018336C"/>
    <w:rsid w:val="10192DC8"/>
    <w:rsid w:val="10197328"/>
    <w:rsid w:val="101A606C"/>
    <w:rsid w:val="10201309"/>
    <w:rsid w:val="102151FE"/>
    <w:rsid w:val="102173FB"/>
    <w:rsid w:val="10226E3F"/>
    <w:rsid w:val="10256783"/>
    <w:rsid w:val="10283010"/>
    <w:rsid w:val="10292881"/>
    <w:rsid w:val="102F4122"/>
    <w:rsid w:val="1030763E"/>
    <w:rsid w:val="103510F8"/>
    <w:rsid w:val="103533A4"/>
    <w:rsid w:val="10356B4F"/>
    <w:rsid w:val="1036571C"/>
    <w:rsid w:val="10376C1E"/>
    <w:rsid w:val="103B0B6F"/>
    <w:rsid w:val="103F00D8"/>
    <w:rsid w:val="104759D1"/>
    <w:rsid w:val="10491B49"/>
    <w:rsid w:val="104A2D3D"/>
    <w:rsid w:val="104B478C"/>
    <w:rsid w:val="10523A58"/>
    <w:rsid w:val="10531F92"/>
    <w:rsid w:val="1054444D"/>
    <w:rsid w:val="105B432A"/>
    <w:rsid w:val="105C33EB"/>
    <w:rsid w:val="10651CD7"/>
    <w:rsid w:val="10666A47"/>
    <w:rsid w:val="1068290D"/>
    <w:rsid w:val="10682F75"/>
    <w:rsid w:val="10686DD7"/>
    <w:rsid w:val="106D43EE"/>
    <w:rsid w:val="106D73F5"/>
    <w:rsid w:val="106F6D1C"/>
    <w:rsid w:val="10704BD4"/>
    <w:rsid w:val="107938B6"/>
    <w:rsid w:val="107A7F1B"/>
    <w:rsid w:val="107F6714"/>
    <w:rsid w:val="108131F8"/>
    <w:rsid w:val="10816B21"/>
    <w:rsid w:val="108269FB"/>
    <w:rsid w:val="10862295"/>
    <w:rsid w:val="10893C26"/>
    <w:rsid w:val="108A0767"/>
    <w:rsid w:val="108A4FA0"/>
    <w:rsid w:val="108D0555"/>
    <w:rsid w:val="108E2221"/>
    <w:rsid w:val="10914DD3"/>
    <w:rsid w:val="1099034E"/>
    <w:rsid w:val="10991BF2"/>
    <w:rsid w:val="109D2553"/>
    <w:rsid w:val="109F3F78"/>
    <w:rsid w:val="10A30229"/>
    <w:rsid w:val="10A73DA4"/>
    <w:rsid w:val="10A83678"/>
    <w:rsid w:val="10A86051"/>
    <w:rsid w:val="10A86C49"/>
    <w:rsid w:val="10AA1905"/>
    <w:rsid w:val="10AD0FB1"/>
    <w:rsid w:val="10AD6540"/>
    <w:rsid w:val="10B319AF"/>
    <w:rsid w:val="10B32F98"/>
    <w:rsid w:val="10B85FB1"/>
    <w:rsid w:val="10C4160D"/>
    <w:rsid w:val="10C67636"/>
    <w:rsid w:val="10C87594"/>
    <w:rsid w:val="10CE1249"/>
    <w:rsid w:val="10D449C2"/>
    <w:rsid w:val="10D57104"/>
    <w:rsid w:val="10D6197A"/>
    <w:rsid w:val="10D635E0"/>
    <w:rsid w:val="10D9688A"/>
    <w:rsid w:val="10DA57FB"/>
    <w:rsid w:val="10DD7D97"/>
    <w:rsid w:val="10DF045F"/>
    <w:rsid w:val="10E368A5"/>
    <w:rsid w:val="10E36DA6"/>
    <w:rsid w:val="10E53DD7"/>
    <w:rsid w:val="10E548CC"/>
    <w:rsid w:val="10E70B6F"/>
    <w:rsid w:val="10EC2740"/>
    <w:rsid w:val="10EF06CD"/>
    <w:rsid w:val="10F26C77"/>
    <w:rsid w:val="10F3600A"/>
    <w:rsid w:val="10F438BB"/>
    <w:rsid w:val="10F845FF"/>
    <w:rsid w:val="10F850A7"/>
    <w:rsid w:val="10FB7D49"/>
    <w:rsid w:val="10FC210B"/>
    <w:rsid w:val="10FF4176"/>
    <w:rsid w:val="110620AA"/>
    <w:rsid w:val="110C1E59"/>
    <w:rsid w:val="1112456C"/>
    <w:rsid w:val="1115680A"/>
    <w:rsid w:val="11171141"/>
    <w:rsid w:val="11173974"/>
    <w:rsid w:val="111756A7"/>
    <w:rsid w:val="11194CC7"/>
    <w:rsid w:val="111D5E14"/>
    <w:rsid w:val="111E1B8C"/>
    <w:rsid w:val="111E6B3B"/>
    <w:rsid w:val="111F6430"/>
    <w:rsid w:val="11224DB3"/>
    <w:rsid w:val="11252F1A"/>
    <w:rsid w:val="11290087"/>
    <w:rsid w:val="11296953"/>
    <w:rsid w:val="112A5178"/>
    <w:rsid w:val="112E2D2C"/>
    <w:rsid w:val="112F3D99"/>
    <w:rsid w:val="112F42E8"/>
    <w:rsid w:val="11305408"/>
    <w:rsid w:val="1130682E"/>
    <w:rsid w:val="113158E2"/>
    <w:rsid w:val="11324747"/>
    <w:rsid w:val="11331E30"/>
    <w:rsid w:val="11361D0A"/>
    <w:rsid w:val="11375398"/>
    <w:rsid w:val="113A537B"/>
    <w:rsid w:val="113E5D8A"/>
    <w:rsid w:val="113E7772"/>
    <w:rsid w:val="11432607"/>
    <w:rsid w:val="11470B69"/>
    <w:rsid w:val="114A0BD3"/>
    <w:rsid w:val="114D373D"/>
    <w:rsid w:val="115012ED"/>
    <w:rsid w:val="115253EB"/>
    <w:rsid w:val="115B559F"/>
    <w:rsid w:val="115C06D7"/>
    <w:rsid w:val="115C536B"/>
    <w:rsid w:val="115D0751"/>
    <w:rsid w:val="115E3FD3"/>
    <w:rsid w:val="115F6474"/>
    <w:rsid w:val="11654AD7"/>
    <w:rsid w:val="11655998"/>
    <w:rsid w:val="11692E07"/>
    <w:rsid w:val="116A7075"/>
    <w:rsid w:val="116B4917"/>
    <w:rsid w:val="117061F8"/>
    <w:rsid w:val="11731ED8"/>
    <w:rsid w:val="117B31D8"/>
    <w:rsid w:val="117C5800"/>
    <w:rsid w:val="117F2522"/>
    <w:rsid w:val="117F692E"/>
    <w:rsid w:val="11811FB2"/>
    <w:rsid w:val="11834A5E"/>
    <w:rsid w:val="1184087E"/>
    <w:rsid w:val="11841CF1"/>
    <w:rsid w:val="1187183B"/>
    <w:rsid w:val="11877731"/>
    <w:rsid w:val="11904C15"/>
    <w:rsid w:val="119A56B6"/>
    <w:rsid w:val="119A7465"/>
    <w:rsid w:val="119B4986"/>
    <w:rsid w:val="119F0C58"/>
    <w:rsid w:val="11A73946"/>
    <w:rsid w:val="11A91EAF"/>
    <w:rsid w:val="11A933C1"/>
    <w:rsid w:val="11AD3FA5"/>
    <w:rsid w:val="11AF72D9"/>
    <w:rsid w:val="11B313CD"/>
    <w:rsid w:val="11B41502"/>
    <w:rsid w:val="11B617F9"/>
    <w:rsid w:val="11B634B2"/>
    <w:rsid w:val="11B82A25"/>
    <w:rsid w:val="11BA18B5"/>
    <w:rsid w:val="11BD61FD"/>
    <w:rsid w:val="11C10E95"/>
    <w:rsid w:val="11C62793"/>
    <w:rsid w:val="11C65094"/>
    <w:rsid w:val="11C8066C"/>
    <w:rsid w:val="11D01C1A"/>
    <w:rsid w:val="11D50416"/>
    <w:rsid w:val="11D706B9"/>
    <w:rsid w:val="11DA3F34"/>
    <w:rsid w:val="11DD679F"/>
    <w:rsid w:val="11DF3183"/>
    <w:rsid w:val="11E50174"/>
    <w:rsid w:val="11EA3D35"/>
    <w:rsid w:val="11EA3D3D"/>
    <w:rsid w:val="11F36B75"/>
    <w:rsid w:val="11F376A2"/>
    <w:rsid w:val="11FF6FEE"/>
    <w:rsid w:val="120574CD"/>
    <w:rsid w:val="120E00DD"/>
    <w:rsid w:val="120E745C"/>
    <w:rsid w:val="12105979"/>
    <w:rsid w:val="1213403F"/>
    <w:rsid w:val="12135469"/>
    <w:rsid w:val="12147270"/>
    <w:rsid w:val="12170AB5"/>
    <w:rsid w:val="121854FD"/>
    <w:rsid w:val="121E5225"/>
    <w:rsid w:val="12207BEF"/>
    <w:rsid w:val="12211287"/>
    <w:rsid w:val="12222BF6"/>
    <w:rsid w:val="12260CF8"/>
    <w:rsid w:val="122800EE"/>
    <w:rsid w:val="12286827"/>
    <w:rsid w:val="12290356"/>
    <w:rsid w:val="122D2087"/>
    <w:rsid w:val="122D4715"/>
    <w:rsid w:val="12314C13"/>
    <w:rsid w:val="123352F4"/>
    <w:rsid w:val="123577AE"/>
    <w:rsid w:val="123A29F6"/>
    <w:rsid w:val="123B5AEC"/>
    <w:rsid w:val="123B6480"/>
    <w:rsid w:val="124224D8"/>
    <w:rsid w:val="1246139A"/>
    <w:rsid w:val="1247215F"/>
    <w:rsid w:val="12492F09"/>
    <w:rsid w:val="12497463"/>
    <w:rsid w:val="1253578D"/>
    <w:rsid w:val="12540F6D"/>
    <w:rsid w:val="12543AB7"/>
    <w:rsid w:val="12552577"/>
    <w:rsid w:val="1256449A"/>
    <w:rsid w:val="125C7F72"/>
    <w:rsid w:val="125F4E9A"/>
    <w:rsid w:val="125F6A60"/>
    <w:rsid w:val="126162C8"/>
    <w:rsid w:val="12692A0B"/>
    <w:rsid w:val="126A6E9E"/>
    <w:rsid w:val="126B22C3"/>
    <w:rsid w:val="126B2FF3"/>
    <w:rsid w:val="126C3473"/>
    <w:rsid w:val="126C7CBB"/>
    <w:rsid w:val="12702E3D"/>
    <w:rsid w:val="12740163"/>
    <w:rsid w:val="12743581"/>
    <w:rsid w:val="12752559"/>
    <w:rsid w:val="12753B5A"/>
    <w:rsid w:val="1276503D"/>
    <w:rsid w:val="127879DE"/>
    <w:rsid w:val="12802E75"/>
    <w:rsid w:val="128618E7"/>
    <w:rsid w:val="128819B3"/>
    <w:rsid w:val="12891287"/>
    <w:rsid w:val="128B14A3"/>
    <w:rsid w:val="128C738D"/>
    <w:rsid w:val="128D4518"/>
    <w:rsid w:val="128D6A97"/>
    <w:rsid w:val="128E0207"/>
    <w:rsid w:val="129030C3"/>
    <w:rsid w:val="129156F4"/>
    <w:rsid w:val="129157CC"/>
    <w:rsid w:val="12937B56"/>
    <w:rsid w:val="129560B2"/>
    <w:rsid w:val="129C0166"/>
    <w:rsid w:val="129C22E3"/>
    <w:rsid w:val="129C4813"/>
    <w:rsid w:val="129C545E"/>
    <w:rsid w:val="129D7BD3"/>
    <w:rsid w:val="129F0F3E"/>
    <w:rsid w:val="12A06B97"/>
    <w:rsid w:val="12A07CBC"/>
    <w:rsid w:val="12AE1A53"/>
    <w:rsid w:val="12B22A22"/>
    <w:rsid w:val="12B3262E"/>
    <w:rsid w:val="12B73D7E"/>
    <w:rsid w:val="12B82803"/>
    <w:rsid w:val="12B920FE"/>
    <w:rsid w:val="12C07E4F"/>
    <w:rsid w:val="12C14EC5"/>
    <w:rsid w:val="12C37CA4"/>
    <w:rsid w:val="12C50511"/>
    <w:rsid w:val="12CC1407"/>
    <w:rsid w:val="12CF1DFE"/>
    <w:rsid w:val="12CF4E63"/>
    <w:rsid w:val="12D032FE"/>
    <w:rsid w:val="12D1070B"/>
    <w:rsid w:val="12D472E0"/>
    <w:rsid w:val="12D63F19"/>
    <w:rsid w:val="12D73493"/>
    <w:rsid w:val="12D9062E"/>
    <w:rsid w:val="12D95003"/>
    <w:rsid w:val="12DB4763"/>
    <w:rsid w:val="12DC2DD5"/>
    <w:rsid w:val="12DD322B"/>
    <w:rsid w:val="12DD5AD3"/>
    <w:rsid w:val="12DD7FCB"/>
    <w:rsid w:val="12E35949"/>
    <w:rsid w:val="12E7492B"/>
    <w:rsid w:val="12E81997"/>
    <w:rsid w:val="12EE4E48"/>
    <w:rsid w:val="12F15C48"/>
    <w:rsid w:val="12FA553E"/>
    <w:rsid w:val="12FB2AD1"/>
    <w:rsid w:val="12FC5317"/>
    <w:rsid w:val="12FD31E3"/>
    <w:rsid w:val="12FF78F0"/>
    <w:rsid w:val="13000903"/>
    <w:rsid w:val="130434E2"/>
    <w:rsid w:val="13044734"/>
    <w:rsid w:val="13095EA6"/>
    <w:rsid w:val="130C36F5"/>
    <w:rsid w:val="130D1EB8"/>
    <w:rsid w:val="130D3F3F"/>
    <w:rsid w:val="130E627A"/>
    <w:rsid w:val="13135720"/>
    <w:rsid w:val="13152E73"/>
    <w:rsid w:val="13164CCC"/>
    <w:rsid w:val="13185C9A"/>
    <w:rsid w:val="131A07A7"/>
    <w:rsid w:val="131D3F3F"/>
    <w:rsid w:val="131E114A"/>
    <w:rsid w:val="131E5C78"/>
    <w:rsid w:val="13207E3D"/>
    <w:rsid w:val="132330EC"/>
    <w:rsid w:val="13272F7A"/>
    <w:rsid w:val="13280AA0"/>
    <w:rsid w:val="13280D58"/>
    <w:rsid w:val="13294205"/>
    <w:rsid w:val="132A2A6A"/>
    <w:rsid w:val="132A4818"/>
    <w:rsid w:val="13327DF3"/>
    <w:rsid w:val="133607A2"/>
    <w:rsid w:val="13392190"/>
    <w:rsid w:val="133A5F2D"/>
    <w:rsid w:val="133B02A1"/>
    <w:rsid w:val="134031FF"/>
    <w:rsid w:val="13405DEA"/>
    <w:rsid w:val="13426006"/>
    <w:rsid w:val="134530A2"/>
    <w:rsid w:val="13487F20"/>
    <w:rsid w:val="134C7D72"/>
    <w:rsid w:val="134E5F16"/>
    <w:rsid w:val="13520775"/>
    <w:rsid w:val="13532A60"/>
    <w:rsid w:val="13596447"/>
    <w:rsid w:val="135D1855"/>
    <w:rsid w:val="135D47D6"/>
    <w:rsid w:val="135E4A3B"/>
    <w:rsid w:val="135F25EB"/>
    <w:rsid w:val="13634322"/>
    <w:rsid w:val="13643591"/>
    <w:rsid w:val="13647A2C"/>
    <w:rsid w:val="13655B79"/>
    <w:rsid w:val="13663307"/>
    <w:rsid w:val="136C559A"/>
    <w:rsid w:val="137112BD"/>
    <w:rsid w:val="1373161F"/>
    <w:rsid w:val="137318FD"/>
    <w:rsid w:val="13756B7B"/>
    <w:rsid w:val="137952A3"/>
    <w:rsid w:val="137B1518"/>
    <w:rsid w:val="137F36C4"/>
    <w:rsid w:val="1382443F"/>
    <w:rsid w:val="13825313"/>
    <w:rsid w:val="13846BF7"/>
    <w:rsid w:val="13876570"/>
    <w:rsid w:val="138A3EBF"/>
    <w:rsid w:val="138C51CB"/>
    <w:rsid w:val="138F098D"/>
    <w:rsid w:val="13921DC5"/>
    <w:rsid w:val="1395190E"/>
    <w:rsid w:val="13954387"/>
    <w:rsid w:val="139C4312"/>
    <w:rsid w:val="139C6436"/>
    <w:rsid w:val="139D3B17"/>
    <w:rsid w:val="139E70AB"/>
    <w:rsid w:val="139E7437"/>
    <w:rsid w:val="139E77DC"/>
    <w:rsid w:val="13A000F6"/>
    <w:rsid w:val="13A030D3"/>
    <w:rsid w:val="13A426E7"/>
    <w:rsid w:val="13AA42FF"/>
    <w:rsid w:val="13AB7860"/>
    <w:rsid w:val="13B3616F"/>
    <w:rsid w:val="13B54A2A"/>
    <w:rsid w:val="13BB1914"/>
    <w:rsid w:val="13BB394B"/>
    <w:rsid w:val="13BD38DE"/>
    <w:rsid w:val="13BE39C4"/>
    <w:rsid w:val="13C02EF2"/>
    <w:rsid w:val="13C16115"/>
    <w:rsid w:val="13C4631F"/>
    <w:rsid w:val="13C61AAD"/>
    <w:rsid w:val="13C9338B"/>
    <w:rsid w:val="13C954BF"/>
    <w:rsid w:val="13C95551"/>
    <w:rsid w:val="13CA7E81"/>
    <w:rsid w:val="13CE3959"/>
    <w:rsid w:val="13D01085"/>
    <w:rsid w:val="13D832D8"/>
    <w:rsid w:val="13DA0A60"/>
    <w:rsid w:val="13DB16F5"/>
    <w:rsid w:val="13DD326F"/>
    <w:rsid w:val="13DD7ADC"/>
    <w:rsid w:val="13DF5603"/>
    <w:rsid w:val="13E15FEC"/>
    <w:rsid w:val="13E309FE"/>
    <w:rsid w:val="13E4763B"/>
    <w:rsid w:val="13E5100F"/>
    <w:rsid w:val="13E96269"/>
    <w:rsid w:val="13ED0338"/>
    <w:rsid w:val="13F310AE"/>
    <w:rsid w:val="13FB5A1F"/>
    <w:rsid w:val="13FE1EF4"/>
    <w:rsid w:val="14006FFF"/>
    <w:rsid w:val="140451CC"/>
    <w:rsid w:val="14062144"/>
    <w:rsid w:val="1409188F"/>
    <w:rsid w:val="140B4459"/>
    <w:rsid w:val="140B7B34"/>
    <w:rsid w:val="14164682"/>
    <w:rsid w:val="14164ACE"/>
    <w:rsid w:val="141D3FD0"/>
    <w:rsid w:val="141F00F5"/>
    <w:rsid w:val="14213CE1"/>
    <w:rsid w:val="14246200"/>
    <w:rsid w:val="14254615"/>
    <w:rsid w:val="142919F4"/>
    <w:rsid w:val="142B1DB8"/>
    <w:rsid w:val="142C5DFB"/>
    <w:rsid w:val="143011BE"/>
    <w:rsid w:val="14305170"/>
    <w:rsid w:val="14305E5E"/>
    <w:rsid w:val="14314016"/>
    <w:rsid w:val="14314D8F"/>
    <w:rsid w:val="143D4447"/>
    <w:rsid w:val="143E60BA"/>
    <w:rsid w:val="143F4FE6"/>
    <w:rsid w:val="14403D23"/>
    <w:rsid w:val="1441204A"/>
    <w:rsid w:val="14422B7A"/>
    <w:rsid w:val="144259B0"/>
    <w:rsid w:val="14433C51"/>
    <w:rsid w:val="14446229"/>
    <w:rsid w:val="14487D3B"/>
    <w:rsid w:val="144D0E4C"/>
    <w:rsid w:val="144F7E0D"/>
    <w:rsid w:val="14524026"/>
    <w:rsid w:val="145410E4"/>
    <w:rsid w:val="14552B2B"/>
    <w:rsid w:val="145A2201"/>
    <w:rsid w:val="145C30F7"/>
    <w:rsid w:val="14680946"/>
    <w:rsid w:val="146F01E6"/>
    <w:rsid w:val="147037D0"/>
    <w:rsid w:val="14733F9D"/>
    <w:rsid w:val="14740441"/>
    <w:rsid w:val="147717D3"/>
    <w:rsid w:val="147930A4"/>
    <w:rsid w:val="14796DE3"/>
    <w:rsid w:val="147B65B0"/>
    <w:rsid w:val="14801D46"/>
    <w:rsid w:val="14817BB1"/>
    <w:rsid w:val="14825260"/>
    <w:rsid w:val="1483392F"/>
    <w:rsid w:val="148431D5"/>
    <w:rsid w:val="14866D92"/>
    <w:rsid w:val="148868B2"/>
    <w:rsid w:val="14891A12"/>
    <w:rsid w:val="148B634C"/>
    <w:rsid w:val="148F3211"/>
    <w:rsid w:val="14936AC7"/>
    <w:rsid w:val="149842A0"/>
    <w:rsid w:val="149C42E5"/>
    <w:rsid w:val="149F3BD0"/>
    <w:rsid w:val="14A12325"/>
    <w:rsid w:val="14A145F6"/>
    <w:rsid w:val="14A26437"/>
    <w:rsid w:val="14A27301"/>
    <w:rsid w:val="14A5011C"/>
    <w:rsid w:val="14A625C4"/>
    <w:rsid w:val="14A8770F"/>
    <w:rsid w:val="14AF76E6"/>
    <w:rsid w:val="14B051F1"/>
    <w:rsid w:val="14B1400E"/>
    <w:rsid w:val="14B16B89"/>
    <w:rsid w:val="14B20F69"/>
    <w:rsid w:val="14B22D17"/>
    <w:rsid w:val="14B30151"/>
    <w:rsid w:val="14B73C73"/>
    <w:rsid w:val="14B80D00"/>
    <w:rsid w:val="14BB3F8E"/>
    <w:rsid w:val="14BC76F2"/>
    <w:rsid w:val="14C53E47"/>
    <w:rsid w:val="14C6033A"/>
    <w:rsid w:val="14C60FF0"/>
    <w:rsid w:val="14CD16DD"/>
    <w:rsid w:val="14D036B3"/>
    <w:rsid w:val="14D20C44"/>
    <w:rsid w:val="14D30AF7"/>
    <w:rsid w:val="14D5194F"/>
    <w:rsid w:val="14D860D5"/>
    <w:rsid w:val="14DA401C"/>
    <w:rsid w:val="14DD2204"/>
    <w:rsid w:val="14DD4D66"/>
    <w:rsid w:val="14E55344"/>
    <w:rsid w:val="14E75B4B"/>
    <w:rsid w:val="14EA2182"/>
    <w:rsid w:val="14EA49CA"/>
    <w:rsid w:val="14EB4129"/>
    <w:rsid w:val="14EE6124"/>
    <w:rsid w:val="14F41F08"/>
    <w:rsid w:val="14F91B36"/>
    <w:rsid w:val="14F95023"/>
    <w:rsid w:val="14FB0084"/>
    <w:rsid w:val="14FB7198"/>
    <w:rsid w:val="14FD1A7C"/>
    <w:rsid w:val="150233DB"/>
    <w:rsid w:val="15065F61"/>
    <w:rsid w:val="15072FA4"/>
    <w:rsid w:val="150B48FF"/>
    <w:rsid w:val="15112FC4"/>
    <w:rsid w:val="15115C90"/>
    <w:rsid w:val="1512660A"/>
    <w:rsid w:val="15167DEC"/>
    <w:rsid w:val="15176ECC"/>
    <w:rsid w:val="15191999"/>
    <w:rsid w:val="151C1861"/>
    <w:rsid w:val="151C2715"/>
    <w:rsid w:val="151C63E2"/>
    <w:rsid w:val="151D2FF0"/>
    <w:rsid w:val="151E6112"/>
    <w:rsid w:val="15267261"/>
    <w:rsid w:val="15274263"/>
    <w:rsid w:val="15294C1F"/>
    <w:rsid w:val="152A5B30"/>
    <w:rsid w:val="152C2831"/>
    <w:rsid w:val="152D16D9"/>
    <w:rsid w:val="152D704E"/>
    <w:rsid w:val="15300558"/>
    <w:rsid w:val="15317A87"/>
    <w:rsid w:val="15323E58"/>
    <w:rsid w:val="15332F5B"/>
    <w:rsid w:val="15335AEB"/>
    <w:rsid w:val="15371F3B"/>
    <w:rsid w:val="15381F4D"/>
    <w:rsid w:val="153F6F9A"/>
    <w:rsid w:val="15453B8B"/>
    <w:rsid w:val="15484F82"/>
    <w:rsid w:val="15493C26"/>
    <w:rsid w:val="154954BA"/>
    <w:rsid w:val="15496017"/>
    <w:rsid w:val="154B2D39"/>
    <w:rsid w:val="155004AB"/>
    <w:rsid w:val="15505057"/>
    <w:rsid w:val="1551010C"/>
    <w:rsid w:val="155344FA"/>
    <w:rsid w:val="15534A07"/>
    <w:rsid w:val="15534BF6"/>
    <w:rsid w:val="155C5362"/>
    <w:rsid w:val="155C7CCC"/>
    <w:rsid w:val="155E4D28"/>
    <w:rsid w:val="15602773"/>
    <w:rsid w:val="15663646"/>
    <w:rsid w:val="1569325E"/>
    <w:rsid w:val="1569732F"/>
    <w:rsid w:val="156D4E90"/>
    <w:rsid w:val="15705D60"/>
    <w:rsid w:val="15720696"/>
    <w:rsid w:val="157224A6"/>
    <w:rsid w:val="15746188"/>
    <w:rsid w:val="15760775"/>
    <w:rsid w:val="15787ABD"/>
    <w:rsid w:val="157B57FF"/>
    <w:rsid w:val="157C75B5"/>
    <w:rsid w:val="157D35B8"/>
    <w:rsid w:val="157D75D9"/>
    <w:rsid w:val="157E709D"/>
    <w:rsid w:val="15884461"/>
    <w:rsid w:val="15892697"/>
    <w:rsid w:val="158E3ADC"/>
    <w:rsid w:val="15905142"/>
    <w:rsid w:val="15915022"/>
    <w:rsid w:val="15943A43"/>
    <w:rsid w:val="15A02392"/>
    <w:rsid w:val="15A03437"/>
    <w:rsid w:val="15A72094"/>
    <w:rsid w:val="15AB315A"/>
    <w:rsid w:val="15AD2447"/>
    <w:rsid w:val="15B11F48"/>
    <w:rsid w:val="15B318AF"/>
    <w:rsid w:val="15BC32CD"/>
    <w:rsid w:val="15BD0ABA"/>
    <w:rsid w:val="15BE7B63"/>
    <w:rsid w:val="15BF713A"/>
    <w:rsid w:val="15C076C7"/>
    <w:rsid w:val="15C539E1"/>
    <w:rsid w:val="15C72A02"/>
    <w:rsid w:val="15C84401"/>
    <w:rsid w:val="15CB7F45"/>
    <w:rsid w:val="15CD632F"/>
    <w:rsid w:val="15D44FD1"/>
    <w:rsid w:val="15D70141"/>
    <w:rsid w:val="15D80023"/>
    <w:rsid w:val="15DC5664"/>
    <w:rsid w:val="15DD7A26"/>
    <w:rsid w:val="15DE20E9"/>
    <w:rsid w:val="15DF0D5B"/>
    <w:rsid w:val="15E433A4"/>
    <w:rsid w:val="15E463BE"/>
    <w:rsid w:val="15E80F23"/>
    <w:rsid w:val="15E82661"/>
    <w:rsid w:val="15EA043F"/>
    <w:rsid w:val="15EE0332"/>
    <w:rsid w:val="15F01D49"/>
    <w:rsid w:val="15F630D7"/>
    <w:rsid w:val="15F67BD9"/>
    <w:rsid w:val="15F7682B"/>
    <w:rsid w:val="15FC3086"/>
    <w:rsid w:val="15FF261B"/>
    <w:rsid w:val="16020483"/>
    <w:rsid w:val="16022B3E"/>
    <w:rsid w:val="16072F15"/>
    <w:rsid w:val="160E45CE"/>
    <w:rsid w:val="16114A63"/>
    <w:rsid w:val="161306EA"/>
    <w:rsid w:val="161377E5"/>
    <w:rsid w:val="16175EE7"/>
    <w:rsid w:val="161823CD"/>
    <w:rsid w:val="161D076A"/>
    <w:rsid w:val="161E02E4"/>
    <w:rsid w:val="16241401"/>
    <w:rsid w:val="162866CF"/>
    <w:rsid w:val="16286DA8"/>
    <w:rsid w:val="16323318"/>
    <w:rsid w:val="163A4A77"/>
    <w:rsid w:val="163C64B0"/>
    <w:rsid w:val="163E126F"/>
    <w:rsid w:val="164334E2"/>
    <w:rsid w:val="16433843"/>
    <w:rsid w:val="164E7977"/>
    <w:rsid w:val="165105C6"/>
    <w:rsid w:val="16531C8B"/>
    <w:rsid w:val="165322D8"/>
    <w:rsid w:val="165756CD"/>
    <w:rsid w:val="165A27A7"/>
    <w:rsid w:val="165A50EE"/>
    <w:rsid w:val="165D5898"/>
    <w:rsid w:val="166941D0"/>
    <w:rsid w:val="1669697A"/>
    <w:rsid w:val="166D331B"/>
    <w:rsid w:val="16705D42"/>
    <w:rsid w:val="167139D4"/>
    <w:rsid w:val="16727478"/>
    <w:rsid w:val="16741767"/>
    <w:rsid w:val="16753024"/>
    <w:rsid w:val="1676323C"/>
    <w:rsid w:val="16774218"/>
    <w:rsid w:val="167F21CA"/>
    <w:rsid w:val="167F489F"/>
    <w:rsid w:val="16841586"/>
    <w:rsid w:val="168521A1"/>
    <w:rsid w:val="168928DA"/>
    <w:rsid w:val="16910FE6"/>
    <w:rsid w:val="16914A0C"/>
    <w:rsid w:val="1692554A"/>
    <w:rsid w:val="16930695"/>
    <w:rsid w:val="16931B7E"/>
    <w:rsid w:val="16941A41"/>
    <w:rsid w:val="16974E16"/>
    <w:rsid w:val="1699418F"/>
    <w:rsid w:val="169B431E"/>
    <w:rsid w:val="169C5A2D"/>
    <w:rsid w:val="169E27CA"/>
    <w:rsid w:val="169E3515"/>
    <w:rsid w:val="169F638D"/>
    <w:rsid w:val="16A06D93"/>
    <w:rsid w:val="16A15313"/>
    <w:rsid w:val="16A4162C"/>
    <w:rsid w:val="16A76D60"/>
    <w:rsid w:val="16A85518"/>
    <w:rsid w:val="16AA5087"/>
    <w:rsid w:val="16AD7691"/>
    <w:rsid w:val="16B00956"/>
    <w:rsid w:val="16B31B35"/>
    <w:rsid w:val="16B37D08"/>
    <w:rsid w:val="16B37F09"/>
    <w:rsid w:val="16B85B2F"/>
    <w:rsid w:val="16B97D60"/>
    <w:rsid w:val="16BB38F5"/>
    <w:rsid w:val="16BE3BD7"/>
    <w:rsid w:val="16C11A25"/>
    <w:rsid w:val="16C266AF"/>
    <w:rsid w:val="16C33F9B"/>
    <w:rsid w:val="16C531D6"/>
    <w:rsid w:val="16C54148"/>
    <w:rsid w:val="16C67E87"/>
    <w:rsid w:val="16C9223B"/>
    <w:rsid w:val="16D52CED"/>
    <w:rsid w:val="16D54FE6"/>
    <w:rsid w:val="16D67EF2"/>
    <w:rsid w:val="16D76B52"/>
    <w:rsid w:val="16D80E94"/>
    <w:rsid w:val="16D927DD"/>
    <w:rsid w:val="16E00C40"/>
    <w:rsid w:val="16E0180F"/>
    <w:rsid w:val="16E01DBD"/>
    <w:rsid w:val="16E06EEB"/>
    <w:rsid w:val="16E13E35"/>
    <w:rsid w:val="16E573D4"/>
    <w:rsid w:val="16E62C27"/>
    <w:rsid w:val="16E72356"/>
    <w:rsid w:val="16E80C72"/>
    <w:rsid w:val="16EA2A4B"/>
    <w:rsid w:val="16EC371F"/>
    <w:rsid w:val="16EC50F0"/>
    <w:rsid w:val="16F0610F"/>
    <w:rsid w:val="16F969CF"/>
    <w:rsid w:val="16FC4EA4"/>
    <w:rsid w:val="16FE0496"/>
    <w:rsid w:val="17035D2C"/>
    <w:rsid w:val="170C43EC"/>
    <w:rsid w:val="170D1B80"/>
    <w:rsid w:val="170E744F"/>
    <w:rsid w:val="17150CB8"/>
    <w:rsid w:val="17183A6D"/>
    <w:rsid w:val="171B1203"/>
    <w:rsid w:val="171C75B5"/>
    <w:rsid w:val="17262875"/>
    <w:rsid w:val="17292F1C"/>
    <w:rsid w:val="17296BCA"/>
    <w:rsid w:val="172D533E"/>
    <w:rsid w:val="17334DBA"/>
    <w:rsid w:val="173A5E6F"/>
    <w:rsid w:val="173D6B60"/>
    <w:rsid w:val="17423987"/>
    <w:rsid w:val="17441EE7"/>
    <w:rsid w:val="17454E0D"/>
    <w:rsid w:val="17481BE5"/>
    <w:rsid w:val="17487963"/>
    <w:rsid w:val="175361F1"/>
    <w:rsid w:val="17555A1B"/>
    <w:rsid w:val="17576FD3"/>
    <w:rsid w:val="175C55F1"/>
    <w:rsid w:val="175C7C71"/>
    <w:rsid w:val="17605F65"/>
    <w:rsid w:val="176144D7"/>
    <w:rsid w:val="17637A95"/>
    <w:rsid w:val="17682DC4"/>
    <w:rsid w:val="17695D8A"/>
    <w:rsid w:val="176D4EF0"/>
    <w:rsid w:val="176E27B1"/>
    <w:rsid w:val="176F4EEF"/>
    <w:rsid w:val="17702617"/>
    <w:rsid w:val="177341AD"/>
    <w:rsid w:val="17750CCF"/>
    <w:rsid w:val="17824C23"/>
    <w:rsid w:val="17835231"/>
    <w:rsid w:val="17835384"/>
    <w:rsid w:val="178375D4"/>
    <w:rsid w:val="17840AB9"/>
    <w:rsid w:val="17853C3F"/>
    <w:rsid w:val="17895AB9"/>
    <w:rsid w:val="17921C6E"/>
    <w:rsid w:val="17924C84"/>
    <w:rsid w:val="17934294"/>
    <w:rsid w:val="17934734"/>
    <w:rsid w:val="1794346C"/>
    <w:rsid w:val="1794532A"/>
    <w:rsid w:val="17951ABD"/>
    <w:rsid w:val="179A6951"/>
    <w:rsid w:val="179E7583"/>
    <w:rsid w:val="17A23EC2"/>
    <w:rsid w:val="17A42459"/>
    <w:rsid w:val="17A47475"/>
    <w:rsid w:val="17A613E4"/>
    <w:rsid w:val="17A6192A"/>
    <w:rsid w:val="17A63283"/>
    <w:rsid w:val="17A6430E"/>
    <w:rsid w:val="17A833F3"/>
    <w:rsid w:val="17AD77C6"/>
    <w:rsid w:val="17AE0751"/>
    <w:rsid w:val="17AE3CED"/>
    <w:rsid w:val="17AE673C"/>
    <w:rsid w:val="17B21108"/>
    <w:rsid w:val="17B5244A"/>
    <w:rsid w:val="17B778F0"/>
    <w:rsid w:val="17B9318C"/>
    <w:rsid w:val="17B943BD"/>
    <w:rsid w:val="17C36FE9"/>
    <w:rsid w:val="17C51F1C"/>
    <w:rsid w:val="17CB234B"/>
    <w:rsid w:val="17CC00BD"/>
    <w:rsid w:val="17CC0594"/>
    <w:rsid w:val="17CC19F4"/>
    <w:rsid w:val="17CF673B"/>
    <w:rsid w:val="17D835D7"/>
    <w:rsid w:val="17DA7F0E"/>
    <w:rsid w:val="17DD3DA8"/>
    <w:rsid w:val="17DE35AA"/>
    <w:rsid w:val="17E31439"/>
    <w:rsid w:val="17E53404"/>
    <w:rsid w:val="17E54EEF"/>
    <w:rsid w:val="17E63634"/>
    <w:rsid w:val="17E70B2D"/>
    <w:rsid w:val="17F1747B"/>
    <w:rsid w:val="17F278DA"/>
    <w:rsid w:val="17F37FAF"/>
    <w:rsid w:val="17F669E5"/>
    <w:rsid w:val="17FF21F6"/>
    <w:rsid w:val="1809296A"/>
    <w:rsid w:val="180B214B"/>
    <w:rsid w:val="180C7045"/>
    <w:rsid w:val="18115AA7"/>
    <w:rsid w:val="18117D55"/>
    <w:rsid w:val="18131D1F"/>
    <w:rsid w:val="18193D95"/>
    <w:rsid w:val="181D2B9D"/>
    <w:rsid w:val="181E3737"/>
    <w:rsid w:val="1828404F"/>
    <w:rsid w:val="182A5897"/>
    <w:rsid w:val="182B019A"/>
    <w:rsid w:val="183323C1"/>
    <w:rsid w:val="18335F1D"/>
    <w:rsid w:val="18341970"/>
    <w:rsid w:val="18341F00"/>
    <w:rsid w:val="18375D33"/>
    <w:rsid w:val="183D1890"/>
    <w:rsid w:val="18401476"/>
    <w:rsid w:val="18402737"/>
    <w:rsid w:val="18507114"/>
    <w:rsid w:val="18510422"/>
    <w:rsid w:val="18516E98"/>
    <w:rsid w:val="18521D0E"/>
    <w:rsid w:val="18536E7D"/>
    <w:rsid w:val="18546C95"/>
    <w:rsid w:val="1855109F"/>
    <w:rsid w:val="18561E64"/>
    <w:rsid w:val="185721BE"/>
    <w:rsid w:val="185A5BA0"/>
    <w:rsid w:val="185B1796"/>
    <w:rsid w:val="185E2BAE"/>
    <w:rsid w:val="185F6EAE"/>
    <w:rsid w:val="1861767D"/>
    <w:rsid w:val="18622CA6"/>
    <w:rsid w:val="186D2D35"/>
    <w:rsid w:val="186E0F51"/>
    <w:rsid w:val="186E3344"/>
    <w:rsid w:val="186E3F9C"/>
    <w:rsid w:val="18730CCA"/>
    <w:rsid w:val="18730F8D"/>
    <w:rsid w:val="187F5511"/>
    <w:rsid w:val="1880732E"/>
    <w:rsid w:val="18817AFD"/>
    <w:rsid w:val="188A5CD8"/>
    <w:rsid w:val="188C060B"/>
    <w:rsid w:val="188C387F"/>
    <w:rsid w:val="188D1E75"/>
    <w:rsid w:val="188E5D6C"/>
    <w:rsid w:val="18980476"/>
    <w:rsid w:val="189866C8"/>
    <w:rsid w:val="189E468E"/>
    <w:rsid w:val="18A014C3"/>
    <w:rsid w:val="18A749AF"/>
    <w:rsid w:val="18A84B5D"/>
    <w:rsid w:val="18A921DD"/>
    <w:rsid w:val="18AA4894"/>
    <w:rsid w:val="18AA4A46"/>
    <w:rsid w:val="18AE2784"/>
    <w:rsid w:val="18B23B88"/>
    <w:rsid w:val="18B267C7"/>
    <w:rsid w:val="18B41319"/>
    <w:rsid w:val="18B42F6F"/>
    <w:rsid w:val="18B50016"/>
    <w:rsid w:val="18B76B4E"/>
    <w:rsid w:val="18C32E41"/>
    <w:rsid w:val="18C51ABF"/>
    <w:rsid w:val="18C95066"/>
    <w:rsid w:val="18C96248"/>
    <w:rsid w:val="18CA44D9"/>
    <w:rsid w:val="18CB39A2"/>
    <w:rsid w:val="18CB4674"/>
    <w:rsid w:val="18CC4BDE"/>
    <w:rsid w:val="18D254BB"/>
    <w:rsid w:val="18D70F9E"/>
    <w:rsid w:val="18D8016A"/>
    <w:rsid w:val="18DE1EFF"/>
    <w:rsid w:val="18DF2AD4"/>
    <w:rsid w:val="18E13BCB"/>
    <w:rsid w:val="18E40558"/>
    <w:rsid w:val="18E413B7"/>
    <w:rsid w:val="18E4788B"/>
    <w:rsid w:val="18E90CD1"/>
    <w:rsid w:val="18EC2527"/>
    <w:rsid w:val="18EC4704"/>
    <w:rsid w:val="18ED07C2"/>
    <w:rsid w:val="18F24700"/>
    <w:rsid w:val="18F35EF3"/>
    <w:rsid w:val="18F8715A"/>
    <w:rsid w:val="18FE3AB7"/>
    <w:rsid w:val="18FE679F"/>
    <w:rsid w:val="190031AC"/>
    <w:rsid w:val="190045D2"/>
    <w:rsid w:val="19006747"/>
    <w:rsid w:val="19056A31"/>
    <w:rsid w:val="19062965"/>
    <w:rsid w:val="19081039"/>
    <w:rsid w:val="190855FC"/>
    <w:rsid w:val="190E42BC"/>
    <w:rsid w:val="190E4548"/>
    <w:rsid w:val="190F698A"/>
    <w:rsid w:val="190F7A09"/>
    <w:rsid w:val="191044B0"/>
    <w:rsid w:val="191626DB"/>
    <w:rsid w:val="191723E7"/>
    <w:rsid w:val="1917583F"/>
    <w:rsid w:val="191B1947"/>
    <w:rsid w:val="192156DA"/>
    <w:rsid w:val="19224D6B"/>
    <w:rsid w:val="19236497"/>
    <w:rsid w:val="19241D0A"/>
    <w:rsid w:val="192623AC"/>
    <w:rsid w:val="192740F7"/>
    <w:rsid w:val="192C1510"/>
    <w:rsid w:val="193210A3"/>
    <w:rsid w:val="19332A6A"/>
    <w:rsid w:val="19336010"/>
    <w:rsid w:val="193441CF"/>
    <w:rsid w:val="19346B74"/>
    <w:rsid w:val="19397C57"/>
    <w:rsid w:val="193E54D3"/>
    <w:rsid w:val="1940096B"/>
    <w:rsid w:val="194550B5"/>
    <w:rsid w:val="194566C5"/>
    <w:rsid w:val="19462E13"/>
    <w:rsid w:val="1947204F"/>
    <w:rsid w:val="19475E02"/>
    <w:rsid w:val="19482A30"/>
    <w:rsid w:val="194D0A76"/>
    <w:rsid w:val="194E072B"/>
    <w:rsid w:val="194E4454"/>
    <w:rsid w:val="194F2F5E"/>
    <w:rsid w:val="194F73FC"/>
    <w:rsid w:val="19514BAB"/>
    <w:rsid w:val="19520018"/>
    <w:rsid w:val="195D4F79"/>
    <w:rsid w:val="19614022"/>
    <w:rsid w:val="19666180"/>
    <w:rsid w:val="19670469"/>
    <w:rsid w:val="1969253D"/>
    <w:rsid w:val="196B16E7"/>
    <w:rsid w:val="196B7938"/>
    <w:rsid w:val="196D60F1"/>
    <w:rsid w:val="196F2822"/>
    <w:rsid w:val="197035D1"/>
    <w:rsid w:val="19704F4F"/>
    <w:rsid w:val="19706A27"/>
    <w:rsid w:val="197079E0"/>
    <w:rsid w:val="19720CC7"/>
    <w:rsid w:val="19762565"/>
    <w:rsid w:val="19790AF0"/>
    <w:rsid w:val="19793210"/>
    <w:rsid w:val="197C32DE"/>
    <w:rsid w:val="197C6D4B"/>
    <w:rsid w:val="1981731A"/>
    <w:rsid w:val="19836A30"/>
    <w:rsid w:val="19856C4C"/>
    <w:rsid w:val="19862A0D"/>
    <w:rsid w:val="1986727E"/>
    <w:rsid w:val="19872E81"/>
    <w:rsid w:val="198A4713"/>
    <w:rsid w:val="198A74A9"/>
    <w:rsid w:val="198D5B8A"/>
    <w:rsid w:val="198D62E3"/>
    <w:rsid w:val="199127F0"/>
    <w:rsid w:val="19921369"/>
    <w:rsid w:val="19976EC8"/>
    <w:rsid w:val="199864B9"/>
    <w:rsid w:val="199A3C4D"/>
    <w:rsid w:val="199C2D44"/>
    <w:rsid w:val="199D6C06"/>
    <w:rsid w:val="199E196F"/>
    <w:rsid w:val="19A63F15"/>
    <w:rsid w:val="19A64E84"/>
    <w:rsid w:val="19A66B2E"/>
    <w:rsid w:val="19A82329"/>
    <w:rsid w:val="19A91F2D"/>
    <w:rsid w:val="19AC062E"/>
    <w:rsid w:val="19B21055"/>
    <w:rsid w:val="19B25567"/>
    <w:rsid w:val="19B80169"/>
    <w:rsid w:val="19B9693D"/>
    <w:rsid w:val="19BA4B09"/>
    <w:rsid w:val="19CA21A5"/>
    <w:rsid w:val="19CA2513"/>
    <w:rsid w:val="19CA28B1"/>
    <w:rsid w:val="19CB403C"/>
    <w:rsid w:val="19CE47C3"/>
    <w:rsid w:val="19CF098E"/>
    <w:rsid w:val="19D106F7"/>
    <w:rsid w:val="19D31C26"/>
    <w:rsid w:val="19DE4060"/>
    <w:rsid w:val="19DE635C"/>
    <w:rsid w:val="19E7580A"/>
    <w:rsid w:val="19E82D37"/>
    <w:rsid w:val="19E91122"/>
    <w:rsid w:val="19E9131D"/>
    <w:rsid w:val="19EA40FA"/>
    <w:rsid w:val="19ED0372"/>
    <w:rsid w:val="19EE2A43"/>
    <w:rsid w:val="19EF3900"/>
    <w:rsid w:val="19F11823"/>
    <w:rsid w:val="19F142E2"/>
    <w:rsid w:val="19F34585"/>
    <w:rsid w:val="19F45B80"/>
    <w:rsid w:val="19F72869"/>
    <w:rsid w:val="19F75038"/>
    <w:rsid w:val="19F81A33"/>
    <w:rsid w:val="19F85335"/>
    <w:rsid w:val="19FA46E3"/>
    <w:rsid w:val="19FB2FBC"/>
    <w:rsid w:val="19FB6F0E"/>
    <w:rsid w:val="19FC056E"/>
    <w:rsid w:val="19FE255B"/>
    <w:rsid w:val="19FE2C3F"/>
    <w:rsid w:val="1A0010B2"/>
    <w:rsid w:val="1A015C9E"/>
    <w:rsid w:val="1A064106"/>
    <w:rsid w:val="1A086107"/>
    <w:rsid w:val="1A0E1D03"/>
    <w:rsid w:val="1A0F0963"/>
    <w:rsid w:val="1A1038E6"/>
    <w:rsid w:val="1A10652C"/>
    <w:rsid w:val="1A11228E"/>
    <w:rsid w:val="1A13044D"/>
    <w:rsid w:val="1A165AF6"/>
    <w:rsid w:val="1A182217"/>
    <w:rsid w:val="1A1A16BE"/>
    <w:rsid w:val="1A1B5664"/>
    <w:rsid w:val="1A1C475A"/>
    <w:rsid w:val="1A1E0C8C"/>
    <w:rsid w:val="1A1F2D45"/>
    <w:rsid w:val="1A216CAA"/>
    <w:rsid w:val="1A221AEE"/>
    <w:rsid w:val="1A250970"/>
    <w:rsid w:val="1A2C26F6"/>
    <w:rsid w:val="1A313272"/>
    <w:rsid w:val="1A332204"/>
    <w:rsid w:val="1A351B58"/>
    <w:rsid w:val="1A361CF4"/>
    <w:rsid w:val="1A384E26"/>
    <w:rsid w:val="1A3B0C44"/>
    <w:rsid w:val="1A4130E7"/>
    <w:rsid w:val="1A420699"/>
    <w:rsid w:val="1A4275AC"/>
    <w:rsid w:val="1A4660BF"/>
    <w:rsid w:val="1A47516B"/>
    <w:rsid w:val="1A4B2811"/>
    <w:rsid w:val="1A5045A6"/>
    <w:rsid w:val="1A5630F3"/>
    <w:rsid w:val="1A573C1A"/>
    <w:rsid w:val="1A583AAA"/>
    <w:rsid w:val="1A5A7C6C"/>
    <w:rsid w:val="1A5C23F8"/>
    <w:rsid w:val="1A5F74BD"/>
    <w:rsid w:val="1A604FC3"/>
    <w:rsid w:val="1A6709DF"/>
    <w:rsid w:val="1A69225E"/>
    <w:rsid w:val="1A6A506D"/>
    <w:rsid w:val="1A6E206B"/>
    <w:rsid w:val="1A732229"/>
    <w:rsid w:val="1A740F77"/>
    <w:rsid w:val="1A742B2B"/>
    <w:rsid w:val="1A750A6F"/>
    <w:rsid w:val="1A7A5694"/>
    <w:rsid w:val="1A7A75ED"/>
    <w:rsid w:val="1A7B1C10"/>
    <w:rsid w:val="1A8124C6"/>
    <w:rsid w:val="1A846BD6"/>
    <w:rsid w:val="1A8769F4"/>
    <w:rsid w:val="1A892E86"/>
    <w:rsid w:val="1A8B3913"/>
    <w:rsid w:val="1A8D54AB"/>
    <w:rsid w:val="1A8F5B2B"/>
    <w:rsid w:val="1A90192A"/>
    <w:rsid w:val="1A901BA7"/>
    <w:rsid w:val="1A91517D"/>
    <w:rsid w:val="1A933F8A"/>
    <w:rsid w:val="1A9609E5"/>
    <w:rsid w:val="1A976AA7"/>
    <w:rsid w:val="1A997C7C"/>
    <w:rsid w:val="1A9B6B17"/>
    <w:rsid w:val="1A9D2908"/>
    <w:rsid w:val="1A9E6FBA"/>
    <w:rsid w:val="1A9F234D"/>
    <w:rsid w:val="1AA71E9F"/>
    <w:rsid w:val="1AB00288"/>
    <w:rsid w:val="1AB172C0"/>
    <w:rsid w:val="1AB245C0"/>
    <w:rsid w:val="1AB67A9C"/>
    <w:rsid w:val="1ABD2B07"/>
    <w:rsid w:val="1ABD7BF1"/>
    <w:rsid w:val="1ABF412B"/>
    <w:rsid w:val="1ABF4E2E"/>
    <w:rsid w:val="1AC05840"/>
    <w:rsid w:val="1AC121C9"/>
    <w:rsid w:val="1AC23FBF"/>
    <w:rsid w:val="1ACA3549"/>
    <w:rsid w:val="1ACA5838"/>
    <w:rsid w:val="1ACD79C3"/>
    <w:rsid w:val="1AD85DD5"/>
    <w:rsid w:val="1ADA2FC8"/>
    <w:rsid w:val="1ADC7133"/>
    <w:rsid w:val="1ADF238C"/>
    <w:rsid w:val="1AE065D8"/>
    <w:rsid w:val="1AE133F3"/>
    <w:rsid w:val="1AE307FD"/>
    <w:rsid w:val="1AE45E20"/>
    <w:rsid w:val="1AE749CD"/>
    <w:rsid w:val="1AEE0C67"/>
    <w:rsid w:val="1AEE5BD9"/>
    <w:rsid w:val="1AF25A8C"/>
    <w:rsid w:val="1AF8344E"/>
    <w:rsid w:val="1AF851FC"/>
    <w:rsid w:val="1B027E29"/>
    <w:rsid w:val="1B045B39"/>
    <w:rsid w:val="1B0B140D"/>
    <w:rsid w:val="1B0E00D5"/>
    <w:rsid w:val="1B0E70F7"/>
    <w:rsid w:val="1B104ADA"/>
    <w:rsid w:val="1B145E84"/>
    <w:rsid w:val="1B147629"/>
    <w:rsid w:val="1B1A208B"/>
    <w:rsid w:val="1B1F1037"/>
    <w:rsid w:val="1B203BFA"/>
    <w:rsid w:val="1B242117"/>
    <w:rsid w:val="1B281F85"/>
    <w:rsid w:val="1B285AE1"/>
    <w:rsid w:val="1B2B0142"/>
    <w:rsid w:val="1B2D1349"/>
    <w:rsid w:val="1B2D29C2"/>
    <w:rsid w:val="1B2F2323"/>
    <w:rsid w:val="1B2F5E94"/>
    <w:rsid w:val="1B3103E6"/>
    <w:rsid w:val="1B3330D1"/>
    <w:rsid w:val="1B350613"/>
    <w:rsid w:val="1B354A03"/>
    <w:rsid w:val="1B3A7799"/>
    <w:rsid w:val="1B48166C"/>
    <w:rsid w:val="1B5179BC"/>
    <w:rsid w:val="1B563FEE"/>
    <w:rsid w:val="1B642891"/>
    <w:rsid w:val="1B654985"/>
    <w:rsid w:val="1B662AAD"/>
    <w:rsid w:val="1B6C53ED"/>
    <w:rsid w:val="1B7300EF"/>
    <w:rsid w:val="1B746F78"/>
    <w:rsid w:val="1B773BEB"/>
    <w:rsid w:val="1B7927E1"/>
    <w:rsid w:val="1B795613"/>
    <w:rsid w:val="1B7C5E2D"/>
    <w:rsid w:val="1B7D0B45"/>
    <w:rsid w:val="1B7F3E56"/>
    <w:rsid w:val="1B8151F1"/>
    <w:rsid w:val="1B837813"/>
    <w:rsid w:val="1B862808"/>
    <w:rsid w:val="1B875456"/>
    <w:rsid w:val="1B8A117B"/>
    <w:rsid w:val="1B8D1F6A"/>
    <w:rsid w:val="1B8D72E0"/>
    <w:rsid w:val="1B903686"/>
    <w:rsid w:val="1B925B20"/>
    <w:rsid w:val="1B925E0C"/>
    <w:rsid w:val="1B995ECA"/>
    <w:rsid w:val="1B9B139E"/>
    <w:rsid w:val="1B9C457A"/>
    <w:rsid w:val="1B9C601D"/>
    <w:rsid w:val="1B9E62D0"/>
    <w:rsid w:val="1B9F3272"/>
    <w:rsid w:val="1BA04D9E"/>
    <w:rsid w:val="1BA23416"/>
    <w:rsid w:val="1BA50EE0"/>
    <w:rsid w:val="1BA64559"/>
    <w:rsid w:val="1BA92336"/>
    <w:rsid w:val="1BA93C17"/>
    <w:rsid w:val="1BAA1A87"/>
    <w:rsid w:val="1BAA1FA6"/>
    <w:rsid w:val="1BAA6348"/>
    <w:rsid w:val="1BAF0367"/>
    <w:rsid w:val="1BAF1D5E"/>
    <w:rsid w:val="1BAF5320"/>
    <w:rsid w:val="1BAF62A3"/>
    <w:rsid w:val="1BAF7FB0"/>
    <w:rsid w:val="1BB0099D"/>
    <w:rsid w:val="1BB52EB6"/>
    <w:rsid w:val="1BBD65F2"/>
    <w:rsid w:val="1BC25378"/>
    <w:rsid w:val="1BC3662E"/>
    <w:rsid w:val="1BCB2D8E"/>
    <w:rsid w:val="1BCD7638"/>
    <w:rsid w:val="1BCF20A1"/>
    <w:rsid w:val="1BD8680A"/>
    <w:rsid w:val="1BDC3332"/>
    <w:rsid w:val="1BDD21BE"/>
    <w:rsid w:val="1BDD4B1E"/>
    <w:rsid w:val="1BDD5E48"/>
    <w:rsid w:val="1BE0460E"/>
    <w:rsid w:val="1BE12C14"/>
    <w:rsid w:val="1BE35CFB"/>
    <w:rsid w:val="1BE857E4"/>
    <w:rsid w:val="1BEC14D9"/>
    <w:rsid w:val="1BF01FB5"/>
    <w:rsid w:val="1BF7103C"/>
    <w:rsid w:val="1BF84C18"/>
    <w:rsid w:val="1BF9622A"/>
    <w:rsid w:val="1BFC4F7C"/>
    <w:rsid w:val="1BFE4A94"/>
    <w:rsid w:val="1C03292B"/>
    <w:rsid w:val="1C034D6D"/>
    <w:rsid w:val="1C04196D"/>
    <w:rsid w:val="1C074774"/>
    <w:rsid w:val="1C084FD8"/>
    <w:rsid w:val="1C0F262E"/>
    <w:rsid w:val="1C1048FB"/>
    <w:rsid w:val="1C1125C6"/>
    <w:rsid w:val="1C1662FA"/>
    <w:rsid w:val="1C166D65"/>
    <w:rsid w:val="1C170783"/>
    <w:rsid w:val="1C1768D3"/>
    <w:rsid w:val="1C1E0C0C"/>
    <w:rsid w:val="1C1F103B"/>
    <w:rsid w:val="1C200004"/>
    <w:rsid w:val="1C224D86"/>
    <w:rsid w:val="1C2260AE"/>
    <w:rsid w:val="1C28134F"/>
    <w:rsid w:val="1C29184C"/>
    <w:rsid w:val="1C2964AC"/>
    <w:rsid w:val="1C2E7E1C"/>
    <w:rsid w:val="1C3A1035"/>
    <w:rsid w:val="1C3D734E"/>
    <w:rsid w:val="1C3E53C3"/>
    <w:rsid w:val="1C406E5A"/>
    <w:rsid w:val="1C420E24"/>
    <w:rsid w:val="1C4216DD"/>
    <w:rsid w:val="1C461BF4"/>
    <w:rsid w:val="1C490AB2"/>
    <w:rsid w:val="1C4C4F92"/>
    <w:rsid w:val="1C520FE8"/>
    <w:rsid w:val="1C5237EF"/>
    <w:rsid w:val="1C581115"/>
    <w:rsid w:val="1C584B94"/>
    <w:rsid w:val="1C5C0A79"/>
    <w:rsid w:val="1C605214"/>
    <w:rsid w:val="1C661E9C"/>
    <w:rsid w:val="1C6658E2"/>
    <w:rsid w:val="1C6659F1"/>
    <w:rsid w:val="1C693DF1"/>
    <w:rsid w:val="1C6C5DA1"/>
    <w:rsid w:val="1C6E39C8"/>
    <w:rsid w:val="1C6E7E6B"/>
    <w:rsid w:val="1C6F20FA"/>
    <w:rsid w:val="1C715266"/>
    <w:rsid w:val="1C716604"/>
    <w:rsid w:val="1C78195D"/>
    <w:rsid w:val="1C794459"/>
    <w:rsid w:val="1C872A61"/>
    <w:rsid w:val="1C8A6328"/>
    <w:rsid w:val="1C8B62C1"/>
    <w:rsid w:val="1C8D2B5D"/>
    <w:rsid w:val="1C9042B0"/>
    <w:rsid w:val="1C924F4C"/>
    <w:rsid w:val="1C936CA3"/>
    <w:rsid w:val="1C9567E3"/>
    <w:rsid w:val="1C982303"/>
    <w:rsid w:val="1C9846C5"/>
    <w:rsid w:val="1C9E1527"/>
    <w:rsid w:val="1C9E7A4D"/>
    <w:rsid w:val="1C9F1DD3"/>
    <w:rsid w:val="1CA45111"/>
    <w:rsid w:val="1CA47643"/>
    <w:rsid w:val="1CA84C6C"/>
    <w:rsid w:val="1CAD53A7"/>
    <w:rsid w:val="1CAE687F"/>
    <w:rsid w:val="1CB0103A"/>
    <w:rsid w:val="1CB329D6"/>
    <w:rsid w:val="1CB4300A"/>
    <w:rsid w:val="1CB46E7A"/>
    <w:rsid w:val="1CB810E7"/>
    <w:rsid w:val="1CBE3EAD"/>
    <w:rsid w:val="1CC23BD8"/>
    <w:rsid w:val="1CC41D73"/>
    <w:rsid w:val="1CC55E11"/>
    <w:rsid w:val="1CC57931"/>
    <w:rsid w:val="1CC655B2"/>
    <w:rsid w:val="1CCB2BC8"/>
    <w:rsid w:val="1CCD029D"/>
    <w:rsid w:val="1CD221A8"/>
    <w:rsid w:val="1CD77A9A"/>
    <w:rsid w:val="1CE30D68"/>
    <w:rsid w:val="1CE615B2"/>
    <w:rsid w:val="1CE67589"/>
    <w:rsid w:val="1CF829B5"/>
    <w:rsid w:val="1CF91D01"/>
    <w:rsid w:val="1CF95F2C"/>
    <w:rsid w:val="1CFA16FF"/>
    <w:rsid w:val="1D0142C3"/>
    <w:rsid w:val="1D01744E"/>
    <w:rsid w:val="1D085A8E"/>
    <w:rsid w:val="1D08778F"/>
    <w:rsid w:val="1D091942"/>
    <w:rsid w:val="1D0B55B7"/>
    <w:rsid w:val="1D0D3F8F"/>
    <w:rsid w:val="1D0E06AA"/>
    <w:rsid w:val="1D15541D"/>
    <w:rsid w:val="1D17119B"/>
    <w:rsid w:val="1D171E71"/>
    <w:rsid w:val="1D181CF0"/>
    <w:rsid w:val="1D181F30"/>
    <w:rsid w:val="1D2170C7"/>
    <w:rsid w:val="1D2175F0"/>
    <w:rsid w:val="1D224F55"/>
    <w:rsid w:val="1D2616EC"/>
    <w:rsid w:val="1D283342"/>
    <w:rsid w:val="1D2917D5"/>
    <w:rsid w:val="1D2D5631"/>
    <w:rsid w:val="1D307898"/>
    <w:rsid w:val="1D33076D"/>
    <w:rsid w:val="1D332D1F"/>
    <w:rsid w:val="1D361A8F"/>
    <w:rsid w:val="1D391C51"/>
    <w:rsid w:val="1D395020"/>
    <w:rsid w:val="1D3A4EA8"/>
    <w:rsid w:val="1D3C6B01"/>
    <w:rsid w:val="1D4165B9"/>
    <w:rsid w:val="1D4225BB"/>
    <w:rsid w:val="1D4459B8"/>
    <w:rsid w:val="1D460324"/>
    <w:rsid w:val="1D4726CE"/>
    <w:rsid w:val="1D484219"/>
    <w:rsid w:val="1D49106B"/>
    <w:rsid w:val="1D4A4543"/>
    <w:rsid w:val="1D4B1F5B"/>
    <w:rsid w:val="1D4B384B"/>
    <w:rsid w:val="1D50131F"/>
    <w:rsid w:val="1D5647E8"/>
    <w:rsid w:val="1D566918"/>
    <w:rsid w:val="1D594AE3"/>
    <w:rsid w:val="1D5A6398"/>
    <w:rsid w:val="1D5D5EE9"/>
    <w:rsid w:val="1D6377B7"/>
    <w:rsid w:val="1D643F0E"/>
    <w:rsid w:val="1D677491"/>
    <w:rsid w:val="1D6A12E8"/>
    <w:rsid w:val="1D6E17A5"/>
    <w:rsid w:val="1D7437A8"/>
    <w:rsid w:val="1D744395"/>
    <w:rsid w:val="1D77656E"/>
    <w:rsid w:val="1D796F28"/>
    <w:rsid w:val="1D7C3EC2"/>
    <w:rsid w:val="1D7F60F5"/>
    <w:rsid w:val="1D846005"/>
    <w:rsid w:val="1D8865DB"/>
    <w:rsid w:val="1D893E7F"/>
    <w:rsid w:val="1D8A4831"/>
    <w:rsid w:val="1D8A59EA"/>
    <w:rsid w:val="1D8F6170"/>
    <w:rsid w:val="1D91669F"/>
    <w:rsid w:val="1D9751A0"/>
    <w:rsid w:val="1D9C677F"/>
    <w:rsid w:val="1D9F3701"/>
    <w:rsid w:val="1DA4691B"/>
    <w:rsid w:val="1DAA504A"/>
    <w:rsid w:val="1DAB31DB"/>
    <w:rsid w:val="1DAB74C4"/>
    <w:rsid w:val="1DB17E07"/>
    <w:rsid w:val="1DB374D1"/>
    <w:rsid w:val="1DB51B87"/>
    <w:rsid w:val="1DB55626"/>
    <w:rsid w:val="1DB73918"/>
    <w:rsid w:val="1DBB7F11"/>
    <w:rsid w:val="1DBC4C07"/>
    <w:rsid w:val="1DBD3CAA"/>
    <w:rsid w:val="1DC1047D"/>
    <w:rsid w:val="1DC13C34"/>
    <w:rsid w:val="1DC13FCB"/>
    <w:rsid w:val="1DC21D5D"/>
    <w:rsid w:val="1DC33AA2"/>
    <w:rsid w:val="1DC366D5"/>
    <w:rsid w:val="1DC53A38"/>
    <w:rsid w:val="1DC611A3"/>
    <w:rsid w:val="1DC75E98"/>
    <w:rsid w:val="1DCB18FC"/>
    <w:rsid w:val="1DCD7334"/>
    <w:rsid w:val="1DD16E28"/>
    <w:rsid w:val="1DD2331E"/>
    <w:rsid w:val="1DD5794C"/>
    <w:rsid w:val="1DD66244"/>
    <w:rsid w:val="1DD83915"/>
    <w:rsid w:val="1DDB32DF"/>
    <w:rsid w:val="1DDC5D02"/>
    <w:rsid w:val="1DDE2AC8"/>
    <w:rsid w:val="1DDF401B"/>
    <w:rsid w:val="1DE02D6F"/>
    <w:rsid w:val="1DE569A0"/>
    <w:rsid w:val="1DEC141E"/>
    <w:rsid w:val="1DED66BF"/>
    <w:rsid w:val="1DF223D6"/>
    <w:rsid w:val="1DF30C96"/>
    <w:rsid w:val="1DF46610"/>
    <w:rsid w:val="1DF659E8"/>
    <w:rsid w:val="1DFA6EE6"/>
    <w:rsid w:val="1DFE0D7B"/>
    <w:rsid w:val="1DFE236E"/>
    <w:rsid w:val="1DFE7EB5"/>
    <w:rsid w:val="1DFF3019"/>
    <w:rsid w:val="1DFF7569"/>
    <w:rsid w:val="1E023824"/>
    <w:rsid w:val="1E0C2CF7"/>
    <w:rsid w:val="1E0C4C81"/>
    <w:rsid w:val="1E110E93"/>
    <w:rsid w:val="1E127712"/>
    <w:rsid w:val="1E131042"/>
    <w:rsid w:val="1E15040B"/>
    <w:rsid w:val="1E156A38"/>
    <w:rsid w:val="1E1763F6"/>
    <w:rsid w:val="1E195BB5"/>
    <w:rsid w:val="1E1C6E12"/>
    <w:rsid w:val="1E1D19B3"/>
    <w:rsid w:val="1E1D4F97"/>
    <w:rsid w:val="1E20738F"/>
    <w:rsid w:val="1E210B05"/>
    <w:rsid w:val="1E240762"/>
    <w:rsid w:val="1E242829"/>
    <w:rsid w:val="1E2C6F4B"/>
    <w:rsid w:val="1E2F6CF9"/>
    <w:rsid w:val="1E3042B6"/>
    <w:rsid w:val="1E305657"/>
    <w:rsid w:val="1E330C67"/>
    <w:rsid w:val="1E35480B"/>
    <w:rsid w:val="1E3649B9"/>
    <w:rsid w:val="1E3B138F"/>
    <w:rsid w:val="1E3B385B"/>
    <w:rsid w:val="1E3E2F64"/>
    <w:rsid w:val="1E3E6437"/>
    <w:rsid w:val="1E427B35"/>
    <w:rsid w:val="1E427FC1"/>
    <w:rsid w:val="1E45340D"/>
    <w:rsid w:val="1E4A1457"/>
    <w:rsid w:val="1E4E4E35"/>
    <w:rsid w:val="1E501242"/>
    <w:rsid w:val="1E511263"/>
    <w:rsid w:val="1E543091"/>
    <w:rsid w:val="1E560BB7"/>
    <w:rsid w:val="1E581003"/>
    <w:rsid w:val="1E587072"/>
    <w:rsid w:val="1E591D78"/>
    <w:rsid w:val="1E5D6876"/>
    <w:rsid w:val="1E60514F"/>
    <w:rsid w:val="1E612A46"/>
    <w:rsid w:val="1E624EB8"/>
    <w:rsid w:val="1E64290F"/>
    <w:rsid w:val="1E691119"/>
    <w:rsid w:val="1E6E629F"/>
    <w:rsid w:val="1E7634D7"/>
    <w:rsid w:val="1E766B63"/>
    <w:rsid w:val="1E775CC3"/>
    <w:rsid w:val="1E7C608B"/>
    <w:rsid w:val="1E7D2AD1"/>
    <w:rsid w:val="1E8255CA"/>
    <w:rsid w:val="1E845724"/>
    <w:rsid w:val="1E847259"/>
    <w:rsid w:val="1E8474D2"/>
    <w:rsid w:val="1E896CBD"/>
    <w:rsid w:val="1E8E0287"/>
    <w:rsid w:val="1E90148F"/>
    <w:rsid w:val="1E902BB8"/>
    <w:rsid w:val="1E91399D"/>
    <w:rsid w:val="1E9150C1"/>
    <w:rsid w:val="1E961B02"/>
    <w:rsid w:val="1E9927E4"/>
    <w:rsid w:val="1E99539C"/>
    <w:rsid w:val="1E9A3FD7"/>
    <w:rsid w:val="1E9F55DE"/>
    <w:rsid w:val="1EA427A1"/>
    <w:rsid w:val="1EA552E4"/>
    <w:rsid w:val="1EA63683"/>
    <w:rsid w:val="1EAC07D7"/>
    <w:rsid w:val="1EAC4787"/>
    <w:rsid w:val="1EB1558D"/>
    <w:rsid w:val="1EB57237"/>
    <w:rsid w:val="1EB9006B"/>
    <w:rsid w:val="1EC04283"/>
    <w:rsid w:val="1EC25976"/>
    <w:rsid w:val="1EC271C7"/>
    <w:rsid w:val="1EC43D73"/>
    <w:rsid w:val="1EC522D0"/>
    <w:rsid w:val="1EC60CF9"/>
    <w:rsid w:val="1EC668ED"/>
    <w:rsid w:val="1ECB5101"/>
    <w:rsid w:val="1ECB6AD9"/>
    <w:rsid w:val="1ED0096A"/>
    <w:rsid w:val="1ED02718"/>
    <w:rsid w:val="1ED84B4B"/>
    <w:rsid w:val="1EDB10BC"/>
    <w:rsid w:val="1EDD5075"/>
    <w:rsid w:val="1EDE213B"/>
    <w:rsid w:val="1EDF256E"/>
    <w:rsid w:val="1EDF6D85"/>
    <w:rsid w:val="1EE05553"/>
    <w:rsid w:val="1EE31311"/>
    <w:rsid w:val="1EE70556"/>
    <w:rsid w:val="1EEE0DF0"/>
    <w:rsid w:val="1EF21168"/>
    <w:rsid w:val="1EF32AD4"/>
    <w:rsid w:val="1EF473B1"/>
    <w:rsid w:val="1EF52B7C"/>
    <w:rsid w:val="1EF8076B"/>
    <w:rsid w:val="1EFA1543"/>
    <w:rsid w:val="1F046865"/>
    <w:rsid w:val="1F095C2A"/>
    <w:rsid w:val="1F0B02F3"/>
    <w:rsid w:val="1F0C058A"/>
    <w:rsid w:val="1F1111BD"/>
    <w:rsid w:val="1F122D30"/>
    <w:rsid w:val="1F13096F"/>
    <w:rsid w:val="1F165223"/>
    <w:rsid w:val="1F1728DF"/>
    <w:rsid w:val="1F191716"/>
    <w:rsid w:val="1F1A1AE9"/>
    <w:rsid w:val="1F1A1BE5"/>
    <w:rsid w:val="1F1B33BE"/>
    <w:rsid w:val="1F1C22A1"/>
    <w:rsid w:val="1F20353D"/>
    <w:rsid w:val="1F211E0F"/>
    <w:rsid w:val="1F267FCE"/>
    <w:rsid w:val="1F275BBE"/>
    <w:rsid w:val="1F282554"/>
    <w:rsid w:val="1F2A76A2"/>
    <w:rsid w:val="1F340089"/>
    <w:rsid w:val="1F340234"/>
    <w:rsid w:val="1F3507CD"/>
    <w:rsid w:val="1F354232"/>
    <w:rsid w:val="1F360CA3"/>
    <w:rsid w:val="1F38498C"/>
    <w:rsid w:val="1F3C7DAD"/>
    <w:rsid w:val="1F426ED4"/>
    <w:rsid w:val="1F4629DA"/>
    <w:rsid w:val="1F484D1B"/>
    <w:rsid w:val="1F4C2673"/>
    <w:rsid w:val="1F4C781D"/>
    <w:rsid w:val="1F4D301C"/>
    <w:rsid w:val="1F4F4EA8"/>
    <w:rsid w:val="1F517D3F"/>
    <w:rsid w:val="1F521D9A"/>
    <w:rsid w:val="1F5357C3"/>
    <w:rsid w:val="1F5422D2"/>
    <w:rsid w:val="1F561BA2"/>
    <w:rsid w:val="1F576995"/>
    <w:rsid w:val="1F5A4850"/>
    <w:rsid w:val="1F5E3031"/>
    <w:rsid w:val="1F5E41C7"/>
    <w:rsid w:val="1F5F584A"/>
    <w:rsid w:val="1F5F6F7F"/>
    <w:rsid w:val="1F611870"/>
    <w:rsid w:val="1F6B441D"/>
    <w:rsid w:val="1F7142CD"/>
    <w:rsid w:val="1F730A27"/>
    <w:rsid w:val="1F750FE1"/>
    <w:rsid w:val="1F7514D6"/>
    <w:rsid w:val="1F7805E9"/>
    <w:rsid w:val="1F78690B"/>
    <w:rsid w:val="1F7976D4"/>
    <w:rsid w:val="1F7C1719"/>
    <w:rsid w:val="1F7D316A"/>
    <w:rsid w:val="1F7D7370"/>
    <w:rsid w:val="1F875B3F"/>
    <w:rsid w:val="1F895946"/>
    <w:rsid w:val="1F8A1CF5"/>
    <w:rsid w:val="1F901EA7"/>
    <w:rsid w:val="1F903C55"/>
    <w:rsid w:val="1F920C93"/>
    <w:rsid w:val="1F945DF9"/>
    <w:rsid w:val="1F974FE3"/>
    <w:rsid w:val="1F9E0890"/>
    <w:rsid w:val="1FA616CA"/>
    <w:rsid w:val="1FA94A7C"/>
    <w:rsid w:val="1FA95D3E"/>
    <w:rsid w:val="1FAA67EE"/>
    <w:rsid w:val="1FAC0E4B"/>
    <w:rsid w:val="1FAF0C17"/>
    <w:rsid w:val="1FB128CE"/>
    <w:rsid w:val="1FB277A5"/>
    <w:rsid w:val="1FB434A3"/>
    <w:rsid w:val="1FB657DB"/>
    <w:rsid w:val="1FBC28E7"/>
    <w:rsid w:val="1FC61D0A"/>
    <w:rsid w:val="1FC65BDB"/>
    <w:rsid w:val="1FC7755B"/>
    <w:rsid w:val="1FC83FF1"/>
    <w:rsid w:val="1FCC64D2"/>
    <w:rsid w:val="1FCF3A3E"/>
    <w:rsid w:val="1FCF4A72"/>
    <w:rsid w:val="1FD16445"/>
    <w:rsid w:val="1FDB55BC"/>
    <w:rsid w:val="1FDC5D54"/>
    <w:rsid w:val="1FE36D9F"/>
    <w:rsid w:val="1FE521F3"/>
    <w:rsid w:val="1FE63800"/>
    <w:rsid w:val="1FE646E0"/>
    <w:rsid w:val="1FEA5A5B"/>
    <w:rsid w:val="1FEB1731"/>
    <w:rsid w:val="1FED09F5"/>
    <w:rsid w:val="1FED10A7"/>
    <w:rsid w:val="1FF01AE3"/>
    <w:rsid w:val="1FF66193"/>
    <w:rsid w:val="1FF71C3D"/>
    <w:rsid w:val="1FF778F8"/>
    <w:rsid w:val="1FF85859"/>
    <w:rsid w:val="1FFD3292"/>
    <w:rsid w:val="20010C83"/>
    <w:rsid w:val="20012DA5"/>
    <w:rsid w:val="200374C7"/>
    <w:rsid w:val="20077387"/>
    <w:rsid w:val="2008700A"/>
    <w:rsid w:val="200B61B1"/>
    <w:rsid w:val="200D799B"/>
    <w:rsid w:val="20100D3F"/>
    <w:rsid w:val="20157C31"/>
    <w:rsid w:val="20184466"/>
    <w:rsid w:val="201D27A7"/>
    <w:rsid w:val="201E033D"/>
    <w:rsid w:val="20207D22"/>
    <w:rsid w:val="20216F17"/>
    <w:rsid w:val="20232148"/>
    <w:rsid w:val="20256C01"/>
    <w:rsid w:val="202A22FB"/>
    <w:rsid w:val="202A5F3D"/>
    <w:rsid w:val="202B1BD0"/>
    <w:rsid w:val="202B49B7"/>
    <w:rsid w:val="203164AD"/>
    <w:rsid w:val="203203CC"/>
    <w:rsid w:val="203255F0"/>
    <w:rsid w:val="2033601E"/>
    <w:rsid w:val="2033718A"/>
    <w:rsid w:val="20372041"/>
    <w:rsid w:val="2037602D"/>
    <w:rsid w:val="203A6540"/>
    <w:rsid w:val="20410AA6"/>
    <w:rsid w:val="204B5A0F"/>
    <w:rsid w:val="204C59D1"/>
    <w:rsid w:val="205068C4"/>
    <w:rsid w:val="205516D0"/>
    <w:rsid w:val="205820C9"/>
    <w:rsid w:val="2058799B"/>
    <w:rsid w:val="205D6EE8"/>
    <w:rsid w:val="205F6596"/>
    <w:rsid w:val="20610478"/>
    <w:rsid w:val="20614834"/>
    <w:rsid w:val="20651351"/>
    <w:rsid w:val="206B6CD4"/>
    <w:rsid w:val="20714A2D"/>
    <w:rsid w:val="20783067"/>
    <w:rsid w:val="207835AF"/>
    <w:rsid w:val="207B404A"/>
    <w:rsid w:val="207B433E"/>
    <w:rsid w:val="207E00D5"/>
    <w:rsid w:val="207F023F"/>
    <w:rsid w:val="20812CB8"/>
    <w:rsid w:val="20826E96"/>
    <w:rsid w:val="20846EF3"/>
    <w:rsid w:val="208731D3"/>
    <w:rsid w:val="20894A40"/>
    <w:rsid w:val="208C153C"/>
    <w:rsid w:val="208F215E"/>
    <w:rsid w:val="2092608F"/>
    <w:rsid w:val="20931C4F"/>
    <w:rsid w:val="2096173F"/>
    <w:rsid w:val="209765B0"/>
    <w:rsid w:val="20983BC5"/>
    <w:rsid w:val="209978DF"/>
    <w:rsid w:val="209A240F"/>
    <w:rsid w:val="209A3CD2"/>
    <w:rsid w:val="209C4556"/>
    <w:rsid w:val="209D4F98"/>
    <w:rsid w:val="209E2493"/>
    <w:rsid w:val="20A1305D"/>
    <w:rsid w:val="20A133F7"/>
    <w:rsid w:val="20A420AE"/>
    <w:rsid w:val="20A81940"/>
    <w:rsid w:val="20AA5F7C"/>
    <w:rsid w:val="20AC0F62"/>
    <w:rsid w:val="20AC7A9B"/>
    <w:rsid w:val="20AD43D4"/>
    <w:rsid w:val="20AE4CDA"/>
    <w:rsid w:val="20B15882"/>
    <w:rsid w:val="20B417DB"/>
    <w:rsid w:val="20B41BC5"/>
    <w:rsid w:val="20BF28FE"/>
    <w:rsid w:val="20C05EFB"/>
    <w:rsid w:val="20C067BC"/>
    <w:rsid w:val="20C90F90"/>
    <w:rsid w:val="20C938C2"/>
    <w:rsid w:val="20C97C0C"/>
    <w:rsid w:val="20D129DE"/>
    <w:rsid w:val="20D249D8"/>
    <w:rsid w:val="20D67D8D"/>
    <w:rsid w:val="20DA57CB"/>
    <w:rsid w:val="20DA5F01"/>
    <w:rsid w:val="20DE3BF6"/>
    <w:rsid w:val="20DF196D"/>
    <w:rsid w:val="20E254A0"/>
    <w:rsid w:val="20E26973"/>
    <w:rsid w:val="20E406FC"/>
    <w:rsid w:val="20E41E6B"/>
    <w:rsid w:val="20E96FAD"/>
    <w:rsid w:val="20EA69EF"/>
    <w:rsid w:val="20F21DD6"/>
    <w:rsid w:val="20F23EF1"/>
    <w:rsid w:val="20F26604"/>
    <w:rsid w:val="20F57DF3"/>
    <w:rsid w:val="20FA1CCE"/>
    <w:rsid w:val="21003544"/>
    <w:rsid w:val="21020B82"/>
    <w:rsid w:val="21091F11"/>
    <w:rsid w:val="210A0208"/>
    <w:rsid w:val="210E2503"/>
    <w:rsid w:val="210E4CE2"/>
    <w:rsid w:val="21184B8A"/>
    <w:rsid w:val="211B723D"/>
    <w:rsid w:val="21224684"/>
    <w:rsid w:val="21271B3D"/>
    <w:rsid w:val="212816D3"/>
    <w:rsid w:val="21283CCC"/>
    <w:rsid w:val="212B544F"/>
    <w:rsid w:val="212E01D3"/>
    <w:rsid w:val="213017D4"/>
    <w:rsid w:val="21304F36"/>
    <w:rsid w:val="21307925"/>
    <w:rsid w:val="213163E1"/>
    <w:rsid w:val="21332927"/>
    <w:rsid w:val="21337652"/>
    <w:rsid w:val="213845A4"/>
    <w:rsid w:val="21392ACF"/>
    <w:rsid w:val="213A5F59"/>
    <w:rsid w:val="213C22E6"/>
    <w:rsid w:val="213E64D9"/>
    <w:rsid w:val="213F1DD6"/>
    <w:rsid w:val="214178FD"/>
    <w:rsid w:val="21423675"/>
    <w:rsid w:val="214B077B"/>
    <w:rsid w:val="214D6680"/>
    <w:rsid w:val="214E3B8E"/>
    <w:rsid w:val="21507B40"/>
    <w:rsid w:val="21543A91"/>
    <w:rsid w:val="215533A8"/>
    <w:rsid w:val="215955BA"/>
    <w:rsid w:val="215E75A3"/>
    <w:rsid w:val="215F497D"/>
    <w:rsid w:val="21602352"/>
    <w:rsid w:val="21603445"/>
    <w:rsid w:val="2162272F"/>
    <w:rsid w:val="21630AC6"/>
    <w:rsid w:val="216412A6"/>
    <w:rsid w:val="21645399"/>
    <w:rsid w:val="21667363"/>
    <w:rsid w:val="21696E53"/>
    <w:rsid w:val="216B0A4C"/>
    <w:rsid w:val="216D1BE7"/>
    <w:rsid w:val="216D5B30"/>
    <w:rsid w:val="216D6763"/>
    <w:rsid w:val="21701F90"/>
    <w:rsid w:val="217126E3"/>
    <w:rsid w:val="21740C86"/>
    <w:rsid w:val="2178141B"/>
    <w:rsid w:val="21795F7C"/>
    <w:rsid w:val="217B0098"/>
    <w:rsid w:val="217F1BAD"/>
    <w:rsid w:val="217F21D3"/>
    <w:rsid w:val="218277D8"/>
    <w:rsid w:val="218431F4"/>
    <w:rsid w:val="21894E00"/>
    <w:rsid w:val="218B41FF"/>
    <w:rsid w:val="218B6062"/>
    <w:rsid w:val="218B69FF"/>
    <w:rsid w:val="218B6DCA"/>
    <w:rsid w:val="21923763"/>
    <w:rsid w:val="219406B1"/>
    <w:rsid w:val="21951477"/>
    <w:rsid w:val="219C558A"/>
    <w:rsid w:val="219D4A49"/>
    <w:rsid w:val="21A060BA"/>
    <w:rsid w:val="21A13C4D"/>
    <w:rsid w:val="21A22498"/>
    <w:rsid w:val="21A24B70"/>
    <w:rsid w:val="21A52804"/>
    <w:rsid w:val="21A53C12"/>
    <w:rsid w:val="21A92CC4"/>
    <w:rsid w:val="21AD026E"/>
    <w:rsid w:val="21B40F0C"/>
    <w:rsid w:val="21B41EB2"/>
    <w:rsid w:val="21B707A1"/>
    <w:rsid w:val="21B743CB"/>
    <w:rsid w:val="21B77068"/>
    <w:rsid w:val="21B85537"/>
    <w:rsid w:val="21B95074"/>
    <w:rsid w:val="21C0783F"/>
    <w:rsid w:val="21C21F78"/>
    <w:rsid w:val="21C441B5"/>
    <w:rsid w:val="21CD3DED"/>
    <w:rsid w:val="21CE4047"/>
    <w:rsid w:val="21D43040"/>
    <w:rsid w:val="21E32762"/>
    <w:rsid w:val="21E464DA"/>
    <w:rsid w:val="21E86690"/>
    <w:rsid w:val="21E941A2"/>
    <w:rsid w:val="21EA1D42"/>
    <w:rsid w:val="21EB2D54"/>
    <w:rsid w:val="21EB7868"/>
    <w:rsid w:val="21ED3880"/>
    <w:rsid w:val="21EF5584"/>
    <w:rsid w:val="21F0191F"/>
    <w:rsid w:val="21F42BC1"/>
    <w:rsid w:val="21F44364"/>
    <w:rsid w:val="21F6615E"/>
    <w:rsid w:val="21F7620D"/>
    <w:rsid w:val="21FF0C71"/>
    <w:rsid w:val="21FF3534"/>
    <w:rsid w:val="22047EAF"/>
    <w:rsid w:val="22060A7D"/>
    <w:rsid w:val="220664D5"/>
    <w:rsid w:val="22071D4A"/>
    <w:rsid w:val="220A5D28"/>
    <w:rsid w:val="220A7E24"/>
    <w:rsid w:val="22112054"/>
    <w:rsid w:val="22115677"/>
    <w:rsid w:val="221673BC"/>
    <w:rsid w:val="22183161"/>
    <w:rsid w:val="2221328A"/>
    <w:rsid w:val="22217EF6"/>
    <w:rsid w:val="222334A6"/>
    <w:rsid w:val="222477AB"/>
    <w:rsid w:val="2225509D"/>
    <w:rsid w:val="222570FA"/>
    <w:rsid w:val="222B2E6B"/>
    <w:rsid w:val="222D62D4"/>
    <w:rsid w:val="222D7E81"/>
    <w:rsid w:val="222F4FAA"/>
    <w:rsid w:val="223135DE"/>
    <w:rsid w:val="223411FD"/>
    <w:rsid w:val="223419AC"/>
    <w:rsid w:val="22350B7C"/>
    <w:rsid w:val="22366348"/>
    <w:rsid w:val="223756E2"/>
    <w:rsid w:val="22393E36"/>
    <w:rsid w:val="223C51F5"/>
    <w:rsid w:val="223D54E9"/>
    <w:rsid w:val="223E2F2C"/>
    <w:rsid w:val="2243739F"/>
    <w:rsid w:val="22442F71"/>
    <w:rsid w:val="22467074"/>
    <w:rsid w:val="224D1A94"/>
    <w:rsid w:val="224D3FB6"/>
    <w:rsid w:val="224F2DD7"/>
    <w:rsid w:val="224F3295"/>
    <w:rsid w:val="225153EF"/>
    <w:rsid w:val="22520725"/>
    <w:rsid w:val="22521696"/>
    <w:rsid w:val="22547D60"/>
    <w:rsid w:val="22567403"/>
    <w:rsid w:val="225A5E18"/>
    <w:rsid w:val="2262408D"/>
    <w:rsid w:val="22637C80"/>
    <w:rsid w:val="226625E5"/>
    <w:rsid w:val="22683F50"/>
    <w:rsid w:val="2268710B"/>
    <w:rsid w:val="226A1B62"/>
    <w:rsid w:val="226A4029"/>
    <w:rsid w:val="226F5123"/>
    <w:rsid w:val="22702AAD"/>
    <w:rsid w:val="22717D6E"/>
    <w:rsid w:val="22734F0E"/>
    <w:rsid w:val="2276153D"/>
    <w:rsid w:val="22763FB7"/>
    <w:rsid w:val="22794C78"/>
    <w:rsid w:val="227B0BEC"/>
    <w:rsid w:val="22806F10"/>
    <w:rsid w:val="228243D0"/>
    <w:rsid w:val="228262AF"/>
    <w:rsid w:val="228C25B5"/>
    <w:rsid w:val="228C63C3"/>
    <w:rsid w:val="22905BC4"/>
    <w:rsid w:val="22910410"/>
    <w:rsid w:val="22912457"/>
    <w:rsid w:val="229568B4"/>
    <w:rsid w:val="22957E2A"/>
    <w:rsid w:val="22967696"/>
    <w:rsid w:val="229879F0"/>
    <w:rsid w:val="229A535F"/>
    <w:rsid w:val="22A07399"/>
    <w:rsid w:val="22A541F4"/>
    <w:rsid w:val="22A77C33"/>
    <w:rsid w:val="22AA1ADF"/>
    <w:rsid w:val="22AA764C"/>
    <w:rsid w:val="22AC3A73"/>
    <w:rsid w:val="22B01D87"/>
    <w:rsid w:val="22B53453"/>
    <w:rsid w:val="22B831F3"/>
    <w:rsid w:val="22BC424A"/>
    <w:rsid w:val="22BE070D"/>
    <w:rsid w:val="22BF2D0A"/>
    <w:rsid w:val="22C52AB4"/>
    <w:rsid w:val="22C72574"/>
    <w:rsid w:val="22CD3392"/>
    <w:rsid w:val="22D024ED"/>
    <w:rsid w:val="22D055FC"/>
    <w:rsid w:val="22D24584"/>
    <w:rsid w:val="22D6049B"/>
    <w:rsid w:val="22D64075"/>
    <w:rsid w:val="22D64500"/>
    <w:rsid w:val="22D72242"/>
    <w:rsid w:val="22D96E67"/>
    <w:rsid w:val="22DA64A9"/>
    <w:rsid w:val="22E06DC7"/>
    <w:rsid w:val="22E13225"/>
    <w:rsid w:val="22E65920"/>
    <w:rsid w:val="22E6745F"/>
    <w:rsid w:val="22E77BF8"/>
    <w:rsid w:val="22E83610"/>
    <w:rsid w:val="22EE45E5"/>
    <w:rsid w:val="22F2472C"/>
    <w:rsid w:val="22F36D1F"/>
    <w:rsid w:val="22F43BF4"/>
    <w:rsid w:val="22F442A5"/>
    <w:rsid w:val="22FB14EF"/>
    <w:rsid w:val="23007FAB"/>
    <w:rsid w:val="2301301D"/>
    <w:rsid w:val="23024E6A"/>
    <w:rsid w:val="230260BE"/>
    <w:rsid w:val="23060368"/>
    <w:rsid w:val="23072480"/>
    <w:rsid w:val="2307667B"/>
    <w:rsid w:val="230B0F53"/>
    <w:rsid w:val="230B1157"/>
    <w:rsid w:val="230B6414"/>
    <w:rsid w:val="2310322B"/>
    <w:rsid w:val="231132FF"/>
    <w:rsid w:val="23174401"/>
    <w:rsid w:val="23176F75"/>
    <w:rsid w:val="2318468D"/>
    <w:rsid w:val="231A0A24"/>
    <w:rsid w:val="231A6657"/>
    <w:rsid w:val="23211F48"/>
    <w:rsid w:val="232355B8"/>
    <w:rsid w:val="23294AEC"/>
    <w:rsid w:val="232A1042"/>
    <w:rsid w:val="232E10FA"/>
    <w:rsid w:val="2331574F"/>
    <w:rsid w:val="23316460"/>
    <w:rsid w:val="233314C7"/>
    <w:rsid w:val="2333377C"/>
    <w:rsid w:val="2333423D"/>
    <w:rsid w:val="233567B6"/>
    <w:rsid w:val="2337335C"/>
    <w:rsid w:val="23374967"/>
    <w:rsid w:val="233B357C"/>
    <w:rsid w:val="233C236D"/>
    <w:rsid w:val="233E6F4B"/>
    <w:rsid w:val="234724EB"/>
    <w:rsid w:val="23475EB9"/>
    <w:rsid w:val="234B7A82"/>
    <w:rsid w:val="234D32DA"/>
    <w:rsid w:val="235121F8"/>
    <w:rsid w:val="235920C1"/>
    <w:rsid w:val="235C5999"/>
    <w:rsid w:val="236009AB"/>
    <w:rsid w:val="23621DAC"/>
    <w:rsid w:val="236224E9"/>
    <w:rsid w:val="23633B4E"/>
    <w:rsid w:val="236474D2"/>
    <w:rsid w:val="23660C2F"/>
    <w:rsid w:val="236807C0"/>
    <w:rsid w:val="236E69A3"/>
    <w:rsid w:val="236F3594"/>
    <w:rsid w:val="23707741"/>
    <w:rsid w:val="23710FB0"/>
    <w:rsid w:val="237156CA"/>
    <w:rsid w:val="23717C5C"/>
    <w:rsid w:val="237E321E"/>
    <w:rsid w:val="23865A9B"/>
    <w:rsid w:val="23887762"/>
    <w:rsid w:val="238C34ED"/>
    <w:rsid w:val="238D43B7"/>
    <w:rsid w:val="23931EC7"/>
    <w:rsid w:val="239809E5"/>
    <w:rsid w:val="239F090A"/>
    <w:rsid w:val="23B35DAD"/>
    <w:rsid w:val="23B66D34"/>
    <w:rsid w:val="23BA5744"/>
    <w:rsid w:val="23BC0F5E"/>
    <w:rsid w:val="23BE5C35"/>
    <w:rsid w:val="23C16A32"/>
    <w:rsid w:val="23C16B8E"/>
    <w:rsid w:val="23C35322"/>
    <w:rsid w:val="23CA778E"/>
    <w:rsid w:val="23CB331C"/>
    <w:rsid w:val="23CB5157"/>
    <w:rsid w:val="23CD191B"/>
    <w:rsid w:val="23CD36CA"/>
    <w:rsid w:val="23D37998"/>
    <w:rsid w:val="23D767BF"/>
    <w:rsid w:val="23DB3FD2"/>
    <w:rsid w:val="23DD50A8"/>
    <w:rsid w:val="23DE5ACC"/>
    <w:rsid w:val="23EE2C0B"/>
    <w:rsid w:val="23EF0036"/>
    <w:rsid w:val="23F074C7"/>
    <w:rsid w:val="23F52843"/>
    <w:rsid w:val="23F61AE9"/>
    <w:rsid w:val="23F70746"/>
    <w:rsid w:val="23F905F7"/>
    <w:rsid w:val="23F92711"/>
    <w:rsid w:val="23FC4547"/>
    <w:rsid w:val="23FE222C"/>
    <w:rsid w:val="2406098A"/>
    <w:rsid w:val="240B5FA0"/>
    <w:rsid w:val="2412732E"/>
    <w:rsid w:val="24127C0D"/>
    <w:rsid w:val="24135E1D"/>
    <w:rsid w:val="241412F8"/>
    <w:rsid w:val="24177E58"/>
    <w:rsid w:val="241A237C"/>
    <w:rsid w:val="241E7F61"/>
    <w:rsid w:val="2421117F"/>
    <w:rsid w:val="24234549"/>
    <w:rsid w:val="242A0EB7"/>
    <w:rsid w:val="242D4168"/>
    <w:rsid w:val="242E1C8E"/>
    <w:rsid w:val="242F7EE0"/>
    <w:rsid w:val="24337ED6"/>
    <w:rsid w:val="243455F5"/>
    <w:rsid w:val="24351427"/>
    <w:rsid w:val="24366DCB"/>
    <w:rsid w:val="24374FE7"/>
    <w:rsid w:val="243C5D10"/>
    <w:rsid w:val="243F4D56"/>
    <w:rsid w:val="244555A7"/>
    <w:rsid w:val="24455D81"/>
    <w:rsid w:val="24457CC0"/>
    <w:rsid w:val="2446522A"/>
    <w:rsid w:val="24471F50"/>
    <w:rsid w:val="244D7316"/>
    <w:rsid w:val="244D7868"/>
    <w:rsid w:val="244E68C8"/>
    <w:rsid w:val="244F4843"/>
    <w:rsid w:val="244F63C0"/>
    <w:rsid w:val="2452748C"/>
    <w:rsid w:val="2455643D"/>
    <w:rsid w:val="245A5443"/>
    <w:rsid w:val="245E6262"/>
    <w:rsid w:val="245F34C2"/>
    <w:rsid w:val="245F3A47"/>
    <w:rsid w:val="24613E12"/>
    <w:rsid w:val="24672DF0"/>
    <w:rsid w:val="24673D4D"/>
    <w:rsid w:val="246833F2"/>
    <w:rsid w:val="246C122A"/>
    <w:rsid w:val="246D6C5B"/>
    <w:rsid w:val="2472601F"/>
    <w:rsid w:val="247B4ED4"/>
    <w:rsid w:val="247D48B4"/>
    <w:rsid w:val="247E38F0"/>
    <w:rsid w:val="247F11C2"/>
    <w:rsid w:val="2483022C"/>
    <w:rsid w:val="248A13EE"/>
    <w:rsid w:val="248C4C4A"/>
    <w:rsid w:val="248D1DEC"/>
    <w:rsid w:val="248E2492"/>
    <w:rsid w:val="249146F7"/>
    <w:rsid w:val="2492221D"/>
    <w:rsid w:val="249B0BA3"/>
    <w:rsid w:val="249B2CDE"/>
    <w:rsid w:val="249B6C77"/>
    <w:rsid w:val="249C6948"/>
    <w:rsid w:val="249D3175"/>
    <w:rsid w:val="249E45E3"/>
    <w:rsid w:val="249E5066"/>
    <w:rsid w:val="249F2F3C"/>
    <w:rsid w:val="24A007D3"/>
    <w:rsid w:val="24A0493A"/>
    <w:rsid w:val="24A106FA"/>
    <w:rsid w:val="24A51F50"/>
    <w:rsid w:val="24AD4A73"/>
    <w:rsid w:val="24B3076F"/>
    <w:rsid w:val="24B403E6"/>
    <w:rsid w:val="24B47753"/>
    <w:rsid w:val="24B56022"/>
    <w:rsid w:val="24B6415E"/>
    <w:rsid w:val="24B64CFE"/>
    <w:rsid w:val="24BA5E04"/>
    <w:rsid w:val="24BB071F"/>
    <w:rsid w:val="24BD2FEB"/>
    <w:rsid w:val="24BF0806"/>
    <w:rsid w:val="24C125D2"/>
    <w:rsid w:val="24CB7AAA"/>
    <w:rsid w:val="24CC3981"/>
    <w:rsid w:val="24CD55DC"/>
    <w:rsid w:val="24CE0DCB"/>
    <w:rsid w:val="24D41D78"/>
    <w:rsid w:val="24D7205B"/>
    <w:rsid w:val="24DA12EB"/>
    <w:rsid w:val="24DC130C"/>
    <w:rsid w:val="24DE2AF6"/>
    <w:rsid w:val="24E06A8B"/>
    <w:rsid w:val="24E4250A"/>
    <w:rsid w:val="24E94533"/>
    <w:rsid w:val="24ED5824"/>
    <w:rsid w:val="24F11D6A"/>
    <w:rsid w:val="24F16790"/>
    <w:rsid w:val="24F4240B"/>
    <w:rsid w:val="24F42ED8"/>
    <w:rsid w:val="24F70451"/>
    <w:rsid w:val="24FC7A4D"/>
    <w:rsid w:val="24FE3F83"/>
    <w:rsid w:val="24FE49E1"/>
    <w:rsid w:val="25020A03"/>
    <w:rsid w:val="250557F6"/>
    <w:rsid w:val="25113177"/>
    <w:rsid w:val="251619CB"/>
    <w:rsid w:val="25196CFA"/>
    <w:rsid w:val="251A08B7"/>
    <w:rsid w:val="251D6D83"/>
    <w:rsid w:val="251F2D65"/>
    <w:rsid w:val="25260C79"/>
    <w:rsid w:val="25277CBA"/>
    <w:rsid w:val="252D7B95"/>
    <w:rsid w:val="25315EDA"/>
    <w:rsid w:val="253B60CD"/>
    <w:rsid w:val="253C2E9C"/>
    <w:rsid w:val="253E1BDC"/>
    <w:rsid w:val="253E3988"/>
    <w:rsid w:val="253E70CC"/>
    <w:rsid w:val="253F2696"/>
    <w:rsid w:val="25401AA9"/>
    <w:rsid w:val="254113DF"/>
    <w:rsid w:val="254812D5"/>
    <w:rsid w:val="254D15E7"/>
    <w:rsid w:val="254D4FEE"/>
    <w:rsid w:val="255244D7"/>
    <w:rsid w:val="25585215"/>
    <w:rsid w:val="25590142"/>
    <w:rsid w:val="255979AA"/>
    <w:rsid w:val="255B6EAB"/>
    <w:rsid w:val="25657932"/>
    <w:rsid w:val="2566657B"/>
    <w:rsid w:val="25670C21"/>
    <w:rsid w:val="256A460D"/>
    <w:rsid w:val="256C2A6E"/>
    <w:rsid w:val="25774FF1"/>
    <w:rsid w:val="25796AF5"/>
    <w:rsid w:val="257A162F"/>
    <w:rsid w:val="257A7EF7"/>
    <w:rsid w:val="257E4C6E"/>
    <w:rsid w:val="257F0AA8"/>
    <w:rsid w:val="2580004E"/>
    <w:rsid w:val="2580476C"/>
    <w:rsid w:val="2581648B"/>
    <w:rsid w:val="25894940"/>
    <w:rsid w:val="2597278A"/>
    <w:rsid w:val="25972FEB"/>
    <w:rsid w:val="259C07AF"/>
    <w:rsid w:val="259E6322"/>
    <w:rsid w:val="25A054E7"/>
    <w:rsid w:val="25A45A8B"/>
    <w:rsid w:val="25A5563C"/>
    <w:rsid w:val="25A62424"/>
    <w:rsid w:val="25A8242E"/>
    <w:rsid w:val="25AE1C4D"/>
    <w:rsid w:val="25AE5A6F"/>
    <w:rsid w:val="25B17C36"/>
    <w:rsid w:val="25B411AA"/>
    <w:rsid w:val="25BE6383"/>
    <w:rsid w:val="25C255E8"/>
    <w:rsid w:val="25C428AA"/>
    <w:rsid w:val="25D52FBC"/>
    <w:rsid w:val="25DF13D7"/>
    <w:rsid w:val="25E17D42"/>
    <w:rsid w:val="25E80F02"/>
    <w:rsid w:val="25EA3DA7"/>
    <w:rsid w:val="25EA6635"/>
    <w:rsid w:val="25EB2EDE"/>
    <w:rsid w:val="25EF1A37"/>
    <w:rsid w:val="25F13176"/>
    <w:rsid w:val="25F571B8"/>
    <w:rsid w:val="25F8020A"/>
    <w:rsid w:val="25FD7B6A"/>
    <w:rsid w:val="25FE400E"/>
    <w:rsid w:val="26037643"/>
    <w:rsid w:val="26061115"/>
    <w:rsid w:val="260806BA"/>
    <w:rsid w:val="26086C3B"/>
    <w:rsid w:val="260900D9"/>
    <w:rsid w:val="260A1373"/>
    <w:rsid w:val="26120359"/>
    <w:rsid w:val="26162C55"/>
    <w:rsid w:val="2616523D"/>
    <w:rsid w:val="2617717C"/>
    <w:rsid w:val="261A0124"/>
    <w:rsid w:val="261F1E21"/>
    <w:rsid w:val="26215F4F"/>
    <w:rsid w:val="262364C4"/>
    <w:rsid w:val="262566A6"/>
    <w:rsid w:val="262B6FE3"/>
    <w:rsid w:val="262D78B3"/>
    <w:rsid w:val="262E4515"/>
    <w:rsid w:val="26301CEE"/>
    <w:rsid w:val="26326E5F"/>
    <w:rsid w:val="26327CF1"/>
    <w:rsid w:val="263538AE"/>
    <w:rsid w:val="26367BAE"/>
    <w:rsid w:val="263C6317"/>
    <w:rsid w:val="26413EFB"/>
    <w:rsid w:val="2642536F"/>
    <w:rsid w:val="26465CD9"/>
    <w:rsid w:val="264709F5"/>
    <w:rsid w:val="264A4E9E"/>
    <w:rsid w:val="264A7253"/>
    <w:rsid w:val="264E030E"/>
    <w:rsid w:val="26542878"/>
    <w:rsid w:val="265A6F2A"/>
    <w:rsid w:val="265C3B6C"/>
    <w:rsid w:val="265D2286"/>
    <w:rsid w:val="265E2332"/>
    <w:rsid w:val="265E5340"/>
    <w:rsid w:val="26605B5C"/>
    <w:rsid w:val="26697AE8"/>
    <w:rsid w:val="266A487B"/>
    <w:rsid w:val="26716E14"/>
    <w:rsid w:val="26785F62"/>
    <w:rsid w:val="267A7676"/>
    <w:rsid w:val="267C3DA1"/>
    <w:rsid w:val="26804A23"/>
    <w:rsid w:val="26836D49"/>
    <w:rsid w:val="26861ABB"/>
    <w:rsid w:val="268801DD"/>
    <w:rsid w:val="268825EE"/>
    <w:rsid w:val="268B33C8"/>
    <w:rsid w:val="268C7F2C"/>
    <w:rsid w:val="268D7140"/>
    <w:rsid w:val="26924B19"/>
    <w:rsid w:val="269B0496"/>
    <w:rsid w:val="269B5134"/>
    <w:rsid w:val="269E759F"/>
    <w:rsid w:val="26A02708"/>
    <w:rsid w:val="26A20DD7"/>
    <w:rsid w:val="26A411C8"/>
    <w:rsid w:val="26A450D7"/>
    <w:rsid w:val="26A913B9"/>
    <w:rsid w:val="26AA29BB"/>
    <w:rsid w:val="26AB5818"/>
    <w:rsid w:val="26AD0ECE"/>
    <w:rsid w:val="26AF5037"/>
    <w:rsid w:val="26B4291F"/>
    <w:rsid w:val="26B53C3F"/>
    <w:rsid w:val="26B7240F"/>
    <w:rsid w:val="26BA579F"/>
    <w:rsid w:val="26BC17D3"/>
    <w:rsid w:val="26BF2653"/>
    <w:rsid w:val="26C012C4"/>
    <w:rsid w:val="26C06C0E"/>
    <w:rsid w:val="26C1158E"/>
    <w:rsid w:val="26C324E5"/>
    <w:rsid w:val="26C37AB7"/>
    <w:rsid w:val="26C770B8"/>
    <w:rsid w:val="26C8275E"/>
    <w:rsid w:val="26CA4747"/>
    <w:rsid w:val="26CC3C66"/>
    <w:rsid w:val="26DC2AE9"/>
    <w:rsid w:val="26DF5EB8"/>
    <w:rsid w:val="26E04F51"/>
    <w:rsid w:val="26E33A95"/>
    <w:rsid w:val="26E72BC2"/>
    <w:rsid w:val="26EA6341"/>
    <w:rsid w:val="26F0583E"/>
    <w:rsid w:val="26F24B79"/>
    <w:rsid w:val="26F31433"/>
    <w:rsid w:val="26F62171"/>
    <w:rsid w:val="26F70540"/>
    <w:rsid w:val="26F7280B"/>
    <w:rsid w:val="26F96108"/>
    <w:rsid w:val="26FA2CA4"/>
    <w:rsid w:val="26FF3E03"/>
    <w:rsid w:val="2701028C"/>
    <w:rsid w:val="270108D7"/>
    <w:rsid w:val="27083AFA"/>
    <w:rsid w:val="27084469"/>
    <w:rsid w:val="27090EBD"/>
    <w:rsid w:val="270915A0"/>
    <w:rsid w:val="270A1A6A"/>
    <w:rsid w:val="270C343C"/>
    <w:rsid w:val="270C532F"/>
    <w:rsid w:val="270E3429"/>
    <w:rsid w:val="2715033A"/>
    <w:rsid w:val="27162E4D"/>
    <w:rsid w:val="271635D9"/>
    <w:rsid w:val="271720F3"/>
    <w:rsid w:val="2717691D"/>
    <w:rsid w:val="27177BC7"/>
    <w:rsid w:val="27196C26"/>
    <w:rsid w:val="271A1F04"/>
    <w:rsid w:val="271B0BF0"/>
    <w:rsid w:val="271D0F0C"/>
    <w:rsid w:val="271E423C"/>
    <w:rsid w:val="27247546"/>
    <w:rsid w:val="27254D26"/>
    <w:rsid w:val="272B7560"/>
    <w:rsid w:val="272D449E"/>
    <w:rsid w:val="272E2D77"/>
    <w:rsid w:val="273356DD"/>
    <w:rsid w:val="27371A60"/>
    <w:rsid w:val="27383550"/>
    <w:rsid w:val="273C325D"/>
    <w:rsid w:val="274211AC"/>
    <w:rsid w:val="27466B4D"/>
    <w:rsid w:val="27487600"/>
    <w:rsid w:val="27490CCA"/>
    <w:rsid w:val="27491D9F"/>
    <w:rsid w:val="274A35EE"/>
    <w:rsid w:val="274E7899"/>
    <w:rsid w:val="27520F9D"/>
    <w:rsid w:val="27534744"/>
    <w:rsid w:val="2754116D"/>
    <w:rsid w:val="27544FB6"/>
    <w:rsid w:val="275A444C"/>
    <w:rsid w:val="275B4637"/>
    <w:rsid w:val="275C320A"/>
    <w:rsid w:val="27602BEA"/>
    <w:rsid w:val="27610C55"/>
    <w:rsid w:val="276656DC"/>
    <w:rsid w:val="2767083D"/>
    <w:rsid w:val="276D30BD"/>
    <w:rsid w:val="276F2027"/>
    <w:rsid w:val="27750F82"/>
    <w:rsid w:val="27754955"/>
    <w:rsid w:val="277A5609"/>
    <w:rsid w:val="277B57A8"/>
    <w:rsid w:val="277F4CA3"/>
    <w:rsid w:val="277F5FE1"/>
    <w:rsid w:val="27814D7D"/>
    <w:rsid w:val="2789396F"/>
    <w:rsid w:val="278B1634"/>
    <w:rsid w:val="278F48C4"/>
    <w:rsid w:val="27906111"/>
    <w:rsid w:val="279102A9"/>
    <w:rsid w:val="27911929"/>
    <w:rsid w:val="27914A0E"/>
    <w:rsid w:val="27932534"/>
    <w:rsid w:val="279C1570"/>
    <w:rsid w:val="279C6F72"/>
    <w:rsid w:val="279F6ADA"/>
    <w:rsid w:val="27A13BA0"/>
    <w:rsid w:val="27A17601"/>
    <w:rsid w:val="27A401A2"/>
    <w:rsid w:val="27A42F07"/>
    <w:rsid w:val="27A62740"/>
    <w:rsid w:val="27A7210D"/>
    <w:rsid w:val="27A97FAA"/>
    <w:rsid w:val="27AB071B"/>
    <w:rsid w:val="27AC5CEC"/>
    <w:rsid w:val="27AE108D"/>
    <w:rsid w:val="27AF09D8"/>
    <w:rsid w:val="27B63ECD"/>
    <w:rsid w:val="27B759A8"/>
    <w:rsid w:val="27B9058A"/>
    <w:rsid w:val="27BA2271"/>
    <w:rsid w:val="27BD2331"/>
    <w:rsid w:val="27C052F3"/>
    <w:rsid w:val="27C3551C"/>
    <w:rsid w:val="27C564D2"/>
    <w:rsid w:val="27C61896"/>
    <w:rsid w:val="27CA18BA"/>
    <w:rsid w:val="27CD4D27"/>
    <w:rsid w:val="27D30029"/>
    <w:rsid w:val="27D9262C"/>
    <w:rsid w:val="27DA2C62"/>
    <w:rsid w:val="27DD60E3"/>
    <w:rsid w:val="27DE5469"/>
    <w:rsid w:val="27DF1C1D"/>
    <w:rsid w:val="27E41E1F"/>
    <w:rsid w:val="27E4312A"/>
    <w:rsid w:val="27E56B08"/>
    <w:rsid w:val="27E77CB3"/>
    <w:rsid w:val="27EC7E96"/>
    <w:rsid w:val="27EF4621"/>
    <w:rsid w:val="27F07A1C"/>
    <w:rsid w:val="27F354C9"/>
    <w:rsid w:val="27FC3B96"/>
    <w:rsid w:val="27FD41F5"/>
    <w:rsid w:val="27FE656B"/>
    <w:rsid w:val="28077489"/>
    <w:rsid w:val="280B47C0"/>
    <w:rsid w:val="280B656E"/>
    <w:rsid w:val="280E363F"/>
    <w:rsid w:val="28146B14"/>
    <w:rsid w:val="28182F28"/>
    <w:rsid w:val="281C4C20"/>
    <w:rsid w:val="281F24B4"/>
    <w:rsid w:val="281F64BE"/>
    <w:rsid w:val="28217EE9"/>
    <w:rsid w:val="28237A3A"/>
    <w:rsid w:val="28276B7F"/>
    <w:rsid w:val="2828786D"/>
    <w:rsid w:val="2829733C"/>
    <w:rsid w:val="282C18B4"/>
    <w:rsid w:val="282C4473"/>
    <w:rsid w:val="282E04AF"/>
    <w:rsid w:val="28306C56"/>
    <w:rsid w:val="28334B94"/>
    <w:rsid w:val="28374632"/>
    <w:rsid w:val="283C0315"/>
    <w:rsid w:val="283F0FF7"/>
    <w:rsid w:val="284976CB"/>
    <w:rsid w:val="2851385E"/>
    <w:rsid w:val="2857308E"/>
    <w:rsid w:val="28584F58"/>
    <w:rsid w:val="285919D0"/>
    <w:rsid w:val="285B7903"/>
    <w:rsid w:val="285F38BE"/>
    <w:rsid w:val="28612864"/>
    <w:rsid w:val="286708E7"/>
    <w:rsid w:val="2868790C"/>
    <w:rsid w:val="286A2D27"/>
    <w:rsid w:val="286E25C6"/>
    <w:rsid w:val="286F3C87"/>
    <w:rsid w:val="28710DBC"/>
    <w:rsid w:val="28732366"/>
    <w:rsid w:val="2874042A"/>
    <w:rsid w:val="287B6C44"/>
    <w:rsid w:val="287C746C"/>
    <w:rsid w:val="287F07EB"/>
    <w:rsid w:val="287F2230"/>
    <w:rsid w:val="28802805"/>
    <w:rsid w:val="28812CD5"/>
    <w:rsid w:val="2882583F"/>
    <w:rsid w:val="28847F5A"/>
    <w:rsid w:val="288527C5"/>
    <w:rsid w:val="28887342"/>
    <w:rsid w:val="288A7DDB"/>
    <w:rsid w:val="288F38C5"/>
    <w:rsid w:val="28920FF0"/>
    <w:rsid w:val="2892403D"/>
    <w:rsid w:val="289433F1"/>
    <w:rsid w:val="28953438"/>
    <w:rsid w:val="289F6CF4"/>
    <w:rsid w:val="28A04705"/>
    <w:rsid w:val="28A13A4E"/>
    <w:rsid w:val="28A33408"/>
    <w:rsid w:val="28A3541F"/>
    <w:rsid w:val="28A7735A"/>
    <w:rsid w:val="28AB5B3E"/>
    <w:rsid w:val="28B16103"/>
    <w:rsid w:val="28B45868"/>
    <w:rsid w:val="28B65048"/>
    <w:rsid w:val="28B843B6"/>
    <w:rsid w:val="28B86D7C"/>
    <w:rsid w:val="28B877FA"/>
    <w:rsid w:val="28BB3AC1"/>
    <w:rsid w:val="28C64551"/>
    <w:rsid w:val="28C66939"/>
    <w:rsid w:val="28C72DDD"/>
    <w:rsid w:val="28C84B19"/>
    <w:rsid w:val="28CB4123"/>
    <w:rsid w:val="28CC4F8C"/>
    <w:rsid w:val="28CD7917"/>
    <w:rsid w:val="28D215BD"/>
    <w:rsid w:val="28D27D07"/>
    <w:rsid w:val="28D36AB1"/>
    <w:rsid w:val="28D5438A"/>
    <w:rsid w:val="28E25C04"/>
    <w:rsid w:val="28E3630C"/>
    <w:rsid w:val="28E44026"/>
    <w:rsid w:val="28E80EC3"/>
    <w:rsid w:val="28E935E8"/>
    <w:rsid w:val="28EB20F9"/>
    <w:rsid w:val="28EC0D4D"/>
    <w:rsid w:val="28EE5B14"/>
    <w:rsid w:val="28EF2745"/>
    <w:rsid w:val="28F06F20"/>
    <w:rsid w:val="28F2178A"/>
    <w:rsid w:val="28F25980"/>
    <w:rsid w:val="28F856B1"/>
    <w:rsid w:val="29017971"/>
    <w:rsid w:val="29025671"/>
    <w:rsid w:val="29032C29"/>
    <w:rsid w:val="2903525D"/>
    <w:rsid w:val="290411B1"/>
    <w:rsid w:val="29044945"/>
    <w:rsid w:val="2907142C"/>
    <w:rsid w:val="290830EC"/>
    <w:rsid w:val="29097122"/>
    <w:rsid w:val="290E3F76"/>
    <w:rsid w:val="290F20A8"/>
    <w:rsid w:val="29113E0F"/>
    <w:rsid w:val="29144DB8"/>
    <w:rsid w:val="291459DD"/>
    <w:rsid w:val="291514F5"/>
    <w:rsid w:val="29192F0D"/>
    <w:rsid w:val="291C30A7"/>
    <w:rsid w:val="291C5E83"/>
    <w:rsid w:val="29217351"/>
    <w:rsid w:val="29220490"/>
    <w:rsid w:val="292432A4"/>
    <w:rsid w:val="29253660"/>
    <w:rsid w:val="29257B04"/>
    <w:rsid w:val="292A336C"/>
    <w:rsid w:val="292A550E"/>
    <w:rsid w:val="292D23F6"/>
    <w:rsid w:val="292D740C"/>
    <w:rsid w:val="292E4562"/>
    <w:rsid w:val="292F55ED"/>
    <w:rsid w:val="29362C6B"/>
    <w:rsid w:val="293A2E1B"/>
    <w:rsid w:val="293A4614"/>
    <w:rsid w:val="293B392E"/>
    <w:rsid w:val="293D1AEA"/>
    <w:rsid w:val="293D1E7E"/>
    <w:rsid w:val="293E7323"/>
    <w:rsid w:val="2947466B"/>
    <w:rsid w:val="294979CB"/>
    <w:rsid w:val="294E6637"/>
    <w:rsid w:val="294F39D4"/>
    <w:rsid w:val="2951590E"/>
    <w:rsid w:val="295B3793"/>
    <w:rsid w:val="295B3B90"/>
    <w:rsid w:val="295D20F9"/>
    <w:rsid w:val="295E2576"/>
    <w:rsid w:val="296237AB"/>
    <w:rsid w:val="296651F0"/>
    <w:rsid w:val="29666ABE"/>
    <w:rsid w:val="29674CE1"/>
    <w:rsid w:val="29677534"/>
    <w:rsid w:val="2967776A"/>
    <w:rsid w:val="29683225"/>
    <w:rsid w:val="296B2301"/>
    <w:rsid w:val="296C24CA"/>
    <w:rsid w:val="296F3EFA"/>
    <w:rsid w:val="29707599"/>
    <w:rsid w:val="297546ED"/>
    <w:rsid w:val="29783D7D"/>
    <w:rsid w:val="29796452"/>
    <w:rsid w:val="297A1141"/>
    <w:rsid w:val="297E7816"/>
    <w:rsid w:val="298011DE"/>
    <w:rsid w:val="29862791"/>
    <w:rsid w:val="29871BD2"/>
    <w:rsid w:val="2987256D"/>
    <w:rsid w:val="298A6778"/>
    <w:rsid w:val="29984382"/>
    <w:rsid w:val="299867B9"/>
    <w:rsid w:val="29993813"/>
    <w:rsid w:val="299B1EAD"/>
    <w:rsid w:val="299B7C76"/>
    <w:rsid w:val="299C1730"/>
    <w:rsid w:val="299D769A"/>
    <w:rsid w:val="29A14BA3"/>
    <w:rsid w:val="29A24CB1"/>
    <w:rsid w:val="29A26457"/>
    <w:rsid w:val="29A322A2"/>
    <w:rsid w:val="29A60A20"/>
    <w:rsid w:val="29AB5518"/>
    <w:rsid w:val="29AD5FE0"/>
    <w:rsid w:val="29B175E9"/>
    <w:rsid w:val="29B31924"/>
    <w:rsid w:val="29B33F4E"/>
    <w:rsid w:val="29B66105"/>
    <w:rsid w:val="29B71123"/>
    <w:rsid w:val="29BA18E5"/>
    <w:rsid w:val="29BE18A1"/>
    <w:rsid w:val="29C10BC0"/>
    <w:rsid w:val="29C56BF1"/>
    <w:rsid w:val="29CE104E"/>
    <w:rsid w:val="29CF7E9E"/>
    <w:rsid w:val="29D03297"/>
    <w:rsid w:val="29D37560"/>
    <w:rsid w:val="29D61D02"/>
    <w:rsid w:val="29D8777B"/>
    <w:rsid w:val="29D87A9C"/>
    <w:rsid w:val="29DA1D48"/>
    <w:rsid w:val="29DA6BA1"/>
    <w:rsid w:val="29DE0FB4"/>
    <w:rsid w:val="29DE2795"/>
    <w:rsid w:val="29DF2F47"/>
    <w:rsid w:val="29DF5901"/>
    <w:rsid w:val="29E77A8C"/>
    <w:rsid w:val="29EB261E"/>
    <w:rsid w:val="29EB3544"/>
    <w:rsid w:val="29EE439A"/>
    <w:rsid w:val="29EF2A18"/>
    <w:rsid w:val="29F03754"/>
    <w:rsid w:val="29F3670C"/>
    <w:rsid w:val="29F574D6"/>
    <w:rsid w:val="29F75E26"/>
    <w:rsid w:val="29FA4AED"/>
    <w:rsid w:val="29FC6AB7"/>
    <w:rsid w:val="29FD4B79"/>
    <w:rsid w:val="2A0008C4"/>
    <w:rsid w:val="2A0711BB"/>
    <w:rsid w:val="2A09129A"/>
    <w:rsid w:val="2A097211"/>
    <w:rsid w:val="2A0C65CE"/>
    <w:rsid w:val="2A1143A7"/>
    <w:rsid w:val="2A135FD1"/>
    <w:rsid w:val="2A13795C"/>
    <w:rsid w:val="2A1455E5"/>
    <w:rsid w:val="2A15059B"/>
    <w:rsid w:val="2A154CD7"/>
    <w:rsid w:val="2A162F3E"/>
    <w:rsid w:val="2A183450"/>
    <w:rsid w:val="2A197806"/>
    <w:rsid w:val="2A1A6452"/>
    <w:rsid w:val="2A1B7070"/>
    <w:rsid w:val="2A1C3FC4"/>
    <w:rsid w:val="2A1C5F4D"/>
    <w:rsid w:val="2A1D2502"/>
    <w:rsid w:val="2A201476"/>
    <w:rsid w:val="2A2607F3"/>
    <w:rsid w:val="2A261D85"/>
    <w:rsid w:val="2A264DED"/>
    <w:rsid w:val="2A2C7E0E"/>
    <w:rsid w:val="2A2D3767"/>
    <w:rsid w:val="2A324D82"/>
    <w:rsid w:val="2A3875AD"/>
    <w:rsid w:val="2A3B46DE"/>
    <w:rsid w:val="2A3E6C48"/>
    <w:rsid w:val="2A4140BD"/>
    <w:rsid w:val="2A4203FE"/>
    <w:rsid w:val="2A4236F4"/>
    <w:rsid w:val="2A4D02F3"/>
    <w:rsid w:val="2A4F7E08"/>
    <w:rsid w:val="2A50295E"/>
    <w:rsid w:val="2A507E3A"/>
    <w:rsid w:val="2A535FBE"/>
    <w:rsid w:val="2A584DEF"/>
    <w:rsid w:val="2A617E8B"/>
    <w:rsid w:val="2A6808B3"/>
    <w:rsid w:val="2A685EFA"/>
    <w:rsid w:val="2A6D3510"/>
    <w:rsid w:val="2A6D5FEB"/>
    <w:rsid w:val="2A7516EA"/>
    <w:rsid w:val="2A753411"/>
    <w:rsid w:val="2A76181A"/>
    <w:rsid w:val="2A76797F"/>
    <w:rsid w:val="2A780BCA"/>
    <w:rsid w:val="2A790107"/>
    <w:rsid w:val="2A7C7BF7"/>
    <w:rsid w:val="2A7D5888"/>
    <w:rsid w:val="2A7F73D7"/>
    <w:rsid w:val="2A8820F8"/>
    <w:rsid w:val="2A8A18C7"/>
    <w:rsid w:val="2A8C31F9"/>
    <w:rsid w:val="2A8D25F1"/>
    <w:rsid w:val="2A920CB6"/>
    <w:rsid w:val="2A931300"/>
    <w:rsid w:val="2A940FCE"/>
    <w:rsid w:val="2AAB203D"/>
    <w:rsid w:val="2AAB228B"/>
    <w:rsid w:val="2AAB5DE7"/>
    <w:rsid w:val="2AAD669E"/>
    <w:rsid w:val="2AB32EED"/>
    <w:rsid w:val="2AB47A71"/>
    <w:rsid w:val="2AB56C65"/>
    <w:rsid w:val="2AB57746"/>
    <w:rsid w:val="2AB82D7E"/>
    <w:rsid w:val="2AB86727"/>
    <w:rsid w:val="2AB90164"/>
    <w:rsid w:val="2ABD20E8"/>
    <w:rsid w:val="2ABD7E2E"/>
    <w:rsid w:val="2AC0445F"/>
    <w:rsid w:val="2AC2117F"/>
    <w:rsid w:val="2AC228A3"/>
    <w:rsid w:val="2AC442F3"/>
    <w:rsid w:val="2AC84BEB"/>
    <w:rsid w:val="2AC9060F"/>
    <w:rsid w:val="2ACD1247"/>
    <w:rsid w:val="2ACE63E0"/>
    <w:rsid w:val="2AD05B6C"/>
    <w:rsid w:val="2AD36210"/>
    <w:rsid w:val="2AD60FC8"/>
    <w:rsid w:val="2AD765F4"/>
    <w:rsid w:val="2AD77D0F"/>
    <w:rsid w:val="2AD944A3"/>
    <w:rsid w:val="2AD9662A"/>
    <w:rsid w:val="2ADA1869"/>
    <w:rsid w:val="2ADA6602"/>
    <w:rsid w:val="2ADC72A6"/>
    <w:rsid w:val="2AE00186"/>
    <w:rsid w:val="2AE07356"/>
    <w:rsid w:val="2AE56ED2"/>
    <w:rsid w:val="2AE75192"/>
    <w:rsid w:val="2AE800F9"/>
    <w:rsid w:val="2AEF2975"/>
    <w:rsid w:val="2AEF6B57"/>
    <w:rsid w:val="2AF0078E"/>
    <w:rsid w:val="2AF07155"/>
    <w:rsid w:val="2AF44164"/>
    <w:rsid w:val="2AFD709E"/>
    <w:rsid w:val="2AFF6FA5"/>
    <w:rsid w:val="2B004EA1"/>
    <w:rsid w:val="2B053749"/>
    <w:rsid w:val="2B073B50"/>
    <w:rsid w:val="2B147E30"/>
    <w:rsid w:val="2B1525C1"/>
    <w:rsid w:val="2B177920"/>
    <w:rsid w:val="2B1A6719"/>
    <w:rsid w:val="2B1E09DC"/>
    <w:rsid w:val="2B1E1DF2"/>
    <w:rsid w:val="2B2948A4"/>
    <w:rsid w:val="2B295145"/>
    <w:rsid w:val="2B2B4B8A"/>
    <w:rsid w:val="2B2D7144"/>
    <w:rsid w:val="2B2E197F"/>
    <w:rsid w:val="2B30384C"/>
    <w:rsid w:val="2B3412E3"/>
    <w:rsid w:val="2B3A18BA"/>
    <w:rsid w:val="2B3A3946"/>
    <w:rsid w:val="2B3C3AE2"/>
    <w:rsid w:val="2B3C7488"/>
    <w:rsid w:val="2B3E29A0"/>
    <w:rsid w:val="2B3E6793"/>
    <w:rsid w:val="2B3E6F89"/>
    <w:rsid w:val="2B3F1055"/>
    <w:rsid w:val="2B3F6FF2"/>
    <w:rsid w:val="2B403157"/>
    <w:rsid w:val="2B410ECB"/>
    <w:rsid w:val="2B441B07"/>
    <w:rsid w:val="2B4470AB"/>
    <w:rsid w:val="2B481140"/>
    <w:rsid w:val="2B4D01EC"/>
    <w:rsid w:val="2B5043EA"/>
    <w:rsid w:val="2B521FCA"/>
    <w:rsid w:val="2B522B6B"/>
    <w:rsid w:val="2B57380C"/>
    <w:rsid w:val="2B5E0ABB"/>
    <w:rsid w:val="2B617FD2"/>
    <w:rsid w:val="2B635D29"/>
    <w:rsid w:val="2B6457AD"/>
    <w:rsid w:val="2B6733EC"/>
    <w:rsid w:val="2B6D2ECE"/>
    <w:rsid w:val="2B70340B"/>
    <w:rsid w:val="2B724B56"/>
    <w:rsid w:val="2B794096"/>
    <w:rsid w:val="2B794594"/>
    <w:rsid w:val="2B7B611D"/>
    <w:rsid w:val="2B7D551D"/>
    <w:rsid w:val="2B7E34FB"/>
    <w:rsid w:val="2B7E52A9"/>
    <w:rsid w:val="2B7E6B29"/>
    <w:rsid w:val="2B7F7CFC"/>
    <w:rsid w:val="2B7F7E22"/>
    <w:rsid w:val="2B8E5110"/>
    <w:rsid w:val="2B910072"/>
    <w:rsid w:val="2B934281"/>
    <w:rsid w:val="2B9351F9"/>
    <w:rsid w:val="2B957FA4"/>
    <w:rsid w:val="2B9721AE"/>
    <w:rsid w:val="2B985C67"/>
    <w:rsid w:val="2B9B22FF"/>
    <w:rsid w:val="2BA17CD3"/>
    <w:rsid w:val="2BA23278"/>
    <w:rsid w:val="2BA32311"/>
    <w:rsid w:val="2BA62261"/>
    <w:rsid w:val="2BA97FAF"/>
    <w:rsid w:val="2BAC2034"/>
    <w:rsid w:val="2BAD1D78"/>
    <w:rsid w:val="2BB662EA"/>
    <w:rsid w:val="2BB76373"/>
    <w:rsid w:val="2BB864AA"/>
    <w:rsid w:val="2BBA0C5A"/>
    <w:rsid w:val="2BBC7CD7"/>
    <w:rsid w:val="2BBD705F"/>
    <w:rsid w:val="2BBE79D8"/>
    <w:rsid w:val="2BBF12D3"/>
    <w:rsid w:val="2BC0775E"/>
    <w:rsid w:val="2BC120F8"/>
    <w:rsid w:val="2BC2163A"/>
    <w:rsid w:val="2BC274D1"/>
    <w:rsid w:val="2BC4367B"/>
    <w:rsid w:val="2BC66875"/>
    <w:rsid w:val="2BC74AC7"/>
    <w:rsid w:val="2BC7651B"/>
    <w:rsid w:val="2BCB0D98"/>
    <w:rsid w:val="2BCB17DE"/>
    <w:rsid w:val="2BCB2410"/>
    <w:rsid w:val="2BCD0FB2"/>
    <w:rsid w:val="2BD07A87"/>
    <w:rsid w:val="2BD103BF"/>
    <w:rsid w:val="2BD33430"/>
    <w:rsid w:val="2BD4136D"/>
    <w:rsid w:val="2BD458DF"/>
    <w:rsid w:val="2BDC21FF"/>
    <w:rsid w:val="2BE54466"/>
    <w:rsid w:val="2BE72E0D"/>
    <w:rsid w:val="2BE7693D"/>
    <w:rsid w:val="2BE9088D"/>
    <w:rsid w:val="2BE9306B"/>
    <w:rsid w:val="2BE946FF"/>
    <w:rsid w:val="2BED7DB1"/>
    <w:rsid w:val="2BEE722B"/>
    <w:rsid w:val="2BEF31F7"/>
    <w:rsid w:val="2BEF4888"/>
    <w:rsid w:val="2BEF49DC"/>
    <w:rsid w:val="2BF00E5B"/>
    <w:rsid w:val="2BF10171"/>
    <w:rsid w:val="2BFB51D0"/>
    <w:rsid w:val="2BFD2C72"/>
    <w:rsid w:val="2C023674"/>
    <w:rsid w:val="2C05131D"/>
    <w:rsid w:val="2C08632F"/>
    <w:rsid w:val="2C091421"/>
    <w:rsid w:val="2C0976BF"/>
    <w:rsid w:val="2C0A5678"/>
    <w:rsid w:val="2C0B7EFE"/>
    <w:rsid w:val="2C0C0247"/>
    <w:rsid w:val="2C0D6BDF"/>
    <w:rsid w:val="2C0E0EFF"/>
    <w:rsid w:val="2C124B22"/>
    <w:rsid w:val="2C16223D"/>
    <w:rsid w:val="2C18112E"/>
    <w:rsid w:val="2C1837DA"/>
    <w:rsid w:val="2C1B0D4A"/>
    <w:rsid w:val="2C1F3E80"/>
    <w:rsid w:val="2C22085B"/>
    <w:rsid w:val="2C243D1A"/>
    <w:rsid w:val="2C25199E"/>
    <w:rsid w:val="2C294BBF"/>
    <w:rsid w:val="2C2A3CEA"/>
    <w:rsid w:val="2C2D7EEF"/>
    <w:rsid w:val="2C2F3AFD"/>
    <w:rsid w:val="2C2F7239"/>
    <w:rsid w:val="2C3037E6"/>
    <w:rsid w:val="2C316B25"/>
    <w:rsid w:val="2C376C74"/>
    <w:rsid w:val="2C387631"/>
    <w:rsid w:val="2C3A1B18"/>
    <w:rsid w:val="2C3A1FB4"/>
    <w:rsid w:val="2C3A7ABA"/>
    <w:rsid w:val="2C3C3325"/>
    <w:rsid w:val="2C417750"/>
    <w:rsid w:val="2C4209CD"/>
    <w:rsid w:val="2C430FAF"/>
    <w:rsid w:val="2C450491"/>
    <w:rsid w:val="2C467E77"/>
    <w:rsid w:val="2C472744"/>
    <w:rsid w:val="2C482ABF"/>
    <w:rsid w:val="2C4D3479"/>
    <w:rsid w:val="2C4D6B52"/>
    <w:rsid w:val="2C4E2B74"/>
    <w:rsid w:val="2C541067"/>
    <w:rsid w:val="2C550700"/>
    <w:rsid w:val="2C5523C1"/>
    <w:rsid w:val="2C56154B"/>
    <w:rsid w:val="2C567FD4"/>
    <w:rsid w:val="2C5769BB"/>
    <w:rsid w:val="2C5B4D3F"/>
    <w:rsid w:val="2C5F2931"/>
    <w:rsid w:val="2C60594B"/>
    <w:rsid w:val="2C62651A"/>
    <w:rsid w:val="2C6379BF"/>
    <w:rsid w:val="2C642147"/>
    <w:rsid w:val="2C662B4F"/>
    <w:rsid w:val="2C665D25"/>
    <w:rsid w:val="2C6676A8"/>
    <w:rsid w:val="2C684778"/>
    <w:rsid w:val="2C6A7270"/>
    <w:rsid w:val="2C6B1CD2"/>
    <w:rsid w:val="2C6B629D"/>
    <w:rsid w:val="2C6C4189"/>
    <w:rsid w:val="2C6D4C50"/>
    <w:rsid w:val="2C6E5F2E"/>
    <w:rsid w:val="2C70688E"/>
    <w:rsid w:val="2C7505B3"/>
    <w:rsid w:val="2C772424"/>
    <w:rsid w:val="2C7D1A05"/>
    <w:rsid w:val="2C7E3802"/>
    <w:rsid w:val="2C7F577D"/>
    <w:rsid w:val="2C85797F"/>
    <w:rsid w:val="2C894554"/>
    <w:rsid w:val="2C8B2167"/>
    <w:rsid w:val="2C8B6D30"/>
    <w:rsid w:val="2C8C7F2F"/>
    <w:rsid w:val="2C8D4227"/>
    <w:rsid w:val="2C8E776E"/>
    <w:rsid w:val="2C9116B0"/>
    <w:rsid w:val="2C951A71"/>
    <w:rsid w:val="2C966F6F"/>
    <w:rsid w:val="2C9764D6"/>
    <w:rsid w:val="2C976BB2"/>
    <w:rsid w:val="2C9C0B4F"/>
    <w:rsid w:val="2C9E500B"/>
    <w:rsid w:val="2C9F6D9F"/>
    <w:rsid w:val="2CA10DDB"/>
    <w:rsid w:val="2CA55BA2"/>
    <w:rsid w:val="2CA5795D"/>
    <w:rsid w:val="2CA65FF4"/>
    <w:rsid w:val="2CA67DEF"/>
    <w:rsid w:val="2CA874EE"/>
    <w:rsid w:val="2CB03362"/>
    <w:rsid w:val="2CB17831"/>
    <w:rsid w:val="2CB35CC8"/>
    <w:rsid w:val="2CB457E4"/>
    <w:rsid w:val="2CBE1FFF"/>
    <w:rsid w:val="2CC35FE8"/>
    <w:rsid w:val="2CC414A9"/>
    <w:rsid w:val="2CC844ED"/>
    <w:rsid w:val="2CC96E69"/>
    <w:rsid w:val="2CD1275B"/>
    <w:rsid w:val="2CD63759"/>
    <w:rsid w:val="2CD65665"/>
    <w:rsid w:val="2CD91B05"/>
    <w:rsid w:val="2CDB38C3"/>
    <w:rsid w:val="2CDF23A4"/>
    <w:rsid w:val="2CE02641"/>
    <w:rsid w:val="2CE04230"/>
    <w:rsid w:val="2CEA5000"/>
    <w:rsid w:val="2CEB1F3E"/>
    <w:rsid w:val="2CEE5DDC"/>
    <w:rsid w:val="2CF4340C"/>
    <w:rsid w:val="2CF455D6"/>
    <w:rsid w:val="2CF868FD"/>
    <w:rsid w:val="2CFA7476"/>
    <w:rsid w:val="2CFB7439"/>
    <w:rsid w:val="2CFC79FE"/>
    <w:rsid w:val="2CFD1CAF"/>
    <w:rsid w:val="2D0068BE"/>
    <w:rsid w:val="2D08707A"/>
    <w:rsid w:val="2D0C4DFA"/>
    <w:rsid w:val="2D0F7C9F"/>
    <w:rsid w:val="2D102102"/>
    <w:rsid w:val="2D166F61"/>
    <w:rsid w:val="2D18724F"/>
    <w:rsid w:val="2D1B7E52"/>
    <w:rsid w:val="2D1D6ABA"/>
    <w:rsid w:val="2D203347"/>
    <w:rsid w:val="2D235EE3"/>
    <w:rsid w:val="2D2A393B"/>
    <w:rsid w:val="2D2A56E9"/>
    <w:rsid w:val="2D2C50E5"/>
    <w:rsid w:val="2D35165F"/>
    <w:rsid w:val="2D3A4479"/>
    <w:rsid w:val="2D3A4BC3"/>
    <w:rsid w:val="2D3C79CF"/>
    <w:rsid w:val="2D3D2D85"/>
    <w:rsid w:val="2D405C2A"/>
    <w:rsid w:val="2D445CBF"/>
    <w:rsid w:val="2D465215"/>
    <w:rsid w:val="2D4927DF"/>
    <w:rsid w:val="2D493903"/>
    <w:rsid w:val="2D4973F6"/>
    <w:rsid w:val="2D4A18AC"/>
    <w:rsid w:val="2D4B38B1"/>
    <w:rsid w:val="2D4F7E6D"/>
    <w:rsid w:val="2D512AFE"/>
    <w:rsid w:val="2D524C40"/>
    <w:rsid w:val="2D536B82"/>
    <w:rsid w:val="2D544DF8"/>
    <w:rsid w:val="2D5E38BC"/>
    <w:rsid w:val="2D60407A"/>
    <w:rsid w:val="2D622A4C"/>
    <w:rsid w:val="2D687B01"/>
    <w:rsid w:val="2D6C5D01"/>
    <w:rsid w:val="2D722513"/>
    <w:rsid w:val="2D745439"/>
    <w:rsid w:val="2D764383"/>
    <w:rsid w:val="2D766B80"/>
    <w:rsid w:val="2D7828F8"/>
    <w:rsid w:val="2D795578"/>
    <w:rsid w:val="2D7B7CF2"/>
    <w:rsid w:val="2D845746"/>
    <w:rsid w:val="2D8629C4"/>
    <w:rsid w:val="2D871F91"/>
    <w:rsid w:val="2D89071C"/>
    <w:rsid w:val="2D8960A6"/>
    <w:rsid w:val="2D8D078E"/>
    <w:rsid w:val="2D924C8E"/>
    <w:rsid w:val="2D970A3F"/>
    <w:rsid w:val="2D991AA4"/>
    <w:rsid w:val="2DA27C6D"/>
    <w:rsid w:val="2DAC631F"/>
    <w:rsid w:val="2DB3073A"/>
    <w:rsid w:val="2DB61977"/>
    <w:rsid w:val="2DB77673"/>
    <w:rsid w:val="2DB94CBF"/>
    <w:rsid w:val="2DBE2F74"/>
    <w:rsid w:val="2DBF6CAD"/>
    <w:rsid w:val="2DC22583"/>
    <w:rsid w:val="2DC25921"/>
    <w:rsid w:val="2DC52CB3"/>
    <w:rsid w:val="2DC62BDB"/>
    <w:rsid w:val="2DCC4CBA"/>
    <w:rsid w:val="2DCE2070"/>
    <w:rsid w:val="2DD15386"/>
    <w:rsid w:val="2DD24671"/>
    <w:rsid w:val="2DD41AF8"/>
    <w:rsid w:val="2DD7181C"/>
    <w:rsid w:val="2DD9710F"/>
    <w:rsid w:val="2DDE1448"/>
    <w:rsid w:val="2DE33776"/>
    <w:rsid w:val="2DE375AC"/>
    <w:rsid w:val="2DEF090B"/>
    <w:rsid w:val="2DF00F9D"/>
    <w:rsid w:val="2DF12866"/>
    <w:rsid w:val="2DF34221"/>
    <w:rsid w:val="2DF92ED3"/>
    <w:rsid w:val="2DFC4A20"/>
    <w:rsid w:val="2E017028"/>
    <w:rsid w:val="2E087A5F"/>
    <w:rsid w:val="2E09265A"/>
    <w:rsid w:val="2E0B6FCE"/>
    <w:rsid w:val="2E0C2AAB"/>
    <w:rsid w:val="2E0D70F2"/>
    <w:rsid w:val="2E1044FF"/>
    <w:rsid w:val="2E163FD1"/>
    <w:rsid w:val="2E1764A6"/>
    <w:rsid w:val="2E182030"/>
    <w:rsid w:val="2E1A1B41"/>
    <w:rsid w:val="2E1D524D"/>
    <w:rsid w:val="2E2123C4"/>
    <w:rsid w:val="2E224612"/>
    <w:rsid w:val="2E252A9E"/>
    <w:rsid w:val="2E2572D8"/>
    <w:rsid w:val="2E270ACB"/>
    <w:rsid w:val="2E277914"/>
    <w:rsid w:val="2E2F19A8"/>
    <w:rsid w:val="2E2F6239"/>
    <w:rsid w:val="2E314855"/>
    <w:rsid w:val="2E334945"/>
    <w:rsid w:val="2E380E62"/>
    <w:rsid w:val="2E3D0D2D"/>
    <w:rsid w:val="2E3D2ADA"/>
    <w:rsid w:val="2E3D58F0"/>
    <w:rsid w:val="2E3F274A"/>
    <w:rsid w:val="2E400F3C"/>
    <w:rsid w:val="2E401761"/>
    <w:rsid w:val="2E4063F7"/>
    <w:rsid w:val="2E40697F"/>
    <w:rsid w:val="2E4535E8"/>
    <w:rsid w:val="2E482F82"/>
    <w:rsid w:val="2E4C5694"/>
    <w:rsid w:val="2E4E18AB"/>
    <w:rsid w:val="2E502BAD"/>
    <w:rsid w:val="2E5316C5"/>
    <w:rsid w:val="2E53170D"/>
    <w:rsid w:val="2E5A469E"/>
    <w:rsid w:val="2E5B0474"/>
    <w:rsid w:val="2E5B3AD9"/>
    <w:rsid w:val="2E5C0A3D"/>
    <w:rsid w:val="2E6E5875"/>
    <w:rsid w:val="2E701821"/>
    <w:rsid w:val="2E721C3D"/>
    <w:rsid w:val="2E750BE6"/>
    <w:rsid w:val="2E770134"/>
    <w:rsid w:val="2E795BB5"/>
    <w:rsid w:val="2E7B66DA"/>
    <w:rsid w:val="2E7D110B"/>
    <w:rsid w:val="2E7E3F31"/>
    <w:rsid w:val="2E7E7C54"/>
    <w:rsid w:val="2E7F4CA1"/>
    <w:rsid w:val="2E8216DB"/>
    <w:rsid w:val="2E827E76"/>
    <w:rsid w:val="2E8300FB"/>
    <w:rsid w:val="2E8630AF"/>
    <w:rsid w:val="2E870919"/>
    <w:rsid w:val="2E8A51ED"/>
    <w:rsid w:val="2E8B665B"/>
    <w:rsid w:val="2E8C65CF"/>
    <w:rsid w:val="2E8E226F"/>
    <w:rsid w:val="2E901EBD"/>
    <w:rsid w:val="2E9102C9"/>
    <w:rsid w:val="2E937FE6"/>
    <w:rsid w:val="2E951288"/>
    <w:rsid w:val="2E9570E6"/>
    <w:rsid w:val="2E9724FA"/>
    <w:rsid w:val="2E97330E"/>
    <w:rsid w:val="2E982B26"/>
    <w:rsid w:val="2E9A1ABD"/>
    <w:rsid w:val="2E9E0B57"/>
    <w:rsid w:val="2E9F06A9"/>
    <w:rsid w:val="2EA46D2C"/>
    <w:rsid w:val="2EA63495"/>
    <w:rsid w:val="2EB00FD9"/>
    <w:rsid w:val="2EB3150E"/>
    <w:rsid w:val="2EBA34A9"/>
    <w:rsid w:val="2EBD34B4"/>
    <w:rsid w:val="2EBF34C8"/>
    <w:rsid w:val="2EC339A1"/>
    <w:rsid w:val="2ECC53ED"/>
    <w:rsid w:val="2ECC6223"/>
    <w:rsid w:val="2ECC7CD1"/>
    <w:rsid w:val="2ED22FC2"/>
    <w:rsid w:val="2ED35FD4"/>
    <w:rsid w:val="2ED458FE"/>
    <w:rsid w:val="2ED92710"/>
    <w:rsid w:val="2EDE4026"/>
    <w:rsid w:val="2EDE5466"/>
    <w:rsid w:val="2EE23DA1"/>
    <w:rsid w:val="2EE33D5B"/>
    <w:rsid w:val="2EE35A9B"/>
    <w:rsid w:val="2EE508D5"/>
    <w:rsid w:val="2EE725A7"/>
    <w:rsid w:val="2EE81CF8"/>
    <w:rsid w:val="2EE86030"/>
    <w:rsid w:val="2EE92F66"/>
    <w:rsid w:val="2EEA1A2E"/>
    <w:rsid w:val="2EEA6A9D"/>
    <w:rsid w:val="2EEE53E2"/>
    <w:rsid w:val="2EEE6898"/>
    <w:rsid w:val="2EEE77C3"/>
    <w:rsid w:val="2EEF1476"/>
    <w:rsid w:val="2EF04F81"/>
    <w:rsid w:val="2EF22173"/>
    <w:rsid w:val="2EF8666A"/>
    <w:rsid w:val="2EF93AB3"/>
    <w:rsid w:val="2EFA558F"/>
    <w:rsid w:val="2EFF601C"/>
    <w:rsid w:val="2F07344B"/>
    <w:rsid w:val="2F091480"/>
    <w:rsid w:val="2F094142"/>
    <w:rsid w:val="2F0A5486"/>
    <w:rsid w:val="2F0C1C9C"/>
    <w:rsid w:val="2F0E604B"/>
    <w:rsid w:val="2F0E63FF"/>
    <w:rsid w:val="2F104DB2"/>
    <w:rsid w:val="2F1356FA"/>
    <w:rsid w:val="2F1378FC"/>
    <w:rsid w:val="2F15070E"/>
    <w:rsid w:val="2F170D73"/>
    <w:rsid w:val="2F177BFD"/>
    <w:rsid w:val="2F191C8F"/>
    <w:rsid w:val="2F1A178D"/>
    <w:rsid w:val="2F1E15B2"/>
    <w:rsid w:val="2F1F1968"/>
    <w:rsid w:val="2F1F1FC8"/>
    <w:rsid w:val="2F276CDA"/>
    <w:rsid w:val="2F2B6809"/>
    <w:rsid w:val="2F2D14C0"/>
    <w:rsid w:val="2F2F1283"/>
    <w:rsid w:val="2F310B94"/>
    <w:rsid w:val="2F327FD2"/>
    <w:rsid w:val="2F363E8B"/>
    <w:rsid w:val="2F370591"/>
    <w:rsid w:val="2F38189C"/>
    <w:rsid w:val="2F3953A6"/>
    <w:rsid w:val="2F395D55"/>
    <w:rsid w:val="2F4229B6"/>
    <w:rsid w:val="2F425FE5"/>
    <w:rsid w:val="2F452CAE"/>
    <w:rsid w:val="2F4800A8"/>
    <w:rsid w:val="2F4C44C7"/>
    <w:rsid w:val="2F534903"/>
    <w:rsid w:val="2F5527C5"/>
    <w:rsid w:val="2F5A30C9"/>
    <w:rsid w:val="2F5D4935"/>
    <w:rsid w:val="2F5E7741"/>
    <w:rsid w:val="2F607E7F"/>
    <w:rsid w:val="2F656EAC"/>
    <w:rsid w:val="2F683846"/>
    <w:rsid w:val="2F697F3B"/>
    <w:rsid w:val="2F6A2714"/>
    <w:rsid w:val="2F6D779B"/>
    <w:rsid w:val="2F7106F9"/>
    <w:rsid w:val="2F740AB5"/>
    <w:rsid w:val="2F746313"/>
    <w:rsid w:val="2F7A3BA2"/>
    <w:rsid w:val="2F7A6F92"/>
    <w:rsid w:val="2F7E3ACA"/>
    <w:rsid w:val="2F807842"/>
    <w:rsid w:val="2F862F62"/>
    <w:rsid w:val="2F866E22"/>
    <w:rsid w:val="2F872807"/>
    <w:rsid w:val="2F876636"/>
    <w:rsid w:val="2F897553"/>
    <w:rsid w:val="2F8A179D"/>
    <w:rsid w:val="2F9257C7"/>
    <w:rsid w:val="2F94153F"/>
    <w:rsid w:val="2F9432ED"/>
    <w:rsid w:val="2F953181"/>
    <w:rsid w:val="2F971030"/>
    <w:rsid w:val="2F9A2833"/>
    <w:rsid w:val="2F9C03F4"/>
    <w:rsid w:val="2FA379D4"/>
    <w:rsid w:val="2FA4537E"/>
    <w:rsid w:val="2FAB2AB0"/>
    <w:rsid w:val="2FAB4E1B"/>
    <w:rsid w:val="2FAC58BD"/>
    <w:rsid w:val="2FAE7943"/>
    <w:rsid w:val="2FAF5BAA"/>
    <w:rsid w:val="2FB02C32"/>
    <w:rsid w:val="2FB155B4"/>
    <w:rsid w:val="2FB31447"/>
    <w:rsid w:val="2FB82C3F"/>
    <w:rsid w:val="2FBF420E"/>
    <w:rsid w:val="2FC24B19"/>
    <w:rsid w:val="2FC32B1F"/>
    <w:rsid w:val="2FC60432"/>
    <w:rsid w:val="2FC71915"/>
    <w:rsid w:val="2FC834B6"/>
    <w:rsid w:val="2FCD61D4"/>
    <w:rsid w:val="2FCF3210"/>
    <w:rsid w:val="2FD104BC"/>
    <w:rsid w:val="2FD35635"/>
    <w:rsid w:val="2FD66278"/>
    <w:rsid w:val="2FD67BC8"/>
    <w:rsid w:val="2FDB4D1E"/>
    <w:rsid w:val="2FDD65FF"/>
    <w:rsid w:val="2FDE3FED"/>
    <w:rsid w:val="2FDF2CC9"/>
    <w:rsid w:val="2FE14059"/>
    <w:rsid w:val="2FE37DD1"/>
    <w:rsid w:val="2FEA5020"/>
    <w:rsid w:val="2FEA7EE2"/>
    <w:rsid w:val="2FEB1CC9"/>
    <w:rsid w:val="2FED04D4"/>
    <w:rsid w:val="2FEE13BF"/>
    <w:rsid w:val="2FEE14FF"/>
    <w:rsid w:val="2FEE5381"/>
    <w:rsid w:val="2FEF1692"/>
    <w:rsid w:val="2FEF6E23"/>
    <w:rsid w:val="2FF23167"/>
    <w:rsid w:val="2FF26266"/>
    <w:rsid w:val="2FF344B8"/>
    <w:rsid w:val="2FF37C14"/>
    <w:rsid w:val="2FF764C2"/>
    <w:rsid w:val="2FF93C4E"/>
    <w:rsid w:val="2FFA69AC"/>
    <w:rsid w:val="30017157"/>
    <w:rsid w:val="3007369B"/>
    <w:rsid w:val="30077F63"/>
    <w:rsid w:val="30092654"/>
    <w:rsid w:val="301067D0"/>
    <w:rsid w:val="30117379"/>
    <w:rsid w:val="30123D2C"/>
    <w:rsid w:val="3012625C"/>
    <w:rsid w:val="302108AF"/>
    <w:rsid w:val="3021394D"/>
    <w:rsid w:val="302149EF"/>
    <w:rsid w:val="302336A9"/>
    <w:rsid w:val="3024069F"/>
    <w:rsid w:val="302734ED"/>
    <w:rsid w:val="302854B8"/>
    <w:rsid w:val="302867C2"/>
    <w:rsid w:val="302C35D2"/>
    <w:rsid w:val="302D0516"/>
    <w:rsid w:val="302F40BD"/>
    <w:rsid w:val="302F762A"/>
    <w:rsid w:val="30303A56"/>
    <w:rsid w:val="303074BA"/>
    <w:rsid w:val="30373E6D"/>
    <w:rsid w:val="30397BAF"/>
    <w:rsid w:val="303A20E7"/>
    <w:rsid w:val="303B291C"/>
    <w:rsid w:val="30401EFA"/>
    <w:rsid w:val="3040306D"/>
    <w:rsid w:val="304045E8"/>
    <w:rsid w:val="30436508"/>
    <w:rsid w:val="304863E6"/>
    <w:rsid w:val="304A6E02"/>
    <w:rsid w:val="304A7E50"/>
    <w:rsid w:val="304C419E"/>
    <w:rsid w:val="304D02F7"/>
    <w:rsid w:val="304D3824"/>
    <w:rsid w:val="304D6FC2"/>
    <w:rsid w:val="304E234B"/>
    <w:rsid w:val="3051131A"/>
    <w:rsid w:val="30550CCF"/>
    <w:rsid w:val="30575990"/>
    <w:rsid w:val="30585E26"/>
    <w:rsid w:val="305B7CD7"/>
    <w:rsid w:val="305D2207"/>
    <w:rsid w:val="305D27D2"/>
    <w:rsid w:val="305F0308"/>
    <w:rsid w:val="30630CA7"/>
    <w:rsid w:val="30631BB6"/>
    <w:rsid w:val="30684E6E"/>
    <w:rsid w:val="3069477A"/>
    <w:rsid w:val="30696528"/>
    <w:rsid w:val="306B2EC3"/>
    <w:rsid w:val="306B3498"/>
    <w:rsid w:val="307328CB"/>
    <w:rsid w:val="307355F9"/>
    <w:rsid w:val="30764377"/>
    <w:rsid w:val="30767327"/>
    <w:rsid w:val="30780392"/>
    <w:rsid w:val="30782969"/>
    <w:rsid w:val="307A2B23"/>
    <w:rsid w:val="30826052"/>
    <w:rsid w:val="308266AA"/>
    <w:rsid w:val="30855B34"/>
    <w:rsid w:val="30891176"/>
    <w:rsid w:val="308A08C1"/>
    <w:rsid w:val="308A5AC5"/>
    <w:rsid w:val="308D6C59"/>
    <w:rsid w:val="308F211A"/>
    <w:rsid w:val="3092416E"/>
    <w:rsid w:val="3094285F"/>
    <w:rsid w:val="30944959"/>
    <w:rsid w:val="309636F9"/>
    <w:rsid w:val="309A26C5"/>
    <w:rsid w:val="309B06AC"/>
    <w:rsid w:val="309B5738"/>
    <w:rsid w:val="309C21DC"/>
    <w:rsid w:val="309D0360"/>
    <w:rsid w:val="309D3696"/>
    <w:rsid w:val="309E01D1"/>
    <w:rsid w:val="30A13F14"/>
    <w:rsid w:val="30A2250C"/>
    <w:rsid w:val="30A532D8"/>
    <w:rsid w:val="30A60BEE"/>
    <w:rsid w:val="30A62F81"/>
    <w:rsid w:val="30AB7699"/>
    <w:rsid w:val="30B20B27"/>
    <w:rsid w:val="30B638B7"/>
    <w:rsid w:val="30B65EBA"/>
    <w:rsid w:val="30B67293"/>
    <w:rsid w:val="30B845ED"/>
    <w:rsid w:val="30BE04DC"/>
    <w:rsid w:val="30C42E22"/>
    <w:rsid w:val="30C51D2B"/>
    <w:rsid w:val="30CA5DB2"/>
    <w:rsid w:val="30D033C2"/>
    <w:rsid w:val="30D045A6"/>
    <w:rsid w:val="30D164D5"/>
    <w:rsid w:val="30D16856"/>
    <w:rsid w:val="30D51CFC"/>
    <w:rsid w:val="30DB0DD0"/>
    <w:rsid w:val="30DB5BFA"/>
    <w:rsid w:val="30E033B4"/>
    <w:rsid w:val="30E20400"/>
    <w:rsid w:val="30E255A7"/>
    <w:rsid w:val="30E44A54"/>
    <w:rsid w:val="30EE1A83"/>
    <w:rsid w:val="30EF06F8"/>
    <w:rsid w:val="30F43FED"/>
    <w:rsid w:val="30F52CB4"/>
    <w:rsid w:val="30F83AA2"/>
    <w:rsid w:val="30FB7F57"/>
    <w:rsid w:val="30FF0BF3"/>
    <w:rsid w:val="31004190"/>
    <w:rsid w:val="31061414"/>
    <w:rsid w:val="31061506"/>
    <w:rsid w:val="31064F55"/>
    <w:rsid w:val="31066840"/>
    <w:rsid w:val="31091AB9"/>
    <w:rsid w:val="310E0E7D"/>
    <w:rsid w:val="310E3CD2"/>
    <w:rsid w:val="31131038"/>
    <w:rsid w:val="31134D1A"/>
    <w:rsid w:val="31183FF0"/>
    <w:rsid w:val="311A3F27"/>
    <w:rsid w:val="311B6605"/>
    <w:rsid w:val="311D19B3"/>
    <w:rsid w:val="311D7265"/>
    <w:rsid w:val="311E22E8"/>
    <w:rsid w:val="31295CB7"/>
    <w:rsid w:val="312B0C4E"/>
    <w:rsid w:val="312B342D"/>
    <w:rsid w:val="312B529C"/>
    <w:rsid w:val="312D3531"/>
    <w:rsid w:val="313009AD"/>
    <w:rsid w:val="31313AF5"/>
    <w:rsid w:val="313520CD"/>
    <w:rsid w:val="314537F4"/>
    <w:rsid w:val="31457F70"/>
    <w:rsid w:val="314600BF"/>
    <w:rsid w:val="314C3DF4"/>
    <w:rsid w:val="314C7137"/>
    <w:rsid w:val="314D7944"/>
    <w:rsid w:val="3152520E"/>
    <w:rsid w:val="315339D9"/>
    <w:rsid w:val="315977CF"/>
    <w:rsid w:val="315A2315"/>
    <w:rsid w:val="315C0774"/>
    <w:rsid w:val="31621AC1"/>
    <w:rsid w:val="3162679C"/>
    <w:rsid w:val="3163749E"/>
    <w:rsid w:val="3166731E"/>
    <w:rsid w:val="31692622"/>
    <w:rsid w:val="316B62D0"/>
    <w:rsid w:val="316E6F6A"/>
    <w:rsid w:val="31705F33"/>
    <w:rsid w:val="31706C15"/>
    <w:rsid w:val="3175764F"/>
    <w:rsid w:val="31761739"/>
    <w:rsid w:val="31793EF6"/>
    <w:rsid w:val="317D0122"/>
    <w:rsid w:val="317D37F6"/>
    <w:rsid w:val="317F550E"/>
    <w:rsid w:val="3185063E"/>
    <w:rsid w:val="318521D8"/>
    <w:rsid w:val="31884743"/>
    <w:rsid w:val="318C37C9"/>
    <w:rsid w:val="318F1FBE"/>
    <w:rsid w:val="3190374C"/>
    <w:rsid w:val="31927C42"/>
    <w:rsid w:val="3193422B"/>
    <w:rsid w:val="31935223"/>
    <w:rsid w:val="319361A1"/>
    <w:rsid w:val="319379C9"/>
    <w:rsid w:val="319919A6"/>
    <w:rsid w:val="319E2319"/>
    <w:rsid w:val="31A00C85"/>
    <w:rsid w:val="31A056C4"/>
    <w:rsid w:val="31A45011"/>
    <w:rsid w:val="31A5461C"/>
    <w:rsid w:val="31A55C86"/>
    <w:rsid w:val="31AC0BDA"/>
    <w:rsid w:val="31AD22A3"/>
    <w:rsid w:val="31B172AD"/>
    <w:rsid w:val="31B82D07"/>
    <w:rsid w:val="31BA1CCC"/>
    <w:rsid w:val="31BC1F2E"/>
    <w:rsid w:val="31C55AA6"/>
    <w:rsid w:val="31CB6D6E"/>
    <w:rsid w:val="31CE0C2B"/>
    <w:rsid w:val="31D053A4"/>
    <w:rsid w:val="31D67BED"/>
    <w:rsid w:val="31D925BA"/>
    <w:rsid w:val="31DE0A5F"/>
    <w:rsid w:val="31E01A41"/>
    <w:rsid w:val="31E13C0D"/>
    <w:rsid w:val="31EA39F9"/>
    <w:rsid w:val="31EC374D"/>
    <w:rsid w:val="31EE30E7"/>
    <w:rsid w:val="31EE5DBD"/>
    <w:rsid w:val="31F06210"/>
    <w:rsid w:val="31F2254D"/>
    <w:rsid w:val="31F65B91"/>
    <w:rsid w:val="31F66722"/>
    <w:rsid w:val="31FC51C5"/>
    <w:rsid w:val="32000F91"/>
    <w:rsid w:val="32074448"/>
    <w:rsid w:val="32076271"/>
    <w:rsid w:val="320969E9"/>
    <w:rsid w:val="320A516C"/>
    <w:rsid w:val="3216448E"/>
    <w:rsid w:val="32171E1B"/>
    <w:rsid w:val="32173A91"/>
    <w:rsid w:val="321A22D0"/>
    <w:rsid w:val="321C136E"/>
    <w:rsid w:val="322156B8"/>
    <w:rsid w:val="32283343"/>
    <w:rsid w:val="322D5484"/>
    <w:rsid w:val="322E5888"/>
    <w:rsid w:val="3230580F"/>
    <w:rsid w:val="323420C3"/>
    <w:rsid w:val="32342B66"/>
    <w:rsid w:val="32346BAD"/>
    <w:rsid w:val="32346D21"/>
    <w:rsid w:val="323538AA"/>
    <w:rsid w:val="32353BBE"/>
    <w:rsid w:val="3236068C"/>
    <w:rsid w:val="323963CE"/>
    <w:rsid w:val="32397CC9"/>
    <w:rsid w:val="323D6EED"/>
    <w:rsid w:val="32415CDC"/>
    <w:rsid w:val="32465417"/>
    <w:rsid w:val="324A0A96"/>
    <w:rsid w:val="324B4FCB"/>
    <w:rsid w:val="324E64DC"/>
    <w:rsid w:val="324F0311"/>
    <w:rsid w:val="32506201"/>
    <w:rsid w:val="32516AE0"/>
    <w:rsid w:val="325C5495"/>
    <w:rsid w:val="325D5411"/>
    <w:rsid w:val="326128BF"/>
    <w:rsid w:val="32620E1D"/>
    <w:rsid w:val="32637C93"/>
    <w:rsid w:val="32675F2E"/>
    <w:rsid w:val="326824AE"/>
    <w:rsid w:val="32693DA6"/>
    <w:rsid w:val="326D12FF"/>
    <w:rsid w:val="326D461C"/>
    <w:rsid w:val="326E5BD2"/>
    <w:rsid w:val="3270010C"/>
    <w:rsid w:val="3273368E"/>
    <w:rsid w:val="32777D59"/>
    <w:rsid w:val="3278051C"/>
    <w:rsid w:val="32785148"/>
    <w:rsid w:val="327B183D"/>
    <w:rsid w:val="32807B59"/>
    <w:rsid w:val="32821B23"/>
    <w:rsid w:val="32843819"/>
    <w:rsid w:val="32844558"/>
    <w:rsid w:val="32847455"/>
    <w:rsid w:val="32881470"/>
    <w:rsid w:val="3288354C"/>
    <w:rsid w:val="32954339"/>
    <w:rsid w:val="329F4483"/>
    <w:rsid w:val="32A0418F"/>
    <w:rsid w:val="32A1591F"/>
    <w:rsid w:val="32A352FC"/>
    <w:rsid w:val="32A41CF9"/>
    <w:rsid w:val="32AD2F4F"/>
    <w:rsid w:val="32AE0B7F"/>
    <w:rsid w:val="32B1065A"/>
    <w:rsid w:val="32B1407A"/>
    <w:rsid w:val="32B35B96"/>
    <w:rsid w:val="32B51EF8"/>
    <w:rsid w:val="32B76981"/>
    <w:rsid w:val="32B838EF"/>
    <w:rsid w:val="32C0264B"/>
    <w:rsid w:val="32C02884"/>
    <w:rsid w:val="32C17072"/>
    <w:rsid w:val="32C23D2A"/>
    <w:rsid w:val="32C4035B"/>
    <w:rsid w:val="32D256A2"/>
    <w:rsid w:val="32D2767B"/>
    <w:rsid w:val="32D318FA"/>
    <w:rsid w:val="32D66522"/>
    <w:rsid w:val="32D8388A"/>
    <w:rsid w:val="32D923A0"/>
    <w:rsid w:val="32DE2577"/>
    <w:rsid w:val="32E13218"/>
    <w:rsid w:val="32E42903"/>
    <w:rsid w:val="32E60304"/>
    <w:rsid w:val="32ED45E0"/>
    <w:rsid w:val="32EF5D0C"/>
    <w:rsid w:val="32F35EB1"/>
    <w:rsid w:val="32F75F52"/>
    <w:rsid w:val="32F778B7"/>
    <w:rsid w:val="32F85B5C"/>
    <w:rsid w:val="32F8706A"/>
    <w:rsid w:val="32FA790B"/>
    <w:rsid w:val="32FD11AA"/>
    <w:rsid w:val="33010C93"/>
    <w:rsid w:val="33033035"/>
    <w:rsid w:val="330743B3"/>
    <w:rsid w:val="330846B9"/>
    <w:rsid w:val="330C364F"/>
    <w:rsid w:val="330C375B"/>
    <w:rsid w:val="330C46E4"/>
    <w:rsid w:val="330D43E9"/>
    <w:rsid w:val="330E38B7"/>
    <w:rsid w:val="330F2D8B"/>
    <w:rsid w:val="33120F27"/>
    <w:rsid w:val="33143525"/>
    <w:rsid w:val="33152997"/>
    <w:rsid w:val="3315496D"/>
    <w:rsid w:val="331763D0"/>
    <w:rsid w:val="331A367C"/>
    <w:rsid w:val="331F2E53"/>
    <w:rsid w:val="33234B75"/>
    <w:rsid w:val="3324296C"/>
    <w:rsid w:val="33292088"/>
    <w:rsid w:val="33296443"/>
    <w:rsid w:val="33354DE7"/>
    <w:rsid w:val="333A180D"/>
    <w:rsid w:val="333A387C"/>
    <w:rsid w:val="333C03EF"/>
    <w:rsid w:val="333D38ED"/>
    <w:rsid w:val="333E1994"/>
    <w:rsid w:val="333E25B2"/>
    <w:rsid w:val="333F1C83"/>
    <w:rsid w:val="33430AD0"/>
    <w:rsid w:val="334F4916"/>
    <w:rsid w:val="334F51B9"/>
    <w:rsid w:val="33557275"/>
    <w:rsid w:val="33567EFB"/>
    <w:rsid w:val="33575837"/>
    <w:rsid w:val="335C433F"/>
    <w:rsid w:val="335E2A8E"/>
    <w:rsid w:val="33626C52"/>
    <w:rsid w:val="33636C51"/>
    <w:rsid w:val="33641A58"/>
    <w:rsid w:val="336A414B"/>
    <w:rsid w:val="33706FEB"/>
    <w:rsid w:val="33725D56"/>
    <w:rsid w:val="337376BE"/>
    <w:rsid w:val="337421C3"/>
    <w:rsid w:val="337721A7"/>
    <w:rsid w:val="33777CA6"/>
    <w:rsid w:val="337A0A4C"/>
    <w:rsid w:val="337E12C9"/>
    <w:rsid w:val="337F2CBB"/>
    <w:rsid w:val="338B2C59"/>
    <w:rsid w:val="338C23A0"/>
    <w:rsid w:val="33921510"/>
    <w:rsid w:val="339733AC"/>
    <w:rsid w:val="3397390A"/>
    <w:rsid w:val="339C05B5"/>
    <w:rsid w:val="339C3413"/>
    <w:rsid w:val="339D5EBC"/>
    <w:rsid w:val="33A07FFD"/>
    <w:rsid w:val="33A21362"/>
    <w:rsid w:val="33A930DF"/>
    <w:rsid w:val="33AA1331"/>
    <w:rsid w:val="33AB6DC6"/>
    <w:rsid w:val="33AC6BC7"/>
    <w:rsid w:val="33AE1F4E"/>
    <w:rsid w:val="33B109C0"/>
    <w:rsid w:val="33B741D1"/>
    <w:rsid w:val="33B77C2A"/>
    <w:rsid w:val="33BA62F1"/>
    <w:rsid w:val="33BB55BA"/>
    <w:rsid w:val="33BC4DB6"/>
    <w:rsid w:val="33BC6949"/>
    <w:rsid w:val="33BD3B89"/>
    <w:rsid w:val="33C22E00"/>
    <w:rsid w:val="33CA4B03"/>
    <w:rsid w:val="33CF7229"/>
    <w:rsid w:val="33D142B9"/>
    <w:rsid w:val="33D26ADA"/>
    <w:rsid w:val="33D3311B"/>
    <w:rsid w:val="33D35D2D"/>
    <w:rsid w:val="33D435C9"/>
    <w:rsid w:val="33D63656"/>
    <w:rsid w:val="33D65257"/>
    <w:rsid w:val="33D718F0"/>
    <w:rsid w:val="33D94F42"/>
    <w:rsid w:val="33DA540C"/>
    <w:rsid w:val="33DD47AD"/>
    <w:rsid w:val="33E04B27"/>
    <w:rsid w:val="33E31DD1"/>
    <w:rsid w:val="33EB56F6"/>
    <w:rsid w:val="33ED580D"/>
    <w:rsid w:val="33EF5BAD"/>
    <w:rsid w:val="33F11C06"/>
    <w:rsid w:val="33F56585"/>
    <w:rsid w:val="33F97BC3"/>
    <w:rsid w:val="33FE167D"/>
    <w:rsid w:val="34071DAA"/>
    <w:rsid w:val="340A0022"/>
    <w:rsid w:val="340A08FC"/>
    <w:rsid w:val="34140EA1"/>
    <w:rsid w:val="341876BD"/>
    <w:rsid w:val="34192DE0"/>
    <w:rsid w:val="341A3FBA"/>
    <w:rsid w:val="341C2017"/>
    <w:rsid w:val="341E5027"/>
    <w:rsid w:val="341F4CDF"/>
    <w:rsid w:val="34232E92"/>
    <w:rsid w:val="34290185"/>
    <w:rsid w:val="342C0CF1"/>
    <w:rsid w:val="34307284"/>
    <w:rsid w:val="34313D7C"/>
    <w:rsid w:val="34353FD3"/>
    <w:rsid w:val="343579C7"/>
    <w:rsid w:val="343603B4"/>
    <w:rsid w:val="3440074F"/>
    <w:rsid w:val="34403A44"/>
    <w:rsid w:val="344124C6"/>
    <w:rsid w:val="34425DCE"/>
    <w:rsid w:val="344338D6"/>
    <w:rsid w:val="34453C61"/>
    <w:rsid w:val="34473024"/>
    <w:rsid w:val="344A1B3F"/>
    <w:rsid w:val="344A3646"/>
    <w:rsid w:val="344E1723"/>
    <w:rsid w:val="34512F83"/>
    <w:rsid w:val="34515640"/>
    <w:rsid w:val="34516539"/>
    <w:rsid w:val="34563267"/>
    <w:rsid w:val="34592D57"/>
    <w:rsid w:val="345C0603"/>
    <w:rsid w:val="345E07CD"/>
    <w:rsid w:val="345F4E8C"/>
    <w:rsid w:val="3460290F"/>
    <w:rsid w:val="346042E9"/>
    <w:rsid w:val="34655258"/>
    <w:rsid w:val="34673853"/>
    <w:rsid w:val="34692F9B"/>
    <w:rsid w:val="346B0EAD"/>
    <w:rsid w:val="346D4568"/>
    <w:rsid w:val="346F60D7"/>
    <w:rsid w:val="34745BEE"/>
    <w:rsid w:val="34765066"/>
    <w:rsid w:val="3477365C"/>
    <w:rsid w:val="347861F5"/>
    <w:rsid w:val="34795865"/>
    <w:rsid w:val="347B0F20"/>
    <w:rsid w:val="348377A1"/>
    <w:rsid w:val="34853B4C"/>
    <w:rsid w:val="348B14D8"/>
    <w:rsid w:val="348C0A37"/>
    <w:rsid w:val="348C7379"/>
    <w:rsid w:val="348D05CA"/>
    <w:rsid w:val="348D2C34"/>
    <w:rsid w:val="348F6779"/>
    <w:rsid w:val="349433F5"/>
    <w:rsid w:val="3495078B"/>
    <w:rsid w:val="349668EB"/>
    <w:rsid w:val="349A1C09"/>
    <w:rsid w:val="349C6116"/>
    <w:rsid w:val="349D60F6"/>
    <w:rsid w:val="349D7284"/>
    <w:rsid w:val="349F06ED"/>
    <w:rsid w:val="349F2B71"/>
    <w:rsid w:val="34A061F7"/>
    <w:rsid w:val="34A67003"/>
    <w:rsid w:val="34A93306"/>
    <w:rsid w:val="34AE73B1"/>
    <w:rsid w:val="34AF790D"/>
    <w:rsid w:val="34B12875"/>
    <w:rsid w:val="34B97B6E"/>
    <w:rsid w:val="34BB25C8"/>
    <w:rsid w:val="34BD45C6"/>
    <w:rsid w:val="34BD5094"/>
    <w:rsid w:val="34C010D1"/>
    <w:rsid w:val="34C31E75"/>
    <w:rsid w:val="34CB5FFC"/>
    <w:rsid w:val="34CC69EB"/>
    <w:rsid w:val="34CF091E"/>
    <w:rsid w:val="34CF7378"/>
    <w:rsid w:val="34D21899"/>
    <w:rsid w:val="34D77F0B"/>
    <w:rsid w:val="34DB2E89"/>
    <w:rsid w:val="34DB3785"/>
    <w:rsid w:val="34DB47B3"/>
    <w:rsid w:val="34DB5993"/>
    <w:rsid w:val="34DF726C"/>
    <w:rsid w:val="34E12E4F"/>
    <w:rsid w:val="34E32671"/>
    <w:rsid w:val="34EB1998"/>
    <w:rsid w:val="34ED3C7F"/>
    <w:rsid w:val="34F02342"/>
    <w:rsid w:val="34F11403"/>
    <w:rsid w:val="34F13057"/>
    <w:rsid w:val="34F50011"/>
    <w:rsid w:val="34F52A80"/>
    <w:rsid w:val="34F60562"/>
    <w:rsid w:val="350137EF"/>
    <w:rsid w:val="350306BF"/>
    <w:rsid w:val="350B1930"/>
    <w:rsid w:val="350C49E1"/>
    <w:rsid w:val="350C6E0D"/>
    <w:rsid w:val="350D3F2F"/>
    <w:rsid w:val="35104585"/>
    <w:rsid w:val="35127CE7"/>
    <w:rsid w:val="351B0E64"/>
    <w:rsid w:val="351C5794"/>
    <w:rsid w:val="35232C37"/>
    <w:rsid w:val="352A4980"/>
    <w:rsid w:val="352C32EA"/>
    <w:rsid w:val="352C4558"/>
    <w:rsid w:val="35314135"/>
    <w:rsid w:val="35333141"/>
    <w:rsid w:val="35386E11"/>
    <w:rsid w:val="35392790"/>
    <w:rsid w:val="3539299A"/>
    <w:rsid w:val="353B77BC"/>
    <w:rsid w:val="353E0C5C"/>
    <w:rsid w:val="354259D9"/>
    <w:rsid w:val="354632DC"/>
    <w:rsid w:val="354708A2"/>
    <w:rsid w:val="35497DFC"/>
    <w:rsid w:val="354C0F74"/>
    <w:rsid w:val="354E468F"/>
    <w:rsid w:val="35526E59"/>
    <w:rsid w:val="35530E4F"/>
    <w:rsid w:val="35594987"/>
    <w:rsid w:val="355F5826"/>
    <w:rsid w:val="35671C2A"/>
    <w:rsid w:val="356A4C93"/>
    <w:rsid w:val="357065AB"/>
    <w:rsid w:val="357207F2"/>
    <w:rsid w:val="3575771D"/>
    <w:rsid w:val="35764548"/>
    <w:rsid w:val="35770919"/>
    <w:rsid w:val="3577141D"/>
    <w:rsid w:val="357A2F9F"/>
    <w:rsid w:val="357C4CDA"/>
    <w:rsid w:val="357E3ECB"/>
    <w:rsid w:val="35843E04"/>
    <w:rsid w:val="358626C0"/>
    <w:rsid w:val="35880A47"/>
    <w:rsid w:val="35884D64"/>
    <w:rsid w:val="35887162"/>
    <w:rsid w:val="358A766C"/>
    <w:rsid w:val="358B06F9"/>
    <w:rsid w:val="358B4D62"/>
    <w:rsid w:val="358D1880"/>
    <w:rsid w:val="358D2050"/>
    <w:rsid w:val="358D3C31"/>
    <w:rsid w:val="358F5856"/>
    <w:rsid w:val="35906305"/>
    <w:rsid w:val="35911875"/>
    <w:rsid w:val="35912353"/>
    <w:rsid w:val="3592445D"/>
    <w:rsid w:val="35946D07"/>
    <w:rsid w:val="359612E1"/>
    <w:rsid w:val="35973B37"/>
    <w:rsid w:val="3598260D"/>
    <w:rsid w:val="359B4187"/>
    <w:rsid w:val="359C114E"/>
    <w:rsid w:val="359E65DD"/>
    <w:rsid w:val="35A2029F"/>
    <w:rsid w:val="35A37021"/>
    <w:rsid w:val="35A54A40"/>
    <w:rsid w:val="35A84660"/>
    <w:rsid w:val="35A94067"/>
    <w:rsid w:val="35A96420"/>
    <w:rsid w:val="35AB02CC"/>
    <w:rsid w:val="35AE5C3A"/>
    <w:rsid w:val="35B1021C"/>
    <w:rsid w:val="35B23C5F"/>
    <w:rsid w:val="35B24361"/>
    <w:rsid w:val="35B44E48"/>
    <w:rsid w:val="35B5704F"/>
    <w:rsid w:val="35C47B88"/>
    <w:rsid w:val="35C73BBD"/>
    <w:rsid w:val="35CD2949"/>
    <w:rsid w:val="35CD39EE"/>
    <w:rsid w:val="35D27825"/>
    <w:rsid w:val="35D82C22"/>
    <w:rsid w:val="35DA146D"/>
    <w:rsid w:val="35DC42DE"/>
    <w:rsid w:val="35DD1979"/>
    <w:rsid w:val="35DE1766"/>
    <w:rsid w:val="35E11256"/>
    <w:rsid w:val="35E17DF4"/>
    <w:rsid w:val="35E546C6"/>
    <w:rsid w:val="35EB578D"/>
    <w:rsid w:val="35F04D8E"/>
    <w:rsid w:val="35F5260C"/>
    <w:rsid w:val="35F62F1A"/>
    <w:rsid w:val="35F973D7"/>
    <w:rsid w:val="35FC6BDB"/>
    <w:rsid w:val="3600792F"/>
    <w:rsid w:val="360476CA"/>
    <w:rsid w:val="360749BF"/>
    <w:rsid w:val="36074F7A"/>
    <w:rsid w:val="360F36CE"/>
    <w:rsid w:val="360F53B2"/>
    <w:rsid w:val="361138EA"/>
    <w:rsid w:val="36133EEC"/>
    <w:rsid w:val="361A6117"/>
    <w:rsid w:val="361B375B"/>
    <w:rsid w:val="361B6A49"/>
    <w:rsid w:val="361E4ABC"/>
    <w:rsid w:val="36205E47"/>
    <w:rsid w:val="36225365"/>
    <w:rsid w:val="3627116F"/>
    <w:rsid w:val="3628478F"/>
    <w:rsid w:val="362A1A1B"/>
    <w:rsid w:val="362A3E1F"/>
    <w:rsid w:val="362C5369"/>
    <w:rsid w:val="362D6EA4"/>
    <w:rsid w:val="362F5529"/>
    <w:rsid w:val="36330CA1"/>
    <w:rsid w:val="36341386"/>
    <w:rsid w:val="363B3D80"/>
    <w:rsid w:val="363C22E2"/>
    <w:rsid w:val="364873BC"/>
    <w:rsid w:val="36503350"/>
    <w:rsid w:val="36513CE6"/>
    <w:rsid w:val="36526833"/>
    <w:rsid w:val="365301C2"/>
    <w:rsid w:val="36530BB2"/>
    <w:rsid w:val="36533FC6"/>
    <w:rsid w:val="36563670"/>
    <w:rsid w:val="365659BF"/>
    <w:rsid w:val="365F4D61"/>
    <w:rsid w:val="3660217B"/>
    <w:rsid w:val="3662233C"/>
    <w:rsid w:val="366559E4"/>
    <w:rsid w:val="36663AE9"/>
    <w:rsid w:val="3666568C"/>
    <w:rsid w:val="366817F5"/>
    <w:rsid w:val="36682C9C"/>
    <w:rsid w:val="36691D90"/>
    <w:rsid w:val="366E1FCE"/>
    <w:rsid w:val="3675082D"/>
    <w:rsid w:val="367B0D7D"/>
    <w:rsid w:val="367B1D83"/>
    <w:rsid w:val="367C381C"/>
    <w:rsid w:val="367D1059"/>
    <w:rsid w:val="368208CF"/>
    <w:rsid w:val="368468C8"/>
    <w:rsid w:val="3686263B"/>
    <w:rsid w:val="368716F7"/>
    <w:rsid w:val="368A544A"/>
    <w:rsid w:val="368B21CE"/>
    <w:rsid w:val="368C061D"/>
    <w:rsid w:val="368C7FFA"/>
    <w:rsid w:val="368D37B9"/>
    <w:rsid w:val="368D7175"/>
    <w:rsid w:val="368F3CF1"/>
    <w:rsid w:val="368F7C64"/>
    <w:rsid w:val="369C1CC1"/>
    <w:rsid w:val="36A034AD"/>
    <w:rsid w:val="36A06A1C"/>
    <w:rsid w:val="36A6112E"/>
    <w:rsid w:val="36A613D7"/>
    <w:rsid w:val="36AA789A"/>
    <w:rsid w:val="36AD5E7C"/>
    <w:rsid w:val="36B0430B"/>
    <w:rsid w:val="36B25931"/>
    <w:rsid w:val="36B52408"/>
    <w:rsid w:val="36B54BBF"/>
    <w:rsid w:val="36B71B49"/>
    <w:rsid w:val="36B846C3"/>
    <w:rsid w:val="36B95C9D"/>
    <w:rsid w:val="36BC58B4"/>
    <w:rsid w:val="36BC72B4"/>
    <w:rsid w:val="36BD3657"/>
    <w:rsid w:val="36BF40B3"/>
    <w:rsid w:val="36BF5DCF"/>
    <w:rsid w:val="36C070BE"/>
    <w:rsid w:val="36C31B9D"/>
    <w:rsid w:val="36C44C33"/>
    <w:rsid w:val="36C56E42"/>
    <w:rsid w:val="36C62B4D"/>
    <w:rsid w:val="36C65FBB"/>
    <w:rsid w:val="36C919F4"/>
    <w:rsid w:val="36CA0787"/>
    <w:rsid w:val="36CA779B"/>
    <w:rsid w:val="36CD71BA"/>
    <w:rsid w:val="36D211EB"/>
    <w:rsid w:val="36D6068F"/>
    <w:rsid w:val="36D63164"/>
    <w:rsid w:val="36D74C46"/>
    <w:rsid w:val="36D861B6"/>
    <w:rsid w:val="36D87F64"/>
    <w:rsid w:val="36DE12F2"/>
    <w:rsid w:val="36DE742E"/>
    <w:rsid w:val="36E43A50"/>
    <w:rsid w:val="36E44B5A"/>
    <w:rsid w:val="36E62DD3"/>
    <w:rsid w:val="36E92171"/>
    <w:rsid w:val="36EA2783"/>
    <w:rsid w:val="36EB5C44"/>
    <w:rsid w:val="36ED3614"/>
    <w:rsid w:val="36ED78D1"/>
    <w:rsid w:val="36F11914"/>
    <w:rsid w:val="36F32FEF"/>
    <w:rsid w:val="36F34D9D"/>
    <w:rsid w:val="36F3656F"/>
    <w:rsid w:val="36F56D67"/>
    <w:rsid w:val="36F6488E"/>
    <w:rsid w:val="36F746E9"/>
    <w:rsid w:val="36F76BE3"/>
    <w:rsid w:val="36FC3238"/>
    <w:rsid w:val="36FE5EFE"/>
    <w:rsid w:val="370451FC"/>
    <w:rsid w:val="37052B8A"/>
    <w:rsid w:val="370C7200"/>
    <w:rsid w:val="370E3BA3"/>
    <w:rsid w:val="37151AEA"/>
    <w:rsid w:val="37194FCD"/>
    <w:rsid w:val="371C68A5"/>
    <w:rsid w:val="371F3DE4"/>
    <w:rsid w:val="371F7EFE"/>
    <w:rsid w:val="37224A9D"/>
    <w:rsid w:val="37231790"/>
    <w:rsid w:val="37282034"/>
    <w:rsid w:val="372D00EA"/>
    <w:rsid w:val="373002BF"/>
    <w:rsid w:val="37397F9F"/>
    <w:rsid w:val="373E1C06"/>
    <w:rsid w:val="37426D73"/>
    <w:rsid w:val="37433CDE"/>
    <w:rsid w:val="37440859"/>
    <w:rsid w:val="37451BA0"/>
    <w:rsid w:val="3747333B"/>
    <w:rsid w:val="374C2F3C"/>
    <w:rsid w:val="374E03A5"/>
    <w:rsid w:val="374F2CD5"/>
    <w:rsid w:val="37514EE7"/>
    <w:rsid w:val="37537009"/>
    <w:rsid w:val="37580F47"/>
    <w:rsid w:val="37607F59"/>
    <w:rsid w:val="3767108D"/>
    <w:rsid w:val="376932B2"/>
    <w:rsid w:val="37694BD1"/>
    <w:rsid w:val="376C6AC6"/>
    <w:rsid w:val="376F7424"/>
    <w:rsid w:val="37746548"/>
    <w:rsid w:val="37765757"/>
    <w:rsid w:val="377764B5"/>
    <w:rsid w:val="37785B4E"/>
    <w:rsid w:val="377B7B5B"/>
    <w:rsid w:val="377C2FE5"/>
    <w:rsid w:val="37824373"/>
    <w:rsid w:val="37825283"/>
    <w:rsid w:val="378402F8"/>
    <w:rsid w:val="37880C2A"/>
    <w:rsid w:val="378D23F9"/>
    <w:rsid w:val="379954F3"/>
    <w:rsid w:val="379A1513"/>
    <w:rsid w:val="379A2634"/>
    <w:rsid w:val="379B53CA"/>
    <w:rsid w:val="379E592E"/>
    <w:rsid w:val="37A5598D"/>
    <w:rsid w:val="37A95DA5"/>
    <w:rsid w:val="37AB17C4"/>
    <w:rsid w:val="37B06C96"/>
    <w:rsid w:val="37B63049"/>
    <w:rsid w:val="37B65726"/>
    <w:rsid w:val="37B7120E"/>
    <w:rsid w:val="37B7226F"/>
    <w:rsid w:val="37C40200"/>
    <w:rsid w:val="37C624B2"/>
    <w:rsid w:val="37C70D81"/>
    <w:rsid w:val="37C85504"/>
    <w:rsid w:val="37CB3C19"/>
    <w:rsid w:val="37CE54BF"/>
    <w:rsid w:val="37CE757E"/>
    <w:rsid w:val="37D1322B"/>
    <w:rsid w:val="37D5387B"/>
    <w:rsid w:val="37DD42DA"/>
    <w:rsid w:val="37DE0D6D"/>
    <w:rsid w:val="37DE5A4E"/>
    <w:rsid w:val="37E14AB2"/>
    <w:rsid w:val="37E42938"/>
    <w:rsid w:val="37E44A59"/>
    <w:rsid w:val="37E54166"/>
    <w:rsid w:val="37E623B8"/>
    <w:rsid w:val="37E666B0"/>
    <w:rsid w:val="37E86C4F"/>
    <w:rsid w:val="37E95662"/>
    <w:rsid w:val="37EC5AA4"/>
    <w:rsid w:val="37F214F9"/>
    <w:rsid w:val="37F62A8E"/>
    <w:rsid w:val="37F92CD9"/>
    <w:rsid w:val="37FA03AE"/>
    <w:rsid w:val="37FA215C"/>
    <w:rsid w:val="37FE5DEB"/>
    <w:rsid w:val="38027BEE"/>
    <w:rsid w:val="38031811"/>
    <w:rsid w:val="38040810"/>
    <w:rsid w:val="3804352D"/>
    <w:rsid w:val="38092910"/>
    <w:rsid w:val="380C4B1A"/>
    <w:rsid w:val="38111241"/>
    <w:rsid w:val="3811150B"/>
    <w:rsid w:val="38137599"/>
    <w:rsid w:val="38144AC5"/>
    <w:rsid w:val="38154E78"/>
    <w:rsid w:val="38182D59"/>
    <w:rsid w:val="38191C67"/>
    <w:rsid w:val="3819570B"/>
    <w:rsid w:val="381B573F"/>
    <w:rsid w:val="381F7036"/>
    <w:rsid w:val="38213B8C"/>
    <w:rsid w:val="38227837"/>
    <w:rsid w:val="38230B37"/>
    <w:rsid w:val="382316B2"/>
    <w:rsid w:val="382611A3"/>
    <w:rsid w:val="382B41DF"/>
    <w:rsid w:val="382B5015"/>
    <w:rsid w:val="382C2928"/>
    <w:rsid w:val="382D2610"/>
    <w:rsid w:val="382F1199"/>
    <w:rsid w:val="382F4B82"/>
    <w:rsid w:val="38310697"/>
    <w:rsid w:val="38355C4E"/>
    <w:rsid w:val="38361E70"/>
    <w:rsid w:val="383C6767"/>
    <w:rsid w:val="383E3123"/>
    <w:rsid w:val="38441C0F"/>
    <w:rsid w:val="38444377"/>
    <w:rsid w:val="384719BF"/>
    <w:rsid w:val="384807F3"/>
    <w:rsid w:val="38482EC7"/>
    <w:rsid w:val="38483ED9"/>
    <w:rsid w:val="384A570B"/>
    <w:rsid w:val="384D0091"/>
    <w:rsid w:val="384E6C37"/>
    <w:rsid w:val="38543F62"/>
    <w:rsid w:val="385813B0"/>
    <w:rsid w:val="38585861"/>
    <w:rsid w:val="385B0162"/>
    <w:rsid w:val="385C32D2"/>
    <w:rsid w:val="385E6B8E"/>
    <w:rsid w:val="38601A61"/>
    <w:rsid w:val="38611639"/>
    <w:rsid w:val="38612DBF"/>
    <w:rsid w:val="386153A2"/>
    <w:rsid w:val="3861594F"/>
    <w:rsid w:val="386B38B5"/>
    <w:rsid w:val="3871776A"/>
    <w:rsid w:val="38792EE0"/>
    <w:rsid w:val="387C2B04"/>
    <w:rsid w:val="388008B3"/>
    <w:rsid w:val="38826E5B"/>
    <w:rsid w:val="38895437"/>
    <w:rsid w:val="388A4DC8"/>
    <w:rsid w:val="388A6E93"/>
    <w:rsid w:val="388E5B9C"/>
    <w:rsid w:val="3890557E"/>
    <w:rsid w:val="3891162B"/>
    <w:rsid w:val="3892753A"/>
    <w:rsid w:val="389A0035"/>
    <w:rsid w:val="389B393F"/>
    <w:rsid w:val="389D2DA3"/>
    <w:rsid w:val="389E4A15"/>
    <w:rsid w:val="389F46B6"/>
    <w:rsid w:val="38A21607"/>
    <w:rsid w:val="38A26F76"/>
    <w:rsid w:val="38A82482"/>
    <w:rsid w:val="38A8615C"/>
    <w:rsid w:val="38A95785"/>
    <w:rsid w:val="38AA30DC"/>
    <w:rsid w:val="38AE0A12"/>
    <w:rsid w:val="38AE7CEE"/>
    <w:rsid w:val="38AF2F46"/>
    <w:rsid w:val="38B15F49"/>
    <w:rsid w:val="38B202CF"/>
    <w:rsid w:val="38B77EE1"/>
    <w:rsid w:val="38BA5D21"/>
    <w:rsid w:val="38BB5D8F"/>
    <w:rsid w:val="38BD75F4"/>
    <w:rsid w:val="38BD7FBC"/>
    <w:rsid w:val="38BF2E5E"/>
    <w:rsid w:val="38C17894"/>
    <w:rsid w:val="38C52B39"/>
    <w:rsid w:val="38C6300B"/>
    <w:rsid w:val="38C904AC"/>
    <w:rsid w:val="38CA2D70"/>
    <w:rsid w:val="38CD161E"/>
    <w:rsid w:val="38CE4999"/>
    <w:rsid w:val="38CF4857"/>
    <w:rsid w:val="38DC353B"/>
    <w:rsid w:val="38DE6357"/>
    <w:rsid w:val="38E67D22"/>
    <w:rsid w:val="38EF795B"/>
    <w:rsid w:val="38F31085"/>
    <w:rsid w:val="38F417C2"/>
    <w:rsid w:val="38F60B75"/>
    <w:rsid w:val="38F820DC"/>
    <w:rsid w:val="38F971FE"/>
    <w:rsid w:val="38FA14B6"/>
    <w:rsid w:val="38FD2966"/>
    <w:rsid w:val="3900361C"/>
    <w:rsid w:val="3902358E"/>
    <w:rsid w:val="3903388C"/>
    <w:rsid w:val="39052FEF"/>
    <w:rsid w:val="39070FD4"/>
    <w:rsid w:val="390A356D"/>
    <w:rsid w:val="390E2362"/>
    <w:rsid w:val="390E3826"/>
    <w:rsid w:val="390F2A20"/>
    <w:rsid w:val="391334D5"/>
    <w:rsid w:val="391660E3"/>
    <w:rsid w:val="39174A03"/>
    <w:rsid w:val="39174BCC"/>
    <w:rsid w:val="39177648"/>
    <w:rsid w:val="391A4124"/>
    <w:rsid w:val="391A4E2B"/>
    <w:rsid w:val="391B429D"/>
    <w:rsid w:val="391C1A7F"/>
    <w:rsid w:val="391C48DE"/>
    <w:rsid w:val="391C68E0"/>
    <w:rsid w:val="391D7DEF"/>
    <w:rsid w:val="39211C6F"/>
    <w:rsid w:val="39262F45"/>
    <w:rsid w:val="392D55ED"/>
    <w:rsid w:val="392F7F8C"/>
    <w:rsid w:val="3930289C"/>
    <w:rsid w:val="393107A7"/>
    <w:rsid w:val="39331E5C"/>
    <w:rsid w:val="39333B69"/>
    <w:rsid w:val="39335925"/>
    <w:rsid w:val="393873DF"/>
    <w:rsid w:val="393B0467"/>
    <w:rsid w:val="393C7524"/>
    <w:rsid w:val="393D7DF2"/>
    <w:rsid w:val="3942200C"/>
    <w:rsid w:val="394817C5"/>
    <w:rsid w:val="394925A3"/>
    <w:rsid w:val="394942A6"/>
    <w:rsid w:val="39496F6D"/>
    <w:rsid w:val="39497E4E"/>
    <w:rsid w:val="394A4BAC"/>
    <w:rsid w:val="394D06D4"/>
    <w:rsid w:val="394F5410"/>
    <w:rsid w:val="3953243D"/>
    <w:rsid w:val="39541AE8"/>
    <w:rsid w:val="39577BB5"/>
    <w:rsid w:val="39581435"/>
    <w:rsid w:val="395E5153"/>
    <w:rsid w:val="39603522"/>
    <w:rsid w:val="396227E9"/>
    <w:rsid w:val="396270C7"/>
    <w:rsid w:val="39641F82"/>
    <w:rsid w:val="39643007"/>
    <w:rsid w:val="3969317F"/>
    <w:rsid w:val="39694CA2"/>
    <w:rsid w:val="396B33B5"/>
    <w:rsid w:val="396C22A4"/>
    <w:rsid w:val="396E4BAF"/>
    <w:rsid w:val="3971267E"/>
    <w:rsid w:val="397258E1"/>
    <w:rsid w:val="39796A7B"/>
    <w:rsid w:val="397A6DE9"/>
    <w:rsid w:val="397C424A"/>
    <w:rsid w:val="397D4F51"/>
    <w:rsid w:val="397F71F0"/>
    <w:rsid w:val="39812211"/>
    <w:rsid w:val="39812FC6"/>
    <w:rsid w:val="3983100C"/>
    <w:rsid w:val="39842ACB"/>
    <w:rsid w:val="39846181"/>
    <w:rsid w:val="398901E0"/>
    <w:rsid w:val="398B5DA0"/>
    <w:rsid w:val="398C0FCC"/>
    <w:rsid w:val="39902BE5"/>
    <w:rsid w:val="39961C6E"/>
    <w:rsid w:val="39963307"/>
    <w:rsid w:val="399743AD"/>
    <w:rsid w:val="39981C2C"/>
    <w:rsid w:val="3998789E"/>
    <w:rsid w:val="399B02D6"/>
    <w:rsid w:val="399D526C"/>
    <w:rsid w:val="39A5526A"/>
    <w:rsid w:val="39AE23EF"/>
    <w:rsid w:val="39AF50F0"/>
    <w:rsid w:val="39B050B0"/>
    <w:rsid w:val="39B06BEC"/>
    <w:rsid w:val="39B1629D"/>
    <w:rsid w:val="39B5458C"/>
    <w:rsid w:val="39BA797D"/>
    <w:rsid w:val="39BD0A82"/>
    <w:rsid w:val="39BF74AD"/>
    <w:rsid w:val="39C20142"/>
    <w:rsid w:val="39CC6619"/>
    <w:rsid w:val="39CD5D7A"/>
    <w:rsid w:val="39D27F24"/>
    <w:rsid w:val="39D42485"/>
    <w:rsid w:val="39D60A89"/>
    <w:rsid w:val="39DC1DF4"/>
    <w:rsid w:val="39E05CE9"/>
    <w:rsid w:val="39E066EE"/>
    <w:rsid w:val="39E92131"/>
    <w:rsid w:val="39E954C6"/>
    <w:rsid w:val="39ED1F24"/>
    <w:rsid w:val="39EE5FCB"/>
    <w:rsid w:val="39F05708"/>
    <w:rsid w:val="39F95759"/>
    <w:rsid w:val="39FC040D"/>
    <w:rsid w:val="39FC5830"/>
    <w:rsid w:val="39FD5C50"/>
    <w:rsid w:val="39FF1959"/>
    <w:rsid w:val="3A047276"/>
    <w:rsid w:val="3A092DB0"/>
    <w:rsid w:val="3A0948D8"/>
    <w:rsid w:val="3A0F6B4B"/>
    <w:rsid w:val="3A1158C1"/>
    <w:rsid w:val="3A170819"/>
    <w:rsid w:val="3A172C59"/>
    <w:rsid w:val="3A1771CA"/>
    <w:rsid w:val="3A1A54D8"/>
    <w:rsid w:val="3A1B0D63"/>
    <w:rsid w:val="3A1D3E72"/>
    <w:rsid w:val="3A1F4500"/>
    <w:rsid w:val="3A222584"/>
    <w:rsid w:val="3A265A59"/>
    <w:rsid w:val="3A287E5F"/>
    <w:rsid w:val="3A2B3610"/>
    <w:rsid w:val="3A31139F"/>
    <w:rsid w:val="3A3129FE"/>
    <w:rsid w:val="3A3130E9"/>
    <w:rsid w:val="3A351532"/>
    <w:rsid w:val="3A391794"/>
    <w:rsid w:val="3A3C148F"/>
    <w:rsid w:val="3A3C2EFF"/>
    <w:rsid w:val="3A3D012F"/>
    <w:rsid w:val="3A3F51D0"/>
    <w:rsid w:val="3A4075AE"/>
    <w:rsid w:val="3A4221D3"/>
    <w:rsid w:val="3A453A1B"/>
    <w:rsid w:val="3A502507"/>
    <w:rsid w:val="3A513E0B"/>
    <w:rsid w:val="3A524AA3"/>
    <w:rsid w:val="3A5260EF"/>
    <w:rsid w:val="3A541FF7"/>
    <w:rsid w:val="3A570C63"/>
    <w:rsid w:val="3A5812EB"/>
    <w:rsid w:val="3A586C43"/>
    <w:rsid w:val="3A592A04"/>
    <w:rsid w:val="3A5C1E9B"/>
    <w:rsid w:val="3A5E2754"/>
    <w:rsid w:val="3A612966"/>
    <w:rsid w:val="3A6164C2"/>
    <w:rsid w:val="3A683CF4"/>
    <w:rsid w:val="3A6875BF"/>
    <w:rsid w:val="3A6A35F5"/>
    <w:rsid w:val="3A6D61A9"/>
    <w:rsid w:val="3A7626FB"/>
    <w:rsid w:val="3A7836D1"/>
    <w:rsid w:val="3A7977A5"/>
    <w:rsid w:val="3A7B4FFB"/>
    <w:rsid w:val="3A7D4A9B"/>
    <w:rsid w:val="3A7F0724"/>
    <w:rsid w:val="3A7F20EF"/>
    <w:rsid w:val="3A7F4742"/>
    <w:rsid w:val="3A7F4906"/>
    <w:rsid w:val="3A833CD2"/>
    <w:rsid w:val="3A8414FD"/>
    <w:rsid w:val="3A8B42C9"/>
    <w:rsid w:val="3A8B7FFC"/>
    <w:rsid w:val="3A8D2247"/>
    <w:rsid w:val="3A8E7641"/>
    <w:rsid w:val="3A8F74D3"/>
    <w:rsid w:val="3A916DA7"/>
    <w:rsid w:val="3A9301DB"/>
    <w:rsid w:val="3A972369"/>
    <w:rsid w:val="3A9803E2"/>
    <w:rsid w:val="3A9E30F4"/>
    <w:rsid w:val="3AA161E7"/>
    <w:rsid w:val="3AA5155E"/>
    <w:rsid w:val="3AA771BC"/>
    <w:rsid w:val="3AA77B2A"/>
    <w:rsid w:val="3AAA63C7"/>
    <w:rsid w:val="3AAC2E17"/>
    <w:rsid w:val="3AAF3665"/>
    <w:rsid w:val="3AB16D6F"/>
    <w:rsid w:val="3AB30FEE"/>
    <w:rsid w:val="3AB45BDE"/>
    <w:rsid w:val="3AB60003"/>
    <w:rsid w:val="3AB74F67"/>
    <w:rsid w:val="3ABA1E5E"/>
    <w:rsid w:val="3ABA238D"/>
    <w:rsid w:val="3ABB0943"/>
    <w:rsid w:val="3ABF42DD"/>
    <w:rsid w:val="3AC1361C"/>
    <w:rsid w:val="3AC92502"/>
    <w:rsid w:val="3ACC7DDF"/>
    <w:rsid w:val="3ACE50FB"/>
    <w:rsid w:val="3ACF017C"/>
    <w:rsid w:val="3AD57F31"/>
    <w:rsid w:val="3AD9720A"/>
    <w:rsid w:val="3ADC4844"/>
    <w:rsid w:val="3ADD2BA4"/>
    <w:rsid w:val="3ADD76BF"/>
    <w:rsid w:val="3AE16F4C"/>
    <w:rsid w:val="3AE428B4"/>
    <w:rsid w:val="3AE82573"/>
    <w:rsid w:val="3AEA66A1"/>
    <w:rsid w:val="3AEB0D4A"/>
    <w:rsid w:val="3AEB2F8B"/>
    <w:rsid w:val="3AF107D3"/>
    <w:rsid w:val="3AF16E09"/>
    <w:rsid w:val="3AF3639F"/>
    <w:rsid w:val="3AF82F08"/>
    <w:rsid w:val="3AFA0DF0"/>
    <w:rsid w:val="3B0001EF"/>
    <w:rsid w:val="3B007A89"/>
    <w:rsid w:val="3B007CD0"/>
    <w:rsid w:val="3B01683B"/>
    <w:rsid w:val="3B023B69"/>
    <w:rsid w:val="3B0A6765"/>
    <w:rsid w:val="3B0A6B5A"/>
    <w:rsid w:val="3B0B103F"/>
    <w:rsid w:val="3B0F345E"/>
    <w:rsid w:val="3B121558"/>
    <w:rsid w:val="3B124ED2"/>
    <w:rsid w:val="3B142A43"/>
    <w:rsid w:val="3B151E93"/>
    <w:rsid w:val="3B1931C9"/>
    <w:rsid w:val="3B1B509F"/>
    <w:rsid w:val="3B1B701D"/>
    <w:rsid w:val="3B1C3188"/>
    <w:rsid w:val="3B1C37D4"/>
    <w:rsid w:val="3B234534"/>
    <w:rsid w:val="3B241554"/>
    <w:rsid w:val="3B25481F"/>
    <w:rsid w:val="3B2638A3"/>
    <w:rsid w:val="3B281E12"/>
    <w:rsid w:val="3B2B48D8"/>
    <w:rsid w:val="3B3145BA"/>
    <w:rsid w:val="3B3402AF"/>
    <w:rsid w:val="3B3569D1"/>
    <w:rsid w:val="3B362E36"/>
    <w:rsid w:val="3B363CB3"/>
    <w:rsid w:val="3B3D5CFD"/>
    <w:rsid w:val="3B4010BE"/>
    <w:rsid w:val="3B425C54"/>
    <w:rsid w:val="3B433B7B"/>
    <w:rsid w:val="3B4C54AB"/>
    <w:rsid w:val="3B4F0A10"/>
    <w:rsid w:val="3B521DF4"/>
    <w:rsid w:val="3B53750B"/>
    <w:rsid w:val="3B5534CF"/>
    <w:rsid w:val="3B554F8E"/>
    <w:rsid w:val="3B5619D6"/>
    <w:rsid w:val="3B576641"/>
    <w:rsid w:val="3B585B17"/>
    <w:rsid w:val="3B5A6ECC"/>
    <w:rsid w:val="3B5B34D0"/>
    <w:rsid w:val="3B613C26"/>
    <w:rsid w:val="3B6951DB"/>
    <w:rsid w:val="3B697E90"/>
    <w:rsid w:val="3B6B45FB"/>
    <w:rsid w:val="3B6D1B53"/>
    <w:rsid w:val="3B6E09DB"/>
    <w:rsid w:val="3B7130A7"/>
    <w:rsid w:val="3B716BD9"/>
    <w:rsid w:val="3B720694"/>
    <w:rsid w:val="3B7566C9"/>
    <w:rsid w:val="3B781C8C"/>
    <w:rsid w:val="3B7B717D"/>
    <w:rsid w:val="3B7C2B5A"/>
    <w:rsid w:val="3B7D513F"/>
    <w:rsid w:val="3B864D32"/>
    <w:rsid w:val="3B8701AA"/>
    <w:rsid w:val="3B9308FD"/>
    <w:rsid w:val="3B94117D"/>
    <w:rsid w:val="3B962AAF"/>
    <w:rsid w:val="3B990F59"/>
    <w:rsid w:val="3B9A46EC"/>
    <w:rsid w:val="3B9A55E2"/>
    <w:rsid w:val="3B9C5BD6"/>
    <w:rsid w:val="3B9C7260"/>
    <w:rsid w:val="3BAF2856"/>
    <w:rsid w:val="3BB03FE7"/>
    <w:rsid w:val="3BB338B3"/>
    <w:rsid w:val="3BBA771D"/>
    <w:rsid w:val="3BBF0097"/>
    <w:rsid w:val="3BBF4257"/>
    <w:rsid w:val="3BC00AEC"/>
    <w:rsid w:val="3BC034D5"/>
    <w:rsid w:val="3BC25BDC"/>
    <w:rsid w:val="3BCB0097"/>
    <w:rsid w:val="3BCF66ED"/>
    <w:rsid w:val="3BD01941"/>
    <w:rsid w:val="3BD568D4"/>
    <w:rsid w:val="3BD63600"/>
    <w:rsid w:val="3BD66CD4"/>
    <w:rsid w:val="3BD71A57"/>
    <w:rsid w:val="3BD721DF"/>
    <w:rsid w:val="3BD87500"/>
    <w:rsid w:val="3BDB6675"/>
    <w:rsid w:val="3BDC284F"/>
    <w:rsid w:val="3BDE3E3F"/>
    <w:rsid w:val="3BE70B36"/>
    <w:rsid w:val="3BE74831"/>
    <w:rsid w:val="3BE76C71"/>
    <w:rsid w:val="3BEB1B1A"/>
    <w:rsid w:val="3BEB5B6E"/>
    <w:rsid w:val="3BEE5323"/>
    <w:rsid w:val="3BF27D19"/>
    <w:rsid w:val="3BF55114"/>
    <w:rsid w:val="3BFA4E20"/>
    <w:rsid w:val="3BFC64A2"/>
    <w:rsid w:val="3C0315DB"/>
    <w:rsid w:val="3C047A4D"/>
    <w:rsid w:val="3C06268A"/>
    <w:rsid w:val="3C066875"/>
    <w:rsid w:val="3C0D09D4"/>
    <w:rsid w:val="3C0D46D3"/>
    <w:rsid w:val="3C195529"/>
    <w:rsid w:val="3C1A37D7"/>
    <w:rsid w:val="3C1C2269"/>
    <w:rsid w:val="3C22666A"/>
    <w:rsid w:val="3C265C15"/>
    <w:rsid w:val="3C2679C3"/>
    <w:rsid w:val="3C320116"/>
    <w:rsid w:val="3C372E11"/>
    <w:rsid w:val="3C394C8F"/>
    <w:rsid w:val="3C3E2F5F"/>
    <w:rsid w:val="3C3F50FD"/>
    <w:rsid w:val="3C4128AB"/>
    <w:rsid w:val="3C441981"/>
    <w:rsid w:val="3C4510C1"/>
    <w:rsid w:val="3C45234E"/>
    <w:rsid w:val="3C4564D4"/>
    <w:rsid w:val="3C46163D"/>
    <w:rsid w:val="3C4A5461"/>
    <w:rsid w:val="3C4D1B7A"/>
    <w:rsid w:val="3C4E0735"/>
    <w:rsid w:val="3C4E0CC8"/>
    <w:rsid w:val="3C532F18"/>
    <w:rsid w:val="3C577CD1"/>
    <w:rsid w:val="3C5D4C66"/>
    <w:rsid w:val="3C6173A8"/>
    <w:rsid w:val="3C625055"/>
    <w:rsid w:val="3C6274EA"/>
    <w:rsid w:val="3C67040C"/>
    <w:rsid w:val="3C6A008C"/>
    <w:rsid w:val="3C6A2D43"/>
    <w:rsid w:val="3C7821F5"/>
    <w:rsid w:val="3C7B62E0"/>
    <w:rsid w:val="3C7F474A"/>
    <w:rsid w:val="3C836BC3"/>
    <w:rsid w:val="3C8407CE"/>
    <w:rsid w:val="3C852C6F"/>
    <w:rsid w:val="3C854AC9"/>
    <w:rsid w:val="3C8A53A9"/>
    <w:rsid w:val="3C8C21FE"/>
    <w:rsid w:val="3C8D0573"/>
    <w:rsid w:val="3C8E52AC"/>
    <w:rsid w:val="3C9634B4"/>
    <w:rsid w:val="3C967A48"/>
    <w:rsid w:val="3C9757BA"/>
    <w:rsid w:val="3C9F32D2"/>
    <w:rsid w:val="3C9F5CE6"/>
    <w:rsid w:val="3CA32DC2"/>
    <w:rsid w:val="3CA42127"/>
    <w:rsid w:val="3CA57FF2"/>
    <w:rsid w:val="3CA612FA"/>
    <w:rsid w:val="3CA628B2"/>
    <w:rsid w:val="3CA65F73"/>
    <w:rsid w:val="3CAC772A"/>
    <w:rsid w:val="3CAD374F"/>
    <w:rsid w:val="3CB23005"/>
    <w:rsid w:val="3CB47C03"/>
    <w:rsid w:val="3CB96C54"/>
    <w:rsid w:val="3CBB50F2"/>
    <w:rsid w:val="3CBD0327"/>
    <w:rsid w:val="3CBD11A9"/>
    <w:rsid w:val="3CBD3F02"/>
    <w:rsid w:val="3CBF4315"/>
    <w:rsid w:val="3CBF5FF4"/>
    <w:rsid w:val="3CC11F54"/>
    <w:rsid w:val="3CC3594B"/>
    <w:rsid w:val="3CC372EF"/>
    <w:rsid w:val="3CC72F54"/>
    <w:rsid w:val="3CCC2378"/>
    <w:rsid w:val="3CCC323B"/>
    <w:rsid w:val="3CCD6C41"/>
    <w:rsid w:val="3CDA0BF3"/>
    <w:rsid w:val="3CE17CA8"/>
    <w:rsid w:val="3CE533DA"/>
    <w:rsid w:val="3CE83B18"/>
    <w:rsid w:val="3CE969E3"/>
    <w:rsid w:val="3CEA2C84"/>
    <w:rsid w:val="3CEB4D84"/>
    <w:rsid w:val="3CED6733"/>
    <w:rsid w:val="3CF15B84"/>
    <w:rsid w:val="3CF25AF7"/>
    <w:rsid w:val="3CF63839"/>
    <w:rsid w:val="3CF67395"/>
    <w:rsid w:val="3CF80FC9"/>
    <w:rsid w:val="3CF8135F"/>
    <w:rsid w:val="3CFA621E"/>
    <w:rsid w:val="3CFB3313"/>
    <w:rsid w:val="3CFB6403"/>
    <w:rsid w:val="3CFC1185"/>
    <w:rsid w:val="3CFC23FB"/>
    <w:rsid w:val="3CFE449C"/>
    <w:rsid w:val="3D0259EC"/>
    <w:rsid w:val="3D0524CE"/>
    <w:rsid w:val="3D0C0967"/>
    <w:rsid w:val="3D0C54DB"/>
    <w:rsid w:val="3D115F7D"/>
    <w:rsid w:val="3D1322E7"/>
    <w:rsid w:val="3D133183"/>
    <w:rsid w:val="3D1540F2"/>
    <w:rsid w:val="3D1A1BAA"/>
    <w:rsid w:val="3D2008B6"/>
    <w:rsid w:val="3D2044C0"/>
    <w:rsid w:val="3D204700"/>
    <w:rsid w:val="3D2118E0"/>
    <w:rsid w:val="3D215E95"/>
    <w:rsid w:val="3D25125A"/>
    <w:rsid w:val="3D251DE7"/>
    <w:rsid w:val="3D2622DC"/>
    <w:rsid w:val="3D2661A3"/>
    <w:rsid w:val="3D2729B2"/>
    <w:rsid w:val="3D2952BE"/>
    <w:rsid w:val="3D2B00F1"/>
    <w:rsid w:val="3D2F0E3D"/>
    <w:rsid w:val="3D333314"/>
    <w:rsid w:val="3D3472C2"/>
    <w:rsid w:val="3D355977"/>
    <w:rsid w:val="3D361B91"/>
    <w:rsid w:val="3D373827"/>
    <w:rsid w:val="3D395707"/>
    <w:rsid w:val="3D3B33D8"/>
    <w:rsid w:val="3D3B56F0"/>
    <w:rsid w:val="3D3E2DA9"/>
    <w:rsid w:val="3D3E5B44"/>
    <w:rsid w:val="3D406863"/>
    <w:rsid w:val="3D406FD3"/>
    <w:rsid w:val="3D4152CD"/>
    <w:rsid w:val="3D4369B3"/>
    <w:rsid w:val="3D4472DD"/>
    <w:rsid w:val="3D4630BC"/>
    <w:rsid w:val="3D536596"/>
    <w:rsid w:val="3D581E64"/>
    <w:rsid w:val="3D594196"/>
    <w:rsid w:val="3D595B76"/>
    <w:rsid w:val="3D5A35AB"/>
    <w:rsid w:val="3D5B6E73"/>
    <w:rsid w:val="3D5C0624"/>
    <w:rsid w:val="3D5C5FDE"/>
    <w:rsid w:val="3D5E0268"/>
    <w:rsid w:val="3D5F13DF"/>
    <w:rsid w:val="3D607942"/>
    <w:rsid w:val="3D641E29"/>
    <w:rsid w:val="3D64335A"/>
    <w:rsid w:val="3D64472A"/>
    <w:rsid w:val="3D673DEF"/>
    <w:rsid w:val="3D6A5621"/>
    <w:rsid w:val="3D6C0C64"/>
    <w:rsid w:val="3D6C6F52"/>
    <w:rsid w:val="3D6F788E"/>
    <w:rsid w:val="3D704442"/>
    <w:rsid w:val="3D7401E2"/>
    <w:rsid w:val="3D743D12"/>
    <w:rsid w:val="3D7513D8"/>
    <w:rsid w:val="3D785FFC"/>
    <w:rsid w:val="3D7B3D3F"/>
    <w:rsid w:val="3D7C07C8"/>
    <w:rsid w:val="3D7E660F"/>
    <w:rsid w:val="3D81251B"/>
    <w:rsid w:val="3D84161E"/>
    <w:rsid w:val="3D8735FA"/>
    <w:rsid w:val="3D8773BB"/>
    <w:rsid w:val="3D88142A"/>
    <w:rsid w:val="3D8B6576"/>
    <w:rsid w:val="3D8F46F5"/>
    <w:rsid w:val="3D913562"/>
    <w:rsid w:val="3D94476B"/>
    <w:rsid w:val="3D952D83"/>
    <w:rsid w:val="3D982BB4"/>
    <w:rsid w:val="3D9A5E4C"/>
    <w:rsid w:val="3D9E4ED0"/>
    <w:rsid w:val="3DA37FC0"/>
    <w:rsid w:val="3DA46557"/>
    <w:rsid w:val="3DA46DF1"/>
    <w:rsid w:val="3DAB572B"/>
    <w:rsid w:val="3DAE40A1"/>
    <w:rsid w:val="3DB07992"/>
    <w:rsid w:val="3DB16899"/>
    <w:rsid w:val="3DB64D77"/>
    <w:rsid w:val="3DB93C2F"/>
    <w:rsid w:val="3DBA3E2F"/>
    <w:rsid w:val="3DBC611D"/>
    <w:rsid w:val="3DBE0224"/>
    <w:rsid w:val="3DBE3032"/>
    <w:rsid w:val="3DBF1E7D"/>
    <w:rsid w:val="3DC243D3"/>
    <w:rsid w:val="3DD20EBE"/>
    <w:rsid w:val="3DD24F6C"/>
    <w:rsid w:val="3DD35929"/>
    <w:rsid w:val="3DD65E87"/>
    <w:rsid w:val="3DD85614"/>
    <w:rsid w:val="3DDE386A"/>
    <w:rsid w:val="3DE217D2"/>
    <w:rsid w:val="3DE34CD4"/>
    <w:rsid w:val="3DE61A18"/>
    <w:rsid w:val="3DE749E3"/>
    <w:rsid w:val="3DEB0EE4"/>
    <w:rsid w:val="3DEB522E"/>
    <w:rsid w:val="3DEB5693"/>
    <w:rsid w:val="3DEB60BD"/>
    <w:rsid w:val="3DEB7B24"/>
    <w:rsid w:val="3DEE16AC"/>
    <w:rsid w:val="3DEE4511"/>
    <w:rsid w:val="3DEE7C22"/>
    <w:rsid w:val="3DF02037"/>
    <w:rsid w:val="3DF37D79"/>
    <w:rsid w:val="3DF633C5"/>
    <w:rsid w:val="3DF862C0"/>
    <w:rsid w:val="3DFA4C63"/>
    <w:rsid w:val="3DFB3BDB"/>
    <w:rsid w:val="3DFF671E"/>
    <w:rsid w:val="3E000F44"/>
    <w:rsid w:val="3E00591C"/>
    <w:rsid w:val="3E0335AD"/>
    <w:rsid w:val="3E045AE2"/>
    <w:rsid w:val="3E06185A"/>
    <w:rsid w:val="3E072737"/>
    <w:rsid w:val="3E0E01B2"/>
    <w:rsid w:val="3E0E4BB3"/>
    <w:rsid w:val="3E0E59CC"/>
    <w:rsid w:val="3E0F5533"/>
    <w:rsid w:val="3E110F69"/>
    <w:rsid w:val="3E140687"/>
    <w:rsid w:val="3E1448AD"/>
    <w:rsid w:val="3E1470BE"/>
    <w:rsid w:val="3E1945E2"/>
    <w:rsid w:val="3E1A79CE"/>
    <w:rsid w:val="3E1C3DAC"/>
    <w:rsid w:val="3E1D6813"/>
    <w:rsid w:val="3E214284"/>
    <w:rsid w:val="3E23240C"/>
    <w:rsid w:val="3E2547C1"/>
    <w:rsid w:val="3E264D2F"/>
    <w:rsid w:val="3E282823"/>
    <w:rsid w:val="3E2B2DC0"/>
    <w:rsid w:val="3E2C1780"/>
    <w:rsid w:val="3E311D19"/>
    <w:rsid w:val="3E330CDA"/>
    <w:rsid w:val="3E344BA1"/>
    <w:rsid w:val="3E3771BA"/>
    <w:rsid w:val="3E384735"/>
    <w:rsid w:val="3E3D5FF2"/>
    <w:rsid w:val="3E4520A9"/>
    <w:rsid w:val="3E483C21"/>
    <w:rsid w:val="3E4B54BF"/>
    <w:rsid w:val="3E4E5F9B"/>
    <w:rsid w:val="3E4F47F7"/>
    <w:rsid w:val="3E55328B"/>
    <w:rsid w:val="3E594080"/>
    <w:rsid w:val="3E5E0D24"/>
    <w:rsid w:val="3E61247A"/>
    <w:rsid w:val="3E636826"/>
    <w:rsid w:val="3E703403"/>
    <w:rsid w:val="3E724A91"/>
    <w:rsid w:val="3E7363FC"/>
    <w:rsid w:val="3E795E15"/>
    <w:rsid w:val="3E7B7180"/>
    <w:rsid w:val="3E7E3B1D"/>
    <w:rsid w:val="3E7F7214"/>
    <w:rsid w:val="3E8135D7"/>
    <w:rsid w:val="3E83345D"/>
    <w:rsid w:val="3E835F8C"/>
    <w:rsid w:val="3E8613EC"/>
    <w:rsid w:val="3E880DCD"/>
    <w:rsid w:val="3E8D0601"/>
    <w:rsid w:val="3E8F0921"/>
    <w:rsid w:val="3E8F7AA2"/>
    <w:rsid w:val="3E9173F3"/>
    <w:rsid w:val="3E99614D"/>
    <w:rsid w:val="3E9A1649"/>
    <w:rsid w:val="3E9A1E60"/>
    <w:rsid w:val="3E9A3A43"/>
    <w:rsid w:val="3E9C0617"/>
    <w:rsid w:val="3EAA0C1A"/>
    <w:rsid w:val="3EAB2402"/>
    <w:rsid w:val="3EAB41B0"/>
    <w:rsid w:val="3EB44FB0"/>
    <w:rsid w:val="3EB8644E"/>
    <w:rsid w:val="3EB90A67"/>
    <w:rsid w:val="3EBB695A"/>
    <w:rsid w:val="3EC00111"/>
    <w:rsid w:val="3EC271A7"/>
    <w:rsid w:val="3EC86B10"/>
    <w:rsid w:val="3EC91373"/>
    <w:rsid w:val="3ECA0065"/>
    <w:rsid w:val="3ECE15B0"/>
    <w:rsid w:val="3ED454B4"/>
    <w:rsid w:val="3ED4564B"/>
    <w:rsid w:val="3ED6747E"/>
    <w:rsid w:val="3EDA24DC"/>
    <w:rsid w:val="3EDE2A7C"/>
    <w:rsid w:val="3EDF2FD3"/>
    <w:rsid w:val="3EE15E23"/>
    <w:rsid w:val="3EE2434A"/>
    <w:rsid w:val="3EE25BD4"/>
    <w:rsid w:val="3EE469B6"/>
    <w:rsid w:val="3EE672BE"/>
    <w:rsid w:val="3EE84760"/>
    <w:rsid w:val="3EEF0D7E"/>
    <w:rsid w:val="3EEF44D1"/>
    <w:rsid w:val="3EF02768"/>
    <w:rsid w:val="3EF1250A"/>
    <w:rsid w:val="3EF13CC1"/>
    <w:rsid w:val="3EF15D04"/>
    <w:rsid w:val="3EF21CBF"/>
    <w:rsid w:val="3EF559A4"/>
    <w:rsid w:val="3EF674AB"/>
    <w:rsid w:val="3EF82242"/>
    <w:rsid w:val="3EFC2C5D"/>
    <w:rsid w:val="3EFC5C48"/>
    <w:rsid w:val="3EFC714D"/>
    <w:rsid w:val="3EFE1DE8"/>
    <w:rsid w:val="3EFF6227"/>
    <w:rsid w:val="3F003BAB"/>
    <w:rsid w:val="3F075F23"/>
    <w:rsid w:val="3F077476"/>
    <w:rsid w:val="3F095402"/>
    <w:rsid w:val="3F0A0A34"/>
    <w:rsid w:val="3F0B2DD7"/>
    <w:rsid w:val="3F0B2EA0"/>
    <w:rsid w:val="3F0F473E"/>
    <w:rsid w:val="3F1010AB"/>
    <w:rsid w:val="3F104A12"/>
    <w:rsid w:val="3F11495A"/>
    <w:rsid w:val="3F141D55"/>
    <w:rsid w:val="3F165ACD"/>
    <w:rsid w:val="3F1B30E3"/>
    <w:rsid w:val="3F222ECD"/>
    <w:rsid w:val="3F2521B4"/>
    <w:rsid w:val="3F256D86"/>
    <w:rsid w:val="3F2B2A96"/>
    <w:rsid w:val="3F2D5133"/>
    <w:rsid w:val="3F2D71E2"/>
    <w:rsid w:val="3F2F4DE1"/>
    <w:rsid w:val="3F317827"/>
    <w:rsid w:val="3F36441E"/>
    <w:rsid w:val="3F36616F"/>
    <w:rsid w:val="3F367425"/>
    <w:rsid w:val="3F370B98"/>
    <w:rsid w:val="3F383747"/>
    <w:rsid w:val="3F3A1685"/>
    <w:rsid w:val="3F3A6E6E"/>
    <w:rsid w:val="3F3B3785"/>
    <w:rsid w:val="3F3C21A3"/>
    <w:rsid w:val="3F3C4D1A"/>
    <w:rsid w:val="3F3E17F2"/>
    <w:rsid w:val="3F3F6EF4"/>
    <w:rsid w:val="3F4815B8"/>
    <w:rsid w:val="3F4A7E6C"/>
    <w:rsid w:val="3F4C5F3B"/>
    <w:rsid w:val="3F4C79EE"/>
    <w:rsid w:val="3F50057E"/>
    <w:rsid w:val="3F512FA9"/>
    <w:rsid w:val="3F577248"/>
    <w:rsid w:val="3F596081"/>
    <w:rsid w:val="3F5A5C34"/>
    <w:rsid w:val="3F5C4FE9"/>
    <w:rsid w:val="3F5D4976"/>
    <w:rsid w:val="3F5F6A2C"/>
    <w:rsid w:val="3F606403"/>
    <w:rsid w:val="3F610169"/>
    <w:rsid w:val="3F666325"/>
    <w:rsid w:val="3F6842E3"/>
    <w:rsid w:val="3F693A75"/>
    <w:rsid w:val="3F6B7D91"/>
    <w:rsid w:val="3F6C183F"/>
    <w:rsid w:val="3F6C7DE3"/>
    <w:rsid w:val="3F704946"/>
    <w:rsid w:val="3F744A2C"/>
    <w:rsid w:val="3F7872ED"/>
    <w:rsid w:val="3F7A5B89"/>
    <w:rsid w:val="3F7D2361"/>
    <w:rsid w:val="3F7D543D"/>
    <w:rsid w:val="3F811869"/>
    <w:rsid w:val="3F842442"/>
    <w:rsid w:val="3F89141F"/>
    <w:rsid w:val="3F8E5FAB"/>
    <w:rsid w:val="3F910EE7"/>
    <w:rsid w:val="3F936B74"/>
    <w:rsid w:val="3F9A5BF2"/>
    <w:rsid w:val="3F9B51E6"/>
    <w:rsid w:val="3F9C2DA0"/>
    <w:rsid w:val="3F9E5CB5"/>
    <w:rsid w:val="3FA70E1B"/>
    <w:rsid w:val="3FA82323"/>
    <w:rsid w:val="3FAA6D08"/>
    <w:rsid w:val="3FAB14F4"/>
    <w:rsid w:val="3FAF7D8B"/>
    <w:rsid w:val="3FB33161"/>
    <w:rsid w:val="3FB60D72"/>
    <w:rsid w:val="3FB91EA7"/>
    <w:rsid w:val="3FBC7DB9"/>
    <w:rsid w:val="3FBF5B7C"/>
    <w:rsid w:val="3FC447EB"/>
    <w:rsid w:val="3FC76DC7"/>
    <w:rsid w:val="3FCA2753"/>
    <w:rsid w:val="3FCD3C46"/>
    <w:rsid w:val="3FD02CC0"/>
    <w:rsid w:val="3FD12C67"/>
    <w:rsid w:val="3FD45F44"/>
    <w:rsid w:val="3FD95028"/>
    <w:rsid w:val="3FDB3BAB"/>
    <w:rsid w:val="3FDC12CA"/>
    <w:rsid w:val="3FDE5383"/>
    <w:rsid w:val="3FE364DE"/>
    <w:rsid w:val="3FE70AF3"/>
    <w:rsid w:val="3FE80F6F"/>
    <w:rsid w:val="3FE9692F"/>
    <w:rsid w:val="3FEB14F9"/>
    <w:rsid w:val="3FEB51AC"/>
    <w:rsid w:val="3FEC2F22"/>
    <w:rsid w:val="3FEC48FD"/>
    <w:rsid w:val="3FED7809"/>
    <w:rsid w:val="3FF23919"/>
    <w:rsid w:val="3FF251A9"/>
    <w:rsid w:val="3FF50DC3"/>
    <w:rsid w:val="3FFC6A83"/>
    <w:rsid w:val="400242A3"/>
    <w:rsid w:val="400A07F3"/>
    <w:rsid w:val="400C0C7E"/>
    <w:rsid w:val="400E49F6"/>
    <w:rsid w:val="40153E93"/>
    <w:rsid w:val="4015555F"/>
    <w:rsid w:val="40186CC1"/>
    <w:rsid w:val="401B0359"/>
    <w:rsid w:val="401B5E85"/>
    <w:rsid w:val="401B6207"/>
    <w:rsid w:val="401C1CD9"/>
    <w:rsid w:val="401C5DCF"/>
    <w:rsid w:val="402748C8"/>
    <w:rsid w:val="402E3379"/>
    <w:rsid w:val="40302BBE"/>
    <w:rsid w:val="40320295"/>
    <w:rsid w:val="40387CC5"/>
    <w:rsid w:val="403953AF"/>
    <w:rsid w:val="403D5536"/>
    <w:rsid w:val="40421A58"/>
    <w:rsid w:val="40422A10"/>
    <w:rsid w:val="4044666A"/>
    <w:rsid w:val="404663E9"/>
    <w:rsid w:val="40471D50"/>
    <w:rsid w:val="404740A3"/>
    <w:rsid w:val="40483B12"/>
    <w:rsid w:val="404F4606"/>
    <w:rsid w:val="40511B68"/>
    <w:rsid w:val="405134F6"/>
    <w:rsid w:val="40531AB7"/>
    <w:rsid w:val="405368AD"/>
    <w:rsid w:val="4059236B"/>
    <w:rsid w:val="405A36C8"/>
    <w:rsid w:val="405A40DF"/>
    <w:rsid w:val="405C472E"/>
    <w:rsid w:val="405F16F6"/>
    <w:rsid w:val="405F5252"/>
    <w:rsid w:val="406125C6"/>
    <w:rsid w:val="40615F3B"/>
    <w:rsid w:val="40646D0C"/>
    <w:rsid w:val="40682F32"/>
    <w:rsid w:val="40683A63"/>
    <w:rsid w:val="406B1E48"/>
    <w:rsid w:val="406B310A"/>
    <w:rsid w:val="406F4CBD"/>
    <w:rsid w:val="40721429"/>
    <w:rsid w:val="40736F4F"/>
    <w:rsid w:val="4075073A"/>
    <w:rsid w:val="407C22A8"/>
    <w:rsid w:val="407E3E9C"/>
    <w:rsid w:val="407F58F4"/>
    <w:rsid w:val="408166C1"/>
    <w:rsid w:val="4082692E"/>
    <w:rsid w:val="408369EB"/>
    <w:rsid w:val="40844A58"/>
    <w:rsid w:val="40887AD4"/>
    <w:rsid w:val="408E1BFD"/>
    <w:rsid w:val="408F1FDB"/>
    <w:rsid w:val="409018AF"/>
    <w:rsid w:val="40907B01"/>
    <w:rsid w:val="409662B1"/>
    <w:rsid w:val="409A55DD"/>
    <w:rsid w:val="409B15BB"/>
    <w:rsid w:val="409B1EB1"/>
    <w:rsid w:val="409C79E6"/>
    <w:rsid w:val="409D279C"/>
    <w:rsid w:val="40A127BF"/>
    <w:rsid w:val="40A13B63"/>
    <w:rsid w:val="40A37621"/>
    <w:rsid w:val="40A72929"/>
    <w:rsid w:val="40A84E4B"/>
    <w:rsid w:val="40A92A51"/>
    <w:rsid w:val="40AC2933"/>
    <w:rsid w:val="40AC401E"/>
    <w:rsid w:val="40AC792B"/>
    <w:rsid w:val="40AE43EC"/>
    <w:rsid w:val="40AF519A"/>
    <w:rsid w:val="40B01F51"/>
    <w:rsid w:val="40B30F31"/>
    <w:rsid w:val="40B3367A"/>
    <w:rsid w:val="40B3559D"/>
    <w:rsid w:val="40B43FB4"/>
    <w:rsid w:val="40B64087"/>
    <w:rsid w:val="40B84A49"/>
    <w:rsid w:val="40BA086C"/>
    <w:rsid w:val="40BA4B7E"/>
    <w:rsid w:val="40BC3A28"/>
    <w:rsid w:val="40BE2E76"/>
    <w:rsid w:val="40BE3530"/>
    <w:rsid w:val="40C51382"/>
    <w:rsid w:val="40C53ED9"/>
    <w:rsid w:val="40CB28E7"/>
    <w:rsid w:val="40CB7FA7"/>
    <w:rsid w:val="40CC6465"/>
    <w:rsid w:val="40CD1524"/>
    <w:rsid w:val="40CE5374"/>
    <w:rsid w:val="40D23923"/>
    <w:rsid w:val="40D774DE"/>
    <w:rsid w:val="40E1035D"/>
    <w:rsid w:val="40E3789A"/>
    <w:rsid w:val="40E52FDB"/>
    <w:rsid w:val="40E85F86"/>
    <w:rsid w:val="40E87096"/>
    <w:rsid w:val="40EC3CE9"/>
    <w:rsid w:val="40EE7744"/>
    <w:rsid w:val="40F0372E"/>
    <w:rsid w:val="40F16596"/>
    <w:rsid w:val="40F81298"/>
    <w:rsid w:val="40F85541"/>
    <w:rsid w:val="40FD7974"/>
    <w:rsid w:val="41000A41"/>
    <w:rsid w:val="41006A35"/>
    <w:rsid w:val="410709A3"/>
    <w:rsid w:val="41096D73"/>
    <w:rsid w:val="410A78B3"/>
    <w:rsid w:val="410D5900"/>
    <w:rsid w:val="410E4462"/>
    <w:rsid w:val="410F4ECA"/>
    <w:rsid w:val="41126768"/>
    <w:rsid w:val="41184C4E"/>
    <w:rsid w:val="411A06C3"/>
    <w:rsid w:val="4124353A"/>
    <w:rsid w:val="41275D05"/>
    <w:rsid w:val="41285604"/>
    <w:rsid w:val="412B536C"/>
    <w:rsid w:val="412D5350"/>
    <w:rsid w:val="41314646"/>
    <w:rsid w:val="413274C4"/>
    <w:rsid w:val="41336132"/>
    <w:rsid w:val="413810EB"/>
    <w:rsid w:val="41383B7B"/>
    <w:rsid w:val="41391265"/>
    <w:rsid w:val="413A39B8"/>
    <w:rsid w:val="413A4071"/>
    <w:rsid w:val="413B6AF2"/>
    <w:rsid w:val="414229C1"/>
    <w:rsid w:val="414522D9"/>
    <w:rsid w:val="41465248"/>
    <w:rsid w:val="41473BFE"/>
    <w:rsid w:val="414E7496"/>
    <w:rsid w:val="415025A0"/>
    <w:rsid w:val="41511BE2"/>
    <w:rsid w:val="41574471"/>
    <w:rsid w:val="415766CB"/>
    <w:rsid w:val="4158623F"/>
    <w:rsid w:val="4159437F"/>
    <w:rsid w:val="415F5079"/>
    <w:rsid w:val="4162324B"/>
    <w:rsid w:val="41627122"/>
    <w:rsid w:val="416978F7"/>
    <w:rsid w:val="416A709D"/>
    <w:rsid w:val="416B74F8"/>
    <w:rsid w:val="416D3EFB"/>
    <w:rsid w:val="416F4EE0"/>
    <w:rsid w:val="417315DA"/>
    <w:rsid w:val="4175597A"/>
    <w:rsid w:val="41763384"/>
    <w:rsid w:val="41886A2A"/>
    <w:rsid w:val="41893AFA"/>
    <w:rsid w:val="41895D08"/>
    <w:rsid w:val="419217CB"/>
    <w:rsid w:val="419453CF"/>
    <w:rsid w:val="4197057B"/>
    <w:rsid w:val="419A4379"/>
    <w:rsid w:val="41A12669"/>
    <w:rsid w:val="41A2427D"/>
    <w:rsid w:val="41A63BF5"/>
    <w:rsid w:val="41C03C07"/>
    <w:rsid w:val="41C56442"/>
    <w:rsid w:val="41C616E1"/>
    <w:rsid w:val="41C8599C"/>
    <w:rsid w:val="41CE0E45"/>
    <w:rsid w:val="41D80B58"/>
    <w:rsid w:val="41E43A07"/>
    <w:rsid w:val="41E579D9"/>
    <w:rsid w:val="41E6405C"/>
    <w:rsid w:val="41E74A7B"/>
    <w:rsid w:val="41E93A6A"/>
    <w:rsid w:val="41ED1C6C"/>
    <w:rsid w:val="41F01E55"/>
    <w:rsid w:val="41F05557"/>
    <w:rsid w:val="41F06AA9"/>
    <w:rsid w:val="41F10BF4"/>
    <w:rsid w:val="41F22BDD"/>
    <w:rsid w:val="41F636A4"/>
    <w:rsid w:val="41F64C3B"/>
    <w:rsid w:val="41FC0472"/>
    <w:rsid w:val="42022339"/>
    <w:rsid w:val="420C03FF"/>
    <w:rsid w:val="420C6372"/>
    <w:rsid w:val="420F373C"/>
    <w:rsid w:val="420F4A55"/>
    <w:rsid w:val="4218217A"/>
    <w:rsid w:val="421E37FA"/>
    <w:rsid w:val="421F6293"/>
    <w:rsid w:val="422316B4"/>
    <w:rsid w:val="42235D3B"/>
    <w:rsid w:val="42250FFC"/>
    <w:rsid w:val="42290AF3"/>
    <w:rsid w:val="422D0364"/>
    <w:rsid w:val="422E5823"/>
    <w:rsid w:val="422F5CCC"/>
    <w:rsid w:val="422F6BAF"/>
    <w:rsid w:val="42350C01"/>
    <w:rsid w:val="42385000"/>
    <w:rsid w:val="423F53D9"/>
    <w:rsid w:val="42433AE5"/>
    <w:rsid w:val="42444A53"/>
    <w:rsid w:val="42456692"/>
    <w:rsid w:val="42495B52"/>
    <w:rsid w:val="425116F4"/>
    <w:rsid w:val="4251506E"/>
    <w:rsid w:val="42535A4B"/>
    <w:rsid w:val="42535E8F"/>
    <w:rsid w:val="42555197"/>
    <w:rsid w:val="425844C1"/>
    <w:rsid w:val="42606708"/>
    <w:rsid w:val="42613503"/>
    <w:rsid w:val="426173F4"/>
    <w:rsid w:val="42661EFF"/>
    <w:rsid w:val="4269685C"/>
    <w:rsid w:val="4269751A"/>
    <w:rsid w:val="426A3A1C"/>
    <w:rsid w:val="426D744F"/>
    <w:rsid w:val="427A21F9"/>
    <w:rsid w:val="427F4DC6"/>
    <w:rsid w:val="4283045A"/>
    <w:rsid w:val="428519CF"/>
    <w:rsid w:val="42874A1E"/>
    <w:rsid w:val="42927F2F"/>
    <w:rsid w:val="42937435"/>
    <w:rsid w:val="42984A4B"/>
    <w:rsid w:val="429A1936"/>
    <w:rsid w:val="429C5EB6"/>
    <w:rsid w:val="429E369B"/>
    <w:rsid w:val="429E6B33"/>
    <w:rsid w:val="429F6B25"/>
    <w:rsid w:val="429F6E9B"/>
    <w:rsid w:val="42A07FF9"/>
    <w:rsid w:val="42A20DC9"/>
    <w:rsid w:val="42A30F69"/>
    <w:rsid w:val="42A82775"/>
    <w:rsid w:val="42AA7940"/>
    <w:rsid w:val="42AE6309"/>
    <w:rsid w:val="42AF301B"/>
    <w:rsid w:val="42B04A8C"/>
    <w:rsid w:val="42B45E11"/>
    <w:rsid w:val="42B5249B"/>
    <w:rsid w:val="42B531B9"/>
    <w:rsid w:val="42B71375"/>
    <w:rsid w:val="42B729D7"/>
    <w:rsid w:val="42BA0643"/>
    <w:rsid w:val="42BB5D76"/>
    <w:rsid w:val="42BD380D"/>
    <w:rsid w:val="42BF2989"/>
    <w:rsid w:val="42C1343F"/>
    <w:rsid w:val="42C152A2"/>
    <w:rsid w:val="42C23F22"/>
    <w:rsid w:val="42C25A68"/>
    <w:rsid w:val="42C4600C"/>
    <w:rsid w:val="42C6295D"/>
    <w:rsid w:val="42C67C76"/>
    <w:rsid w:val="42C7016E"/>
    <w:rsid w:val="42C811FF"/>
    <w:rsid w:val="42CD338E"/>
    <w:rsid w:val="42D30D32"/>
    <w:rsid w:val="42D42037"/>
    <w:rsid w:val="42D42D0A"/>
    <w:rsid w:val="42D47B7C"/>
    <w:rsid w:val="42DA238F"/>
    <w:rsid w:val="42DB6007"/>
    <w:rsid w:val="42DE7CA4"/>
    <w:rsid w:val="42E33140"/>
    <w:rsid w:val="42E45EE2"/>
    <w:rsid w:val="42E60823"/>
    <w:rsid w:val="42E8743D"/>
    <w:rsid w:val="42E954C3"/>
    <w:rsid w:val="42EB4311"/>
    <w:rsid w:val="42EB69AE"/>
    <w:rsid w:val="42ED2FE9"/>
    <w:rsid w:val="42EE030C"/>
    <w:rsid w:val="42EE0B0F"/>
    <w:rsid w:val="42EE4531"/>
    <w:rsid w:val="42F10773"/>
    <w:rsid w:val="42F755B2"/>
    <w:rsid w:val="42F9080B"/>
    <w:rsid w:val="42F96375"/>
    <w:rsid w:val="42FA36FE"/>
    <w:rsid w:val="42FB3683"/>
    <w:rsid w:val="42FF4ACA"/>
    <w:rsid w:val="43016A94"/>
    <w:rsid w:val="43055919"/>
    <w:rsid w:val="4306151F"/>
    <w:rsid w:val="430640AA"/>
    <w:rsid w:val="43094363"/>
    <w:rsid w:val="43095CC3"/>
    <w:rsid w:val="430A3B9B"/>
    <w:rsid w:val="430D68A4"/>
    <w:rsid w:val="430F2F5F"/>
    <w:rsid w:val="4310060A"/>
    <w:rsid w:val="43103BBC"/>
    <w:rsid w:val="43107DC2"/>
    <w:rsid w:val="43124473"/>
    <w:rsid w:val="4312712A"/>
    <w:rsid w:val="431350C4"/>
    <w:rsid w:val="431408C7"/>
    <w:rsid w:val="43162C97"/>
    <w:rsid w:val="431C48CE"/>
    <w:rsid w:val="431C68E2"/>
    <w:rsid w:val="43205C64"/>
    <w:rsid w:val="43214BD2"/>
    <w:rsid w:val="43234853"/>
    <w:rsid w:val="43234C5C"/>
    <w:rsid w:val="43236ABD"/>
    <w:rsid w:val="432526E5"/>
    <w:rsid w:val="432D1637"/>
    <w:rsid w:val="432D1DD1"/>
    <w:rsid w:val="432D3D32"/>
    <w:rsid w:val="432E2E00"/>
    <w:rsid w:val="432E6366"/>
    <w:rsid w:val="4330417E"/>
    <w:rsid w:val="433175A2"/>
    <w:rsid w:val="43336C25"/>
    <w:rsid w:val="433413D0"/>
    <w:rsid w:val="43354EF9"/>
    <w:rsid w:val="433551E4"/>
    <w:rsid w:val="433828FF"/>
    <w:rsid w:val="433B5C6E"/>
    <w:rsid w:val="433C187A"/>
    <w:rsid w:val="433F284C"/>
    <w:rsid w:val="43420778"/>
    <w:rsid w:val="43453A60"/>
    <w:rsid w:val="43460625"/>
    <w:rsid w:val="43462629"/>
    <w:rsid w:val="43464621"/>
    <w:rsid w:val="434A17EC"/>
    <w:rsid w:val="434B4AB0"/>
    <w:rsid w:val="434B4ED9"/>
    <w:rsid w:val="434F5B1E"/>
    <w:rsid w:val="4350530C"/>
    <w:rsid w:val="43505326"/>
    <w:rsid w:val="435272F0"/>
    <w:rsid w:val="43541A77"/>
    <w:rsid w:val="43551E5B"/>
    <w:rsid w:val="435C169B"/>
    <w:rsid w:val="435D0AE1"/>
    <w:rsid w:val="43670FED"/>
    <w:rsid w:val="43696F45"/>
    <w:rsid w:val="436B47AF"/>
    <w:rsid w:val="4374280F"/>
    <w:rsid w:val="43762730"/>
    <w:rsid w:val="43797D7F"/>
    <w:rsid w:val="437E0112"/>
    <w:rsid w:val="437E3C4E"/>
    <w:rsid w:val="43805BAB"/>
    <w:rsid w:val="438A0C25"/>
    <w:rsid w:val="438F661B"/>
    <w:rsid w:val="43920370"/>
    <w:rsid w:val="43951D10"/>
    <w:rsid w:val="43973115"/>
    <w:rsid w:val="43977A17"/>
    <w:rsid w:val="43A54EC6"/>
    <w:rsid w:val="43A813F9"/>
    <w:rsid w:val="43AF4733"/>
    <w:rsid w:val="43B76423"/>
    <w:rsid w:val="43B90188"/>
    <w:rsid w:val="43BE53CF"/>
    <w:rsid w:val="43C13757"/>
    <w:rsid w:val="43C412F2"/>
    <w:rsid w:val="43C57EBB"/>
    <w:rsid w:val="43C60097"/>
    <w:rsid w:val="43C6421D"/>
    <w:rsid w:val="43C71A8C"/>
    <w:rsid w:val="43C73C74"/>
    <w:rsid w:val="43CE2A4C"/>
    <w:rsid w:val="43D618DB"/>
    <w:rsid w:val="43D87EA2"/>
    <w:rsid w:val="43DD0174"/>
    <w:rsid w:val="43DF5D96"/>
    <w:rsid w:val="43E222E7"/>
    <w:rsid w:val="43E443EC"/>
    <w:rsid w:val="43E529AA"/>
    <w:rsid w:val="43E52F46"/>
    <w:rsid w:val="43E64F02"/>
    <w:rsid w:val="43E837B0"/>
    <w:rsid w:val="43EC504E"/>
    <w:rsid w:val="43F130CB"/>
    <w:rsid w:val="43F6182A"/>
    <w:rsid w:val="43FA595A"/>
    <w:rsid w:val="43FB07C3"/>
    <w:rsid w:val="43FD6B50"/>
    <w:rsid w:val="440115B2"/>
    <w:rsid w:val="440419F1"/>
    <w:rsid w:val="4406276E"/>
    <w:rsid w:val="44081691"/>
    <w:rsid w:val="4408342E"/>
    <w:rsid w:val="440A7BCA"/>
    <w:rsid w:val="440C5826"/>
    <w:rsid w:val="440E6975"/>
    <w:rsid w:val="44114AB5"/>
    <w:rsid w:val="44134901"/>
    <w:rsid w:val="44160E38"/>
    <w:rsid w:val="44175846"/>
    <w:rsid w:val="44180A54"/>
    <w:rsid w:val="441C0EE9"/>
    <w:rsid w:val="441F4613"/>
    <w:rsid w:val="44217BC6"/>
    <w:rsid w:val="442742D8"/>
    <w:rsid w:val="442A7A3D"/>
    <w:rsid w:val="442D7797"/>
    <w:rsid w:val="442E4B85"/>
    <w:rsid w:val="44300697"/>
    <w:rsid w:val="443006E6"/>
    <w:rsid w:val="4431394E"/>
    <w:rsid w:val="44336729"/>
    <w:rsid w:val="4433778E"/>
    <w:rsid w:val="44350EC6"/>
    <w:rsid w:val="4436451B"/>
    <w:rsid w:val="44376897"/>
    <w:rsid w:val="443A225E"/>
    <w:rsid w:val="4440539A"/>
    <w:rsid w:val="44442018"/>
    <w:rsid w:val="444529B0"/>
    <w:rsid w:val="444702DD"/>
    <w:rsid w:val="44473CA1"/>
    <w:rsid w:val="444A34CC"/>
    <w:rsid w:val="444F6521"/>
    <w:rsid w:val="4451568A"/>
    <w:rsid w:val="44525467"/>
    <w:rsid w:val="445648FB"/>
    <w:rsid w:val="4456696C"/>
    <w:rsid w:val="445803D1"/>
    <w:rsid w:val="44595B57"/>
    <w:rsid w:val="445A1487"/>
    <w:rsid w:val="445A645C"/>
    <w:rsid w:val="445C0C36"/>
    <w:rsid w:val="445D3F09"/>
    <w:rsid w:val="445D419E"/>
    <w:rsid w:val="44606097"/>
    <w:rsid w:val="446127B6"/>
    <w:rsid w:val="4466587C"/>
    <w:rsid w:val="446B68BB"/>
    <w:rsid w:val="446C7201"/>
    <w:rsid w:val="446F7A62"/>
    <w:rsid w:val="4470771C"/>
    <w:rsid w:val="44770704"/>
    <w:rsid w:val="44782D86"/>
    <w:rsid w:val="44785C41"/>
    <w:rsid w:val="447B1583"/>
    <w:rsid w:val="447B779E"/>
    <w:rsid w:val="447D0352"/>
    <w:rsid w:val="447D3BB2"/>
    <w:rsid w:val="447D40F7"/>
    <w:rsid w:val="447E20EF"/>
    <w:rsid w:val="44831BB0"/>
    <w:rsid w:val="44886AE1"/>
    <w:rsid w:val="44906321"/>
    <w:rsid w:val="449425BC"/>
    <w:rsid w:val="44994C1C"/>
    <w:rsid w:val="449A06B1"/>
    <w:rsid w:val="44A1052F"/>
    <w:rsid w:val="44A624B0"/>
    <w:rsid w:val="44A74329"/>
    <w:rsid w:val="44AA6BE8"/>
    <w:rsid w:val="44AB697D"/>
    <w:rsid w:val="44AE14BA"/>
    <w:rsid w:val="44B36C93"/>
    <w:rsid w:val="44B614EF"/>
    <w:rsid w:val="44B627F4"/>
    <w:rsid w:val="44B64727"/>
    <w:rsid w:val="44B66B7E"/>
    <w:rsid w:val="44BB380E"/>
    <w:rsid w:val="44BB796D"/>
    <w:rsid w:val="44BB7CB2"/>
    <w:rsid w:val="44BC06FE"/>
    <w:rsid w:val="44C250CA"/>
    <w:rsid w:val="44C72291"/>
    <w:rsid w:val="44CB121F"/>
    <w:rsid w:val="44D02BC2"/>
    <w:rsid w:val="44D272CD"/>
    <w:rsid w:val="44D31491"/>
    <w:rsid w:val="44D73B40"/>
    <w:rsid w:val="44D82523"/>
    <w:rsid w:val="44DC1567"/>
    <w:rsid w:val="44DC7BA1"/>
    <w:rsid w:val="44DD0B46"/>
    <w:rsid w:val="44E12254"/>
    <w:rsid w:val="44E421C9"/>
    <w:rsid w:val="44E60A14"/>
    <w:rsid w:val="44E81BA2"/>
    <w:rsid w:val="44EA0CE5"/>
    <w:rsid w:val="44EA3EE1"/>
    <w:rsid w:val="44EE23A6"/>
    <w:rsid w:val="44F20D8A"/>
    <w:rsid w:val="44F7078F"/>
    <w:rsid w:val="45023AD6"/>
    <w:rsid w:val="45053314"/>
    <w:rsid w:val="45077D92"/>
    <w:rsid w:val="450854F8"/>
    <w:rsid w:val="450B0731"/>
    <w:rsid w:val="450B6871"/>
    <w:rsid w:val="451073BE"/>
    <w:rsid w:val="45114A38"/>
    <w:rsid w:val="45115659"/>
    <w:rsid w:val="451231DA"/>
    <w:rsid w:val="45137B31"/>
    <w:rsid w:val="451505D5"/>
    <w:rsid w:val="4517227F"/>
    <w:rsid w:val="4519500E"/>
    <w:rsid w:val="45215D8A"/>
    <w:rsid w:val="45227CA0"/>
    <w:rsid w:val="45280308"/>
    <w:rsid w:val="45284162"/>
    <w:rsid w:val="452D6EBC"/>
    <w:rsid w:val="45314B57"/>
    <w:rsid w:val="45323900"/>
    <w:rsid w:val="453241FB"/>
    <w:rsid w:val="453C2068"/>
    <w:rsid w:val="453F352B"/>
    <w:rsid w:val="454202F6"/>
    <w:rsid w:val="45440EBA"/>
    <w:rsid w:val="45445B7D"/>
    <w:rsid w:val="45452B0F"/>
    <w:rsid w:val="45464C32"/>
    <w:rsid w:val="45465140"/>
    <w:rsid w:val="454F1008"/>
    <w:rsid w:val="455259D7"/>
    <w:rsid w:val="45527C0D"/>
    <w:rsid w:val="455627AF"/>
    <w:rsid w:val="455A2A33"/>
    <w:rsid w:val="455C3FF4"/>
    <w:rsid w:val="455C6204"/>
    <w:rsid w:val="45601D63"/>
    <w:rsid w:val="456938DD"/>
    <w:rsid w:val="456E5208"/>
    <w:rsid w:val="4570487E"/>
    <w:rsid w:val="45791170"/>
    <w:rsid w:val="457D3D99"/>
    <w:rsid w:val="457E261E"/>
    <w:rsid w:val="45811232"/>
    <w:rsid w:val="45867DC6"/>
    <w:rsid w:val="458B6AE9"/>
    <w:rsid w:val="45927303"/>
    <w:rsid w:val="45990CD1"/>
    <w:rsid w:val="45992306"/>
    <w:rsid w:val="45993B86"/>
    <w:rsid w:val="459B29CC"/>
    <w:rsid w:val="45A34E63"/>
    <w:rsid w:val="45A50042"/>
    <w:rsid w:val="45A51959"/>
    <w:rsid w:val="45AA51C1"/>
    <w:rsid w:val="45AB560E"/>
    <w:rsid w:val="45B1654F"/>
    <w:rsid w:val="45B40F0E"/>
    <w:rsid w:val="45B41238"/>
    <w:rsid w:val="45B4144D"/>
    <w:rsid w:val="45B604EA"/>
    <w:rsid w:val="45B778DE"/>
    <w:rsid w:val="45BB6EAC"/>
    <w:rsid w:val="45BD6949"/>
    <w:rsid w:val="45BE2986"/>
    <w:rsid w:val="45C17551"/>
    <w:rsid w:val="45C51657"/>
    <w:rsid w:val="45C54409"/>
    <w:rsid w:val="45C60C0C"/>
    <w:rsid w:val="45C96E92"/>
    <w:rsid w:val="45CC6336"/>
    <w:rsid w:val="45D3726C"/>
    <w:rsid w:val="45D439FD"/>
    <w:rsid w:val="45D56CF6"/>
    <w:rsid w:val="45D6173F"/>
    <w:rsid w:val="45D939DC"/>
    <w:rsid w:val="45DB2A77"/>
    <w:rsid w:val="45DB537A"/>
    <w:rsid w:val="45DF03CA"/>
    <w:rsid w:val="45E04F78"/>
    <w:rsid w:val="45E10B02"/>
    <w:rsid w:val="45E469AA"/>
    <w:rsid w:val="45E531B0"/>
    <w:rsid w:val="45E664A6"/>
    <w:rsid w:val="45E7644E"/>
    <w:rsid w:val="45E969EF"/>
    <w:rsid w:val="45EA19FE"/>
    <w:rsid w:val="45EA4D53"/>
    <w:rsid w:val="45EC3A2B"/>
    <w:rsid w:val="45F2212F"/>
    <w:rsid w:val="45F428E0"/>
    <w:rsid w:val="45F8470E"/>
    <w:rsid w:val="45FA7FBF"/>
    <w:rsid w:val="45FB245B"/>
    <w:rsid w:val="45FE5B55"/>
    <w:rsid w:val="45FF02F4"/>
    <w:rsid w:val="4600370E"/>
    <w:rsid w:val="46013A23"/>
    <w:rsid w:val="4605689B"/>
    <w:rsid w:val="460B0EDF"/>
    <w:rsid w:val="460C0D92"/>
    <w:rsid w:val="460F4259"/>
    <w:rsid w:val="461050D3"/>
    <w:rsid w:val="4611013A"/>
    <w:rsid w:val="461110F2"/>
    <w:rsid w:val="4614088C"/>
    <w:rsid w:val="46165788"/>
    <w:rsid w:val="461741C0"/>
    <w:rsid w:val="4618223E"/>
    <w:rsid w:val="46193AD6"/>
    <w:rsid w:val="461D07A5"/>
    <w:rsid w:val="46235B95"/>
    <w:rsid w:val="4628264E"/>
    <w:rsid w:val="462849C4"/>
    <w:rsid w:val="46285B7E"/>
    <w:rsid w:val="462A00B0"/>
    <w:rsid w:val="462C782C"/>
    <w:rsid w:val="463007DB"/>
    <w:rsid w:val="46304779"/>
    <w:rsid w:val="46380CA6"/>
    <w:rsid w:val="46386C71"/>
    <w:rsid w:val="463A0DBD"/>
    <w:rsid w:val="463E5D69"/>
    <w:rsid w:val="463F2594"/>
    <w:rsid w:val="46440B0A"/>
    <w:rsid w:val="46496788"/>
    <w:rsid w:val="46501B92"/>
    <w:rsid w:val="4650568F"/>
    <w:rsid w:val="465257E2"/>
    <w:rsid w:val="4654593D"/>
    <w:rsid w:val="465C5F12"/>
    <w:rsid w:val="46614A7B"/>
    <w:rsid w:val="466945F6"/>
    <w:rsid w:val="466A0DD9"/>
    <w:rsid w:val="466C06C8"/>
    <w:rsid w:val="466F3BD2"/>
    <w:rsid w:val="46713B75"/>
    <w:rsid w:val="46742E6C"/>
    <w:rsid w:val="46766F10"/>
    <w:rsid w:val="46770A12"/>
    <w:rsid w:val="467B5250"/>
    <w:rsid w:val="467B7F8F"/>
    <w:rsid w:val="467D1824"/>
    <w:rsid w:val="468102C3"/>
    <w:rsid w:val="4683450E"/>
    <w:rsid w:val="468451CA"/>
    <w:rsid w:val="468653FF"/>
    <w:rsid w:val="468A4150"/>
    <w:rsid w:val="468A685A"/>
    <w:rsid w:val="468B2815"/>
    <w:rsid w:val="468B328B"/>
    <w:rsid w:val="468E7F9B"/>
    <w:rsid w:val="46966CE5"/>
    <w:rsid w:val="469872AB"/>
    <w:rsid w:val="469D302C"/>
    <w:rsid w:val="46A00372"/>
    <w:rsid w:val="46A27A18"/>
    <w:rsid w:val="46A77952"/>
    <w:rsid w:val="46AE215C"/>
    <w:rsid w:val="46AE46E8"/>
    <w:rsid w:val="46B52961"/>
    <w:rsid w:val="46B7533E"/>
    <w:rsid w:val="46C33865"/>
    <w:rsid w:val="46C55269"/>
    <w:rsid w:val="46C55E2F"/>
    <w:rsid w:val="46C73B51"/>
    <w:rsid w:val="46CE5515"/>
    <w:rsid w:val="46D43C4B"/>
    <w:rsid w:val="46D53C87"/>
    <w:rsid w:val="46D57834"/>
    <w:rsid w:val="46DB738B"/>
    <w:rsid w:val="46E11513"/>
    <w:rsid w:val="46E635BC"/>
    <w:rsid w:val="46E82445"/>
    <w:rsid w:val="46E87CAA"/>
    <w:rsid w:val="46E95472"/>
    <w:rsid w:val="46EA03B8"/>
    <w:rsid w:val="46EB5A91"/>
    <w:rsid w:val="46EE4559"/>
    <w:rsid w:val="46F04E55"/>
    <w:rsid w:val="46F20FCC"/>
    <w:rsid w:val="46F2655F"/>
    <w:rsid w:val="46F46D36"/>
    <w:rsid w:val="46F53367"/>
    <w:rsid w:val="46F661E4"/>
    <w:rsid w:val="46FE3382"/>
    <w:rsid w:val="46FF778E"/>
    <w:rsid w:val="47024B89"/>
    <w:rsid w:val="47060B1D"/>
    <w:rsid w:val="47077EAC"/>
    <w:rsid w:val="47083A6C"/>
    <w:rsid w:val="470B0572"/>
    <w:rsid w:val="470E0A13"/>
    <w:rsid w:val="470E352E"/>
    <w:rsid w:val="47125076"/>
    <w:rsid w:val="47125534"/>
    <w:rsid w:val="4713016A"/>
    <w:rsid w:val="47153060"/>
    <w:rsid w:val="4717516D"/>
    <w:rsid w:val="471A1ED2"/>
    <w:rsid w:val="471E5198"/>
    <w:rsid w:val="471E7600"/>
    <w:rsid w:val="47263691"/>
    <w:rsid w:val="4727174D"/>
    <w:rsid w:val="472E7145"/>
    <w:rsid w:val="473038DC"/>
    <w:rsid w:val="47305B9A"/>
    <w:rsid w:val="4733095F"/>
    <w:rsid w:val="47373707"/>
    <w:rsid w:val="47412B9E"/>
    <w:rsid w:val="474335EC"/>
    <w:rsid w:val="47477299"/>
    <w:rsid w:val="47496006"/>
    <w:rsid w:val="474B6530"/>
    <w:rsid w:val="4750373D"/>
    <w:rsid w:val="47524696"/>
    <w:rsid w:val="47555600"/>
    <w:rsid w:val="4759161C"/>
    <w:rsid w:val="475A7DF4"/>
    <w:rsid w:val="475B0EE1"/>
    <w:rsid w:val="47604B1E"/>
    <w:rsid w:val="476060B0"/>
    <w:rsid w:val="47671E57"/>
    <w:rsid w:val="47682E57"/>
    <w:rsid w:val="47694C08"/>
    <w:rsid w:val="476A1411"/>
    <w:rsid w:val="476D3008"/>
    <w:rsid w:val="477077DD"/>
    <w:rsid w:val="47721129"/>
    <w:rsid w:val="47750028"/>
    <w:rsid w:val="47777325"/>
    <w:rsid w:val="47781873"/>
    <w:rsid w:val="477857FD"/>
    <w:rsid w:val="477860B5"/>
    <w:rsid w:val="477C1724"/>
    <w:rsid w:val="47806951"/>
    <w:rsid w:val="47816245"/>
    <w:rsid w:val="47854E3F"/>
    <w:rsid w:val="47867B9E"/>
    <w:rsid w:val="478736E7"/>
    <w:rsid w:val="47897305"/>
    <w:rsid w:val="478C711D"/>
    <w:rsid w:val="478D7161"/>
    <w:rsid w:val="47925F0D"/>
    <w:rsid w:val="4795555F"/>
    <w:rsid w:val="479B7B93"/>
    <w:rsid w:val="479C2F93"/>
    <w:rsid w:val="47A1304D"/>
    <w:rsid w:val="47A24FF0"/>
    <w:rsid w:val="47A30159"/>
    <w:rsid w:val="47A34922"/>
    <w:rsid w:val="47A4103B"/>
    <w:rsid w:val="47A45320"/>
    <w:rsid w:val="47A45C40"/>
    <w:rsid w:val="47A5180C"/>
    <w:rsid w:val="47A81D5E"/>
    <w:rsid w:val="47AB2131"/>
    <w:rsid w:val="47B26735"/>
    <w:rsid w:val="47B42CA3"/>
    <w:rsid w:val="47B53CBD"/>
    <w:rsid w:val="47B950D1"/>
    <w:rsid w:val="47BC742D"/>
    <w:rsid w:val="47BF5648"/>
    <w:rsid w:val="47C2466F"/>
    <w:rsid w:val="47C25DA5"/>
    <w:rsid w:val="47C93A4F"/>
    <w:rsid w:val="47CA130C"/>
    <w:rsid w:val="47CE30C7"/>
    <w:rsid w:val="47D104FB"/>
    <w:rsid w:val="47D110E8"/>
    <w:rsid w:val="47D35324"/>
    <w:rsid w:val="47D60C3E"/>
    <w:rsid w:val="47D640C2"/>
    <w:rsid w:val="47D67665"/>
    <w:rsid w:val="47E549FC"/>
    <w:rsid w:val="47E5583F"/>
    <w:rsid w:val="47E96D3C"/>
    <w:rsid w:val="47EA149C"/>
    <w:rsid w:val="47EA1BE9"/>
    <w:rsid w:val="47F40971"/>
    <w:rsid w:val="47F46471"/>
    <w:rsid w:val="47F52D23"/>
    <w:rsid w:val="47F60B91"/>
    <w:rsid w:val="47F678CA"/>
    <w:rsid w:val="47F67D5A"/>
    <w:rsid w:val="47FC20C4"/>
    <w:rsid w:val="47FD3CCE"/>
    <w:rsid w:val="480A276E"/>
    <w:rsid w:val="480A63EB"/>
    <w:rsid w:val="480E5EDB"/>
    <w:rsid w:val="48131285"/>
    <w:rsid w:val="481550A4"/>
    <w:rsid w:val="48194880"/>
    <w:rsid w:val="481F02C4"/>
    <w:rsid w:val="48202D3C"/>
    <w:rsid w:val="4821691A"/>
    <w:rsid w:val="48235055"/>
    <w:rsid w:val="4824229E"/>
    <w:rsid w:val="48246CC4"/>
    <w:rsid w:val="48247495"/>
    <w:rsid w:val="48254FD3"/>
    <w:rsid w:val="48290750"/>
    <w:rsid w:val="482A083B"/>
    <w:rsid w:val="482C06D7"/>
    <w:rsid w:val="482F3F49"/>
    <w:rsid w:val="48322A97"/>
    <w:rsid w:val="48334BC7"/>
    <w:rsid w:val="48340B88"/>
    <w:rsid w:val="483416BA"/>
    <w:rsid w:val="48345216"/>
    <w:rsid w:val="4836257A"/>
    <w:rsid w:val="483771D0"/>
    <w:rsid w:val="4838322C"/>
    <w:rsid w:val="48385954"/>
    <w:rsid w:val="483B1248"/>
    <w:rsid w:val="484719C5"/>
    <w:rsid w:val="4849303F"/>
    <w:rsid w:val="484B3158"/>
    <w:rsid w:val="484D0086"/>
    <w:rsid w:val="484F02A2"/>
    <w:rsid w:val="48507BC1"/>
    <w:rsid w:val="48515D9D"/>
    <w:rsid w:val="48541C65"/>
    <w:rsid w:val="48561630"/>
    <w:rsid w:val="48567D36"/>
    <w:rsid w:val="485A0172"/>
    <w:rsid w:val="485D476D"/>
    <w:rsid w:val="485E0065"/>
    <w:rsid w:val="485E6386"/>
    <w:rsid w:val="485F60A2"/>
    <w:rsid w:val="48653FB2"/>
    <w:rsid w:val="48687C83"/>
    <w:rsid w:val="486C49B0"/>
    <w:rsid w:val="486C513D"/>
    <w:rsid w:val="486E0728"/>
    <w:rsid w:val="486F7160"/>
    <w:rsid w:val="487170DF"/>
    <w:rsid w:val="48740B5A"/>
    <w:rsid w:val="4874458B"/>
    <w:rsid w:val="487454F0"/>
    <w:rsid w:val="48783354"/>
    <w:rsid w:val="48791955"/>
    <w:rsid w:val="487A73D6"/>
    <w:rsid w:val="487C31C6"/>
    <w:rsid w:val="487C495A"/>
    <w:rsid w:val="487E1F59"/>
    <w:rsid w:val="48806868"/>
    <w:rsid w:val="48820E28"/>
    <w:rsid w:val="48843766"/>
    <w:rsid w:val="488651C7"/>
    <w:rsid w:val="488A5F42"/>
    <w:rsid w:val="488A6739"/>
    <w:rsid w:val="489357F6"/>
    <w:rsid w:val="48945CB4"/>
    <w:rsid w:val="48952158"/>
    <w:rsid w:val="4895276B"/>
    <w:rsid w:val="48967991"/>
    <w:rsid w:val="4898394D"/>
    <w:rsid w:val="489D406B"/>
    <w:rsid w:val="489E30D7"/>
    <w:rsid w:val="489E7371"/>
    <w:rsid w:val="48A028AB"/>
    <w:rsid w:val="48A22AD1"/>
    <w:rsid w:val="48A46B2E"/>
    <w:rsid w:val="48A66533"/>
    <w:rsid w:val="48B0793C"/>
    <w:rsid w:val="48B12D0A"/>
    <w:rsid w:val="48B15D8C"/>
    <w:rsid w:val="48B171EB"/>
    <w:rsid w:val="48B64ADD"/>
    <w:rsid w:val="48B90886"/>
    <w:rsid w:val="48BA01DF"/>
    <w:rsid w:val="48BD4A19"/>
    <w:rsid w:val="48BD520B"/>
    <w:rsid w:val="48C32F6F"/>
    <w:rsid w:val="48C36B8F"/>
    <w:rsid w:val="48C36C56"/>
    <w:rsid w:val="48C667EB"/>
    <w:rsid w:val="48D75996"/>
    <w:rsid w:val="48DF441E"/>
    <w:rsid w:val="48E81140"/>
    <w:rsid w:val="48EB2AC7"/>
    <w:rsid w:val="48EC2FF3"/>
    <w:rsid w:val="48F03C1E"/>
    <w:rsid w:val="48F22148"/>
    <w:rsid w:val="48F55AA8"/>
    <w:rsid w:val="48FA020D"/>
    <w:rsid w:val="4901746C"/>
    <w:rsid w:val="49021C45"/>
    <w:rsid w:val="49027F9D"/>
    <w:rsid w:val="490A0AAB"/>
    <w:rsid w:val="490E65FA"/>
    <w:rsid w:val="490F291C"/>
    <w:rsid w:val="4910531F"/>
    <w:rsid w:val="49105CE2"/>
    <w:rsid w:val="4912141C"/>
    <w:rsid w:val="491312CF"/>
    <w:rsid w:val="491474A2"/>
    <w:rsid w:val="49156DF5"/>
    <w:rsid w:val="4916491B"/>
    <w:rsid w:val="491A52EF"/>
    <w:rsid w:val="491C2042"/>
    <w:rsid w:val="492449EC"/>
    <w:rsid w:val="492B1A4A"/>
    <w:rsid w:val="492B7D22"/>
    <w:rsid w:val="492E3325"/>
    <w:rsid w:val="493050AD"/>
    <w:rsid w:val="493066A1"/>
    <w:rsid w:val="493145A1"/>
    <w:rsid w:val="49321D29"/>
    <w:rsid w:val="49346339"/>
    <w:rsid w:val="49357497"/>
    <w:rsid w:val="493A6B92"/>
    <w:rsid w:val="493C341C"/>
    <w:rsid w:val="493E2D53"/>
    <w:rsid w:val="493E459E"/>
    <w:rsid w:val="49442815"/>
    <w:rsid w:val="49463453"/>
    <w:rsid w:val="49477B74"/>
    <w:rsid w:val="49484AF2"/>
    <w:rsid w:val="494D202A"/>
    <w:rsid w:val="494E4757"/>
    <w:rsid w:val="49514CFC"/>
    <w:rsid w:val="49554DFC"/>
    <w:rsid w:val="495640B6"/>
    <w:rsid w:val="495934D4"/>
    <w:rsid w:val="495D3DCC"/>
    <w:rsid w:val="495F60E1"/>
    <w:rsid w:val="496177E3"/>
    <w:rsid w:val="49622FBF"/>
    <w:rsid w:val="49643461"/>
    <w:rsid w:val="496A6EDE"/>
    <w:rsid w:val="4974549D"/>
    <w:rsid w:val="49774939"/>
    <w:rsid w:val="49783E0A"/>
    <w:rsid w:val="497B14ED"/>
    <w:rsid w:val="497D312F"/>
    <w:rsid w:val="497E0E3E"/>
    <w:rsid w:val="49811A32"/>
    <w:rsid w:val="49860DD4"/>
    <w:rsid w:val="498678B6"/>
    <w:rsid w:val="49875D03"/>
    <w:rsid w:val="498A10EE"/>
    <w:rsid w:val="498D72D3"/>
    <w:rsid w:val="498E224E"/>
    <w:rsid w:val="499046CE"/>
    <w:rsid w:val="499441BE"/>
    <w:rsid w:val="49982854"/>
    <w:rsid w:val="499A554C"/>
    <w:rsid w:val="49A11C6A"/>
    <w:rsid w:val="49A301A8"/>
    <w:rsid w:val="49AC45A5"/>
    <w:rsid w:val="49AD7169"/>
    <w:rsid w:val="49AE5E0B"/>
    <w:rsid w:val="49AF68B6"/>
    <w:rsid w:val="49AF774E"/>
    <w:rsid w:val="49B17433"/>
    <w:rsid w:val="49B313B6"/>
    <w:rsid w:val="49B833EF"/>
    <w:rsid w:val="49BA14B8"/>
    <w:rsid w:val="49BA6595"/>
    <w:rsid w:val="49C004AA"/>
    <w:rsid w:val="49C7677D"/>
    <w:rsid w:val="49C820BA"/>
    <w:rsid w:val="49C93306"/>
    <w:rsid w:val="49CD147E"/>
    <w:rsid w:val="49CD24B1"/>
    <w:rsid w:val="49CE402F"/>
    <w:rsid w:val="49CE4FA0"/>
    <w:rsid w:val="49D03950"/>
    <w:rsid w:val="49D144D9"/>
    <w:rsid w:val="49D77DB9"/>
    <w:rsid w:val="49D863F6"/>
    <w:rsid w:val="49DC3DF1"/>
    <w:rsid w:val="49DD6B59"/>
    <w:rsid w:val="49DD7DA1"/>
    <w:rsid w:val="49DF4BCB"/>
    <w:rsid w:val="49E27934"/>
    <w:rsid w:val="49E40840"/>
    <w:rsid w:val="49ED1B20"/>
    <w:rsid w:val="49EF5611"/>
    <w:rsid w:val="49F02D28"/>
    <w:rsid w:val="49F042E8"/>
    <w:rsid w:val="49F44326"/>
    <w:rsid w:val="49FB6E92"/>
    <w:rsid w:val="4A0155CC"/>
    <w:rsid w:val="4A022F17"/>
    <w:rsid w:val="4A05330E"/>
    <w:rsid w:val="4A0737FA"/>
    <w:rsid w:val="4A095CF4"/>
    <w:rsid w:val="4A0971E0"/>
    <w:rsid w:val="4A0C644A"/>
    <w:rsid w:val="4A1066DE"/>
    <w:rsid w:val="4A1276FA"/>
    <w:rsid w:val="4A1446B8"/>
    <w:rsid w:val="4A1470AD"/>
    <w:rsid w:val="4A1928CF"/>
    <w:rsid w:val="4A1B295A"/>
    <w:rsid w:val="4A1E7AA4"/>
    <w:rsid w:val="4A241045"/>
    <w:rsid w:val="4A25610B"/>
    <w:rsid w:val="4A2901A8"/>
    <w:rsid w:val="4A2B767E"/>
    <w:rsid w:val="4A2C5F6E"/>
    <w:rsid w:val="4A2D1662"/>
    <w:rsid w:val="4A314103"/>
    <w:rsid w:val="4A372D9B"/>
    <w:rsid w:val="4A381341"/>
    <w:rsid w:val="4A3A1B36"/>
    <w:rsid w:val="4A3D2AA8"/>
    <w:rsid w:val="4A3E5728"/>
    <w:rsid w:val="4A3E5F7C"/>
    <w:rsid w:val="4A401A76"/>
    <w:rsid w:val="4A45370A"/>
    <w:rsid w:val="4A4909A1"/>
    <w:rsid w:val="4A4A61FF"/>
    <w:rsid w:val="4A4E5776"/>
    <w:rsid w:val="4A517C67"/>
    <w:rsid w:val="4A54394D"/>
    <w:rsid w:val="4A576B5E"/>
    <w:rsid w:val="4A5A20BB"/>
    <w:rsid w:val="4A5B5ECF"/>
    <w:rsid w:val="4A5C1EFE"/>
    <w:rsid w:val="4A5E46F1"/>
    <w:rsid w:val="4A613427"/>
    <w:rsid w:val="4A624096"/>
    <w:rsid w:val="4A65416D"/>
    <w:rsid w:val="4A660164"/>
    <w:rsid w:val="4A66560A"/>
    <w:rsid w:val="4A687CF9"/>
    <w:rsid w:val="4A6A6A1A"/>
    <w:rsid w:val="4A6B6FCB"/>
    <w:rsid w:val="4A6D43BE"/>
    <w:rsid w:val="4A6F4C2B"/>
    <w:rsid w:val="4A722E82"/>
    <w:rsid w:val="4A74188D"/>
    <w:rsid w:val="4A7447C9"/>
    <w:rsid w:val="4A7A3261"/>
    <w:rsid w:val="4A7A5152"/>
    <w:rsid w:val="4A7B47E0"/>
    <w:rsid w:val="4A7D0BE3"/>
    <w:rsid w:val="4A7F0AC1"/>
    <w:rsid w:val="4A807CD2"/>
    <w:rsid w:val="4A826D33"/>
    <w:rsid w:val="4A8409B5"/>
    <w:rsid w:val="4A850053"/>
    <w:rsid w:val="4A89428C"/>
    <w:rsid w:val="4A8A473E"/>
    <w:rsid w:val="4A8E50B1"/>
    <w:rsid w:val="4A920D15"/>
    <w:rsid w:val="4A92112A"/>
    <w:rsid w:val="4A9944D8"/>
    <w:rsid w:val="4A9C18CB"/>
    <w:rsid w:val="4A9D1CF3"/>
    <w:rsid w:val="4A9D3546"/>
    <w:rsid w:val="4A9E3C57"/>
    <w:rsid w:val="4AA246B9"/>
    <w:rsid w:val="4AA43385"/>
    <w:rsid w:val="4AA541A9"/>
    <w:rsid w:val="4AA74645"/>
    <w:rsid w:val="4AAF7DD6"/>
    <w:rsid w:val="4AB00FC5"/>
    <w:rsid w:val="4AB1395D"/>
    <w:rsid w:val="4AB308A9"/>
    <w:rsid w:val="4AB50AB0"/>
    <w:rsid w:val="4AB527C0"/>
    <w:rsid w:val="4AB57765"/>
    <w:rsid w:val="4AB73D20"/>
    <w:rsid w:val="4ABF34BD"/>
    <w:rsid w:val="4AC2273E"/>
    <w:rsid w:val="4AC61A6B"/>
    <w:rsid w:val="4AC65968"/>
    <w:rsid w:val="4ACE70E0"/>
    <w:rsid w:val="4ACF2F5F"/>
    <w:rsid w:val="4AD52CE0"/>
    <w:rsid w:val="4AD66906"/>
    <w:rsid w:val="4ADC6820"/>
    <w:rsid w:val="4ADD512D"/>
    <w:rsid w:val="4ADE2F02"/>
    <w:rsid w:val="4ADF526F"/>
    <w:rsid w:val="4AE77F09"/>
    <w:rsid w:val="4AED0B9A"/>
    <w:rsid w:val="4AF31D66"/>
    <w:rsid w:val="4AF616AF"/>
    <w:rsid w:val="4AF635A8"/>
    <w:rsid w:val="4AF80DD6"/>
    <w:rsid w:val="4AFA6BE2"/>
    <w:rsid w:val="4B000FCC"/>
    <w:rsid w:val="4B027636"/>
    <w:rsid w:val="4B0610EB"/>
    <w:rsid w:val="4B106982"/>
    <w:rsid w:val="4B1820D0"/>
    <w:rsid w:val="4B1C22A2"/>
    <w:rsid w:val="4B1C5F82"/>
    <w:rsid w:val="4B1E3449"/>
    <w:rsid w:val="4B27309B"/>
    <w:rsid w:val="4B29302C"/>
    <w:rsid w:val="4B393CC0"/>
    <w:rsid w:val="4B3A7E26"/>
    <w:rsid w:val="4B3B5BE2"/>
    <w:rsid w:val="4B3F63AB"/>
    <w:rsid w:val="4B4939A5"/>
    <w:rsid w:val="4B4E0D2A"/>
    <w:rsid w:val="4B51282E"/>
    <w:rsid w:val="4B540B89"/>
    <w:rsid w:val="4B541B6D"/>
    <w:rsid w:val="4B58138B"/>
    <w:rsid w:val="4B5865E3"/>
    <w:rsid w:val="4B5D4A84"/>
    <w:rsid w:val="4B62209A"/>
    <w:rsid w:val="4B670881"/>
    <w:rsid w:val="4B675A75"/>
    <w:rsid w:val="4B6B3B92"/>
    <w:rsid w:val="4B6B41C1"/>
    <w:rsid w:val="4B6B5E2A"/>
    <w:rsid w:val="4B757157"/>
    <w:rsid w:val="4B782064"/>
    <w:rsid w:val="4B7B7482"/>
    <w:rsid w:val="4B807895"/>
    <w:rsid w:val="4B820743"/>
    <w:rsid w:val="4B863FDA"/>
    <w:rsid w:val="4B88177F"/>
    <w:rsid w:val="4B8E7C22"/>
    <w:rsid w:val="4B9C7AD3"/>
    <w:rsid w:val="4B9E47C9"/>
    <w:rsid w:val="4B9E5125"/>
    <w:rsid w:val="4B9F2705"/>
    <w:rsid w:val="4B9F2E34"/>
    <w:rsid w:val="4BA167FB"/>
    <w:rsid w:val="4BA24B43"/>
    <w:rsid w:val="4BA426B2"/>
    <w:rsid w:val="4BA44460"/>
    <w:rsid w:val="4BA6467C"/>
    <w:rsid w:val="4BA65563"/>
    <w:rsid w:val="4BA821A3"/>
    <w:rsid w:val="4BAA25CC"/>
    <w:rsid w:val="4BAC7BED"/>
    <w:rsid w:val="4BB000DD"/>
    <w:rsid w:val="4BB5237D"/>
    <w:rsid w:val="4BB53FB0"/>
    <w:rsid w:val="4BB67DA7"/>
    <w:rsid w:val="4BC0627B"/>
    <w:rsid w:val="4BC36FDC"/>
    <w:rsid w:val="4BC4544F"/>
    <w:rsid w:val="4BC55D49"/>
    <w:rsid w:val="4BC87B8A"/>
    <w:rsid w:val="4BC97333"/>
    <w:rsid w:val="4BCB1C07"/>
    <w:rsid w:val="4BCE14DD"/>
    <w:rsid w:val="4BCF52EF"/>
    <w:rsid w:val="4BD05141"/>
    <w:rsid w:val="4BD17AAF"/>
    <w:rsid w:val="4BD22AB8"/>
    <w:rsid w:val="4BD31EF6"/>
    <w:rsid w:val="4BD439F7"/>
    <w:rsid w:val="4BD5286C"/>
    <w:rsid w:val="4BD92CA4"/>
    <w:rsid w:val="4BDA188F"/>
    <w:rsid w:val="4BDF70FA"/>
    <w:rsid w:val="4BE33128"/>
    <w:rsid w:val="4BE424BC"/>
    <w:rsid w:val="4BE64CF1"/>
    <w:rsid w:val="4BE824E8"/>
    <w:rsid w:val="4BEB189F"/>
    <w:rsid w:val="4BF278C2"/>
    <w:rsid w:val="4BF40EB4"/>
    <w:rsid w:val="4BF4363A"/>
    <w:rsid w:val="4BF86C43"/>
    <w:rsid w:val="4BFA150E"/>
    <w:rsid w:val="4BFF55E1"/>
    <w:rsid w:val="4BFF79B1"/>
    <w:rsid w:val="4C0010D8"/>
    <w:rsid w:val="4C014189"/>
    <w:rsid w:val="4C036D38"/>
    <w:rsid w:val="4C037402"/>
    <w:rsid w:val="4C076AE6"/>
    <w:rsid w:val="4C081AB2"/>
    <w:rsid w:val="4C0B44E0"/>
    <w:rsid w:val="4C0C6B0A"/>
    <w:rsid w:val="4C0D5D4C"/>
    <w:rsid w:val="4C0E7988"/>
    <w:rsid w:val="4C143394"/>
    <w:rsid w:val="4C147BF1"/>
    <w:rsid w:val="4C170EED"/>
    <w:rsid w:val="4C1958A9"/>
    <w:rsid w:val="4C1A40B9"/>
    <w:rsid w:val="4C202DEF"/>
    <w:rsid w:val="4C221F4B"/>
    <w:rsid w:val="4C237A7B"/>
    <w:rsid w:val="4C266C93"/>
    <w:rsid w:val="4C2C01B2"/>
    <w:rsid w:val="4C2C0B00"/>
    <w:rsid w:val="4C2D30E6"/>
    <w:rsid w:val="4C2E607F"/>
    <w:rsid w:val="4C2F4672"/>
    <w:rsid w:val="4C35480F"/>
    <w:rsid w:val="4C39419E"/>
    <w:rsid w:val="4C3954D3"/>
    <w:rsid w:val="4C3B0E74"/>
    <w:rsid w:val="4C3E33B3"/>
    <w:rsid w:val="4C3F3B18"/>
    <w:rsid w:val="4C404189"/>
    <w:rsid w:val="4C4219F3"/>
    <w:rsid w:val="4C421FC4"/>
    <w:rsid w:val="4C4528E4"/>
    <w:rsid w:val="4C463941"/>
    <w:rsid w:val="4C481290"/>
    <w:rsid w:val="4C4C5224"/>
    <w:rsid w:val="4C4D290C"/>
    <w:rsid w:val="4C524BAD"/>
    <w:rsid w:val="4C531124"/>
    <w:rsid w:val="4C570A09"/>
    <w:rsid w:val="4C582CC4"/>
    <w:rsid w:val="4C5D11DF"/>
    <w:rsid w:val="4C5D3CD0"/>
    <w:rsid w:val="4C5F6317"/>
    <w:rsid w:val="4C611F89"/>
    <w:rsid w:val="4C6360CA"/>
    <w:rsid w:val="4C66253A"/>
    <w:rsid w:val="4C664832"/>
    <w:rsid w:val="4C676FDE"/>
    <w:rsid w:val="4C6977BD"/>
    <w:rsid w:val="4C6B022F"/>
    <w:rsid w:val="4C6C29B4"/>
    <w:rsid w:val="4C6C3B84"/>
    <w:rsid w:val="4C6F3738"/>
    <w:rsid w:val="4C710630"/>
    <w:rsid w:val="4C714C8A"/>
    <w:rsid w:val="4C724F03"/>
    <w:rsid w:val="4C733C3C"/>
    <w:rsid w:val="4C735DF9"/>
    <w:rsid w:val="4C7402D7"/>
    <w:rsid w:val="4C7405D2"/>
    <w:rsid w:val="4C74776E"/>
    <w:rsid w:val="4C782BB8"/>
    <w:rsid w:val="4C8063C3"/>
    <w:rsid w:val="4C8568EA"/>
    <w:rsid w:val="4C871F22"/>
    <w:rsid w:val="4C8F41E7"/>
    <w:rsid w:val="4C9019B3"/>
    <w:rsid w:val="4C936E06"/>
    <w:rsid w:val="4C941C2F"/>
    <w:rsid w:val="4C96638C"/>
    <w:rsid w:val="4C972C2F"/>
    <w:rsid w:val="4CA019C4"/>
    <w:rsid w:val="4CA2144F"/>
    <w:rsid w:val="4CA23159"/>
    <w:rsid w:val="4CA67733"/>
    <w:rsid w:val="4CA924BE"/>
    <w:rsid w:val="4CAF6D47"/>
    <w:rsid w:val="4CB0183E"/>
    <w:rsid w:val="4CB15170"/>
    <w:rsid w:val="4CB1761D"/>
    <w:rsid w:val="4CB349C1"/>
    <w:rsid w:val="4CB42DC9"/>
    <w:rsid w:val="4CB663B7"/>
    <w:rsid w:val="4CB66B41"/>
    <w:rsid w:val="4CB873DE"/>
    <w:rsid w:val="4CBA175F"/>
    <w:rsid w:val="4CC02C73"/>
    <w:rsid w:val="4CCC5FE2"/>
    <w:rsid w:val="4CCE63E3"/>
    <w:rsid w:val="4CCF17A4"/>
    <w:rsid w:val="4CD13DFC"/>
    <w:rsid w:val="4CD51986"/>
    <w:rsid w:val="4CD5495D"/>
    <w:rsid w:val="4CD77387"/>
    <w:rsid w:val="4CE4477B"/>
    <w:rsid w:val="4CE8728E"/>
    <w:rsid w:val="4CEA419F"/>
    <w:rsid w:val="4CEC2637"/>
    <w:rsid w:val="4CF75450"/>
    <w:rsid w:val="4CF82CB6"/>
    <w:rsid w:val="4CF974E3"/>
    <w:rsid w:val="4CFC7A70"/>
    <w:rsid w:val="4CFD1341"/>
    <w:rsid w:val="4D0016A8"/>
    <w:rsid w:val="4D017678"/>
    <w:rsid w:val="4D054982"/>
    <w:rsid w:val="4D09166D"/>
    <w:rsid w:val="4D094EC3"/>
    <w:rsid w:val="4D0A659E"/>
    <w:rsid w:val="4D0B5655"/>
    <w:rsid w:val="4D11653F"/>
    <w:rsid w:val="4D120564"/>
    <w:rsid w:val="4D1366B6"/>
    <w:rsid w:val="4D146D40"/>
    <w:rsid w:val="4D157FF2"/>
    <w:rsid w:val="4D173C10"/>
    <w:rsid w:val="4D173F83"/>
    <w:rsid w:val="4D186EB4"/>
    <w:rsid w:val="4D1F045E"/>
    <w:rsid w:val="4D253374"/>
    <w:rsid w:val="4D27760E"/>
    <w:rsid w:val="4D2924F9"/>
    <w:rsid w:val="4D2B174E"/>
    <w:rsid w:val="4D2B1855"/>
    <w:rsid w:val="4D2C0BB1"/>
    <w:rsid w:val="4D2E0486"/>
    <w:rsid w:val="4D3470C4"/>
    <w:rsid w:val="4D357A66"/>
    <w:rsid w:val="4D392EFB"/>
    <w:rsid w:val="4D3C6B12"/>
    <w:rsid w:val="4D3D2DBF"/>
    <w:rsid w:val="4D3D31A9"/>
    <w:rsid w:val="4D440086"/>
    <w:rsid w:val="4D472D81"/>
    <w:rsid w:val="4D482CD5"/>
    <w:rsid w:val="4D4A2FE1"/>
    <w:rsid w:val="4D4C3002"/>
    <w:rsid w:val="4D4E6248"/>
    <w:rsid w:val="4D5004F7"/>
    <w:rsid w:val="4D593C5C"/>
    <w:rsid w:val="4D5977D5"/>
    <w:rsid w:val="4D5C3245"/>
    <w:rsid w:val="4D5E5BA0"/>
    <w:rsid w:val="4D5F08EB"/>
    <w:rsid w:val="4D6214DE"/>
    <w:rsid w:val="4D622928"/>
    <w:rsid w:val="4D672E59"/>
    <w:rsid w:val="4D6B199C"/>
    <w:rsid w:val="4D6B7C94"/>
    <w:rsid w:val="4D6E4064"/>
    <w:rsid w:val="4D6F72EE"/>
    <w:rsid w:val="4D712C6F"/>
    <w:rsid w:val="4D735EAE"/>
    <w:rsid w:val="4D785901"/>
    <w:rsid w:val="4D7F021E"/>
    <w:rsid w:val="4D7F6F33"/>
    <w:rsid w:val="4D8A0602"/>
    <w:rsid w:val="4D986ADE"/>
    <w:rsid w:val="4D994499"/>
    <w:rsid w:val="4D9A03EF"/>
    <w:rsid w:val="4D9B511A"/>
    <w:rsid w:val="4D9C18F0"/>
    <w:rsid w:val="4DA20112"/>
    <w:rsid w:val="4DA45E74"/>
    <w:rsid w:val="4DAA0D9C"/>
    <w:rsid w:val="4DAA1FD9"/>
    <w:rsid w:val="4DAD796A"/>
    <w:rsid w:val="4DB06A81"/>
    <w:rsid w:val="4DB22E54"/>
    <w:rsid w:val="4DB6714F"/>
    <w:rsid w:val="4DB74C42"/>
    <w:rsid w:val="4DBA3B73"/>
    <w:rsid w:val="4DBB3009"/>
    <w:rsid w:val="4DBD1678"/>
    <w:rsid w:val="4DBD1FA6"/>
    <w:rsid w:val="4DBF0877"/>
    <w:rsid w:val="4DC341C8"/>
    <w:rsid w:val="4DC60146"/>
    <w:rsid w:val="4DD06E7B"/>
    <w:rsid w:val="4DDA23BB"/>
    <w:rsid w:val="4DDB498B"/>
    <w:rsid w:val="4DE30288"/>
    <w:rsid w:val="4DEA7C77"/>
    <w:rsid w:val="4DEC06FB"/>
    <w:rsid w:val="4DED2B8E"/>
    <w:rsid w:val="4DEE27E5"/>
    <w:rsid w:val="4DEF60C0"/>
    <w:rsid w:val="4DEF6A3E"/>
    <w:rsid w:val="4DF0445B"/>
    <w:rsid w:val="4DF6002A"/>
    <w:rsid w:val="4DF72F6D"/>
    <w:rsid w:val="4DF80A94"/>
    <w:rsid w:val="4DFA2E19"/>
    <w:rsid w:val="4DFE59DE"/>
    <w:rsid w:val="4DFF5EAC"/>
    <w:rsid w:val="4E0001C6"/>
    <w:rsid w:val="4E0276EC"/>
    <w:rsid w:val="4E03133B"/>
    <w:rsid w:val="4E032808"/>
    <w:rsid w:val="4E066353"/>
    <w:rsid w:val="4E084664"/>
    <w:rsid w:val="4E0B4C6B"/>
    <w:rsid w:val="4E0D2791"/>
    <w:rsid w:val="4E0E370C"/>
    <w:rsid w:val="4E10402F"/>
    <w:rsid w:val="4E1138C6"/>
    <w:rsid w:val="4E1B5427"/>
    <w:rsid w:val="4E1C3F6C"/>
    <w:rsid w:val="4E1C56CE"/>
    <w:rsid w:val="4E200716"/>
    <w:rsid w:val="4E207DF0"/>
    <w:rsid w:val="4E237E0B"/>
    <w:rsid w:val="4E27317A"/>
    <w:rsid w:val="4E2748B0"/>
    <w:rsid w:val="4E290D76"/>
    <w:rsid w:val="4E2A6CBB"/>
    <w:rsid w:val="4E2B2A10"/>
    <w:rsid w:val="4E305547"/>
    <w:rsid w:val="4E3417AB"/>
    <w:rsid w:val="4E3B7584"/>
    <w:rsid w:val="4E3C4E24"/>
    <w:rsid w:val="4E3D2604"/>
    <w:rsid w:val="4E3E1DC3"/>
    <w:rsid w:val="4E3F54F5"/>
    <w:rsid w:val="4E3F57D7"/>
    <w:rsid w:val="4E41068C"/>
    <w:rsid w:val="4E416B0C"/>
    <w:rsid w:val="4E426636"/>
    <w:rsid w:val="4E43523E"/>
    <w:rsid w:val="4E443804"/>
    <w:rsid w:val="4E4B04A1"/>
    <w:rsid w:val="4E4C52C5"/>
    <w:rsid w:val="4E4D125B"/>
    <w:rsid w:val="4E4E2B94"/>
    <w:rsid w:val="4E4F2487"/>
    <w:rsid w:val="4E513A1F"/>
    <w:rsid w:val="4E564138"/>
    <w:rsid w:val="4E584A84"/>
    <w:rsid w:val="4E5B340B"/>
    <w:rsid w:val="4E5D2171"/>
    <w:rsid w:val="4E60251A"/>
    <w:rsid w:val="4E633605"/>
    <w:rsid w:val="4E6550EF"/>
    <w:rsid w:val="4E687CD8"/>
    <w:rsid w:val="4E6B2467"/>
    <w:rsid w:val="4E6B349A"/>
    <w:rsid w:val="4E6C137C"/>
    <w:rsid w:val="4E6D1482"/>
    <w:rsid w:val="4E7318E0"/>
    <w:rsid w:val="4E740565"/>
    <w:rsid w:val="4E762BF8"/>
    <w:rsid w:val="4E787CA6"/>
    <w:rsid w:val="4E7A5BF2"/>
    <w:rsid w:val="4E7B594C"/>
    <w:rsid w:val="4E7F18BF"/>
    <w:rsid w:val="4E80470A"/>
    <w:rsid w:val="4E867CD9"/>
    <w:rsid w:val="4E87550F"/>
    <w:rsid w:val="4E880069"/>
    <w:rsid w:val="4E8A6744"/>
    <w:rsid w:val="4E8B4BE8"/>
    <w:rsid w:val="4E8B7801"/>
    <w:rsid w:val="4E8E639B"/>
    <w:rsid w:val="4E9737E6"/>
    <w:rsid w:val="4E977B08"/>
    <w:rsid w:val="4E984750"/>
    <w:rsid w:val="4E9D5BA7"/>
    <w:rsid w:val="4EA03605"/>
    <w:rsid w:val="4EA03F36"/>
    <w:rsid w:val="4EA2112B"/>
    <w:rsid w:val="4EA3257D"/>
    <w:rsid w:val="4EAF5E3C"/>
    <w:rsid w:val="4EB06882"/>
    <w:rsid w:val="4EB07C8E"/>
    <w:rsid w:val="4EB266A3"/>
    <w:rsid w:val="4EB45C98"/>
    <w:rsid w:val="4EBB2B81"/>
    <w:rsid w:val="4EBC1F61"/>
    <w:rsid w:val="4EBC4AE6"/>
    <w:rsid w:val="4EBD48ED"/>
    <w:rsid w:val="4EBD5F65"/>
    <w:rsid w:val="4EBE04A4"/>
    <w:rsid w:val="4EC37C17"/>
    <w:rsid w:val="4EC56BC8"/>
    <w:rsid w:val="4ECA0A06"/>
    <w:rsid w:val="4ECB1743"/>
    <w:rsid w:val="4ED11D83"/>
    <w:rsid w:val="4ED9147C"/>
    <w:rsid w:val="4EDB60C9"/>
    <w:rsid w:val="4EDC62C1"/>
    <w:rsid w:val="4EDC79F4"/>
    <w:rsid w:val="4EDF2675"/>
    <w:rsid w:val="4EE01555"/>
    <w:rsid w:val="4EE01C53"/>
    <w:rsid w:val="4EE03A01"/>
    <w:rsid w:val="4EE43C2D"/>
    <w:rsid w:val="4EE60EE4"/>
    <w:rsid w:val="4EE6614E"/>
    <w:rsid w:val="4EE71234"/>
    <w:rsid w:val="4EED2F73"/>
    <w:rsid w:val="4EEE10D2"/>
    <w:rsid w:val="4EEE2BE1"/>
    <w:rsid w:val="4EEF1E97"/>
    <w:rsid w:val="4EEF633A"/>
    <w:rsid w:val="4EF043E8"/>
    <w:rsid w:val="4EF10FAB"/>
    <w:rsid w:val="4EF61BFC"/>
    <w:rsid w:val="4EFC0D21"/>
    <w:rsid w:val="4EFE080D"/>
    <w:rsid w:val="4EFE60A8"/>
    <w:rsid w:val="4F005205"/>
    <w:rsid w:val="4F021607"/>
    <w:rsid w:val="4F035942"/>
    <w:rsid w:val="4F0A0FEA"/>
    <w:rsid w:val="4F0A66CF"/>
    <w:rsid w:val="4F0D537E"/>
    <w:rsid w:val="4F0E4A13"/>
    <w:rsid w:val="4F0F42E7"/>
    <w:rsid w:val="4F0F4721"/>
    <w:rsid w:val="4F1031B7"/>
    <w:rsid w:val="4F165675"/>
    <w:rsid w:val="4F17073D"/>
    <w:rsid w:val="4F1B4F1C"/>
    <w:rsid w:val="4F1B7D36"/>
    <w:rsid w:val="4F1C5A14"/>
    <w:rsid w:val="4F1D03F7"/>
    <w:rsid w:val="4F1E08DD"/>
    <w:rsid w:val="4F1E452A"/>
    <w:rsid w:val="4F220DED"/>
    <w:rsid w:val="4F293423"/>
    <w:rsid w:val="4F2A38E0"/>
    <w:rsid w:val="4F2A48EC"/>
    <w:rsid w:val="4F327034"/>
    <w:rsid w:val="4F327058"/>
    <w:rsid w:val="4F335141"/>
    <w:rsid w:val="4F351A8F"/>
    <w:rsid w:val="4F38383D"/>
    <w:rsid w:val="4F391432"/>
    <w:rsid w:val="4F400944"/>
    <w:rsid w:val="4F422756"/>
    <w:rsid w:val="4F4448F6"/>
    <w:rsid w:val="4F454AA5"/>
    <w:rsid w:val="4F493F3A"/>
    <w:rsid w:val="4F4D16AF"/>
    <w:rsid w:val="4F4D41F3"/>
    <w:rsid w:val="4F5C1FE5"/>
    <w:rsid w:val="4F5D2987"/>
    <w:rsid w:val="4F602933"/>
    <w:rsid w:val="4F60459C"/>
    <w:rsid w:val="4F610FE6"/>
    <w:rsid w:val="4F6463E1"/>
    <w:rsid w:val="4F68340D"/>
    <w:rsid w:val="4F68681B"/>
    <w:rsid w:val="4F697E9B"/>
    <w:rsid w:val="4F6C134B"/>
    <w:rsid w:val="4F6D0488"/>
    <w:rsid w:val="4F71262C"/>
    <w:rsid w:val="4F730D1A"/>
    <w:rsid w:val="4F777ED0"/>
    <w:rsid w:val="4F7A4C69"/>
    <w:rsid w:val="4F7D3308"/>
    <w:rsid w:val="4F7F1DFA"/>
    <w:rsid w:val="4F7F2F62"/>
    <w:rsid w:val="4F860A4D"/>
    <w:rsid w:val="4F863BEA"/>
    <w:rsid w:val="4F897F8C"/>
    <w:rsid w:val="4F8B166F"/>
    <w:rsid w:val="4F8D5B11"/>
    <w:rsid w:val="4F951F14"/>
    <w:rsid w:val="4F973880"/>
    <w:rsid w:val="4F98252E"/>
    <w:rsid w:val="4F9A7129"/>
    <w:rsid w:val="4F9A71DF"/>
    <w:rsid w:val="4F9A7D91"/>
    <w:rsid w:val="4F9C1B82"/>
    <w:rsid w:val="4FA05A79"/>
    <w:rsid w:val="4FA07170"/>
    <w:rsid w:val="4FA658B6"/>
    <w:rsid w:val="4FA65C1B"/>
    <w:rsid w:val="4FAB04B3"/>
    <w:rsid w:val="4FAB2261"/>
    <w:rsid w:val="4FAC2F6A"/>
    <w:rsid w:val="4FAF68A1"/>
    <w:rsid w:val="4FB00931"/>
    <w:rsid w:val="4FB321D0"/>
    <w:rsid w:val="4FB43FC8"/>
    <w:rsid w:val="4FB6673E"/>
    <w:rsid w:val="4FBB4C13"/>
    <w:rsid w:val="4FC23576"/>
    <w:rsid w:val="4FC45EF7"/>
    <w:rsid w:val="4FC74CC6"/>
    <w:rsid w:val="4FC90EA7"/>
    <w:rsid w:val="4FCD2B41"/>
    <w:rsid w:val="4FD32DFF"/>
    <w:rsid w:val="4FD43D0A"/>
    <w:rsid w:val="4FD55530"/>
    <w:rsid w:val="4FD55F38"/>
    <w:rsid w:val="4FDB177A"/>
    <w:rsid w:val="4FE2705C"/>
    <w:rsid w:val="4FE34642"/>
    <w:rsid w:val="4FE80AB7"/>
    <w:rsid w:val="4FEA247E"/>
    <w:rsid w:val="4FEA58E6"/>
    <w:rsid w:val="4FEB00E0"/>
    <w:rsid w:val="4FEF717E"/>
    <w:rsid w:val="4FF07E7D"/>
    <w:rsid w:val="4FF433E3"/>
    <w:rsid w:val="4FF4777E"/>
    <w:rsid w:val="4FF950E7"/>
    <w:rsid w:val="4FFB09DB"/>
    <w:rsid w:val="4FFE7D3C"/>
    <w:rsid w:val="4FFF4399"/>
    <w:rsid w:val="4FFF5391"/>
    <w:rsid w:val="50022B0C"/>
    <w:rsid w:val="50023B72"/>
    <w:rsid w:val="50025BF9"/>
    <w:rsid w:val="50065E00"/>
    <w:rsid w:val="50071A77"/>
    <w:rsid w:val="5008573E"/>
    <w:rsid w:val="50100F8F"/>
    <w:rsid w:val="50113A15"/>
    <w:rsid w:val="50127BFB"/>
    <w:rsid w:val="501330F0"/>
    <w:rsid w:val="50140E42"/>
    <w:rsid w:val="50143002"/>
    <w:rsid w:val="50153B7F"/>
    <w:rsid w:val="5015592D"/>
    <w:rsid w:val="50156EB0"/>
    <w:rsid w:val="501B6C3E"/>
    <w:rsid w:val="501C7827"/>
    <w:rsid w:val="501F2931"/>
    <w:rsid w:val="5020367C"/>
    <w:rsid w:val="50240D91"/>
    <w:rsid w:val="502517E9"/>
    <w:rsid w:val="50281617"/>
    <w:rsid w:val="502A762A"/>
    <w:rsid w:val="502D711A"/>
    <w:rsid w:val="502E5586"/>
    <w:rsid w:val="5031780A"/>
    <w:rsid w:val="50326908"/>
    <w:rsid w:val="503415A0"/>
    <w:rsid w:val="50421FC4"/>
    <w:rsid w:val="50425030"/>
    <w:rsid w:val="50481474"/>
    <w:rsid w:val="50483C35"/>
    <w:rsid w:val="504D5BBD"/>
    <w:rsid w:val="504D78AD"/>
    <w:rsid w:val="504F7091"/>
    <w:rsid w:val="5053532B"/>
    <w:rsid w:val="50590315"/>
    <w:rsid w:val="505A3CC3"/>
    <w:rsid w:val="505F3916"/>
    <w:rsid w:val="50650662"/>
    <w:rsid w:val="506568B4"/>
    <w:rsid w:val="50665379"/>
    <w:rsid w:val="50681737"/>
    <w:rsid w:val="50681F00"/>
    <w:rsid w:val="50696257"/>
    <w:rsid w:val="50720FD1"/>
    <w:rsid w:val="50732DC5"/>
    <w:rsid w:val="5079410E"/>
    <w:rsid w:val="50797AA4"/>
    <w:rsid w:val="507A204E"/>
    <w:rsid w:val="507C5D1D"/>
    <w:rsid w:val="508252AF"/>
    <w:rsid w:val="5085693B"/>
    <w:rsid w:val="508A0FAE"/>
    <w:rsid w:val="508C2093"/>
    <w:rsid w:val="508C507D"/>
    <w:rsid w:val="508C5E18"/>
    <w:rsid w:val="50993AFB"/>
    <w:rsid w:val="509B1DE3"/>
    <w:rsid w:val="509B3227"/>
    <w:rsid w:val="50A63EAE"/>
    <w:rsid w:val="50A75B54"/>
    <w:rsid w:val="50A96B6A"/>
    <w:rsid w:val="50AB4550"/>
    <w:rsid w:val="50AC32F0"/>
    <w:rsid w:val="50AE153F"/>
    <w:rsid w:val="50B12E48"/>
    <w:rsid w:val="50B1455F"/>
    <w:rsid w:val="50B201DE"/>
    <w:rsid w:val="50B84DC9"/>
    <w:rsid w:val="50BC60A5"/>
    <w:rsid w:val="50BD557F"/>
    <w:rsid w:val="50C07F8E"/>
    <w:rsid w:val="50C41DEC"/>
    <w:rsid w:val="50C52BCF"/>
    <w:rsid w:val="50C53473"/>
    <w:rsid w:val="50C57353"/>
    <w:rsid w:val="50C63C35"/>
    <w:rsid w:val="50C8299F"/>
    <w:rsid w:val="50CA2BBB"/>
    <w:rsid w:val="50CC0337"/>
    <w:rsid w:val="50CF5C27"/>
    <w:rsid w:val="50CF6BE6"/>
    <w:rsid w:val="50D120C6"/>
    <w:rsid w:val="50D47EDD"/>
    <w:rsid w:val="50D51429"/>
    <w:rsid w:val="50D70E34"/>
    <w:rsid w:val="50D84481"/>
    <w:rsid w:val="50DE5D15"/>
    <w:rsid w:val="50E3143B"/>
    <w:rsid w:val="50E97EC8"/>
    <w:rsid w:val="50F278FC"/>
    <w:rsid w:val="50F33079"/>
    <w:rsid w:val="50F43794"/>
    <w:rsid w:val="50F9334E"/>
    <w:rsid w:val="50FB69E8"/>
    <w:rsid w:val="50FD1B3E"/>
    <w:rsid w:val="50FD6E65"/>
    <w:rsid w:val="51005CC7"/>
    <w:rsid w:val="51007660"/>
    <w:rsid w:val="51044ACA"/>
    <w:rsid w:val="510570D2"/>
    <w:rsid w:val="510B127A"/>
    <w:rsid w:val="510B19BB"/>
    <w:rsid w:val="51105435"/>
    <w:rsid w:val="51112598"/>
    <w:rsid w:val="51176380"/>
    <w:rsid w:val="511869D0"/>
    <w:rsid w:val="511A3B85"/>
    <w:rsid w:val="51215D7E"/>
    <w:rsid w:val="51234079"/>
    <w:rsid w:val="51236890"/>
    <w:rsid w:val="512E5286"/>
    <w:rsid w:val="51310629"/>
    <w:rsid w:val="51343A74"/>
    <w:rsid w:val="51345C3B"/>
    <w:rsid w:val="51346287"/>
    <w:rsid w:val="513601FE"/>
    <w:rsid w:val="513D46CF"/>
    <w:rsid w:val="513E7C8E"/>
    <w:rsid w:val="5146087C"/>
    <w:rsid w:val="51470EBF"/>
    <w:rsid w:val="514947FB"/>
    <w:rsid w:val="514A5FF8"/>
    <w:rsid w:val="514F796B"/>
    <w:rsid w:val="51534A93"/>
    <w:rsid w:val="51551B70"/>
    <w:rsid w:val="515B31FA"/>
    <w:rsid w:val="515D3301"/>
    <w:rsid w:val="515F741B"/>
    <w:rsid w:val="51643F22"/>
    <w:rsid w:val="51671F50"/>
    <w:rsid w:val="516D126B"/>
    <w:rsid w:val="516F72BF"/>
    <w:rsid w:val="51700316"/>
    <w:rsid w:val="51707213"/>
    <w:rsid w:val="51724EE2"/>
    <w:rsid w:val="517A013D"/>
    <w:rsid w:val="517A4C05"/>
    <w:rsid w:val="517B3EB5"/>
    <w:rsid w:val="5181771E"/>
    <w:rsid w:val="51863E0B"/>
    <w:rsid w:val="5187284E"/>
    <w:rsid w:val="5187674C"/>
    <w:rsid w:val="5188328D"/>
    <w:rsid w:val="5189682B"/>
    <w:rsid w:val="518A7ADB"/>
    <w:rsid w:val="518C66BB"/>
    <w:rsid w:val="51905022"/>
    <w:rsid w:val="51907961"/>
    <w:rsid w:val="519136D9"/>
    <w:rsid w:val="51927520"/>
    <w:rsid w:val="51954F77"/>
    <w:rsid w:val="519B2A8F"/>
    <w:rsid w:val="519B3115"/>
    <w:rsid w:val="519E7BEA"/>
    <w:rsid w:val="51A21442"/>
    <w:rsid w:val="51A52CE0"/>
    <w:rsid w:val="51A54A3F"/>
    <w:rsid w:val="51A64964"/>
    <w:rsid w:val="51A65DCD"/>
    <w:rsid w:val="51A90A23"/>
    <w:rsid w:val="51AA2E25"/>
    <w:rsid w:val="51AA7FA0"/>
    <w:rsid w:val="51AC6EC7"/>
    <w:rsid w:val="51AE6039"/>
    <w:rsid w:val="51B27E23"/>
    <w:rsid w:val="51B66753"/>
    <w:rsid w:val="51B85611"/>
    <w:rsid w:val="51BE64B8"/>
    <w:rsid w:val="51BF544E"/>
    <w:rsid w:val="51C11301"/>
    <w:rsid w:val="51C4120D"/>
    <w:rsid w:val="51CB5D3A"/>
    <w:rsid w:val="51CC2ED5"/>
    <w:rsid w:val="51D0383D"/>
    <w:rsid w:val="51D135EC"/>
    <w:rsid w:val="51D36E33"/>
    <w:rsid w:val="51D41A20"/>
    <w:rsid w:val="51D61A24"/>
    <w:rsid w:val="51D76861"/>
    <w:rsid w:val="51D95677"/>
    <w:rsid w:val="51DA3F18"/>
    <w:rsid w:val="51DE129F"/>
    <w:rsid w:val="51E00E81"/>
    <w:rsid w:val="51E5535B"/>
    <w:rsid w:val="51E71C14"/>
    <w:rsid w:val="51E722D2"/>
    <w:rsid w:val="51E73824"/>
    <w:rsid w:val="51E91DFE"/>
    <w:rsid w:val="51EC323D"/>
    <w:rsid w:val="51ED6211"/>
    <w:rsid w:val="51F145C6"/>
    <w:rsid w:val="51F95D43"/>
    <w:rsid w:val="51FD2A08"/>
    <w:rsid w:val="51FF7CE0"/>
    <w:rsid w:val="520054DC"/>
    <w:rsid w:val="52061E53"/>
    <w:rsid w:val="5208475E"/>
    <w:rsid w:val="520C57D1"/>
    <w:rsid w:val="520E541F"/>
    <w:rsid w:val="521035AC"/>
    <w:rsid w:val="52115FF8"/>
    <w:rsid w:val="5217644D"/>
    <w:rsid w:val="521A4C90"/>
    <w:rsid w:val="521A722A"/>
    <w:rsid w:val="521B587B"/>
    <w:rsid w:val="52216FE0"/>
    <w:rsid w:val="52224B51"/>
    <w:rsid w:val="52232583"/>
    <w:rsid w:val="52280876"/>
    <w:rsid w:val="52285DEB"/>
    <w:rsid w:val="522957A6"/>
    <w:rsid w:val="522A34C6"/>
    <w:rsid w:val="523515F4"/>
    <w:rsid w:val="52363E96"/>
    <w:rsid w:val="5238473E"/>
    <w:rsid w:val="523C3645"/>
    <w:rsid w:val="523D406C"/>
    <w:rsid w:val="523E73BD"/>
    <w:rsid w:val="523F533D"/>
    <w:rsid w:val="52413063"/>
    <w:rsid w:val="52414CF0"/>
    <w:rsid w:val="52466E4A"/>
    <w:rsid w:val="52481FEA"/>
    <w:rsid w:val="52486498"/>
    <w:rsid w:val="524A0FF1"/>
    <w:rsid w:val="524F0FCF"/>
    <w:rsid w:val="524F4A96"/>
    <w:rsid w:val="52527AE3"/>
    <w:rsid w:val="525C55F3"/>
    <w:rsid w:val="525D29DB"/>
    <w:rsid w:val="525D3943"/>
    <w:rsid w:val="525F10E1"/>
    <w:rsid w:val="525F1F30"/>
    <w:rsid w:val="525F3E91"/>
    <w:rsid w:val="525F7333"/>
    <w:rsid w:val="52614623"/>
    <w:rsid w:val="5261493B"/>
    <w:rsid w:val="526F3A74"/>
    <w:rsid w:val="52787A92"/>
    <w:rsid w:val="52796647"/>
    <w:rsid w:val="52796C2D"/>
    <w:rsid w:val="527A5F1B"/>
    <w:rsid w:val="527D39C6"/>
    <w:rsid w:val="527E193B"/>
    <w:rsid w:val="527E6720"/>
    <w:rsid w:val="52802512"/>
    <w:rsid w:val="528039F8"/>
    <w:rsid w:val="528136CF"/>
    <w:rsid w:val="52816AD8"/>
    <w:rsid w:val="52854FEC"/>
    <w:rsid w:val="52866EDA"/>
    <w:rsid w:val="52880436"/>
    <w:rsid w:val="528807A0"/>
    <w:rsid w:val="528B0128"/>
    <w:rsid w:val="52943481"/>
    <w:rsid w:val="52952A39"/>
    <w:rsid w:val="529A2158"/>
    <w:rsid w:val="529A695B"/>
    <w:rsid w:val="529D3426"/>
    <w:rsid w:val="52A14229"/>
    <w:rsid w:val="52A15B9E"/>
    <w:rsid w:val="52A36FC6"/>
    <w:rsid w:val="52AA3CE7"/>
    <w:rsid w:val="52AC2558"/>
    <w:rsid w:val="52AD4542"/>
    <w:rsid w:val="52AF356D"/>
    <w:rsid w:val="52BC3AA6"/>
    <w:rsid w:val="52BD13AF"/>
    <w:rsid w:val="52BD58B1"/>
    <w:rsid w:val="52C47490"/>
    <w:rsid w:val="52C510FE"/>
    <w:rsid w:val="52C600E2"/>
    <w:rsid w:val="52C84ED8"/>
    <w:rsid w:val="52CD3037"/>
    <w:rsid w:val="52CF7F1B"/>
    <w:rsid w:val="52D057F0"/>
    <w:rsid w:val="52D75C39"/>
    <w:rsid w:val="52D92657"/>
    <w:rsid w:val="52DE294E"/>
    <w:rsid w:val="52DE56DB"/>
    <w:rsid w:val="52E14A8B"/>
    <w:rsid w:val="52E21243"/>
    <w:rsid w:val="52E330D3"/>
    <w:rsid w:val="52E34BD9"/>
    <w:rsid w:val="52E57F5F"/>
    <w:rsid w:val="52E723A3"/>
    <w:rsid w:val="52EE2F3A"/>
    <w:rsid w:val="52EF2D66"/>
    <w:rsid w:val="52F41CBD"/>
    <w:rsid w:val="52F746ED"/>
    <w:rsid w:val="52FA24C6"/>
    <w:rsid w:val="52FB6835"/>
    <w:rsid w:val="52FC283F"/>
    <w:rsid w:val="52FD5102"/>
    <w:rsid w:val="53051E1C"/>
    <w:rsid w:val="53067D3F"/>
    <w:rsid w:val="530A3743"/>
    <w:rsid w:val="5311687F"/>
    <w:rsid w:val="53117BCB"/>
    <w:rsid w:val="53125585"/>
    <w:rsid w:val="531262E7"/>
    <w:rsid w:val="531353D0"/>
    <w:rsid w:val="5314011E"/>
    <w:rsid w:val="53171A5C"/>
    <w:rsid w:val="53195734"/>
    <w:rsid w:val="531B6267"/>
    <w:rsid w:val="531C726E"/>
    <w:rsid w:val="531D320B"/>
    <w:rsid w:val="53225CCD"/>
    <w:rsid w:val="532422FD"/>
    <w:rsid w:val="53255109"/>
    <w:rsid w:val="53274430"/>
    <w:rsid w:val="5327667B"/>
    <w:rsid w:val="532A16EF"/>
    <w:rsid w:val="532E3283"/>
    <w:rsid w:val="53310CD0"/>
    <w:rsid w:val="5338462F"/>
    <w:rsid w:val="53384BCA"/>
    <w:rsid w:val="533B476D"/>
    <w:rsid w:val="533B56AA"/>
    <w:rsid w:val="533D4CD3"/>
    <w:rsid w:val="533F32B8"/>
    <w:rsid w:val="534135B1"/>
    <w:rsid w:val="53414148"/>
    <w:rsid w:val="534303E4"/>
    <w:rsid w:val="534319C8"/>
    <w:rsid w:val="534426BF"/>
    <w:rsid w:val="534622B4"/>
    <w:rsid w:val="53475101"/>
    <w:rsid w:val="53493E22"/>
    <w:rsid w:val="534C7009"/>
    <w:rsid w:val="534E2F06"/>
    <w:rsid w:val="534F1753"/>
    <w:rsid w:val="534F46D3"/>
    <w:rsid w:val="535008A8"/>
    <w:rsid w:val="53525AEC"/>
    <w:rsid w:val="535E5D9E"/>
    <w:rsid w:val="536015B5"/>
    <w:rsid w:val="53623985"/>
    <w:rsid w:val="53626D8A"/>
    <w:rsid w:val="536A0A3A"/>
    <w:rsid w:val="536C0C70"/>
    <w:rsid w:val="53702688"/>
    <w:rsid w:val="537802FE"/>
    <w:rsid w:val="537961D3"/>
    <w:rsid w:val="537E4681"/>
    <w:rsid w:val="53810A09"/>
    <w:rsid w:val="538A03E0"/>
    <w:rsid w:val="53917695"/>
    <w:rsid w:val="53931E17"/>
    <w:rsid w:val="53937294"/>
    <w:rsid w:val="53971D33"/>
    <w:rsid w:val="53A0456E"/>
    <w:rsid w:val="53A32A52"/>
    <w:rsid w:val="53AE40CE"/>
    <w:rsid w:val="53AE7914"/>
    <w:rsid w:val="53B2226E"/>
    <w:rsid w:val="53B53061"/>
    <w:rsid w:val="53B8751A"/>
    <w:rsid w:val="53B91F19"/>
    <w:rsid w:val="53BA23BF"/>
    <w:rsid w:val="53BA61CE"/>
    <w:rsid w:val="53BC4640"/>
    <w:rsid w:val="53BF771E"/>
    <w:rsid w:val="53C2401E"/>
    <w:rsid w:val="53C365FE"/>
    <w:rsid w:val="53CC1AFA"/>
    <w:rsid w:val="53CE2747"/>
    <w:rsid w:val="53D116E2"/>
    <w:rsid w:val="53D224B3"/>
    <w:rsid w:val="53D5411E"/>
    <w:rsid w:val="53D714E2"/>
    <w:rsid w:val="53D86BA3"/>
    <w:rsid w:val="53DA7400"/>
    <w:rsid w:val="53DB0AFB"/>
    <w:rsid w:val="53DC476F"/>
    <w:rsid w:val="53E02B74"/>
    <w:rsid w:val="53E123CA"/>
    <w:rsid w:val="53E36A0E"/>
    <w:rsid w:val="53E551DE"/>
    <w:rsid w:val="53E717BE"/>
    <w:rsid w:val="53E75832"/>
    <w:rsid w:val="53EB7944"/>
    <w:rsid w:val="53ED4C26"/>
    <w:rsid w:val="53F268B6"/>
    <w:rsid w:val="53F70598"/>
    <w:rsid w:val="53FC076F"/>
    <w:rsid w:val="53FC12DE"/>
    <w:rsid w:val="53FD3CDF"/>
    <w:rsid w:val="540168F4"/>
    <w:rsid w:val="5409145B"/>
    <w:rsid w:val="540A097B"/>
    <w:rsid w:val="540E2DBF"/>
    <w:rsid w:val="541247FE"/>
    <w:rsid w:val="541919D8"/>
    <w:rsid w:val="541B6937"/>
    <w:rsid w:val="541E65DD"/>
    <w:rsid w:val="54204DBC"/>
    <w:rsid w:val="54216663"/>
    <w:rsid w:val="54222E8B"/>
    <w:rsid w:val="542449DB"/>
    <w:rsid w:val="54265363"/>
    <w:rsid w:val="542C427D"/>
    <w:rsid w:val="542C690F"/>
    <w:rsid w:val="542E1302"/>
    <w:rsid w:val="543071D9"/>
    <w:rsid w:val="54330A77"/>
    <w:rsid w:val="54345DCE"/>
    <w:rsid w:val="54352C47"/>
    <w:rsid w:val="54352F25"/>
    <w:rsid w:val="543A4617"/>
    <w:rsid w:val="543C3A4F"/>
    <w:rsid w:val="543E3CA6"/>
    <w:rsid w:val="543F5BCB"/>
    <w:rsid w:val="543F77D9"/>
    <w:rsid w:val="54424315"/>
    <w:rsid w:val="54462559"/>
    <w:rsid w:val="544726DC"/>
    <w:rsid w:val="544733C9"/>
    <w:rsid w:val="54474ECC"/>
    <w:rsid w:val="5447708F"/>
    <w:rsid w:val="54487B13"/>
    <w:rsid w:val="54487F82"/>
    <w:rsid w:val="5449029B"/>
    <w:rsid w:val="544B4013"/>
    <w:rsid w:val="544B52BC"/>
    <w:rsid w:val="544C4106"/>
    <w:rsid w:val="544F2500"/>
    <w:rsid w:val="544F2843"/>
    <w:rsid w:val="54500CF6"/>
    <w:rsid w:val="5455378C"/>
    <w:rsid w:val="54567583"/>
    <w:rsid w:val="54574766"/>
    <w:rsid w:val="5459316D"/>
    <w:rsid w:val="54597E41"/>
    <w:rsid w:val="545C0ED1"/>
    <w:rsid w:val="545D7140"/>
    <w:rsid w:val="54643B41"/>
    <w:rsid w:val="54651772"/>
    <w:rsid w:val="54662315"/>
    <w:rsid w:val="54662771"/>
    <w:rsid w:val="546C3477"/>
    <w:rsid w:val="54703FED"/>
    <w:rsid w:val="54751090"/>
    <w:rsid w:val="54752E3E"/>
    <w:rsid w:val="54812E4D"/>
    <w:rsid w:val="54815BB1"/>
    <w:rsid w:val="548232CF"/>
    <w:rsid w:val="54837C4C"/>
    <w:rsid w:val="54893DDC"/>
    <w:rsid w:val="548A1FD9"/>
    <w:rsid w:val="548D36C6"/>
    <w:rsid w:val="548E66F6"/>
    <w:rsid w:val="548F0546"/>
    <w:rsid w:val="549143A5"/>
    <w:rsid w:val="549275DD"/>
    <w:rsid w:val="54933AA3"/>
    <w:rsid w:val="5498404F"/>
    <w:rsid w:val="549962FF"/>
    <w:rsid w:val="549D2B88"/>
    <w:rsid w:val="54A122C4"/>
    <w:rsid w:val="54A229BB"/>
    <w:rsid w:val="54A35BFD"/>
    <w:rsid w:val="54A46522"/>
    <w:rsid w:val="54A51975"/>
    <w:rsid w:val="54A77368"/>
    <w:rsid w:val="54A86606"/>
    <w:rsid w:val="54AD6A7C"/>
    <w:rsid w:val="54AD7026"/>
    <w:rsid w:val="54B0031A"/>
    <w:rsid w:val="54B0541D"/>
    <w:rsid w:val="54B108E4"/>
    <w:rsid w:val="54B524A0"/>
    <w:rsid w:val="54BB55AA"/>
    <w:rsid w:val="54C14B0C"/>
    <w:rsid w:val="54C30119"/>
    <w:rsid w:val="54C32EAC"/>
    <w:rsid w:val="54C5094C"/>
    <w:rsid w:val="54C65448"/>
    <w:rsid w:val="54C777AC"/>
    <w:rsid w:val="54C811C0"/>
    <w:rsid w:val="54CD5D86"/>
    <w:rsid w:val="54CF331C"/>
    <w:rsid w:val="54D011A7"/>
    <w:rsid w:val="54D04518"/>
    <w:rsid w:val="54D23DEC"/>
    <w:rsid w:val="54D56843"/>
    <w:rsid w:val="54D71F78"/>
    <w:rsid w:val="54DC7D41"/>
    <w:rsid w:val="54DE56A2"/>
    <w:rsid w:val="54E4628F"/>
    <w:rsid w:val="54E57FC4"/>
    <w:rsid w:val="54E87AB4"/>
    <w:rsid w:val="54EA5115"/>
    <w:rsid w:val="54ED1977"/>
    <w:rsid w:val="54EF499E"/>
    <w:rsid w:val="54F050EE"/>
    <w:rsid w:val="54F06E29"/>
    <w:rsid w:val="54F85456"/>
    <w:rsid w:val="54F87881"/>
    <w:rsid w:val="54F947B1"/>
    <w:rsid w:val="550128FD"/>
    <w:rsid w:val="5502380F"/>
    <w:rsid w:val="55042835"/>
    <w:rsid w:val="55050FA8"/>
    <w:rsid w:val="55056480"/>
    <w:rsid w:val="55084467"/>
    <w:rsid w:val="550A1697"/>
    <w:rsid w:val="550B46A7"/>
    <w:rsid w:val="550D556C"/>
    <w:rsid w:val="55125D0F"/>
    <w:rsid w:val="55172630"/>
    <w:rsid w:val="551972D3"/>
    <w:rsid w:val="551B1A04"/>
    <w:rsid w:val="552104B9"/>
    <w:rsid w:val="55256612"/>
    <w:rsid w:val="552E67FE"/>
    <w:rsid w:val="55314FB7"/>
    <w:rsid w:val="553351DB"/>
    <w:rsid w:val="55345A9B"/>
    <w:rsid w:val="55371B1C"/>
    <w:rsid w:val="5538374D"/>
    <w:rsid w:val="553A26A5"/>
    <w:rsid w:val="55441B48"/>
    <w:rsid w:val="55460E4D"/>
    <w:rsid w:val="55465CAC"/>
    <w:rsid w:val="554C5FF4"/>
    <w:rsid w:val="5550304C"/>
    <w:rsid w:val="55527C87"/>
    <w:rsid w:val="55577A23"/>
    <w:rsid w:val="555C2352"/>
    <w:rsid w:val="555F082D"/>
    <w:rsid w:val="555F665A"/>
    <w:rsid w:val="55647071"/>
    <w:rsid w:val="5565671B"/>
    <w:rsid w:val="55663CF9"/>
    <w:rsid w:val="55676C2B"/>
    <w:rsid w:val="556B7341"/>
    <w:rsid w:val="556C02A7"/>
    <w:rsid w:val="556C6C12"/>
    <w:rsid w:val="556E44A6"/>
    <w:rsid w:val="5573140E"/>
    <w:rsid w:val="55741347"/>
    <w:rsid w:val="557A0745"/>
    <w:rsid w:val="557C1FAA"/>
    <w:rsid w:val="5584718E"/>
    <w:rsid w:val="558D1456"/>
    <w:rsid w:val="558D6737"/>
    <w:rsid w:val="558E075F"/>
    <w:rsid w:val="558F7F2F"/>
    <w:rsid w:val="55904A33"/>
    <w:rsid w:val="55915A56"/>
    <w:rsid w:val="55934836"/>
    <w:rsid w:val="559C2CE6"/>
    <w:rsid w:val="559C5115"/>
    <w:rsid w:val="55A07402"/>
    <w:rsid w:val="55A348FA"/>
    <w:rsid w:val="55A74589"/>
    <w:rsid w:val="55AA6B17"/>
    <w:rsid w:val="55AA6DD9"/>
    <w:rsid w:val="55AB0B0F"/>
    <w:rsid w:val="55AD01B6"/>
    <w:rsid w:val="55B3141A"/>
    <w:rsid w:val="55B716EA"/>
    <w:rsid w:val="55B85702"/>
    <w:rsid w:val="55BA1D26"/>
    <w:rsid w:val="55BC06F2"/>
    <w:rsid w:val="55BF7AE1"/>
    <w:rsid w:val="55C13869"/>
    <w:rsid w:val="55C40F2F"/>
    <w:rsid w:val="55C51682"/>
    <w:rsid w:val="55C77A75"/>
    <w:rsid w:val="55CB16A9"/>
    <w:rsid w:val="55CC2DCC"/>
    <w:rsid w:val="55CF5169"/>
    <w:rsid w:val="55D03EBF"/>
    <w:rsid w:val="55D10548"/>
    <w:rsid w:val="55DA039B"/>
    <w:rsid w:val="55E12726"/>
    <w:rsid w:val="55E42029"/>
    <w:rsid w:val="55E528B5"/>
    <w:rsid w:val="55EA4A6C"/>
    <w:rsid w:val="55EE60D3"/>
    <w:rsid w:val="55F13920"/>
    <w:rsid w:val="55F56C8B"/>
    <w:rsid w:val="55F73C2C"/>
    <w:rsid w:val="55FA4358"/>
    <w:rsid w:val="55FF50B5"/>
    <w:rsid w:val="56010E2D"/>
    <w:rsid w:val="56012FB1"/>
    <w:rsid w:val="56016996"/>
    <w:rsid w:val="56057E7B"/>
    <w:rsid w:val="560B4C36"/>
    <w:rsid w:val="560E270C"/>
    <w:rsid w:val="560E70A6"/>
    <w:rsid w:val="560F305C"/>
    <w:rsid w:val="56126964"/>
    <w:rsid w:val="561475AD"/>
    <w:rsid w:val="5619032E"/>
    <w:rsid w:val="56233DE8"/>
    <w:rsid w:val="562476BE"/>
    <w:rsid w:val="56266818"/>
    <w:rsid w:val="562D2249"/>
    <w:rsid w:val="56356C39"/>
    <w:rsid w:val="56367BAF"/>
    <w:rsid w:val="56372AA1"/>
    <w:rsid w:val="5640122A"/>
    <w:rsid w:val="56440D1A"/>
    <w:rsid w:val="56442777"/>
    <w:rsid w:val="5645457A"/>
    <w:rsid w:val="564D2E81"/>
    <w:rsid w:val="564D7C8C"/>
    <w:rsid w:val="564F0341"/>
    <w:rsid w:val="56530B23"/>
    <w:rsid w:val="56534C48"/>
    <w:rsid w:val="5655337F"/>
    <w:rsid w:val="56561FEE"/>
    <w:rsid w:val="565D6E3A"/>
    <w:rsid w:val="565E18DC"/>
    <w:rsid w:val="56601C38"/>
    <w:rsid w:val="566273F2"/>
    <w:rsid w:val="56632C8D"/>
    <w:rsid w:val="5666322B"/>
    <w:rsid w:val="56693B61"/>
    <w:rsid w:val="566969D2"/>
    <w:rsid w:val="56707D61"/>
    <w:rsid w:val="56712BAE"/>
    <w:rsid w:val="5677140D"/>
    <w:rsid w:val="567935D7"/>
    <w:rsid w:val="567B74F1"/>
    <w:rsid w:val="567E247E"/>
    <w:rsid w:val="56821E10"/>
    <w:rsid w:val="56842A1D"/>
    <w:rsid w:val="56867D63"/>
    <w:rsid w:val="56873C1E"/>
    <w:rsid w:val="56876E58"/>
    <w:rsid w:val="568A06C9"/>
    <w:rsid w:val="568D0F02"/>
    <w:rsid w:val="568E51CB"/>
    <w:rsid w:val="56927CD7"/>
    <w:rsid w:val="56933A4F"/>
    <w:rsid w:val="5696226B"/>
    <w:rsid w:val="56977B6A"/>
    <w:rsid w:val="56981066"/>
    <w:rsid w:val="569A4FB5"/>
    <w:rsid w:val="569C7112"/>
    <w:rsid w:val="569F41A2"/>
    <w:rsid w:val="56A70FD7"/>
    <w:rsid w:val="56A73D28"/>
    <w:rsid w:val="56AD5197"/>
    <w:rsid w:val="56AD68BF"/>
    <w:rsid w:val="56AF0C1B"/>
    <w:rsid w:val="56B1799D"/>
    <w:rsid w:val="56B808F7"/>
    <w:rsid w:val="56B85264"/>
    <w:rsid w:val="56BE0AC6"/>
    <w:rsid w:val="56C13FCA"/>
    <w:rsid w:val="56C1680E"/>
    <w:rsid w:val="56C209F9"/>
    <w:rsid w:val="56C47C6C"/>
    <w:rsid w:val="56C555C6"/>
    <w:rsid w:val="56C60B5D"/>
    <w:rsid w:val="56C717C7"/>
    <w:rsid w:val="56C91E0E"/>
    <w:rsid w:val="56CD32B3"/>
    <w:rsid w:val="56D0081E"/>
    <w:rsid w:val="56D037FA"/>
    <w:rsid w:val="56D06E9B"/>
    <w:rsid w:val="56D31DD3"/>
    <w:rsid w:val="56D67C87"/>
    <w:rsid w:val="56D86C60"/>
    <w:rsid w:val="56DC4570"/>
    <w:rsid w:val="56DD6E0D"/>
    <w:rsid w:val="56E34520"/>
    <w:rsid w:val="56E5679D"/>
    <w:rsid w:val="56E619CB"/>
    <w:rsid w:val="56E63D5C"/>
    <w:rsid w:val="56E733B5"/>
    <w:rsid w:val="56E82C20"/>
    <w:rsid w:val="56EA7B13"/>
    <w:rsid w:val="56EB50B9"/>
    <w:rsid w:val="56EC4105"/>
    <w:rsid w:val="56ED5BB9"/>
    <w:rsid w:val="56F02868"/>
    <w:rsid w:val="56F02C50"/>
    <w:rsid w:val="56F06135"/>
    <w:rsid w:val="56F6670E"/>
    <w:rsid w:val="56F832C0"/>
    <w:rsid w:val="56F94363"/>
    <w:rsid w:val="56F97EBF"/>
    <w:rsid w:val="56FA74EB"/>
    <w:rsid w:val="56FB0C5C"/>
    <w:rsid w:val="56FE0B98"/>
    <w:rsid w:val="56FE35BF"/>
    <w:rsid w:val="56FE42FE"/>
    <w:rsid w:val="57014E5D"/>
    <w:rsid w:val="57032983"/>
    <w:rsid w:val="570F59F8"/>
    <w:rsid w:val="57106E4E"/>
    <w:rsid w:val="5713306F"/>
    <w:rsid w:val="57142CCF"/>
    <w:rsid w:val="571A1A7B"/>
    <w:rsid w:val="571B1D10"/>
    <w:rsid w:val="571C57F3"/>
    <w:rsid w:val="5720206F"/>
    <w:rsid w:val="572031E3"/>
    <w:rsid w:val="57215F86"/>
    <w:rsid w:val="572C73E4"/>
    <w:rsid w:val="572D2C41"/>
    <w:rsid w:val="57322C6C"/>
    <w:rsid w:val="57331F4C"/>
    <w:rsid w:val="57354AA8"/>
    <w:rsid w:val="57372229"/>
    <w:rsid w:val="57386FF3"/>
    <w:rsid w:val="57430191"/>
    <w:rsid w:val="57460AFD"/>
    <w:rsid w:val="57483979"/>
    <w:rsid w:val="574919C9"/>
    <w:rsid w:val="57501597"/>
    <w:rsid w:val="575256B8"/>
    <w:rsid w:val="575320F1"/>
    <w:rsid w:val="57537997"/>
    <w:rsid w:val="5754698F"/>
    <w:rsid w:val="575520C2"/>
    <w:rsid w:val="57581CD0"/>
    <w:rsid w:val="575A7E57"/>
    <w:rsid w:val="575D751C"/>
    <w:rsid w:val="575E5E0B"/>
    <w:rsid w:val="575F1896"/>
    <w:rsid w:val="5764477E"/>
    <w:rsid w:val="57644A58"/>
    <w:rsid w:val="57647896"/>
    <w:rsid w:val="57662F3E"/>
    <w:rsid w:val="57675101"/>
    <w:rsid w:val="576A15AF"/>
    <w:rsid w:val="576B5C31"/>
    <w:rsid w:val="576D479B"/>
    <w:rsid w:val="576D53FC"/>
    <w:rsid w:val="57711FE2"/>
    <w:rsid w:val="57770C7B"/>
    <w:rsid w:val="577D589B"/>
    <w:rsid w:val="577E025B"/>
    <w:rsid w:val="577F2742"/>
    <w:rsid w:val="578228B4"/>
    <w:rsid w:val="578769CF"/>
    <w:rsid w:val="57881D5C"/>
    <w:rsid w:val="578842D7"/>
    <w:rsid w:val="578B5AFF"/>
    <w:rsid w:val="578C2978"/>
    <w:rsid w:val="578D66F1"/>
    <w:rsid w:val="578D7159"/>
    <w:rsid w:val="578E1F8E"/>
    <w:rsid w:val="579178CD"/>
    <w:rsid w:val="57965253"/>
    <w:rsid w:val="5798438E"/>
    <w:rsid w:val="579E3C11"/>
    <w:rsid w:val="57A04BCD"/>
    <w:rsid w:val="57A1547C"/>
    <w:rsid w:val="57A4064D"/>
    <w:rsid w:val="57A500E3"/>
    <w:rsid w:val="57A51C8C"/>
    <w:rsid w:val="57A7088C"/>
    <w:rsid w:val="57A977C5"/>
    <w:rsid w:val="57AA72A2"/>
    <w:rsid w:val="57AC015C"/>
    <w:rsid w:val="57AD2784"/>
    <w:rsid w:val="57AE2DBF"/>
    <w:rsid w:val="57AF7E6A"/>
    <w:rsid w:val="57B44CCE"/>
    <w:rsid w:val="57B8093D"/>
    <w:rsid w:val="57BA4C80"/>
    <w:rsid w:val="57BB325E"/>
    <w:rsid w:val="57BC5231"/>
    <w:rsid w:val="57C00874"/>
    <w:rsid w:val="57C13436"/>
    <w:rsid w:val="57C13D14"/>
    <w:rsid w:val="57C65065"/>
    <w:rsid w:val="57C75FE4"/>
    <w:rsid w:val="57C81FFE"/>
    <w:rsid w:val="57CB42B5"/>
    <w:rsid w:val="57CC53E8"/>
    <w:rsid w:val="57CD795E"/>
    <w:rsid w:val="57D1643F"/>
    <w:rsid w:val="57D25DF4"/>
    <w:rsid w:val="57DC6A92"/>
    <w:rsid w:val="57DE43D8"/>
    <w:rsid w:val="57E20697"/>
    <w:rsid w:val="57E53731"/>
    <w:rsid w:val="57E64B4D"/>
    <w:rsid w:val="57E75E01"/>
    <w:rsid w:val="57EF2C5E"/>
    <w:rsid w:val="57F07B31"/>
    <w:rsid w:val="57F80517"/>
    <w:rsid w:val="58002950"/>
    <w:rsid w:val="58021772"/>
    <w:rsid w:val="580533A8"/>
    <w:rsid w:val="58055210"/>
    <w:rsid w:val="580A24E0"/>
    <w:rsid w:val="580A4922"/>
    <w:rsid w:val="580A631E"/>
    <w:rsid w:val="580C0E21"/>
    <w:rsid w:val="580E1F47"/>
    <w:rsid w:val="5811638F"/>
    <w:rsid w:val="581328C3"/>
    <w:rsid w:val="5814475C"/>
    <w:rsid w:val="581671E9"/>
    <w:rsid w:val="58181050"/>
    <w:rsid w:val="58201313"/>
    <w:rsid w:val="58266D31"/>
    <w:rsid w:val="582A0D9F"/>
    <w:rsid w:val="582A70B5"/>
    <w:rsid w:val="582E1EF1"/>
    <w:rsid w:val="582F489A"/>
    <w:rsid w:val="58334D0D"/>
    <w:rsid w:val="5838138C"/>
    <w:rsid w:val="583848AE"/>
    <w:rsid w:val="58386B0E"/>
    <w:rsid w:val="58393AD4"/>
    <w:rsid w:val="583A41AA"/>
    <w:rsid w:val="583C1533"/>
    <w:rsid w:val="583E6A36"/>
    <w:rsid w:val="583E7B89"/>
    <w:rsid w:val="584119B5"/>
    <w:rsid w:val="584324BF"/>
    <w:rsid w:val="584B4B6B"/>
    <w:rsid w:val="584C20EE"/>
    <w:rsid w:val="584D6B6E"/>
    <w:rsid w:val="58510E0D"/>
    <w:rsid w:val="58515059"/>
    <w:rsid w:val="58532171"/>
    <w:rsid w:val="585325A3"/>
    <w:rsid w:val="585842AE"/>
    <w:rsid w:val="585B727B"/>
    <w:rsid w:val="585C104D"/>
    <w:rsid w:val="585F1E3B"/>
    <w:rsid w:val="5862192B"/>
    <w:rsid w:val="58623517"/>
    <w:rsid w:val="5866766D"/>
    <w:rsid w:val="58677DC0"/>
    <w:rsid w:val="586C1F29"/>
    <w:rsid w:val="586D4C5D"/>
    <w:rsid w:val="587153E5"/>
    <w:rsid w:val="58757B0A"/>
    <w:rsid w:val="58794C92"/>
    <w:rsid w:val="587A0A23"/>
    <w:rsid w:val="58805CC5"/>
    <w:rsid w:val="5881046E"/>
    <w:rsid w:val="58813D80"/>
    <w:rsid w:val="58817556"/>
    <w:rsid w:val="58845D45"/>
    <w:rsid w:val="5884755E"/>
    <w:rsid w:val="588673C8"/>
    <w:rsid w:val="58891405"/>
    <w:rsid w:val="588D56BB"/>
    <w:rsid w:val="588E4A1F"/>
    <w:rsid w:val="58931AE5"/>
    <w:rsid w:val="58950C50"/>
    <w:rsid w:val="58971789"/>
    <w:rsid w:val="58977827"/>
    <w:rsid w:val="589872D8"/>
    <w:rsid w:val="58994BD8"/>
    <w:rsid w:val="589B2B61"/>
    <w:rsid w:val="589C7C28"/>
    <w:rsid w:val="589D7516"/>
    <w:rsid w:val="58A12453"/>
    <w:rsid w:val="58A208D2"/>
    <w:rsid w:val="58A329A0"/>
    <w:rsid w:val="58A36785"/>
    <w:rsid w:val="58A638AF"/>
    <w:rsid w:val="58A67A6A"/>
    <w:rsid w:val="58A957AC"/>
    <w:rsid w:val="58AA6296"/>
    <w:rsid w:val="58AB5CE7"/>
    <w:rsid w:val="58B0631A"/>
    <w:rsid w:val="58B2208C"/>
    <w:rsid w:val="58B872FC"/>
    <w:rsid w:val="58BC5B56"/>
    <w:rsid w:val="58BC7FC1"/>
    <w:rsid w:val="58BD175D"/>
    <w:rsid w:val="58BE5288"/>
    <w:rsid w:val="58C558BD"/>
    <w:rsid w:val="58C8623C"/>
    <w:rsid w:val="58CA3FBE"/>
    <w:rsid w:val="58CA784E"/>
    <w:rsid w:val="58CB4100"/>
    <w:rsid w:val="58CB50F7"/>
    <w:rsid w:val="58CB5722"/>
    <w:rsid w:val="58D10FEB"/>
    <w:rsid w:val="58D341C2"/>
    <w:rsid w:val="58D34762"/>
    <w:rsid w:val="58D47469"/>
    <w:rsid w:val="58D532DC"/>
    <w:rsid w:val="58DC348C"/>
    <w:rsid w:val="58E141B4"/>
    <w:rsid w:val="58E3481A"/>
    <w:rsid w:val="58E80678"/>
    <w:rsid w:val="58EB4F15"/>
    <w:rsid w:val="58ED38EB"/>
    <w:rsid w:val="58EE7520"/>
    <w:rsid w:val="58EF393A"/>
    <w:rsid w:val="58F23AA9"/>
    <w:rsid w:val="58F26C60"/>
    <w:rsid w:val="58F62768"/>
    <w:rsid w:val="58F76930"/>
    <w:rsid w:val="58F9599D"/>
    <w:rsid w:val="58FF365F"/>
    <w:rsid w:val="59006505"/>
    <w:rsid w:val="59012DBD"/>
    <w:rsid w:val="590468E9"/>
    <w:rsid w:val="5905458B"/>
    <w:rsid w:val="59092F60"/>
    <w:rsid w:val="590B4744"/>
    <w:rsid w:val="590B5A27"/>
    <w:rsid w:val="5910499C"/>
    <w:rsid w:val="59110E07"/>
    <w:rsid w:val="59116EAA"/>
    <w:rsid w:val="59123351"/>
    <w:rsid w:val="59133922"/>
    <w:rsid w:val="5915037B"/>
    <w:rsid w:val="59186743"/>
    <w:rsid w:val="591D2413"/>
    <w:rsid w:val="591F1DD9"/>
    <w:rsid w:val="59214D4E"/>
    <w:rsid w:val="59235D36"/>
    <w:rsid w:val="5929341A"/>
    <w:rsid w:val="592A31AE"/>
    <w:rsid w:val="592B3BA0"/>
    <w:rsid w:val="592B74AB"/>
    <w:rsid w:val="592E180D"/>
    <w:rsid w:val="592E6336"/>
    <w:rsid w:val="592E6D1B"/>
    <w:rsid w:val="59326D79"/>
    <w:rsid w:val="59352B9C"/>
    <w:rsid w:val="593636DB"/>
    <w:rsid w:val="59375E12"/>
    <w:rsid w:val="593D5AE4"/>
    <w:rsid w:val="593E6280"/>
    <w:rsid w:val="593E6C0B"/>
    <w:rsid w:val="593F1501"/>
    <w:rsid w:val="593F31B1"/>
    <w:rsid w:val="59413C36"/>
    <w:rsid w:val="5943350B"/>
    <w:rsid w:val="594A51AD"/>
    <w:rsid w:val="594A5CC9"/>
    <w:rsid w:val="594B5D6E"/>
    <w:rsid w:val="594C56F8"/>
    <w:rsid w:val="594D2821"/>
    <w:rsid w:val="594D7E41"/>
    <w:rsid w:val="595079D6"/>
    <w:rsid w:val="5952700A"/>
    <w:rsid w:val="59561AE4"/>
    <w:rsid w:val="595659DA"/>
    <w:rsid w:val="595A66CC"/>
    <w:rsid w:val="595D2E42"/>
    <w:rsid w:val="595D6C64"/>
    <w:rsid w:val="595E1A1D"/>
    <w:rsid w:val="59671DAF"/>
    <w:rsid w:val="59683211"/>
    <w:rsid w:val="596C21DC"/>
    <w:rsid w:val="59714435"/>
    <w:rsid w:val="597179ED"/>
    <w:rsid w:val="59727A2C"/>
    <w:rsid w:val="59747B68"/>
    <w:rsid w:val="59777658"/>
    <w:rsid w:val="597A6261"/>
    <w:rsid w:val="597F19E2"/>
    <w:rsid w:val="59814033"/>
    <w:rsid w:val="59891F8A"/>
    <w:rsid w:val="5989414A"/>
    <w:rsid w:val="59971AF0"/>
    <w:rsid w:val="5998004B"/>
    <w:rsid w:val="59A23FCA"/>
    <w:rsid w:val="59A57AC7"/>
    <w:rsid w:val="59A65848"/>
    <w:rsid w:val="59A75443"/>
    <w:rsid w:val="59A90E8B"/>
    <w:rsid w:val="59AA31B9"/>
    <w:rsid w:val="59AD6BD6"/>
    <w:rsid w:val="59AF0CBF"/>
    <w:rsid w:val="59AF6DF2"/>
    <w:rsid w:val="59B0040F"/>
    <w:rsid w:val="59B93F84"/>
    <w:rsid w:val="59B959D4"/>
    <w:rsid w:val="59BB0F6D"/>
    <w:rsid w:val="59BE2B4A"/>
    <w:rsid w:val="59BF7ADC"/>
    <w:rsid w:val="59C4508E"/>
    <w:rsid w:val="59C51AA6"/>
    <w:rsid w:val="59C75245"/>
    <w:rsid w:val="59C82444"/>
    <w:rsid w:val="59CC4CC8"/>
    <w:rsid w:val="59D64B3E"/>
    <w:rsid w:val="59D95C1D"/>
    <w:rsid w:val="59DA01FD"/>
    <w:rsid w:val="59DB3743"/>
    <w:rsid w:val="59DC7531"/>
    <w:rsid w:val="59DD74BB"/>
    <w:rsid w:val="59E17C77"/>
    <w:rsid w:val="59E32C2F"/>
    <w:rsid w:val="59E44BC5"/>
    <w:rsid w:val="59E46F9E"/>
    <w:rsid w:val="59E8042E"/>
    <w:rsid w:val="59E90CE2"/>
    <w:rsid w:val="59EC52FB"/>
    <w:rsid w:val="59EE0740"/>
    <w:rsid w:val="59EE74F2"/>
    <w:rsid w:val="59EF4DEA"/>
    <w:rsid w:val="59EF511B"/>
    <w:rsid w:val="59F05B23"/>
    <w:rsid w:val="59F16AF7"/>
    <w:rsid w:val="59FB5A52"/>
    <w:rsid w:val="59FB5B93"/>
    <w:rsid w:val="59FD5922"/>
    <w:rsid w:val="5A0031AA"/>
    <w:rsid w:val="5A00764E"/>
    <w:rsid w:val="5A0507C0"/>
    <w:rsid w:val="5A074F8B"/>
    <w:rsid w:val="5A094754"/>
    <w:rsid w:val="5A0C1770"/>
    <w:rsid w:val="5A0C2EBF"/>
    <w:rsid w:val="5A0C7834"/>
    <w:rsid w:val="5A15002F"/>
    <w:rsid w:val="5A163854"/>
    <w:rsid w:val="5A217302"/>
    <w:rsid w:val="5A294AF0"/>
    <w:rsid w:val="5A2A0B59"/>
    <w:rsid w:val="5A2B7198"/>
    <w:rsid w:val="5A2C6D17"/>
    <w:rsid w:val="5A2C7195"/>
    <w:rsid w:val="5A2C791B"/>
    <w:rsid w:val="5A366BCB"/>
    <w:rsid w:val="5A381662"/>
    <w:rsid w:val="5A382944"/>
    <w:rsid w:val="5A3B5987"/>
    <w:rsid w:val="5A3F1A65"/>
    <w:rsid w:val="5A403E47"/>
    <w:rsid w:val="5A435C65"/>
    <w:rsid w:val="5A44753A"/>
    <w:rsid w:val="5A4579DF"/>
    <w:rsid w:val="5A485D18"/>
    <w:rsid w:val="5A494B51"/>
    <w:rsid w:val="5A4B0F6E"/>
    <w:rsid w:val="5A4C39FF"/>
    <w:rsid w:val="5A4D13A8"/>
    <w:rsid w:val="5A515008"/>
    <w:rsid w:val="5A524F37"/>
    <w:rsid w:val="5A525CB6"/>
    <w:rsid w:val="5A526622"/>
    <w:rsid w:val="5A580FE1"/>
    <w:rsid w:val="5A5E40CA"/>
    <w:rsid w:val="5A5E50F1"/>
    <w:rsid w:val="5A5E5DCC"/>
    <w:rsid w:val="5A6279C1"/>
    <w:rsid w:val="5A6721E9"/>
    <w:rsid w:val="5A690D4F"/>
    <w:rsid w:val="5A6E21BF"/>
    <w:rsid w:val="5A6F20DD"/>
    <w:rsid w:val="5A79244A"/>
    <w:rsid w:val="5A7B7066"/>
    <w:rsid w:val="5A81609B"/>
    <w:rsid w:val="5A826647"/>
    <w:rsid w:val="5A856A93"/>
    <w:rsid w:val="5A895A44"/>
    <w:rsid w:val="5A8B691F"/>
    <w:rsid w:val="5A8E0320"/>
    <w:rsid w:val="5A8E088A"/>
    <w:rsid w:val="5A90345F"/>
    <w:rsid w:val="5A916729"/>
    <w:rsid w:val="5A9233C9"/>
    <w:rsid w:val="5A952DB4"/>
    <w:rsid w:val="5A966F63"/>
    <w:rsid w:val="5A992407"/>
    <w:rsid w:val="5A9A35FE"/>
    <w:rsid w:val="5A9B7E9E"/>
    <w:rsid w:val="5A9F0A9B"/>
    <w:rsid w:val="5AA006E0"/>
    <w:rsid w:val="5AA06C84"/>
    <w:rsid w:val="5AA20705"/>
    <w:rsid w:val="5AA23DBA"/>
    <w:rsid w:val="5AA91F6A"/>
    <w:rsid w:val="5AA952A8"/>
    <w:rsid w:val="5AAD2BB3"/>
    <w:rsid w:val="5AAE459D"/>
    <w:rsid w:val="5AAF22B1"/>
    <w:rsid w:val="5AB337A1"/>
    <w:rsid w:val="5AB65415"/>
    <w:rsid w:val="5AB8503F"/>
    <w:rsid w:val="5ABA5B8A"/>
    <w:rsid w:val="5ABC3575"/>
    <w:rsid w:val="5ABD218B"/>
    <w:rsid w:val="5AC03DB6"/>
    <w:rsid w:val="5AC13259"/>
    <w:rsid w:val="5AC35C0E"/>
    <w:rsid w:val="5AC44E8B"/>
    <w:rsid w:val="5AC5475C"/>
    <w:rsid w:val="5AC5589E"/>
    <w:rsid w:val="5AC63675"/>
    <w:rsid w:val="5ACB2861"/>
    <w:rsid w:val="5ACB61F3"/>
    <w:rsid w:val="5AD0074D"/>
    <w:rsid w:val="5ADA0E70"/>
    <w:rsid w:val="5ADB7D4F"/>
    <w:rsid w:val="5ADE2869"/>
    <w:rsid w:val="5ADE798F"/>
    <w:rsid w:val="5ADF6348"/>
    <w:rsid w:val="5AE02C00"/>
    <w:rsid w:val="5AE37754"/>
    <w:rsid w:val="5AE8436A"/>
    <w:rsid w:val="5AED2C9C"/>
    <w:rsid w:val="5AF01470"/>
    <w:rsid w:val="5AF07026"/>
    <w:rsid w:val="5AF54CD9"/>
    <w:rsid w:val="5AFA3870"/>
    <w:rsid w:val="5B0264B1"/>
    <w:rsid w:val="5B053C55"/>
    <w:rsid w:val="5B0813D0"/>
    <w:rsid w:val="5B0C0D92"/>
    <w:rsid w:val="5B19575F"/>
    <w:rsid w:val="5B196B1F"/>
    <w:rsid w:val="5B1A3B24"/>
    <w:rsid w:val="5B2230FB"/>
    <w:rsid w:val="5B255BC1"/>
    <w:rsid w:val="5B272E17"/>
    <w:rsid w:val="5B283752"/>
    <w:rsid w:val="5B303F63"/>
    <w:rsid w:val="5B307FB0"/>
    <w:rsid w:val="5B3349CB"/>
    <w:rsid w:val="5B35195A"/>
    <w:rsid w:val="5B351A50"/>
    <w:rsid w:val="5B3813CA"/>
    <w:rsid w:val="5B394421"/>
    <w:rsid w:val="5B3C6463"/>
    <w:rsid w:val="5B417F1E"/>
    <w:rsid w:val="5B424FC7"/>
    <w:rsid w:val="5B433C96"/>
    <w:rsid w:val="5B445FE4"/>
    <w:rsid w:val="5B462FE3"/>
    <w:rsid w:val="5B48193D"/>
    <w:rsid w:val="5B49413C"/>
    <w:rsid w:val="5B4A2DDD"/>
    <w:rsid w:val="5B4E0567"/>
    <w:rsid w:val="5B4F6C96"/>
    <w:rsid w:val="5B5073AE"/>
    <w:rsid w:val="5B524A8D"/>
    <w:rsid w:val="5B57504B"/>
    <w:rsid w:val="5B575615"/>
    <w:rsid w:val="5B5A7DFD"/>
    <w:rsid w:val="5B5E6695"/>
    <w:rsid w:val="5B5F7F4F"/>
    <w:rsid w:val="5B602A99"/>
    <w:rsid w:val="5B607D79"/>
    <w:rsid w:val="5B632F10"/>
    <w:rsid w:val="5B646158"/>
    <w:rsid w:val="5B662698"/>
    <w:rsid w:val="5B663BAE"/>
    <w:rsid w:val="5B694D7F"/>
    <w:rsid w:val="5B6A437D"/>
    <w:rsid w:val="5B6D2093"/>
    <w:rsid w:val="5B700D2B"/>
    <w:rsid w:val="5B727A30"/>
    <w:rsid w:val="5B731FBB"/>
    <w:rsid w:val="5B733DF5"/>
    <w:rsid w:val="5B786C91"/>
    <w:rsid w:val="5B7926D2"/>
    <w:rsid w:val="5B834369"/>
    <w:rsid w:val="5B8426AD"/>
    <w:rsid w:val="5B857E0A"/>
    <w:rsid w:val="5B8631EC"/>
    <w:rsid w:val="5B8B2F47"/>
    <w:rsid w:val="5B8C2B86"/>
    <w:rsid w:val="5B903E46"/>
    <w:rsid w:val="5B915102"/>
    <w:rsid w:val="5B923657"/>
    <w:rsid w:val="5B92389A"/>
    <w:rsid w:val="5B95224A"/>
    <w:rsid w:val="5B955B74"/>
    <w:rsid w:val="5B976CC6"/>
    <w:rsid w:val="5B9D0EF9"/>
    <w:rsid w:val="5BA02E69"/>
    <w:rsid w:val="5BA26C0E"/>
    <w:rsid w:val="5BA30921"/>
    <w:rsid w:val="5BA36134"/>
    <w:rsid w:val="5BA512FA"/>
    <w:rsid w:val="5BAA2496"/>
    <w:rsid w:val="5BAC35E9"/>
    <w:rsid w:val="5BB10BFF"/>
    <w:rsid w:val="5BB165A7"/>
    <w:rsid w:val="5BB17877"/>
    <w:rsid w:val="5BB24978"/>
    <w:rsid w:val="5BB9039E"/>
    <w:rsid w:val="5BB9529D"/>
    <w:rsid w:val="5BBB7190"/>
    <w:rsid w:val="5BC00E43"/>
    <w:rsid w:val="5BC34452"/>
    <w:rsid w:val="5BC376AC"/>
    <w:rsid w:val="5BC90583"/>
    <w:rsid w:val="5BD56A7D"/>
    <w:rsid w:val="5BD732F6"/>
    <w:rsid w:val="5BD91B5F"/>
    <w:rsid w:val="5BDA053E"/>
    <w:rsid w:val="5BE01484"/>
    <w:rsid w:val="5BE06E0D"/>
    <w:rsid w:val="5BE2525D"/>
    <w:rsid w:val="5BE54D4D"/>
    <w:rsid w:val="5BE93DE8"/>
    <w:rsid w:val="5BF34C01"/>
    <w:rsid w:val="5BF34C91"/>
    <w:rsid w:val="5BF64864"/>
    <w:rsid w:val="5BF925A6"/>
    <w:rsid w:val="5BFA563B"/>
    <w:rsid w:val="5BFA7458"/>
    <w:rsid w:val="5C0018E5"/>
    <w:rsid w:val="5C017756"/>
    <w:rsid w:val="5C022C7A"/>
    <w:rsid w:val="5C0B7F50"/>
    <w:rsid w:val="5C0D4D42"/>
    <w:rsid w:val="5C124A4F"/>
    <w:rsid w:val="5C155EA6"/>
    <w:rsid w:val="5C181105"/>
    <w:rsid w:val="5C187230"/>
    <w:rsid w:val="5C1D44E7"/>
    <w:rsid w:val="5C1E32B3"/>
    <w:rsid w:val="5C1F3F93"/>
    <w:rsid w:val="5C2016AE"/>
    <w:rsid w:val="5C2110B3"/>
    <w:rsid w:val="5C246E15"/>
    <w:rsid w:val="5C2472B6"/>
    <w:rsid w:val="5C2810C0"/>
    <w:rsid w:val="5C292E8C"/>
    <w:rsid w:val="5C2D4B8B"/>
    <w:rsid w:val="5C2F7D76"/>
    <w:rsid w:val="5C366811"/>
    <w:rsid w:val="5C372C4E"/>
    <w:rsid w:val="5C3A62DE"/>
    <w:rsid w:val="5C403A02"/>
    <w:rsid w:val="5C4E66E7"/>
    <w:rsid w:val="5C4F0B22"/>
    <w:rsid w:val="5C5679F9"/>
    <w:rsid w:val="5C5B6828"/>
    <w:rsid w:val="5C602171"/>
    <w:rsid w:val="5C636F25"/>
    <w:rsid w:val="5C63711B"/>
    <w:rsid w:val="5C6F4ABF"/>
    <w:rsid w:val="5C721356"/>
    <w:rsid w:val="5C737AC1"/>
    <w:rsid w:val="5C741485"/>
    <w:rsid w:val="5C7424DC"/>
    <w:rsid w:val="5C750546"/>
    <w:rsid w:val="5C760767"/>
    <w:rsid w:val="5C7621E8"/>
    <w:rsid w:val="5C771040"/>
    <w:rsid w:val="5C7A1BBA"/>
    <w:rsid w:val="5C7A21AB"/>
    <w:rsid w:val="5C7A36E7"/>
    <w:rsid w:val="5C7D3B42"/>
    <w:rsid w:val="5C7D7B5F"/>
    <w:rsid w:val="5C7E53E0"/>
    <w:rsid w:val="5C805164"/>
    <w:rsid w:val="5C837F16"/>
    <w:rsid w:val="5C845BC1"/>
    <w:rsid w:val="5C860E4E"/>
    <w:rsid w:val="5C891FFC"/>
    <w:rsid w:val="5C8A31FF"/>
    <w:rsid w:val="5C8D1080"/>
    <w:rsid w:val="5C8E17DE"/>
    <w:rsid w:val="5C8E21E2"/>
    <w:rsid w:val="5C936E02"/>
    <w:rsid w:val="5C9522CF"/>
    <w:rsid w:val="5C95544B"/>
    <w:rsid w:val="5C9649CF"/>
    <w:rsid w:val="5C9709BA"/>
    <w:rsid w:val="5C9E2C74"/>
    <w:rsid w:val="5C9E6311"/>
    <w:rsid w:val="5C9F314E"/>
    <w:rsid w:val="5CA02A22"/>
    <w:rsid w:val="5CA1140A"/>
    <w:rsid w:val="5CA15DB5"/>
    <w:rsid w:val="5CA40764"/>
    <w:rsid w:val="5CA42512"/>
    <w:rsid w:val="5CA66C33"/>
    <w:rsid w:val="5CA70254"/>
    <w:rsid w:val="5CA9675D"/>
    <w:rsid w:val="5CAB1AF3"/>
    <w:rsid w:val="5CAC7885"/>
    <w:rsid w:val="5CAE6ADE"/>
    <w:rsid w:val="5CAF1B8F"/>
    <w:rsid w:val="5CAF7B33"/>
    <w:rsid w:val="5CB62246"/>
    <w:rsid w:val="5CB674FF"/>
    <w:rsid w:val="5CB905EA"/>
    <w:rsid w:val="5CBA48D7"/>
    <w:rsid w:val="5CBA5FA6"/>
    <w:rsid w:val="5CBC3609"/>
    <w:rsid w:val="5CBE36F0"/>
    <w:rsid w:val="5CBE71B3"/>
    <w:rsid w:val="5CC408E9"/>
    <w:rsid w:val="5CC60E4C"/>
    <w:rsid w:val="5CC826A5"/>
    <w:rsid w:val="5CC93D27"/>
    <w:rsid w:val="5CC949C0"/>
    <w:rsid w:val="5CCB0DF9"/>
    <w:rsid w:val="5CCB5CF1"/>
    <w:rsid w:val="5CCC58B8"/>
    <w:rsid w:val="5CCF61A0"/>
    <w:rsid w:val="5CD31538"/>
    <w:rsid w:val="5CD9592F"/>
    <w:rsid w:val="5CDA66DE"/>
    <w:rsid w:val="5CE172F5"/>
    <w:rsid w:val="5CE23B5A"/>
    <w:rsid w:val="5CE34738"/>
    <w:rsid w:val="5CE65BF7"/>
    <w:rsid w:val="5CE665BC"/>
    <w:rsid w:val="5CE813C3"/>
    <w:rsid w:val="5CED3EB9"/>
    <w:rsid w:val="5CED5D7A"/>
    <w:rsid w:val="5CF30D95"/>
    <w:rsid w:val="5CF30F96"/>
    <w:rsid w:val="5CF806AB"/>
    <w:rsid w:val="5CFA0BD8"/>
    <w:rsid w:val="5CFC3EFC"/>
    <w:rsid w:val="5CFF1A6A"/>
    <w:rsid w:val="5D005424"/>
    <w:rsid w:val="5D025E13"/>
    <w:rsid w:val="5D041203"/>
    <w:rsid w:val="5D041CFD"/>
    <w:rsid w:val="5D052DCC"/>
    <w:rsid w:val="5D0631CD"/>
    <w:rsid w:val="5D064244"/>
    <w:rsid w:val="5D07585B"/>
    <w:rsid w:val="5D0813B0"/>
    <w:rsid w:val="5D0905C7"/>
    <w:rsid w:val="5D0B0E3D"/>
    <w:rsid w:val="5D17390D"/>
    <w:rsid w:val="5D19029E"/>
    <w:rsid w:val="5D192426"/>
    <w:rsid w:val="5D194A85"/>
    <w:rsid w:val="5D1A6C78"/>
    <w:rsid w:val="5D1D2A2D"/>
    <w:rsid w:val="5D245628"/>
    <w:rsid w:val="5D290205"/>
    <w:rsid w:val="5D2929D4"/>
    <w:rsid w:val="5D2B56E4"/>
    <w:rsid w:val="5D2B6790"/>
    <w:rsid w:val="5D2C47B7"/>
    <w:rsid w:val="5D2F0302"/>
    <w:rsid w:val="5D335644"/>
    <w:rsid w:val="5D342CF6"/>
    <w:rsid w:val="5D3619CD"/>
    <w:rsid w:val="5D3644EC"/>
    <w:rsid w:val="5D382FD6"/>
    <w:rsid w:val="5D3A04CD"/>
    <w:rsid w:val="5D3C30AE"/>
    <w:rsid w:val="5D407C82"/>
    <w:rsid w:val="5D447AC8"/>
    <w:rsid w:val="5D450A69"/>
    <w:rsid w:val="5D463AC5"/>
    <w:rsid w:val="5D4679A2"/>
    <w:rsid w:val="5D483941"/>
    <w:rsid w:val="5D4B2A10"/>
    <w:rsid w:val="5D4D7A50"/>
    <w:rsid w:val="5D4F5368"/>
    <w:rsid w:val="5D573A29"/>
    <w:rsid w:val="5D574BB4"/>
    <w:rsid w:val="5D5A5119"/>
    <w:rsid w:val="5D5C2DED"/>
    <w:rsid w:val="5D622178"/>
    <w:rsid w:val="5D656145"/>
    <w:rsid w:val="5D682C28"/>
    <w:rsid w:val="5D700861"/>
    <w:rsid w:val="5D70195E"/>
    <w:rsid w:val="5D74789D"/>
    <w:rsid w:val="5D7871B2"/>
    <w:rsid w:val="5D79574D"/>
    <w:rsid w:val="5D7A3273"/>
    <w:rsid w:val="5D7C18C9"/>
    <w:rsid w:val="5D7C7E98"/>
    <w:rsid w:val="5D7F5931"/>
    <w:rsid w:val="5D7F657F"/>
    <w:rsid w:val="5D8044DF"/>
    <w:rsid w:val="5D830B7C"/>
    <w:rsid w:val="5D8A13E8"/>
    <w:rsid w:val="5D8C41CF"/>
    <w:rsid w:val="5D924415"/>
    <w:rsid w:val="5D9834ED"/>
    <w:rsid w:val="5D98535B"/>
    <w:rsid w:val="5DA5113E"/>
    <w:rsid w:val="5DA56542"/>
    <w:rsid w:val="5DA64B7D"/>
    <w:rsid w:val="5DA70D9B"/>
    <w:rsid w:val="5DA74352"/>
    <w:rsid w:val="5DA814AA"/>
    <w:rsid w:val="5DA9773E"/>
    <w:rsid w:val="5DAE64B3"/>
    <w:rsid w:val="5DB0123F"/>
    <w:rsid w:val="5DB1246E"/>
    <w:rsid w:val="5DB26EB1"/>
    <w:rsid w:val="5DB524FD"/>
    <w:rsid w:val="5DB63609"/>
    <w:rsid w:val="5DB77688"/>
    <w:rsid w:val="5DB8454F"/>
    <w:rsid w:val="5DBB5D65"/>
    <w:rsid w:val="5DC136CC"/>
    <w:rsid w:val="5DCA4104"/>
    <w:rsid w:val="5DCF77A5"/>
    <w:rsid w:val="5DD246BE"/>
    <w:rsid w:val="5DD36048"/>
    <w:rsid w:val="5DD423E9"/>
    <w:rsid w:val="5DD475CB"/>
    <w:rsid w:val="5DD662C6"/>
    <w:rsid w:val="5DD902C5"/>
    <w:rsid w:val="5DDA1F0F"/>
    <w:rsid w:val="5DDB6C97"/>
    <w:rsid w:val="5DDE7A01"/>
    <w:rsid w:val="5DDF2210"/>
    <w:rsid w:val="5DEA03F9"/>
    <w:rsid w:val="5DEA2371"/>
    <w:rsid w:val="5DEB3F5B"/>
    <w:rsid w:val="5DED1C97"/>
    <w:rsid w:val="5DEF5619"/>
    <w:rsid w:val="5DF77CF5"/>
    <w:rsid w:val="5DF83452"/>
    <w:rsid w:val="5DF93C5D"/>
    <w:rsid w:val="5DFB611E"/>
    <w:rsid w:val="5E03621C"/>
    <w:rsid w:val="5E03770C"/>
    <w:rsid w:val="5E0701A1"/>
    <w:rsid w:val="5E0A23E2"/>
    <w:rsid w:val="5E0D3B7D"/>
    <w:rsid w:val="5E0F1E88"/>
    <w:rsid w:val="5E122201"/>
    <w:rsid w:val="5E1F4851"/>
    <w:rsid w:val="5E225DE5"/>
    <w:rsid w:val="5E227F04"/>
    <w:rsid w:val="5E2E3482"/>
    <w:rsid w:val="5E312364"/>
    <w:rsid w:val="5E312EEF"/>
    <w:rsid w:val="5E3339BE"/>
    <w:rsid w:val="5E39754A"/>
    <w:rsid w:val="5E3D29E2"/>
    <w:rsid w:val="5E3D49CC"/>
    <w:rsid w:val="5E3F30C3"/>
    <w:rsid w:val="5E403E29"/>
    <w:rsid w:val="5E40401A"/>
    <w:rsid w:val="5E404E64"/>
    <w:rsid w:val="5E413D91"/>
    <w:rsid w:val="5E451AD3"/>
    <w:rsid w:val="5E471F68"/>
    <w:rsid w:val="5E482AFF"/>
    <w:rsid w:val="5E491D31"/>
    <w:rsid w:val="5E4A5BCA"/>
    <w:rsid w:val="5E4D6D54"/>
    <w:rsid w:val="5E530CCC"/>
    <w:rsid w:val="5E560BC1"/>
    <w:rsid w:val="5E592B95"/>
    <w:rsid w:val="5E5C3AB2"/>
    <w:rsid w:val="5E5F0DE7"/>
    <w:rsid w:val="5E605B9E"/>
    <w:rsid w:val="5E64512A"/>
    <w:rsid w:val="5E6A3345"/>
    <w:rsid w:val="5E6E2DD8"/>
    <w:rsid w:val="5E6F6B50"/>
    <w:rsid w:val="5E722B27"/>
    <w:rsid w:val="5E740D6F"/>
    <w:rsid w:val="5E785BBB"/>
    <w:rsid w:val="5E7A5C21"/>
    <w:rsid w:val="5E7B2064"/>
    <w:rsid w:val="5E7F435A"/>
    <w:rsid w:val="5E7F5CF5"/>
    <w:rsid w:val="5E816D51"/>
    <w:rsid w:val="5E8401EA"/>
    <w:rsid w:val="5E8A36BB"/>
    <w:rsid w:val="5E8B605A"/>
    <w:rsid w:val="5E8E289A"/>
    <w:rsid w:val="5E903D29"/>
    <w:rsid w:val="5E911E43"/>
    <w:rsid w:val="5E912F6A"/>
    <w:rsid w:val="5E9165EF"/>
    <w:rsid w:val="5E98155D"/>
    <w:rsid w:val="5E9842F9"/>
    <w:rsid w:val="5E99101D"/>
    <w:rsid w:val="5E99597B"/>
    <w:rsid w:val="5E9B7945"/>
    <w:rsid w:val="5EA12244"/>
    <w:rsid w:val="5EA24098"/>
    <w:rsid w:val="5EA2445D"/>
    <w:rsid w:val="5EA3072D"/>
    <w:rsid w:val="5EA4331E"/>
    <w:rsid w:val="5EA9478C"/>
    <w:rsid w:val="5EAB44F0"/>
    <w:rsid w:val="5EB024CC"/>
    <w:rsid w:val="5EB64FFC"/>
    <w:rsid w:val="5EB74E9A"/>
    <w:rsid w:val="5EBA3BF9"/>
    <w:rsid w:val="5EC76D93"/>
    <w:rsid w:val="5ED6097D"/>
    <w:rsid w:val="5ED627E7"/>
    <w:rsid w:val="5ED631FF"/>
    <w:rsid w:val="5ED7184B"/>
    <w:rsid w:val="5ED846F5"/>
    <w:rsid w:val="5EDA221B"/>
    <w:rsid w:val="5EDF3CD6"/>
    <w:rsid w:val="5EE020C1"/>
    <w:rsid w:val="5EE31762"/>
    <w:rsid w:val="5EE4753E"/>
    <w:rsid w:val="5EE51A56"/>
    <w:rsid w:val="5EE565EF"/>
    <w:rsid w:val="5EE72B8A"/>
    <w:rsid w:val="5EEA61D6"/>
    <w:rsid w:val="5EF13A09"/>
    <w:rsid w:val="5EF42D5E"/>
    <w:rsid w:val="5EF80710"/>
    <w:rsid w:val="5EF905C3"/>
    <w:rsid w:val="5EF91F06"/>
    <w:rsid w:val="5EF976D8"/>
    <w:rsid w:val="5EFB25A0"/>
    <w:rsid w:val="5F010552"/>
    <w:rsid w:val="5F051526"/>
    <w:rsid w:val="5F0674B4"/>
    <w:rsid w:val="5F091AA1"/>
    <w:rsid w:val="5F091F26"/>
    <w:rsid w:val="5F105C3D"/>
    <w:rsid w:val="5F124460"/>
    <w:rsid w:val="5F156027"/>
    <w:rsid w:val="5F176503"/>
    <w:rsid w:val="5F186C7B"/>
    <w:rsid w:val="5F1A3CBA"/>
    <w:rsid w:val="5F1B041C"/>
    <w:rsid w:val="5F2821B5"/>
    <w:rsid w:val="5F385194"/>
    <w:rsid w:val="5F3A1AFE"/>
    <w:rsid w:val="5F3E67F3"/>
    <w:rsid w:val="5F3F4774"/>
    <w:rsid w:val="5F3F54E8"/>
    <w:rsid w:val="5F3F682E"/>
    <w:rsid w:val="5F4256BB"/>
    <w:rsid w:val="5F425FFE"/>
    <w:rsid w:val="5F473629"/>
    <w:rsid w:val="5F485097"/>
    <w:rsid w:val="5F4967CF"/>
    <w:rsid w:val="5F4B26FA"/>
    <w:rsid w:val="5F4D0BB9"/>
    <w:rsid w:val="5F4D50E3"/>
    <w:rsid w:val="5F5A335C"/>
    <w:rsid w:val="5F635706"/>
    <w:rsid w:val="5F6535DC"/>
    <w:rsid w:val="5F661190"/>
    <w:rsid w:val="5F6952A1"/>
    <w:rsid w:val="5F6C1B61"/>
    <w:rsid w:val="5F6D25B0"/>
    <w:rsid w:val="5F70653A"/>
    <w:rsid w:val="5F716D60"/>
    <w:rsid w:val="5F774C4B"/>
    <w:rsid w:val="5F7E047B"/>
    <w:rsid w:val="5F803866"/>
    <w:rsid w:val="5F813E03"/>
    <w:rsid w:val="5F832FE7"/>
    <w:rsid w:val="5F8421A1"/>
    <w:rsid w:val="5F8478C2"/>
    <w:rsid w:val="5F89799A"/>
    <w:rsid w:val="5F8A41E6"/>
    <w:rsid w:val="5F8A4692"/>
    <w:rsid w:val="5F8D1984"/>
    <w:rsid w:val="5F8D2D2F"/>
    <w:rsid w:val="5F8E044E"/>
    <w:rsid w:val="5F95232A"/>
    <w:rsid w:val="5F9917F9"/>
    <w:rsid w:val="5FA016B7"/>
    <w:rsid w:val="5FA95FAD"/>
    <w:rsid w:val="5FAB3BB8"/>
    <w:rsid w:val="5FB2381A"/>
    <w:rsid w:val="5FB51404"/>
    <w:rsid w:val="5FC15D39"/>
    <w:rsid w:val="5FC21A72"/>
    <w:rsid w:val="5FC8130B"/>
    <w:rsid w:val="5FCB5539"/>
    <w:rsid w:val="5FD17AC2"/>
    <w:rsid w:val="5FD27396"/>
    <w:rsid w:val="5FD31547"/>
    <w:rsid w:val="5FD66707"/>
    <w:rsid w:val="5FD873EF"/>
    <w:rsid w:val="5FDE5D3B"/>
    <w:rsid w:val="5FDE7A1D"/>
    <w:rsid w:val="5FE5356E"/>
    <w:rsid w:val="5FE91D7A"/>
    <w:rsid w:val="5FEA137C"/>
    <w:rsid w:val="5FEB66AA"/>
    <w:rsid w:val="5FEB7C3E"/>
    <w:rsid w:val="5FEC42A1"/>
    <w:rsid w:val="5FEF1CF6"/>
    <w:rsid w:val="5FF0292C"/>
    <w:rsid w:val="5FF276B0"/>
    <w:rsid w:val="5FF27721"/>
    <w:rsid w:val="5FF437B1"/>
    <w:rsid w:val="5FF6392A"/>
    <w:rsid w:val="5FFC708A"/>
    <w:rsid w:val="5FFE2C52"/>
    <w:rsid w:val="5FFE4FB2"/>
    <w:rsid w:val="6005184A"/>
    <w:rsid w:val="6007331C"/>
    <w:rsid w:val="60082073"/>
    <w:rsid w:val="60085830"/>
    <w:rsid w:val="600933A3"/>
    <w:rsid w:val="600B5FCB"/>
    <w:rsid w:val="600C2BA5"/>
    <w:rsid w:val="600F6F08"/>
    <w:rsid w:val="60134B28"/>
    <w:rsid w:val="6013783A"/>
    <w:rsid w:val="60164160"/>
    <w:rsid w:val="60171771"/>
    <w:rsid w:val="601B3198"/>
    <w:rsid w:val="601D4DE0"/>
    <w:rsid w:val="60202C12"/>
    <w:rsid w:val="60207E37"/>
    <w:rsid w:val="6024474D"/>
    <w:rsid w:val="60265063"/>
    <w:rsid w:val="60275401"/>
    <w:rsid w:val="6028162A"/>
    <w:rsid w:val="60286407"/>
    <w:rsid w:val="602F5BB7"/>
    <w:rsid w:val="60365B77"/>
    <w:rsid w:val="60372F43"/>
    <w:rsid w:val="60385B91"/>
    <w:rsid w:val="603C3D66"/>
    <w:rsid w:val="603D4A48"/>
    <w:rsid w:val="603E508D"/>
    <w:rsid w:val="60410F4D"/>
    <w:rsid w:val="604423AF"/>
    <w:rsid w:val="6047204C"/>
    <w:rsid w:val="60474E26"/>
    <w:rsid w:val="604B3DE1"/>
    <w:rsid w:val="604D4C6F"/>
    <w:rsid w:val="604F5092"/>
    <w:rsid w:val="6054178A"/>
    <w:rsid w:val="60551EBF"/>
    <w:rsid w:val="60580974"/>
    <w:rsid w:val="60585F29"/>
    <w:rsid w:val="60592203"/>
    <w:rsid w:val="605973A6"/>
    <w:rsid w:val="605B0B95"/>
    <w:rsid w:val="605C4EB2"/>
    <w:rsid w:val="605E3C4F"/>
    <w:rsid w:val="605F15E1"/>
    <w:rsid w:val="60607A78"/>
    <w:rsid w:val="60640A2F"/>
    <w:rsid w:val="606711DA"/>
    <w:rsid w:val="60672DDD"/>
    <w:rsid w:val="606E20CA"/>
    <w:rsid w:val="606F4F0F"/>
    <w:rsid w:val="6079303E"/>
    <w:rsid w:val="607A3CD8"/>
    <w:rsid w:val="60811C1A"/>
    <w:rsid w:val="60822B6A"/>
    <w:rsid w:val="60830703"/>
    <w:rsid w:val="608F131C"/>
    <w:rsid w:val="60936074"/>
    <w:rsid w:val="60946507"/>
    <w:rsid w:val="60964195"/>
    <w:rsid w:val="60995148"/>
    <w:rsid w:val="609C0C7E"/>
    <w:rsid w:val="609F5796"/>
    <w:rsid w:val="60A435F0"/>
    <w:rsid w:val="60A9459B"/>
    <w:rsid w:val="60A96349"/>
    <w:rsid w:val="60AD2BBE"/>
    <w:rsid w:val="60B8453D"/>
    <w:rsid w:val="60B8470C"/>
    <w:rsid w:val="60BC38AA"/>
    <w:rsid w:val="60BE28C9"/>
    <w:rsid w:val="60C436BA"/>
    <w:rsid w:val="60C85B2D"/>
    <w:rsid w:val="60C91F5F"/>
    <w:rsid w:val="60CA106A"/>
    <w:rsid w:val="60CC7B92"/>
    <w:rsid w:val="60D03F76"/>
    <w:rsid w:val="60D13AEE"/>
    <w:rsid w:val="60D34BD4"/>
    <w:rsid w:val="60D50E67"/>
    <w:rsid w:val="60D64C64"/>
    <w:rsid w:val="60D674FF"/>
    <w:rsid w:val="60D701B1"/>
    <w:rsid w:val="60DD1A7E"/>
    <w:rsid w:val="60DD542A"/>
    <w:rsid w:val="60DF20F7"/>
    <w:rsid w:val="60E27A91"/>
    <w:rsid w:val="60E3716F"/>
    <w:rsid w:val="60E37570"/>
    <w:rsid w:val="60E402AD"/>
    <w:rsid w:val="60E5134B"/>
    <w:rsid w:val="60E637CC"/>
    <w:rsid w:val="60E66056"/>
    <w:rsid w:val="60E86BA1"/>
    <w:rsid w:val="60E94D71"/>
    <w:rsid w:val="60F17CD4"/>
    <w:rsid w:val="60FA6E4A"/>
    <w:rsid w:val="60FB25FE"/>
    <w:rsid w:val="60FD4735"/>
    <w:rsid w:val="60FD5094"/>
    <w:rsid w:val="61004354"/>
    <w:rsid w:val="6103234E"/>
    <w:rsid w:val="610A59A6"/>
    <w:rsid w:val="610C6291"/>
    <w:rsid w:val="61194472"/>
    <w:rsid w:val="611A08E0"/>
    <w:rsid w:val="61220EC3"/>
    <w:rsid w:val="61281368"/>
    <w:rsid w:val="612A6600"/>
    <w:rsid w:val="613025C6"/>
    <w:rsid w:val="61336D45"/>
    <w:rsid w:val="61367994"/>
    <w:rsid w:val="613A2BF1"/>
    <w:rsid w:val="613A6036"/>
    <w:rsid w:val="613B0F6B"/>
    <w:rsid w:val="613B1348"/>
    <w:rsid w:val="613B66C1"/>
    <w:rsid w:val="613C554C"/>
    <w:rsid w:val="61400EF4"/>
    <w:rsid w:val="6142679E"/>
    <w:rsid w:val="614442C4"/>
    <w:rsid w:val="614864E2"/>
    <w:rsid w:val="614A2F4B"/>
    <w:rsid w:val="614B1B76"/>
    <w:rsid w:val="61502578"/>
    <w:rsid w:val="61512F2E"/>
    <w:rsid w:val="61520BC1"/>
    <w:rsid w:val="61560698"/>
    <w:rsid w:val="61583CBA"/>
    <w:rsid w:val="616023EA"/>
    <w:rsid w:val="61603A8C"/>
    <w:rsid w:val="616110BD"/>
    <w:rsid w:val="61617D6D"/>
    <w:rsid w:val="616335CE"/>
    <w:rsid w:val="61657B86"/>
    <w:rsid w:val="616723A6"/>
    <w:rsid w:val="61677FB2"/>
    <w:rsid w:val="616A2EF5"/>
    <w:rsid w:val="617066A2"/>
    <w:rsid w:val="617413E9"/>
    <w:rsid w:val="617E76DA"/>
    <w:rsid w:val="617F2F9B"/>
    <w:rsid w:val="61874EBE"/>
    <w:rsid w:val="61880596"/>
    <w:rsid w:val="61893DEA"/>
    <w:rsid w:val="61894C49"/>
    <w:rsid w:val="618A560B"/>
    <w:rsid w:val="618A7D72"/>
    <w:rsid w:val="618C228F"/>
    <w:rsid w:val="618F2279"/>
    <w:rsid w:val="61901A3D"/>
    <w:rsid w:val="619C2DA9"/>
    <w:rsid w:val="619D2CA5"/>
    <w:rsid w:val="61A422E8"/>
    <w:rsid w:val="61A45E7D"/>
    <w:rsid w:val="61A96FE3"/>
    <w:rsid w:val="61AD6E22"/>
    <w:rsid w:val="61AE5709"/>
    <w:rsid w:val="61AE79A6"/>
    <w:rsid w:val="61AF14BC"/>
    <w:rsid w:val="61AF2884"/>
    <w:rsid w:val="61B13361"/>
    <w:rsid w:val="61B159B1"/>
    <w:rsid w:val="61B2747F"/>
    <w:rsid w:val="61B64193"/>
    <w:rsid w:val="61B774CA"/>
    <w:rsid w:val="61B85576"/>
    <w:rsid w:val="61B94F8D"/>
    <w:rsid w:val="61B96A60"/>
    <w:rsid w:val="61BB13EF"/>
    <w:rsid w:val="61BE4AEE"/>
    <w:rsid w:val="61BF08F4"/>
    <w:rsid w:val="61BF33F4"/>
    <w:rsid w:val="61BF4977"/>
    <w:rsid w:val="61C06A6D"/>
    <w:rsid w:val="61C15914"/>
    <w:rsid w:val="61C218BF"/>
    <w:rsid w:val="61C40F61"/>
    <w:rsid w:val="61C55405"/>
    <w:rsid w:val="61CA624A"/>
    <w:rsid w:val="61CC4DA6"/>
    <w:rsid w:val="61CD42B9"/>
    <w:rsid w:val="61CE1DDF"/>
    <w:rsid w:val="61CE5D0E"/>
    <w:rsid w:val="61CE61AB"/>
    <w:rsid w:val="61CF2DF0"/>
    <w:rsid w:val="61D04388"/>
    <w:rsid w:val="61D05B58"/>
    <w:rsid w:val="61D20C61"/>
    <w:rsid w:val="61D44046"/>
    <w:rsid w:val="61D72204"/>
    <w:rsid w:val="61DA2640"/>
    <w:rsid w:val="61DA7799"/>
    <w:rsid w:val="61DB1B0C"/>
    <w:rsid w:val="61DD6F9B"/>
    <w:rsid w:val="61E05D2B"/>
    <w:rsid w:val="61E10A4A"/>
    <w:rsid w:val="61E24D50"/>
    <w:rsid w:val="61E41305"/>
    <w:rsid w:val="61E756A7"/>
    <w:rsid w:val="61E878B3"/>
    <w:rsid w:val="61E9664D"/>
    <w:rsid w:val="61EA7089"/>
    <w:rsid w:val="61EB3B39"/>
    <w:rsid w:val="61EE5762"/>
    <w:rsid w:val="61EF490A"/>
    <w:rsid w:val="61F1791B"/>
    <w:rsid w:val="61F77258"/>
    <w:rsid w:val="61FA3A3B"/>
    <w:rsid w:val="62004AB0"/>
    <w:rsid w:val="620079D8"/>
    <w:rsid w:val="620326C2"/>
    <w:rsid w:val="62040243"/>
    <w:rsid w:val="620731A5"/>
    <w:rsid w:val="62073B19"/>
    <w:rsid w:val="62096287"/>
    <w:rsid w:val="6209631B"/>
    <w:rsid w:val="620D50E5"/>
    <w:rsid w:val="620D6DAC"/>
    <w:rsid w:val="620F3716"/>
    <w:rsid w:val="620F6680"/>
    <w:rsid w:val="62100B6C"/>
    <w:rsid w:val="62133B0A"/>
    <w:rsid w:val="621461F8"/>
    <w:rsid w:val="62150000"/>
    <w:rsid w:val="621645A1"/>
    <w:rsid w:val="621A5025"/>
    <w:rsid w:val="621B2C84"/>
    <w:rsid w:val="621C2B4B"/>
    <w:rsid w:val="622341A2"/>
    <w:rsid w:val="622758A2"/>
    <w:rsid w:val="62292ECC"/>
    <w:rsid w:val="622B58EC"/>
    <w:rsid w:val="622D073C"/>
    <w:rsid w:val="622E62A6"/>
    <w:rsid w:val="623B7475"/>
    <w:rsid w:val="623B7D61"/>
    <w:rsid w:val="623C38AC"/>
    <w:rsid w:val="623F2A51"/>
    <w:rsid w:val="62472251"/>
    <w:rsid w:val="624803E8"/>
    <w:rsid w:val="62481B92"/>
    <w:rsid w:val="62481C53"/>
    <w:rsid w:val="624A28EF"/>
    <w:rsid w:val="624A77BF"/>
    <w:rsid w:val="624E157F"/>
    <w:rsid w:val="62500A46"/>
    <w:rsid w:val="62501EBC"/>
    <w:rsid w:val="62502634"/>
    <w:rsid w:val="625213D6"/>
    <w:rsid w:val="62544661"/>
    <w:rsid w:val="625D7166"/>
    <w:rsid w:val="625F1B8A"/>
    <w:rsid w:val="62642590"/>
    <w:rsid w:val="62645BFF"/>
    <w:rsid w:val="62687591"/>
    <w:rsid w:val="626D0221"/>
    <w:rsid w:val="626F482B"/>
    <w:rsid w:val="62720366"/>
    <w:rsid w:val="627430B4"/>
    <w:rsid w:val="62750396"/>
    <w:rsid w:val="62762C7A"/>
    <w:rsid w:val="627806C9"/>
    <w:rsid w:val="627D7050"/>
    <w:rsid w:val="627F48E1"/>
    <w:rsid w:val="6280757E"/>
    <w:rsid w:val="62820367"/>
    <w:rsid w:val="62865D12"/>
    <w:rsid w:val="628674E9"/>
    <w:rsid w:val="62870141"/>
    <w:rsid w:val="62883231"/>
    <w:rsid w:val="628931DD"/>
    <w:rsid w:val="6289495E"/>
    <w:rsid w:val="628A21AA"/>
    <w:rsid w:val="628C3920"/>
    <w:rsid w:val="628D72B6"/>
    <w:rsid w:val="628F0043"/>
    <w:rsid w:val="628F408B"/>
    <w:rsid w:val="62926D34"/>
    <w:rsid w:val="62974EF9"/>
    <w:rsid w:val="62980A0B"/>
    <w:rsid w:val="629B6165"/>
    <w:rsid w:val="629D3C8C"/>
    <w:rsid w:val="629D6774"/>
    <w:rsid w:val="62A3501A"/>
    <w:rsid w:val="62A36DC8"/>
    <w:rsid w:val="62A4074B"/>
    <w:rsid w:val="62A414BE"/>
    <w:rsid w:val="62A53DFF"/>
    <w:rsid w:val="62AA624C"/>
    <w:rsid w:val="62AE2B10"/>
    <w:rsid w:val="62AE40EB"/>
    <w:rsid w:val="62B13E15"/>
    <w:rsid w:val="62B14F45"/>
    <w:rsid w:val="62B26380"/>
    <w:rsid w:val="62B34490"/>
    <w:rsid w:val="62BC2A63"/>
    <w:rsid w:val="62BE6929"/>
    <w:rsid w:val="62C041E2"/>
    <w:rsid w:val="62C32D7F"/>
    <w:rsid w:val="62C415DD"/>
    <w:rsid w:val="62C4177D"/>
    <w:rsid w:val="62C52EA0"/>
    <w:rsid w:val="62C71497"/>
    <w:rsid w:val="62CC0D78"/>
    <w:rsid w:val="62D0617E"/>
    <w:rsid w:val="62D11686"/>
    <w:rsid w:val="62D856BF"/>
    <w:rsid w:val="62D861E5"/>
    <w:rsid w:val="62DD06AD"/>
    <w:rsid w:val="62DD4968"/>
    <w:rsid w:val="62E36E4C"/>
    <w:rsid w:val="62E4394B"/>
    <w:rsid w:val="62E925BC"/>
    <w:rsid w:val="62EC628E"/>
    <w:rsid w:val="62EF6BE8"/>
    <w:rsid w:val="62F42850"/>
    <w:rsid w:val="62F43AEE"/>
    <w:rsid w:val="62FC34C5"/>
    <w:rsid w:val="62FE4DA3"/>
    <w:rsid w:val="62FF7219"/>
    <w:rsid w:val="6302384E"/>
    <w:rsid w:val="63083581"/>
    <w:rsid w:val="630A1DC4"/>
    <w:rsid w:val="630B3E74"/>
    <w:rsid w:val="630C2A03"/>
    <w:rsid w:val="630C5FBF"/>
    <w:rsid w:val="630D2D2A"/>
    <w:rsid w:val="630F64DC"/>
    <w:rsid w:val="63146B0E"/>
    <w:rsid w:val="63181564"/>
    <w:rsid w:val="63183A0C"/>
    <w:rsid w:val="631A2FE1"/>
    <w:rsid w:val="631A52DC"/>
    <w:rsid w:val="631D0DD2"/>
    <w:rsid w:val="631E3909"/>
    <w:rsid w:val="6320666B"/>
    <w:rsid w:val="6321015F"/>
    <w:rsid w:val="63213139"/>
    <w:rsid w:val="63220635"/>
    <w:rsid w:val="63221F8C"/>
    <w:rsid w:val="63247F09"/>
    <w:rsid w:val="63270835"/>
    <w:rsid w:val="632A1297"/>
    <w:rsid w:val="632B797E"/>
    <w:rsid w:val="63331CC6"/>
    <w:rsid w:val="633448DA"/>
    <w:rsid w:val="63351342"/>
    <w:rsid w:val="633B5B03"/>
    <w:rsid w:val="633E6D0E"/>
    <w:rsid w:val="633F11E7"/>
    <w:rsid w:val="633F26EE"/>
    <w:rsid w:val="633F2C38"/>
    <w:rsid w:val="633F6160"/>
    <w:rsid w:val="63471E49"/>
    <w:rsid w:val="634B3A02"/>
    <w:rsid w:val="634E4F86"/>
    <w:rsid w:val="634F6348"/>
    <w:rsid w:val="63502856"/>
    <w:rsid w:val="635364C9"/>
    <w:rsid w:val="63596634"/>
    <w:rsid w:val="635A1B7D"/>
    <w:rsid w:val="635A5A14"/>
    <w:rsid w:val="635A6B9E"/>
    <w:rsid w:val="635B43A5"/>
    <w:rsid w:val="635F2A36"/>
    <w:rsid w:val="63676048"/>
    <w:rsid w:val="63683942"/>
    <w:rsid w:val="636B735A"/>
    <w:rsid w:val="636C0748"/>
    <w:rsid w:val="636C365E"/>
    <w:rsid w:val="636C6C9A"/>
    <w:rsid w:val="636F4946"/>
    <w:rsid w:val="6370338D"/>
    <w:rsid w:val="637257C1"/>
    <w:rsid w:val="63774BC6"/>
    <w:rsid w:val="63775FFC"/>
    <w:rsid w:val="637C7508"/>
    <w:rsid w:val="637E6D33"/>
    <w:rsid w:val="637F5A87"/>
    <w:rsid w:val="6381141E"/>
    <w:rsid w:val="63846E93"/>
    <w:rsid w:val="638502F9"/>
    <w:rsid w:val="638639C0"/>
    <w:rsid w:val="6386480A"/>
    <w:rsid w:val="638813BF"/>
    <w:rsid w:val="638871EC"/>
    <w:rsid w:val="638A2557"/>
    <w:rsid w:val="6390713F"/>
    <w:rsid w:val="6397067F"/>
    <w:rsid w:val="63997E7A"/>
    <w:rsid w:val="639C2195"/>
    <w:rsid w:val="639E5B8C"/>
    <w:rsid w:val="639E6557"/>
    <w:rsid w:val="63A07618"/>
    <w:rsid w:val="63A16F04"/>
    <w:rsid w:val="63A2606A"/>
    <w:rsid w:val="63A50BD1"/>
    <w:rsid w:val="63A64DC2"/>
    <w:rsid w:val="63A83AA9"/>
    <w:rsid w:val="63B23767"/>
    <w:rsid w:val="63BF5CFF"/>
    <w:rsid w:val="63C11BFC"/>
    <w:rsid w:val="63C12C99"/>
    <w:rsid w:val="63C146EE"/>
    <w:rsid w:val="63C45D91"/>
    <w:rsid w:val="63C870A9"/>
    <w:rsid w:val="63CE6941"/>
    <w:rsid w:val="63D1678A"/>
    <w:rsid w:val="63D20782"/>
    <w:rsid w:val="63D208A7"/>
    <w:rsid w:val="63D2700B"/>
    <w:rsid w:val="63D95197"/>
    <w:rsid w:val="63D97BB0"/>
    <w:rsid w:val="63DC6A36"/>
    <w:rsid w:val="63DD455C"/>
    <w:rsid w:val="63DE0190"/>
    <w:rsid w:val="63E1455D"/>
    <w:rsid w:val="63E1747D"/>
    <w:rsid w:val="63E45F61"/>
    <w:rsid w:val="63E54041"/>
    <w:rsid w:val="63E71F32"/>
    <w:rsid w:val="63E85D64"/>
    <w:rsid w:val="63E94CAF"/>
    <w:rsid w:val="63EA4C9D"/>
    <w:rsid w:val="63EC1460"/>
    <w:rsid w:val="63EE3A56"/>
    <w:rsid w:val="63EF49BB"/>
    <w:rsid w:val="63F20007"/>
    <w:rsid w:val="63F3525B"/>
    <w:rsid w:val="63FE2A1E"/>
    <w:rsid w:val="6402046F"/>
    <w:rsid w:val="64022E68"/>
    <w:rsid w:val="6405066E"/>
    <w:rsid w:val="640534D1"/>
    <w:rsid w:val="64071435"/>
    <w:rsid w:val="640D54AE"/>
    <w:rsid w:val="640D6A74"/>
    <w:rsid w:val="64104931"/>
    <w:rsid w:val="6410770C"/>
    <w:rsid w:val="64117280"/>
    <w:rsid w:val="64147093"/>
    <w:rsid w:val="641734A5"/>
    <w:rsid w:val="64180B09"/>
    <w:rsid w:val="641937E6"/>
    <w:rsid w:val="641D529A"/>
    <w:rsid w:val="642A50E6"/>
    <w:rsid w:val="642B27A5"/>
    <w:rsid w:val="642B61D2"/>
    <w:rsid w:val="642C5EF2"/>
    <w:rsid w:val="642D0E1D"/>
    <w:rsid w:val="642D103F"/>
    <w:rsid w:val="642D2706"/>
    <w:rsid w:val="642E6B65"/>
    <w:rsid w:val="643C4D09"/>
    <w:rsid w:val="643D2698"/>
    <w:rsid w:val="643F01D6"/>
    <w:rsid w:val="64414AEB"/>
    <w:rsid w:val="644270EC"/>
    <w:rsid w:val="644472A0"/>
    <w:rsid w:val="64455DE1"/>
    <w:rsid w:val="644A1BF1"/>
    <w:rsid w:val="644C3EC9"/>
    <w:rsid w:val="644D7057"/>
    <w:rsid w:val="644E62AA"/>
    <w:rsid w:val="64514E73"/>
    <w:rsid w:val="6451616D"/>
    <w:rsid w:val="645531AC"/>
    <w:rsid w:val="645667E8"/>
    <w:rsid w:val="645B3225"/>
    <w:rsid w:val="645C70B9"/>
    <w:rsid w:val="645F7377"/>
    <w:rsid w:val="646116EC"/>
    <w:rsid w:val="64631C47"/>
    <w:rsid w:val="64647E8C"/>
    <w:rsid w:val="64655E97"/>
    <w:rsid w:val="646901D4"/>
    <w:rsid w:val="646B6FD1"/>
    <w:rsid w:val="646F451E"/>
    <w:rsid w:val="64713622"/>
    <w:rsid w:val="647220B2"/>
    <w:rsid w:val="64740A1C"/>
    <w:rsid w:val="64757A6D"/>
    <w:rsid w:val="6477675E"/>
    <w:rsid w:val="64794C21"/>
    <w:rsid w:val="647B732E"/>
    <w:rsid w:val="647D2AAB"/>
    <w:rsid w:val="647E7F26"/>
    <w:rsid w:val="64810F96"/>
    <w:rsid w:val="64885BCD"/>
    <w:rsid w:val="648A60B1"/>
    <w:rsid w:val="648E0A5F"/>
    <w:rsid w:val="648F451B"/>
    <w:rsid w:val="64914641"/>
    <w:rsid w:val="64923598"/>
    <w:rsid w:val="64925346"/>
    <w:rsid w:val="64964EE5"/>
    <w:rsid w:val="64994B4B"/>
    <w:rsid w:val="649967F6"/>
    <w:rsid w:val="649C0FCB"/>
    <w:rsid w:val="649D6BDB"/>
    <w:rsid w:val="649E67BB"/>
    <w:rsid w:val="649F5063"/>
    <w:rsid w:val="64A532CB"/>
    <w:rsid w:val="64A6670B"/>
    <w:rsid w:val="64A9142C"/>
    <w:rsid w:val="64AA2690"/>
    <w:rsid w:val="64AA69CE"/>
    <w:rsid w:val="64AB7564"/>
    <w:rsid w:val="64AC250C"/>
    <w:rsid w:val="64AC28AC"/>
    <w:rsid w:val="64AD2180"/>
    <w:rsid w:val="64AE5532"/>
    <w:rsid w:val="64B00F23"/>
    <w:rsid w:val="64B03DC1"/>
    <w:rsid w:val="64B06949"/>
    <w:rsid w:val="64B17EC2"/>
    <w:rsid w:val="64B42B4C"/>
    <w:rsid w:val="64B67287"/>
    <w:rsid w:val="64BD440B"/>
    <w:rsid w:val="64BE25DF"/>
    <w:rsid w:val="64C572EB"/>
    <w:rsid w:val="64CF456C"/>
    <w:rsid w:val="64CF617A"/>
    <w:rsid w:val="64D01DC2"/>
    <w:rsid w:val="64DD2E2F"/>
    <w:rsid w:val="64E126D5"/>
    <w:rsid w:val="64E2375C"/>
    <w:rsid w:val="64E3536C"/>
    <w:rsid w:val="64E37B38"/>
    <w:rsid w:val="64E803EB"/>
    <w:rsid w:val="64E954BC"/>
    <w:rsid w:val="64E9765C"/>
    <w:rsid w:val="64EA4BD8"/>
    <w:rsid w:val="64EA5182"/>
    <w:rsid w:val="64EC0EFA"/>
    <w:rsid w:val="64EF4547"/>
    <w:rsid w:val="64F22207"/>
    <w:rsid w:val="64F264D3"/>
    <w:rsid w:val="64F35A99"/>
    <w:rsid w:val="64FA3B29"/>
    <w:rsid w:val="64FD2CC8"/>
    <w:rsid w:val="64FD4EB5"/>
    <w:rsid w:val="64FD51C4"/>
    <w:rsid w:val="64FE4159"/>
    <w:rsid w:val="6502071E"/>
    <w:rsid w:val="65051FBC"/>
    <w:rsid w:val="65085D5E"/>
    <w:rsid w:val="650B23C6"/>
    <w:rsid w:val="6510574A"/>
    <w:rsid w:val="65114844"/>
    <w:rsid w:val="6513469A"/>
    <w:rsid w:val="65135588"/>
    <w:rsid w:val="65186D7C"/>
    <w:rsid w:val="651931DF"/>
    <w:rsid w:val="651C5A32"/>
    <w:rsid w:val="651D26DF"/>
    <w:rsid w:val="651D59CE"/>
    <w:rsid w:val="651E4E2C"/>
    <w:rsid w:val="65214AF4"/>
    <w:rsid w:val="65222B6E"/>
    <w:rsid w:val="65270184"/>
    <w:rsid w:val="652B6726"/>
    <w:rsid w:val="652E4C42"/>
    <w:rsid w:val="652F1BCA"/>
    <w:rsid w:val="652F7BAB"/>
    <w:rsid w:val="6532495F"/>
    <w:rsid w:val="65330CE6"/>
    <w:rsid w:val="6537345E"/>
    <w:rsid w:val="65384872"/>
    <w:rsid w:val="653A0D5A"/>
    <w:rsid w:val="653B497F"/>
    <w:rsid w:val="653D6D71"/>
    <w:rsid w:val="654875BD"/>
    <w:rsid w:val="65495957"/>
    <w:rsid w:val="654D7623"/>
    <w:rsid w:val="6553333A"/>
    <w:rsid w:val="65533CAC"/>
    <w:rsid w:val="65540C95"/>
    <w:rsid w:val="65572731"/>
    <w:rsid w:val="655908A2"/>
    <w:rsid w:val="655A12B3"/>
    <w:rsid w:val="655D7702"/>
    <w:rsid w:val="65613696"/>
    <w:rsid w:val="65633B47"/>
    <w:rsid w:val="65635F4D"/>
    <w:rsid w:val="656A68B9"/>
    <w:rsid w:val="656C1DD8"/>
    <w:rsid w:val="656E52A4"/>
    <w:rsid w:val="65741D0A"/>
    <w:rsid w:val="65750250"/>
    <w:rsid w:val="65750DA1"/>
    <w:rsid w:val="65757142"/>
    <w:rsid w:val="6576011A"/>
    <w:rsid w:val="65764FF5"/>
    <w:rsid w:val="6579567F"/>
    <w:rsid w:val="657A4758"/>
    <w:rsid w:val="657C354F"/>
    <w:rsid w:val="657D1B74"/>
    <w:rsid w:val="657F47B4"/>
    <w:rsid w:val="6580117C"/>
    <w:rsid w:val="65825E38"/>
    <w:rsid w:val="65841133"/>
    <w:rsid w:val="65852F1D"/>
    <w:rsid w:val="65896749"/>
    <w:rsid w:val="659137FD"/>
    <w:rsid w:val="6591428D"/>
    <w:rsid w:val="65945B9C"/>
    <w:rsid w:val="65967641"/>
    <w:rsid w:val="6597040F"/>
    <w:rsid w:val="65980857"/>
    <w:rsid w:val="65982883"/>
    <w:rsid w:val="65990C12"/>
    <w:rsid w:val="659C34FD"/>
    <w:rsid w:val="659D612D"/>
    <w:rsid w:val="65A43D9E"/>
    <w:rsid w:val="65A45331"/>
    <w:rsid w:val="65A90B99"/>
    <w:rsid w:val="65A9504F"/>
    <w:rsid w:val="65AC158C"/>
    <w:rsid w:val="65AF5B78"/>
    <w:rsid w:val="65B01F28"/>
    <w:rsid w:val="65B27B14"/>
    <w:rsid w:val="65B330B7"/>
    <w:rsid w:val="65B5707A"/>
    <w:rsid w:val="65B662E9"/>
    <w:rsid w:val="65B679A3"/>
    <w:rsid w:val="65BA7A11"/>
    <w:rsid w:val="65BB087A"/>
    <w:rsid w:val="65BC6B1F"/>
    <w:rsid w:val="65BF7B80"/>
    <w:rsid w:val="65C01B30"/>
    <w:rsid w:val="65C07C91"/>
    <w:rsid w:val="65C12198"/>
    <w:rsid w:val="65CC5D5E"/>
    <w:rsid w:val="65D5198E"/>
    <w:rsid w:val="65D57BE0"/>
    <w:rsid w:val="65D72321"/>
    <w:rsid w:val="65D75FAE"/>
    <w:rsid w:val="65DC7951"/>
    <w:rsid w:val="65E004FF"/>
    <w:rsid w:val="65E106DD"/>
    <w:rsid w:val="65E27442"/>
    <w:rsid w:val="65E41BD1"/>
    <w:rsid w:val="65EC76BC"/>
    <w:rsid w:val="65ED3B08"/>
    <w:rsid w:val="65F17A91"/>
    <w:rsid w:val="65F50956"/>
    <w:rsid w:val="65F7544C"/>
    <w:rsid w:val="65FC50A9"/>
    <w:rsid w:val="65FD2C93"/>
    <w:rsid w:val="65FF27B7"/>
    <w:rsid w:val="660467BE"/>
    <w:rsid w:val="66061B48"/>
    <w:rsid w:val="66066F45"/>
    <w:rsid w:val="66075866"/>
    <w:rsid w:val="660767B5"/>
    <w:rsid w:val="6608794D"/>
    <w:rsid w:val="660B3A0E"/>
    <w:rsid w:val="660E6C4E"/>
    <w:rsid w:val="660F20D5"/>
    <w:rsid w:val="66106E6A"/>
    <w:rsid w:val="661113FF"/>
    <w:rsid w:val="66166670"/>
    <w:rsid w:val="66195F86"/>
    <w:rsid w:val="661A0F80"/>
    <w:rsid w:val="661C323F"/>
    <w:rsid w:val="661F7D83"/>
    <w:rsid w:val="66237D8B"/>
    <w:rsid w:val="66245681"/>
    <w:rsid w:val="66246472"/>
    <w:rsid w:val="66247EB7"/>
    <w:rsid w:val="66256653"/>
    <w:rsid w:val="662640C5"/>
    <w:rsid w:val="66270F6D"/>
    <w:rsid w:val="662B5310"/>
    <w:rsid w:val="662D16B4"/>
    <w:rsid w:val="662F3D90"/>
    <w:rsid w:val="663012BB"/>
    <w:rsid w:val="663548DC"/>
    <w:rsid w:val="66377AFF"/>
    <w:rsid w:val="663A235B"/>
    <w:rsid w:val="6643073A"/>
    <w:rsid w:val="66483789"/>
    <w:rsid w:val="66485D0B"/>
    <w:rsid w:val="66487711"/>
    <w:rsid w:val="664A237C"/>
    <w:rsid w:val="664D1998"/>
    <w:rsid w:val="6656739F"/>
    <w:rsid w:val="665A4B48"/>
    <w:rsid w:val="665D1D97"/>
    <w:rsid w:val="665F4634"/>
    <w:rsid w:val="66610327"/>
    <w:rsid w:val="666769DE"/>
    <w:rsid w:val="66681D52"/>
    <w:rsid w:val="666C075D"/>
    <w:rsid w:val="66705A4E"/>
    <w:rsid w:val="66774855"/>
    <w:rsid w:val="6678536A"/>
    <w:rsid w:val="667916C1"/>
    <w:rsid w:val="667D4F53"/>
    <w:rsid w:val="667E5B82"/>
    <w:rsid w:val="668313EA"/>
    <w:rsid w:val="668374C3"/>
    <w:rsid w:val="6685214C"/>
    <w:rsid w:val="668C2CB8"/>
    <w:rsid w:val="66901450"/>
    <w:rsid w:val="66966404"/>
    <w:rsid w:val="669B3F7D"/>
    <w:rsid w:val="669C6C3D"/>
    <w:rsid w:val="669E1D63"/>
    <w:rsid w:val="66A0330E"/>
    <w:rsid w:val="66A10A6D"/>
    <w:rsid w:val="66A2546E"/>
    <w:rsid w:val="66A73177"/>
    <w:rsid w:val="66A80F92"/>
    <w:rsid w:val="66AB57AF"/>
    <w:rsid w:val="66AC1B17"/>
    <w:rsid w:val="66B16945"/>
    <w:rsid w:val="66B23A7E"/>
    <w:rsid w:val="66B61F05"/>
    <w:rsid w:val="66B66305"/>
    <w:rsid w:val="66BC1263"/>
    <w:rsid w:val="66BC3A8B"/>
    <w:rsid w:val="66BD325D"/>
    <w:rsid w:val="66BE0674"/>
    <w:rsid w:val="66C16B1B"/>
    <w:rsid w:val="66C35DAE"/>
    <w:rsid w:val="66C37AA4"/>
    <w:rsid w:val="66C42084"/>
    <w:rsid w:val="66C7577B"/>
    <w:rsid w:val="66C832A1"/>
    <w:rsid w:val="66C932F3"/>
    <w:rsid w:val="66CB104C"/>
    <w:rsid w:val="66D02D36"/>
    <w:rsid w:val="66D03836"/>
    <w:rsid w:val="66D14494"/>
    <w:rsid w:val="66D15204"/>
    <w:rsid w:val="66D47E98"/>
    <w:rsid w:val="66D64607"/>
    <w:rsid w:val="66D759F1"/>
    <w:rsid w:val="66D95F2E"/>
    <w:rsid w:val="66DD2ABE"/>
    <w:rsid w:val="66E00FD4"/>
    <w:rsid w:val="66E179A0"/>
    <w:rsid w:val="66E3632D"/>
    <w:rsid w:val="66E53E53"/>
    <w:rsid w:val="66E95D50"/>
    <w:rsid w:val="66EC2A3A"/>
    <w:rsid w:val="66ED0F5A"/>
    <w:rsid w:val="66F2021F"/>
    <w:rsid w:val="66F251D1"/>
    <w:rsid w:val="66F622CB"/>
    <w:rsid w:val="66F636D5"/>
    <w:rsid w:val="66F91137"/>
    <w:rsid w:val="66FB642C"/>
    <w:rsid w:val="6700300B"/>
    <w:rsid w:val="670047E9"/>
    <w:rsid w:val="67007975"/>
    <w:rsid w:val="670210BD"/>
    <w:rsid w:val="67033C09"/>
    <w:rsid w:val="67082B6E"/>
    <w:rsid w:val="6709615A"/>
    <w:rsid w:val="670E2EAE"/>
    <w:rsid w:val="67106BEE"/>
    <w:rsid w:val="67116C53"/>
    <w:rsid w:val="67132021"/>
    <w:rsid w:val="671D5367"/>
    <w:rsid w:val="671E444E"/>
    <w:rsid w:val="671F21A3"/>
    <w:rsid w:val="671F5A5B"/>
    <w:rsid w:val="6720082C"/>
    <w:rsid w:val="672777C9"/>
    <w:rsid w:val="67281B06"/>
    <w:rsid w:val="672941DB"/>
    <w:rsid w:val="67320950"/>
    <w:rsid w:val="673358DF"/>
    <w:rsid w:val="67344C7D"/>
    <w:rsid w:val="673732B0"/>
    <w:rsid w:val="673A27E3"/>
    <w:rsid w:val="673C7DD1"/>
    <w:rsid w:val="673F78F5"/>
    <w:rsid w:val="67445EA0"/>
    <w:rsid w:val="67467B60"/>
    <w:rsid w:val="674A06B6"/>
    <w:rsid w:val="674B340B"/>
    <w:rsid w:val="674F5B66"/>
    <w:rsid w:val="67507812"/>
    <w:rsid w:val="67553F18"/>
    <w:rsid w:val="67567F94"/>
    <w:rsid w:val="675A65EF"/>
    <w:rsid w:val="67601CDE"/>
    <w:rsid w:val="67603355"/>
    <w:rsid w:val="6760797E"/>
    <w:rsid w:val="676214C5"/>
    <w:rsid w:val="676A25AA"/>
    <w:rsid w:val="676C1E7F"/>
    <w:rsid w:val="677323BF"/>
    <w:rsid w:val="67735D37"/>
    <w:rsid w:val="677376B1"/>
    <w:rsid w:val="677438B5"/>
    <w:rsid w:val="67747A36"/>
    <w:rsid w:val="67764644"/>
    <w:rsid w:val="67765DF3"/>
    <w:rsid w:val="67786A75"/>
    <w:rsid w:val="677B47B7"/>
    <w:rsid w:val="677D5E3A"/>
    <w:rsid w:val="67851192"/>
    <w:rsid w:val="67855ACB"/>
    <w:rsid w:val="678D7498"/>
    <w:rsid w:val="67937D46"/>
    <w:rsid w:val="67961735"/>
    <w:rsid w:val="67965EE3"/>
    <w:rsid w:val="679B09B6"/>
    <w:rsid w:val="679C4307"/>
    <w:rsid w:val="679E5BE1"/>
    <w:rsid w:val="67A04290"/>
    <w:rsid w:val="67A160B9"/>
    <w:rsid w:val="67AA2C7D"/>
    <w:rsid w:val="67B3530B"/>
    <w:rsid w:val="67BD1E5E"/>
    <w:rsid w:val="67BD3199"/>
    <w:rsid w:val="67BE6BDE"/>
    <w:rsid w:val="67C17DDE"/>
    <w:rsid w:val="67C17E33"/>
    <w:rsid w:val="67C41CBB"/>
    <w:rsid w:val="67C5586F"/>
    <w:rsid w:val="67C5659F"/>
    <w:rsid w:val="67CE496A"/>
    <w:rsid w:val="67D25FAA"/>
    <w:rsid w:val="67DA0714"/>
    <w:rsid w:val="67DD2769"/>
    <w:rsid w:val="67E265E5"/>
    <w:rsid w:val="67E40AF1"/>
    <w:rsid w:val="67E67E83"/>
    <w:rsid w:val="67EC3118"/>
    <w:rsid w:val="67EE7DE9"/>
    <w:rsid w:val="67F72090"/>
    <w:rsid w:val="67FB27CB"/>
    <w:rsid w:val="67FF661C"/>
    <w:rsid w:val="68010AC3"/>
    <w:rsid w:val="68037B5E"/>
    <w:rsid w:val="68071BA7"/>
    <w:rsid w:val="6807778A"/>
    <w:rsid w:val="680B4215"/>
    <w:rsid w:val="680D6DEF"/>
    <w:rsid w:val="680F6F1A"/>
    <w:rsid w:val="680F7CA7"/>
    <w:rsid w:val="68103152"/>
    <w:rsid w:val="68164649"/>
    <w:rsid w:val="681A01F7"/>
    <w:rsid w:val="681C7468"/>
    <w:rsid w:val="68210EBB"/>
    <w:rsid w:val="68262975"/>
    <w:rsid w:val="682B3423"/>
    <w:rsid w:val="682E74F1"/>
    <w:rsid w:val="6837462A"/>
    <w:rsid w:val="683B125E"/>
    <w:rsid w:val="683B394D"/>
    <w:rsid w:val="683C4AC4"/>
    <w:rsid w:val="683C7AA3"/>
    <w:rsid w:val="684255FC"/>
    <w:rsid w:val="684601F7"/>
    <w:rsid w:val="684A0976"/>
    <w:rsid w:val="684C1023"/>
    <w:rsid w:val="684D232C"/>
    <w:rsid w:val="68500867"/>
    <w:rsid w:val="68505375"/>
    <w:rsid w:val="6852344E"/>
    <w:rsid w:val="68536AFB"/>
    <w:rsid w:val="68560DD6"/>
    <w:rsid w:val="685B5F74"/>
    <w:rsid w:val="685E476F"/>
    <w:rsid w:val="68605BF6"/>
    <w:rsid w:val="68613B4D"/>
    <w:rsid w:val="686314D3"/>
    <w:rsid w:val="6867089B"/>
    <w:rsid w:val="68694778"/>
    <w:rsid w:val="686A6A47"/>
    <w:rsid w:val="686D2D5B"/>
    <w:rsid w:val="686F7E78"/>
    <w:rsid w:val="68736042"/>
    <w:rsid w:val="687C0BE7"/>
    <w:rsid w:val="68801573"/>
    <w:rsid w:val="68817BAC"/>
    <w:rsid w:val="688613BE"/>
    <w:rsid w:val="688D01A9"/>
    <w:rsid w:val="688F59E0"/>
    <w:rsid w:val="6890596F"/>
    <w:rsid w:val="68923B67"/>
    <w:rsid w:val="689306AB"/>
    <w:rsid w:val="68955405"/>
    <w:rsid w:val="689B020F"/>
    <w:rsid w:val="689F6284"/>
    <w:rsid w:val="68A01CBF"/>
    <w:rsid w:val="68A1640E"/>
    <w:rsid w:val="68A27F6F"/>
    <w:rsid w:val="68A414EE"/>
    <w:rsid w:val="68A573B4"/>
    <w:rsid w:val="68AC29EA"/>
    <w:rsid w:val="68AD59EA"/>
    <w:rsid w:val="68B02209"/>
    <w:rsid w:val="68B10043"/>
    <w:rsid w:val="68B23D3B"/>
    <w:rsid w:val="68B313A8"/>
    <w:rsid w:val="68B65AA7"/>
    <w:rsid w:val="68B709CB"/>
    <w:rsid w:val="68BB30BE"/>
    <w:rsid w:val="68BC5088"/>
    <w:rsid w:val="68BE07D7"/>
    <w:rsid w:val="68BE4D2D"/>
    <w:rsid w:val="68C00B86"/>
    <w:rsid w:val="68C161FA"/>
    <w:rsid w:val="68C2326B"/>
    <w:rsid w:val="68C36416"/>
    <w:rsid w:val="68C43128"/>
    <w:rsid w:val="68C53F3C"/>
    <w:rsid w:val="68C87588"/>
    <w:rsid w:val="68CD169A"/>
    <w:rsid w:val="68CE1208"/>
    <w:rsid w:val="68D13EBD"/>
    <w:rsid w:val="68D40FD9"/>
    <w:rsid w:val="68D73C6F"/>
    <w:rsid w:val="68D76AD6"/>
    <w:rsid w:val="68DC3034"/>
    <w:rsid w:val="68DF538E"/>
    <w:rsid w:val="68E27F7F"/>
    <w:rsid w:val="68E329A4"/>
    <w:rsid w:val="68E5638C"/>
    <w:rsid w:val="68E674A1"/>
    <w:rsid w:val="68E70CF6"/>
    <w:rsid w:val="68E7349E"/>
    <w:rsid w:val="68E9117C"/>
    <w:rsid w:val="68E9788A"/>
    <w:rsid w:val="68EA48B7"/>
    <w:rsid w:val="68F264B9"/>
    <w:rsid w:val="68F3054B"/>
    <w:rsid w:val="68F55EA4"/>
    <w:rsid w:val="68F931DC"/>
    <w:rsid w:val="68FA73F9"/>
    <w:rsid w:val="68FC62F2"/>
    <w:rsid w:val="6901317B"/>
    <w:rsid w:val="690437B1"/>
    <w:rsid w:val="69070D12"/>
    <w:rsid w:val="6908045D"/>
    <w:rsid w:val="6908207B"/>
    <w:rsid w:val="690B471A"/>
    <w:rsid w:val="690C3900"/>
    <w:rsid w:val="690D2063"/>
    <w:rsid w:val="690D7613"/>
    <w:rsid w:val="69110F2F"/>
    <w:rsid w:val="69112CDD"/>
    <w:rsid w:val="69164798"/>
    <w:rsid w:val="691A44EF"/>
    <w:rsid w:val="691A4C6A"/>
    <w:rsid w:val="691D3990"/>
    <w:rsid w:val="69207B74"/>
    <w:rsid w:val="692770CF"/>
    <w:rsid w:val="692C6F44"/>
    <w:rsid w:val="69300804"/>
    <w:rsid w:val="693178E7"/>
    <w:rsid w:val="693521EC"/>
    <w:rsid w:val="6935454D"/>
    <w:rsid w:val="6936536D"/>
    <w:rsid w:val="69395430"/>
    <w:rsid w:val="693A0AC1"/>
    <w:rsid w:val="693B2277"/>
    <w:rsid w:val="693D7F76"/>
    <w:rsid w:val="693F5B7B"/>
    <w:rsid w:val="6941195C"/>
    <w:rsid w:val="69412975"/>
    <w:rsid w:val="6947416F"/>
    <w:rsid w:val="694A4390"/>
    <w:rsid w:val="694A4632"/>
    <w:rsid w:val="694A7943"/>
    <w:rsid w:val="694B7F28"/>
    <w:rsid w:val="6954548A"/>
    <w:rsid w:val="6959504D"/>
    <w:rsid w:val="695C309F"/>
    <w:rsid w:val="695F675F"/>
    <w:rsid w:val="69620808"/>
    <w:rsid w:val="696279DD"/>
    <w:rsid w:val="696452A8"/>
    <w:rsid w:val="69654F08"/>
    <w:rsid w:val="696A5015"/>
    <w:rsid w:val="696D3153"/>
    <w:rsid w:val="696E6E2A"/>
    <w:rsid w:val="69726437"/>
    <w:rsid w:val="697270EF"/>
    <w:rsid w:val="697715F3"/>
    <w:rsid w:val="6977727A"/>
    <w:rsid w:val="6978515F"/>
    <w:rsid w:val="69834553"/>
    <w:rsid w:val="69896D4F"/>
    <w:rsid w:val="698B53A3"/>
    <w:rsid w:val="698C6485"/>
    <w:rsid w:val="698E07D2"/>
    <w:rsid w:val="698F2AFB"/>
    <w:rsid w:val="699565EA"/>
    <w:rsid w:val="699606E4"/>
    <w:rsid w:val="699831ED"/>
    <w:rsid w:val="69983354"/>
    <w:rsid w:val="69A54C80"/>
    <w:rsid w:val="69A71F9B"/>
    <w:rsid w:val="69A93947"/>
    <w:rsid w:val="69AB7DD3"/>
    <w:rsid w:val="69AD71B9"/>
    <w:rsid w:val="69AE0CC4"/>
    <w:rsid w:val="69AE5B23"/>
    <w:rsid w:val="69AF6AEA"/>
    <w:rsid w:val="69B15CC3"/>
    <w:rsid w:val="69B63885"/>
    <w:rsid w:val="69B943AB"/>
    <w:rsid w:val="69C00C21"/>
    <w:rsid w:val="69C14675"/>
    <w:rsid w:val="69C2047C"/>
    <w:rsid w:val="69C20FF9"/>
    <w:rsid w:val="69C303AE"/>
    <w:rsid w:val="69C33526"/>
    <w:rsid w:val="69CC4F49"/>
    <w:rsid w:val="69CC7B4C"/>
    <w:rsid w:val="69D00734"/>
    <w:rsid w:val="69D15228"/>
    <w:rsid w:val="69D23438"/>
    <w:rsid w:val="69D46F5B"/>
    <w:rsid w:val="69D8104B"/>
    <w:rsid w:val="69DB6034"/>
    <w:rsid w:val="69DE4577"/>
    <w:rsid w:val="69DF3BE1"/>
    <w:rsid w:val="69DF7BBF"/>
    <w:rsid w:val="69E06621"/>
    <w:rsid w:val="69E12835"/>
    <w:rsid w:val="69E3471E"/>
    <w:rsid w:val="69E349FF"/>
    <w:rsid w:val="69E427D0"/>
    <w:rsid w:val="69E44EF7"/>
    <w:rsid w:val="69E63AC6"/>
    <w:rsid w:val="69EF3624"/>
    <w:rsid w:val="69F068B9"/>
    <w:rsid w:val="69F60125"/>
    <w:rsid w:val="69FA1EB7"/>
    <w:rsid w:val="69FB10EF"/>
    <w:rsid w:val="69FD4233"/>
    <w:rsid w:val="69FD76B2"/>
    <w:rsid w:val="69FE3412"/>
    <w:rsid w:val="6A0768E4"/>
    <w:rsid w:val="6A090330"/>
    <w:rsid w:val="6A0950F8"/>
    <w:rsid w:val="6A152BCC"/>
    <w:rsid w:val="6A166B8C"/>
    <w:rsid w:val="6A1723F7"/>
    <w:rsid w:val="6A1832E9"/>
    <w:rsid w:val="6A1903E4"/>
    <w:rsid w:val="6A1B0F03"/>
    <w:rsid w:val="6A1F58CE"/>
    <w:rsid w:val="6A231BEA"/>
    <w:rsid w:val="6A246A40"/>
    <w:rsid w:val="6A272DF4"/>
    <w:rsid w:val="6A275331"/>
    <w:rsid w:val="6A280905"/>
    <w:rsid w:val="6A2B6EB8"/>
    <w:rsid w:val="6A2B76BA"/>
    <w:rsid w:val="6A3200C2"/>
    <w:rsid w:val="6A323D72"/>
    <w:rsid w:val="6A326DCF"/>
    <w:rsid w:val="6A3749C6"/>
    <w:rsid w:val="6A385A72"/>
    <w:rsid w:val="6A3C3374"/>
    <w:rsid w:val="6A4542A6"/>
    <w:rsid w:val="6A494017"/>
    <w:rsid w:val="6A4D7B93"/>
    <w:rsid w:val="6A4E3ABD"/>
    <w:rsid w:val="6A505A87"/>
    <w:rsid w:val="6A5B28CF"/>
    <w:rsid w:val="6A5E63F6"/>
    <w:rsid w:val="6A600CE3"/>
    <w:rsid w:val="6A606201"/>
    <w:rsid w:val="6A606A5A"/>
    <w:rsid w:val="6A6243BF"/>
    <w:rsid w:val="6A63012F"/>
    <w:rsid w:val="6A6369A2"/>
    <w:rsid w:val="6A6658DA"/>
    <w:rsid w:val="6A674B7F"/>
    <w:rsid w:val="6A6C6CF8"/>
    <w:rsid w:val="6A704BD7"/>
    <w:rsid w:val="6A741FD7"/>
    <w:rsid w:val="6A7441AA"/>
    <w:rsid w:val="6A756AA6"/>
    <w:rsid w:val="6A7812EA"/>
    <w:rsid w:val="6A78275B"/>
    <w:rsid w:val="6A786D8C"/>
    <w:rsid w:val="6A7A3FFB"/>
    <w:rsid w:val="6A7B3D1D"/>
    <w:rsid w:val="6A7F1CED"/>
    <w:rsid w:val="6A833A2C"/>
    <w:rsid w:val="6A8569C7"/>
    <w:rsid w:val="6A8F693B"/>
    <w:rsid w:val="6A9071E4"/>
    <w:rsid w:val="6A995281"/>
    <w:rsid w:val="6A9A4F55"/>
    <w:rsid w:val="6A9F0C34"/>
    <w:rsid w:val="6A9F592C"/>
    <w:rsid w:val="6AA20EBD"/>
    <w:rsid w:val="6AA25B41"/>
    <w:rsid w:val="6AA326AA"/>
    <w:rsid w:val="6AA42057"/>
    <w:rsid w:val="6AA57666"/>
    <w:rsid w:val="6AA656A7"/>
    <w:rsid w:val="6AB13C5C"/>
    <w:rsid w:val="6AB342EC"/>
    <w:rsid w:val="6AB53B3C"/>
    <w:rsid w:val="6AB70144"/>
    <w:rsid w:val="6ABD3007"/>
    <w:rsid w:val="6ABF0FF1"/>
    <w:rsid w:val="6AC046B4"/>
    <w:rsid w:val="6AC05446"/>
    <w:rsid w:val="6AC05FE9"/>
    <w:rsid w:val="6AC24D4A"/>
    <w:rsid w:val="6AC25F97"/>
    <w:rsid w:val="6AC47EAF"/>
    <w:rsid w:val="6AC50223"/>
    <w:rsid w:val="6AC51C78"/>
    <w:rsid w:val="6AC62B60"/>
    <w:rsid w:val="6AC96E18"/>
    <w:rsid w:val="6ACD4982"/>
    <w:rsid w:val="6AD2649C"/>
    <w:rsid w:val="6AD369E3"/>
    <w:rsid w:val="6AD60BC8"/>
    <w:rsid w:val="6AD66B18"/>
    <w:rsid w:val="6ADA45F4"/>
    <w:rsid w:val="6ADF06CD"/>
    <w:rsid w:val="6AE4365C"/>
    <w:rsid w:val="6AE508C6"/>
    <w:rsid w:val="6AE54422"/>
    <w:rsid w:val="6AE55897"/>
    <w:rsid w:val="6AE80FE7"/>
    <w:rsid w:val="6AE82164"/>
    <w:rsid w:val="6AEE440D"/>
    <w:rsid w:val="6AFC5C0F"/>
    <w:rsid w:val="6B0032AF"/>
    <w:rsid w:val="6B0625EA"/>
    <w:rsid w:val="6B0C2013"/>
    <w:rsid w:val="6B0C2427"/>
    <w:rsid w:val="6B0D79A0"/>
    <w:rsid w:val="6B105217"/>
    <w:rsid w:val="6B123E62"/>
    <w:rsid w:val="6B130A75"/>
    <w:rsid w:val="6B15733D"/>
    <w:rsid w:val="6B173574"/>
    <w:rsid w:val="6B17628B"/>
    <w:rsid w:val="6B1B12F4"/>
    <w:rsid w:val="6B1F01B2"/>
    <w:rsid w:val="6B272C8C"/>
    <w:rsid w:val="6B284A81"/>
    <w:rsid w:val="6B320A69"/>
    <w:rsid w:val="6B374592"/>
    <w:rsid w:val="6B377624"/>
    <w:rsid w:val="6B3C42A9"/>
    <w:rsid w:val="6B3D478C"/>
    <w:rsid w:val="6B3F0DCA"/>
    <w:rsid w:val="6B4128E5"/>
    <w:rsid w:val="6B4311F7"/>
    <w:rsid w:val="6B46121D"/>
    <w:rsid w:val="6B4A5754"/>
    <w:rsid w:val="6B4B7B38"/>
    <w:rsid w:val="6B4E2281"/>
    <w:rsid w:val="6B567E35"/>
    <w:rsid w:val="6B5B7DCF"/>
    <w:rsid w:val="6B5C0F2B"/>
    <w:rsid w:val="6B637A3C"/>
    <w:rsid w:val="6B661CDC"/>
    <w:rsid w:val="6B66679E"/>
    <w:rsid w:val="6B6D7FA6"/>
    <w:rsid w:val="6B721A2E"/>
    <w:rsid w:val="6B7913C8"/>
    <w:rsid w:val="6B7E57AC"/>
    <w:rsid w:val="6B811C71"/>
    <w:rsid w:val="6B8319D5"/>
    <w:rsid w:val="6B865868"/>
    <w:rsid w:val="6B893E02"/>
    <w:rsid w:val="6B8A5BD5"/>
    <w:rsid w:val="6B8E14D6"/>
    <w:rsid w:val="6B8E1A3A"/>
    <w:rsid w:val="6B8E28BD"/>
    <w:rsid w:val="6B8F3D53"/>
    <w:rsid w:val="6B912D8D"/>
    <w:rsid w:val="6B942229"/>
    <w:rsid w:val="6B942AB5"/>
    <w:rsid w:val="6B96571C"/>
    <w:rsid w:val="6B966618"/>
    <w:rsid w:val="6B977811"/>
    <w:rsid w:val="6B980EAE"/>
    <w:rsid w:val="6B995153"/>
    <w:rsid w:val="6B9D0488"/>
    <w:rsid w:val="6B9E5F31"/>
    <w:rsid w:val="6BA20565"/>
    <w:rsid w:val="6BA37E39"/>
    <w:rsid w:val="6BA65289"/>
    <w:rsid w:val="6BA72FA3"/>
    <w:rsid w:val="6BAC4F3F"/>
    <w:rsid w:val="6BAD523D"/>
    <w:rsid w:val="6BB233FC"/>
    <w:rsid w:val="6BB54E8E"/>
    <w:rsid w:val="6BB65602"/>
    <w:rsid w:val="6BB81B36"/>
    <w:rsid w:val="6BB83423"/>
    <w:rsid w:val="6BBA3B00"/>
    <w:rsid w:val="6BBA5789"/>
    <w:rsid w:val="6BBC4CBD"/>
    <w:rsid w:val="6BBE500F"/>
    <w:rsid w:val="6BC404DB"/>
    <w:rsid w:val="6BC407AB"/>
    <w:rsid w:val="6BC50DF3"/>
    <w:rsid w:val="6BC84A99"/>
    <w:rsid w:val="6BCC49D4"/>
    <w:rsid w:val="6BCE5846"/>
    <w:rsid w:val="6BD10E4A"/>
    <w:rsid w:val="6BD365A1"/>
    <w:rsid w:val="6BD374AA"/>
    <w:rsid w:val="6BD86F39"/>
    <w:rsid w:val="6BDB03CB"/>
    <w:rsid w:val="6BDB2D1A"/>
    <w:rsid w:val="6BDD77EF"/>
    <w:rsid w:val="6BDE61A1"/>
    <w:rsid w:val="6BE0468C"/>
    <w:rsid w:val="6BE243E3"/>
    <w:rsid w:val="6BE34861"/>
    <w:rsid w:val="6BE621A4"/>
    <w:rsid w:val="6BE730A2"/>
    <w:rsid w:val="6BE83512"/>
    <w:rsid w:val="6BED334B"/>
    <w:rsid w:val="6BF02326"/>
    <w:rsid w:val="6BF0246D"/>
    <w:rsid w:val="6BF41407"/>
    <w:rsid w:val="6BF849AC"/>
    <w:rsid w:val="6C007039"/>
    <w:rsid w:val="6C017D52"/>
    <w:rsid w:val="6C065697"/>
    <w:rsid w:val="6C07134A"/>
    <w:rsid w:val="6C097567"/>
    <w:rsid w:val="6C0D0980"/>
    <w:rsid w:val="6C0E409C"/>
    <w:rsid w:val="6C127A86"/>
    <w:rsid w:val="6C1600AB"/>
    <w:rsid w:val="6C164AAF"/>
    <w:rsid w:val="6C167270"/>
    <w:rsid w:val="6C1D5F9B"/>
    <w:rsid w:val="6C1F6DF0"/>
    <w:rsid w:val="6C296F3D"/>
    <w:rsid w:val="6C2C2D30"/>
    <w:rsid w:val="6C2F03F2"/>
    <w:rsid w:val="6C2F330A"/>
    <w:rsid w:val="6C2F74D6"/>
    <w:rsid w:val="6C30791F"/>
    <w:rsid w:val="6C326748"/>
    <w:rsid w:val="6C34046D"/>
    <w:rsid w:val="6C351B65"/>
    <w:rsid w:val="6C360DF1"/>
    <w:rsid w:val="6C374F8F"/>
    <w:rsid w:val="6C3B0A13"/>
    <w:rsid w:val="6C3D6733"/>
    <w:rsid w:val="6C3E4287"/>
    <w:rsid w:val="6C415932"/>
    <w:rsid w:val="6C4C227F"/>
    <w:rsid w:val="6C4D3E5B"/>
    <w:rsid w:val="6C4E0507"/>
    <w:rsid w:val="6C501869"/>
    <w:rsid w:val="6C506213"/>
    <w:rsid w:val="6C526AD6"/>
    <w:rsid w:val="6C57176A"/>
    <w:rsid w:val="6C5850C7"/>
    <w:rsid w:val="6C60059B"/>
    <w:rsid w:val="6C6343CF"/>
    <w:rsid w:val="6C650FEF"/>
    <w:rsid w:val="6C672382"/>
    <w:rsid w:val="6C67530A"/>
    <w:rsid w:val="6C6D0B73"/>
    <w:rsid w:val="6C6E5574"/>
    <w:rsid w:val="6C705A4F"/>
    <w:rsid w:val="6C774FCC"/>
    <w:rsid w:val="6C781616"/>
    <w:rsid w:val="6C7A28BF"/>
    <w:rsid w:val="6C7A5163"/>
    <w:rsid w:val="6C7A7C07"/>
    <w:rsid w:val="6C824289"/>
    <w:rsid w:val="6C8376B8"/>
    <w:rsid w:val="6C875811"/>
    <w:rsid w:val="6C893C2F"/>
    <w:rsid w:val="6C8A0720"/>
    <w:rsid w:val="6C8E0AE9"/>
    <w:rsid w:val="6C8F3AD4"/>
    <w:rsid w:val="6C91221D"/>
    <w:rsid w:val="6C9129CB"/>
    <w:rsid w:val="6C9254DD"/>
    <w:rsid w:val="6C9721C7"/>
    <w:rsid w:val="6C973489"/>
    <w:rsid w:val="6C9E122D"/>
    <w:rsid w:val="6CA25EE1"/>
    <w:rsid w:val="6CA437FD"/>
    <w:rsid w:val="6CA822B1"/>
    <w:rsid w:val="6CAA435C"/>
    <w:rsid w:val="6CB07FD3"/>
    <w:rsid w:val="6CB22D8A"/>
    <w:rsid w:val="6CB23CD7"/>
    <w:rsid w:val="6CB57E24"/>
    <w:rsid w:val="6CB93DB8"/>
    <w:rsid w:val="6CBD4BA4"/>
    <w:rsid w:val="6CBE73FB"/>
    <w:rsid w:val="6CC1219B"/>
    <w:rsid w:val="6CC26B42"/>
    <w:rsid w:val="6CC30DDC"/>
    <w:rsid w:val="6CCB221E"/>
    <w:rsid w:val="6CCB50FC"/>
    <w:rsid w:val="6CCF4FC0"/>
    <w:rsid w:val="6CD1352D"/>
    <w:rsid w:val="6CD26F66"/>
    <w:rsid w:val="6CD30110"/>
    <w:rsid w:val="6CD66C08"/>
    <w:rsid w:val="6CD77F13"/>
    <w:rsid w:val="6CD822D7"/>
    <w:rsid w:val="6CD94183"/>
    <w:rsid w:val="6CDA4029"/>
    <w:rsid w:val="6CDD75B9"/>
    <w:rsid w:val="6CDE7AC3"/>
    <w:rsid w:val="6CDF5808"/>
    <w:rsid w:val="6CE87108"/>
    <w:rsid w:val="6CEB0E5F"/>
    <w:rsid w:val="6CEC1076"/>
    <w:rsid w:val="6CED4076"/>
    <w:rsid w:val="6CF13DF5"/>
    <w:rsid w:val="6CF440E8"/>
    <w:rsid w:val="6CF44DF0"/>
    <w:rsid w:val="6CF90631"/>
    <w:rsid w:val="6CFA2430"/>
    <w:rsid w:val="6CFD059F"/>
    <w:rsid w:val="6D003975"/>
    <w:rsid w:val="6D030643"/>
    <w:rsid w:val="6D033285"/>
    <w:rsid w:val="6D060848"/>
    <w:rsid w:val="6D064BCB"/>
    <w:rsid w:val="6D070183"/>
    <w:rsid w:val="6D0773A5"/>
    <w:rsid w:val="6D083259"/>
    <w:rsid w:val="6D0843F7"/>
    <w:rsid w:val="6D096FE2"/>
    <w:rsid w:val="6D0B399E"/>
    <w:rsid w:val="6D162FB8"/>
    <w:rsid w:val="6D170ADE"/>
    <w:rsid w:val="6D17288C"/>
    <w:rsid w:val="6D1807E2"/>
    <w:rsid w:val="6D1A1257"/>
    <w:rsid w:val="6D1C6CDE"/>
    <w:rsid w:val="6D1E30EA"/>
    <w:rsid w:val="6D215EF2"/>
    <w:rsid w:val="6D263923"/>
    <w:rsid w:val="6D285462"/>
    <w:rsid w:val="6D297EFC"/>
    <w:rsid w:val="6D2C2E07"/>
    <w:rsid w:val="6D2E3EB7"/>
    <w:rsid w:val="6D2E412A"/>
    <w:rsid w:val="6D2F6265"/>
    <w:rsid w:val="6D334516"/>
    <w:rsid w:val="6D3560ED"/>
    <w:rsid w:val="6D376772"/>
    <w:rsid w:val="6D393671"/>
    <w:rsid w:val="6D3B6DB0"/>
    <w:rsid w:val="6D401DE3"/>
    <w:rsid w:val="6D4040A6"/>
    <w:rsid w:val="6D405EEF"/>
    <w:rsid w:val="6D4124B4"/>
    <w:rsid w:val="6D414C16"/>
    <w:rsid w:val="6D43179E"/>
    <w:rsid w:val="6D45389E"/>
    <w:rsid w:val="6D466D18"/>
    <w:rsid w:val="6D471B18"/>
    <w:rsid w:val="6D4760EC"/>
    <w:rsid w:val="6D4972A8"/>
    <w:rsid w:val="6D4D3376"/>
    <w:rsid w:val="6D4D7F9C"/>
    <w:rsid w:val="6D4E425C"/>
    <w:rsid w:val="6D54556D"/>
    <w:rsid w:val="6D5A453F"/>
    <w:rsid w:val="6D5B5138"/>
    <w:rsid w:val="6D5D085D"/>
    <w:rsid w:val="6D6655C2"/>
    <w:rsid w:val="6D6A4A00"/>
    <w:rsid w:val="6D6E70A0"/>
    <w:rsid w:val="6D6F3EA8"/>
    <w:rsid w:val="6D710BF5"/>
    <w:rsid w:val="6D713D89"/>
    <w:rsid w:val="6D714693"/>
    <w:rsid w:val="6D745F31"/>
    <w:rsid w:val="6D7577EB"/>
    <w:rsid w:val="6D7A50EF"/>
    <w:rsid w:val="6D7B106D"/>
    <w:rsid w:val="6D7C24B8"/>
    <w:rsid w:val="6D7E335E"/>
    <w:rsid w:val="6D7E46BA"/>
    <w:rsid w:val="6D817C4C"/>
    <w:rsid w:val="6D874469"/>
    <w:rsid w:val="6D8811CF"/>
    <w:rsid w:val="6D8A5754"/>
    <w:rsid w:val="6D8D0D1D"/>
    <w:rsid w:val="6D8D4FFA"/>
    <w:rsid w:val="6D9264A7"/>
    <w:rsid w:val="6D946CEC"/>
    <w:rsid w:val="6D951425"/>
    <w:rsid w:val="6D964EDB"/>
    <w:rsid w:val="6D966B3F"/>
    <w:rsid w:val="6D9A7D4F"/>
    <w:rsid w:val="6D9B266A"/>
    <w:rsid w:val="6D9B5EFC"/>
    <w:rsid w:val="6DA04EEA"/>
    <w:rsid w:val="6DA60E3A"/>
    <w:rsid w:val="6DA62EC9"/>
    <w:rsid w:val="6DA77DE0"/>
    <w:rsid w:val="6DAC3EDD"/>
    <w:rsid w:val="6DAD3639"/>
    <w:rsid w:val="6DAF6E5E"/>
    <w:rsid w:val="6DB160BD"/>
    <w:rsid w:val="6DB22F33"/>
    <w:rsid w:val="6DB4321D"/>
    <w:rsid w:val="6DB465B8"/>
    <w:rsid w:val="6DB82189"/>
    <w:rsid w:val="6DBC4C25"/>
    <w:rsid w:val="6DC04CD2"/>
    <w:rsid w:val="6DC4506F"/>
    <w:rsid w:val="6DC55622"/>
    <w:rsid w:val="6DCB074C"/>
    <w:rsid w:val="6DCC3A30"/>
    <w:rsid w:val="6DCC5E85"/>
    <w:rsid w:val="6DCD3810"/>
    <w:rsid w:val="6DCF05CC"/>
    <w:rsid w:val="6DCF3434"/>
    <w:rsid w:val="6DD262C0"/>
    <w:rsid w:val="6DD54C21"/>
    <w:rsid w:val="6DD67409"/>
    <w:rsid w:val="6DD771E0"/>
    <w:rsid w:val="6DDA2AEA"/>
    <w:rsid w:val="6DDB45F1"/>
    <w:rsid w:val="6DDC4F19"/>
    <w:rsid w:val="6DDD51E7"/>
    <w:rsid w:val="6DDF3A89"/>
    <w:rsid w:val="6DE13D7D"/>
    <w:rsid w:val="6DE273B7"/>
    <w:rsid w:val="6DE377F1"/>
    <w:rsid w:val="6DE61F5E"/>
    <w:rsid w:val="6DE63730"/>
    <w:rsid w:val="6DE86B54"/>
    <w:rsid w:val="6DEA2920"/>
    <w:rsid w:val="6DEC3546"/>
    <w:rsid w:val="6DF022A5"/>
    <w:rsid w:val="6DF073B9"/>
    <w:rsid w:val="6DF16C10"/>
    <w:rsid w:val="6DF2376B"/>
    <w:rsid w:val="6DF42BCE"/>
    <w:rsid w:val="6DF70C5A"/>
    <w:rsid w:val="6DFA4688"/>
    <w:rsid w:val="6DFD1E0B"/>
    <w:rsid w:val="6DFD69CE"/>
    <w:rsid w:val="6E01601B"/>
    <w:rsid w:val="6E042314"/>
    <w:rsid w:val="6E051F56"/>
    <w:rsid w:val="6E070C8F"/>
    <w:rsid w:val="6E0946A1"/>
    <w:rsid w:val="6E0A5BD2"/>
    <w:rsid w:val="6E0D0843"/>
    <w:rsid w:val="6E0F3612"/>
    <w:rsid w:val="6E0F3C3B"/>
    <w:rsid w:val="6E112E7D"/>
    <w:rsid w:val="6E124635"/>
    <w:rsid w:val="6E151E13"/>
    <w:rsid w:val="6E1608B8"/>
    <w:rsid w:val="6E1617B6"/>
    <w:rsid w:val="6E173D25"/>
    <w:rsid w:val="6E194132"/>
    <w:rsid w:val="6E1A0C28"/>
    <w:rsid w:val="6E1A2382"/>
    <w:rsid w:val="6E1E3656"/>
    <w:rsid w:val="6E1F5DC6"/>
    <w:rsid w:val="6E227B23"/>
    <w:rsid w:val="6E246F94"/>
    <w:rsid w:val="6E29219D"/>
    <w:rsid w:val="6E39528B"/>
    <w:rsid w:val="6E396833"/>
    <w:rsid w:val="6E3B6A4F"/>
    <w:rsid w:val="6E420FDC"/>
    <w:rsid w:val="6E451502"/>
    <w:rsid w:val="6E495088"/>
    <w:rsid w:val="6E4B0B9D"/>
    <w:rsid w:val="6E4F565D"/>
    <w:rsid w:val="6E5275CD"/>
    <w:rsid w:val="6E55366C"/>
    <w:rsid w:val="6E553B57"/>
    <w:rsid w:val="6E587601"/>
    <w:rsid w:val="6E590166"/>
    <w:rsid w:val="6E5F2897"/>
    <w:rsid w:val="6E614141"/>
    <w:rsid w:val="6E6222F6"/>
    <w:rsid w:val="6E7416C8"/>
    <w:rsid w:val="6E74283F"/>
    <w:rsid w:val="6E79377D"/>
    <w:rsid w:val="6E7B6187"/>
    <w:rsid w:val="6E7B7E98"/>
    <w:rsid w:val="6E7C193A"/>
    <w:rsid w:val="6E84334F"/>
    <w:rsid w:val="6E847595"/>
    <w:rsid w:val="6E87532C"/>
    <w:rsid w:val="6E88215F"/>
    <w:rsid w:val="6E8834FE"/>
    <w:rsid w:val="6E8907B4"/>
    <w:rsid w:val="6E895CAF"/>
    <w:rsid w:val="6E8A6E01"/>
    <w:rsid w:val="6E8B1784"/>
    <w:rsid w:val="6E8D5D47"/>
    <w:rsid w:val="6E8E4DD0"/>
    <w:rsid w:val="6E8E6B7E"/>
    <w:rsid w:val="6E903B74"/>
    <w:rsid w:val="6E914261"/>
    <w:rsid w:val="6E9323E7"/>
    <w:rsid w:val="6E9F4313"/>
    <w:rsid w:val="6EA10DCF"/>
    <w:rsid w:val="6EA4236F"/>
    <w:rsid w:val="6EA73615"/>
    <w:rsid w:val="6EA86F14"/>
    <w:rsid w:val="6EAB3BD4"/>
    <w:rsid w:val="6EAE5472"/>
    <w:rsid w:val="6EAF0956"/>
    <w:rsid w:val="6EAF0DFA"/>
    <w:rsid w:val="6EB011EB"/>
    <w:rsid w:val="6EB434DE"/>
    <w:rsid w:val="6EB45411"/>
    <w:rsid w:val="6EB47908"/>
    <w:rsid w:val="6EB56A51"/>
    <w:rsid w:val="6EB614A2"/>
    <w:rsid w:val="6EB8009F"/>
    <w:rsid w:val="6EBA2EFA"/>
    <w:rsid w:val="6EBE02D3"/>
    <w:rsid w:val="6EC3786A"/>
    <w:rsid w:val="6EC41AB7"/>
    <w:rsid w:val="6EC74728"/>
    <w:rsid w:val="6EC802E2"/>
    <w:rsid w:val="6ECB7BD0"/>
    <w:rsid w:val="6ECD0D7D"/>
    <w:rsid w:val="6ECE41F1"/>
    <w:rsid w:val="6ECE7428"/>
    <w:rsid w:val="6ED3621F"/>
    <w:rsid w:val="6ED43E5F"/>
    <w:rsid w:val="6ED6292A"/>
    <w:rsid w:val="6ED766B0"/>
    <w:rsid w:val="6ED924EF"/>
    <w:rsid w:val="6EE002B6"/>
    <w:rsid w:val="6EE01C96"/>
    <w:rsid w:val="6EE113A4"/>
    <w:rsid w:val="6EE20187"/>
    <w:rsid w:val="6EE2686A"/>
    <w:rsid w:val="6EE3059F"/>
    <w:rsid w:val="6EE5338B"/>
    <w:rsid w:val="6EE768D7"/>
    <w:rsid w:val="6EE964AB"/>
    <w:rsid w:val="6EEB58F6"/>
    <w:rsid w:val="6EED48BE"/>
    <w:rsid w:val="6EED7D53"/>
    <w:rsid w:val="6EF168F8"/>
    <w:rsid w:val="6EF2418B"/>
    <w:rsid w:val="6EF6787A"/>
    <w:rsid w:val="6EF7632E"/>
    <w:rsid w:val="6EFD3E43"/>
    <w:rsid w:val="6F026E3F"/>
    <w:rsid w:val="6F071AEC"/>
    <w:rsid w:val="6F0768BB"/>
    <w:rsid w:val="6F09204E"/>
    <w:rsid w:val="6F0B6421"/>
    <w:rsid w:val="6F0C35E4"/>
    <w:rsid w:val="6F0D0E76"/>
    <w:rsid w:val="6F0F5F11"/>
    <w:rsid w:val="6F103A37"/>
    <w:rsid w:val="6F1049A5"/>
    <w:rsid w:val="6F130D6B"/>
    <w:rsid w:val="6F193038"/>
    <w:rsid w:val="6F1A2B70"/>
    <w:rsid w:val="6F1B2865"/>
    <w:rsid w:val="6F1E755A"/>
    <w:rsid w:val="6F20280A"/>
    <w:rsid w:val="6F22075B"/>
    <w:rsid w:val="6F253C23"/>
    <w:rsid w:val="6F255735"/>
    <w:rsid w:val="6F2565D0"/>
    <w:rsid w:val="6F2764A1"/>
    <w:rsid w:val="6F280B16"/>
    <w:rsid w:val="6F292546"/>
    <w:rsid w:val="6F295DC6"/>
    <w:rsid w:val="6F3C35B0"/>
    <w:rsid w:val="6F3C482C"/>
    <w:rsid w:val="6F3F371B"/>
    <w:rsid w:val="6F414D2D"/>
    <w:rsid w:val="6F496BF4"/>
    <w:rsid w:val="6F4D393B"/>
    <w:rsid w:val="6F502086"/>
    <w:rsid w:val="6F51753D"/>
    <w:rsid w:val="6F5222A2"/>
    <w:rsid w:val="6F57103A"/>
    <w:rsid w:val="6F5B5767"/>
    <w:rsid w:val="6F5D03E5"/>
    <w:rsid w:val="6F5E0A3D"/>
    <w:rsid w:val="6F5E1E54"/>
    <w:rsid w:val="6F5E252A"/>
    <w:rsid w:val="6F5E47A3"/>
    <w:rsid w:val="6F616C97"/>
    <w:rsid w:val="6F6A1399"/>
    <w:rsid w:val="6F6A75EB"/>
    <w:rsid w:val="6F6E291B"/>
    <w:rsid w:val="6F6E5145"/>
    <w:rsid w:val="6F724B0A"/>
    <w:rsid w:val="6F742A39"/>
    <w:rsid w:val="6F750D81"/>
    <w:rsid w:val="6F7574D9"/>
    <w:rsid w:val="6F766A19"/>
    <w:rsid w:val="6F792572"/>
    <w:rsid w:val="6F7B5468"/>
    <w:rsid w:val="6F7C5D26"/>
    <w:rsid w:val="6F8113E1"/>
    <w:rsid w:val="6F81339C"/>
    <w:rsid w:val="6F8B3CC3"/>
    <w:rsid w:val="6F8D6739"/>
    <w:rsid w:val="6F8F65C5"/>
    <w:rsid w:val="6F8F7F4A"/>
    <w:rsid w:val="6F957982"/>
    <w:rsid w:val="6F974289"/>
    <w:rsid w:val="6F9B3234"/>
    <w:rsid w:val="6F9F77CB"/>
    <w:rsid w:val="6FA15C41"/>
    <w:rsid w:val="6FA34005"/>
    <w:rsid w:val="6FA3550C"/>
    <w:rsid w:val="6FA4517B"/>
    <w:rsid w:val="6FA523D2"/>
    <w:rsid w:val="6FA86D33"/>
    <w:rsid w:val="6FAC262D"/>
    <w:rsid w:val="6FAD0267"/>
    <w:rsid w:val="6FAE7446"/>
    <w:rsid w:val="6FB24AEE"/>
    <w:rsid w:val="6FB26037"/>
    <w:rsid w:val="6FB4439E"/>
    <w:rsid w:val="6FB705E4"/>
    <w:rsid w:val="6FB76906"/>
    <w:rsid w:val="6FBD56DC"/>
    <w:rsid w:val="6FBE3493"/>
    <w:rsid w:val="6FC6197D"/>
    <w:rsid w:val="6FC67C15"/>
    <w:rsid w:val="6FC767EC"/>
    <w:rsid w:val="6FD5738F"/>
    <w:rsid w:val="6FD619AF"/>
    <w:rsid w:val="6FD809F9"/>
    <w:rsid w:val="6FD827A7"/>
    <w:rsid w:val="6FDE1A6F"/>
    <w:rsid w:val="6FE0165C"/>
    <w:rsid w:val="6FE078AE"/>
    <w:rsid w:val="6FEC0417"/>
    <w:rsid w:val="6FEC12C9"/>
    <w:rsid w:val="6FEE13DA"/>
    <w:rsid w:val="6FEE6251"/>
    <w:rsid w:val="6FEF12F6"/>
    <w:rsid w:val="6FEF405A"/>
    <w:rsid w:val="6FF0444E"/>
    <w:rsid w:val="6FF26A72"/>
    <w:rsid w:val="6FF82CC0"/>
    <w:rsid w:val="6FF9640A"/>
    <w:rsid w:val="6FFA03DC"/>
    <w:rsid w:val="6FFB77C1"/>
    <w:rsid w:val="6FFD09DB"/>
    <w:rsid w:val="6FFD61C5"/>
    <w:rsid w:val="70006962"/>
    <w:rsid w:val="70030FCD"/>
    <w:rsid w:val="70031191"/>
    <w:rsid w:val="70074EC0"/>
    <w:rsid w:val="700958B5"/>
    <w:rsid w:val="70154C5E"/>
    <w:rsid w:val="70161521"/>
    <w:rsid w:val="701669CD"/>
    <w:rsid w:val="70182225"/>
    <w:rsid w:val="701B2657"/>
    <w:rsid w:val="70281BEF"/>
    <w:rsid w:val="702A38E7"/>
    <w:rsid w:val="702A7306"/>
    <w:rsid w:val="702C48A1"/>
    <w:rsid w:val="702F06C2"/>
    <w:rsid w:val="703504C4"/>
    <w:rsid w:val="70352BDC"/>
    <w:rsid w:val="70357BF9"/>
    <w:rsid w:val="703B39EC"/>
    <w:rsid w:val="703C3369"/>
    <w:rsid w:val="70415CE1"/>
    <w:rsid w:val="70425929"/>
    <w:rsid w:val="70435B8D"/>
    <w:rsid w:val="70443174"/>
    <w:rsid w:val="70451AB3"/>
    <w:rsid w:val="70482ED5"/>
    <w:rsid w:val="704B11CB"/>
    <w:rsid w:val="704B424A"/>
    <w:rsid w:val="705069E0"/>
    <w:rsid w:val="70562AF2"/>
    <w:rsid w:val="70584C78"/>
    <w:rsid w:val="705B5C68"/>
    <w:rsid w:val="705D0EFE"/>
    <w:rsid w:val="705E6FE2"/>
    <w:rsid w:val="705F0389"/>
    <w:rsid w:val="70626515"/>
    <w:rsid w:val="706777B5"/>
    <w:rsid w:val="706846BF"/>
    <w:rsid w:val="706978A3"/>
    <w:rsid w:val="706C408E"/>
    <w:rsid w:val="706F1471"/>
    <w:rsid w:val="70730722"/>
    <w:rsid w:val="7073427E"/>
    <w:rsid w:val="707352DD"/>
    <w:rsid w:val="70741DA4"/>
    <w:rsid w:val="70757932"/>
    <w:rsid w:val="707A1AB0"/>
    <w:rsid w:val="707B66D9"/>
    <w:rsid w:val="70822713"/>
    <w:rsid w:val="70861CDD"/>
    <w:rsid w:val="70862EC8"/>
    <w:rsid w:val="708715C6"/>
    <w:rsid w:val="70897D37"/>
    <w:rsid w:val="708B1E99"/>
    <w:rsid w:val="708D0A7B"/>
    <w:rsid w:val="708F566B"/>
    <w:rsid w:val="70906180"/>
    <w:rsid w:val="709570FD"/>
    <w:rsid w:val="70967E95"/>
    <w:rsid w:val="709A0F63"/>
    <w:rsid w:val="709B1241"/>
    <w:rsid w:val="709D48EA"/>
    <w:rsid w:val="709D5D22"/>
    <w:rsid w:val="709E2AE9"/>
    <w:rsid w:val="709E4DE7"/>
    <w:rsid w:val="709E6746"/>
    <w:rsid w:val="709E7E8D"/>
    <w:rsid w:val="70A04AF7"/>
    <w:rsid w:val="70A24B63"/>
    <w:rsid w:val="70A30AF8"/>
    <w:rsid w:val="70A93101"/>
    <w:rsid w:val="70AD7919"/>
    <w:rsid w:val="70AE5A5A"/>
    <w:rsid w:val="70B328CC"/>
    <w:rsid w:val="70B42030"/>
    <w:rsid w:val="70BA1EAD"/>
    <w:rsid w:val="70C13E8B"/>
    <w:rsid w:val="70C20D61"/>
    <w:rsid w:val="70C64145"/>
    <w:rsid w:val="70C81287"/>
    <w:rsid w:val="70C92511"/>
    <w:rsid w:val="70CA0698"/>
    <w:rsid w:val="70CB2E12"/>
    <w:rsid w:val="70CE105F"/>
    <w:rsid w:val="70CE60E1"/>
    <w:rsid w:val="70D01ED8"/>
    <w:rsid w:val="70D65662"/>
    <w:rsid w:val="70DC1E23"/>
    <w:rsid w:val="70E50305"/>
    <w:rsid w:val="70E60C9A"/>
    <w:rsid w:val="70E60E46"/>
    <w:rsid w:val="70E65982"/>
    <w:rsid w:val="70E70366"/>
    <w:rsid w:val="70E7379B"/>
    <w:rsid w:val="70E76656"/>
    <w:rsid w:val="70E94540"/>
    <w:rsid w:val="70F13450"/>
    <w:rsid w:val="70F33E13"/>
    <w:rsid w:val="70F37C26"/>
    <w:rsid w:val="70F55931"/>
    <w:rsid w:val="70F90497"/>
    <w:rsid w:val="70FD36EC"/>
    <w:rsid w:val="70FD799F"/>
    <w:rsid w:val="70FE13CF"/>
    <w:rsid w:val="70FE1B4F"/>
    <w:rsid w:val="71025FAF"/>
    <w:rsid w:val="710568EC"/>
    <w:rsid w:val="710E3D03"/>
    <w:rsid w:val="710F1FEC"/>
    <w:rsid w:val="711147EC"/>
    <w:rsid w:val="7114445B"/>
    <w:rsid w:val="71146DDA"/>
    <w:rsid w:val="7119419B"/>
    <w:rsid w:val="711B2B0F"/>
    <w:rsid w:val="711E068D"/>
    <w:rsid w:val="711E06E8"/>
    <w:rsid w:val="712017EF"/>
    <w:rsid w:val="71243336"/>
    <w:rsid w:val="71274731"/>
    <w:rsid w:val="712A1E17"/>
    <w:rsid w:val="71310CCD"/>
    <w:rsid w:val="7133234E"/>
    <w:rsid w:val="71364AE5"/>
    <w:rsid w:val="713B0040"/>
    <w:rsid w:val="713F23B2"/>
    <w:rsid w:val="714125CE"/>
    <w:rsid w:val="71466988"/>
    <w:rsid w:val="71495F2F"/>
    <w:rsid w:val="714B14AB"/>
    <w:rsid w:val="714B6FA9"/>
    <w:rsid w:val="714D0472"/>
    <w:rsid w:val="715252E6"/>
    <w:rsid w:val="715A71EC"/>
    <w:rsid w:val="715C6DAF"/>
    <w:rsid w:val="716003F1"/>
    <w:rsid w:val="716144DA"/>
    <w:rsid w:val="71617DC7"/>
    <w:rsid w:val="716407E6"/>
    <w:rsid w:val="716739B4"/>
    <w:rsid w:val="716C1F8A"/>
    <w:rsid w:val="71753115"/>
    <w:rsid w:val="717A6C8B"/>
    <w:rsid w:val="717C2C02"/>
    <w:rsid w:val="717C3606"/>
    <w:rsid w:val="7183494E"/>
    <w:rsid w:val="71866233"/>
    <w:rsid w:val="718A54F4"/>
    <w:rsid w:val="718C28F0"/>
    <w:rsid w:val="718F3918"/>
    <w:rsid w:val="71902503"/>
    <w:rsid w:val="71924A8C"/>
    <w:rsid w:val="71937AAF"/>
    <w:rsid w:val="719558F6"/>
    <w:rsid w:val="71961528"/>
    <w:rsid w:val="71995ECD"/>
    <w:rsid w:val="71997D14"/>
    <w:rsid w:val="719E357C"/>
    <w:rsid w:val="719E54E0"/>
    <w:rsid w:val="719E63F6"/>
    <w:rsid w:val="71A074CA"/>
    <w:rsid w:val="71A17F6F"/>
    <w:rsid w:val="71A87091"/>
    <w:rsid w:val="71A94E43"/>
    <w:rsid w:val="71AA3E0F"/>
    <w:rsid w:val="71AB4B78"/>
    <w:rsid w:val="71AB5C99"/>
    <w:rsid w:val="71B40FF2"/>
    <w:rsid w:val="71B45518"/>
    <w:rsid w:val="71B668CA"/>
    <w:rsid w:val="71BA78EE"/>
    <w:rsid w:val="71C35FC7"/>
    <w:rsid w:val="71C95151"/>
    <w:rsid w:val="71CA25C3"/>
    <w:rsid w:val="71D067FB"/>
    <w:rsid w:val="71D50389"/>
    <w:rsid w:val="71D66D8A"/>
    <w:rsid w:val="71D75FBA"/>
    <w:rsid w:val="71DA1FEA"/>
    <w:rsid w:val="71E05943"/>
    <w:rsid w:val="71E33685"/>
    <w:rsid w:val="71E71798"/>
    <w:rsid w:val="71EA4129"/>
    <w:rsid w:val="71ED1F49"/>
    <w:rsid w:val="71F230B7"/>
    <w:rsid w:val="71F30BB1"/>
    <w:rsid w:val="71F56951"/>
    <w:rsid w:val="71F65166"/>
    <w:rsid w:val="71F74DE0"/>
    <w:rsid w:val="71F821FF"/>
    <w:rsid w:val="71F87130"/>
    <w:rsid w:val="71F945C5"/>
    <w:rsid w:val="71FB452B"/>
    <w:rsid w:val="71FE088A"/>
    <w:rsid w:val="72013BD5"/>
    <w:rsid w:val="72063124"/>
    <w:rsid w:val="720B6F3C"/>
    <w:rsid w:val="720F52E0"/>
    <w:rsid w:val="720F7FD6"/>
    <w:rsid w:val="72111FA0"/>
    <w:rsid w:val="721147CE"/>
    <w:rsid w:val="72135D18"/>
    <w:rsid w:val="72136D2B"/>
    <w:rsid w:val="72176944"/>
    <w:rsid w:val="72177F14"/>
    <w:rsid w:val="721B17A7"/>
    <w:rsid w:val="721E43D1"/>
    <w:rsid w:val="72200CE3"/>
    <w:rsid w:val="722025F5"/>
    <w:rsid w:val="7224328F"/>
    <w:rsid w:val="72262606"/>
    <w:rsid w:val="722872EA"/>
    <w:rsid w:val="723143F0"/>
    <w:rsid w:val="72317B5A"/>
    <w:rsid w:val="7234167C"/>
    <w:rsid w:val="72361A4C"/>
    <w:rsid w:val="723A7D18"/>
    <w:rsid w:val="723E3B9E"/>
    <w:rsid w:val="72400236"/>
    <w:rsid w:val="72415F59"/>
    <w:rsid w:val="72416E9E"/>
    <w:rsid w:val="724451B8"/>
    <w:rsid w:val="724733CD"/>
    <w:rsid w:val="724B5990"/>
    <w:rsid w:val="724C122A"/>
    <w:rsid w:val="724C4CED"/>
    <w:rsid w:val="724F4877"/>
    <w:rsid w:val="72510499"/>
    <w:rsid w:val="725370BD"/>
    <w:rsid w:val="72577B27"/>
    <w:rsid w:val="725B2616"/>
    <w:rsid w:val="725D2838"/>
    <w:rsid w:val="725E0EBC"/>
    <w:rsid w:val="725F42F3"/>
    <w:rsid w:val="725F663E"/>
    <w:rsid w:val="726227FC"/>
    <w:rsid w:val="7263609C"/>
    <w:rsid w:val="72672793"/>
    <w:rsid w:val="72675C90"/>
    <w:rsid w:val="72676064"/>
    <w:rsid w:val="726A7902"/>
    <w:rsid w:val="72710C91"/>
    <w:rsid w:val="727242AE"/>
    <w:rsid w:val="72787ABF"/>
    <w:rsid w:val="727D2C66"/>
    <w:rsid w:val="727D58B6"/>
    <w:rsid w:val="727F77AA"/>
    <w:rsid w:val="72800F84"/>
    <w:rsid w:val="7281408D"/>
    <w:rsid w:val="728323F7"/>
    <w:rsid w:val="72841473"/>
    <w:rsid w:val="72871B4C"/>
    <w:rsid w:val="7288512E"/>
    <w:rsid w:val="728C17E4"/>
    <w:rsid w:val="728F4DC3"/>
    <w:rsid w:val="72920564"/>
    <w:rsid w:val="729E6DA1"/>
    <w:rsid w:val="729F135A"/>
    <w:rsid w:val="72A02A30"/>
    <w:rsid w:val="72A26734"/>
    <w:rsid w:val="72A4616D"/>
    <w:rsid w:val="72A5382E"/>
    <w:rsid w:val="72A77E7B"/>
    <w:rsid w:val="72A81E1D"/>
    <w:rsid w:val="72AA263C"/>
    <w:rsid w:val="72AA550D"/>
    <w:rsid w:val="72B14586"/>
    <w:rsid w:val="72B43ECA"/>
    <w:rsid w:val="72B55021"/>
    <w:rsid w:val="72B759B2"/>
    <w:rsid w:val="72B849D5"/>
    <w:rsid w:val="72BC78E5"/>
    <w:rsid w:val="72C01282"/>
    <w:rsid w:val="72C108FE"/>
    <w:rsid w:val="72C268FC"/>
    <w:rsid w:val="72C604BF"/>
    <w:rsid w:val="72C93B6C"/>
    <w:rsid w:val="72C977A3"/>
    <w:rsid w:val="72CA69B1"/>
    <w:rsid w:val="72CB1022"/>
    <w:rsid w:val="72CB65F3"/>
    <w:rsid w:val="72CC5F53"/>
    <w:rsid w:val="72CF5265"/>
    <w:rsid w:val="72D15A16"/>
    <w:rsid w:val="72D52FCE"/>
    <w:rsid w:val="72D54D7C"/>
    <w:rsid w:val="72D65AAB"/>
    <w:rsid w:val="72DD00D4"/>
    <w:rsid w:val="72DD52D1"/>
    <w:rsid w:val="72E47348"/>
    <w:rsid w:val="72E7378E"/>
    <w:rsid w:val="72EC3D03"/>
    <w:rsid w:val="72EF186A"/>
    <w:rsid w:val="72EF5926"/>
    <w:rsid w:val="72EF6020"/>
    <w:rsid w:val="72F62CCC"/>
    <w:rsid w:val="72F85EC7"/>
    <w:rsid w:val="72F9638D"/>
    <w:rsid w:val="72FE4050"/>
    <w:rsid w:val="73027382"/>
    <w:rsid w:val="73032017"/>
    <w:rsid w:val="73055749"/>
    <w:rsid w:val="73151472"/>
    <w:rsid w:val="731C6E4F"/>
    <w:rsid w:val="73231A06"/>
    <w:rsid w:val="73252181"/>
    <w:rsid w:val="73265B69"/>
    <w:rsid w:val="732B163D"/>
    <w:rsid w:val="732D776B"/>
    <w:rsid w:val="732E6B82"/>
    <w:rsid w:val="73303517"/>
    <w:rsid w:val="73357F10"/>
    <w:rsid w:val="73410663"/>
    <w:rsid w:val="73412411"/>
    <w:rsid w:val="73431308"/>
    <w:rsid w:val="734334CB"/>
    <w:rsid w:val="734D4F88"/>
    <w:rsid w:val="734E57F1"/>
    <w:rsid w:val="734F783A"/>
    <w:rsid w:val="7352302A"/>
    <w:rsid w:val="73571C35"/>
    <w:rsid w:val="735A34D3"/>
    <w:rsid w:val="735D2FC3"/>
    <w:rsid w:val="735D510E"/>
    <w:rsid w:val="73617EEA"/>
    <w:rsid w:val="736373DB"/>
    <w:rsid w:val="73656F30"/>
    <w:rsid w:val="736A3C51"/>
    <w:rsid w:val="7372389F"/>
    <w:rsid w:val="737270CE"/>
    <w:rsid w:val="73731FB3"/>
    <w:rsid w:val="737C4DFC"/>
    <w:rsid w:val="737F118B"/>
    <w:rsid w:val="73841E82"/>
    <w:rsid w:val="7385279C"/>
    <w:rsid w:val="73856BBE"/>
    <w:rsid w:val="7387266A"/>
    <w:rsid w:val="73886B1D"/>
    <w:rsid w:val="73893DB8"/>
    <w:rsid w:val="738A4F31"/>
    <w:rsid w:val="738B352E"/>
    <w:rsid w:val="738D1AFA"/>
    <w:rsid w:val="738E2332"/>
    <w:rsid w:val="738F357C"/>
    <w:rsid w:val="738F7E43"/>
    <w:rsid w:val="739118CA"/>
    <w:rsid w:val="73921A42"/>
    <w:rsid w:val="73941990"/>
    <w:rsid w:val="739560AA"/>
    <w:rsid w:val="739770B3"/>
    <w:rsid w:val="739933A3"/>
    <w:rsid w:val="73997C8E"/>
    <w:rsid w:val="739D6AB2"/>
    <w:rsid w:val="739E6123"/>
    <w:rsid w:val="73A23122"/>
    <w:rsid w:val="73A25DAB"/>
    <w:rsid w:val="73A57F63"/>
    <w:rsid w:val="73A82490"/>
    <w:rsid w:val="73A95C71"/>
    <w:rsid w:val="73AA26AC"/>
    <w:rsid w:val="73AC4BA8"/>
    <w:rsid w:val="73AE23A1"/>
    <w:rsid w:val="73B10565"/>
    <w:rsid w:val="73B17405"/>
    <w:rsid w:val="73B2310B"/>
    <w:rsid w:val="73B26280"/>
    <w:rsid w:val="73BA7E68"/>
    <w:rsid w:val="73BC00BA"/>
    <w:rsid w:val="73BC03B0"/>
    <w:rsid w:val="73C31078"/>
    <w:rsid w:val="73C37F6B"/>
    <w:rsid w:val="73C563DC"/>
    <w:rsid w:val="73CA2976"/>
    <w:rsid w:val="73D148E3"/>
    <w:rsid w:val="73D2369D"/>
    <w:rsid w:val="73D239B1"/>
    <w:rsid w:val="73D55CB1"/>
    <w:rsid w:val="73DA0FA3"/>
    <w:rsid w:val="73DF2C90"/>
    <w:rsid w:val="73E25550"/>
    <w:rsid w:val="73E6120B"/>
    <w:rsid w:val="73E65A6D"/>
    <w:rsid w:val="73E74CF4"/>
    <w:rsid w:val="73EC22FA"/>
    <w:rsid w:val="73EC488C"/>
    <w:rsid w:val="73ED76CB"/>
    <w:rsid w:val="73F17152"/>
    <w:rsid w:val="73F2766C"/>
    <w:rsid w:val="73F40BC9"/>
    <w:rsid w:val="73F51A9B"/>
    <w:rsid w:val="73F525BC"/>
    <w:rsid w:val="73F77DF7"/>
    <w:rsid w:val="73F87A17"/>
    <w:rsid w:val="74002C66"/>
    <w:rsid w:val="74040F32"/>
    <w:rsid w:val="74052F97"/>
    <w:rsid w:val="74055B35"/>
    <w:rsid w:val="74084BC1"/>
    <w:rsid w:val="74095B51"/>
    <w:rsid w:val="740E2A66"/>
    <w:rsid w:val="740E7BA4"/>
    <w:rsid w:val="74161DEE"/>
    <w:rsid w:val="74161FD2"/>
    <w:rsid w:val="74171FD3"/>
    <w:rsid w:val="741D37B5"/>
    <w:rsid w:val="741E6C85"/>
    <w:rsid w:val="741E7EC1"/>
    <w:rsid w:val="741F5347"/>
    <w:rsid w:val="74205C66"/>
    <w:rsid w:val="7420697A"/>
    <w:rsid w:val="74210C60"/>
    <w:rsid w:val="7427223D"/>
    <w:rsid w:val="74273CFD"/>
    <w:rsid w:val="742835D1"/>
    <w:rsid w:val="742A7349"/>
    <w:rsid w:val="742B4AC5"/>
    <w:rsid w:val="742D6BFD"/>
    <w:rsid w:val="742E400D"/>
    <w:rsid w:val="742E59A0"/>
    <w:rsid w:val="74343D24"/>
    <w:rsid w:val="74347BE8"/>
    <w:rsid w:val="74364D2F"/>
    <w:rsid w:val="74371001"/>
    <w:rsid w:val="74393A30"/>
    <w:rsid w:val="74395D69"/>
    <w:rsid w:val="74403052"/>
    <w:rsid w:val="74416807"/>
    <w:rsid w:val="74437D34"/>
    <w:rsid w:val="744804B1"/>
    <w:rsid w:val="74483983"/>
    <w:rsid w:val="74495721"/>
    <w:rsid w:val="744A20BD"/>
    <w:rsid w:val="744A73CE"/>
    <w:rsid w:val="744B5BED"/>
    <w:rsid w:val="744C041E"/>
    <w:rsid w:val="744C607B"/>
    <w:rsid w:val="74501C1B"/>
    <w:rsid w:val="7454562E"/>
    <w:rsid w:val="74551D9D"/>
    <w:rsid w:val="74561945"/>
    <w:rsid w:val="74575967"/>
    <w:rsid w:val="745C2DDE"/>
    <w:rsid w:val="745C630A"/>
    <w:rsid w:val="745D327B"/>
    <w:rsid w:val="745F1E4B"/>
    <w:rsid w:val="745F3497"/>
    <w:rsid w:val="746324C7"/>
    <w:rsid w:val="74637641"/>
    <w:rsid w:val="74654825"/>
    <w:rsid w:val="746565D3"/>
    <w:rsid w:val="74687E72"/>
    <w:rsid w:val="746A2538"/>
    <w:rsid w:val="746A4848"/>
    <w:rsid w:val="746B180B"/>
    <w:rsid w:val="746B4C2A"/>
    <w:rsid w:val="746F527A"/>
    <w:rsid w:val="746F5A6B"/>
    <w:rsid w:val="74730CF0"/>
    <w:rsid w:val="747845DE"/>
    <w:rsid w:val="747B6DDB"/>
    <w:rsid w:val="747F09C8"/>
    <w:rsid w:val="748044C9"/>
    <w:rsid w:val="748A47F9"/>
    <w:rsid w:val="748B19C0"/>
    <w:rsid w:val="74936C9D"/>
    <w:rsid w:val="749B0411"/>
    <w:rsid w:val="74A73652"/>
    <w:rsid w:val="74AC4EAB"/>
    <w:rsid w:val="74AD7296"/>
    <w:rsid w:val="74AE1917"/>
    <w:rsid w:val="74AE1F7F"/>
    <w:rsid w:val="74AE6F0D"/>
    <w:rsid w:val="74AF5AA0"/>
    <w:rsid w:val="74BD3AC3"/>
    <w:rsid w:val="74BD4077"/>
    <w:rsid w:val="74BF3278"/>
    <w:rsid w:val="74C15F91"/>
    <w:rsid w:val="74C471E3"/>
    <w:rsid w:val="74C47515"/>
    <w:rsid w:val="74C824FC"/>
    <w:rsid w:val="74C84771"/>
    <w:rsid w:val="74C91899"/>
    <w:rsid w:val="74CB28DA"/>
    <w:rsid w:val="74D318A0"/>
    <w:rsid w:val="74DA2B1D"/>
    <w:rsid w:val="74DE5CC8"/>
    <w:rsid w:val="74E92AEE"/>
    <w:rsid w:val="74EC45FF"/>
    <w:rsid w:val="74F1157B"/>
    <w:rsid w:val="74F3598D"/>
    <w:rsid w:val="74F51705"/>
    <w:rsid w:val="74F57123"/>
    <w:rsid w:val="74F602F2"/>
    <w:rsid w:val="74F63516"/>
    <w:rsid w:val="74F71921"/>
    <w:rsid w:val="74FA53D0"/>
    <w:rsid w:val="74FB2A4D"/>
    <w:rsid w:val="74FC3847"/>
    <w:rsid w:val="74FD2C7A"/>
    <w:rsid w:val="7500524D"/>
    <w:rsid w:val="750200AC"/>
    <w:rsid w:val="750239A0"/>
    <w:rsid w:val="75065C27"/>
    <w:rsid w:val="750814F5"/>
    <w:rsid w:val="7508351D"/>
    <w:rsid w:val="750C3DB4"/>
    <w:rsid w:val="750C4D4C"/>
    <w:rsid w:val="750E6C6B"/>
    <w:rsid w:val="75197985"/>
    <w:rsid w:val="751F49D4"/>
    <w:rsid w:val="752019CC"/>
    <w:rsid w:val="7520374A"/>
    <w:rsid w:val="75272F6C"/>
    <w:rsid w:val="7529695E"/>
    <w:rsid w:val="752A5424"/>
    <w:rsid w:val="752C0E9F"/>
    <w:rsid w:val="752E35CA"/>
    <w:rsid w:val="75306F38"/>
    <w:rsid w:val="75324707"/>
    <w:rsid w:val="75375AD7"/>
    <w:rsid w:val="7538571C"/>
    <w:rsid w:val="753D7830"/>
    <w:rsid w:val="75413407"/>
    <w:rsid w:val="754177E7"/>
    <w:rsid w:val="754244E8"/>
    <w:rsid w:val="754354B7"/>
    <w:rsid w:val="75472E46"/>
    <w:rsid w:val="75491F1A"/>
    <w:rsid w:val="754C3A00"/>
    <w:rsid w:val="754C4422"/>
    <w:rsid w:val="755328D0"/>
    <w:rsid w:val="75543FC1"/>
    <w:rsid w:val="755626CF"/>
    <w:rsid w:val="755D72AA"/>
    <w:rsid w:val="755F3023"/>
    <w:rsid w:val="75607037"/>
    <w:rsid w:val="756214E2"/>
    <w:rsid w:val="756402E3"/>
    <w:rsid w:val="7564319B"/>
    <w:rsid w:val="756B2E36"/>
    <w:rsid w:val="756E3255"/>
    <w:rsid w:val="75703482"/>
    <w:rsid w:val="757060F5"/>
    <w:rsid w:val="757117E8"/>
    <w:rsid w:val="7571790C"/>
    <w:rsid w:val="75721399"/>
    <w:rsid w:val="75721A1B"/>
    <w:rsid w:val="75735A94"/>
    <w:rsid w:val="757415C3"/>
    <w:rsid w:val="75750A98"/>
    <w:rsid w:val="75786F3E"/>
    <w:rsid w:val="757C1E26"/>
    <w:rsid w:val="75817A0E"/>
    <w:rsid w:val="7583465C"/>
    <w:rsid w:val="758802F7"/>
    <w:rsid w:val="758878CF"/>
    <w:rsid w:val="758B02BC"/>
    <w:rsid w:val="758B1284"/>
    <w:rsid w:val="758B6E09"/>
    <w:rsid w:val="758C7CA7"/>
    <w:rsid w:val="758D7B90"/>
    <w:rsid w:val="75914A9D"/>
    <w:rsid w:val="759379B5"/>
    <w:rsid w:val="759727BC"/>
    <w:rsid w:val="75985B3A"/>
    <w:rsid w:val="759929D8"/>
    <w:rsid w:val="759D10F7"/>
    <w:rsid w:val="759E43B8"/>
    <w:rsid w:val="75A34480"/>
    <w:rsid w:val="75A44ED9"/>
    <w:rsid w:val="75A50EA3"/>
    <w:rsid w:val="75A61B6A"/>
    <w:rsid w:val="75A90742"/>
    <w:rsid w:val="75AB22AA"/>
    <w:rsid w:val="75AD0323"/>
    <w:rsid w:val="75AF60C8"/>
    <w:rsid w:val="75C44D4A"/>
    <w:rsid w:val="75C537CD"/>
    <w:rsid w:val="75C630A2"/>
    <w:rsid w:val="75C90F3C"/>
    <w:rsid w:val="75CC0F5A"/>
    <w:rsid w:val="75D4064B"/>
    <w:rsid w:val="75D5148A"/>
    <w:rsid w:val="75D53C60"/>
    <w:rsid w:val="75D61535"/>
    <w:rsid w:val="75E7349D"/>
    <w:rsid w:val="75E83018"/>
    <w:rsid w:val="75F06371"/>
    <w:rsid w:val="75F23E97"/>
    <w:rsid w:val="75F94C5C"/>
    <w:rsid w:val="75FB1FB5"/>
    <w:rsid w:val="75FF60CB"/>
    <w:rsid w:val="76010698"/>
    <w:rsid w:val="760545BD"/>
    <w:rsid w:val="76075368"/>
    <w:rsid w:val="760836BA"/>
    <w:rsid w:val="76090411"/>
    <w:rsid w:val="760E6009"/>
    <w:rsid w:val="761302B8"/>
    <w:rsid w:val="76135BFA"/>
    <w:rsid w:val="76161308"/>
    <w:rsid w:val="76171B4F"/>
    <w:rsid w:val="761B3F6A"/>
    <w:rsid w:val="761C1CAD"/>
    <w:rsid w:val="761E1A79"/>
    <w:rsid w:val="761E4C8C"/>
    <w:rsid w:val="761F7E44"/>
    <w:rsid w:val="762010DC"/>
    <w:rsid w:val="76232A55"/>
    <w:rsid w:val="76254583"/>
    <w:rsid w:val="7626309B"/>
    <w:rsid w:val="762C6835"/>
    <w:rsid w:val="762E5486"/>
    <w:rsid w:val="763917D1"/>
    <w:rsid w:val="763D26D9"/>
    <w:rsid w:val="763E3F31"/>
    <w:rsid w:val="76405EA3"/>
    <w:rsid w:val="76425B24"/>
    <w:rsid w:val="76433F49"/>
    <w:rsid w:val="7644611D"/>
    <w:rsid w:val="76463ED3"/>
    <w:rsid w:val="764B5CC0"/>
    <w:rsid w:val="764E66AD"/>
    <w:rsid w:val="765032F5"/>
    <w:rsid w:val="7651509F"/>
    <w:rsid w:val="765808FC"/>
    <w:rsid w:val="76603DAC"/>
    <w:rsid w:val="766528BB"/>
    <w:rsid w:val="766716C0"/>
    <w:rsid w:val="76680315"/>
    <w:rsid w:val="766B14A8"/>
    <w:rsid w:val="766D79C1"/>
    <w:rsid w:val="766F28AB"/>
    <w:rsid w:val="766F54E7"/>
    <w:rsid w:val="76702093"/>
    <w:rsid w:val="76705F53"/>
    <w:rsid w:val="767212B0"/>
    <w:rsid w:val="76817F6D"/>
    <w:rsid w:val="76847F63"/>
    <w:rsid w:val="76874897"/>
    <w:rsid w:val="768A2C5D"/>
    <w:rsid w:val="768B6EBB"/>
    <w:rsid w:val="768C5027"/>
    <w:rsid w:val="768E74E3"/>
    <w:rsid w:val="76905306"/>
    <w:rsid w:val="76933EDB"/>
    <w:rsid w:val="76946CFC"/>
    <w:rsid w:val="769B3BE2"/>
    <w:rsid w:val="769B57CF"/>
    <w:rsid w:val="769E0ABB"/>
    <w:rsid w:val="769E5697"/>
    <w:rsid w:val="76AB461C"/>
    <w:rsid w:val="76AF44E6"/>
    <w:rsid w:val="76B37B0B"/>
    <w:rsid w:val="76B4739E"/>
    <w:rsid w:val="76B67A8C"/>
    <w:rsid w:val="76B821FD"/>
    <w:rsid w:val="76B87188"/>
    <w:rsid w:val="76BA2CD8"/>
    <w:rsid w:val="76BF07E3"/>
    <w:rsid w:val="76C02AF2"/>
    <w:rsid w:val="76C041D3"/>
    <w:rsid w:val="76C6094A"/>
    <w:rsid w:val="76C625B9"/>
    <w:rsid w:val="76C67925"/>
    <w:rsid w:val="76C829AC"/>
    <w:rsid w:val="76C92E49"/>
    <w:rsid w:val="76CB5900"/>
    <w:rsid w:val="76CC10D1"/>
    <w:rsid w:val="76CD4B2F"/>
    <w:rsid w:val="76D31880"/>
    <w:rsid w:val="76DA734E"/>
    <w:rsid w:val="76DB48A7"/>
    <w:rsid w:val="76DD06A3"/>
    <w:rsid w:val="76DE69DA"/>
    <w:rsid w:val="76DF5CF2"/>
    <w:rsid w:val="76E40BEB"/>
    <w:rsid w:val="76E467EC"/>
    <w:rsid w:val="76E47049"/>
    <w:rsid w:val="76E47C83"/>
    <w:rsid w:val="76E93BB4"/>
    <w:rsid w:val="76ED138C"/>
    <w:rsid w:val="76F04DD5"/>
    <w:rsid w:val="76F2252C"/>
    <w:rsid w:val="76F66247"/>
    <w:rsid w:val="76F80951"/>
    <w:rsid w:val="76F923E8"/>
    <w:rsid w:val="76FB270B"/>
    <w:rsid w:val="76FC1510"/>
    <w:rsid w:val="76FC528A"/>
    <w:rsid w:val="76FD3E98"/>
    <w:rsid w:val="76FE145C"/>
    <w:rsid w:val="770025E3"/>
    <w:rsid w:val="77040325"/>
    <w:rsid w:val="770622CE"/>
    <w:rsid w:val="77067F21"/>
    <w:rsid w:val="770A3260"/>
    <w:rsid w:val="770F2826"/>
    <w:rsid w:val="77103EDA"/>
    <w:rsid w:val="77107B46"/>
    <w:rsid w:val="77113EFB"/>
    <w:rsid w:val="77120C42"/>
    <w:rsid w:val="771340C5"/>
    <w:rsid w:val="771871B3"/>
    <w:rsid w:val="7719605D"/>
    <w:rsid w:val="771E0455"/>
    <w:rsid w:val="77246774"/>
    <w:rsid w:val="77273DE2"/>
    <w:rsid w:val="772A4461"/>
    <w:rsid w:val="772C5083"/>
    <w:rsid w:val="772D7A4A"/>
    <w:rsid w:val="773439F3"/>
    <w:rsid w:val="77354FC3"/>
    <w:rsid w:val="77357530"/>
    <w:rsid w:val="77362007"/>
    <w:rsid w:val="77364C4A"/>
    <w:rsid w:val="773B61F7"/>
    <w:rsid w:val="773C186D"/>
    <w:rsid w:val="7741307E"/>
    <w:rsid w:val="77416E84"/>
    <w:rsid w:val="77470C65"/>
    <w:rsid w:val="774E6EAC"/>
    <w:rsid w:val="7750356B"/>
    <w:rsid w:val="77523FB3"/>
    <w:rsid w:val="7755264A"/>
    <w:rsid w:val="775571DC"/>
    <w:rsid w:val="77565758"/>
    <w:rsid w:val="7758735C"/>
    <w:rsid w:val="775A1D1A"/>
    <w:rsid w:val="775B5678"/>
    <w:rsid w:val="775B70E8"/>
    <w:rsid w:val="775C676C"/>
    <w:rsid w:val="775D2A22"/>
    <w:rsid w:val="775D57F4"/>
    <w:rsid w:val="775D7663"/>
    <w:rsid w:val="775E6CB3"/>
    <w:rsid w:val="77694993"/>
    <w:rsid w:val="776F1025"/>
    <w:rsid w:val="777221C6"/>
    <w:rsid w:val="77754287"/>
    <w:rsid w:val="77761905"/>
    <w:rsid w:val="777A2430"/>
    <w:rsid w:val="777A5CE8"/>
    <w:rsid w:val="777E147F"/>
    <w:rsid w:val="77802E4D"/>
    <w:rsid w:val="77825E1F"/>
    <w:rsid w:val="77881A4F"/>
    <w:rsid w:val="77882D05"/>
    <w:rsid w:val="778B2C17"/>
    <w:rsid w:val="778C2A03"/>
    <w:rsid w:val="778D2249"/>
    <w:rsid w:val="77947228"/>
    <w:rsid w:val="7798281C"/>
    <w:rsid w:val="779959CC"/>
    <w:rsid w:val="779A6594"/>
    <w:rsid w:val="779B4CB6"/>
    <w:rsid w:val="779D0F41"/>
    <w:rsid w:val="779E6B7F"/>
    <w:rsid w:val="77A023F2"/>
    <w:rsid w:val="77A13DC6"/>
    <w:rsid w:val="77A42AC1"/>
    <w:rsid w:val="77A613DD"/>
    <w:rsid w:val="77AA43C1"/>
    <w:rsid w:val="77AA48F9"/>
    <w:rsid w:val="77AE1429"/>
    <w:rsid w:val="77B21E70"/>
    <w:rsid w:val="77B5479D"/>
    <w:rsid w:val="77B60001"/>
    <w:rsid w:val="77B64FFB"/>
    <w:rsid w:val="77B85045"/>
    <w:rsid w:val="77BA09E4"/>
    <w:rsid w:val="77BC29AE"/>
    <w:rsid w:val="77BC578B"/>
    <w:rsid w:val="77BD459D"/>
    <w:rsid w:val="77BD74FA"/>
    <w:rsid w:val="77C07472"/>
    <w:rsid w:val="77C16217"/>
    <w:rsid w:val="77C6382D"/>
    <w:rsid w:val="77CD221B"/>
    <w:rsid w:val="77CF394F"/>
    <w:rsid w:val="77CF4F8C"/>
    <w:rsid w:val="77D06842"/>
    <w:rsid w:val="77D61F49"/>
    <w:rsid w:val="77DB5999"/>
    <w:rsid w:val="77DC095A"/>
    <w:rsid w:val="77DC6BAC"/>
    <w:rsid w:val="77DF2D80"/>
    <w:rsid w:val="77DF74B9"/>
    <w:rsid w:val="77E324FF"/>
    <w:rsid w:val="77E54CD2"/>
    <w:rsid w:val="77E607DE"/>
    <w:rsid w:val="77EC2DF8"/>
    <w:rsid w:val="77ED700C"/>
    <w:rsid w:val="77FA5070"/>
    <w:rsid w:val="7802644D"/>
    <w:rsid w:val="78026E19"/>
    <w:rsid w:val="780338B8"/>
    <w:rsid w:val="780B56E4"/>
    <w:rsid w:val="780C4D5E"/>
    <w:rsid w:val="780E3534"/>
    <w:rsid w:val="781233A0"/>
    <w:rsid w:val="78124A39"/>
    <w:rsid w:val="78126A72"/>
    <w:rsid w:val="78173EEB"/>
    <w:rsid w:val="781C52D9"/>
    <w:rsid w:val="781D7643"/>
    <w:rsid w:val="781E71C5"/>
    <w:rsid w:val="781F2D77"/>
    <w:rsid w:val="78200F95"/>
    <w:rsid w:val="78236EC2"/>
    <w:rsid w:val="782966CF"/>
    <w:rsid w:val="782B058B"/>
    <w:rsid w:val="78325489"/>
    <w:rsid w:val="783267CC"/>
    <w:rsid w:val="7834370D"/>
    <w:rsid w:val="78362F32"/>
    <w:rsid w:val="78364D86"/>
    <w:rsid w:val="78374314"/>
    <w:rsid w:val="78392A82"/>
    <w:rsid w:val="783B446B"/>
    <w:rsid w:val="783D68F1"/>
    <w:rsid w:val="78411573"/>
    <w:rsid w:val="7844650D"/>
    <w:rsid w:val="78471EC7"/>
    <w:rsid w:val="78474572"/>
    <w:rsid w:val="7847671C"/>
    <w:rsid w:val="784949FC"/>
    <w:rsid w:val="784A620C"/>
    <w:rsid w:val="784A7FBA"/>
    <w:rsid w:val="78503F63"/>
    <w:rsid w:val="7852695F"/>
    <w:rsid w:val="78531076"/>
    <w:rsid w:val="785322A5"/>
    <w:rsid w:val="785771FF"/>
    <w:rsid w:val="78586466"/>
    <w:rsid w:val="7858786A"/>
    <w:rsid w:val="7859140B"/>
    <w:rsid w:val="785E5246"/>
    <w:rsid w:val="78615304"/>
    <w:rsid w:val="78627FFF"/>
    <w:rsid w:val="78660884"/>
    <w:rsid w:val="78663961"/>
    <w:rsid w:val="786962BA"/>
    <w:rsid w:val="786E2F28"/>
    <w:rsid w:val="786E4B6B"/>
    <w:rsid w:val="786E7099"/>
    <w:rsid w:val="7871632E"/>
    <w:rsid w:val="787503C3"/>
    <w:rsid w:val="78776E14"/>
    <w:rsid w:val="78785FBC"/>
    <w:rsid w:val="7879089F"/>
    <w:rsid w:val="787F2870"/>
    <w:rsid w:val="78824EDB"/>
    <w:rsid w:val="7884109F"/>
    <w:rsid w:val="78850FF2"/>
    <w:rsid w:val="788866A2"/>
    <w:rsid w:val="788E3B75"/>
    <w:rsid w:val="788F6964"/>
    <w:rsid w:val="78917997"/>
    <w:rsid w:val="78927F54"/>
    <w:rsid w:val="78964FAD"/>
    <w:rsid w:val="78985EEC"/>
    <w:rsid w:val="78994CAC"/>
    <w:rsid w:val="789A5228"/>
    <w:rsid w:val="789B573B"/>
    <w:rsid w:val="789F343B"/>
    <w:rsid w:val="789F6B19"/>
    <w:rsid w:val="78A248FA"/>
    <w:rsid w:val="78A37B14"/>
    <w:rsid w:val="78A46A40"/>
    <w:rsid w:val="78A9749F"/>
    <w:rsid w:val="78AE7BF3"/>
    <w:rsid w:val="78B227CF"/>
    <w:rsid w:val="78B813C8"/>
    <w:rsid w:val="78B90C9C"/>
    <w:rsid w:val="78BA4677"/>
    <w:rsid w:val="78BA7BFD"/>
    <w:rsid w:val="78C0027C"/>
    <w:rsid w:val="78C2205D"/>
    <w:rsid w:val="78C34927"/>
    <w:rsid w:val="78C37D6C"/>
    <w:rsid w:val="78C5009C"/>
    <w:rsid w:val="78CA21F6"/>
    <w:rsid w:val="78CD1EF0"/>
    <w:rsid w:val="78D12969"/>
    <w:rsid w:val="78D41F79"/>
    <w:rsid w:val="78D463C2"/>
    <w:rsid w:val="78D77FCD"/>
    <w:rsid w:val="78DB52FC"/>
    <w:rsid w:val="78DC42E2"/>
    <w:rsid w:val="78DD498A"/>
    <w:rsid w:val="78E032ED"/>
    <w:rsid w:val="78E52767"/>
    <w:rsid w:val="78E570A8"/>
    <w:rsid w:val="78E75809"/>
    <w:rsid w:val="78EA39B7"/>
    <w:rsid w:val="78EF290F"/>
    <w:rsid w:val="78F10436"/>
    <w:rsid w:val="78F16688"/>
    <w:rsid w:val="78F37836"/>
    <w:rsid w:val="78F64F9E"/>
    <w:rsid w:val="78F87A16"/>
    <w:rsid w:val="78FE1BCA"/>
    <w:rsid w:val="79000EED"/>
    <w:rsid w:val="790269D0"/>
    <w:rsid w:val="790607C5"/>
    <w:rsid w:val="7906607B"/>
    <w:rsid w:val="79104C5B"/>
    <w:rsid w:val="79114939"/>
    <w:rsid w:val="79134DE6"/>
    <w:rsid w:val="791448D9"/>
    <w:rsid w:val="791611C6"/>
    <w:rsid w:val="791D56CF"/>
    <w:rsid w:val="791F4D57"/>
    <w:rsid w:val="792720A9"/>
    <w:rsid w:val="79272F2C"/>
    <w:rsid w:val="79292802"/>
    <w:rsid w:val="792930CC"/>
    <w:rsid w:val="792B1559"/>
    <w:rsid w:val="792C71DA"/>
    <w:rsid w:val="792C7DDF"/>
    <w:rsid w:val="792D049B"/>
    <w:rsid w:val="792E6BC6"/>
    <w:rsid w:val="7930656B"/>
    <w:rsid w:val="793114A8"/>
    <w:rsid w:val="79346574"/>
    <w:rsid w:val="793555DC"/>
    <w:rsid w:val="79386951"/>
    <w:rsid w:val="793A05D8"/>
    <w:rsid w:val="793B5B55"/>
    <w:rsid w:val="793F5609"/>
    <w:rsid w:val="79427DC1"/>
    <w:rsid w:val="79460FCA"/>
    <w:rsid w:val="794D6082"/>
    <w:rsid w:val="79547E73"/>
    <w:rsid w:val="795A3DD0"/>
    <w:rsid w:val="79621333"/>
    <w:rsid w:val="79662EA8"/>
    <w:rsid w:val="79697835"/>
    <w:rsid w:val="796A216E"/>
    <w:rsid w:val="796E6321"/>
    <w:rsid w:val="797360ED"/>
    <w:rsid w:val="79742E3B"/>
    <w:rsid w:val="79763580"/>
    <w:rsid w:val="797960D3"/>
    <w:rsid w:val="797E28C4"/>
    <w:rsid w:val="797F145E"/>
    <w:rsid w:val="79827B83"/>
    <w:rsid w:val="798474EA"/>
    <w:rsid w:val="7985536E"/>
    <w:rsid w:val="79860DE4"/>
    <w:rsid w:val="798B33CB"/>
    <w:rsid w:val="799040F2"/>
    <w:rsid w:val="799139C7"/>
    <w:rsid w:val="799308D7"/>
    <w:rsid w:val="79943DE2"/>
    <w:rsid w:val="7997266E"/>
    <w:rsid w:val="79991219"/>
    <w:rsid w:val="799D0660"/>
    <w:rsid w:val="799E20EA"/>
    <w:rsid w:val="799E680F"/>
    <w:rsid w:val="79A07B03"/>
    <w:rsid w:val="79A70B85"/>
    <w:rsid w:val="79A71467"/>
    <w:rsid w:val="79AB6836"/>
    <w:rsid w:val="79AD5AF3"/>
    <w:rsid w:val="79B278D8"/>
    <w:rsid w:val="79B360E0"/>
    <w:rsid w:val="79B403B6"/>
    <w:rsid w:val="79B74C94"/>
    <w:rsid w:val="79B91679"/>
    <w:rsid w:val="79BF1AED"/>
    <w:rsid w:val="79C6708F"/>
    <w:rsid w:val="79C67BE2"/>
    <w:rsid w:val="79C75C6C"/>
    <w:rsid w:val="79CB512B"/>
    <w:rsid w:val="79CC40AC"/>
    <w:rsid w:val="79CC5295"/>
    <w:rsid w:val="79CD302E"/>
    <w:rsid w:val="79CE3C73"/>
    <w:rsid w:val="79CE625B"/>
    <w:rsid w:val="79D027B5"/>
    <w:rsid w:val="79D06711"/>
    <w:rsid w:val="79D27029"/>
    <w:rsid w:val="79D44209"/>
    <w:rsid w:val="79D653B2"/>
    <w:rsid w:val="79E14121"/>
    <w:rsid w:val="79E1494E"/>
    <w:rsid w:val="79E47AB0"/>
    <w:rsid w:val="79E73182"/>
    <w:rsid w:val="79E8561B"/>
    <w:rsid w:val="79EF3FF8"/>
    <w:rsid w:val="79F409C3"/>
    <w:rsid w:val="79F537CF"/>
    <w:rsid w:val="79F977B8"/>
    <w:rsid w:val="79FF27B5"/>
    <w:rsid w:val="7A0531EB"/>
    <w:rsid w:val="7A072D70"/>
    <w:rsid w:val="7A086A33"/>
    <w:rsid w:val="7A0917AF"/>
    <w:rsid w:val="7A092080"/>
    <w:rsid w:val="7A0A7FD2"/>
    <w:rsid w:val="7A12607D"/>
    <w:rsid w:val="7A173ECC"/>
    <w:rsid w:val="7A196F69"/>
    <w:rsid w:val="7A1E34AC"/>
    <w:rsid w:val="7A1E7561"/>
    <w:rsid w:val="7A1F0FD2"/>
    <w:rsid w:val="7A232871"/>
    <w:rsid w:val="7A2465E9"/>
    <w:rsid w:val="7A281E38"/>
    <w:rsid w:val="7A2A00A3"/>
    <w:rsid w:val="7A2A6351"/>
    <w:rsid w:val="7A2C3BEA"/>
    <w:rsid w:val="7A2D20AF"/>
    <w:rsid w:val="7A2D5682"/>
    <w:rsid w:val="7A2E6030"/>
    <w:rsid w:val="7A356A48"/>
    <w:rsid w:val="7A39665C"/>
    <w:rsid w:val="7A3A0628"/>
    <w:rsid w:val="7A3F7FEF"/>
    <w:rsid w:val="7A44543B"/>
    <w:rsid w:val="7A447001"/>
    <w:rsid w:val="7A45450E"/>
    <w:rsid w:val="7A4B2442"/>
    <w:rsid w:val="7A4B72BA"/>
    <w:rsid w:val="7A4B7340"/>
    <w:rsid w:val="7A4D3D91"/>
    <w:rsid w:val="7A51270F"/>
    <w:rsid w:val="7A5B4697"/>
    <w:rsid w:val="7A61067C"/>
    <w:rsid w:val="7A622EB0"/>
    <w:rsid w:val="7A6360C4"/>
    <w:rsid w:val="7A640B25"/>
    <w:rsid w:val="7A684683"/>
    <w:rsid w:val="7A6C6575"/>
    <w:rsid w:val="7A6D53E4"/>
    <w:rsid w:val="7A6D61E2"/>
    <w:rsid w:val="7A725281"/>
    <w:rsid w:val="7A726554"/>
    <w:rsid w:val="7A74084A"/>
    <w:rsid w:val="7A7632E8"/>
    <w:rsid w:val="7A777060"/>
    <w:rsid w:val="7A7A0CAE"/>
    <w:rsid w:val="7A7C289D"/>
    <w:rsid w:val="7A7E71CA"/>
    <w:rsid w:val="7A807888"/>
    <w:rsid w:val="7A847117"/>
    <w:rsid w:val="7A884DCA"/>
    <w:rsid w:val="7A8911A1"/>
    <w:rsid w:val="7A8A759B"/>
    <w:rsid w:val="7A8D261A"/>
    <w:rsid w:val="7A8E4129"/>
    <w:rsid w:val="7A8F43AA"/>
    <w:rsid w:val="7A900CE8"/>
    <w:rsid w:val="7A91110E"/>
    <w:rsid w:val="7A920407"/>
    <w:rsid w:val="7A9263F8"/>
    <w:rsid w:val="7A931713"/>
    <w:rsid w:val="7A9711B0"/>
    <w:rsid w:val="7A971BAC"/>
    <w:rsid w:val="7A996FD7"/>
    <w:rsid w:val="7A9B7750"/>
    <w:rsid w:val="7A9D44D9"/>
    <w:rsid w:val="7A9E7598"/>
    <w:rsid w:val="7AA15E8B"/>
    <w:rsid w:val="7AA3580A"/>
    <w:rsid w:val="7AA37E55"/>
    <w:rsid w:val="7AAB2458"/>
    <w:rsid w:val="7AB049AF"/>
    <w:rsid w:val="7AB50101"/>
    <w:rsid w:val="7AB563E8"/>
    <w:rsid w:val="7AB921B6"/>
    <w:rsid w:val="7ABA2743"/>
    <w:rsid w:val="7ABA4F70"/>
    <w:rsid w:val="7ABB74B3"/>
    <w:rsid w:val="7ABB7B5C"/>
    <w:rsid w:val="7AC27588"/>
    <w:rsid w:val="7AC318A7"/>
    <w:rsid w:val="7AC87C97"/>
    <w:rsid w:val="7AC952FF"/>
    <w:rsid w:val="7ACB6BE6"/>
    <w:rsid w:val="7ACC4980"/>
    <w:rsid w:val="7ACC6FEE"/>
    <w:rsid w:val="7ACF6330"/>
    <w:rsid w:val="7AD1051F"/>
    <w:rsid w:val="7AD46261"/>
    <w:rsid w:val="7AD55809"/>
    <w:rsid w:val="7AD71526"/>
    <w:rsid w:val="7AD734D2"/>
    <w:rsid w:val="7AD83DB3"/>
    <w:rsid w:val="7AD87FDE"/>
    <w:rsid w:val="7ADB48F0"/>
    <w:rsid w:val="7ADE0060"/>
    <w:rsid w:val="7ADE00D2"/>
    <w:rsid w:val="7ADE2C3C"/>
    <w:rsid w:val="7ADF0DCE"/>
    <w:rsid w:val="7AE2007A"/>
    <w:rsid w:val="7AE3084F"/>
    <w:rsid w:val="7AE32EFE"/>
    <w:rsid w:val="7AE37D94"/>
    <w:rsid w:val="7AEB621E"/>
    <w:rsid w:val="7AF107CF"/>
    <w:rsid w:val="7AF10BE6"/>
    <w:rsid w:val="7AF170B9"/>
    <w:rsid w:val="7AF3160F"/>
    <w:rsid w:val="7AF366D8"/>
    <w:rsid w:val="7AF6225B"/>
    <w:rsid w:val="7AF64452"/>
    <w:rsid w:val="7AF97E16"/>
    <w:rsid w:val="7AFA3197"/>
    <w:rsid w:val="7AFC5C4D"/>
    <w:rsid w:val="7AFF3E2F"/>
    <w:rsid w:val="7B0308FD"/>
    <w:rsid w:val="7B054CD5"/>
    <w:rsid w:val="7B113011"/>
    <w:rsid w:val="7B164C65"/>
    <w:rsid w:val="7B1B2A36"/>
    <w:rsid w:val="7B1C4576"/>
    <w:rsid w:val="7B1D42E7"/>
    <w:rsid w:val="7B213559"/>
    <w:rsid w:val="7B2344F6"/>
    <w:rsid w:val="7B286419"/>
    <w:rsid w:val="7B2C5D88"/>
    <w:rsid w:val="7B30447C"/>
    <w:rsid w:val="7B306CD2"/>
    <w:rsid w:val="7B307970"/>
    <w:rsid w:val="7B352D2B"/>
    <w:rsid w:val="7B370C37"/>
    <w:rsid w:val="7B3B02E3"/>
    <w:rsid w:val="7B3F5288"/>
    <w:rsid w:val="7B430C69"/>
    <w:rsid w:val="7B474C85"/>
    <w:rsid w:val="7B4A02D1"/>
    <w:rsid w:val="7B500EA5"/>
    <w:rsid w:val="7B52386B"/>
    <w:rsid w:val="7B545DC2"/>
    <w:rsid w:val="7B564EC8"/>
    <w:rsid w:val="7B5A49B8"/>
    <w:rsid w:val="7B5B0730"/>
    <w:rsid w:val="7B5D5C38"/>
    <w:rsid w:val="7B6079B4"/>
    <w:rsid w:val="7B615811"/>
    <w:rsid w:val="7B62337E"/>
    <w:rsid w:val="7B6233D3"/>
    <w:rsid w:val="7B642609"/>
    <w:rsid w:val="7B6459F6"/>
    <w:rsid w:val="7B65336A"/>
    <w:rsid w:val="7B653379"/>
    <w:rsid w:val="7B6F5914"/>
    <w:rsid w:val="7B771335"/>
    <w:rsid w:val="7B793132"/>
    <w:rsid w:val="7B7C192F"/>
    <w:rsid w:val="7B7D4499"/>
    <w:rsid w:val="7B811766"/>
    <w:rsid w:val="7B89013C"/>
    <w:rsid w:val="7B957C1B"/>
    <w:rsid w:val="7B9A6A0A"/>
    <w:rsid w:val="7B9A73DC"/>
    <w:rsid w:val="7B9F0777"/>
    <w:rsid w:val="7BA146C3"/>
    <w:rsid w:val="7BA4731B"/>
    <w:rsid w:val="7BAA53F8"/>
    <w:rsid w:val="7BB120FE"/>
    <w:rsid w:val="7BB81E57"/>
    <w:rsid w:val="7BB87A3E"/>
    <w:rsid w:val="7BBA1203"/>
    <w:rsid w:val="7BBD7AFF"/>
    <w:rsid w:val="7BC13FE0"/>
    <w:rsid w:val="7BC20F90"/>
    <w:rsid w:val="7BC62051"/>
    <w:rsid w:val="7BC66B6F"/>
    <w:rsid w:val="7BC80032"/>
    <w:rsid w:val="7BC9569A"/>
    <w:rsid w:val="7BC97A33"/>
    <w:rsid w:val="7BCC4FE4"/>
    <w:rsid w:val="7BCD6BD3"/>
    <w:rsid w:val="7BD11833"/>
    <w:rsid w:val="7BD16435"/>
    <w:rsid w:val="7BD2680A"/>
    <w:rsid w:val="7BD61B65"/>
    <w:rsid w:val="7BDB03FF"/>
    <w:rsid w:val="7BDB1DA9"/>
    <w:rsid w:val="7BE20194"/>
    <w:rsid w:val="7BE5235A"/>
    <w:rsid w:val="7BE705BF"/>
    <w:rsid w:val="7BE906A7"/>
    <w:rsid w:val="7BE95252"/>
    <w:rsid w:val="7BE973CA"/>
    <w:rsid w:val="7BEE34B9"/>
    <w:rsid w:val="7BEF2D29"/>
    <w:rsid w:val="7BEF42EA"/>
    <w:rsid w:val="7BEF5D23"/>
    <w:rsid w:val="7BF03F54"/>
    <w:rsid w:val="7BFC0411"/>
    <w:rsid w:val="7BFD6C2F"/>
    <w:rsid w:val="7C006CED"/>
    <w:rsid w:val="7C030BAC"/>
    <w:rsid w:val="7C054692"/>
    <w:rsid w:val="7C0D2E94"/>
    <w:rsid w:val="7C137B29"/>
    <w:rsid w:val="7C142DB9"/>
    <w:rsid w:val="7C15268D"/>
    <w:rsid w:val="7C1568B9"/>
    <w:rsid w:val="7C1574BD"/>
    <w:rsid w:val="7C190EFF"/>
    <w:rsid w:val="7C1D62B2"/>
    <w:rsid w:val="7C226120"/>
    <w:rsid w:val="7C235D60"/>
    <w:rsid w:val="7C297727"/>
    <w:rsid w:val="7C2A1724"/>
    <w:rsid w:val="7C2D05F1"/>
    <w:rsid w:val="7C2F6437"/>
    <w:rsid w:val="7C2F7BF3"/>
    <w:rsid w:val="7C31333E"/>
    <w:rsid w:val="7C330351"/>
    <w:rsid w:val="7C330F91"/>
    <w:rsid w:val="7C345817"/>
    <w:rsid w:val="7C3844EE"/>
    <w:rsid w:val="7C3A0345"/>
    <w:rsid w:val="7C3D2EE5"/>
    <w:rsid w:val="7C413FD0"/>
    <w:rsid w:val="7C4608A3"/>
    <w:rsid w:val="7C49313D"/>
    <w:rsid w:val="7C4A7D61"/>
    <w:rsid w:val="7C5078D8"/>
    <w:rsid w:val="7C511EAD"/>
    <w:rsid w:val="7C530EBB"/>
    <w:rsid w:val="7C531E02"/>
    <w:rsid w:val="7C536A01"/>
    <w:rsid w:val="7C5E4034"/>
    <w:rsid w:val="7C634586"/>
    <w:rsid w:val="7C6361BD"/>
    <w:rsid w:val="7C642A13"/>
    <w:rsid w:val="7C68360A"/>
    <w:rsid w:val="7C6B4E48"/>
    <w:rsid w:val="7C6B7DE5"/>
    <w:rsid w:val="7C72017E"/>
    <w:rsid w:val="7C7262A4"/>
    <w:rsid w:val="7C751950"/>
    <w:rsid w:val="7C783A7E"/>
    <w:rsid w:val="7C8021FC"/>
    <w:rsid w:val="7C8238D3"/>
    <w:rsid w:val="7C837142"/>
    <w:rsid w:val="7C856BB3"/>
    <w:rsid w:val="7C8617DD"/>
    <w:rsid w:val="7C8A1460"/>
    <w:rsid w:val="7C8D2B6B"/>
    <w:rsid w:val="7C8E3148"/>
    <w:rsid w:val="7C8F7501"/>
    <w:rsid w:val="7C921084"/>
    <w:rsid w:val="7C95557E"/>
    <w:rsid w:val="7C98701A"/>
    <w:rsid w:val="7C995A58"/>
    <w:rsid w:val="7C9A1522"/>
    <w:rsid w:val="7C9B4E56"/>
    <w:rsid w:val="7CA13F21"/>
    <w:rsid w:val="7CA16CDE"/>
    <w:rsid w:val="7CA508BC"/>
    <w:rsid w:val="7CA66060"/>
    <w:rsid w:val="7CA96B24"/>
    <w:rsid w:val="7CB00608"/>
    <w:rsid w:val="7CB0550B"/>
    <w:rsid w:val="7CB5263B"/>
    <w:rsid w:val="7CB96459"/>
    <w:rsid w:val="7CBB7A46"/>
    <w:rsid w:val="7CBE4AD3"/>
    <w:rsid w:val="7CC06D64"/>
    <w:rsid w:val="7CC15FAB"/>
    <w:rsid w:val="7CC20F35"/>
    <w:rsid w:val="7CC36167"/>
    <w:rsid w:val="7CC51351"/>
    <w:rsid w:val="7CCC5441"/>
    <w:rsid w:val="7CCE383D"/>
    <w:rsid w:val="7CD07DFF"/>
    <w:rsid w:val="7CD5352D"/>
    <w:rsid w:val="7CD57520"/>
    <w:rsid w:val="7CDC1D3A"/>
    <w:rsid w:val="7CDD6FB6"/>
    <w:rsid w:val="7CDD764F"/>
    <w:rsid w:val="7CDF701F"/>
    <w:rsid w:val="7CE00EED"/>
    <w:rsid w:val="7CE03F24"/>
    <w:rsid w:val="7CE30A6D"/>
    <w:rsid w:val="7CE71F3A"/>
    <w:rsid w:val="7CE7510A"/>
    <w:rsid w:val="7CE85D24"/>
    <w:rsid w:val="7CEC7306"/>
    <w:rsid w:val="7CED08B0"/>
    <w:rsid w:val="7CED6AEA"/>
    <w:rsid w:val="7CF03E4C"/>
    <w:rsid w:val="7CF06260"/>
    <w:rsid w:val="7CF24F1E"/>
    <w:rsid w:val="7CF44998"/>
    <w:rsid w:val="7CF9070A"/>
    <w:rsid w:val="7CFA21C8"/>
    <w:rsid w:val="7CFA6B84"/>
    <w:rsid w:val="7CFF7514"/>
    <w:rsid w:val="7D053383"/>
    <w:rsid w:val="7D0B7823"/>
    <w:rsid w:val="7D0D15B6"/>
    <w:rsid w:val="7D0D262F"/>
    <w:rsid w:val="7D1506CA"/>
    <w:rsid w:val="7D16113D"/>
    <w:rsid w:val="7D1B1F25"/>
    <w:rsid w:val="7D200E59"/>
    <w:rsid w:val="7D206F85"/>
    <w:rsid w:val="7D230DDA"/>
    <w:rsid w:val="7D234744"/>
    <w:rsid w:val="7D2350B8"/>
    <w:rsid w:val="7D256900"/>
    <w:rsid w:val="7D261AB5"/>
    <w:rsid w:val="7D274C85"/>
    <w:rsid w:val="7D282A5F"/>
    <w:rsid w:val="7D295126"/>
    <w:rsid w:val="7D296539"/>
    <w:rsid w:val="7D297602"/>
    <w:rsid w:val="7D2A3986"/>
    <w:rsid w:val="7D2D67A4"/>
    <w:rsid w:val="7D2E4D23"/>
    <w:rsid w:val="7D2F06EC"/>
    <w:rsid w:val="7D344D95"/>
    <w:rsid w:val="7D382B87"/>
    <w:rsid w:val="7D3C6FBB"/>
    <w:rsid w:val="7D4075AE"/>
    <w:rsid w:val="7D41438A"/>
    <w:rsid w:val="7D445EC5"/>
    <w:rsid w:val="7D4A78EC"/>
    <w:rsid w:val="7D4B2859"/>
    <w:rsid w:val="7D4B7628"/>
    <w:rsid w:val="7D4C28DB"/>
    <w:rsid w:val="7D4E6A91"/>
    <w:rsid w:val="7D522E9F"/>
    <w:rsid w:val="7D562875"/>
    <w:rsid w:val="7D5756B3"/>
    <w:rsid w:val="7D581B5D"/>
    <w:rsid w:val="7D5B0EE0"/>
    <w:rsid w:val="7D5B2C9E"/>
    <w:rsid w:val="7D5F2A97"/>
    <w:rsid w:val="7D654739"/>
    <w:rsid w:val="7D6703DA"/>
    <w:rsid w:val="7D6E474B"/>
    <w:rsid w:val="7D6E5142"/>
    <w:rsid w:val="7D746781"/>
    <w:rsid w:val="7D760CB3"/>
    <w:rsid w:val="7D770C6E"/>
    <w:rsid w:val="7D773C2F"/>
    <w:rsid w:val="7D78127D"/>
    <w:rsid w:val="7D79605A"/>
    <w:rsid w:val="7D7962DD"/>
    <w:rsid w:val="7D7A174E"/>
    <w:rsid w:val="7D7F6267"/>
    <w:rsid w:val="7D816ADE"/>
    <w:rsid w:val="7D832489"/>
    <w:rsid w:val="7D8555F0"/>
    <w:rsid w:val="7D862CB2"/>
    <w:rsid w:val="7D865708"/>
    <w:rsid w:val="7D891584"/>
    <w:rsid w:val="7D894208"/>
    <w:rsid w:val="7D8C3C54"/>
    <w:rsid w:val="7D8E26F7"/>
    <w:rsid w:val="7D980D6E"/>
    <w:rsid w:val="7D9A7DEF"/>
    <w:rsid w:val="7D9D0B8C"/>
    <w:rsid w:val="7D9F09F1"/>
    <w:rsid w:val="7DA0067C"/>
    <w:rsid w:val="7DA25068"/>
    <w:rsid w:val="7DA275CC"/>
    <w:rsid w:val="7DA63EE4"/>
    <w:rsid w:val="7DA9558E"/>
    <w:rsid w:val="7DAC222E"/>
    <w:rsid w:val="7DAD7DCB"/>
    <w:rsid w:val="7DAE630B"/>
    <w:rsid w:val="7DB85738"/>
    <w:rsid w:val="7DBB54B6"/>
    <w:rsid w:val="7DBC4BEB"/>
    <w:rsid w:val="7DBC7D37"/>
    <w:rsid w:val="7DBE3BCB"/>
    <w:rsid w:val="7DBE678C"/>
    <w:rsid w:val="7DBE77E9"/>
    <w:rsid w:val="7DC15B21"/>
    <w:rsid w:val="7DD0746A"/>
    <w:rsid w:val="7DD62421"/>
    <w:rsid w:val="7DD646A6"/>
    <w:rsid w:val="7DDA3EDD"/>
    <w:rsid w:val="7DDB3FC4"/>
    <w:rsid w:val="7DDE6245"/>
    <w:rsid w:val="7DDF3246"/>
    <w:rsid w:val="7DE25D30"/>
    <w:rsid w:val="7DF26792"/>
    <w:rsid w:val="7DF66E9B"/>
    <w:rsid w:val="7E094473"/>
    <w:rsid w:val="7E0C297E"/>
    <w:rsid w:val="7E1028EF"/>
    <w:rsid w:val="7E12157A"/>
    <w:rsid w:val="7E123FF1"/>
    <w:rsid w:val="7E130E4E"/>
    <w:rsid w:val="7E1365B7"/>
    <w:rsid w:val="7E152014"/>
    <w:rsid w:val="7E160710"/>
    <w:rsid w:val="7E176245"/>
    <w:rsid w:val="7E1852C6"/>
    <w:rsid w:val="7E186464"/>
    <w:rsid w:val="7E1A3F8B"/>
    <w:rsid w:val="7E1B3C3C"/>
    <w:rsid w:val="7E1B4880"/>
    <w:rsid w:val="7E1E127B"/>
    <w:rsid w:val="7E22592B"/>
    <w:rsid w:val="7E245383"/>
    <w:rsid w:val="7E2A463C"/>
    <w:rsid w:val="7E2A4C27"/>
    <w:rsid w:val="7E330587"/>
    <w:rsid w:val="7E3410D4"/>
    <w:rsid w:val="7E345CC2"/>
    <w:rsid w:val="7E3C0D42"/>
    <w:rsid w:val="7E3E7ED1"/>
    <w:rsid w:val="7E3F1C43"/>
    <w:rsid w:val="7E3F4B70"/>
    <w:rsid w:val="7E3F5C99"/>
    <w:rsid w:val="7E4159BB"/>
    <w:rsid w:val="7E4443E3"/>
    <w:rsid w:val="7E491668"/>
    <w:rsid w:val="7E4B0B50"/>
    <w:rsid w:val="7E4D24A9"/>
    <w:rsid w:val="7E5609DF"/>
    <w:rsid w:val="7E563DE2"/>
    <w:rsid w:val="7E570C0D"/>
    <w:rsid w:val="7E5971A9"/>
    <w:rsid w:val="7E5B3C32"/>
    <w:rsid w:val="7E621075"/>
    <w:rsid w:val="7E656118"/>
    <w:rsid w:val="7E667E58"/>
    <w:rsid w:val="7E692C7E"/>
    <w:rsid w:val="7E69308E"/>
    <w:rsid w:val="7E693FED"/>
    <w:rsid w:val="7E6A3164"/>
    <w:rsid w:val="7E6F40AB"/>
    <w:rsid w:val="7E705D2C"/>
    <w:rsid w:val="7E7322E7"/>
    <w:rsid w:val="7E7333C3"/>
    <w:rsid w:val="7E736C20"/>
    <w:rsid w:val="7E73736A"/>
    <w:rsid w:val="7E786F03"/>
    <w:rsid w:val="7E7933A7"/>
    <w:rsid w:val="7E7C5379"/>
    <w:rsid w:val="7E7D5ECA"/>
    <w:rsid w:val="7E7E6482"/>
    <w:rsid w:val="7E82544E"/>
    <w:rsid w:val="7E830AF3"/>
    <w:rsid w:val="7E883ABE"/>
    <w:rsid w:val="7E8B0B62"/>
    <w:rsid w:val="7E8C41AC"/>
    <w:rsid w:val="7E8D4827"/>
    <w:rsid w:val="7E8E040A"/>
    <w:rsid w:val="7E9220AD"/>
    <w:rsid w:val="7E932E70"/>
    <w:rsid w:val="7E945DEF"/>
    <w:rsid w:val="7E987AA6"/>
    <w:rsid w:val="7E9D49E1"/>
    <w:rsid w:val="7E9F4AD5"/>
    <w:rsid w:val="7EA33F3A"/>
    <w:rsid w:val="7EA45F4A"/>
    <w:rsid w:val="7EA61CC2"/>
    <w:rsid w:val="7EA87CD9"/>
    <w:rsid w:val="7EAE0732"/>
    <w:rsid w:val="7EAF501B"/>
    <w:rsid w:val="7EB370EC"/>
    <w:rsid w:val="7EB60183"/>
    <w:rsid w:val="7EB70ADC"/>
    <w:rsid w:val="7EBA23B3"/>
    <w:rsid w:val="7EBE0B3A"/>
    <w:rsid w:val="7EC578AF"/>
    <w:rsid w:val="7EC75AE6"/>
    <w:rsid w:val="7EC825A7"/>
    <w:rsid w:val="7ECB797B"/>
    <w:rsid w:val="7ED20D09"/>
    <w:rsid w:val="7ED50710"/>
    <w:rsid w:val="7ED51712"/>
    <w:rsid w:val="7ED76320"/>
    <w:rsid w:val="7EDB2145"/>
    <w:rsid w:val="7EE50A3C"/>
    <w:rsid w:val="7EE54599"/>
    <w:rsid w:val="7EEA01AA"/>
    <w:rsid w:val="7EEA6589"/>
    <w:rsid w:val="7EEC6468"/>
    <w:rsid w:val="7EED2D9A"/>
    <w:rsid w:val="7EF00996"/>
    <w:rsid w:val="7EF0235D"/>
    <w:rsid w:val="7EF45689"/>
    <w:rsid w:val="7EF62189"/>
    <w:rsid w:val="7EF75F34"/>
    <w:rsid w:val="7EF9407D"/>
    <w:rsid w:val="7EFA49C0"/>
    <w:rsid w:val="7EFB6EEE"/>
    <w:rsid w:val="7EFC7F5E"/>
    <w:rsid w:val="7EFD1981"/>
    <w:rsid w:val="7EFE4137"/>
    <w:rsid w:val="7F0228BA"/>
    <w:rsid w:val="7F051B54"/>
    <w:rsid w:val="7F07645F"/>
    <w:rsid w:val="7F0C04C5"/>
    <w:rsid w:val="7F1178C1"/>
    <w:rsid w:val="7F122DED"/>
    <w:rsid w:val="7F131B6E"/>
    <w:rsid w:val="7F131D9F"/>
    <w:rsid w:val="7F163F96"/>
    <w:rsid w:val="7F1B2370"/>
    <w:rsid w:val="7F1F46F2"/>
    <w:rsid w:val="7F2154D6"/>
    <w:rsid w:val="7F223FEE"/>
    <w:rsid w:val="7F233C47"/>
    <w:rsid w:val="7F24326C"/>
    <w:rsid w:val="7F270797"/>
    <w:rsid w:val="7F276B24"/>
    <w:rsid w:val="7F2A4A77"/>
    <w:rsid w:val="7F2B1B95"/>
    <w:rsid w:val="7F2C0B21"/>
    <w:rsid w:val="7F2C0D81"/>
    <w:rsid w:val="7F322156"/>
    <w:rsid w:val="7F323C6F"/>
    <w:rsid w:val="7F330733"/>
    <w:rsid w:val="7F351FA1"/>
    <w:rsid w:val="7F3A0EC6"/>
    <w:rsid w:val="7F3D43D5"/>
    <w:rsid w:val="7F3D46E3"/>
    <w:rsid w:val="7F427C3D"/>
    <w:rsid w:val="7F4710C9"/>
    <w:rsid w:val="7F497F8F"/>
    <w:rsid w:val="7F4A22F2"/>
    <w:rsid w:val="7F4A2C93"/>
    <w:rsid w:val="7F4B79EA"/>
    <w:rsid w:val="7F4D1CA1"/>
    <w:rsid w:val="7F51008E"/>
    <w:rsid w:val="7F527020"/>
    <w:rsid w:val="7F54171E"/>
    <w:rsid w:val="7F551C1D"/>
    <w:rsid w:val="7F571596"/>
    <w:rsid w:val="7F591DEF"/>
    <w:rsid w:val="7F5A2A46"/>
    <w:rsid w:val="7F5A365B"/>
    <w:rsid w:val="7F5F2481"/>
    <w:rsid w:val="7F5F2E08"/>
    <w:rsid w:val="7F606315"/>
    <w:rsid w:val="7F631719"/>
    <w:rsid w:val="7F657813"/>
    <w:rsid w:val="7F6A54CF"/>
    <w:rsid w:val="7F704623"/>
    <w:rsid w:val="7F741B7C"/>
    <w:rsid w:val="7F796471"/>
    <w:rsid w:val="7F7973D7"/>
    <w:rsid w:val="7F7D2A23"/>
    <w:rsid w:val="7F7E41D5"/>
    <w:rsid w:val="7F814D06"/>
    <w:rsid w:val="7F863861"/>
    <w:rsid w:val="7F8C2177"/>
    <w:rsid w:val="7F92790D"/>
    <w:rsid w:val="7F947A6E"/>
    <w:rsid w:val="7FA316D6"/>
    <w:rsid w:val="7FA577D7"/>
    <w:rsid w:val="7FA83394"/>
    <w:rsid w:val="7FB47A55"/>
    <w:rsid w:val="7FBB1BDD"/>
    <w:rsid w:val="7FBE4DEA"/>
    <w:rsid w:val="7FC31981"/>
    <w:rsid w:val="7FC32121"/>
    <w:rsid w:val="7FC57696"/>
    <w:rsid w:val="7FCC2BE6"/>
    <w:rsid w:val="7FCC3DB2"/>
    <w:rsid w:val="7FCE0033"/>
    <w:rsid w:val="7FCE1944"/>
    <w:rsid w:val="7FD03FF0"/>
    <w:rsid w:val="7FDF36DE"/>
    <w:rsid w:val="7FDF3D1F"/>
    <w:rsid w:val="7FE05A37"/>
    <w:rsid w:val="7FE267C2"/>
    <w:rsid w:val="7FEB2083"/>
    <w:rsid w:val="7FF00361"/>
    <w:rsid w:val="7FF656E5"/>
    <w:rsid w:val="7FF66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iPriority="99"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line="360" w:lineRule="auto"/>
    </w:pPr>
    <w:rPr>
      <w:rFonts w:ascii="Arial" w:hAnsi="Arial" w:eastAsia="宋体" w:cs="Times New Roman"/>
      <w:sz w:val="24"/>
      <w:szCs w:val="22"/>
      <w:lang w:val="en-US" w:eastAsia="zh-CN" w:bidi="ar-SA"/>
    </w:rPr>
  </w:style>
  <w:style w:type="paragraph" w:styleId="2">
    <w:name w:val="heading 1"/>
    <w:basedOn w:val="1"/>
    <w:next w:val="1"/>
    <w:link w:val="58"/>
    <w:autoRedefine/>
    <w:qFormat/>
    <w:uiPriority w:val="0"/>
    <w:pPr>
      <w:keepNext/>
      <w:keepLines/>
      <w:widowControl w:val="0"/>
      <w:tabs>
        <w:tab w:val="left" w:pos="425"/>
      </w:tabs>
      <w:adjustRightInd/>
      <w:spacing w:line="400" w:lineRule="atLeast"/>
      <w:ind w:left="425" w:hanging="425"/>
      <w:jc w:val="both"/>
      <w:outlineLvl w:val="0"/>
    </w:pPr>
    <w:rPr>
      <w:rFonts w:ascii="宋体" w:hAnsi="Times New Roman" w:eastAsia="黑体"/>
      <w:kern w:val="28"/>
      <w:sz w:val="28"/>
      <w:szCs w:val="24"/>
    </w:rPr>
  </w:style>
  <w:style w:type="paragraph" w:styleId="3">
    <w:name w:val="heading 2"/>
    <w:basedOn w:val="1"/>
    <w:next w:val="1"/>
    <w:link w:val="61"/>
    <w:autoRedefine/>
    <w:qFormat/>
    <w:uiPriority w:val="0"/>
    <w:pPr>
      <w:keepNext/>
      <w:keepLines/>
      <w:widowControl w:val="0"/>
      <w:adjustRightInd/>
      <w:snapToGrid/>
      <w:spacing w:before="260" w:after="260" w:line="416" w:lineRule="auto"/>
      <w:jc w:val="both"/>
      <w:outlineLvl w:val="1"/>
    </w:pPr>
    <w:rPr>
      <w:rFonts w:eastAsia="黑体"/>
      <w:b/>
      <w:bCs/>
      <w:kern w:val="2"/>
      <w:sz w:val="32"/>
      <w:szCs w:val="32"/>
    </w:rPr>
  </w:style>
  <w:style w:type="paragraph" w:styleId="4">
    <w:name w:val="heading 3"/>
    <w:basedOn w:val="1"/>
    <w:next w:val="1"/>
    <w:link w:val="62"/>
    <w:autoRedefine/>
    <w:qFormat/>
    <w:uiPriority w:val="0"/>
    <w:pPr>
      <w:keepNext/>
      <w:keepLines/>
      <w:widowControl w:val="0"/>
      <w:adjustRightInd/>
      <w:snapToGrid/>
      <w:spacing w:before="260" w:after="260" w:line="416" w:lineRule="auto"/>
      <w:jc w:val="both"/>
      <w:outlineLvl w:val="2"/>
    </w:pPr>
    <w:rPr>
      <w:rFonts w:ascii="Times New Roman" w:hAnsi="Times New Roman"/>
    </w:rPr>
  </w:style>
  <w:style w:type="paragraph" w:styleId="5">
    <w:name w:val="heading 4"/>
    <w:basedOn w:val="1"/>
    <w:next w:val="1"/>
    <w:autoRedefine/>
    <w:qFormat/>
    <w:uiPriority w:val="0"/>
    <w:pPr>
      <w:outlineLvl w:val="3"/>
    </w:pPr>
  </w:style>
  <w:style w:type="paragraph" w:styleId="6">
    <w:name w:val="heading 7"/>
    <w:basedOn w:val="1"/>
    <w:next w:val="1"/>
    <w:autoRedefine/>
    <w:qFormat/>
    <w:uiPriority w:val="0"/>
    <w:pPr>
      <w:keepNext/>
      <w:keepLines/>
      <w:numPr>
        <w:ilvl w:val="6"/>
        <w:numId w:val="1"/>
      </w:numPr>
      <w:tabs>
        <w:tab w:val="left" w:pos="1296"/>
        <w:tab w:val="clear" w:pos="1276"/>
      </w:tabs>
      <w:spacing w:before="240" w:beforeLines="0" w:after="64" w:afterLines="0" w:line="317" w:lineRule="auto"/>
      <w:outlineLvl w:val="6"/>
    </w:pPr>
    <w:rPr>
      <w:b/>
      <w:szCs w:val="20"/>
    </w:rPr>
  </w:style>
  <w:style w:type="character" w:default="1" w:styleId="37">
    <w:name w:val="Default Paragraph Font"/>
    <w:autoRedefine/>
    <w:semiHidden/>
    <w:unhideWhenUsed/>
    <w:qFormat/>
    <w:uiPriority w:val="1"/>
  </w:style>
  <w:style w:type="table" w:default="1" w:styleId="35">
    <w:name w:val="Normal Table"/>
    <w:autoRedefine/>
    <w:semiHidden/>
    <w:unhideWhenUsed/>
    <w:qFormat/>
    <w:uiPriority w:val="99"/>
    <w:tblPr>
      <w:tblCellMar>
        <w:top w:w="0" w:type="dxa"/>
        <w:left w:w="108" w:type="dxa"/>
        <w:bottom w:w="0" w:type="dxa"/>
        <w:right w:w="108" w:type="dxa"/>
      </w:tblCellMar>
    </w:tblPr>
  </w:style>
  <w:style w:type="paragraph" w:styleId="7">
    <w:name w:val="toc 7"/>
    <w:basedOn w:val="1"/>
    <w:next w:val="1"/>
    <w:autoRedefine/>
    <w:unhideWhenUsed/>
    <w:qFormat/>
    <w:uiPriority w:val="39"/>
    <w:pPr>
      <w:widowControl w:val="0"/>
      <w:adjustRightInd/>
      <w:snapToGrid/>
      <w:ind w:left="2520" w:leftChars="1200"/>
      <w:jc w:val="both"/>
    </w:pPr>
    <w:rPr>
      <w:rFonts w:ascii="Calibri" w:hAnsi="Calibri"/>
      <w:kern w:val="2"/>
      <w:sz w:val="21"/>
    </w:rPr>
  </w:style>
  <w:style w:type="paragraph" w:styleId="8">
    <w:name w:val="Normal Indent"/>
    <w:basedOn w:val="1"/>
    <w:next w:val="1"/>
    <w:link w:val="63"/>
    <w:autoRedefine/>
    <w:qFormat/>
    <w:uiPriority w:val="0"/>
    <w:pPr>
      <w:widowControl w:val="0"/>
      <w:adjustRightInd/>
      <w:snapToGrid/>
      <w:ind w:firstLine="420"/>
      <w:jc w:val="both"/>
    </w:pPr>
    <w:rPr>
      <w:rFonts w:ascii="Times New Roman" w:hAnsi="Times New Roman"/>
      <w:kern w:val="2"/>
      <w:sz w:val="21"/>
      <w:szCs w:val="20"/>
    </w:rPr>
  </w:style>
  <w:style w:type="paragraph" w:styleId="9">
    <w:name w:val="Document Map"/>
    <w:basedOn w:val="1"/>
    <w:link w:val="64"/>
    <w:autoRedefine/>
    <w:unhideWhenUsed/>
    <w:qFormat/>
    <w:uiPriority w:val="0"/>
    <w:rPr>
      <w:rFonts w:ascii="宋体" w:hAnsi="Tahoma"/>
      <w:sz w:val="18"/>
      <w:szCs w:val="18"/>
    </w:rPr>
  </w:style>
  <w:style w:type="paragraph" w:styleId="10">
    <w:name w:val="toa heading"/>
    <w:basedOn w:val="1"/>
    <w:next w:val="1"/>
    <w:autoRedefine/>
    <w:unhideWhenUsed/>
    <w:qFormat/>
    <w:uiPriority w:val="99"/>
  </w:style>
  <w:style w:type="paragraph" w:styleId="11">
    <w:name w:val="annotation text"/>
    <w:basedOn w:val="1"/>
    <w:link w:val="65"/>
    <w:autoRedefine/>
    <w:qFormat/>
    <w:uiPriority w:val="0"/>
    <w:pPr>
      <w:widowControl w:val="0"/>
      <w:adjustRightInd/>
      <w:snapToGrid/>
    </w:pPr>
    <w:rPr>
      <w:rFonts w:ascii="Times New Roman" w:hAnsi="Times New Roman"/>
      <w:kern w:val="2"/>
      <w:sz w:val="21"/>
      <w:szCs w:val="24"/>
    </w:rPr>
  </w:style>
  <w:style w:type="paragraph" w:styleId="12">
    <w:name w:val="Body Text"/>
    <w:basedOn w:val="1"/>
    <w:next w:val="13"/>
    <w:link w:val="59"/>
    <w:autoRedefine/>
    <w:qFormat/>
    <w:uiPriority w:val="0"/>
    <w:pPr>
      <w:widowControl w:val="0"/>
      <w:adjustRightInd/>
      <w:snapToGrid/>
      <w:spacing w:after="120"/>
      <w:jc w:val="both"/>
    </w:pPr>
    <w:rPr>
      <w:rFonts w:ascii="Times New Roman" w:hAnsi="Times New Roman"/>
      <w:kern w:val="2"/>
      <w:sz w:val="21"/>
      <w:szCs w:val="24"/>
    </w:rPr>
  </w:style>
  <w:style w:type="paragraph" w:styleId="13">
    <w:name w:val="Body Text Indent"/>
    <w:basedOn w:val="1"/>
    <w:next w:val="14"/>
    <w:link w:val="66"/>
    <w:autoRedefine/>
    <w:qFormat/>
    <w:uiPriority w:val="0"/>
    <w:pPr>
      <w:widowControl w:val="0"/>
      <w:adjustRightInd/>
      <w:snapToGrid/>
      <w:ind w:left="435" w:leftChars="207"/>
      <w:jc w:val="both"/>
    </w:pPr>
    <w:rPr>
      <w:rFonts w:ascii="Times New Roman" w:hAnsi="Times New Roman"/>
      <w:kern w:val="2"/>
      <w:szCs w:val="24"/>
    </w:rPr>
  </w:style>
  <w:style w:type="paragraph" w:styleId="14">
    <w:name w:val="Body Text First Indent 2"/>
    <w:basedOn w:val="13"/>
    <w:next w:val="1"/>
    <w:autoRedefine/>
    <w:qFormat/>
    <w:uiPriority w:val="0"/>
  </w:style>
  <w:style w:type="paragraph" w:styleId="15">
    <w:name w:val="toc 5"/>
    <w:basedOn w:val="1"/>
    <w:next w:val="1"/>
    <w:autoRedefine/>
    <w:unhideWhenUsed/>
    <w:qFormat/>
    <w:uiPriority w:val="39"/>
    <w:pPr>
      <w:widowControl w:val="0"/>
      <w:adjustRightInd/>
      <w:snapToGrid/>
      <w:ind w:left="1680" w:leftChars="800"/>
      <w:jc w:val="both"/>
    </w:pPr>
    <w:rPr>
      <w:rFonts w:ascii="Calibri" w:hAnsi="Calibri"/>
      <w:kern w:val="2"/>
      <w:sz w:val="21"/>
    </w:rPr>
  </w:style>
  <w:style w:type="paragraph" w:styleId="16">
    <w:name w:val="toc 3"/>
    <w:basedOn w:val="1"/>
    <w:next w:val="1"/>
    <w:autoRedefine/>
    <w:qFormat/>
    <w:uiPriority w:val="39"/>
    <w:pPr>
      <w:widowControl w:val="0"/>
      <w:adjustRightInd/>
      <w:snapToGrid/>
      <w:spacing w:line="520" w:lineRule="exact"/>
      <w:ind w:left="400" w:leftChars="400"/>
      <w:jc w:val="both"/>
    </w:pPr>
    <w:rPr>
      <w:rFonts w:ascii="Times New Roman" w:hAnsi="Times New Roman" w:eastAsia="仿宋_GB2312"/>
      <w:kern w:val="2"/>
      <w:szCs w:val="24"/>
    </w:rPr>
  </w:style>
  <w:style w:type="paragraph" w:styleId="17">
    <w:name w:val="Plain Text"/>
    <w:basedOn w:val="1"/>
    <w:link w:val="60"/>
    <w:autoRedefine/>
    <w:qFormat/>
    <w:uiPriority w:val="0"/>
    <w:pPr>
      <w:widowControl w:val="0"/>
      <w:adjustRightInd/>
      <w:snapToGrid/>
      <w:jc w:val="both"/>
    </w:pPr>
    <w:rPr>
      <w:rFonts w:ascii="宋体" w:hAnsi="Courier New"/>
      <w:szCs w:val="20"/>
    </w:rPr>
  </w:style>
  <w:style w:type="paragraph" w:styleId="18">
    <w:name w:val="toc 8"/>
    <w:basedOn w:val="1"/>
    <w:next w:val="1"/>
    <w:autoRedefine/>
    <w:unhideWhenUsed/>
    <w:qFormat/>
    <w:uiPriority w:val="39"/>
    <w:pPr>
      <w:widowControl w:val="0"/>
      <w:adjustRightInd/>
      <w:snapToGrid/>
      <w:ind w:left="2940" w:leftChars="1400"/>
      <w:jc w:val="both"/>
    </w:pPr>
    <w:rPr>
      <w:rFonts w:ascii="Calibri" w:hAnsi="Calibri"/>
      <w:kern w:val="2"/>
      <w:sz w:val="21"/>
    </w:rPr>
  </w:style>
  <w:style w:type="paragraph" w:styleId="19">
    <w:name w:val="Date"/>
    <w:basedOn w:val="1"/>
    <w:next w:val="1"/>
    <w:link w:val="67"/>
    <w:autoRedefine/>
    <w:qFormat/>
    <w:uiPriority w:val="0"/>
    <w:pPr>
      <w:widowControl w:val="0"/>
      <w:adjustRightInd/>
      <w:snapToGrid/>
      <w:ind w:left="100" w:leftChars="2500"/>
      <w:jc w:val="both"/>
    </w:pPr>
    <w:rPr>
      <w:rFonts w:ascii="Times New Roman" w:hAnsi="Times New Roman"/>
      <w:kern w:val="2"/>
      <w:sz w:val="21"/>
      <w:szCs w:val="24"/>
    </w:rPr>
  </w:style>
  <w:style w:type="paragraph" w:styleId="20">
    <w:name w:val="Balloon Text"/>
    <w:basedOn w:val="1"/>
    <w:link w:val="68"/>
    <w:autoRedefine/>
    <w:qFormat/>
    <w:uiPriority w:val="99"/>
    <w:pPr>
      <w:widowControl w:val="0"/>
      <w:adjustRightInd/>
      <w:snapToGrid/>
      <w:jc w:val="both"/>
    </w:pPr>
    <w:rPr>
      <w:rFonts w:ascii="Times New Roman" w:hAnsi="Times New Roman"/>
      <w:kern w:val="2"/>
      <w:sz w:val="18"/>
      <w:szCs w:val="18"/>
    </w:rPr>
  </w:style>
  <w:style w:type="paragraph" w:styleId="21">
    <w:name w:val="footer"/>
    <w:basedOn w:val="1"/>
    <w:link w:val="69"/>
    <w:autoRedefine/>
    <w:qFormat/>
    <w:uiPriority w:val="99"/>
    <w:pPr>
      <w:widowControl w:val="0"/>
      <w:tabs>
        <w:tab w:val="center" w:pos="4153"/>
        <w:tab w:val="right" w:pos="8306"/>
      </w:tabs>
      <w:adjustRightInd/>
    </w:pPr>
    <w:rPr>
      <w:rFonts w:ascii="Times New Roman" w:hAnsi="Times New Roman"/>
      <w:kern w:val="2"/>
      <w:sz w:val="18"/>
      <w:szCs w:val="18"/>
    </w:rPr>
  </w:style>
  <w:style w:type="paragraph" w:styleId="22">
    <w:name w:val="header"/>
    <w:basedOn w:val="1"/>
    <w:link w:val="70"/>
    <w:autoRedefine/>
    <w:qFormat/>
    <w:uiPriority w:val="99"/>
    <w:pPr>
      <w:widowControl w:val="0"/>
      <w:pBdr>
        <w:bottom w:val="single" w:color="auto" w:sz="6" w:space="1"/>
      </w:pBdr>
      <w:tabs>
        <w:tab w:val="center" w:pos="4153"/>
        <w:tab w:val="right" w:pos="8306"/>
      </w:tabs>
      <w:adjustRightInd/>
      <w:jc w:val="center"/>
    </w:pPr>
    <w:rPr>
      <w:rFonts w:ascii="Times New Roman" w:hAnsi="Times New Roman"/>
      <w:kern w:val="2"/>
      <w:sz w:val="18"/>
      <w:szCs w:val="18"/>
    </w:rPr>
  </w:style>
  <w:style w:type="paragraph" w:styleId="23">
    <w:name w:val="toc 1"/>
    <w:basedOn w:val="1"/>
    <w:next w:val="1"/>
    <w:autoRedefine/>
    <w:qFormat/>
    <w:uiPriority w:val="39"/>
    <w:pPr>
      <w:widowControl w:val="0"/>
      <w:tabs>
        <w:tab w:val="right" w:leader="dot" w:pos="9402"/>
      </w:tabs>
      <w:adjustRightInd/>
      <w:snapToGrid/>
      <w:spacing w:line="520" w:lineRule="exact"/>
      <w:jc w:val="both"/>
    </w:pPr>
    <w:rPr>
      <w:rFonts w:hAnsi="宋体" w:cs="Arial"/>
      <w:b/>
      <w:kern w:val="2"/>
      <w:sz w:val="30"/>
      <w:szCs w:val="24"/>
    </w:rPr>
  </w:style>
  <w:style w:type="paragraph" w:styleId="24">
    <w:name w:val="toc 4"/>
    <w:basedOn w:val="1"/>
    <w:next w:val="1"/>
    <w:autoRedefine/>
    <w:unhideWhenUsed/>
    <w:qFormat/>
    <w:uiPriority w:val="39"/>
    <w:pPr>
      <w:widowControl w:val="0"/>
      <w:adjustRightInd/>
      <w:snapToGrid/>
      <w:ind w:left="1260" w:leftChars="600"/>
      <w:jc w:val="both"/>
    </w:pPr>
    <w:rPr>
      <w:rFonts w:ascii="Calibri" w:hAnsi="Calibri"/>
      <w:kern w:val="2"/>
      <w:sz w:val="21"/>
    </w:rPr>
  </w:style>
  <w:style w:type="paragraph" w:styleId="25">
    <w:name w:val="Subtitle"/>
    <w:basedOn w:val="1"/>
    <w:next w:val="1"/>
    <w:autoRedefine/>
    <w:qFormat/>
    <w:uiPriority w:val="0"/>
    <w:pPr>
      <w:spacing w:before="240" w:after="60" w:line="312" w:lineRule="auto"/>
      <w:jc w:val="center"/>
      <w:outlineLvl w:val="1"/>
    </w:pPr>
    <w:rPr>
      <w:rFonts w:ascii="Calibri Light" w:hAnsi="Calibri Light"/>
      <w:b/>
      <w:bCs/>
      <w:kern w:val="28"/>
      <w:sz w:val="32"/>
      <w:szCs w:val="32"/>
    </w:rPr>
  </w:style>
  <w:style w:type="paragraph" w:styleId="26">
    <w:name w:val="toc 6"/>
    <w:basedOn w:val="1"/>
    <w:next w:val="1"/>
    <w:autoRedefine/>
    <w:unhideWhenUsed/>
    <w:qFormat/>
    <w:uiPriority w:val="39"/>
    <w:pPr>
      <w:widowControl w:val="0"/>
      <w:adjustRightInd/>
      <w:snapToGrid/>
      <w:ind w:left="2100" w:leftChars="1000"/>
      <w:jc w:val="both"/>
    </w:pPr>
    <w:rPr>
      <w:rFonts w:ascii="Calibri" w:hAnsi="Calibri"/>
      <w:kern w:val="2"/>
      <w:sz w:val="21"/>
    </w:rPr>
  </w:style>
  <w:style w:type="paragraph" w:styleId="27">
    <w:name w:val="Body Text Indent 3"/>
    <w:basedOn w:val="1"/>
    <w:link w:val="71"/>
    <w:autoRedefine/>
    <w:qFormat/>
    <w:uiPriority w:val="0"/>
    <w:pPr>
      <w:widowControl w:val="0"/>
      <w:adjustRightInd/>
      <w:snapToGrid/>
      <w:spacing w:after="120"/>
      <w:ind w:left="420" w:leftChars="200"/>
      <w:jc w:val="both"/>
    </w:pPr>
    <w:rPr>
      <w:rFonts w:ascii="Times New Roman" w:hAnsi="Times New Roman"/>
      <w:kern w:val="2"/>
      <w:sz w:val="16"/>
      <w:szCs w:val="16"/>
    </w:rPr>
  </w:style>
  <w:style w:type="paragraph" w:styleId="28">
    <w:name w:val="toc 2"/>
    <w:basedOn w:val="1"/>
    <w:next w:val="1"/>
    <w:autoRedefine/>
    <w:qFormat/>
    <w:uiPriority w:val="39"/>
    <w:pPr>
      <w:widowControl w:val="0"/>
      <w:tabs>
        <w:tab w:val="right" w:leader="dot" w:pos="9402"/>
      </w:tabs>
      <w:adjustRightInd/>
      <w:snapToGrid/>
      <w:spacing w:line="520" w:lineRule="exact"/>
      <w:ind w:left="440" w:leftChars="200"/>
    </w:pPr>
    <w:rPr>
      <w:rFonts w:ascii="Times New Roman" w:hAnsi="Times New Roman" w:eastAsia="幼圆"/>
      <w:kern w:val="2"/>
      <w:sz w:val="28"/>
      <w:szCs w:val="24"/>
    </w:rPr>
  </w:style>
  <w:style w:type="paragraph" w:styleId="29">
    <w:name w:val="toc 9"/>
    <w:basedOn w:val="1"/>
    <w:next w:val="1"/>
    <w:autoRedefine/>
    <w:unhideWhenUsed/>
    <w:qFormat/>
    <w:uiPriority w:val="39"/>
    <w:pPr>
      <w:widowControl w:val="0"/>
      <w:adjustRightInd/>
      <w:snapToGrid/>
      <w:ind w:left="3360" w:leftChars="1600"/>
      <w:jc w:val="both"/>
    </w:pPr>
    <w:rPr>
      <w:rFonts w:ascii="Calibri" w:hAnsi="Calibri"/>
      <w:kern w:val="2"/>
      <w:sz w:val="21"/>
    </w:rPr>
  </w:style>
  <w:style w:type="paragraph" w:styleId="30">
    <w:name w:val="HTML Preformatted"/>
    <w:basedOn w:val="1"/>
    <w:next w:val="1"/>
    <w:link w:val="72"/>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line="240" w:lineRule="auto"/>
    </w:pPr>
    <w:rPr>
      <w:rFonts w:ascii="宋体" w:hAnsi="宋体"/>
      <w:szCs w:val="24"/>
    </w:rPr>
  </w:style>
  <w:style w:type="paragraph" w:styleId="31">
    <w:name w:val="Normal (Web)"/>
    <w:basedOn w:val="1"/>
    <w:autoRedefine/>
    <w:qFormat/>
    <w:uiPriority w:val="0"/>
    <w:pPr>
      <w:adjustRightInd/>
      <w:snapToGrid/>
      <w:spacing w:before="100" w:beforeAutospacing="1" w:after="100" w:afterAutospacing="1"/>
    </w:pPr>
    <w:rPr>
      <w:rFonts w:ascii="宋体" w:hAnsi="宋体" w:cs="宋体"/>
      <w:szCs w:val="24"/>
    </w:rPr>
  </w:style>
  <w:style w:type="paragraph" w:styleId="32">
    <w:name w:val="Title"/>
    <w:basedOn w:val="1"/>
    <w:next w:val="1"/>
    <w:link w:val="73"/>
    <w:autoRedefine/>
    <w:qFormat/>
    <w:uiPriority w:val="0"/>
    <w:pPr>
      <w:widowControl w:val="0"/>
      <w:adjustRightInd/>
      <w:snapToGrid/>
      <w:spacing w:before="240" w:after="60"/>
      <w:jc w:val="center"/>
      <w:outlineLvl w:val="0"/>
    </w:pPr>
    <w:rPr>
      <w:rFonts w:ascii="Cambria" w:hAnsi="Cambria"/>
      <w:b/>
      <w:bCs/>
      <w:kern w:val="2"/>
      <w:sz w:val="32"/>
      <w:szCs w:val="32"/>
    </w:rPr>
  </w:style>
  <w:style w:type="paragraph" w:styleId="33">
    <w:name w:val="annotation subject"/>
    <w:basedOn w:val="11"/>
    <w:next w:val="11"/>
    <w:link w:val="74"/>
    <w:autoRedefine/>
    <w:qFormat/>
    <w:uiPriority w:val="0"/>
    <w:rPr>
      <w:b/>
      <w:bCs/>
    </w:rPr>
  </w:style>
  <w:style w:type="paragraph" w:styleId="34">
    <w:name w:val="Body Text First Indent"/>
    <w:basedOn w:val="12"/>
    <w:next w:val="1"/>
    <w:autoRedefine/>
    <w:qFormat/>
    <w:uiPriority w:val="0"/>
    <w:pPr>
      <w:ind w:firstLine="420"/>
    </w:pPr>
    <w:rPr>
      <w:sz w:val="32"/>
    </w:rPr>
  </w:style>
  <w:style w:type="table" w:styleId="36">
    <w:name w:val="Table Grid"/>
    <w:basedOn w:val="3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autoRedefine/>
    <w:qFormat/>
    <w:uiPriority w:val="0"/>
    <w:rPr>
      <w:b/>
      <w:bCs/>
    </w:rPr>
  </w:style>
  <w:style w:type="character" w:styleId="39">
    <w:name w:val="page number"/>
    <w:autoRedefine/>
    <w:qFormat/>
    <w:uiPriority w:val="0"/>
  </w:style>
  <w:style w:type="character" w:styleId="40">
    <w:name w:val="FollowedHyperlink"/>
    <w:autoRedefine/>
    <w:unhideWhenUsed/>
    <w:qFormat/>
    <w:uiPriority w:val="99"/>
    <w:rPr>
      <w:color w:val="800080"/>
      <w:u w:val="none"/>
    </w:rPr>
  </w:style>
  <w:style w:type="character" w:styleId="41">
    <w:name w:val="Emphasis"/>
    <w:autoRedefine/>
    <w:qFormat/>
    <w:uiPriority w:val="20"/>
  </w:style>
  <w:style w:type="character" w:styleId="42">
    <w:name w:val="HTML Definition"/>
    <w:autoRedefine/>
    <w:unhideWhenUsed/>
    <w:qFormat/>
    <w:uiPriority w:val="99"/>
  </w:style>
  <w:style w:type="character" w:styleId="43">
    <w:name w:val="HTML Typewriter"/>
    <w:autoRedefine/>
    <w:unhideWhenUsed/>
    <w:qFormat/>
    <w:uiPriority w:val="99"/>
    <w:rPr>
      <w:rFonts w:ascii="monospace" w:hAnsi="monospace" w:eastAsia="monospace" w:cs="monospace"/>
      <w:sz w:val="20"/>
    </w:rPr>
  </w:style>
  <w:style w:type="character" w:styleId="44">
    <w:name w:val="HTML Acronym"/>
    <w:autoRedefine/>
    <w:unhideWhenUsed/>
    <w:qFormat/>
    <w:uiPriority w:val="99"/>
  </w:style>
  <w:style w:type="character" w:styleId="45">
    <w:name w:val="HTML Variable"/>
    <w:autoRedefine/>
    <w:unhideWhenUsed/>
    <w:qFormat/>
    <w:uiPriority w:val="99"/>
  </w:style>
  <w:style w:type="character" w:styleId="46">
    <w:name w:val="Hyperlink"/>
    <w:autoRedefine/>
    <w:qFormat/>
    <w:uiPriority w:val="99"/>
    <w:rPr>
      <w:color w:val="0066CC"/>
      <w:u w:val="none"/>
    </w:rPr>
  </w:style>
  <w:style w:type="character" w:styleId="47">
    <w:name w:val="HTML Code"/>
    <w:autoRedefine/>
    <w:unhideWhenUsed/>
    <w:qFormat/>
    <w:uiPriority w:val="99"/>
    <w:rPr>
      <w:rFonts w:hint="default" w:ascii="monospace" w:hAnsi="monospace" w:eastAsia="monospace" w:cs="monospace"/>
      <w:sz w:val="20"/>
    </w:rPr>
  </w:style>
  <w:style w:type="character" w:styleId="48">
    <w:name w:val="annotation reference"/>
    <w:autoRedefine/>
    <w:qFormat/>
    <w:uiPriority w:val="0"/>
    <w:rPr>
      <w:sz w:val="21"/>
      <w:szCs w:val="21"/>
    </w:rPr>
  </w:style>
  <w:style w:type="character" w:styleId="49">
    <w:name w:val="HTML Cite"/>
    <w:autoRedefine/>
    <w:unhideWhenUsed/>
    <w:qFormat/>
    <w:uiPriority w:val="99"/>
  </w:style>
  <w:style w:type="character" w:styleId="50">
    <w:name w:val="HTML Keyboard"/>
    <w:autoRedefine/>
    <w:unhideWhenUsed/>
    <w:qFormat/>
    <w:uiPriority w:val="99"/>
    <w:rPr>
      <w:rFonts w:hint="default" w:ascii="monospace" w:hAnsi="monospace" w:eastAsia="monospace" w:cs="monospace"/>
      <w:sz w:val="20"/>
    </w:rPr>
  </w:style>
  <w:style w:type="character" w:styleId="51">
    <w:name w:val="HTML Sample"/>
    <w:basedOn w:val="37"/>
    <w:autoRedefine/>
    <w:unhideWhenUsed/>
    <w:qFormat/>
    <w:uiPriority w:val="99"/>
    <w:rPr>
      <w:rFonts w:hint="default" w:ascii="monospace" w:hAnsi="monospace" w:eastAsia="monospace" w:cs="monospace"/>
    </w:rPr>
  </w:style>
  <w:style w:type="paragraph" w:customStyle="1" w:styleId="52">
    <w:name w:val="正文（首行缩进2字符）"/>
    <w:basedOn w:val="1"/>
    <w:autoRedefine/>
    <w:qFormat/>
    <w:uiPriority w:val="99"/>
    <w:pPr>
      <w:ind w:firstLine="480"/>
    </w:pPr>
    <w:rPr>
      <w:rFonts w:ascii="Times New Roman" w:hAnsi="Times New Roman" w:cs="Times New Roman"/>
    </w:rPr>
  </w:style>
  <w:style w:type="paragraph" w:customStyle="1" w:styleId="53">
    <w:name w:val="一级条标题"/>
    <w:basedOn w:val="54"/>
    <w:next w:val="55"/>
    <w:autoRedefine/>
    <w:qFormat/>
    <w:uiPriority w:val="0"/>
    <w:pPr>
      <w:spacing w:line="240" w:lineRule="auto"/>
      <w:ind w:left="420"/>
      <w:outlineLvl w:val="2"/>
    </w:pPr>
  </w:style>
  <w:style w:type="paragraph" w:customStyle="1" w:styleId="54">
    <w:name w:val="章标题"/>
    <w:next w:val="1"/>
    <w:autoRedefine/>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55">
    <w:name w:val="段"/>
    <w:basedOn w:val="56"/>
    <w:next w:val="1"/>
    <w:autoRedefine/>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56">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7">
    <w:name w:val="正文（首行缩进2字符）2114"/>
    <w:basedOn w:val="1"/>
    <w:autoRedefine/>
    <w:qFormat/>
    <w:uiPriority w:val="99"/>
    <w:pPr>
      <w:ind w:firstLine="480"/>
    </w:pPr>
    <w:rPr>
      <w:rFonts w:ascii="Times New Roman" w:hAnsi="Times New Roman"/>
    </w:rPr>
  </w:style>
  <w:style w:type="character" w:customStyle="1" w:styleId="58">
    <w:name w:val="标题 1 字符"/>
    <w:link w:val="2"/>
    <w:autoRedefine/>
    <w:qFormat/>
    <w:uiPriority w:val="0"/>
    <w:rPr>
      <w:rFonts w:ascii="宋体" w:hAnsi="Times New Roman" w:eastAsia="黑体" w:cs="Times New Roman"/>
      <w:kern w:val="28"/>
      <w:sz w:val="28"/>
      <w:szCs w:val="24"/>
    </w:rPr>
  </w:style>
  <w:style w:type="character" w:customStyle="1" w:styleId="59">
    <w:name w:val="正文文本 字符1"/>
    <w:link w:val="12"/>
    <w:autoRedefine/>
    <w:qFormat/>
    <w:uiPriority w:val="0"/>
    <w:rPr>
      <w:rFonts w:hint="default" w:ascii="Times New Roman" w:hAnsi="Times New Roman" w:cs="Times New Roman"/>
      <w:kern w:val="2"/>
      <w:sz w:val="24"/>
      <w:szCs w:val="24"/>
    </w:rPr>
  </w:style>
  <w:style w:type="character" w:customStyle="1" w:styleId="60">
    <w:name w:val="纯文本 字符"/>
    <w:link w:val="17"/>
    <w:autoRedefine/>
    <w:qFormat/>
    <w:uiPriority w:val="0"/>
    <w:rPr>
      <w:rFonts w:ascii="宋体" w:hAnsi="Courier New"/>
      <w:sz w:val="24"/>
    </w:rPr>
  </w:style>
  <w:style w:type="character" w:customStyle="1" w:styleId="61">
    <w:name w:val="标题 2 字符"/>
    <w:link w:val="3"/>
    <w:autoRedefine/>
    <w:qFormat/>
    <w:uiPriority w:val="0"/>
    <w:rPr>
      <w:rFonts w:ascii="Arial" w:hAnsi="Arial" w:eastAsia="黑体" w:cs="Times New Roman"/>
      <w:b/>
      <w:bCs/>
      <w:kern w:val="2"/>
      <w:sz w:val="32"/>
      <w:szCs w:val="32"/>
    </w:rPr>
  </w:style>
  <w:style w:type="character" w:customStyle="1" w:styleId="62">
    <w:name w:val="标题 3 字符"/>
    <w:link w:val="4"/>
    <w:autoRedefine/>
    <w:qFormat/>
    <w:uiPriority w:val="0"/>
    <w:rPr>
      <w:rFonts w:ascii="Times New Roman" w:hAnsi="Times New Roman" w:eastAsia="宋体" w:cs="Times New Roman"/>
      <w:b/>
      <w:bCs/>
      <w:kern w:val="2"/>
      <w:sz w:val="32"/>
      <w:szCs w:val="32"/>
    </w:rPr>
  </w:style>
  <w:style w:type="character" w:customStyle="1" w:styleId="63">
    <w:name w:val="正文缩进 字符"/>
    <w:link w:val="8"/>
    <w:autoRedefine/>
    <w:qFormat/>
    <w:uiPriority w:val="0"/>
    <w:rPr>
      <w:rFonts w:ascii="Times New Roman" w:hAnsi="Times New Roman" w:eastAsia="宋体" w:cs="Times New Roman"/>
      <w:kern w:val="2"/>
      <w:sz w:val="21"/>
      <w:szCs w:val="20"/>
    </w:rPr>
  </w:style>
  <w:style w:type="character" w:customStyle="1" w:styleId="64">
    <w:name w:val="文档结构图 字符"/>
    <w:link w:val="9"/>
    <w:autoRedefine/>
    <w:qFormat/>
    <w:uiPriority w:val="0"/>
    <w:rPr>
      <w:rFonts w:ascii="宋体" w:hAnsi="Tahoma" w:eastAsia="宋体"/>
      <w:sz w:val="18"/>
      <w:szCs w:val="18"/>
    </w:rPr>
  </w:style>
  <w:style w:type="character" w:customStyle="1" w:styleId="65">
    <w:name w:val="批注文字 字符"/>
    <w:link w:val="11"/>
    <w:autoRedefine/>
    <w:qFormat/>
    <w:uiPriority w:val="0"/>
    <w:rPr>
      <w:rFonts w:ascii="Times New Roman" w:hAnsi="Times New Roman" w:eastAsia="宋体" w:cs="Times New Roman"/>
      <w:kern w:val="2"/>
      <w:sz w:val="21"/>
      <w:szCs w:val="24"/>
    </w:rPr>
  </w:style>
  <w:style w:type="character" w:customStyle="1" w:styleId="66">
    <w:name w:val="正文文本缩进 字符"/>
    <w:link w:val="13"/>
    <w:autoRedefine/>
    <w:qFormat/>
    <w:uiPriority w:val="0"/>
    <w:rPr>
      <w:rFonts w:ascii="Times New Roman" w:hAnsi="Times New Roman" w:eastAsia="宋体" w:cs="Times New Roman"/>
      <w:kern w:val="2"/>
      <w:sz w:val="24"/>
      <w:szCs w:val="24"/>
    </w:rPr>
  </w:style>
  <w:style w:type="character" w:customStyle="1" w:styleId="67">
    <w:name w:val="日期 字符"/>
    <w:link w:val="19"/>
    <w:autoRedefine/>
    <w:qFormat/>
    <w:uiPriority w:val="0"/>
    <w:rPr>
      <w:rFonts w:ascii="Times New Roman" w:hAnsi="Times New Roman" w:eastAsia="宋体" w:cs="Times New Roman"/>
      <w:kern w:val="2"/>
      <w:sz w:val="21"/>
      <w:szCs w:val="24"/>
    </w:rPr>
  </w:style>
  <w:style w:type="character" w:customStyle="1" w:styleId="68">
    <w:name w:val="批注框文本 字符"/>
    <w:link w:val="20"/>
    <w:autoRedefine/>
    <w:qFormat/>
    <w:uiPriority w:val="99"/>
    <w:rPr>
      <w:rFonts w:ascii="Times New Roman" w:hAnsi="Times New Roman" w:eastAsia="宋体" w:cs="Times New Roman"/>
      <w:kern w:val="2"/>
      <w:sz w:val="18"/>
      <w:szCs w:val="18"/>
    </w:rPr>
  </w:style>
  <w:style w:type="character" w:customStyle="1" w:styleId="69">
    <w:name w:val="页脚 字符"/>
    <w:link w:val="21"/>
    <w:autoRedefine/>
    <w:qFormat/>
    <w:uiPriority w:val="99"/>
    <w:rPr>
      <w:rFonts w:ascii="Times New Roman" w:hAnsi="Times New Roman" w:eastAsia="宋体" w:cs="Times New Roman"/>
      <w:kern w:val="2"/>
      <w:sz w:val="18"/>
      <w:szCs w:val="18"/>
    </w:rPr>
  </w:style>
  <w:style w:type="character" w:customStyle="1" w:styleId="70">
    <w:name w:val="页眉 字符1"/>
    <w:link w:val="22"/>
    <w:autoRedefine/>
    <w:qFormat/>
    <w:uiPriority w:val="99"/>
    <w:rPr>
      <w:rFonts w:ascii="Times New Roman" w:hAnsi="Times New Roman" w:eastAsia="宋体" w:cs="Times New Roman"/>
      <w:kern w:val="2"/>
      <w:sz w:val="18"/>
      <w:szCs w:val="18"/>
    </w:rPr>
  </w:style>
  <w:style w:type="character" w:customStyle="1" w:styleId="71">
    <w:name w:val="正文文本缩进 3 字符"/>
    <w:link w:val="27"/>
    <w:autoRedefine/>
    <w:qFormat/>
    <w:uiPriority w:val="0"/>
    <w:rPr>
      <w:rFonts w:ascii="Times New Roman" w:hAnsi="Times New Roman" w:eastAsia="宋体" w:cs="Times New Roman"/>
      <w:kern w:val="2"/>
      <w:sz w:val="16"/>
      <w:szCs w:val="16"/>
    </w:rPr>
  </w:style>
  <w:style w:type="character" w:customStyle="1" w:styleId="72">
    <w:name w:val="HTML 预设格式 字符"/>
    <w:link w:val="30"/>
    <w:autoRedefine/>
    <w:qFormat/>
    <w:uiPriority w:val="99"/>
    <w:rPr>
      <w:rFonts w:ascii="宋体" w:hAnsi="宋体"/>
      <w:sz w:val="24"/>
      <w:szCs w:val="24"/>
    </w:rPr>
  </w:style>
  <w:style w:type="character" w:customStyle="1" w:styleId="73">
    <w:name w:val="标题 字符"/>
    <w:link w:val="32"/>
    <w:autoRedefine/>
    <w:qFormat/>
    <w:uiPriority w:val="0"/>
    <w:rPr>
      <w:rFonts w:ascii="Cambria" w:hAnsi="Cambria" w:eastAsia="宋体" w:cs="Times New Roman"/>
      <w:b/>
      <w:bCs/>
      <w:kern w:val="2"/>
      <w:sz w:val="32"/>
      <w:szCs w:val="32"/>
    </w:rPr>
  </w:style>
  <w:style w:type="character" w:customStyle="1" w:styleId="74">
    <w:name w:val="批注主题 字符"/>
    <w:link w:val="33"/>
    <w:autoRedefine/>
    <w:qFormat/>
    <w:uiPriority w:val="0"/>
    <w:rPr>
      <w:rFonts w:ascii="Times New Roman" w:hAnsi="Times New Roman" w:eastAsia="宋体" w:cs="Times New Roman"/>
      <w:b/>
      <w:bCs/>
      <w:kern w:val="2"/>
      <w:sz w:val="21"/>
      <w:szCs w:val="24"/>
    </w:rPr>
  </w:style>
  <w:style w:type="character" w:customStyle="1" w:styleId="75">
    <w:name w:val="正文文本 字符"/>
    <w:autoRedefine/>
    <w:qFormat/>
    <w:uiPriority w:val="0"/>
    <w:rPr>
      <w:kern w:val="2"/>
      <w:sz w:val="21"/>
      <w:szCs w:val="24"/>
    </w:rPr>
  </w:style>
  <w:style w:type="character" w:customStyle="1" w:styleId="76">
    <w:name w:val="font81"/>
    <w:autoRedefine/>
    <w:qFormat/>
    <w:uiPriority w:val="0"/>
    <w:rPr>
      <w:rFonts w:hint="default" w:ascii="Tahoma" w:hAnsi="Tahoma" w:eastAsia="Tahoma" w:cs="Tahoma"/>
      <w:color w:val="000000"/>
      <w:sz w:val="22"/>
      <w:szCs w:val="22"/>
      <w:u w:val="none"/>
    </w:rPr>
  </w:style>
  <w:style w:type="character" w:customStyle="1" w:styleId="77">
    <w:name w:val="tdog-info-toolclose"/>
    <w:autoRedefine/>
    <w:qFormat/>
    <w:uiPriority w:val="0"/>
  </w:style>
  <w:style w:type="character" w:customStyle="1" w:styleId="78">
    <w:name w:val="hover18"/>
    <w:autoRedefine/>
    <w:qFormat/>
    <w:uiPriority w:val="0"/>
    <w:rPr>
      <w:color w:val="BD2222"/>
    </w:rPr>
  </w:style>
  <w:style w:type="character" w:customStyle="1" w:styleId="79">
    <w:name w:val="tdog-info-title"/>
    <w:autoRedefine/>
    <w:qFormat/>
    <w:uiPriority w:val="0"/>
  </w:style>
  <w:style w:type="character" w:customStyle="1" w:styleId="80">
    <w:name w:val="tdog-user-name"/>
    <w:autoRedefine/>
    <w:qFormat/>
    <w:uiPriority w:val="0"/>
  </w:style>
  <w:style w:type="character" w:customStyle="1" w:styleId="81">
    <w:name w:val="tdog-systips"/>
    <w:autoRedefine/>
    <w:qFormat/>
    <w:uiPriority w:val="0"/>
  </w:style>
  <w:style w:type="character" w:customStyle="1" w:styleId="82">
    <w:name w:val="列表段落 字符"/>
    <w:link w:val="83"/>
    <w:autoRedefine/>
    <w:qFormat/>
    <w:uiPriority w:val="34"/>
    <w:rPr>
      <w:rFonts w:ascii="Tahoma" w:hAnsi="Tahoma"/>
      <w:sz w:val="22"/>
      <w:szCs w:val="22"/>
    </w:rPr>
  </w:style>
  <w:style w:type="paragraph" w:styleId="83">
    <w:name w:val="List Paragraph"/>
    <w:basedOn w:val="1"/>
    <w:link w:val="82"/>
    <w:autoRedefine/>
    <w:qFormat/>
    <w:uiPriority w:val="34"/>
    <w:pPr>
      <w:ind w:firstLine="420" w:firstLineChars="200"/>
    </w:pPr>
    <w:rPr>
      <w:rFonts w:ascii="Tahoma" w:hAnsi="Tahoma"/>
      <w:sz w:val="22"/>
    </w:rPr>
  </w:style>
  <w:style w:type="character" w:customStyle="1" w:styleId="84">
    <w:name w:val="hover"/>
    <w:autoRedefine/>
    <w:qFormat/>
    <w:uiPriority w:val="0"/>
    <w:rPr>
      <w:bdr w:val="single" w:color="808080" w:sz="6" w:space="0"/>
    </w:rPr>
  </w:style>
  <w:style w:type="character" w:customStyle="1" w:styleId="85">
    <w:name w:val="mui-mbarp-hb-tip"/>
    <w:autoRedefine/>
    <w:qFormat/>
    <w:uiPriority w:val="0"/>
    <w:rPr>
      <w:color w:val="23D98E"/>
      <w:sz w:val="18"/>
      <w:szCs w:val="18"/>
      <w:bdr w:val="single" w:color="23D98E" w:sz="6" w:space="0"/>
    </w:rPr>
  </w:style>
  <w:style w:type="character" w:customStyle="1" w:styleId="86">
    <w:name w:val="hidden"/>
    <w:autoRedefine/>
    <w:qFormat/>
    <w:uiPriority w:val="0"/>
    <w:rPr>
      <w:vanish/>
    </w:rPr>
  </w:style>
  <w:style w:type="character" w:customStyle="1" w:styleId="87">
    <w:name w:val="页眉 Char"/>
    <w:autoRedefine/>
    <w:qFormat/>
    <w:uiPriority w:val="99"/>
    <w:rPr>
      <w:lang w:eastAsia="zh-CN"/>
    </w:rPr>
  </w:style>
  <w:style w:type="character" w:customStyle="1" w:styleId="88">
    <w:name w:val="hidden5"/>
    <w:autoRedefine/>
    <w:qFormat/>
    <w:uiPriority w:val="0"/>
    <w:rPr>
      <w:vanish/>
    </w:rPr>
  </w:style>
  <w:style w:type="character" w:customStyle="1" w:styleId="89">
    <w:name w:val="hidden8"/>
    <w:autoRedefine/>
    <w:qFormat/>
    <w:uiPriority w:val="0"/>
    <w:rPr>
      <w:vanish/>
    </w:rPr>
  </w:style>
  <w:style w:type="character" w:customStyle="1" w:styleId="90">
    <w:name w:val="无间隔 字符"/>
    <w:link w:val="91"/>
    <w:autoRedefine/>
    <w:qFormat/>
    <w:uiPriority w:val="1"/>
    <w:rPr>
      <w:sz w:val="22"/>
      <w:szCs w:val="22"/>
      <w:lang w:val="en-US" w:eastAsia="zh-CN" w:bidi="ar-SA"/>
    </w:rPr>
  </w:style>
  <w:style w:type="paragraph" w:styleId="91">
    <w:name w:val="No Spacing"/>
    <w:link w:val="90"/>
    <w:autoRedefine/>
    <w:qFormat/>
    <w:uiPriority w:val="1"/>
    <w:rPr>
      <w:rFonts w:ascii="Times New Roman" w:hAnsi="Times New Roman" w:eastAsia="宋体" w:cs="Times New Roman"/>
      <w:sz w:val="22"/>
      <w:szCs w:val="22"/>
      <w:lang w:val="en-US" w:eastAsia="zh-CN" w:bidi="ar-SA"/>
    </w:rPr>
  </w:style>
  <w:style w:type="character" w:customStyle="1" w:styleId="92">
    <w:name w:val="纯文本 Char1"/>
    <w:autoRedefine/>
    <w:semiHidden/>
    <w:qFormat/>
    <w:uiPriority w:val="99"/>
    <w:rPr>
      <w:rFonts w:ascii="宋体" w:hAnsi="Courier New" w:eastAsia="宋体" w:cs="Courier New"/>
      <w:sz w:val="21"/>
      <w:szCs w:val="21"/>
    </w:rPr>
  </w:style>
  <w:style w:type="character" w:customStyle="1" w:styleId="93">
    <w:name w:val="hover21"/>
    <w:autoRedefine/>
    <w:qFormat/>
    <w:uiPriority w:val="0"/>
    <w:rPr>
      <w:bdr w:val="single" w:color="808080" w:sz="6" w:space="0"/>
    </w:rPr>
  </w:style>
  <w:style w:type="character" w:customStyle="1" w:styleId="94">
    <w:name w:val="正文文本 Char"/>
    <w:autoRedefine/>
    <w:qFormat/>
    <w:uiPriority w:val="0"/>
    <w:rPr>
      <w:rFonts w:ascii="Tahoma" w:hAnsi="Tahoma"/>
    </w:rPr>
  </w:style>
  <w:style w:type="character" w:customStyle="1" w:styleId="95">
    <w:name w:val="tdog-closebut"/>
    <w:autoRedefine/>
    <w:qFormat/>
    <w:uiPriority w:val="0"/>
  </w:style>
  <w:style w:type="character" w:customStyle="1" w:styleId="96">
    <w:name w:val="tdog-info-mailicon2"/>
    <w:autoRedefine/>
    <w:qFormat/>
    <w:uiPriority w:val="0"/>
  </w:style>
  <w:style w:type="character" w:customStyle="1" w:styleId="97">
    <w:name w:val="tdog-popup-help"/>
    <w:autoRedefine/>
    <w:qFormat/>
    <w:uiPriority w:val="0"/>
    <w:rPr>
      <w:vanish/>
    </w:rPr>
  </w:style>
  <w:style w:type="character" w:customStyle="1" w:styleId="98">
    <w:name w:val="def"/>
    <w:autoRedefine/>
    <w:qFormat/>
    <w:uiPriority w:val="0"/>
    <w:rPr>
      <w:color w:val="444444"/>
      <w:bdr w:val="single" w:color="E4E4E4" w:sz="6" w:space="0"/>
      <w:shd w:val="clear" w:color="auto" w:fill="FFFFFF"/>
    </w:rPr>
  </w:style>
  <w:style w:type="character" w:customStyle="1" w:styleId="99">
    <w:name w:val="页脚 Char"/>
    <w:autoRedefine/>
    <w:qFormat/>
    <w:uiPriority w:val="99"/>
    <w:rPr>
      <w:lang w:eastAsia="zh-CN"/>
    </w:rPr>
  </w:style>
  <w:style w:type="character" w:customStyle="1" w:styleId="100">
    <w:name w:val="hover20"/>
    <w:autoRedefine/>
    <w:qFormat/>
    <w:uiPriority w:val="0"/>
    <w:rPr>
      <w:bdr w:val="single" w:color="808080" w:sz="6" w:space="0"/>
    </w:rPr>
  </w:style>
  <w:style w:type="character" w:customStyle="1" w:styleId="101">
    <w:name w:val="mui-mbarp-asset-shop-push-a"/>
    <w:autoRedefine/>
    <w:qFormat/>
    <w:uiPriority w:val="0"/>
    <w:rPr>
      <w:color w:val="666666"/>
    </w:rPr>
  </w:style>
  <w:style w:type="character" w:customStyle="1" w:styleId="102">
    <w:name w:val="tdog-msg-count"/>
    <w:autoRedefine/>
    <w:qFormat/>
    <w:uiPriority w:val="0"/>
    <w:rPr>
      <w:color w:val="0B4F9E"/>
    </w:rPr>
  </w:style>
  <w:style w:type="character" w:customStyle="1" w:styleId="103">
    <w:name w:val="tdog-minimizebut"/>
    <w:autoRedefine/>
    <w:qFormat/>
    <w:uiPriority w:val="0"/>
  </w:style>
  <w:style w:type="character" w:customStyle="1" w:styleId="104">
    <w:name w:val="hover22"/>
    <w:autoRedefine/>
    <w:qFormat/>
    <w:uiPriority w:val="0"/>
    <w:rPr>
      <w:color w:val="BD2222"/>
    </w:rPr>
  </w:style>
  <w:style w:type="character" w:customStyle="1" w:styleId="105">
    <w:name w:val="tdog-info-toolopen"/>
    <w:autoRedefine/>
    <w:qFormat/>
    <w:uiPriority w:val="0"/>
  </w:style>
  <w:style w:type="character" w:customStyle="1" w:styleId="106">
    <w:name w:val="hover1"/>
    <w:autoRedefine/>
    <w:qFormat/>
    <w:uiPriority w:val="0"/>
    <w:rPr>
      <w:color w:val="BD2222"/>
    </w:rPr>
  </w:style>
  <w:style w:type="character" w:customStyle="1" w:styleId="107">
    <w:name w:val="user-nick"/>
    <w:autoRedefine/>
    <w:qFormat/>
    <w:uiPriority w:val="0"/>
  </w:style>
  <w:style w:type="character" w:customStyle="1" w:styleId="108">
    <w:name w:val="tdog-simplepop-icon"/>
    <w:autoRedefine/>
    <w:qFormat/>
    <w:uiPriority w:val="0"/>
  </w:style>
  <w:style w:type="character" w:customStyle="1" w:styleId="109">
    <w:name w:val="hover17"/>
    <w:autoRedefine/>
    <w:qFormat/>
    <w:uiPriority w:val="0"/>
    <w:rPr>
      <w:bdr w:val="single" w:color="808080" w:sz="6" w:space="0"/>
    </w:rPr>
  </w:style>
  <w:style w:type="character" w:customStyle="1" w:styleId="110">
    <w:name w:val="页眉 字符"/>
    <w:autoRedefine/>
    <w:qFormat/>
    <w:uiPriority w:val="99"/>
  </w:style>
  <w:style w:type="character" w:customStyle="1" w:styleId="111">
    <w:name w:val="hidden3"/>
    <w:autoRedefine/>
    <w:qFormat/>
    <w:uiPriority w:val="0"/>
    <w:rPr>
      <w:vanish/>
    </w:rPr>
  </w:style>
  <w:style w:type="character" w:customStyle="1" w:styleId="112">
    <w:name w:val="tdog-popup-talkbar-clear"/>
    <w:autoRedefine/>
    <w:qFormat/>
    <w:uiPriority w:val="0"/>
  </w:style>
  <w:style w:type="character" w:customStyle="1" w:styleId="113">
    <w:name w:val="sale-count"/>
    <w:autoRedefine/>
    <w:qFormat/>
    <w:uiPriority w:val="0"/>
    <w:rPr>
      <w:color w:val="000000"/>
    </w:rPr>
  </w:style>
  <w:style w:type="character" w:customStyle="1" w:styleId="114">
    <w:name w:val="tdog-popup-minimize"/>
    <w:autoRedefine/>
    <w:qFormat/>
    <w:uiPriority w:val="0"/>
  </w:style>
  <w:style w:type="character" w:customStyle="1" w:styleId="115">
    <w:name w:val="hover14"/>
    <w:autoRedefine/>
    <w:qFormat/>
    <w:uiPriority w:val="0"/>
    <w:rPr>
      <w:color w:val="BD2222"/>
    </w:rPr>
  </w:style>
  <w:style w:type="character" w:customStyle="1" w:styleId="116">
    <w:name w:val="font11"/>
    <w:autoRedefine/>
    <w:qFormat/>
    <w:uiPriority w:val="0"/>
    <w:rPr>
      <w:rFonts w:hint="eastAsia" w:ascii="宋体" w:hAnsi="宋体" w:eastAsia="宋体" w:cs="宋体"/>
      <w:color w:val="000000"/>
      <w:sz w:val="24"/>
      <w:szCs w:val="24"/>
      <w:u w:val="none"/>
    </w:rPr>
  </w:style>
  <w:style w:type="character" w:customStyle="1" w:styleId="117">
    <w:name w:val="hidden6"/>
    <w:autoRedefine/>
    <w:qFormat/>
    <w:uiPriority w:val="0"/>
    <w:rPr>
      <w:vanish/>
    </w:rPr>
  </w:style>
  <w:style w:type="character" w:customStyle="1" w:styleId="118">
    <w:name w:val="act"/>
    <w:autoRedefine/>
    <w:qFormat/>
    <w:uiPriority w:val="0"/>
    <w:rPr>
      <w:vanish/>
      <w:color w:val="FFFFFF"/>
      <w:bdr w:val="single" w:color="000000" w:sz="6" w:space="0"/>
      <w:shd w:val="clear" w:color="auto" w:fill="333333"/>
    </w:rPr>
  </w:style>
  <w:style w:type="character" w:customStyle="1" w:styleId="119">
    <w:name w:val="tdog-popup-talkbar-report"/>
    <w:autoRedefine/>
    <w:qFormat/>
    <w:uiPriority w:val="0"/>
  </w:style>
  <w:style w:type="character" w:customStyle="1" w:styleId="120">
    <w:name w:val="titletxt1"/>
    <w:autoRedefine/>
    <w:qFormat/>
    <w:uiPriority w:val="0"/>
    <w:rPr>
      <w:color w:val="000066"/>
    </w:rPr>
  </w:style>
  <w:style w:type="character" w:customStyle="1" w:styleId="121">
    <w:name w:val="tdog-info-mailicon"/>
    <w:autoRedefine/>
    <w:qFormat/>
    <w:uiPriority w:val="0"/>
  </w:style>
  <w:style w:type="character" w:customStyle="1" w:styleId="122">
    <w:name w:val="hover19"/>
    <w:autoRedefine/>
    <w:qFormat/>
    <w:uiPriority w:val="0"/>
    <w:rPr>
      <w:bdr w:val="single" w:color="808080" w:sz="6" w:space="0"/>
    </w:rPr>
  </w:style>
  <w:style w:type="character" w:customStyle="1" w:styleId="123">
    <w:name w:val="hover36"/>
    <w:autoRedefine/>
    <w:qFormat/>
    <w:uiPriority w:val="0"/>
    <w:rPr>
      <w:bdr w:val="single" w:color="808080" w:sz="6" w:space="0"/>
    </w:rPr>
  </w:style>
  <w:style w:type="character" w:customStyle="1" w:styleId="124">
    <w:name w:val="fontborder"/>
    <w:autoRedefine/>
    <w:qFormat/>
    <w:uiPriority w:val="0"/>
    <w:rPr>
      <w:bdr w:val="single" w:color="000000" w:sz="6" w:space="0"/>
    </w:rPr>
  </w:style>
  <w:style w:type="character" w:customStyle="1" w:styleId="125">
    <w:name w:val="_Style 118"/>
    <w:autoRedefine/>
    <w:unhideWhenUsed/>
    <w:qFormat/>
    <w:uiPriority w:val="99"/>
    <w:rPr>
      <w:color w:val="605E5C"/>
      <w:shd w:val="clear" w:color="auto" w:fill="E1DFDD"/>
    </w:rPr>
  </w:style>
  <w:style w:type="character" w:customStyle="1" w:styleId="126">
    <w:name w:val="hover4"/>
    <w:autoRedefine/>
    <w:qFormat/>
    <w:uiPriority w:val="0"/>
    <w:rPr>
      <w:color w:val="999999"/>
    </w:rPr>
  </w:style>
  <w:style w:type="character" w:customStyle="1" w:styleId="127">
    <w:name w:val="font31"/>
    <w:autoRedefine/>
    <w:qFormat/>
    <w:uiPriority w:val="0"/>
    <w:rPr>
      <w:rFonts w:hint="eastAsia" w:ascii="宋体" w:hAnsi="宋体" w:eastAsia="宋体" w:cs="宋体"/>
      <w:color w:val="000000"/>
      <w:sz w:val="22"/>
      <w:szCs w:val="22"/>
      <w:u w:val="none"/>
    </w:rPr>
  </w:style>
  <w:style w:type="character" w:customStyle="1" w:styleId="128">
    <w:name w:val="fontstrikethrough"/>
    <w:autoRedefine/>
    <w:qFormat/>
    <w:uiPriority w:val="0"/>
    <w:rPr>
      <w:strike/>
    </w:rPr>
  </w:style>
  <w:style w:type="character" w:customStyle="1" w:styleId="129">
    <w:name w:val="hidden4"/>
    <w:autoRedefine/>
    <w:qFormat/>
    <w:uiPriority w:val="0"/>
    <w:rPr>
      <w:vanish/>
    </w:rPr>
  </w:style>
  <w:style w:type="paragraph" w:customStyle="1" w:styleId="130">
    <w:name w:val="xl70"/>
    <w:basedOn w:val="1"/>
    <w:autoRedefine/>
    <w:qFormat/>
    <w:uiPriority w:val="0"/>
    <w:pPr>
      <w:pBdr>
        <w:top w:val="single" w:color="000000" w:sz="4" w:space="0"/>
        <w:left w:val="single" w:color="000000" w:sz="4" w:space="0"/>
        <w:bottom w:val="single" w:color="000000" w:sz="8" w:space="0"/>
        <w:right w:val="single" w:color="000000" w:sz="8" w:space="0"/>
      </w:pBdr>
      <w:shd w:val="clear" w:color="FFFFFF" w:fill="FFFFFF"/>
      <w:adjustRightInd/>
      <w:snapToGrid/>
      <w:spacing w:before="100" w:beforeAutospacing="1" w:after="100" w:afterAutospacing="1"/>
      <w:textAlignment w:val="center"/>
    </w:pPr>
    <w:rPr>
      <w:rFonts w:ascii="宋体" w:hAnsi="宋体" w:cs="宋体"/>
      <w:color w:val="000000"/>
      <w:szCs w:val="24"/>
    </w:rPr>
  </w:style>
  <w:style w:type="paragraph" w:customStyle="1" w:styleId="131">
    <w:name w:val="secretfont"/>
    <w:basedOn w:val="1"/>
    <w:autoRedefine/>
    <w:qFormat/>
    <w:uiPriority w:val="0"/>
    <w:rPr>
      <w:rFonts w:ascii="sfont" w:hAnsi="sfont" w:eastAsia="sfont"/>
      <w:sz w:val="30"/>
      <w:szCs w:val="30"/>
    </w:rPr>
  </w:style>
  <w:style w:type="paragraph" w:customStyle="1" w:styleId="132">
    <w:name w:val="正文2"/>
    <w:basedOn w:val="1"/>
    <w:autoRedefine/>
    <w:qFormat/>
    <w:uiPriority w:val="0"/>
    <w:pPr>
      <w:shd w:val="clear" w:color="auto" w:fill="FFFFFF"/>
      <w:spacing w:line="264" w:lineRule="auto"/>
      <w:ind w:left="2155" w:hanging="2155"/>
    </w:pPr>
    <w:rPr>
      <w:rFonts w:ascii="宋体" w:eastAsia="仿宋"/>
      <w:sz w:val="28"/>
      <w:szCs w:val="20"/>
    </w:rPr>
  </w:style>
  <w:style w:type="paragraph" w:customStyle="1" w:styleId="133">
    <w:name w:val="1"/>
    <w:basedOn w:val="1"/>
    <w:next w:val="27"/>
    <w:autoRedefine/>
    <w:qFormat/>
    <w:uiPriority w:val="0"/>
    <w:pPr>
      <w:widowControl w:val="0"/>
      <w:adjustRightInd/>
      <w:snapToGrid/>
      <w:ind w:firstLine="567"/>
      <w:jc w:val="both"/>
    </w:pPr>
    <w:rPr>
      <w:rFonts w:ascii="Times New Roman" w:hAnsi="Times New Roman"/>
      <w:kern w:val="2"/>
      <w:szCs w:val="24"/>
    </w:rPr>
  </w:style>
  <w:style w:type="paragraph" w:customStyle="1" w:styleId="134">
    <w:name w:val="xl75"/>
    <w:basedOn w:val="1"/>
    <w:autoRedefine/>
    <w:qFormat/>
    <w:uiPriority w:val="0"/>
    <w:pPr>
      <w:pBdr>
        <w:top w:val="single" w:color="000000" w:sz="4" w:space="0"/>
        <w:left w:val="single" w:color="000000" w:sz="8" w:space="0"/>
        <w:bottom w:val="single" w:color="000000" w:sz="8" w:space="0"/>
        <w:right w:val="single" w:color="000000" w:sz="4" w:space="0"/>
      </w:pBdr>
      <w:shd w:val="clear" w:color="FFFFFF" w:fill="FFFFFF"/>
      <w:adjustRightInd/>
      <w:snapToGrid/>
      <w:spacing w:before="100" w:beforeAutospacing="1" w:after="100" w:afterAutospacing="1"/>
      <w:jc w:val="center"/>
      <w:textAlignment w:val="center"/>
    </w:pPr>
    <w:rPr>
      <w:rFonts w:ascii="宋体" w:hAnsi="宋体" w:cs="宋体"/>
      <w:color w:val="000000"/>
      <w:szCs w:val="24"/>
    </w:rPr>
  </w:style>
  <w:style w:type="paragraph" w:customStyle="1" w:styleId="135">
    <w:name w:val="xl67"/>
    <w:basedOn w:val="1"/>
    <w:autoRedefine/>
    <w:qFormat/>
    <w:uiPriority w:val="0"/>
    <w:pPr>
      <w:pBdr>
        <w:top w:val="single" w:color="000000" w:sz="4" w:space="0"/>
        <w:left w:val="single" w:color="000000" w:sz="4" w:space="0"/>
        <w:bottom w:val="single" w:color="000000" w:sz="8" w:space="0"/>
        <w:right w:val="single" w:color="000000" w:sz="4" w:space="0"/>
      </w:pBdr>
      <w:shd w:val="clear" w:color="FFFFFF" w:fill="FFFFFF"/>
      <w:adjustRightInd/>
      <w:snapToGrid/>
      <w:spacing w:before="100" w:beforeAutospacing="1" w:after="100" w:afterAutospacing="1"/>
      <w:textAlignment w:val="center"/>
    </w:pPr>
    <w:rPr>
      <w:rFonts w:ascii="宋体" w:hAnsi="宋体" w:cs="宋体"/>
      <w:color w:val="000000"/>
      <w:szCs w:val="24"/>
    </w:rPr>
  </w:style>
  <w:style w:type="paragraph" w:customStyle="1" w:styleId="136">
    <w:name w:val="xl63"/>
    <w:basedOn w:val="1"/>
    <w:autoRedefine/>
    <w:qFormat/>
    <w:uiPriority w:val="0"/>
    <w:pPr>
      <w:pBdr>
        <w:top w:val="single" w:color="000000" w:sz="4" w:space="0"/>
        <w:left w:val="single" w:color="000000" w:sz="8" w:space="0"/>
        <w:bottom w:val="single" w:color="000000" w:sz="4" w:space="0"/>
        <w:right w:val="single" w:color="000000" w:sz="4" w:space="0"/>
      </w:pBdr>
      <w:shd w:val="clear" w:color="FFFFFF" w:fill="FFFFFF"/>
      <w:adjustRightInd/>
      <w:snapToGrid/>
      <w:spacing w:before="100" w:beforeAutospacing="1" w:after="100" w:afterAutospacing="1"/>
      <w:jc w:val="center"/>
      <w:textAlignment w:val="center"/>
    </w:pPr>
    <w:rPr>
      <w:rFonts w:ascii="宋体" w:hAnsi="宋体" w:cs="宋体"/>
      <w:color w:val="000000"/>
      <w:szCs w:val="24"/>
    </w:rPr>
  </w:style>
  <w:style w:type="paragraph" w:customStyle="1" w:styleId="137">
    <w:name w:val="Char Char Char Char Char Char Char1 Char Char Char Char Char Char Char"/>
    <w:basedOn w:val="1"/>
    <w:autoRedefine/>
    <w:qFormat/>
    <w:uiPriority w:val="0"/>
  </w:style>
  <w:style w:type="paragraph" w:customStyle="1" w:styleId="138">
    <w:name w:val="_Style 29"/>
    <w:basedOn w:val="1"/>
    <w:autoRedefine/>
    <w:qFormat/>
    <w:uiPriority w:val="34"/>
    <w:pPr>
      <w:ind w:firstLine="420" w:firstLineChars="200"/>
    </w:pPr>
  </w:style>
  <w:style w:type="paragraph" w:customStyle="1" w:styleId="139">
    <w:name w:val="_Style 133"/>
    <w:basedOn w:val="2"/>
    <w:next w:val="1"/>
    <w:autoRedefine/>
    <w:qFormat/>
    <w:uiPriority w:val="39"/>
    <w:pPr>
      <w:widowControl/>
      <w:tabs>
        <w:tab w:val="clear" w:pos="425"/>
      </w:tabs>
      <w:snapToGrid/>
      <w:spacing w:before="480" w:line="276" w:lineRule="auto"/>
      <w:ind w:left="0" w:firstLine="0"/>
      <w:jc w:val="left"/>
      <w:outlineLvl w:val="9"/>
    </w:pPr>
    <w:rPr>
      <w:rFonts w:ascii="Cambria" w:hAnsi="Cambria" w:eastAsia="宋体"/>
      <w:b/>
      <w:bCs/>
      <w:color w:val="365F91"/>
      <w:kern w:val="0"/>
      <w:szCs w:val="28"/>
    </w:rPr>
  </w:style>
  <w:style w:type="paragraph" w:customStyle="1" w:styleId="140">
    <w:name w:val="_Style 2"/>
    <w:basedOn w:val="1"/>
    <w:autoRedefine/>
    <w:qFormat/>
    <w:uiPriority w:val="34"/>
    <w:pPr>
      <w:spacing w:after="200" w:line="240" w:lineRule="auto"/>
      <w:ind w:firstLine="420" w:firstLineChars="200"/>
    </w:pPr>
    <w:rPr>
      <w:rFonts w:ascii="Tahoma" w:hAnsi="Tahoma" w:eastAsia="微软雅黑"/>
      <w:sz w:val="22"/>
    </w:rPr>
  </w:style>
  <w:style w:type="paragraph" w:customStyle="1" w:styleId="141">
    <w:name w:val="Char2"/>
    <w:basedOn w:val="1"/>
    <w:autoRedefine/>
    <w:qFormat/>
    <w:uiPriority w:val="0"/>
    <w:pPr>
      <w:widowControl w:val="0"/>
      <w:adjustRightInd/>
      <w:snapToGrid/>
      <w:jc w:val="both"/>
    </w:pPr>
    <w:rPr>
      <w:kern w:val="2"/>
      <w:szCs w:val="20"/>
    </w:rPr>
  </w:style>
  <w:style w:type="paragraph" w:customStyle="1" w:styleId="142">
    <w:name w:val="xl74"/>
    <w:basedOn w:val="1"/>
    <w:autoRedefine/>
    <w:qFormat/>
    <w:uiPriority w:val="0"/>
    <w:pPr>
      <w:pBdr>
        <w:top w:val="single" w:color="000000" w:sz="8" w:space="0"/>
        <w:left w:val="single" w:color="000000" w:sz="4" w:space="0"/>
        <w:bottom w:val="single" w:color="000000" w:sz="4" w:space="0"/>
        <w:right w:val="single" w:color="000000" w:sz="8" w:space="0"/>
      </w:pBdr>
      <w:shd w:val="clear" w:color="FFFFFF" w:fill="FFFFFF"/>
      <w:adjustRightInd/>
      <w:snapToGrid/>
      <w:spacing w:before="100" w:beforeAutospacing="1" w:after="100" w:afterAutospacing="1"/>
      <w:jc w:val="center"/>
      <w:textAlignment w:val="center"/>
    </w:pPr>
    <w:rPr>
      <w:rFonts w:ascii="宋体" w:hAnsi="宋体" w:cs="宋体"/>
      <w:color w:val="000000"/>
      <w:szCs w:val="24"/>
    </w:rPr>
  </w:style>
  <w:style w:type="paragraph" w:customStyle="1" w:styleId="143">
    <w:name w:val="正文（绿盟科技）"/>
    <w:autoRedefine/>
    <w:qFormat/>
    <w:uiPriority w:val="0"/>
    <w:pPr>
      <w:spacing w:line="300" w:lineRule="auto"/>
    </w:pPr>
    <w:rPr>
      <w:rFonts w:ascii="Times New Roman" w:hAnsi="Times New Roman" w:eastAsia="宋体" w:cs="黑体"/>
      <w:sz w:val="21"/>
      <w:szCs w:val="21"/>
      <w:lang w:val="en-US" w:eastAsia="zh-CN" w:bidi="ar-SA"/>
    </w:rPr>
  </w:style>
  <w:style w:type="paragraph" w:customStyle="1" w:styleId="144">
    <w:name w:val="标题 5（有编号）（绿盟科技）"/>
    <w:basedOn w:val="1"/>
    <w:next w:val="143"/>
    <w:autoRedefine/>
    <w:qFormat/>
    <w:uiPriority w:val="0"/>
    <w:pPr>
      <w:keepNext/>
      <w:keepLines/>
      <w:numPr>
        <w:ilvl w:val="4"/>
        <w:numId w:val="2"/>
      </w:numPr>
      <w:spacing w:before="280" w:after="156" w:line="377" w:lineRule="auto"/>
      <w:outlineLvl w:val="4"/>
    </w:pPr>
    <w:rPr>
      <w:rFonts w:eastAsia="黑体"/>
      <w:b/>
      <w:szCs w:val="28"/>
    </w:rPr>
  </w:style>
  <w:style w:type="paragraph" w:customStyle="1" w:styleId="145">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paragraph" w:customStyle="1" w:styleId="146">
    <w:name w:val="xl71"/>
    <w:basedOn w:val="1"/>
    <w:autoRedefine/>
    <w:qFormat/>
    <w:uiPriority w:val="0"/>
    <w:pPr>
      <w:pBdr>
        <w:top w:val="single" w:color="000000" w:sz="4" w:space="0"/>
        <w:left w:val="single" w:color="000000" w:sz="4" w:space="0"/>
        <w:bottom w:val="single" w:color="000000" w:sz="4" w:space="0"/>
        <w:right w:val="single" w:color="000000" w:sz="8" w:space="0"/>
      </w:pBdr>
      <w:shd w:val="clear" w:color="FFFFFF" w:fill="FFFFFF"/>
      <w:adjustRightInd/>
      <w:snapToGrid/>
      <w:spacing w:before="100" w:beforeAutospacing="1" w:after="100" w:afterAutospacing="1"/>
      <w:textAlignment w:val="center"/>
    </w:pPr>
    <w:rPr>
      <w:rFonts w:ascii="宋体" w:hAnsi="宋体" w:cs="宋体"/>
      <w:color w:val="000000"/>
      <w:szCs w:val="24"/>
    </w:rPr>
  </w:style>
  <w:style w:type="paragraph" w:customStyle="1" w:styleId="147">
    <w:name w:val="样式 标题 3 + (中文) 黑体 小四 非加粗 段前: 7.8 磅 段后: 0 磅 行距: 固定值 20 磅"/>
    <w:basedOn w:val="4"/>
    <w:autoRedefine/>
    <w:qFormat/>
    <w:uiPriority w:val="0"/>
    <w:pPr>
      <w:spacing w:before="0" w:after="0" w:line="400" w:lineRule="exact"/>
    </w:pPr>
    <w:rPr>
      <w:rFonts w:eastAsia="黑体" w:cs="宋体"/>
      <w:szCs w:val="20"/>
    </w:rPr>
  </w:style>
  <w:style w:type="paragraph" w:customStyle="1" w:styleId="148">
    <w:name w:val="xl66"/>
    <w:basedOn w:val="1"/>
    <w:autoRedefine/>
    <w:qFormat/>
    <w:uiPriority w:val="0"/>
    <w:pPr>
      <w:pBdr>
        <w:top w:val="single" w:color="000000" w:sz="4" w:space="0"/>
        <w:left w:val="single" w:color="000000" w:sz="4" w:space="0"/>
        <w:bottom w:val="single" w:color="000000" w:sz="4" w:space="0"/>
        <w:right w:val="single" w:color="000000" w:sz="4" w:space="0"/>
      </w:pBdr>
      <w:shd w:val="clear" w:color="FFFFFF" w:fill="FFFFFF"/>
      <w:adjustRightInd/>
      <w:snapToGrid/>
      <w:spacing w:before="100" w:beforeAutospacing="1" w:after="100" w:afterAutospacing="1"/>
      <w:jc w:val="right"/>
      <w:textAlignment w:val="center"/>
    </w:pPr>
    <w:rPr>
      <w:rFonts w:ascii="宋体" w:hAnsi="宋体" w:cs="宋体"/>
      <w:color w:val="000000"/>
      <w:szCs w:val="24"/>
    </w:rPr>
  </w:style>
  <w:style w:type="paragraph" w:customStyle="1" w:styleId="149">
    <w:name w:val="_Style 16"/>
    <w:basedOn w:val="1"/>
    <w:autoRedefine/>
    <w:qFormat/>
    <w:uiPriority w:val="0"/>
    <w:pPr>
      <w:widowControl w:val="0"/>
      <w:adjustRightInd/>
      <w:snapToGrid/>
      <w:jc w:val="both"/>
    </w:pPr>
    <w:rPr>
      <w:rFonts w:ascii="Times New Roman" w:hAnsi="Times New Roman"/>
      <w:kern w:val="2"/>
      <w:sz w:val="32"/>
      <w:szCs w:val="24"/>
    </w:rPr>
  </w:style>
  <w:style w:type="paragraph" w:customStyle="1" w:styleId="150">
    <w:name w:val="xl64"/>
    <w:basedOn w:val="1"/>
    <w:autoRedefine/>
    <w:qFormat/>
    <w:uiPriority w:val="0"/>
    <w:pPr>
      <w:pBdr>
        <w:top w:val="single" w:color="000000" w:sz="4" w:space="0"/>
        <w:left w:val="single" w:color="000000" w:sz="4" w:space="0"/>
        <w:bottom w:val="single" w:color="000000" w:sz="4" w:space="0"/>
        <w:right w:val="single" w:color="000000" w:sz="4" w:space="0"/>
      </w:pBdr>
      <w:shd w:val="clear" w:color="FFFFFF" w:fill="FFFFFF"/>
      <w:adjustRightInd/>
      <w:snapToGrid/>
      <w:spacing w:before="100" w:beforeAutospacing="1" w:after="100" w:afterAutospacing="1"/>
      <w:jc w:val="center"/>
      <w:textAlignment w:val="center"/>
    </w:pPr>
    <w:rPr>
      <w:rFonts w:ascii="宋体" w:hAnsi="宋体" w:cs="宋体"/>
      <w:color w:val="000000"/>
      <w:szCs w:val="24"/>
    </w:rPr>
  </w:style>
  <w:style w:type="paragraph" w:customStyle="1" w:styleId="151">
    <w:name w:val="列出段落2"/>
    <w:basedOn w:val="1"/>
    <w:autoRedefine/>
    <w:qFormat/>
    <w:uiPriority w:val="0"/>
    <w:pPr>
      <w:ind w:firstLine="420"/>
    </w:pPr>
  </w:style>
  <w:style w:type="paragraph" w:customStyle="1" w:styleId="152">
    <w:name w:val="_Style 48"/>
    <w:basedOn w:val="1"/>
    <w:autoRedefine/>
    <w:qFormat/>
    <w:uiPriority w:val="0"/>
    <w:pPr>
      <w:widowControl w:val="0"/>
      <w:adjustRightInd/>
      <w:snapToGrid/>
      <w:spacing w:line="240" w:lineRule="auto"/>
      <w:jc w:val="both"/>
    </w:pPr>
    <w:rPr>
      <w:rFonts w:ascii="Times New Roman" w:hAnsi="Times New Roman"/>
      <w:szCs w:val="24"/>
    </w:rPr>
  </w:style>
  <w:style w:type="paragraph" w:customStyle="1" w:styleId="153">
    <w:name w:val="xl73"/>
    <w:basedOn w:val="1"/>
    <w:autoRedefine/>
    <w:qFormat/>
    <w:uiPriority w:val="0"/>
    <w:pPr>
      <w:pBdr>
        <w:top w:val="single" w:color="000000" w:sz="8" w:space="0"/>
        <w:left w:val="single" w:color="000000" w:sz="4" w:space="0"/>
        <w:bottom w:val="single" w:color="000000" w:sz="4" w:space="0"/>
        <w:right w:val="single" w:color="000000" w:sz="4" w:space="0"/>
      </w:pBdr>
      <w:shd w:val="clear" w:color="FFFFFF" w:fill="FFFFFF"/>
      <w:adjustRightInd/>
      <w:snapToGrid/>
      <w:spacing w:before="100" w:beforeAutospacing="1" w:after="100" w:afterAutospacing="1"/>
      <w:jc w:val="center"/>
      <w:textAlignment w:val="center"/>
    </w:pPr>
    <w:rPr>
      <w:rFonts w:ascii="宋体" w:hAnsi="宋体" w:cs="宋体"/>
      <w:color w:val="000000"/>
      <w:szCs w:val="24"/>
    </w:rPr>
  </w:style>
  <w:style w:type="paragraph" w:customStyle="1" w:styleId="154">
    <w:name w:val="xl69"/>
    <w:basedOn w:val="1"/>
    <w:autoRedefine/>
    <w:qFormat/>
    <w:uiPriority w:val="0"/>
    <w:pPr>
      <w:pBdr>
        <w:top w:val="single" w:color="000000" w:sz="4" w:space="0"/>
        <w:left w:val="single" w:color="000000" w:sz="4" w:space="0"/>
        <w:bottom w:val="single" w:color="000000" w:sz="4" w:space="0"/>
        <w:right w:val="single" w:color="000000" w:sz="8" w:space="0"/>
      </w:pBdr>
      <w:shd w:val="clear" w:color="FFFFFF" w:fill="FFFFFF"/>
      <w:adjustRightInd/>
      <w:snapToGrid/>
      <w:spacing w:before="100" w:beforeAutospacing="1" w:after="100" w:afterAutospacing="1"/>
      <w:jc w:val="right"/>
      <w:textAlignment w:val="center"/>
    </w:pPr>
    <w:rPr>
      <w:rFonts w:ascii="宋体" w:hAnsi="宋体" w:cs="宋体"/>
      <w:color w:val="000000"/>
      <w:szCs w:val="24"/>
    </w:rPr>
  </w:style>
  <w:style w:type="paragraph" w:customStyle="1" w:styleId="155">
    <w:name w:val="bb"/>
    <w:basedOn w:val="1"/>
    <w:autoRedefine/>
    <w:qFormat/>
    <w:uiPriority w:val="0"/>
    <w:pPr>
      <w:adjustRightInd/>
      <w:snapToGrid/>
      <w:spacing w:before="100" w:beforeAutospacing="1" w:after="100" w:afterAutospacing="1"/>
    </w:pPr>
    <w:rPr>
      <w:rFonts w:ascii="宋体" w:hAnsi="宋体" w:cs="宋体"/>
      <w:b/>
      <w:bCs/>
      <w:color w:val="990000"/>
      <w:sz w:val="18"/>
      <w:szCs w:val="18"/>
    </w:rPr>
  </w:style>
  <w:style w:type="paragraph" w:customStyle="1" w:styleId="156">
    <w:name w:val="xl68"/>
    <w:basedOn w:val="1"/>
    <w:autoRedefine/>
    <w:qFormat/>
    <w:uiPriority w:val="0"/>
    <w:pPr>
      <w:pBdr>
        <w:top w:val="single" w:color="000000" w:sz="4" w:space="0"/>
        <w:left w:val="single" w:color="000000" w:sz="4" w:space="0"/>
        <w:bottom w:val="single" w:color="000000" w:sz="4" w:space="0"/>
        <w:right w:val="single" w:color="000000" w:sz="8" w:space="0"/>
      </w:pBdr>
      <w:shd w:val="clear" w:color="FFFFFF" w:fill="FFFFFF"/>
      <w:adjustRightInd/>
      <w:snapToGrid/>
      <w:spacing w:before="100" w:beforeAutospacing="1" w:after="100" w:afterAutospacing="1"/>
      <w:jc w:val="center"/>
      <w:textAlignment w:val="center"/>
    </w:pPr>
    <w:rPr>
      <w:rFonts w:ascii="宋体" w:hAnsi="宋体" w:cs="宋体"/>
      <w:color w:val="000000"/>
      <w:szCs w:val="24"/>
    </w:rPr>
  </w:style>
  <w:style w:type="paragraph" w:customStyle="1" w:styleId="157">
    <w:name w:val="xl76"/>
    <w:basedOn w:val="1"/>
    <w:autoRedefine/>
    <w:qFormat/>
    <w:uiPriority w:val="0"/>
    <w:pPr>
      <w:pBdr>
        <w:top w:val="single" w:color="000000" w:sz="4" w:space="0"/>
        <w:left w:val="single" w:color="000000" w:sz="4" w:space="0"/>
        <w:bottom w:val="single" w:color="000000" w:sz="8" w:space="0"/>
        <w:right w:val="single" w:color="000000" w:sz="4" w:space="0"/>
      </w:pBdr>
      <w:shd w:val="clear" w:color="FFFFFF" w:fill="FFFFFF"/>
      <w:adjustRightInd/>
      <w:snapToGrid/>
      <w:spacing w:before="100" w:beforeAutospacing="1" w:after="100" w:afterAutospacing="1"/>
      <w:jc w:val="center"/>
      <w:textAlignment w:val="center"/>
    </w:pPr>
    <w:rPr>
      <w:rFonts w:ascii="宋体" w:hAnsi="宋体" w:cs="宋体"/>
      <w:color w:val="000000"/>
      <w:szCs w:val="24"/>
    </w:rPr>
  </w:style>
  <w:style w:type="paragraph" w:customStyle="1" w:styleId="158">
    <w:name w:val="表"/>
    <w:basedOn w:val="1"/>
    <w:autoRedefine/>
    <w:qFormat/>
    <w:uiPriority w:val="0"/>
    <w:pPr>
      <w:jc w:val="center"/>
      <w:textAlignment w:val="center"/>
    </w:pPr>
    <w:rPr>
      <w:sz w:val="18"/>
    </w:rPr>
  </w:style>
  <w:style w:type="paragraph" w:customStyle="1" w:styleId="159">
    <w:name w:val="_Style 153"/>
    <w:autoRedefine/>
    <w:unhideWhenUsed/>
    <w:qFormat/>
    <w:uiPriority w:val="99"/>
    <w:rPr>
      <w:rFonts w:ascii="Tahoma" w:hAnsi="Tahoma" w:eastAsia="宋体" w:cs="Times New Roman"/>
      <w:sz w:val="22"/>
      <w:szCs w:val="22"/>
      <w:lang w:val="en-US" w:eastAsia="zh-CN" w:bidi="ar-SA"/>
    </w:rPr>
  </w:style>
  <w:style w:type="paragraph" w:customStyle="1" w:styleId="160">
    <w:name w:val="xl65"/>
    <w:basedOn w:val="1"/>
    <w:autoRedefine/>
    <w:qFormat/>
    <w:uiPriority w:val="0"/>
    <w:pPr>
      <w:pBdr>
        <w:top w:val="single" w:color="000000" w:sz="4" w:space="0"/>
        <w:left w:val="single" w:color="000000" w:sz="4" w:space="0"/>
        <w:bottom w:val="single" w:color="000000" w:sz="4" w:space="0"/>
        <w:right w:val="single" w:color="000000" w:sz="4" w:space="0"/>
      </w:pBdr>
      <w:shd w:val="clear" w:color="FFFFFF" w:fill="FFFFFF"/>
      <w:adjustRightInd/>
      <w:snapToGrid/>
      <w:spacing w:before="100" w:beforeAutospacing="1" w:after="100" w:afterAutospacing="1"/>
      <w:textAlignment w:val="center"/>
    </w:pPr>
    <w:rPr>
      <w:rFonts w:ascii="宋体" w:hAnsi="宋体" w:cs="宋体"/>
      <w:color w:val="000000"/>
      <w:szCs w:val="24"/>
    </w:rPr>
  </w:style>
  <w:style w:type="paragraph" w:customStyle="1" w:styleId="161">
    <w:name w:val="_Style 1"/>
    <w:basedOn w:val="1"/>
    <w:autoRedefine/>
    <w:qFormat/>
    <w:uiPriority w:val="99"/>
    <w:pPr>
      <w:widowControl w:val="0"/>
      <w:adjustRightInd/>
      <w:snapToGrid/>
      <w:spacing w:line="240" w:lineRule="auto"/>
      <w:ind w:firstLine="420" w:firstLineChars="200"/>
      <w:jc w:val="both"/>
    </w:pPr>
    <w:rPr>
      <w:rFonts w:ascii="Calibri" w:hAnsi="Calibri"/>
      <w:kern w:val="2"/>
      <w:sz w:val="21"/>
    </w:rPr>
  </w:style>
  <w:style w:type="paragraph" w:customStyle="1" w:styleId="162">
    <w:name w:val="样式 首行缩进:  0 字符"/>
    <w:basedOn w:val="1"/>
    <w:autoRedefine/>
    <w:qFormat/>
    <w:uiPriority w:val="0"/>
    <w:pPr>
      <w:widowControl w:val="0"/>
      <w:adjustRightInd/>
      <w:snapToGrid/>
      <w:ind w:firstLine="200" w:firstLineChars="200"/>
      <w:jc w:val="both"/>
    </w:pPr>
    <w:rPr>
      <w:rFonts w:ascii="Times New Roman" w:hAnsi="Times New Roman" w:cs="宋体"/>
      <w:kern w:val="2"/>
      <w:szCs w:val="20"/>
    </w:rPr>
  </w:style>
  <w:style w:type="paragraph" w:customStyle="1" w:styleId="163">
    <w:name w:val="列出段落1"/>
    <w:basedOn w:val="1"/>
    <w:autoRedefine/>
    <w:qFormat/>
    <w:uiPriority w:val="34"/>
    <w:pPr>
      <w:widowControl w:val="0"/>
      <w:adjustRightInd/>
      <w:snapToGrid/>
      <w:spacing w:line="400" w:lineRule="exact"/>
      <w:ind w:firstLine="420" w:firstLineChars="200"/>
      <w:jc w:val="both"/>
    </w:pPr>
    <w:rPr>
      <w:rFonts w:ascii="Calibri" w:hAnsi="Calibri"/>
      <w:sz w:val="21"/>
    </w:rPr>
  </w:style>
  <w:style w:type="paragraph" w:customStyle="1" w:styleId="164">
    <w:name w:val="List Paragraph1"/>
    <w:basedOn w:val="1"/>
    <w:autoRedefine/>
    <w:qFormat/>
    <w:uiPriority w:val="0"/>
    <w:pPr>
      <w:adjustRightInd/>
      <w:snapToGrid/>
      <w:spacing w:line="240" w:lineRule="auto"/>
      <w:ind w:firstLine="420" w:firstLineChars="200"/>
    </w:pPr>
    <w:rPr>
      <w:rFonts w:ascii="Times New Roman" w:hAnsi="Times New Roman"/>
      <w:szCs w:val="24"/>
    </w:rPr>
  </w:style>
  <w:style w:type="paragraph" w:customStyle="1" w:styleId="165">
    <w:name w:val="_Style 11"/>
    <w:basedOn w:val="1"/>
    <w:autoRedefine/>
    <w:qFormat/>
    <w:uiPriority w:val="0"/>
    <w:pPr>
      <w:widowControl w:val="0"/>
      <w:adjustRightInd/>
      <w:snapToGrid/>
      <w:jc w:val="both"/>
    </w:pPr>
    <w:rPr>
      <w:kern w:val="2"/>
      <w:szCs w:val="20"/>
    </w:rPr>
  </w:style>
  <w:style w:type="paragraph" w:customStyle="1" w:styleId="166">
    <w:name w:val="xl72"/>
    <w:basedOn w:val="1"/>
    <w:autoRedefine/>
    <w:qFormat/>
    <w:uiPriority w:val="0"/>
    <w:pPr>
      <w:pBdr>
        <w:top w:val="single" w:color="000000" w:sz="8" w:space="0"/>
        <w:left w:val="single" w:color="000000" w:sz="8" w:space="0"/>
        <w:bottom w:val="single" w:color="000000" w:sz="4" w:space="0"/>
        <w:right w:val="single" w:color="000000" w:sz="4" w:space="0"/>
      </w:pBdr>
      <w:shd w:val="clear" w:color="FFFFFF" w:fill="FFFFFF"/>
      <w:adjustRightInd/>
      <w:snapToGrid/>
      <w:spacing w:before="100" w:beforeAutospacing="1" w:after="100" w:afterAutospacing="1"/>
      <w:jc w:val="center"/>
      <w:textAlignment w:val="center"/>
    </w:pPr>
    <w:rPr>
      <w:rFonts w:ascii="宋体" w:hAnsi="宋体" w:cs="宋体"/>
      <w:color w:val="000000"/>
      <w:szCs w:val="24"/>
    </w:rPr>
  </w:style>
  <w:style w:type="paragraph" w:customStyle="1" w:styleId="167">
    <w:name w:val="_正文段落"/>
    <w:basedOn w:val="1"/>
    <w:autoRedefine/>
    <w:qFormat/>
    <w:uiPriority w:val="0"/>
    <w:rPr>
      <w:rFonts w:hint="eastAsia" w:ascii="等线" w:hAnsi="等线" w:eastAsia="仿宋_GB2312"/>
      <w:sz w:val="28"/>
      <w:szCs w:val="28"/>
    </w:rPr>
  </w:style>
  <w:style w:type="paragraph" w:customStyle="1" w:styleId="168">
    <w:name w:val="Char"/>
    <w:basedOn w:val="1"/>
    <w:autoRedefine/>
    <w:qFormat/>
    <w:uiPriority w:val="0"/>
    <w:pPr>
      <w:snapToGrid/>
      <w:spacing w:after="160" w:line="240" w:lineRule="exact"/>
      <w:textAlignment w:val="baseline"/>
    </w:pPr>
    <w:rPr>
      <w:rFonts w:ascii="Times New Roman" w:hAnsi="Times New Roman"/>
      <w:szCs w:val="24"/>
    </w:rPr>
  </w:style>
  <w:style w:type="character" w:customStyle="1" w:styleId="169">
    <w:name w:val="first-child"/>
    <w:basedOn w:val="37"/>
    <w:autoRedefine/>
    <w:qFormat/>
    <w:uiPriority w:val="0"/>
  </w:style>
  <w:style w:type="character" w:customStyle="1" w:styleId="170">
    <w:name w:val="last-child"/>
    <w:basedOn w:val="37"/>
    <w:autoRedefine/>
    <w:qFormat/>
    <w:uiPriority w:val="0"/>
  </w:style>
  <w:style w:type="character" w:customStyle="1" w:styleId="171">
    <w:name w:val="NormalCharacter"/>
    <w:autoRedefine/>
    <w:semiHidden/>
    <w:qFormat/>
    <w:uiPriority w:val="0"/>
    <w:rPr>
      <w:rFonts w:ascii="宋体" w:hAnsi="宋体" w:eastAsia="Times New Roman" w:cs="宋体"/>
      <w:color w:val="000000"/>
      <w:sz w:val="21"/>
      <w:lang w:val="en-US" w:eastAsia="zh-CN" w:bidi="ar-SA"/>
    </w:rPr>
  </w:style>
  <w:style w:type="paragraph" w:customStyle="1" w:styleId="172">
    <w:name w:val="Table Text"/>
    <w:basedOn w:val="1"/>
    <w:autoRedefine/>
    <w:semiHidden/>
    <w:qFormat/>
    <w:uiPriority w:val="0"/>
    <w:rPr>
      <w:rFonts w:ascii="楷体" w:hAnsi="楷体" w:eastAsia="楷体" w:cs="楷体"/>
      <w:sz w:val="24"/>
      <w:szCs w:val="24"/>
      <w:lang w:val="en-US" w:eastAsia="en-US" w:bidi="ar-SA"/>
    </w:rPr>
  </w:style>
  <w:style w:type="table" w:customStyle="1" w:styleId="173">
    <w:name w:val="Table Normal"/>
    <w:autoRedefine/>
    <w:semiHidden/>
    <w:unhideWhenUsed/>
    <w:qFormat/>
    <w:uiPriority w:val="0"/>
    <w:tblPr>
      <w:tblCellMar>
        <w:top w:w="0" w:type="dxa"/>
        <w:left w:w="0" w:type="dxa"/>
        <w:bottom w:w="0" w:type="dxa"/>
        <w:right w:w="0" w:type="dxa"/>
      </w:tblCellMar>
    </w:tblPr>
  </w:style>
  <w:style w:type="paragraph" w:customStyle="1" w:styleId="174">
    <w:name w:val="8表正文"/>
    <w:autoRedefine/>
    <w:qFormat/>
    <w:uiPriority w:val="0"/>
    <w:pPr>
      <w:widowControl w:val="0"/>
      <w:overflowPunct w:val="0"/>
      <w:spacing w:line="260" w:lineRule="exact"/>
      <w:jc w:val="center"/>
    </w:pPr>
    <w:rPr>
      <w:rFonts w:ascii="Times New Roman" w:hAnsi="Times New Roman" w:eastAsia="宋体" w:cs="Times New Roman"/>
      <w:sz w:val="21"/>
      <w:szCs w:val="21"/>
      <w:lang w:val="en-US" w:eastAsia="zh-CN" w:bidi="ar-SA"/>
    </w:rPr>
  </w:style>
  <w:style w:type="paragraph" w:customStyle="1" w:styleId="175">
    <w:name w:val="表格文字"/>
    <w:basedOn w:val="1"/>
    <w:autoRedefine/>
    <w:qFormat/>
    <w:uiPriority w:val="0"/>
    <w:pPr>
      <w:widowControl w:val="0"/>
      <w:spacing w:before="25" w:after="25"/>
      <w:jc w:val="both"/>
    </w:pPr>
    <w:rPr>
      <w:bCs/>
      <w:spacing w:val="10"/>
      <w:kern w:val="2"/>
      <w:sz w:val="21"/>
      <w:szCs w:val="20"/>
    </w:rPr>
  </w:style>
  <w:style w:type="paragraph" w:customStyle="1" w:styleId="176">
    <w:name w:val="Other|1"/>
    <w:basedOn w:val="1"/>
    <w:autoRedefine/>
    <w:qFormat/>
    <w:uiPriority w:val="0"/>
    <w:pPr>
      <w:spacing w:line="343" w:lineRule="auto"/>
      <w:ind w:firstLine="0" w:firstLineChars="0"/>
      <w:jc w:val="left"/>
    </w:pPr>
    <w:rPr>
      <w:rFonts w:ascii="宋体" w:hAnsi="宋体" w:cs="宋体"/>
      <w:sz w:val="22"/>
      <w:lang w:val="zh-TW" w:eastAsia="zh-TW" w:bidi="zh-TW"/>
    </w:rPr>
  </w:style>
  <w:style w:type="paragraph" w:customStyle="1" w:styleId="177">
    <w:name w:val="表格"/>
    <w:basedOn w:val="1"/>
    <w:autoRedefine/>
    <w:qFormat/>
    <w:uiPriority w:val="1"/>
    <w:pPr>
      <w:widowControl/>
      <w:spacing w:line="240" w:lineRule="auto"/>
      <w:ind w:firstLine="0" w:firstLineChars="0"/>
      <w:jc w:val="center"/>
    </w:pPr>
    <w:rPr>
      <w:kern w:val="0"/>
      <w:sz w:val="21"/>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66</Pages>
  <Words>27702</Words>
  <Characters>29656</Characters>
  <Lines>271</Lines>
  <Paragraphs>76</Paragraphs>
  <TotalTime>0</TotalTime>
  <ScaleCrop>false</ScaleCrop>
  <LinksUpToDate>false</LinksUpToDate>
  <CharactersWithSpaces>32951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2021-03-02T08:54:00Z</dcterms:created>
  <dc:creator>Administrator</dc:creator>
  <cp:lastModifiedBy>Administrator</cp:lastModifiedBy>
  <cp:lastPrinted>2026-04-17T07:37:00Z</cp:lastPrinted>
  <dcterms:modified xsi:type="dcterms:W3CDTF">2026-04-24T08:33:51Z</dcterms:modified>
  <dc:title>乐都区碾伯中心供销合作社营业楼扩建项目配套设施采购及配套安装工程</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6FE77C74995040DC89C8B5360BA6AAD9_13</vt:lpwstr>
  </property>
  <property fmtid="{D5CDD505-2E9C-101B-9397-08002B2CF9AE}" pid="4" name="KSOTemplateDocerSaveRecord">
    <vt:lpwstr>eyJoZGlkIjoiYjY1MGJlNmMyMjE0MDcxZGQ3MTJmOTQwMDc4N2Y5YTgiLCJ1c2VySWQiOiIzMjIzNjAwMjQifQ==</vt:lpwstr>
  </property>
</Properties>
</file>