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FE51A">
      <w:pPr>
        <w:spacing w:line="360" w:lineRule="auto"/>
        <w:jc w:val="center"/>
        <w:rPr>
          <w:rFonts w:ascii="宋体" w:hAnsi="宋体" w:cs="宋体"/>
          <w:b/>
          <w:color w:val="auto"/>
          <w:sz w:val="24"/>
          <w:highlight w:val="none"/>
        </w:rPr>
      </w:pPr>
    </w:p>
    <w:p w14:paraId="2796C5CC">
      <w:pPr>
        <w:spacing w:line="360" w:lineRule="auto"/>
        <w:jc w:val="center"/>
        <w:rPr>
          <w:rFonts w:ascii="宋体" w:hAnsi="宋体" w:cs="宋体"/>
          <w:b/>
          <w:color w:val="auto"/>
          <w:sz w:val="24"/>
          <w:highlight w:val="none"/>
        </w:rPr>
      </w:pPr>
    </w:p>
    <w:p w14:paraId="7F45F740">
      <w:pPr>
        <w:adjustRightInd/>
        <w:spacing w:line="360" w:lineRule="auto"/>
        <w:jc w:val="center"/>
        <w:rPr>
          <w:rFonts w:ascii="宋体" w:hAnsi="宋体" w:cs="宋体"/>
          <w:b/>
          <w:color w:val="auto"/>
          <w:sz w:val="44"/>
          <w:szCs w:val="44"/>
          <w:highlight w:val="none"/>
        </w:rPr>
      </w:pPr>
      <w:bookmarkStart w:id="507" w:name="_GoBack"/>
      <w:bookmarkEnd w:id="507"/>
    </w:p>
    <w:p w14:paraId="22B41231">
      <w:pPr>
        <w:adjustRightInd/>
        <w:spacing w:line="360" w:lineRule="auto"/>
        <w:jc w:val="both"/>
        <w:rPr>
          <w:rFonts w:ascii="宋体" w:hAnsi="宋体" w:cs="宋体"/>
          <w:b/>
          <w:color w:val="auto"/>
          <w:sz w:val="48"/>
          <w:szCs w:val="48"/>
          <w:highlight w:val="none"/>
        </w:rPr>
      </w:pPr>
    </w:p>
    <w:p w14:paraId="1239E438">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 xml:space="preserve">2026年度一呼百应保安服务项目 </w:t>
      </w:r>
    </w:p>
    <w:p w14:paraId="31F57E0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4300DD9F">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6227127">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330105266030010000006-HCZX-ZC-[2026]0246</w:t>
      </w:r>
    </w:p>
    <w:p w14:paraId="0C07BD0D">
      <w:pPr>
        <w:adjustRightInd/>
        <w:spacing w:line="360" w:lineRule="auto"/>
        <w:rPr>
          <w:rFonts w:ascii="宋体" w:hAnsi="宋体" w:cs="宋体"/>
          <w:color w:val="auto"/>
          <w:sz w:val="28"/>
          <w:szCs w:val="20"/>
          <w:highlight w:val="none"/>
        </w:rPr>
      </w:pPr>
    </w:p>
    <w:p w14:paraId="0EE240C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3B6B213">
      <w:pPr>
        <w:spacing w:line="360" w:lineRule="auto"/>
        <w:jc w:val="center"/>
        <w:rPr>
          <w:rFonts w:ascii="宋体" w:hAnsi="宋体" w:cs="宋体"/>
          <w:b/>
          <w:color w:val="auto"/>
          <w:sz w:val="44"/>
          <w:szCs w:val="44"/>
          <w:highlight w:val="none"/>
        </w:rPr>
      </w:pPr>
    </w:p>
    <w:p w14:paraId="302FE54E">
      <w:pPr>
        <w:spacing w:line="360" w:lineRule="auto"/>
        <w:jc w:val="center"/>
        <w:rPr>
          <w:rFonts w:ascii="宋体" w:hAnsi="宋体" w:cs="宋体"/>
          <w:color w:val="auto"/>
          <w:sz w:val="24"/>
          <w:highlight w:val="none"/>
        </w:rPr>
      </w:pPr>
    </w:p>
    <w:p w14:paraId="243225F0">
      <w:pPr>
        <w:spacing w:line="360" w:lineRule="auto"/>
        <w:jc w:val="center"/>
        <w:rPr>
          <w:rFonts w:ascii="宋体" w:hAnsi="宋体" w:cs="宋体"/>
          <w:color w:val="auto"/>
          <w:sz w:val="24"/>
          <w:highlight w:val="none"/>
        </w:rPr>
      </w:pPr>
    </w:p>
    <w:p w14:paraId="4B66414C">
      <w:pPr>
        <w:spacing w:line="360" w:lineRule="auto"/>
        <w:rPr>
          <w:rFonts w:ascii="宋体" w:hAnsi="宋体" w:cs="宋体"/>
          <w:color w:val="auto"/>
          <w:sz w:val="32"/>
          <w:szCs w:val="32"/>
          <w:highlight w:val="none"/>
        </w:rPr>
      </w:pPr>
    </w:p>
    <w:p w14:paraId="6F12D4DF">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杭州市拱墅区人民政府上塘街道办事处</w:t>
      </w:r>
    </w:p>
    <w:p w14:paraId="5344D6A9">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华诚工程咨询集团有限公司</w:t>
      </w:r>
    </w:p>
    <w:p w14:paraId="0F9F8A63">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三十</w:t>
      </w:r>
      <w:r>
        <w:rPr>
          <w:rFonts w:hint="eastAsia" w:ascii="宋体" w:hAnsi="宋体" w:cs="宋体"/>
          <w:bCs/>
          <w:color w:val="auto"/>
          <w:sz w:val="32"/>
          <w:szCs w:val="32"/>
          <w:highlight w:val="none"/>
        </w:rPr>
        <w:t>日</w:t>
      </w:r>
    </w:p>
    <w:p w14:paraId="6DEF8F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6B77D8EB">
      <w:pPr>
        <w:pStyle w:val="637"/>
        <w:rPr>
          <w:color w:val="auto"/>
          <w:highlight w:val="none"/>
        </w:rPr>
      </w:pPr>
    </w:p>
    <w:p w14:paraId="648EB3B4">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7D45B8B">
      <w:pPr>
        <w:spacing w:line="360" w:lineRule="auto"/>
        <w:rPr>
          <w:rFonts w:ascii="宋体" w:hAnsi="宋体" w:cs="宋体"/>
          <w:color w:val="auto"/>
          <w:sz w:val="32"/>
          <w:szCs w:val="32"/>
          <w:highlight w:val="none"/>
        </w:rPr>
      </w:pPr>
    </w:p>
    <w:p w14:paraId="4AC3C4D5">
      <w:pPr>
        <w:spacing w:line="360" w:lineRule="auto"/>
        <w:rPr>
          <w:rFonts w:ascii="宋体" w:hAnsi="宋体" w:cs="宋体"/>
          <w:color w:val="auto"/>
          <w:sz w:val="32"/>
          <w:szCs w:val="32"/>
          <w:highlight w:val="none"/>
        </w:rPr>
      </w:pPr>
    </w:p>
    <w:p w14:paraId="48FE7AB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FD267D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7AD1F8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E80AA5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5F7C5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2A12106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CFF96CC">
      <w:pPr>
        <w:spacing w:line="360" w:lineRule="auto"/>
        <w:ind w:firstLine="549" w:firstLineChars="229"/>
        <w:rPr>
          <w:rFonts w:ascii="宋体" w:hAnsi="宋体" w:cs="宋体"/>
          <w:color w:val="auto"/>
          <w:sz w:val="24"/>
          <w:highlight w:val="none"/>
        </w:rPr>
      </w:pPr>
      <w:bookmarkStart w:id="0" w:name="_Hlt91233176"/>
      <w:bookmarkEnd w:id="0"/>
      <w:bookmarkStart w:id="1" w:name="_Toc91899869"/>
    </w:p>
    <w:p w14:paraId="1DF2A569">
      <w:pPr>
        <w:spacing w:line="360" w:lineRule="auto"/>
        <w:ind w:firstLine="549" w:firstLineChars="229"/>
        <w:rPr>
          <w:rFonts w:ascii="宋体" w:hAnsi="宋体" w:cs="宋体"/>
          <w:color w:val="auto"/>
          <w:sz w:val="24"/>
          <w:highlight w:val="none"/>
        </w:rPr>
      </w:pPr>
    </w:p>
    <w:p w14:paraId="6A325535">
      <w:pPr>
        <w:spacing w:line="360" w:lineRule="auto"/>
        <w:ind w:firstLine="549" w:firstLineChars="229"/>
        <w:rPr>
          <w:rFonts w:ascii="宋体" w:hAnsi="宋体" w:cs="宋体"/>
          <w:color w:val="auto"/>
          <w:sz w:val="24"/>
          <w:highlight w:val="none"/>
        </w:rPr>
      </w:pPr>
    </w:p>
    <w:p w14:paraId="06013538">
      <w:pPr>
        <w:spacing w:line="360" w:lineRule="auto"/>
        <w:ind w:firstLine="549" w:firstLineChars="229"/>
        <w:rPr>
          <w:rFonts w:ascii="宋体" w:hAnsi="宋体" w:cs="宋体"/>
          <w:color w:val="auto"/>
          <w:sz w:val="24"/>
          <w:highlight w:val="none"/>
        </w:rPr>
      </w:pPr>
    </w:p>
    <w:p w14:paraId="275426B1">
      <w:pPr>
        <w:spacing w:line="360" w:lineRule="auto"/>
        <w:ind w:firstLine="549" w:firstLineChars="229"/>
        <w:rPr>
          <w:rFonts w:ascii="宋体" w:hAnsi="宋体" w:cs="宋体"/>
          <w:color w:val="auto"/>
          <w:sz w:val="24"/>
          <w:highlight w:val="none"/>
        </w:rPr>
      </w:pPr>
    </w:p>
    <w:p w14:paraId="1ECF98F0">
      <w:pPr>
        <w:spacing w:line="360" w:lineRule="auto"/>
        <w:ind w:firstLine="549" w:firstLineChars="229"/>
        <w:rPr>
          <w:rFonts w:ascii="宋体" w:hAnsi="宋体" w:cs="宋体"/>
          <w:color w:val="auto"/>
          <w:sz w:val="24"/>
          <w:highlight w:val="none"/>
        </w:rPr>
      </w:pPr>
    </w:p>
    <w:p w14:paraId="29170B21">
      <w:pPr>
        <w:spacing w:line="360" w:lineRule="auto"/>
        <w:ind w:firstLine="549" w:firstLineChars="229"/>
        <w:rPr>
          <w:rFonts w:ascii="宋体" w:hAnsi="宋体" w:cs="宋体"/>
          <w:color w:val="auto"/>
          <w:sz w:val="24"/>
          <w:highlight w:val="none"/>
        </w:rPr>
      </w:pPr>
    </w:p>
    <w:p w14:paraId="737CC161">
      <w:pPr>
        <w:spacing w:line="360" w:lineRule="auto"/>
        <w:ind w:firstLine="549" w:firstLineChars="229"/>
        <w:rPr>
          <w:rFonts w:ascii="宋体" w:hAnsi="宋体" w:cs="宋体"/>
          <w:color w:val="auto"/>
          <w:sz w:val="24"/>
          <w:highlight w:val="none"/>
        </w:rPr>
      </w:pPr>
    </w:p>
    <w:p w14:paraId="3AB68229">
      <w:pPr>
        <w:spacing w:line="360" w:lineRule="auto"/>
        <w:ind w:firstLine="549" w:firstLineChars="229"/>
        <w:rPr>
          <w:rFonts w:ascii="宋体" w:hAnsi="宋体" w:cs="宋体"/>
          <w:color w:val="auto"/>
          <w:sz w:val="24"/>
          <w:highlight w:val="none"/>
        </w:rPr>
      </w:pPr>
    </w:p>
    <w:p w14:paraId="6F07522E">
      <w:pPr>
        <w:spacing w:line="360" w:lineRule="auto"/>
        <w:ind w:firstLine="549" w:firstLineChars="229"/>
        <w:rPr>
          <w:rFonts w:ascii="宋体" w:hAnsi="宋体" w:cs="宋体"/>
          <w:color w:val="auto"/>
          <w:sz w:val="24"/>
          <w:highlight w:val="none"/>
        </w:rPr>
      </w:pPr>
    </w:p>
    <w:p w14:paraId="56A2A6B8">
      <w:pPr>
        <w:spacing w:line="360" w:lineRule="auto"/>
        <w:ind w:firstLine="549" w:firstLineChars="229"/>
        <w:rPr>
          <w:rFonts w:ascii="宋体" w:hAnsi="宋体" w:cs="宋体"/>
          <w:color w:val="auto"/>
          <w:sz w:val="24"/>
          <w:highlight w:val="none"/>
        </w:rPr>
      </w:pPr>
    </w:p>
    <w:p w14:paraId="01222A71">
      <w:pPr>
        <w:spacing w:line="360" w:lineRule="auto"/>
        <w:ind w:firstLine="549" w:firstLineChars="229"/>
        <w:rPr>
          <w:rFonts w:ascii="宋体" w:hAnsi="宋体" w:cs="宋体"/>
          <w:color w:val="auto"/>
          <w:sz w:val="24"/>
          <w:highlight w:val="none"/>
        </w:rPr>
      </w:pPr>
    </w:p>
    <w:p w14:paraId="72ADFD94">
      <w:pPr>
        <w:spacing w:line="360" w:lineRule="auto"/>
        <w:ind w:firstLine="549" w:firstLineChars="229"/>
        <w:rPr>
          <w:rFonts w:ascii="宋体" w:hAnsi="宋体" w:cs="宋体"/>
          <w:color w:val="auto"/>
          <w:sz w:val="24"/>
          <w:highlight w:val="none"/>
        </w:rPr>
      </w:pPr>
    </w:p>
    <w:p w14:paraId="28C15421">
      <w:pPr>
        <w:spacing w:line="360" w:lineRule="auto"/>
        <w:rPr>
          <w:rFonts w:ascii="宋体" w:hAnsi="宋体" w:cs="宋体"/>
          <w:color w:val="auto"/>
          <w:sz w:val="24"/>
          <w:highlight w:val="none"/>
        </w:rPr>
      </w:pPr>
    </w:p>
    <w:p w14:paraId="24E19556">
      <w:pPr>
        <w:adjustRightInd/>
        <w:spacing w:line="360" w:lineRule="auto"/>
        <w:jc w:val="center"/>
        <w:outlineLvl w:val="0"/>
        <w:rPr>
          <w:rFonts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07423"/>
      <w:bookmarkEnd w:id="3"/>
      <w:bookmarkStart w:id="4" w:name="_Hlt74729822"/>
      <w:bookmarkEnd w:id="4"/>
      <w:bookmarkStart w:id="5" w:name="_Hlt74649545"/>
      <w:bookmarkEnd w:id="5"/>
      <w:bookmarkStart w:id="6" w:name="_Hlt74728647"/>
      <w:bookmarkEnd w:id="6"/>
      <w:bookmarkStart w:id="7" w:name="第二部分"/>
      <w:bookmarkStart w:id="8" w:name="_Toc91899870"/>
      <w:bookmarkStart w:id="9" w:name="_Toc91899871"/>
      <w:r>
        <w:rPr>
          <w:rFonts w:hint="eastAsia" w:ascii="宋体" w:hAnsi="宋体" w:cs="宋体"/>
          <w:b/>
          <w:color w:val="auto"/>
          <w:sz w:val="36"/>
          <w:szCs w:val="20"/>
          <w:highlight w:val="none"/>
        </w:rPr>
        <w:t>第一部分 招标公告</w:t>
      </w:r>
    </w:p>
    <w:p w14:paraId="336D905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1F0357B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2026年度一呼百应保安服务项目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DE7DC1C">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0EBDE2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330105266030010000006-HCZX-ZC-[2026]0246</w:t>
      </w:r>
    </w:p>
    <w:p w14:paraId="327F775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2026年度一呼百应保安服务项目</w:t>
      </w:r>
    </w:p>
    <w:p w14:paraId="3D2C4D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1980000</w:t>
      </w:r>
      <w:r>
        <w:rPr>
          <w:rFonts w:ascii="宋体" w:hAnsi="宋体" w:cs="宋体"/>
          <w:color w:val="auto"/>
          <w:sz w:val="24"/>
          <w:highlight w:val="none"/>
        </w:rPr>
        <w:t xml:space="preserve"> </w:t>
      </w:r>
    </w:p>
    <w:p w14:paraId="4699177F">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eastAsia="宋体" w:cs="宋体"/>
          <w:b/>
          <w:color w:val="auto"/>
          <w:sz w:val="24"/>
          <w:highlight w:val="none"/>
          <w:lang w:val="en-US" w:eastAsia="zh-CN"/>
        </w:rPr>
        <w:t>1980000</w:t>
      </w:r>
    </w:p>
    <w:p w14:paraId="14E01DDC">
      <w:pPr>
        <w:pStyle w:val="1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2026年度一呼百应保安服务项目</w:t>
      </w:r>
      <w:r>
        <w:rPr>
          <w:rFonts w:hint="eastAsia" w:hAnsi="宋体" w:cs="宋体"/>
          <w:bCs/>
          <w:snapToGrid/>
          <w:color w:val="auto"/>
          <w:kern w:val="2"/>
          <w:sz w:val="24"/>
          <w:szCs w:val="24"/>
          <w:highlight w:val="none"/>
        </w:rPr>
        <w:t>主要内容：为切实保障上塘辖区社会面平安稳定，提高安全事件应对能力，构建“一呼百应”基层共治体系，最大限度地提升对各类突发案事件的应对响应速度，最大限度地提升对影响政治稳定、社会安宁的重大公共安全事件的实战处置能力，实现全面打造“网格化管理一呼百应，精细化治理有呼必应，社会化治理全民响应”基层治理体系的目标。具体以招标文件第三部分采购需求为准，供应商可点击本公告下方“浏览采购文件”查看采购需求</w:t>
      </w:r>
      <w:r>
        <w:rPr>
          <w:rFonts w:hint="eastAsia" w:hAnsi="宋体" w:cs="宋体"/>
          <w:bCs/>
          <w:snapToGrid/>
          <w:color w:val="auto"/>
          <w:kern w:val="2"/>
          <w:sz w:val="24"/>
          <w:szCs w:val="24"/>
          <w:highlight w:val="none"/>
        </w:rPr>
        <w:t>。</w:t>
      </w:r>
    </w:p>
    <w:p w14:paraId="227361DF">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hAnsi="宋体" w:cs="宋体"/>
          <w:bCs/>
          <w:color w:val="auto"/>
          <w:szCs w:val="24"/>
          <w:highlight w:val="none"/>
          <w:lang w:val="en-US" w:eastAsia="zh-CN"/>
        </w:rPr>
        <w:t>12个月</w:t>
      </w:r>
      <w:r>
        <w:rPr>
          <w:rFonts w:hint="eastAsia" w:hAnsi="宋体" w:cs="宋体"/>
          <w:bCs/>
          <w:color w:val="auto"/>
          <w:szCs w:val="24"/>
          <w:highlight w:val="none"/>
        </w:rPr>
        <w:t xml:space="preserve">。 </w:t>
      </w:r>
    </w:p>
    <w:p w14:paraId="28D635B1">
      <w:pPr>
        <w:pStyle w:val="1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80856"/>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799D6B4">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E5B1D93">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7E10D8C">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85FF3B0">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533CB09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59A3AC4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7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B825D30">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8355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1B2E346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7177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73FD3C90">
      <w:pPr>
        <w:rPr>
          <w:rFonts w:ascii="宋体" w:hAnsi="宋体" w:cs="宋体"/>
          <w:color w:val="auto"/>
          <w:highlight w:val="none"/>
        </w:rPr>
      </w:pPr>
    </w:p>
    <w:p w14:paraId="01204DC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577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5D621CD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632768B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044E3C8">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784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p>
    <w:p w14:paraId="44D29B6E">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194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具有公安部门颁发的有效期内的《保安服务许可证》</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《保安服务管理条例》 </w:t>
      </w:r>
      <w:r>
        <w:rPr>
          <w:rFonts w:hint="eastAsia" w:ascii="宋体" w:hAnsi="宋体" w:cs="宋体"/>
          <w:color w:val="auto"/>
          <w:sz w:val="24"/>
          <w:highlight w:val="none"/>
        </w:rPr>
        <w:t>。</w:t>
      </w:r>
    </w:p>
    <w:p w14:paraId="6F4EF2D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92823E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BF22F6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226E502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5E05B88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821D17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14EF185E">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4CE325F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0E099C6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C8E4FED">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p>
    <w:p w14:paraId="19DC4B6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E4BD5A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865E8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8F48937">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2E708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6B46EE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服务网-政府采购投诉处理-在线办理。</w:t>
      </w:r>
    </w:p>
    <w:p w14:paraId="206BC7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47EA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w:t>
      </w:r>
      <w:r>
        <w:rPr>
          <w:rFonts w:hint="eastAsia" w:ascii="宋体" w:hAnsi="宋体" w:cs="宋体"/>
          <w:color w:val="auto"/>
          <w:sz w:val="24"/>
          <w:highlight w:val="none"/>
          <w:lang w:eastAsia="zh-CN"/>
        </w:rPr>
        <w:t>HCZX-ZC-[2026]0246</w:t>
      </w:r>
      <w:r>
        <w:rPr>
          <w:rFonts w:hint="eastAsia" w:ascii="宋体" w:hAnsi="宋体" w:cs="宋体"/>
          <w:color w:val="auto"/>
          <w:sz w:val="24"/>
          <w:highlight w:val="none"/>
        </w:rPr>
        <w:t>”，浙江政府采购网招标公告中的项目编号为“</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”，两者在采购活动中具有同等效力）。</w:t>
      </w:r>
    </w:p>
    <w:p w14:paraId="32D30113">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E7AF7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32C30C2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 杭州市拱墅区人民政府上塘街道办事处</w:t>
      </w:r>
    </w:p>
    <w:p w14:paraId="6306046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杭州市拱墅区沈半路3号</w:t>
      </w:r>
    </w:p>
    <w:p w14:paraId="4EFAC30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0B3B151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项目联系人：林先生</w:t>
      </w:r>
    </w:p>
    <w:p w14:paraId="47667C0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项目联系方式：0571-89508752 </w:t>
      </w:r>
    </w:p>
    <w:p w14:paraId="6BE6514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质疑联系人：张先生 </w:t>
      </w:r>
    </w:p>
    <w:p w14:paraId="60BEA0EC">
      <w:pPr>
        <w:spacing w:line="360" w:lineRule="auto"/>
        <w:ind w:firstLine="480"/>
        <w:rPr>
          <w:rFonts w:ascii="宋体" w:hAnsi="宋体" w:cs="宋体"/>
          <w:color w:val="auto"/>
          <w:sz w:val="24"/>
          <w:highlight w:val="none"/>
        </w:rPr>
      </w:pPr>
      <w:r>
        <w:rPr>
          <w:rFonts w:hint="eastAsia" w:ascii="宋体" w:hAnsi="宋体" w:eastAsia="宋体" w:cs="宋体"/>
          <w:color w:val="auto"/>
          <w:sz w:val="24"/>
          <w:highlight w:val="none"/>
        </w:rPr>
        <w:t>质疑联系方式：0571-89508755</w:t>
      </w:r>
      <w:r>
        <w:rPr>
          <w:rFonts w:hint="eastAsia" w:ascii="宋体" w:hAnsi="宋体" w:cs="宋体"/>
          <w:color w:val="auto"/>
          <w:sz w:val="24"/>
          <w:highlight w:val="none"/>
          <w:lang w:val="en-US" w:eastAsia="zh-CN"/>
        </w:rPr>
        <w:t xml:space="preserve"> </w:t>
      </w:r>
    </w:p>
    <w:p w14:paraId="00AE4C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CA839A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称：华诚工程咨询集团有限公司</w:t>
      </w:r>
    </w:p>
    <w:p w14:paraId="059EE9C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址：杭州市拱墅区彩云路105号锦盛大楼3楼</w:t>
      </w:r>
    </w:p>
    <w:p w14:paraId="783D394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0B991D4B">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val="en-US" w:eastAsia="zh-CN"/>
        </w:rPr>
        <w:t>詹洛辉</w:t>
      </w:r>
    </w:p>
    <w:p w14:paraId="6F04C22D">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w:t>
      </w:r>
      <w:r>
        <w:rPr>
          <w:rFonts w:hint="eastAsia" w:ascii="宋体" w:hAnsi="宋体" w:eastAsia="宋体" w:cs="宋体"/>
          <w:color w:val="auto"/>
          <w:sz w:val="24"/>
          <w:highlight w:val="none"/>
          <w:lang w:val="en-US" w:eastAsia="zh-CN"/>
        </w:rPr>
        <w:t>17601301975</w:t>
      </w:r>
    </w:p>
    <w:p w14:paraId="0A325C9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highlight w:val="none"/>
          <w:lang w:val="en-US" w:eastAsia="zh-CN"/>
        </w:rPr>
        <w:t>刘先成</w:t>
      </w:r>
      <w:r>
        <w:rPr>
          <w:rFonts w:hint="eastAsia" w:ascii="宋体" w:hAnsi="宋体" w:eastAsia="宋体" w:cs="宋体"/>
          <w:color w:val="auto"/>
          <w:sz w:val="24"/>
          <w:highlight w:val="none"/>
        </w:rPr>
        <w:t xml:space="preserve"> </w:t>
      </w:r>
    </w:p>
    <w:p w14:paraId="0A8A605D">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质疑联系方式：0571-</w:t>
      </w:r>
      <w:r>
        <w:rPr>
          <w:rFonts w:hint="eastAsia" w:ascii="宋体" w:hAnsi="宋体" w:cs="宋体"/>
          <w:color w:val="auto"/>
          <w:sz w:val="24"/>
          <w:highlight w:val="none"/>
          <w:lang w:val="en-US" w:eastAsia="zh-CN"/>
        </w:rPr>
        <w:t>88302752</w:t>
      </w:r>
    </w:p>
    <w:p w14:paraId="775C24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355387E4">
      <w:pPr>
        <w:numPr>
          <w:ilvl w:val="0"/>
          <w:numId w:val="0"/>
        </w:numPr>
        <w:spacing w:line="360" w:lineRule="auto"/>
        <w:ind w:left="480" w:leftChars="0"/>
        <w:rPr>
          <w:rFonts w:ascii="宋体" w:hAnsi="宋体" w:cs="宋体"/>
          <w:color w:val="auto"/>
          <w:sz w:val="24"/>
          <w:highlight w:val="none"/>
        </w:rPr>
      </w:pPr>
      <w:r>
        <w:rPr>
          <w:rFonts w:hint="eastAsia" w:ascii="宋体" w:hAnsi="宋体" w:cs="宋体"/>
          <w:color w:val="auto"/>
          <w:sz w:val="24"/>
          <w:highlight w:val="none"/>
        </w:rPr>
        <w:t>名    称：杭州市拱墅区财政局、浙江省政府采购行政裁决服务中心（杭州）</w:t>
      </w:r>
    </w:p>
    <w:p w14:paraId="61A6E7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19A9F08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7D9F4A7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eastAsia="zh-CN"/>
        </w:rPr>
        <w:t>匡老师</w:t>
      </w:r>
    </w:p>
    <w:p w14:paraId="72609740">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cs="宋体"/>
          <w:color w:val="auto"/>
          <w:sz w:val="24"/>
          <w:highlight w:val="none"/>
          <w:lang w:eastAsia="zh-CN"/>
        </w:rPr>
        <w:t>0571-87807798</w:t>
      </w:r>
    </w:p>
    <w:p w14:paraId="3C77B76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7A0073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F1C3D4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DB05BD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7"/>
      <w:r>
        <w:rPr>
          <w:rFonts w:hint="eastAsia" w:ascii="宋体" w:hAnsi="宋体" w:cs="宋体"/>
          <w:b/>
          <w:color w:val="auto"/>
          <w:sz w:val="36"/>
          <w:szCs w:val="20"/>
          <w:highlight w:val="none"/>
        </w:rPr>
        <w:t xml:space="preserve"> 投标人须知</w:t>
      </w:r>
      <w:bookmarkEnd w:id="8"/>
    </w:p>
    <w:p w14:paraId="11434161">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16233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133B301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6AE9B0A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1D054A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8F8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324F858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0B7FE3A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14:paraId="2CA7B441">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332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6C55C3E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2BC4313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3B7B839C">
            <w:pPr>
              <w:snapToGrid w:val="0"/>
              <w:spacing w:line="360" w:lineRule="auto"/>
              <w:rPr>
                <w:rFonts w:hint="eastAsia" w:ascii="宋体" w:hAnsi="宋体" w:cs="宋体"/>
                <w:b w:val="0"/>
                <w:color w:val="auto"/>
                <w:sz w:val="24"/>
                <w:szCs w:val="24"/>
                <w:highlight w:val="none"/>
                <w:lang w:val="en-US" w:eastAsia="zh-CN"/>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2026年度一呼百应保安服务项目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租赁和商务服务业 </w:t>
            </w:r>
            <w:r>
              <w:rPr>
                <w:rFonts w:hint="eastAsia" w:ascii="宋体" w:hAnsi="宋体" w:cs="宋体"/>
                <w:color w:val="auto"/>
                <w:kern w:val="0"/>
                <w:sz w:val="24"/>
                <w:highlight w:val="none"/>
              </w:rPr>
              <w:t>行业</w:t>
            </w:r>
            <w:r>
              <w:rPr>
                <w:rFonts w:hint="eastAsia" w:ascii="宋体" w:hAnsi="宋体" w:cs="宋体"/>
                <w:color w:val="auto"/>
                <w:kern w:val="0"/>
                <w:sz w:val="24"/>
                <w:highlight w:val="none"/>
                <w:lang w:eastAsia="zh-CN"/>
              </w:rPr>
              <w:t>；</w:t>
            </w: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2BB4815A">
            <w:pPr>
              <w:rPr>
                <w:rFonts w:hint="default" w:eastAsia="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（2）本项目为专门面向中小企业预留采购份额的采购项目。</w:t>
            </w:r>
          </w:p>
        </w:tc>
      </w:tr>
      <w:tr w14:paraId="2D38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62961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5AC7F6C5">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是否允许采购进口产品</w:t>
            </w:r>
          </w:p>
        </w:tc>
        <w:tc>
          <w:tcPr>
            <w:tcW w:w="6095" w:type="dxa"/>
            <w:tcBorders>
              <w:tl2br w:val="nil"/>
              <w:tr2bl w:val="nil"/>
            </w:tcBorders>
            <w:vAlign w:val="center"/>
          </w:tcPr>
          <w:p w14:paraId="638223DF">
            <w:pPr>
              <w:spacing w:line="360" w:lineRule="auto"/>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47471694"/>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sym w:font="Wingdings" w:char="F0FE"/>
                </w:r>
              </w:sdtContent>
            </w:sdt>
            <w:r>
              <w:rPr>
                <w:rFonts w:hint="eastAsia" w:ascii="宋体" w:hAnsi="宋体" w:cs="宋体"/>
                <w:color w:val="auto"/>
                <w:kern w:val="0"/>
                <w:sz w:val="24"/>
                <w:highlight w:val="none"/>
                <w:shd w:val="clear" w:color="auto" w:fill="auto"/>
              </w:rPr>
              <w:t>本项目不允许采购进口产品。</w:t>
            </w:r>
          </w:p>
          <w:p w14:paraId="5516ADCF">
            <w:pPr>
              <w:spacing w:line="360" w:lineRule="auto"/>
              <w:rPr>
                <w:rFonts w:ascii="宋体" w:hAnsi="宋体" w:cs="宋体"/>
                <w:color w:val="auto"/>
                <w:highlight w:val="none"/>
                <w:shd w:val="clear" w:color="auto" w:fill="auto"/>
              </w:rPr>
            </w:pPr>
            <w:sdt>
              <w:sdtPr>
                <w:rPr>
                  <w:rFonts w:hint="eastAsia" w:ascii="宋体" w:hAnsi="宋体" w:cs="宋体"/>
                  <w:color w:val="auto"/>
                  <w:kern w:val="0"/>
                  <w:sz w:val="24"/>
                  <w:highlight w:val="none"/>
                  <w:shd w:val="clear" w:color="auto" w:fill="auto"/>
                </w:rPr>
                <w:id w:val="147479322"/>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可以就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shd w:val="clear" w:color="auto" w:fill="auto"/>
              </w:rPr>
              <w:t>评分标准</w:t>
            </w:r>
            <w:r>
              <w:rPr>
                <w:rFonts w:hint="eastAsia" w:ascii="宋体" w:hAnsi="宋体" w:cs="宋体"/>
                <w:color w:val="auto"/>
                <w:kern w:val="0"/>
                <w:sz w:val="24"/>
                <w:highlight w:val="none"/>
                <w:shd w:val="clear" w:color="auto" w:fill="auto"/>
              </w:rPr>
              <w:t>。</w:t>
            </w:r>
          </w:p>
        </w:tc>
      </w:tr>
      <w:tr w14:paraId="2EAA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72310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24D30FF9">
            <w:pPr>
              <w:snapToGrid w:val="0"/>
              <w:spacing w:line="360" w:lineRule="auto"/>
              <w:ind w:firstLine="482" w:firstLineChars="200"/>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分包</w:t>
            </w:r>
          </w:p>
        </w:tc>
        <w:tc>
          <w:tcPr>
            <w:tcW w:w="6095" w:type="dxa"/>
            <w:tcBorders>
              <w:tl2br w:val="nil"/>
              <w:tr2bl w:val="nil"/>
            </w:tcBorders>
            <w:vAlign w:val="center"/>
          </w:tcPr>
          <w:p w14:paraId="2408F307">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79061"/>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ascii="Wingdings" w:hAnsi="Wingdings"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 xml:space="preserve"> A</w:t>
            </w:r>
            <w:r>
              <w:rPr>
                <w:rFonts w:hint="eastAsia" w:ascii="宋体" w:hAnsi="宋体" w:cs="宋体"/>
                <w:color w:val="auto"/>
                <w:kern w:val="0"/>
                <w:sz w:val="24"/>
                <w:highlight w:val="none"/>
                <w:shd w:val="clear" w:color="auto" w:fill="auto"/>
                <w:lang w:val="en-US" w:eastAsia="zh-CN"/>
              </w:rPr>
              <w:t>采购人仅</w:t>
            </w:r>
            <w:r>
              <w:rPr>
                <w:rFonts w:hint="eastAsia" w:ascii="宋体" w:hAnsi="宋体" w:cs="宋体"/>
                <w:color w:val="auto"/>
                <w:sz w:val="24"/>
                <w:highlight w:val="none"/>
                <w:shd w:val="clear" w:color="auto" w:fill="auto"/>
              </w:rPr>
              <w:t>同意将非主体、非关键性的工作分包。供应商将其他内容分包的视为“</w:t>
            </w:r>
            <w:r>
              <w:rPr>
                <w:rFonts w:hint="eastAsia" w:ascii="宋体" w:hAnsi="宋体" w:cs="宋体"/>
                <w:color w:val="auto"/>
                <w:kern w:val="0"/>
                <w:sz w:val="24"/>
                <w:highlight w:val="none"/>
                <w:shd w:val="clear" w:color="auto" w:fill="auto"/>
              </w:rPr>
              <w:t>投标文件含有采购人不能接受的附加条件”，投标无效。</w:t>
            </w:r>
          </w:p>
          <w:p w14:paraId="20E1A8E2">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79507"/>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 xml:space="preserve"> B</w:t>
            </w:r>
            <w:r>
              <w:rPr>
                <w:rFonts w:hint="eastAsia" w:ascii="宋体" w:hAnsi="宋体" w:cs="宋体"/>
                <w:color w:val="auto"/>
                <w:sz w:val="24"/>
                <w:highlight w:val="none"/>
                <w:shd w:val="clear" w:color="auto" w:fill="auto"/>
              </w:rPr>
              <w:t>不同意分包。</w:t>
            </w:r>
          </w:p>
          <w:p w14:paraId="587A995F">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注：不得限制大中型企业向小微企业合理分包。</w:t>
            </w:r>
          </w:p>
        </w:tc>
      </w:tr>
      <w:tr w14:paraId="67A6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7D4F32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74096A8E">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开标前答疑会或现场考察</w:t>
            </w:r>
          </w:p>
        </w:tc>
        <w:tc>
          <w:tcPr>
            <w:tcW w:w="6095" w:type="dxa"/>
            <w:tcBorders>
              <w:tl2br w:val="nil"/>
              <w:tr2bl w:val="nil"/>
            </w:tcBorders>
            <w:vAlign w:val="center"/>
          </w:tcPr>
          <w:p w14:paraId="5F7F2279">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56790"/>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不组织。</w:t>
            </w:r>
          </w:p>
          <w:p w14:paraId="2218240E">
            <w:pPr>
              <w:spacing w:line="360" w:lineRule="auto"/>
              <w:rPr>
                <w:rFonts w:hint="eastAsia"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147476006"/>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B组织，</w:t>
            </w:r>
            <w:r>
              <w:rPr>
                <w:rFonts w:hint="eastAsia" w:ascii="宋体" w:hAnsi="宋体" w:cs="宋体"/>
                <w:color w:val="auto"/>
                <w:sz w:val="24"/>
                <w:highlight w:val="none"/>
                <w:shd w:val="clear" w:color="auto" w:fill="auto"/>
              </w:rPr>
              <w:t>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szCs w:val="20"/>
                <w:highlight w:val="none"/>
                <w:shd w:val="clear" w:color="auto" w:fill="auto"/>
              </w:rPr>
              <w:t>。</w:t>
            </w:r>
          </w:p>
          <w:p w14:paraId="572DF554">
            <w:pPr>
              <w:spacing w:line="360" w:lineRule="auto"/>
              <w:rPr>
                <w:color w:val="auto"/>
                <w:highlight w:val="none"/>
                <w:shd w:val="clear" w:color="auto" w:fill="auto"/>
              </w:rPr>
            </w:pPr>
            <w:sdt>
              <w:sdtPr>
                <w:rPr>
                  <w:rFonts w:hint="eastAsia" w:ascii="宋体" w:hAnsi="宋体" w:cs="宋体"/>
                  <w:color w:val="auto"/>
                  <w:kern w:val="0"/>
                  <w:sz w:val="24"/>
                  <w:highlight w:val="none"/>
                  <w:shd w:val="clear" w:color="auto" w:fill="auto"/>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eastAsia="宋体" w:cs="宋体"/>
                <w:color w:val="auto"/>
                <w:kern w:val="2"/>
                <w:sz w:val="24"/>
                <w:szCs w:val="24"/>
                <w:highlight w:val="none"/>
                <w:shd w:val="clear" w:color="auto" w:fill="auto"/>
                <w:lang w:val="en-US" w:eastAsia="zh-CN" w:bidi="ar-SA"/>
              </w:rPr>
              <w:t>C不统一组织，供应商在获取采购文件后，自行至项目现场考察。</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eastAsia="宋体" w:cs="宋体"/>
                <w:color w:val="auto"/>
                <w:kern w:val="2"/>
                <w:sz w:val="24"/>
                <w:szCs w:val="24"/>
                <w:highlight w:val="none"/>
                <w:shd w:val="clear" w:color="auto" w:fill="auto"/>
                <w:lang w:val="en-US" w:eastAsia="zh-CN" w:bidi="ar-SA"/>
              </w:rPr>
              <w:t>。</w:t>
            </w:r>
          </w:p>
        </w:tc>
      </w:tr>
      <w:tr w14:paraId="1DAF9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6567E0C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38117F19">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样品提供</w:t>
            </w:r>
          </w:p>
        </w:tc>
        <w:tc>
          <w:tcPr>
            <w:tcW w:w="6095" w:type="dxa"/>
            <w:tcBorders>
              <w:tl2br w:val="nil"/>
              <w:tr2bl w:val="nil"/>
            </w:tcBorders>
            <w:vAlign w:val="center"/>
          </w:tcPr>
          <w:p w14:paraId="2A557213">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62014"/>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不要求提供。</w:t>
            </w:r>
          </w:p>
          <w:p w14:paraId="422E13FA">
            <w:pPr>
              <w:spacing w:line="360" w:lineRule="auto"/>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B要求提供（未提供样品或提供样品不满足采购需求实质性条件的供应商，投标无效）：</w:t>
            </w:r>
          </w:p>
          <w:p w14:paraId="57F77091">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w:t>
            </w:r>
            <w:r>
              <w:rPr>
                <w:rFonts w:hint="eastAsia" w:ascii="宋体" w:hAnsi="宋体" w:cs="宋体"/>
                <w:snapToGrid w:val="0"/>
                <w:color w:val="auto"/>
                <w:kern w:val="28"/>
                <w:sz w:val="24"/>
                <w:highlight w:val="none"/>
                <w:shd w:val="clear" w:color="auto" w:fill="auto"/>
              </w:rPr>
              <w:t>样品：</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p>
          <w:p w14:paraId="78E545F9">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w:t>
            </w:r>
            <w:r>
              <w:rPr>
                <w:rFonts w:hint="eastAsia" w:ascii="宋体" w:hAnsi="宋体" w:cs="宋体"/>
                <w:snapToGrid w:val="0"/>
                <w:color w:val="auto"/>
                <w:kern w:val="28"/>
                <w:sz w:val="24"/>
                <w:highlight w:val="none"/>
                <w:shd w:val="clear" w:color="auto" w:fill="auto"/>
              </w:rPr>
              <w:t>样品制作的标准和要求：</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74D131F4">
            <w:pPr>
              <w:spacing w:line="360" w:lineRule="auto"/>
              <w:rPr>
                <w:rFonts w:ascii="宋体" w:hAnsi="宋体" w:cs="宋体"/>
                <w:snapToGrid w:val="0"/>
                <w:color w:val="auto"/>
                <w:kern w:val="28"/>
                <w:sz w:val="24"/>
                <w:highlight w:val="none"/>
                <w:shd w:val="clear" w:color="auto" w:fill="auto"/>
              </w:rPr>
            </w:pPr>
            <w:r>
              <w:rPr>
                <w:rFonts w:hint="eastAsia" w:ascii="宋体" w:hAnsi="宋体" w:cs="宋体"/>
                <w:color w:val="auto"/>
                <w:kern w:val="0"/>
                <w:sz w:val="24"/>
                <w:highlight w:val="none"/>
                <w:shd w:val="clear" w:color="auto" w:fill="auto"/>
              </w:rPr>
              <w:t>（3）样品的评审方法以及评审标准</w:t>
            </w:r>
            <w:r>
              <w:rPr>
                <w:rFonts w:hint="eastAsia" w:ascii="宋体" w:hAnsi="宋体" w:cs="宋体"/>
                <w:snapToGrid w:val="0"/>
                <w:color w:val="auto"/>
                <w:kern w:val="28"/>
                <w:sz w:val="24"/>
                <w:highlight w:val="none"/>
                <w:shd w:val="clear" w:color="auto" w:fill="auto"/>
              </w:rPr>
              <w:t>：</w:t>
            </w:r>
          </w:p>
          <w:p w14:paraId="43D258C0">
            <w:pPr>
              <w:spacing w:line="360" w:lineRule="auto"/>
              <w:ind w:firstLine="240" w:firstLineChars="100"/>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69486"/>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样品分未超过价格分的50%；</w:t>
            </w:r>
          </w:p>
          <w:p w14:paraId="15121253">
            <w:pPr>
              <w:spacing w:line="360" w:lineRule="auto"/>
              <w:ind w:firstLine="240" w:firstLineChars="100"/>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47474182"/>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样品分超过价格分的50%，理由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7581E81C">
            <w:pPr>
              <w:spacing w:line="360" w:lineRule="auto"/>
              <w:ind w:firstLine="240" w:firstLineChars="100"/>
              <w:rPr>
                <w:rFonts w:ascii="宋体" w:hAnsi="宋体" w:cs="宋体"/>
                <w:color w:val="auto"/>
                <w:kern w:val="0"/>
                <w:sz w:val="24"/>
                <w:highlight w:val="none"/>
                <w:shd w:val="clear" w:color="auto" w:fill="auto"/>
              </w:rPr>
            </w:pPr>
            <w:r>
              <w:rPr>
                <w:rFonts w:hint="eastAsia" w:ascii="宋体" w:hAnsi="宋体" w:cs="宋体"/>
                <w:snapToGrid w:val="0"/>
                <w:color w:val="auto"/>
                <w:kern w:val="28"/>
                <w:sz w:val="24"/>
                <w:highlight w:val="none"/>
                <w:shd w:val="clear" w:color="auto" w:fill="auto"/>
              </w:rPr>
              <w:t>详见招标文件第四部分</w:t>
            </w:r>
            <w:r>
              <w:rPr>
                <w:rFonts w:hint="eastAsia" w:ascii="宋体" w:hAnsi="宋体" w:cs="宋体"/>
                <w:color w:val="auto"/>
                <w:sz w:val="24"/>
                <w:highlight w:val="none"/>
                <w:u w:val="single"/>
                <w:shd w:val="clear" w:color="auto" w:fill="auto"/>
              </w:rPr>
              <w:t>评标办法</w:t>
            </w:r>
            <w:r>
              <w:rPr>
                <w:rFonts w:hint="eastAsia" w:ascii="宋体" w:hAnsi="宋体" w:cs="宋体"/>
                <w:color w:val="auto"/>
                <w:kern w:val="0"/>
                <w:sz w:val="24"/>
                <w:highlight w:val="none"/>
                <w:shd w:val="clear" w:color="auto" w:fill="auto"/>
              </w:rPr>
              <w:t xml:space="preserve">。 </w:t>
            </w:r>
          </w:p>
          <w:p w14:paraId="288670F1">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（4）是否需要随样品提交检测报告：</w:t>
            </w:r>
            <w:sdt>
              <w:sdtPr>
                <w:rPr>
                  <w:rFonts w:hint="eastAsia" w:ascii="宋体" w:hAnsi="宋体" w:cs="宋体"/>
                  <w:color w:val="auto"/>
                  <w:kern w:val="0"/>
                  <w:sz w:val="24"/>
                  <w:highlight w:val="none"/>
                  <w:shd w:val="clear" w:color="auto" w:fill="auto"/>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否；</w:t>
            </w:r>
            <w:sdt>
              <w:sdtPr>
                <w:rPr>
                  <w:rFonts w:hint="eastAsia" w:ascii="宋体" w:hAnsi="宋体" w:cs="宋体"/>
                  <w:color w:val="auto"/>
                  <w:kern w:val="0"/>
                  <w:sz w:val="24"/>
                  <w:highlight w:val="none"/>
                  <w:shd w:val="clear" w:color="auto" w:fill="auto"/>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是，检测机构的要求</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；检测内容</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4CAFF0BE">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（5）提供样品的时间：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w:t>
            </w:r>
            <w:r>
              <w:rPr>
                <w:rFonts w:hint="eastAsia" w:ascii="宋体" w:hAnsi="宋体" w:cs="宋体"/>
                <w:color w:val="auto"/>
                <w:sz w:val="24"/>
                <w:highlight w:val="none"/>
                <w:u w:val="none"/>
                <w:shd w:val="clear" w:color="auto" w:fill="auto"/>
                <w:lang w:val="en-US" w:eastAsia="zh-CN"/>
              </w:rPr>
              <w:t>工作时间内）</w:t>
            </w:r>
            <w:r>
              <w:rPr>
                <w:rFonts w:hint="eastAsia" w:ascii="宋体" w:hAnsi="宋体" w:cs="宋体"/>
                <w:color w:val="auto"/>
                <w:kern w:val="0"/>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；联系人</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28"/>
                <w:sz w:val="24"/>
                <w:highlight w:val="none"/>
                <w:shd w:val="clear" w:color="auto" w:fill="auto"/>
              </w:rPr>
              <w:t>联系电话：</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。请投标人在上述时间内提供样品并按规定位置安装完毕。超过截止时间的，采购代理机构将不予接收，并将清场并封闭样品现场。</w:t>
            </w:r>
          </w:p>
          <w:p w14:paraId="57138F47">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(6)采购活动结束后，对于未中标人提供的样品，</w:t>
            </w:r>
            <w:r>
              <w:rPr>
                <w:rFonts w:hint="eastAsia" w:ascii="宋体" w:hAnsi="宋体" w:cs="宋体"/>
                <w:color w:val="auto"/>
                <w:sz w:val="24"/>
                <w:highlight w:val="none"/>
                <w:shd w:val="clear" w:color="auto" w:fill="auto"/>
                <w:lang w:eastAsia="zh-CN"/>
              </w:rPr>
              <w:t>采购代理机构</w:t>
            </w:r>
            <w:r>
              <w:rPr>
                <w:rFonts w:hint="eastAsia" w:ascii="宋体" w:hAnsi="宋体" w:cs="宋体"/>
                <w:color w:val="auto"/>
                <w:sz w:val="24"/>
                <w:highlight w:val="none"/>
                <w:shd w:val="clear" w:color="auto" w:fill="auto"/>
              </w:rPr>
              <w:t>将通知未中标人在规定的时间内取回，逾期未取回的，</w:t>
            </w:r>
            <w:r>
              <w:rPr>
                <w:rFonts w:hint="eastAsia" w:ascii="宋体" w:hAnsi="宋体" w:cs="宋体"/>
                <w:color w:val="auto"/>
                <w:sz w:val="24"/>
                <w:highlight w:val="none"/>
                <w:shd w:val="clear" w:color="auto" w:fill="auto"/>
                <w:lang w:eastAsia="zh-CN"/>
              </w:rPr>
              <w:t>采购代理机构</w:t>
            </w:r>
            <w:r>
              <w:rPr>
                <w:rFonts w:hint="eastAsia" w:ascii="宋体" w:hAnsi="宋体" w:cs="宋体"/>
                <w:color w:val="auto"/>
                <w:sz w:val="24"/>
                <w:highlight w:val="none"/>
                <w:shd w:val="clear" w:color="auto" w:fill="auto"/>
              </w:rPr>
              <w:t>不负保管义务；对于中标人提供的样品，采购人将进行保管、封存，并作为履约验收的参考。</w:t>
            </w:r>
          </w:p>
          <w:p w14:paraId="377AF71B">
            <w:pPr>
              <w:spacing w:line="360" w:lineRule="auto"/>
              <w:rPr>
                <w:rFonts w:ascii="宋体" w:hAnsi="宋体" w:cs="宋体"/>
                <w:b/>
                <w:color w:val="auto"/>
                <w:sz w:val="24"/>
                <w:highlight w:val="none"/>
                <w:shd w:val="clear" w:color="auto" w:fill="auto"/>
              </w:rPr>
            </w:pPr>
            <w:r>
              <w:rPr>
                <w:rFonts w:hint="eastAsia" w:ascii="宋体" w:hAnsi="宋体" w:cs="宋体"/>
                <w:color w:val="auto"/>
                <w:sz w:val="24"/>
                <w:highlight w:val="none"/>
                <w:shd w:val="clear" w:color="auto" w:fill="auto"/>
              </w:rPr>
              <w:t>（7）制作、运输、安装和保管样品所发生的一切费用由投标人自理。</w:t>
            </w:r>
          </w:p>
        </w:tc>
      </w:tr>
      <w:tr w14:paraId="7251C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2AD6B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26091B97">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23102995">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47460505"/>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不组织。</w:t>
            </w:r>
          </w:p>
          <w:p w14:paraId="64D3BB51">
            <w:pPr>
              <w:spacing w:line="360" w:lineRule="auto"/>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B组织。</w:t>
            </w:r>
          </w:p>
          <w:p w14:paraId="63564413">
            <w:pPr>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（1）在评标时安排每个投标人进行方案讲解演示。每个投标人时间不超过20分钟，讲解次序以投标文件解密时间先后次序为准，讲解演示人员不超过3人。讲解演示结束后按要求解答评标委员会提问。</w:t>
            </w:r>
          </w:p>
          <w:p w14:paraId="4275E76B">
            <w:pPr>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（2）方案讲解演示可选择以下其中一种方式：</w:t>
            </w:r>
          </w:p>
          <w:p w14:paraId="26A77936">
            <w:pPr>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方式一：政采云平台在线讲解演示。政采云平台在线讲解需投标人根据政采云平台操作要求做好准备工作，提前完善软硬件配置环境。</w:t>
            </w:r>
          </w:p>
          <w:p w14:paraId="29E7D42A">
            <w:pPr>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方式二：交易中心现场讲解演示。现场讲解地点为</w:t>
            </w:r>
            <w:r>
              <w:rPr>
                <w:rFonts w:hint="eastAsia" w:ascii="宋体" w:hAnsi="宋体" w:cs="宋体"/>
                <w:color w:val="auto"/>
                <w:sz w:val="24"/>
                <w:highlight w:val="none"/>
                <w:u w:val="single"/>
                <w:shd w:val="clear" w:color="auto" w:fill="auto"/>
                <w:lang w:eastAsia="zh-CN"/>
              </w:rPr>
              <w:t>（采购代理机构）</w:t>
            </w:r>
            <w:r>
              <w:rPr>
                <w:rFonts w:hint="eastAsia" w:ascii="宋体" w:hAnsi="宋体" w:cs="宋体"/>
                <w:color w:val="auto"/>
                <w:sz w:val="24"/>
                <w:highlight w:val="none"/>
                <w:u w:val="single"/>
                <w:shd w:val="clear" w:color="auto" w:fill="auto"/>
                <w:lang w:val="en-US" w:eastAsia="zh-CN"/>
              </w:rPr>
              <w:t>X</w:t>
            </w:r>
            <w:r>
              <w:rPr>
                <w:rFonts w:hint="eastAsia" w:ascii="宋体" w:hAnsi="宋体" w:cs="宋体"/>
                <w:color w:val="auto"/>
                <w:sz w:val="24"/>
                <w:highlight w:val="none"/>
                <w:u w:val="single"/>
                <w:shd w:val="clear" w:color="auto" w:fill="auto"/>
              </w:rPr>
              <w:t>楼</w:t>
            </w:r>
            <w:r>
              <w:rPr>
                <w:rFonts w:hint="eastAsia" w:ascii="宋体" w:hAnsi="宋体" w:cs="宋体"/>
                <w:color w:val="auto"/>
                <w:sz w:val="24"/>
                <w:highlight w:val="none"/>
                <w:u w:val="single"/>
                <w:shd w:val="clear" w:color="auto" w:fill="auto"/>
                <w:lang w:val="en-US" w:eastAsia="zh-CN"/>
              </w:rPr>
              <w:t>XXX</w:t>
            </w:r>
            <w:r>
              <w:rPr>
                <w:rFonts w:hint="eastAsia" w:ascii="宋体" w:hAnsi="宋体" w:cs="宋体"/>
                <w:color w:val="auto"/>
                <w:sz w:val="24"/>
                <w:highlight w:val="none"/>
                <w:u w:val="single"/>
                <w:shd w:val="clear" w:color="auto" w:fill="auto"/>
              </w:rPr>
              <w:t>室</w:t>
            </w:r>
            <w:r>
              <w:rPr>
                <w:rFonts w:hint="eastAsia" w:ascii="宋体" w:hAnsi="宋体" w:cs="宋体"/>
                <w:color w:val="auto"/>
                <w:kern w:val="0"/>
                <w:sz w:val="24"/>
                <w:highlight w:val="none"/>
                <w:shd w:val="clear" w:color="auto" w:fill="auto"/>
              </w:rPr>
              <w:t>，讲解演示所用电脑等设备由投标人自备。现场讲解演示人员进场时提供讲解人员名单（加盖公章或授权代表签名）及身份证明，否则不得讲解演示。</w:t>
            </w:r>
          </w:p>
          <w:p w14:paraId="68E97BAC">
            <w:pPr>
              <w:snapToGrid w:val="0"/>
              <w:spacing w:line="360" w:lineRule="auto"/>
              <w:rPr>
                <w:rFonts w:ascii="宋体" w:hAnsi="宋体" w:cs="宋体"/>
                <w:b/>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rPr>
              <w:t>注：因投标人自身原因导致无法演示或者演示效果不理想的，责任自负。因平台原因导致本项目方案讲解演示环节无法顺利开展，按照《浙江省政府采购项目电子交易管理暂行办法》相关规定执行。</w:t>
            </w:r>
          </w:p>
        </w:tc>
      </w:tr>
      <w:tr w14:paraId="6A95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5FEDFF9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1429ADC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66C74852">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（1）资格证明文件：见招标文件第二部分11.1。</w:t>
            </w:r>
          </w:p>
          <w:p w14:paraId="2E0388F5">
            <w:pPr>
              <w:spacing w:line="360" w:lineRule="auto"/>
              <w:rPr>
                <w:rFonts w:ascii="宋体" w:hAnsi="宋体" w:cs="宋体"/>
                <w:snapToGrid w:val="0"/>
                <w:color w:val="auto"/>
                <w:kern w:val="0"/>
                <w:szCs w:val="21"/>
                <w:highlight w:val="none"/>
                <w:shd w:val="clear" w:color="auto" w:fill="auto"/>
              </w:rPr>
            </w:pPr>
            <w:r>
              <w:rPr>
                <w:rFonts w:hint="eastAsia" w:ascii="宋体" w:hAnsi="宋体" w:cs="宋体"/>
                <w:color w:val="auto"/>
                <w:kern w:val="0"/>
                <w:sz w:val="24"/>
                <w:highlight w:val="none"/>
                <w:shd w:val="clear" w:color="auto" w:fill="auto"/>
                <w:lang w:val="zh-CN"/>
              </w:rPr>
              <w:t>投标人未提供有效的资格证明文件的，视为投标人不具备招标文件中规定的资格要求，投标无效。</w:t>
            </w:r>
          </w:p>
        </w:tc>
      </w:tr>
      <w:tr w14:paraId="1233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5DDF60CA">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72EB659C">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6D6E6DA5">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（2）资信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资质等</w:t>
            </w:r>
            <w:r>
              <w:rPr>
                <w:rFonts w:hint="eastAsia" w:ascii="宋体" w:hAnsi="宋体" w:cs="宋体"/>
                <w:color w:val="auto"/>
                <w:sz w:val="24"/>
                <w:highlight w:val="none"/>
                <w:shd w:val="clear" w:color="auto" w:fill="auto"/>
              </w:rPr>
              <w:t>证明文件：根据招标文件第四部分评标标准提供</w:t>
            </w:r>
            <w:r>
              <w:rPr>
                <w:rFonts w:hint="eastAsia" w:ascii="宋体" w:hAnsi="宋体" w:cs="宋体"/>
                <w:color w:val="auto"/>
                <w:sz w:val="24"/>
                <w:highlight w:val="none"/>
                <w:shd w:val="clear" w:color="auto" w:fill="auto"/>
                <w:lang w:val="en-US" w:eastAsia="zh-CN"/>
              </w:rPr>
              <w:t>有效的</w:t>
            </w:r>
            <w:r>
              <w:rPr>
                <w:rFonts w:hint="eastAsia" w:ascii="宋体" w:hAnsi="宋体" w:cs="宋体"/>
                <w:color w:val="auto"/>
                <w:sz w:val="24"/>
                <w:highlight w:val="none"/>
                <w:shd w:val="clear" w:color="auto" w:fill="auto"/>
              </w:rPr>
              <w:t>资信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资质等</w:t>
            </w:r>
            <w:r>
              <w:rPr>
                <w:rFonts w:hint="eastAsia" w:ascii="宋体" w:hAnsi="宋体" w:cs="宋体"/>
                <w:color w:val="auto"/>
                <w:sz w:val="24"/>
                <w:highlight w:val="none"/>
                <w:shd w:val="clear" w:color="auto" w:fill="auto"/>
              </w:rPr>
              <w:t>证明文件。</w:t>
            </w:r>
          </w:p>
        </w:tc>
      </w:tr>
      <w:tr w14:paraId="611C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7914FBD7">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14:paraId="2E8434D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14:paraId="47CCED36">
            <w:pPr>
              <w:pStyle w:val="79"/>
              <w:snapToGrid w:val="0"/>
              <w:spacing w:line="360" w:lineRule="auto"/>
              <w:ind w:firstLine="0" w:firstLineChars="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采购人拟采购的产品属于品目清单范围的，</w:t>
            </w:r>
            <w:r>
              <w:rPr>
                <w:rFonts w:hint="eastAsia" w:ascii="宋体" w:hAnsi="宋体" w:eastAsia="宋体" w:cs="宋体"/>
                <w:color w:val="auto"/>
                <w:kern w:val="2"/>
                <w:sz w:val="24"/>
                <w:szCs w:val="24"/>
                <w:highlight w:val="none"/>
                <w:shd w:val="clear" w:color="auto" w:fill="auto"/>
              </w:rPr>
              <w:t>采购人及其委托的采购代理机构</w:t>
            </w:r>
            <w:r>
              <w:rPr>
                <w:rFonts w:hint="eastAsia" w:ascii="宋体" w:hAnsi="宋体" w:eastAsia="宋体" w:cs="宋体"/>
                <w:color w:val="auto"/>
                <w:kern w:val="2"/>
                <w:sz w:val="24"/>
                <w:szCs w:val="24"/>
                <w:highlight w:val="none"/>
                <w:shd w:val="clear" w:color="auto" w:fill="auto"/>
                <w:lang w:val="en-US" w:eastAsia="zh-CN" w:bidi="ar-SA"/>
              </w:rPr>
              <w:t>将依据国家确定的认证机构出具的、处于有效期之内的节能产品、环境标志产品认证证书，对获得证书的产品实施政府优先采购或强制采购。</w:t>
            </w:r>
          </w:p>
          <w:p w14:paraId="409FF292">
            <w:pPr>
              <w:pStyle w:val="79"/>
              <w:spacing w:line="360" w:lineRule="auto"/>
              <w:jc w:val="both"/>
              <w:rPr>
                <w:rFonts w:hint="eastAsia" w:ascii="宋体" w:hAnsi="宋体" w:cs="宋体"/>
                <w:color w:val="auto"/>
                <w:kern w:val="0"/>
                <w:sz w:val="24"/>
                <w:highlight w:val="none"/>
                <w:shd w:val="clear" w:color="auto" w:fill="auto"/>
                <w:lang w:val="zh-CN"/>
              </w:rPr>
            </w:pPr>
            <w:sdt>
              <w:sdtPr>
                <w:rPr>
                  <w:rFonts w:hint="eastAsia" w:ascii="宋体" w:hAnsi="宋体" w:eastAsia="宋体" w:cs="宋体"/>
                  <w:color w:val="auto"/>
                  <w:kern w:val="2"/>
                  <w:sz w:val="24"/>
                  <w:szCs w:val="24"/>
                  <w:highlight w:val="none"/>
                  <w:shd w:val="clear" w:color="auto" w:fill="auto"/>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shd w:val="clear" w:color="auto" w:fill="auto"/>
                  <w:lang w:val="en-US" w:eastAsia="zh-CN" w:bidi="ar-SA"/>
                </w:rPr>
              </w:sdtEndPr>
              <w:sdtContent>
                <w:r>
                  <w:rPr>
                    <w:rFonts w:hint="eastAsia" w:ascii="宋体" w:hAnsi="宋体" w:eastAsia="宋体" w:cs="宋体"/>
                    <w:color w:val="auto"/>
                    <w:kern w:val="2"/>
                    <w:sz w:val="24"/>
                    <w:szCs w:val="24"/>
                    <w:highlight w:val="none"/>
                    <w:shd w:val="clear" w:color="auto" w:fill="auto"/>
                    <w:lang w:val="en-US" w:eastAsia="zh-CN" w:bidi="ar-SA"/>
                  </w:rPr>
                  <w:t>☐</w:t>
                </w:r>
              </w:sdtContent>
            </w:sdt>
            <w:r>
              <w:rPr>
                <w:rFonts w:hint="eastAsia" w:ascii="宋体" w:hAnsi="宋体" w:eastAsia="宋体" w:cs="宋体"/>
                <w:color w:val="auto"/>
                <w:kern w:val="2"/>
                <w:sz w:val="24"/>
                <w:szCs w:val="24"/>
                <w:highlight w:val="none"/>
                <w:shd w:val="clear" w:color="auto" w:fill="auto"/>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实施政府强制采购，</w:t>
            </w:r>
            <w:r>
              <w:rPr>
                <w:rFonts w:hint="eastAsia" w:ascii="宋体" w:hAnsi="宋体" w:cs="宋体"/>
                <w:b/>
                <w:bCs/>
                <w:color w:val="auto"/>
                <w:kern w:val="0"/>
                <w:sz w:val="24"/>
                <w:highlight w:val="none"/>
                <w:shd w:val="clear" w:color="auto" w:fill="auto"/>
                <w:lang w:val="zh-CN"/>
              </w:rPr>
              <w:t>投标人</w:t>
            </w:r>
            <w:r>
              <w:rPr>
                <w:rFonts w:hint="eastAsia" w:ascii="宋体" w:hAnsi="宋体" w:cs="宋体"/>
                <w:b/>
                <w:bCs/>
                <w:color w:val="auto"/>
                <w:kern w:val="0"/>
                <w:sz w:val="24"/>
                <w:highlight w:val="none"/>
                <w:shd w:val="clear" w:color="auto" w:fill="auto"/>
              </w:rPr>
              <w:t>就</w:t>
            </w:r>
            <w:r>
              <w:rPr>
                <w:rFonts w:hint="eastAsia" w:ascii="宋体" w:hAnsi="宋体" w:cs="宋体"/>
                <w:b/>
                <w:bCs/>
                <w:color w:val="auto"/>
                <w:kern w:val="0"/>
                <w:sz w:val="24"/>
                <w:highlight w:val="none"/>
                <w:shd w:val="clear" w:color="auto" w:fill="auto"/>
                <w:lang w:val="zh-CN"/>
              </w:rPr>
              <w:t>相应的投标产品未</w:t>
            </w:r>
            <w:r>
              <w:rPr>
                <w:rFonts w:hint="eastAsia" w:ascii="宋体" w:hAnsi="宋体" w:cs="宋体"/>
                <w:b/>
                <w:bCs/>
                <w:color w:val="auto"/>
                <w:kern w:val="0"/>
                <w:sz w:val="24"/>
                <w:highlight w:val="none"/>
                <w:shd w:val="clear" w:color="auto" w:fill="auto"/>
              </w:rPr>
              <w:t>提供</w:t>
            </w:r>
            <w:r>
              <w:rPr>
                <w:rFonts w:hint="eastAsia" w:ascii="宋体" w:hAnsi="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cs="宋体"/>
                <w:color w:val="auto"/>
                <w:kern w:val="0"/>
                <w:sz w:val="24"/>
                <w:highlight w:val="none"/>
                <w:shd w:val="clear" w:color="auto" w:fill="auto"/>
                <w:lang w:val="zh-CN"/>
              </w:rPr>
              <w:t>。</w:t>
            </w:r>
          </w:p>
          <w:p w14:paraId="4AB5DDD7">
            <w:pPr>
              <w:pStyle w:val="79"/>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67D8AB6E">
            <w:pPr>
              <w:pStyle w:val="79"/>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401EED83">
            <w:pPr>
              <w:spacing w:line="360" w:lineRule="auto"/>
              <w:ind w:left="0" w:leftChars="0" w:firstLine="480" w:firstLineChars="200"/>
              <w:rPr>
                <w:rFonts w:hint="eastAsia" w:ascii="宋体" w:hAnsi="宋体" w:cs="宋体"/>
                <w:color w:val="auto"/>
                <w:sz w:val="24"/>
                <w:highlight w:val="none"/>
                <w:shd w:val="clear" w:color="auto" w:fill="auto"/>
              </w:rPr>
            </w:pPr>
            <w:r>
              <w:rPr>
                <w:rFonts w:hint="eastAsia" w:ascii="宋体" w:hAnsi="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无。</w:t>
            </w:r>
          </w:p>
        </w:tc>
      </w:tr>
      <w:tr w14:paraId="326F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1618474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4C01B607">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报价要求</w:t>
            </w:r>
          </w:p>
        </w:tc>
        <w:tc>
          <w:tcPr>
            <w:tcW w:w="6095" w:type="dxa"/>
            <w:tcBorders>
              <w:tl2br w:val="nil"/>
              <w:tr2bl w:val="nil"/>
            </w:tcBorders>
            <w:vAlign w:val="center"/>
          </w:tcPr>
          <w:p w14:paraId="14AF3728">
            <w:pPr>
              <w:snapToGrid w:val="0"/>
              <w:spacing w:line="360" w:lineRule="auto"/>
              <w:jc w:val="left"/>
              <w:rPr>
                <w:rFonts w:ascii="宋体" w:hAnsi="宋体" w:cs="宋体"/>
                <w:b/>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w:t>
            </w:r>
            <w:r>
              <w:rPr>
                <w:rFonts w:hint="eastAsia" w:ascii="宋体" w:hAnsi="宋体" w:cs="宋体"/>
                <w:color w:val="auto"/>
                <w:kern w:val="0"/>
                <w:sz w:val="24"/>
                <w:highlight w:val="none"/>
                <w:shd w:val="clear" w:color="auto" w:fill="auto"/>
                <w:lang w:val="en-US" w:eastAsia="zh-CN"/>
              </w:rPr>
              <w:t>1</w:t>
            </w:r>
            <w:r>
              <w:rPr>
                <w:rFonts w:hint="eastAsia" w:ascii="宋体" w:hAnsi="宋体" w:cs="宋体"/>
                <w:color w:val="auto"/>
                <w:kern w:val="0"/>
                <w:sz w:val="24"/>
                <w:highlight w:val="none"/>
                <w:shd w:val="clear" w:color="auto" w:fill="auto"/>
                <w:lang w:val="zh-CN"/>
              </w:rPr>
              <w:t>）有关本项目实施所需的所有费用（含税费）均计入报价。</w:t>
            </w:r>
            <w:r>
              <w:rPr>
                <w:rFonts w:hint="eastAsia" w:ascii="宋体" w:hAnsi="宋体" w:cs="宋体"/>
                <w:b/>
                <w:bCs/>
                <w:color w:val="auto"/>
                <w:kern w:val="0"/>
                <w:sz w:val="24"/>
                <w:highlight w:val="none"/>
                <w:shd w:val="clear" w:color="auto" w:fill="auto"/>
                <w:lang w:val="zh-CN"/>
              </w:rPr>
              <w:t>投标文件</w:t>
            </w:r>
            <w:r>
              <w:rPr>
                <w:rFonts w:hint="eastAsia" w:ascii="宋体" w:hAnsi="宋体" w:cs="宋体"/>
                <w:b/>
                <w:bCs/>
                <w:color w:val="auto"/>
                <w:sz w:val="24"/>
                <w:highlight w:val="none"/>
                <w:shd w:val="clear" w:color="auto" w:fill="auto"/>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shd w:val="clear" w:color="auto" w:fill="auto"/>
                <w:lang w:val="zh-CN"/>
              </w:rPr>
              <w:t>投标文件中价格全部采用人民币报价。招标文件未列明，而投标人认为必需的费用也需列入报价。</w:t>
            </w:r>
            <w:r>
              <w:rPr>
                <w:rFonts w:hint="eastAsia" w:ascii="宋体" w:hAnsi="宋体" w:cs="宋体"/>
                <w:b/>
                <w:color w:val="auto"/>
                <w:kern w:val="0"/>
                <w:sz w:val="24"/>
                <w:highlight w:val="none"/>
                <w:shd w:val="clear" w:color="auto" w:fill="auto"/>
                <w:lang w:val="zh-CN"/>
              </w:rPr>
              <w:t>提醒：验收时检测费用由采购人承担，不包含在投标总价中。</w:t>
            </w:r>
          </w:p>
          <w:p w14:paraId="74CFB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政府采购评审中出现下列情形之一的，评审委员会应当启动异常低价投标（响应）审查程序：</w:t>
            </w:r>
          </w:p>
          <w:p w14:paraId="5D125F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3D7BC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0AB6BB30">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26730C2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50006F3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shd w:val="clear" w:color="auto" w:fill="auto"/>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相关法律法规对供应商报价有规定的，从其规定。</w:t>
            </w:r>
          </w:p>
          <w:p w14:paraId="3B5765D3">
            <w:pPr>
              <w:snapToGrid w:val="0"/>
              <w:spacing w:line="360" w:lineRule="auto"/>
              <w:jc w:val="left"/>
              <w:rPr>
                <w:rFonts w:ascii="宋体" w:hAnsi="宋体" w:cs="宋体"/>
                <w:b/>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w:t>
            </w:r>
            <w:r>
              <w:rPr>
                <w:rFonts w:hint="eastAsia" w:ascii="宋体" w:hAnsi="宋体"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）投标报价出现下列情形的，投标无效：</w:t>
            </w:r>
          </w:p>
          <w:p w14:paraId="781ADD42">
            <w:pPr>
              <w:snapToGrid w:val="0"/>
              <w:spacing w:line="360" w:lineRule="auto"/>
              <w:ind w:firstLine="241" w:firstLineChars="100"/>
              <w:jc w:val="left"/>
              <w:rPr>
                <w:rFonts w:ascii="宋体" w:hAnsi="宋体" w:cs="宋体"/>
                <w:b/>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投标文件出现不是唯一的、有选择性投标报价的；</w:t>
            </w:r>
          </w:p>
          <w:p w14:paraId="7145B13B">
            <w:pPr>
              <w:snapToGrid w:val="0"/>
              <w:spacing w:line="360" w:lineRule="auto"/>
              <w:ind w:firstLine="241" w:firstLineChars="100"/>
              <w:jc w:val="left"/>
              <w:rPr>
                <w:rFonts w:ascii="宋体" w:hAnsi="宋体" w:cs="宋体"/>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投标报价超过招标文件中规定的预算金额或者最高限价的;</w:t>
            </w:r>
          </w:p>
          <w:p w14:paraId="76975821">
            <w:pPr>
              <w:spacing w:line="360" w:lineRule="auto"/>
              <w:ind w:firstLine="241" w:firstLineChars="100"/>
              <w:rPr>
                <w:rFonts w:ascii="宋体" w:hAnsi="宋体" w:cs="宋体"/>
                <w:b/>
                <w:color w:val="auto"/>
                <w:sz w:val="24"/>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shd w:val="clear" w:color="auto" w:fill="auto"/>
              </w:rPr>
              <w:t>;</w:t>
            </w:r>
          </w:p>
          <w:p w14:paraId="31E63D68">
            <w:pPr>
              <w:spacing w:line="360" w:lineRule="auto"/>
              <w:ind w:firstLine="241" w:firstLineChars="100"/>
              <w:rPr>
                <w:rFonts w:ascii="宋体" w:hAnsi="宋体" w:cs="宋体"/>
                <w:color w:val="auto"/>
                <w:sz w:val="24"/>
                <w:highlight w:val="none"/>
                <w:shd w:val="clear" w:color="auto" w:fill="auto"/>
              </w:rPr>
            </w:pPr>
            <w:r>
              <w:rPr>
                <w:rFonts w:hint="eastAsia" w:ascii="宋体" w:hAnsi="宋体" w:cs="宋体"/>
                <w:b/>
                <w:color w:val="auto"/>
                <w:kern w:val="0"/>
                <w:sz w:val="24"/>
                <w:highlight w:val="none"/>
                <w:shd w:val="clear" w:color="auto" w:fill="auto"/>
              </w:rPr>
              <w:t>投标人对根据修正原则修正后的报价不确认的</w:t>
            </w:r>
            <w:r>
              <w:rPr>
                <w:rFonts w:hint="eastAsia" w:ascii="宋体" w:hAnsi="宋体" w:cs="宋体"/>
                <w:b/>
                <w:color w:val="auto"/>
                <w:sz w:val="24"/>
                <w:highlight w:val="none"/>
                <w:shd w:val="clear" w:color="auto" w:fill="auto"/>
              </w:rPr>
              <w:t>。</w:t>
            </w:r>
          </w:p>
        </w:tc>
      </w:tr>
      <w:tr w14:paraId="1EE6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12F6011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18E1B3F6">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中小企业信用融资</w:t>
            </w:r>
          </w:p>
        </w:tc>
        <w:tc>
          <w:tcPr>
            <w:tcW w:w="6095" w:type="dxa"/>
            <w:tcBorders>
              <w:tl2br w:val="nil"/>
              <w:tr2bl w:val="nil"/>
            </w:tcBorders>
            <w:vAlign w:val="center"/>
          </w:tcPr>
          <w:p w14:paraId="0D7A551D">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snapToGrid w:val="0"/>
                <w:color w:val="auto"/>
                <w:kern w:val="28"/>
                <w:sz w:val="24"/>
                <w:highlight w:val="none"/>
                <w:shd w:val="clear" w:color="auto" w:fill="auto"/>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810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E14F50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24E3DCE0">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 xml:space="preserve">备份投标文件送达地点和签收人员 </w:t>
            </w:r>
          </w:p>
        </w:tc>
        <w:tc>
          <w:tcPr>
            <w:tcW w:w="6095" w:type="dxa"/>
            <w:tcBorders>
              <w:tl2br w:val="nil"/>
              <w:tr2bl w:val="nil"/>
            </w:tcBorders>
            <w:vAlign w:val="center"/>
          </w:tcPr>
          <w:p w14:paraId="1B082F66">
            <w:pPr>
              <w:pStyle w:val="32"/>
              <w:spacing w:line="360" w:lineRule="auto"/>
              <w:rPr>
                <w:rFonts w:hAnsi="宋体" w:cs="宋体"/>
                <w:color w:val="auto"/>
                <w:kern w:val="28"/>
                <w:sz w:val="24"/>
                <w:highlight w:val="none"/>
                <w:shd w:val="clear" w:color="auto" w:fill="auto"/>
              </w:rPr>
            </w:pPr>
            <w:r>
              <w:rPr>
                <w:rFonts w:hint="eastAsia" w:hAnsi="宋体" w:cs="宋体"/>
                <w:color w:val="auto"/>
                <w:kern w:val="28"/>
                <w:sz w:val="24"/>
                <w:szCs w:val="24"/>
                <w:highlight w:val="none"/>
                <w:shd w:val="clear" w:color="auto" w:fill="auto"/>
              </w:rPr>
              <w:t>备份投标文件送达地点：</w:t>
            </w:r>
            <w:r>
              <w:rPr>
                <w:rFonts w:hint="eastAsia" w:hAnsi="宋体" w:cs="宋体"/>
                <w:color w:val="auto"/>
                <w:sz w:val="24"/>
                <w:highlight w:val="none"/>
                <w:u w:val="single"/>
                <w:shd w:val="clear" w:color="auto" w:fill="auto"/>
                <w:lang w:eastAsia="zh-CN"/>
              </w:rPr>
              <w:t>杭州市拱墅区彩云路105号锦盛大楼3楼</w:t>
            </w:r>
            <w:r>
              <w:rPr>
                <w:rFonts w:hint="eastAsia" w:hAnsi="宋体" w:cs="宋体"/>
                <w:color w:val="auto"/>
                <w:sz w:val="24"/>
                <w:highlight w:val="none"/>
                <w:u w:val="single"/>
                <w:shd w:val="clear" w:color="auto" w:fill="auto"/>
              </w:rPr>
              <w:t xml:space="preserve"> </w:t>
            </w:r>
            <w:r>
              <w:rPr>
                <w:rFonts w:hint="eastAsia" w:hAnsi="宋体" w:cs="宋体"/>
                <w:color w:val="auto"/>
                <w:kern w:val="28"/>
                <w:sz w:val="24"/>
                <w:szCs w:val="24"/>
                <w:highlight w:val="none"/>
                <w:shd w:val="clear" w:color="auto" w:fill="auto"/>
              </w:rPr>
              <w:t>；备份投标文件签收人员联系电话：</w:t>
            </w:r>
            <w:r>
              <w:rPr>
                <w:rFonts w:hint="eastAsia" w:hAnsi="宋体" w:cs="宋体"/>
                <w:color w:val="auto"/>
                <w:sz w:val="24"/>
                <w:highlight w:val="none"/>
                <w:u w:val="single"/>
                <w:shd w:val="clear" w:color="auto" w:fill="auto"/>
              </w:rPr>
              <w:t xml:space="preserve"> </w:t>
            </w:r>
            <w:r>
              <w:rPr>
                <w:rFonts w:hint="eastAsia" w:hAnsi="宋体" w:cs="宋体"/>
                <w:color w:val="auto"/>
                <w:sz w:val="24"/>
                <w:highlight w:val="none"/>
                <w:u w:val="single"/>
                <w:shd w:val="clear" w:color="auto" w:fill="auto"/>
                <w:lang w:val="en-US" w:eastAsia="zh-CN"/>
              </w:rPr>
              <w:t>詹洛辉17601301975</w:t>
            </w:r>
            <w:r>
              <w:rPr>
                <w:rFonts w:hint="eastAsia" w:hAnsi="宋体" w:cs="宋体"/>
                <w:color w:val="auto"/>
                <w:sz w:val="24"/>
                <w:szCs w:val="24"/>
                <w:highlight w:val="none"/>
                <w:shd w:val="clear" w:color="auto" w:fill="auto"/>
              </w:rPr>
              <w:t>。</w:t>
            </w:r>
            <w:r>
              <w:rPr>
                <w:rFonts w:hint="eastAsia" w:hAnsi="宋体" w:cs="宋体"/>
                <w:b/>
                <w:color w:val="auto"/>
                <w:sz w:val="24"/>
                <w:szCs w:val="24"/>
                <w:highlight w:val="none"/>
                <w:shd w:val="clear" w:color="auto" w:fill="auto"/>
              </w:rPr>
              <w:t>采购人、</w:t>
            </w:r>
            <w:r>
              <w:rPr>
                <w:rFonts w:hint="eastAsia" w:hAnsi="宋体" w:cs="宋体"/>
                <w:b/>
                <w:color w:val="auto"/>
                <w:sz w:val="24"/>
                <w:szCs w:val="24"/>
                <w:highlight w:val="none"/>
                <w:shd w:val="clear" w:color="auto" w:fill="auto"/>
                <w:lang w:eastAsia="zh-CN"/>
              </w:rPr>
              <w:t>采购代理机构</w:t>
            </w:r>
            <w:r>
              <w:rPr>
                <w:rFonts w:hint="eastAsia" w:hAnsi="宋体" w:cs="宋体"/>
                <w:b/>
                <w:color w:val="auto"/>
                <w:sz w:val="24"/>
                <w:szCs w:val="24"/>
                <w:highlight w:val="none"/>
                <w:shd w:val="clear" w:color="auto" w:fill="auto"/>
              </w:rPr>
              <w:t>不强制或变相强制投标人提交备份投标文件。</w:t>
            </w:r>
          </w:p>
        </w:tc>
      </w:tr>
      <w:tr w14:paraId="287E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0420AE5D">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14:paraId="3037A3A1">
            <w:pPr>
              <w:snapToGrid w:val="0"/>
              <w:spacing w:line="360" w:lineRule="auto"/>
              <w:jc w:val="center"/>
              <w:rPr>
                <w:rFonts w:ascii="宋体" w:hAnsi="宋体" w:cs="宋体"/>
                <w:b/>
                <w:color w:val="auto"/>
                <w:sz w:val="24"/>
                <w:highlight w:val="none"/>
                <w:shd w:val="clear" w:color="auto" w:fill="auto"/>
              </w:rPr>
            </w:pPr>
            <w:r>
              <w:rPr>
                <w:rFonts w:hint="eastAsia" w:cs="仿宋_GB2312" w:asciiTheme="minorEastAsia" w:hAnsiTheme="minorEastAsia" w:eastAsiaTheme="minorEastAsia"/>
                <w:b/>
                <w:color w:val="auto"/>
                <w:sz w:val="24"/>
                <w:highlight w:val="none"/>
                <w:shd w:val="clear" w:color="auto" w:fill="auto"/>
              </w:rPr>
              <w:t>特别说明</w:t>
            </w:r>
          </w:p>
        </w:tc>
        <w:tc>
          <w:tcPr>
            <w:tcW w:w="6095" w:type="dxa"/>
            <w:tcBorders>
              <w:tl2br w:val="nil"/>
              <w:tr2bl w:val="nil"/>
            </w:tcBorders>
            <w:vAlign w:val="center"/>
          </w:tcPr>
          <w:p w14:paraId="77B0222D">
            <w:pPr>
              <w:spacing w:line="360" w:lineRule="auto"/>
              <w:rPr>
                <w:rFonts w:ascii="宋体" w:hAnsi="宋体" w:cs="宋体"/>
                <w:snapToGrid w:val="0"/>
                <w:color w:val="auto"/>
                <w:kern w:val="28"/>
                <w:sz w:val="24"/>
                <w:highlight w:val="none"/>
                <w:shd w:val="clear" w:color="auto" w:fill="auto"/>
              </w:rPr>
            </w:pPr>
            <w:r>
              <w:rPr>
                <w:rFonts w:hint="eastAsia" w:ascii="宋体" w:hAnsi="宋体" w:cs="宋体"/>
                <w:snapToGrid w:val="0"/>
                <w:color w:val="auto"/>
                <w:kern w:val="28"/>
                <w:sz w:val="24"/>
                <w:highlight w:val="none"/>
                <w:shd w:val="clear" w:color="auto" w:fill="auto"/>
              </w:rPr>
              <w:t>联合体投标的，联合体各方分别提供与联合体协议中规定的分工内容相应的业绩证明材料，业绩数量以提供材料较少的一方为准。招标文件第四部分评分标准有其他规定的，从其规定。</w:t>
            </w:r>
          </w:p>
        </w:tc>
      </w:tr>
      <w:tr w14:paraId="519E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E241563">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7072F99B">
            <w:pPr>
              <w:snapToGrid w:val="0"/>
              <w:spacing w:line="360" w:lineRule="auto"/>
              <w:jc w:val="center"/>
              <w:rPr>
                <w:rFonts w:ascii="宋体" w:hAnsi="宋体" w:cs="宋体"/>
                <w:b/>
                <w:color w:val="auto"/>
                <w:sz w:val="24"/>
                <w:highlight w:val="none"/>
                <w:shd w:val="clear" w:color="auto" w:fill="auto"/>
              </w:rPr>
            </w:pPr>
          </w:p>
        </w:tc>
        <w:tc>
          <w:tcPr>
            <w:tcW w:w="6095" w:type="dxa"/>
            <w:tcBorders>
              <w:tl2br w:val="nil"/>
              <w:tr2bl w:val="nil"/>
            </w:tcBorders>
            <w:vAlign w:val="center"/>
          </w:tcPr>
          <w:p w14:paraId="486B785C">
            <w:pPr>
              <w:spacing w:line="360" w:lineRule="auto"/>
              <w:rPr>
                <w:rFonts w:ascii="宋体" w:hAnsi="宋体" w:cs="宋体"/>
                <w:snapToGrid w:val="0"/>
                <w:color w:val="auto"/>
                <w:kern w:val="28"/>
                <w:sz w:val="24"/>
                <w:highlight w:val="none"/>
                <w:shd w:val="clear" w:color="auto" w:fill="auto"/>
              </w:rPr>
            </w:pPr>
            <w:sdt>
              <w:sdtPr>
                <w:rPr>
                  <w:rFonts w:hint="eastAsia" w:cs="Arial" w:asciiTheme="minorEastAsia" w:hAnsiTheme="minorEastAsia" w:eastAsiaTheme="minorEastAsia"/>
                  <w:color w:val="auto"/>
                  <w:kern w:val="0"/>
                  <w:sz w:val="24"/>
                  <w:highlight w:val="none"/>
                  <w:shd w:val="clear" w:color="auto" w:fill="auto"/>
                </w:rPr>
                <w:id w:val="14746806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shd w:val="clear" w:color="auto" w:fill="auto"/>
                </w:rPr>
              </w:sdtEndPr>
              <w:sdtContent>
                <w:r>
                  <w:rPr>
                    <w:rFonts w:hint="eastAsia" w:ascii="MS Mincho" w:hAnsi="MS Mincho" w:eastAsia="MS Mincho" w:cs="MS Mincho"/>
                    <w:color w:val="auto"/>
                    <w:kern w:val="0"/>
                    <w:sz w:val="24"/>
                    <w:highlight w:val="none"/>
                    <w:shd w:val="clear" w:color="auto" w:fill="auto"/>
                  </w:rPr>
                  <w:t>☐</w:t>
                </w:r>
              </w:sdtContent>
            </w:sdt>
            <w:r>
              <w:rPr>
                <w:rFonts w:hint="eastAsia" w:ascii="宋体" w:hAnsi="宋体" w:cs="宋体"/>
                <w:snapToGrid w:val="0"/>
                <w:color w:val="auto"/>
                <w:kern w:val="28"/>
                <w:sz w:val="24"/>
                <w:highlight w:val="none"/>
                <w:shd w:val="clear" w:color="auto" w:fill="auto"/>
              </w:rPr>
              <w:t>联合体投标的，联合体各方均需按招标文件第四部分评标标准要求提供资信证明文件，否则视为不符合相关要求。招标文件第四部分评分标准有其他规定的，从其规定。</w:t>
            </w:r>
          </w:p>
          <w:p w14:paraId="1727D509">
            <w:pPr>
              <w:spacing w:line="360" w:lineRule="auto"/>
              <w:rPr>
                <w:rFonts w:ascii="宋体" w:hAnsi="宋体" w:cs="宋体"/>
                <w:snapToGrid w:val="0"/>
                <w:color w:val="auto"/>
                <w:kern w:val="28"/>
                <w:sz w:val="24"/>
                <w:highlight w:val="none"/>
                <w:shd w:val="clear" w:color="auto" w:fill="auto"/>
              </w:rPr>
            </w:pPr>
            <w:sdt>
              <w:sdtPr>
                <w:rPr>
                  <w:rFonts w:hint="eastAsia" w:cs="Arial" w:asciiTheme="minorEastAsia" w:hAnsiTheme="minorEastAsia" w:eastAsiaTheme="minorEastAsia"/>
                  <w:color w:val="auto"/>
                  <w:kern w:val="0"/>
                  <w:sz w:val="24"/>
                  <w:highlight w:val="none"/>
                  <w:shd w:val="clear" w:color="auto" w:fill="auto"/>
                </w:rPr>
                <w:id w:val="14746227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shd w:val="clear" w:color="auto" w:fill="auto"/>
                </w:rPr>
              </w:sdtEndPr>
              <w:sdtContent>
                <w:r>
                  <w:rPr>
                    <w:rFonts w:hint="eastAsia" w:cs="Arial" w:asciiTheme="minorEastAsia" w:hAnsiTheme="minorEastAsia" w:eastAsiaTheme="minorEastAsia"/>
                    <w:color w:val="auto"/>
                    <w:kern w:val="0"/>
                    <w:sz w:val="24"/>
                    <w:highlight w:val="none"/>
                    <w:shd w:val="clear" w:color="auto" w:fill="auto"/>
                  </w:rPr>
                  <w:sym w:font="Wingdings" w:char="F0FE"/>
                </w:r>
              </w:sdtContent>
            </w:sdt>
            <w:r>
              <w:rPr>
                <w:rFonts w:hint="eastAsia" w:ascii="宋体" w:hAnsi="宋体" w:cs="宋体"/>
                <w:snapToGrid w:val="0"/>
                <w:color w:val="auto"/>
                <w:kern w:val="28"/>
                <w:sz w:val="24"/>
                <w:highlight w:val="none"/>
                <w:shd w:val="clear" w:color="auto" w:fill="auto"/>
              </w:rPr>
              <w:t>联合体投标的，联合体中有一方或者联合体成员根据分工按招标文件第四部分评标标准要求提供资信证明文件的，视为符合了相关要求。招标文件第四部分评分标准有其他规定的，从其规定。</w:t>
            </w:r>
          </w:p>
        </w:tc>
      </w:tr>
      <w:tr w14:paraId="78AF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53EE1511">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D7FB972">
            <w:pPr>
              <w:snapToGrid w:val="0"/>
              <w:spacing w:line="360" w:lineRule="auto"/>
              <w:jc w:val="center"/>
              <w:rPr>
                <w:rFonts w:ascii="宋体" w:hAnsi="宋体" w:cs="宋体"/>
                <w:b/>
                <w:color w:val="auto"/>
                <w:sz w:val="24"/>
                <w:highlight w:val="none"/>
                <w:shd w:val="clear" w:color="auto" w:fill="auto"/>
              </w:rPr>
            </w:pPr>
          </w:p>
        </w:tc>
        <w:tc>
          <w:tcPr>
            <w:tcW w:w="6095" w:type="dxa"/>
            <w:tcBorders>
              <w:tl2br w:val="nil"/>
              <w:tr2bl w:val="nil"/>
            </w:tcBorders>
            <w:vAlign w:val="center"/>
          </w:tcPr>
          <w:p w14:paraId="6C2B0F6F">
            <w:pPr>
              <w:spacing w:line="360" w:lineRule="auto"/>
              <w:rPr>
                <w:rFonts w:cs="Arial" w:asciiTheme="minorEastAsia" w:hAnsiTheme="minorEastAsia" w:eastAsiaTheme="minorEastAsia"/>
                <w:color w:val="auto"/>
                <w:kern w:val="0"/>
                <w:sz w:val="24"/>
                <w:highlight w:val="none"/>
                <w:shd w:val="clear" w:color="auto" w:fill="auto"/>
              </w:rPr>
            </w:pPr>
            <w:r>
              <w:rPr>
                <w:rFonts w:hint="eastAsia" w:ascii="宋体" w:hAnsi="宋体" w:cs="Arial"/>
                <w:color w:val="auto"/>
                <w:kern w:val="0"/>
                <w:sz w:val="24"/>
                <w:highlight w:val="none"/>
                <w:shd w:val="clear" w:color="auto" w:fill="auto"/>
              </w:rPr>
              <w:t>招标文件第四部分</w:t>
            </w:r>
            <w:r>
              <w:rPr>
                <w:rFonts w:hint="eastAsia" w:cs="Arial" w:asciiTheme="minorEastAsia" w:hAnsiTheme="minorEastAsia" w:eastAsiaTheme="minorEastAsia"/>
                <w:color w:val="auto"/>
                <w:kern w:val="0"/>
                <w:sz w:val="24"/>
                <w:highlight w:val="none"/>
                <w:shd w:val="clear" w:color="auto" w:fill="auto"/>
              </w:rPr>
              <w:t>评审因素对应的要求</w:t>
            </w:r>
            <w:r>
              <w:rPr>
                <w:rFonts w:hint="eastAsia" w:ascii="宋体" w:hAnsi="宋体" w:cs="Arial"/>
                <w:color w:val="auto"/>
                <w:kern w:val="0"/>
                <w:sz w:val="24"/>
                <w:highlight w:val="none"/>
                <w:shd w:val="clear" w:color="auto" w:fill="auto"/>
              </w:rPr>
              <w:t>及第五部分采购合同的内容</w:t>
            </w:r>
            <w:r>
              <w:rPr>
                <w:rFonts w:hint="eastAsia" w:cs="Arial" w:asciiTheme="minorEastAsia" w:hAnsiTheme="minorEastAsia" w:eastAsiaTheme="minorEastAsia"/>
                <w:color w:val="auto"/>
                <w:kern w:val="0"/>
                <w:sz w:val="24"/>
                <w:highlight w:val="none"/>
                <w:shd w:val="clear" w:color="auto" w:fill="auto"/>
              </w:rPr>
              <w:t>视为采购需求的一部分。</w:t>
            </w:r>
          </w:p>
        </w:tc>
      </w:tr>
      <w:tr w14:paraId="2C1B6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273C8EBC">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1077B0CF">
            <w:pPr>
              <w:snapToGrid w:val="0"/>
              <w:spacing w:line="360" w:lineRule="auto"/>
              <w:jc w:val="center"/>
              <w:rPr>
                <w:rFonts w:ascii="宋体" w:hAnsi="宋体" w:cs="宋体"/>
                <w:b/>
                <w:color w:val="auto"/>
                <w:sz w:val="24"/>
                <w:highlight w:val="none"/>
                <w:shd w:val="clear" w:color="auto" w:fill="auto"/>
              </w:rPr>
            </w:pPr>
            <w:r>
              <w:rPr>
                <w:rFonts w:hint="eastAsia" w:cs="仿宋_GB2312" w:asciiTheme="minorEastAsia" w:hAnsiTheme="minorEastAsia" w:eastAsiaTheme="minorEastAsia"/>
                <w:b/>
                <w:color w:val="auto"/>
                <w:sz w:val="24"/>
                <w:highlight w:val="none"/>
                <w:shd w:val="clear" w:color="auto" w:fill="auto"/>
                <w:lang w:val="en" w:eastAsia="zh-CN"/>
              </w:rPr>
              <w:t>中标候选人数量</w:t>
            </w:r>
          </w:p>
        </w:tc>
        <w:tc>
          <w:tcPr>
            <w:tcW w:w="6095" w:type="dxa"/>
            <w:tcBorders>
              <w:tl2br w:val="nil"/>
              <w:tr2bl w:val="nil"/>
            </w:tcBorders>
            <w:vAlign w:val="center"/>
          </w:tcPr>
          <w:p w14:paraId="266EF0C3">
            <w:pPr>
              <w:spacing w:line="360" w:lineRule="auto"/>
              <w:jc w:val="left"/>
              <w:rPr>
                <w:rFonts w:hint="eastAsia" w:ascii="宋体" w:hAnsi="宋体" w:cs="Arial"/>
                <w:color w:val="auto"/>
                <w:kern w:val="0"/>
                <w:sz w:val="24"/>
                <w:highlight w:val="none"/>
                <w:shd w:val="clear" w:color="auto" w:fill="auto"/>
                <w:lang w:val="en" w:eastAsia="zh-CN"/>
              </w:rPr>
            </w:pPr>
            <w:r>
              <w:rPr>
                <w:rFonts w:hint="eastAsia" w:ascii="宋体" w:hAnsi="宋体" w:cs="Arial"/>
                <w:color w:val="auto"/>
                <w:kern w:val="0"/>
                <w:sz w:val="24"/>
                <w:highlight w:val="none"/>
                <w:shd w:val="clear" w:color="auto" w:fill="auto"/>
                <w:lang w:val="en" w:eastAsia="zh-CN"/>
              </w:rPr>
              <w:t>本项目推荐的中标候选人数：</w:t>
            </w:r>
            <w:r>
              <w:rPr>
                <w:rFonts w:hint="eastAsia" w:ascii="宋体" w:hAnsi="宋体" w:cs="Arial"/>
                <w:color w:val="auto"/>
                <w:kern w:val="0"/>
                <w:sz w:val="24"/>
                <w:highlight w:val="none"/>
                <w:u w:val="single"/>
                <w:shd w:val="clear" w:color="auto" w:fill="auto"/>
                <w:lang w:val="en-US" w:eastAsia="zh-CN"/>
              </w:rPr>
              <w:t xml:space="preserve">  1名 </w:t>
            </w:r>
            <w:r>
              <w:rPr>
                <w:rFonts w:hint="eastAsia" w:ascii="宋体" w:hAnsi="宋体" w:cs="Arial"/>
                <w:color w:val="auto"/>
                <w:kern w:val="0"/>
                <w:sz w:val="24"/>
                <w:highlight w:val="none"/>
                <w:shd w:val="clear" w:color="auto" w:fill="auto"/>
                <w:lang w:val="en" w:eastAsia="zh-CN"/>
              </w:rPr>
              <w:t>。</w:t>
            </w:r>
          </w:p>
        </w:tc>
      </w:tr>
      <w:tr w14:paraId="41943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559159C">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15EF56D5">
            <w:pPr>
              <w:snapToGrid w:val="0"/>
              <w:spacing w:line="360" w:lineRule="auto"/>
              <w:jc w:val="center"/>
              <w:rPr>
                <w:rFonts w:hint="eastAsia" w:cs="仿宋_GB2312" w:asciiTheme="minorEastAsia" w:hAnsiTheme="minorEastAsia" w:eastAsiaTheme="minorEastAsia"/>
                <w:b/>
                <w:color w:val="auto"/>
                <w:sz w:val="24"/>
                <w:highlight w:val="none"/>
                <w:shd w:val="clear" w:color="auto" w:fill="auto"/>
                <w:lang w:val="en" w:eastAsia="zh-CN"/>
              </w:rPr>
            </w:pPr>
            <w:r>
              <w:rPr>
                <w:rFonts w:hint="eastAsia" w:cs="仿宋_GB2312" w:asciiTheme="minorEastAsia" w:hAnsiTheme="minorEastAsia" w:eastAsiaTheme="minorEastAsia"/>
                <w:b/>
                <w:color w:val="auto"/>
                <w:sz w:val="24"/>
                <w:highlight w:val="none"/>
                <w:shd w:val="clear" w:color="auto" w:fill="auto"/>
                <w:lang w:val="en" w:eastAsia="zh-CN"/>
              </w:rPr>
              <w:t>代理费用收取方式及标准</w:t>
            </w:r>
          </w:p>
        </w:tc>
        <w:tc>
          <w:tcPr>
            <w:tcW w:w="6095" w:type="dxa"/>
            <w:tcBorders>
              <w:tl2br w:val="nil"/>
              <w:tr2bl w:val="nil"/>
            </w:tcBorders>
            <w:vAlign w:val="center"/>
          </w:tcPr>
          <w:p w14:paraId="38857E24">
            <w:pPr>
              <w:pStyle w:val="32"/>
              <w:spacing w:after="0" w:line="360" w:lineRule="auto"/>
              <w:rPr>
                <w:rFonts w:hint="eastAsia" w:ascii="宋体" w:hAnsi="宋体" w:eastAsia="宋体" w:cs="宋体"/>
                <w:color w:val="auto"/>
                <w:kern w:val="28"/>
                <w:sz w:val="24"/>
                <w:szCs w:val="24"/>
                <w:highlight w:val="none"/>
                <w:shd w:val="clear" w:color="auto" w:fill="auto"/>
              </w:rPr>
            </w:pPr>
            <w:r>
              <w:rPr>
                <w:rFonts w:hint="eastAsia" w:ascii="宋体" w:hAnsi="宋体" w:eastAsia="宋体" w:cs="宋体"/>
                <w:color w:val="auto"/>
                <w:kern w:val="28"/>
                <w:sz w:val="24"/>
                <w:szCs w:val="24"/>
                <w:highlight w:val="none"/>
                <w:shd w:val="clear" w:color="auto" w:fill="auto"/>
              </w:rPr>
              <w:t>服务费以中标价为基数，按照国家发展计划委员会计价格[2002]1980号文件收费标准的</w:t>
            </w:r>
            <w:r>
              <w:rPr>
                <w:rFonts w:hint="eastAsia" w:hAnsi="宋体" w:cs="宋体"/>
                <w:color w:val="auto"/>
                <w:kern w:val="28"/>
                <w:sz w:val="24"/>
                <w:szCs w:val="24"/>
                <w:highlight w:val="none"/>
                <w:shd w:val="clear" w:color="auto" w:fill="auto"/>
                <w:lang w:val="en-US" w:eastAsia="zh-CN"/>
              </w:rPr>
              <w:t>80</w:t>
            </w:r>
            <w:r>
              <w:rPr>
                <w:rFonts w:hint="eastAsia" w:ascii="宋体" w:hAnsi="宋体" w:eastAsia="宋体" w:cs="宋体"/>
                <w:color w:val="auto"/>
                <w:kern w:val="28"/>
                <w:sz w:val="24"/>
                <w:szCs w:val="24"/>
                <w:highlight w:val="none"/>
                <w:shd w:val="clear" w:color="auto" w:fill="auto"/>
              </w:rPr>
              <w:t>%计取。具体标准详见下表：</w:t>
            </w:r>
          </w:p>
          <w:tbl>
            <w:tblPr>
              <w:tblStyle w:val="62"/>
              <w:tblW w:w="5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43"/>
            </w:tblGrid>
            <w:tr w14:paraId="65C9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6BFBC772">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金额（万元）</w:t>
                  </w:r>
                </w:p>
              </w:tc>
              <w:tc>
                <w:tcPr>
                  <w:tcW w:w="2943" w:type="dxa"/>
                  <w:noWrap/>
                  <w:vAlign w:val="center"/>
                </w:tcPr>
                <w:p w14:paraId="3A64C2D5">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费率</w:t>
                  </w:r>
                </w:p>
              </w:tc>
            </w:tr>
            <w:tr w14:paraId="674C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04215B94">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100以下部分</w:t>
                  </w:r>
                </w:p>
              </w:tc>
              <w:tc>
                <w:tcPr>
                  <w:tcW w:w="2943" w:type="dxa"/>
                  <w:noWrap/>
                  <w:vAlign w:val="center"/>
                </w:tcPr>
                <w:p w14:paraId="75CDF55B">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w:t>
                  </w:r>
                </w:p>
              </w:tc>
            </w:tr>
            <w:tr w14:paraId="1090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6AEA4123">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100~500之间部分</w:t>
                  </w:r>
                </w:p>
              </w:tc>
              <w:tc>
                <w:tcPr>
                  <w:tcW w:w="2943" w:type="dxa"/>
                  <w:noWrap/>
                  <w:vAlign w:val="center"/>
                </w:tcPr>
                <w:p w14:paraId="18947629">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0.8</w:t>
                  </w:r>
                  <w:r>
                    <w:rPr>
                      <w:rFonts w:hint="eastAsia" w:ascii="宋体" w:hAnsi="宋体" w:eastAsia="宋体" w:cs="宋体"/>
                      <w:color w:val="auto"/>
                      <w:sz w:val="24"/>
                      <w:szCs w:val="24"/>
                      <w:highlight w:val="none"/>
                      <w:shd w:val="clear" w:color="auto" w:fill="auto"/>
                    </w:rPr>
                    <w:t>%</w:t>
                  </w:r>
                </w:p>
              </w:tc>
            </w:tr>
            <w:tr w14:paraId="323D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434CABCD">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500~1000之间部分</w:t>
                  </w:r>
                </w:p>
              </w:tc>
              <w:tc>
                <w:tcPr>
                  <w:tcW w:w="2943" w:type="dxa"/>
                  <w:noWrap/>
                  <w:vAlign w:val="center"/>
                </w:tcPr>
                <w:p w14:paraId="5648F5B8">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lang w:val="en-US" w:eastAsia="zh-CN"/>
                    </w:rPr>
                    <w:t>45</w:t>
                  </w:r>
                  <w:r>
                    <w:rPr>
                      <w:rFonts w:hint="eastAsia" w:ascii="宋体" w:hAnsi="宋体" w:eastAsia="宋体" w:cs="宋体"/>
                      <w:color w:val="auto"/>
                      <w:sz w:val="24"/>
                      <w:szCs w:val="24"/>
                      <w:highlight w:val="none"/>
                      <w:shd w:val="clear" w:color="auto" w:fill="auto"/>
                    </w:rPr>
                    <w:t>%</w:t>
                  </w:r>
                </w:p>
              </w:tc>
            </w:tr>
            <w:tr w14:paraId="28B9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38E1BABE">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1000-5000之间部分</w:t>
                  </w:r>
                </w:p>
              </w:tc>
              <w:tc>
                <w:tcPr>
                  <w:tcW w:w="2943" w:type="dxa"/>
                  <w:noWrap/>
                  <w:vAlign w:val="center"/>
                </w:tcPr>
                <w:p w14:paraId="5A21FC08">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w:t>
                  </w:r>
                </w:p>
              </w:tc>
            </w:tr>
          </w:tbl>
          <w:p w14:paraId="04114405">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在接到中标通知书后两个工作日内由中标人一次性向采购代理机构付清。采购代理服务费须包含在投标报价中，并以人民币方式支付。服务费汇入以下账号：</w:t>
            </w:r>
          </w:p>
          <w:p w14:paraId="06A1A74B">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户 名：华诚工程咨询集团有限公司</w:t>
            </w:r>
          </w:p>
          <w:p w14:paraId="5277D034">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 户：上海浦东发展银行股份有限公司杭州和睦支行</w:t>
            </w:r>
          </w:p>
          <w:p w14:paraId="3C33E753">
            <w:pPr>
              <w:spacing w:line="360" w:lineRule="auto"/>
              <w:jc w:val="left"/>
              <w:rPr>
                <w:rFonts w:hint="default" w:ascii="宋体" w:hAnsi="宋体" w:cs="Arial"/>
                <w:color w:val="auto"/>
                <w:kern w:val="0"/>
                <w:sz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账 号：95220078801100000315</w:t>
            </w:r>
          </w:p>
        </w:tc>
      </w:tr>
    </w:tbl>
    <w:p w14:paraId="02DC6439">
      <w:pPr>
        <w:snapToGrid w:val="0"/>
        <w:spacing w:line="360" w:lineRule="auto"/>
        <w:jc w:val="center"/>
        <w:rPr>
          <w:rFonts w:ascii="宋体" w:hAnsi="宋体" w:cs="宋体"/>
          <w:b/>
          <w:color w:val="auto"/>
          <w:sz w:val="32"/>
          <w:szCs w:val="20"/>
          <w:highlight w:val="none"/>
        </w:rPr>
      </w:pPr>
    </w:p>
    <w:bookmarkEnd w:id="9"/>
    <w:p w14:paraId="17C2D903">
      <w:pPr>
        <w:adjustRightInd/>
        <w:spacing w:line="360" w:lineRule="auto"/>
        <w:ind w:firstLine="3845" w:firstLineChars="1197"/>
        <w:outlineLvl w:val="0"/>
        <w:rPr>
          <w:rFonts w:ascii="宋体" w:hAnsi="宋体" w:cs="宋体"/>
          <w:b/>
          <w:color w:val="auto"/>
          <w:sz w:val="32"/>
          <w:szCs w:val="20"/>
          <w:highlight w:val="none"/>
        </w:rPr>
      </w:pPr>
      <w:bookmarkStart w:id="10" w:name="第三部分"/>
      <w:bookmarkStart w:id="11" w:name="_Toc164416483"/>
      <w:r>
        <w:rPr>
          <w:rFonts w:hint="eastAsia" w:ascii="宋体" w:hAnsi="宋体" w:cs="宋体"/>
          <w:b/>
          <w:color w:val="auto"/>
          <w:sz w:val="32"/>
          <w:szCs w:val="20"/>
          <w:highlight w:val="none"/>
        </w:rPr>
        <w:t>一、总则</w:t>
      </w:r>
    </w:p>
    <w:p w14:paraId="056C470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9A3CDB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427597C">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2431A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AC4B8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E06B3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F9420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E1419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4A636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21E03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6407795">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24F1C165">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19E588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DF4672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38B610F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5EBD4A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4344A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D2BEA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CC2FA4B">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02F41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BF60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EEEAB09">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8FAEEE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DE887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422AC8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8EEA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8730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1694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40FFA8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34ED25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E348028">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14:paraId="5276018C">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12EC8CA7">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1A83EFEF">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103D96DB">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8F861E6">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5BF9A0FA">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14:paraId="4AD81BC7">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w:t>
      </w:r>
      <w:r>
        <w:rPr>
          <w:rFonts w:hint="eastAsia" w:ascii="宋体" w:hAnsi="宋体" w:cs="宋体"/>
          <w:color w:val="auto"/>
          <w:kern w:val="0"/>
          <w:sz w:val="24"/>
          <w:highlight w:val="none"/>
          <w:lang w:val="zh-CN"/>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highlight w:val="none"/>
          <w:lang w:val="en-US" w:eastAsia="zh-CN"/>
        </w:rPr>
        <w:t>政务</w:t>
      </w:r>
      <w:r>
        <w:rPr>
          <w:rFonts w:hint="eastAsia" w:ascii="宋体" w:hAnsi="宋体" w:cs="宋体"/>
          <w:color w:val="auto"/>
          <w:kern w:val="0"/>
          <w:sz w:val="24"/>
          <w:highlight w:val="none"/>
          <w:lang w:val="zh-CN"/>
        </w:rPr>
        <w:t>服务网-政府采购投诉处理-在线办理。</w:t>
      </w:r>
    </w:p>
    <w:p w14:paraId="2AF0792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326F63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EDDAC0B">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853F04F">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79B0CAC">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5A679BC5">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00B98E9C">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2B494E16">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65A1397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6E0175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233DCFC7">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6EB3202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E27E38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FB6469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F899471">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9C3350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01AD45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7C51786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148DB491">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w:t>
      </w:r>
    </w:p>
    <w:p w14:paraId="11B3C2A7">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90024C1">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CB7D0F1">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7FC46AD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B6A2FA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1BE398A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2ABA5B71">
      <w:pPr>
        <w:pStyle w:val="889"/>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color w:val="auto"/>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color w:val="auto"/>
          <w:highlight w:val="none"/>
          <w:lang w:eastAsia="zh-CN"/>
        </w:rPr>
        <w:t>匡老师</w:t>
      </w:r>
      <w:r>
        <w:rPr>
          <w:rFonts w:hint="eastAsia"/>
          <w:color w:val="auto"/>
          <w:highlight w:val="none"/>
        </w:rPr>
        <w:t>，电话：</w:t>
      </w:r>
      <w:r>
        <w:rPr>
          <w:rFonts w:hint="eastAsia"/>
          <w:color w:val="auto"/>
          <w:highlight w:val="none"/>
          <w:lang w:eastAsia="zh-CN"/>
        </w:rPr>
        <w:t>0571-87807798</w:t>
      </w:r>
      <w:r>
        <w:rPr>
          <w:rFonts w:hint="eastAsia"/>
          <w:color w:val="auto"/>
          <w:highlight w:val="none"/>
        </w:rPr>
        <w:t>。</w:t>
      </w:r>
    </w:p>
    <w:p w14:paraId="06906CCF">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34ACE945">
      <w:pPr>
        <w:pStyle w:val="889"/>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2B5A1B6E">
      <w:pPr>
        <w:pStyle w:val="889"/>
        <w:shd w:val="clear" w:color="auto" w:fill="FFFFFF"/>
        <w:snapToGrid w:val="0"/>
        <w:spacing w:after="240" w:afterAutospacing="0" w:line="360" w:lineRule="auto"/>
        <w:ind w:firstLine="400"/>
        <w:contextualSpacing/>
        <w:rPr>
          <w:rFonts w:hint="eastAsia"/>
          <w:color w:val="auto"/>
          <w:highlight w:val="none"/>
        </w:rPr>
      </w:pPr>
    </w:p>
    <w:p w14:paraId="38E7DCAB">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47C92090">
      <w:pPr>
        <w:pStyle w:val="131"/>
        <w:snapToGrid w:val="0"/>
        <w:spacing w:before="0"/>
        <w:ind w:firstLine="360"/>
        <w:rPr>
          <w:rFonts w:ascii="宋体" w:hAnsi="宋体" w:cs="宋体"/>
          <w:color w:val="auto"/>
          <w:sz w:val="18"/>
          <w:szCs w:val="18"/>
          <w:highlight w:val="none"/>
        </w:rPr>
      </w:pPr>
    </w:p>
    <w:p w14:paraId="37533D10">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311472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0622CF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5C15B9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2E218761">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A99EA6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318F2B8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2ACADD17">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0E899D51">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27AEC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B3D1D3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226E16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3E3C18D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09C570D">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A74C63C">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C5402A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0F38CBCB">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96DF482">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457EC48">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1AAC055">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128FB870">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06C1681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57EB652">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9B5359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5D3A431">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16F4B4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4C5EEB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581890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5D61FD6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1D0C0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AF54FDD">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8D6EAA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2BAAE5F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013E2C6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DB2C7B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B2A637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D8D363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E34400D">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46C4495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5D897685">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01C9947A">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D6451E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68554FCE">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499E4FA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2330299">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A80BEE1">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4F8BD44C">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38600FD1">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E6F96C0">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w:t>
      </w:r>
      <w:r>
        <w:rPr>
          <w:rFonts w:hint="eastAsia" w:ascii="宋体" w:hAnsi="宋体" w:cs="宋体"/>
          <w:color w:val="auto"/>
          <w:kern w:val="0"/>
          <w:sz w:val="24"/>
          <w:highlight w:val="none"/>
          <w:lang w:val="zh-CN"/>
        </w:rPr>
        <w:t>在编制投标文件时请按照招标文件第六部分规定的格式进行，混乱的编排导致投标文件被误读或评标委员会查找不到有效文件是投标人的风险。</w:t>
      </w:r>
    </w:p>
    <w:p w14:paraId="529E48D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98A5272">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651A775">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AD1B424">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3F3D34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1F04915">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CC0576F">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1A6B600">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0D1F29F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0A1422B7">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90EA70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7618B7E1">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6206AF2F">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0C66F3E7">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3F1A23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2EAD906">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3746EE04">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6A346227">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D2358D6">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610DB210">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88ABFE9">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6AEE2D6">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4267FEDF">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BB840A4">
      <w:pPr>
        <w:pStyle w:val="131"/>
        <w:spacing w:before="0"/>
        <w:ind w:firstLine="643"/>
        <w:rPr>
          <w:rFonts w:ascii="宋体" w:hAnsi="宋体" w:cs="宋体"/>
          <w:b/>
          <w:color w:val="auto"/>
          <w:sz w:val="32"/>
          <w:highlight w:val="none"/>
        </w:rPr>
      </w:pPr>
    </w:p>
    <w:p w14:paraId="206BC794">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1A6F66A3">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9D094AE">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2F84172A">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F3B9B77">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C09DE9D">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7B4A47C1">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4CBEB95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19.1开标后，采购代理机构将依据法律法规和招标文件的规定，对投标人的资格进行审查。</w:t>
      </w:r>
    </w:p>
    <w:p w14:paraId="584CC949">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DA0F64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6556374B">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146C91C">
      <w:pPr>
        <w:pStyle w:val="131"/>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14:paraId="70627902">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11D27989">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762D476">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BEB965D">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19652B6">
      <w:pPr>
        <w:pStyle w:val="131"/>
        <w:spacing w:before="0"/>
        <w:ind w:firstLine="0" w:firstLineChars="0"/>
        <w:rPr>
          <w:rFonts w:ascii="宋体" w:hAnsi="宋体" w:cs="宋体"/>
          <w:color w:val="auto"/>
          <w:kern w:val="0"/>
          <w:szCs w:val="24"/>
          <w:highlight w:val="none"/>
        </w:rPr>
      </w:pPr>
    </w:p>
    <w:p w14:paraId="5396728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6FC61791">
      <w:pPr>
        <w:spacing w:line="360" w:lineRule="auto"/>
        <w:rPr>
          <w:rFonts w:ascii="宋体" w:hAnsi="宋体" w:cs="宋体"/>
          <w:b/>
          <w:color w:val="auto"/>
          <w:sz w:val="24"/>
          <w:highlight w:val="none"/>
        </w:rPr>
      </w:pPr>
      <w:bookmarkStart w:id="12"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评标委员会【评标委员会由采购人代表和评审专家组成，成员人数为5人（采购人代表1人，评标专家4人由</w:t>
      </w:r>
      <w:r>
        <w:rPr>
          <w:rFonts w:hint="eastAsia" w:ascii="宋体" w:hAnsi="宋体" w:cs="宋体"/>
          <w:color w:val="auto"/>
          <w:sz w:val="24"/>
          <w:highlight w:val="none"/>
          <w:lang w:val="en-US" w:eastAsia="zh-CN"/>
        </w:rPr>
        <w:t>第三方机构在</w:t>
      </w:r>
      <w:r>
        <w:rPr>
          <w:rFonts w:hint="eastAsia" w:ascii="宋体" w:hAnsi="宋体" w:cs="宋体"/>
          <w:color w:val="auto"/>
          <w:sz w:val="24"/>
          <w:highlight w:val="none"/>
        </w:rPr>
        <w:t>政采云平台相关专业随机抽取</w:t>
      </w:r>
      <w:r>
        <w:rPr>
          <w:rFonts w:hint="eastAsia" w:ascii="宋体" w:hAnsi="宋体" w:cs="宋体"/>
          <w:color w:val="auto"/>
          <w:sz w:val="24"/>
          <w:highlight w:val="none"/>
          <w:lang w:val="en-US" w:eastAsia="zh-CN"/>
        </w:rPr>
        <w:t>产生</w:t>
      </w:r>
      <w:r>
        <w:rPr>
          <w:rFonts w:hint="eastAsia" w:ascii="宋体" w:hAnsi="宋体" w:cs="宋体"/>
          <w:color w:val="auto"/>
          <w:sz w:val="24"/>
          <w:highlight w:val="none"/>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388DEF2">
      <w:pPr>
        <w:spacing w:line="360" w:lineRule="auto"/>
        <w:rPr>
          <w:rFonts w:ascii="宋体" w:hAnsi="宋体" w:cs="宋体"/>
          <w:b/>
          <w:color w:val="auto"/>
          <w:sz w:val="24"/>
          <w:highlight w:val="none"/>
        </w:rPr>
      </w:pPr>
    </w:p>
    <w:p w14:paraId="51309DFA">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444DCCE9">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37124DF">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w:t>
      </w:r>
      <w:r>
        <w:rPr>
          <w:rFonts w:hint="eastAsia" w:ascii="宋体" w:hAnsi="宋体" w:cs="宋体"/>
          <w:color w:val="auto"/>
          <w:szCs w:val="24"/>
          <w:highlight w:val="none"/>
        </w:rPr>
        <w:t>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26FFC0AF">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0B8C150">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B1400C3">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3" w:name="_Hlk101184471"/>
      <w:r>
        <w:rPr>
          <w:rFonts w:hint="eastAsia" w:ascii="宋体" w:hAnsi="宋体" w:cs="宋体"/>
          <w:color w:val="auto"/>
          <w:sz w:val="24"/>
          <w:highlight w:val="none"/>
        </w:rPr>
        <w:t>资格审查情况、评审专家抽取规则、符合性审查情况、</w:t>
      </w:r>
      <w:bookmarkEnd w:id="13"/>
      <w:r>
        <w:rPr>
          <w:rFonts w:hint="eastAsia" w:ascii="宋体" w:hAnsi="宋体" w:cs="宋体"/>
          <w:color w:val="auto"/>
          <w:sz w:val="24"/>
          <w:highlight w:val="none"/>
        </w:rPr>
        <w:t>未中标情况说明、中标公告期限以及评审专家名单、评分汇总及明细</w:t>
      </w:r>
      <w:r>
        <w:rPr>
          <w:rFonts w:hint="eastAsia" w:ascii="宋体" w:hAnsi="宋体" w:cs="宋体"/>
          <w:color w:val="auto"/>
          <w:sz w:val="24"/>
          <w:highlight w:val="none"/>
          <w:lang w:eastAsia="zh-CN"/>
        </w:rPr>
        <w:t>、中小企业声明函（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）、关于符合本国产品标准的声明函（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B2701C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2CA6FB9">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23.4</w:t>
      </w:r>
      <w:r>
        <w:rPr>
          <w:rFonts w:hint="eastAsia" w:ascii="宋体" w:hAnsi="宋体" w:cs="宋体"/>
          <w:color w:val="auto"/>
          <w:sz w:val="24"/>
          <w:highlight w:val="none"/>
        </w:rPr>
        <w:t>由于中标、成交供应商原因导致重新采购的，应当承担支付代理费和专家评审费等费用在内的赔偿责任。</w:t>
      </w:r>
    </w:p>
    <w:p w14:paraId="50C3AE69">
      <w:pPr>
        <w:pStyle w:val="79"/>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4B8B17E5">
      <w:pPr>
        <w:snapToGrid w:val="0"/>
        <w:spacing w:line="360" w:lineRule="auto"/>
        <w:ind w:left="120" w:leftChars="57" w:firstLine="482" w:firstLineChars="150"/>
        <w:jc w:val="center"/>
        <w:rPr>
          <w:rFonts w:ascii="宋体" w:hAnsi="宋体" w:cs="宋体"/>
          <w:b/>
          <w:color w:val="auto"/>
          <w:sz w:val="32"/>
          <w:highlight w:val="none"/>
        </w:rPr>
      </w:pPr>
    </w:p>
    <w:p w14:paraId="4F1CBCD8">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7C69CD34">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3A287C95">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2478E314">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1303C6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47FDE4D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276138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105D959D">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27806F70">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78D50170">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A1DA56E">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2B492CF8">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5C979281">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01C84970">
      <w:pPr>
        <w:snapToGrid w:val="0"/>
        <w:spacing w:line="360" w:lineRule="auto"/>
        <w:ind w:firstLine="3357" w:firstLineChars="1045"/>
        <w:rPr>
          <w:rFonts w:ascii="宋体" w:hAnsi="宋体" w:cs="宋体"/>
          <w:b/>
          <w:color w:val="auto"/>
          <w:sz w:val="32"/>
          <w:highlight w:val="none"/>
        </w:rPr>
      </w:pPr>
    </w:p>
    <w:p w14:paraId="67059679">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272AB7BC">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6BEDD1F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74CECB6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62EC157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3DF7E84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3A46A13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6DC678CF">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w:t>
      </w:r>
      <w:r>
        <w:rPr>
          <w:rFonts w:hint="eastAsia" w:ascii="宋体" w:hAnsi="宋体" w:cs="宋体"/>
          <w:color w:val="auto"/>
          <w:highlight w:val="none"/>
        </w:rPr>
        <w:t>，也可以决定某些环节以纸质形式进行；影响或可能影响采购公平、公正性的，应当重新采购。</w:t>
      </w:r>
    </w:p>
    <w:p w14:paraId="3D06B1FA">
      <w:pPr>
        <w:tabs>
          <w:tab w:val="left" w:pos="0"/>
        </w:tabs>
        <w:spacing w:line="360" w:lineRule="auto"/>
        <w:ind w:firstLine="480"/>
        <w:rPr>
          <w:rFonts w:ascii="宋体" w:hAnsi="宋体" w:cs="宋体"/>
          <w:color w:val="auto"/>
          <w:sz w:val="24"/>
          <w:highlight w:val="none"/>
        </w:rPr>
      </w:pPr>
    </w:p>
    <w:p w14:paraId="0185D719">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05360FA4">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15CAE94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w:t>
      </w:r>
      <w:r>
        <w:rPr>
          <w:rFonts w:hint="eastAsia" w:ascii="宋体" w:hAnsi="宋体" w:cs="宋体"/>
          <w:color w:val="auto"/>
          <w:kern w:val="0"/>
          <w:sz w:val="24"/>
          <w:highlight w:val="none"/>
        </w:rPr>
        <w:t>一切损失和费用，并接受相应的处理。</w:t>
      </w:r>
    </w:p>
    <w:p w14:paraId="4D36B32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4FFC704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D144055">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ABA3AE">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en-US"/>
        </w:rPr>
        <w:t>.5对于满足合同约定的采购资金支付条件的，供应商可通过政采云平台提起在线支付申请、查询支付结果，路径为政采云-我的工作台-</w:t>
      </w:r>
      <w:r>
        <w:rPr>
          <w:rFonts w:hint="eastAsia" w:ascii="宋体" w:hAnsi="宋体" w:eastAsia="宋体" w:cs="宋体"/>
          <w:color w:val="auto"/>
          <w:kern w:val="0"/>
          <w:sz w:val="24"/>
          <w:highlight w:val="none"/>
          <w:lang w:val="en-US" w:eastAsia="zh-CN"/>
        </w:rPr>
        <w:t>合同管理</w:t>
      </w:r>
      <w:r>
        <w:rPr>
          <w:rFonts w:hint="eastAsia" w:ascii="宋体" w:hAnsi="宋体" w:eastAsia="宋体" w:cs="宋体"/>
          <w:color w:val="auto"/>
          <w:kern w:val="0"/>
          <w:sz w:val="24"/>
          <w:highlight w:val="none"/>
          <w:lang w:val="en-US"/>
        </w:rPr>
        <w:t>-支付管理。对于供应商提起在线支付申请的，采购</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en-US"/>
        </w:rPr>
        <w:t>应当</w:t>
      </w:r>
      <w:r>
        <w:rPr>
          <w:rFonts w:hint="eastAsia" w:ascii="宋体" w:hAnsi="宋体" w:eastAsia="宋体" w:cs="宋体"/>
          <w:color w:val="auto"/>
          <w:kern w:val="0"/>
          <w:sz w:val="24"/>
          <w:highlight w:val="none"/>
          <w:lang w:val="en-US" w:eastAsia="zh-CN"/>
        </w:rPr>
        <w:t>按规定</w:t>
      </w:r>
      <w:r>
        <w:rPr>
          <w:rFonts w:hint="eastAsia" w:ascii="宋体" w:hAnsi="宋体" w:eastAsia="宋体" w:cs="宋体"/>
          <w:color w:val="auto"/>
          <w:kern w:val="0"/>
          <w:sz w:val="24"/>
          <w:highlight w:val="none"/>
          <w:lang w:val="en-US"/>
        </w:rPr>
        <w:t>做好审核并完成支付。</w:t>
      </w:r>
    </w:p>
    <w:bookmarkEnd w:id="12"/>
    <w:p w14:paraId="5ECAEC27">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68072990"/>
      <w:bookmarkEnd w:id="14"/>
      <w:bookmarkStart w:id="15" w:name="_Hlt75236290"/>
      <w:bookmarkEnd w:id="15"/>
      <w:bookmarkStart w:id="16" w:name="_Hlt75236011"/>
      <w:bookmarkEnd w:id="16"/>
      <w:bookmarkStart w:id="17" w:name="_Hlt68073093"/>
      <w:bookmarkEnd w:id="17"/>
      <w:bookmarkStart w:id="18" w:name="_Hlt68072998"/>
      <w:bookmarkEnd w:id="18"/>
      <w:bookmarkStart w:id="19" w:name="_Hlt74730295"/>
      <w:bookmarkEnd w:id="19"/>
      <w:bookmarkStart w:id="20" w:name="_Hlt74714665"/>
      <w:bookmarkEnd w:id="20"/>
      <w:bookmarkStart w:id="21" w:name="_Hlt74707468"/>
      <w:bookmarkEnd w:id="21"/>
      <w:bookmarkStart w:id="22" w:name="_Hlt68403820"/>
      <w:bookmarkEnd w:id="22"/>
      <w:bookmarkStart w:id="23" w:name="_Hlt68057669"/>
      <w:bookmarkEnd w:id="23"/>
      <w:bookmarkStart w:id="24" w:name="_Hlt74729768"/>
      <w:bookmarkEnd w:id="24"/>
      <w:bookmarkStart w:id="25" w:name="_Hlt75236101"/>
      <w:bookmarkEnd w:id="25"/>
    </w:p>
    <w:bookmarkEnd w:id="10"/>
    <w:bookmarkEnd w:id="11"/>
    <w:p w14:paraId="2B7F6A93">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14:paraId="52BE0F08">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一、采购内容</w:t>
      </w:r>
    </w:p>
    <w:p w14:paraId="6FCF797A">
      <w:pPr>
        <w:adjustRightInd/>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1、本项目采购内容</w:t>
      </w:r>
      <w:r>
        <w:rPr>
          <w:rFonts w:hint="eastAsia" w:ascii="宋体" w:hAnsi="宋体" w:cs="宋体"/>
          <w:color w:val="auto"/>
          <w:sz w:val="24"/>
          <w:highlight w:val="none"/>
        </w:rPr>
        <w:t>为</w:t>
      </w:r>
      <w:r>
        <w:rPr>
          <w:rFonts w:hint="eastAsia" w:ascii="宋体" w:hAnsi="宋体" w:cs="宋体"/>
          <w:color w:val="auto"/>
          <w:sz w:val="24"/>
          <w:highlight w:val="none"/>
          <w:lang w:eastAsia="zh-CN"/>
        </w:rPr>
        <w:t>杭州市拱墅区上塘</w:t>
      </w:r>
      <w:r>
        <w:rPr>
          <w:rFonts w:hint="eastAsia" w:ascii="宋体" w:hAnsi="宋体" w:cs="宋体"/>
          <w:color w:val="auto"/>
          <w:sz w:val="24"/>
          <w:highlight w:val="none"/>
          <w:lang w:val="en-US" w:eastAsia="zh-CN"/>
        </w:rPr>
        <w:t>派出所</w:t>
      </w:r>
      <w:r>
        <w:rPr>
          <w:rFonts w:hint="eastAsia" w:ascii="宋体" w:hAnsi="宋体" w:cs="宋体"/>
          <w:color w:val="auto"/>
          <w:sz w:val="24"/>
          <w:highlight w:val="none"/>
        </w:rPr>
        <w:t>“一呼百应”保安服务项目，为切实保障上塘辖区社会面平安稳定，提高安全事件应对能力，构建“一呼百应”基层共治体系，最大限度地提升对各类突发案事件的应对响应速度，最大限度地提升对影响政治稳定、社会安宁的重大公共安全事件的实战处置能力，实现全面打造“网格化管理一呼百应，精细化治理有呼必应，社会化治理全民响应”基层治理体系的目标。</w:t>
      </w:r>
    </w:p>
    <w:p w14:paraId="2B9EC511">
      <w:pPr>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工作时间根据实际需要，随时进行响应。服务外包人员必须服从招标单位指挥、管理和安排，服务外包人员工作期间必须穿戴统一执勤衣帽，佩戴工作证，遵守招标单位制定的工作纪律，接受招标单位督查考核；中标单位必须确定专人负责对服务外包人员的管理和督查，定期对服务外包人员的业务培训，确保服务外包人员工作稳定性。</w:t>
      </w:r>
    </w:p>
    <w:p w14:paraId="3A38BC2D">
      <w:pPr>
        <w:adjustRightIn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“一呼百应”保安</w:t>
      </w:r>
      <w:r>
        <w:rPr>
          <w:rFonts w:hint="eastAsia" w:ascii="宋体" w:hAnsi="宋体" w:cs="宋体"/>
          <w:color w:val="auto"/>
          <w:sz w:val="24"/>
          <w:highlight w:val="none"/>
        </w:rPr>
        <w:t>服务范围投标单位须完全满足招标人的动态调整。</w:t>
      </w:r>
    </w:p>
    <w:p w14:paraId="72A70853">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二、岗位及职数配备要求</w:t>
      </w:r>
    </w:p>
    <w:p w14:paraId="1AE9AC1A">
      <w:pPr>
        <w:spacing w:line="360" w:lineRule="auto"/>
        <w:ind w:firstLine="480" w:firstLineChars="200"/>
        <w:rPr>
          <w:rFonts w:hint="eastAsia" w:ascii="宋体" w:hAnsi="宋体" w:cs="宋体"/>
          <w:bCs/>
          <w:color w:val="auto"/>
          <w:sz w:val="24"/>
          <w:highlight w:val="none"/>
        </w:rPr>
      </w:pPr>
      <w:r>
        <w:rPr>
          <w:rFonts w:hint="eastAsia" w:ascii="宋体" w:hAnsi="宋体" w:cs="宋体"/>
          <w:b w:val="0"/>
          <w:bCs w:val="0"/>
          <w:color w:val="auto"/>
          <w:sz w:val="24"/>
          <w:highlight w:val="none"/>
          <w:lang w:val="en-US" w:eastAsia="zh-CN"/>
        </w:rPr>
        <w:t>1、岗位及职数配备要求：本项目岗位数量为30个，设置1名队长、1名副队长，两班两运转，服务时间为每天24小时。要求每班必须至少有一人持有驾驶证。</w:t>
      </w:r>
    </w:p>
    <w:p w14:paraId="00AFA1A9">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2、人员配备要求：</w:t>
      </w:r>
    </w:p>
    <w:p w14:paraId="00DB62A5">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（1）项目总负责人：50周岁及以下，学历大专及以上，有符合国家规定的上岗证，经严格政审，没有刑事犯罪记录，退伍军人优先。</w:t>
      </w:r>
    </w:p>
    <w:p w14:paraId="5312706D">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（2）队长、副队长：50周岁及以下，学历大专及以上，身体健康，体质较好，退伍军人优先。</w:t>
      </w:r>
    </w:p>
    <w:p w14:paraId="53038657">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（3）其他人员：年龄需在40周岁及以下，男性，身体健康，体质较好，退伍军人优先。</w:t>
      </w:r>
    </w:p>
    <w:p w14:paraId="2F7F46BA">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（4）持证要求：本项目的所有人员上岗时必须持有公安机关颁发的《保安员证》，持证上岗，统一着装，进场服务前由采购人统一审核。</w:t>
      </w:r>
    </w:p>
    <w:p w14:paraId="0D72B841">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素质要求：人员应当政治素质好、工作积极、热爱工作，负责所指定区域、部位、物品、人员的安全防范和安全处理工作。有岗位所需的工作技能，身体健康，没有传染病及精神病等不能控制自己行为能力的疾病病史，体貌端正，无不良嗜好，政治上可靠，没有犯罪记录。</w:t>
      </w:r>
    </w:p>
    <w:p w14:paraId="4E82716F">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人员进驻区域工作后，必须服从采购人的安排和管理，严格遵守采购人有关规章制度并接受采购人领导和员工的监督，遵纪守法、着装整洁、礼貌待客、认真负责；在执勤时，必须按规定着装，佩戴标志，做到文明执勤，礼貌待人。</w:t>
      </w:r>
    </w:p>
    <w:p w14:paraId="41B4A8FE">
      <w:pPr>
        <w:spacing w:line="360" w:lineRule="auto"/>
        <w:ind w:firstLine="480" w:firstLineChars="200"/>
        <w:rPr>
          <w:rFonts w:hint="eastAsia" w:ascii="宋体" w:hAnsi="宋体" w:cs="宋体"/>
          <w:bCs/>
          <w:color w:val="auto"/>
          <w:sz w:val="24"/>
          <w:highlight w:val="none"/>
        </w:rPr>
      </w:pPr>
      <w:r>
        <w:rPr>
          <w:rFonts w:hint="eastAsia" w:ascii="宋体" w:hAnsi="宋体" w:cs="宋体"/>
          <w:b w:val="0"/>
          <w:bCs w:val="0"/>
          <w:color w:val="auto"/>
          <w:sz w:val="24"/>
          <w:highlight w:val="none"/>
          <w:lang w:val="en-US" w:eastAsia="zh-CN"/>
        </w:rPr>
        <w:t>（6）仪容仪表和执勤规范：人员应衣冠整洁，佩工作标识；坚守工作岗位，提高警惕，严防犯罪分子从事破坏活动，保证人身安全；认真做好防火防盗工作，发现不安全因素立即查明原因，尽快排除险情并及时向采购人汇报；认真做好各类台账记录，严格履行交接班制度。</w:t>
      </w:r>
    </w:p>
    <w:p w14:paraId="7BF436C8">
      <w:pPr>
        <w:adjustRightInd/>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中标单位须在合同签订后7个工作日内提交拟派保安人员清单交于采购人审阅，超出时间按照违约处理；按对应岗位向采购人提交应派遣的保安员信息资料（保安员信息应具备保安员基本身份信息、《保安职业资格证》或《保安员上岗证》证书编号、拟派驻岗位等），否则视为中标人未能履行招标文件要求，取消中标资格。</w:t>
      </w:r>
    </w:p>
    <w:p w14:paraId="046C0B51">
      <w:pPr>
        <w:keepNext w:val="0"/>
        <w:keepLines w:val="0"/>
        <w:pageBreakBefore w:val="0"/>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人员待遇</w:t>
      </w:r>
    </w:p>
    <w:p w14:paraId="6AC3FE9F">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基本工资不低于杭州市现行最低工资标准（最低工资不包括下列四项收入：延长工作时间的工资；中班、夜班、高温、低温、有毒有害等特殊工作环境、条件下的津贴；贴补伙食、住房等支付给劳动者的非货币性收入；法律、法规和国家规定的劳动者福利待遇等）。</w:t>
      </w:r>
    </w:p>
    <w:p w14:paraId="02800113">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（2）每人必须按照相关规定缴纳社会保险（五险）。</w:t>
      </w:r>
    </w:p>
    <w:p w14:paraId="27CE2C33">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（3）人员福利：按照国家标准发放国家法定节假日加班费、高温补贴和国定节假日的慰问品、配备服装、通讯器材等必要装备，防暑防雨用品等。</w:t>
      </w:r>
    </w:p>
    <w:p w14:paraId="4B856428">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（4）所有人员专业知识培训课时不少于10课时/每人/年。</w:t>
      </w:r>
    </w:p>
    <w:p w14:paraId="4A5E88DB">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三、具体服务内容、职责等</w:t>
      </w:r>
    </w:p>
    <w:p w14:paraId="71F49C91">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rPr>
        <w:t>1、服务范围及工作要求：</w:t>
      </w:r>
    </w:p>
    <w:p w14:paraId="33E3D61A">
      <w:pPr>
        <w:widowControl/>
        <w:adjustRightInd/>
        <w:spacing w:line="360" w:lineRule="auto"/>
        <w:ind w:firstLine="480" w:firstLineChars="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协助上塘街道开展一呼百应机制建设，对辖区内小区业态及沿街商铺“一呼百应”基层共治体系建设进行管理，推进治联会</w:t>
      </w:r>
      <w:r>
        <w:rPr>
          <w:rFonts w:hint="eastAsia" w:ascii="宋体" w:hAnsi="宋体" w:cs="宋体"/>
          <w:bCs/>
          <w:color w:val="auto"/>
          <w:sz w:val="24"/>
          <w:highlight w:val="none"/>
          <w:lang w:eastAsia="zh-CN"/>
        </w:rPr>
        <w:t>推广</w:t>
      </w:r>
      <w:r>
        <w:rPr>
          <w:rFonts w:hint="eastAsia" w:ascii="宋体" w:hAnsi="宋体" w:cs="宋体"/>
          <w:bCs/>
          <w:color w:val="auto"/>
          <w:sz w:val="24"/>
          <w:highlight w:val="none"/>
        </w:rPr>
        <w:t>工作；</w:t>
      </w:r>
    </w:p>
    <w:p w14:paraId="55BBBBCA">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协助上塘街道加强对重点区域、重点部位的序化维护值守；</w:t>
      </w:r>
    </w:p>
    <w:p w14:paraId="0A6358C2">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协助上塘街道开展安全防范的宣传教育，努力提高辖区内广大群众的靓城行动意识和自我安全防范意识与能力。</w:t>
      </w:r>
    </w:p>
    <w:p w14:paraId="08FE16D0">
      <w:pPr>
        <w:widowControl/>
        <w:adjustRightIn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协助开展辖区内重点单位、重点物品的治安安全、消防安全巡查，及时发现各类不稳定因素及安全隐患，积极督促相关单位、人员开展整改，并将相关信息报送综治。</w:t>
      </w:r>
    </w:p>
    <w:p w14:paraId="470CDC17">
      <w:pPr>
        <w:widowControl/>
        <w:adjustRightIn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协助开展辖区内重点对象、重点场所的安全监管；</w:t>
      </w:r>
    </w:p>
    <w:p w14:paraId="545E16FF">
      <w:pPr>
        <w:widowControl/>
        <w:adjustRightIn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协助开展对各类社会治安矛盾纠纷的化解；</w:t>
      </w:r>
    </w:p>
    <w:p w14:paraId="04C9731A">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对相关警情、突发性案（事）件进行应急响应；</w:t>
      </w:r>
    </w:p>
    <w:p w14:paraId="6624C0DB">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协助上塘街道开展辖区内重点路段进行巡查，积极督促相关单位、人员开展整改，并将相关信息报送上塘街道；</w:t>
      </w:r>
    </w:p>
    <w:p w14:paraId="0AEE593F">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协助上塘街道开展重大活动、重大节日的安保工作，增强人民群众的安全感和满意度；</w:t>
      </w:r>
    </w:p>
    <w:p w14:paraId="1730DB0E">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协助上塘街道加强辖区的城市综合管理；</w:t>
      </w:r>
    </w:p>
    <w:p w14:paraId="6A5AD1BE">
      <w:pPr>
        <w:widowControl/>
        <w:adjustRightInd/>
        <w:snapToGrid/>
        <w:spacing w:line="360" w:lineRule="auto"/>
        <w:ind w:firstLine="480" w:firstLineChars="0"/>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主动发现各类违法犯罪线索并及时报告上塘街道；</w:t>
      </w:r>
    </w:p>
    <w:p w14:paraId="371F9C27">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完成上塘街道交办的其他各类工作任务。</w:t>
      </w:r>
    </w:p>
    <w:p w14:paraId="0109639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管理要求</w:t>
      </w:r>
    </w:p>
    <w:p w14:paraId="798BE51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投标人负责保安人员的招聘、使用、管理、调配和辞退。</w:t>
      </w:r>
    </w:p>
    <w:p w14:paraId="2DF253C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如有保安人员离职，投标人应提前一周通知采购人，并将补充保安人员信息资料一同提供给采购人，</w:t>
      </w:r>
      <w:r>
        <w:rPr>
          <w:rFonts w:hint="eastAsia" w:ascii="宋体" w:hAnsi="宋体" w:eastAsia="宋体" w:cs="宋体"/>
          <w:color w:val="auto"/>
          <w:sz w:val="24"/>
          <w:szCs w:val="24"/>
          <w:highlight w:val="none"/>
        </w:rPr>
        <w:t>需采购人经办人、审核人对服务人员变更进行审批，审批通过后方可更换，更换人员需在24小时内到位，更换人员资历不得低于投标时人员资历。</w:t>
      </w:r>
      <w:r>
        <w:rPr>
          <w:rFonts w:hint="eastAsia" w:ascii="宋体" w:hAnsi="宋体" w:eastAsia="宋体" w:cs="宋体"/>
          <w:color w:val="auto"/>
          <w:sz w:val="24"/>
          <w:szCs w:val="24"/>
          <w:highlight w:val="none"/>
          <w:lang w:val="zh-CN"/>
        </w:rPr>
        <w:t>且确保在任何时候都无人员缺位现象发生。</w:t>
      </w:r>
    </w:p>
    <w:p w14:paraId="5028F4A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服务人员的健康状况（包括操作不规范等因素造成的安全责任事故）全部费用由投标人承担。</w:t>
      </w:r>
    </w:p>
    <w:p w14:paraId="0F3C0EA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投标人必须根据国家《劳动法》合法用工，依法为每位员工支付各类社会保险。</w:t>
      </w:r>
    </w:p>
    <w:p w14:paraId="416D121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投标人所提供的人员须满足每周工作时间。</w:t>
      </w:r>
    </w:p>
    <w:p w14:paraId="07E9120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采购人有要求增加的临时应急处理的其他工作，投标人需承诺按采购人要求无条件在1</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小时内组织保安人员协助采购人处理临时应急工作，临时派遣的保安人员身体素质、业务技能等各类要求与常驻保安人员相同，按实结算，另行支付。</w:t>
      </w:r>
    </w:p>
    <w:p w14:paraId="36D691DD">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保密要求</w:t>
      </w:r>
    </w:p>
    <w:p w14:paraId="78BCB89B">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对投标人及工作人员开展常态化安全保密教育，组织签订安全保密承诺书，明确具体安全管理内容、安全保密义务和责任；投标人及工作人员违反保密安全管理要求，构成违法犯罪的，采购人将及时报送市场监督管理等部门，提请列入政府采购严重违法失信行为记录名单、市场监督管理严重失信名单，并追究相关责任。</w:t>
      </w:r>
    </w:p>
    <w:p w14:paraId="05D22E10">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严格按照采购人规定使用、存储、处理文档资料和数据。合同终止时，应当交还全部资料和数据。</w:t>
      </w:r>
    </w:p>
    <w:p w14:paraId="416F4AAC">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需与采购人签署保密协议，投标人对在项目实施期间所获得的采购人的情报和资料有保密义务（包括但不限于合同履约期内），泄漏秘密应承担的责任。如有违反，按合同的违约条款向采购人支付违约金，造成采购人损失的应予赔偿，违法或涉嫌犯罪的依法追究刑事责任。</w:t>
      </w:r>
    </w:p>
    <w:p w14:paraId="1B5B7194">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若项目涉及分包的，投标人须按照以上保密要求，与分包供应商签订单位保密协议、个人保密承诺书、开展日常保密教育等措施，确保分包供应商严格落实各项保密规定，并与分包供应商承担连带责任。</w:t>
      </w:r>
    </w:p>
    <w:p w14:paraId="2B165954">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安全责任规定：投标人及所派人员的事故和因投标人或投标人工作人员工作过错造成的安全管理事故，投标人自行负全部责任及相关费用。</w:t>
      </w:r>
    </w:p>
    <w:p w14:paraId="44497FC0">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监督机制考核：</w:t>
      </w:r>
      <w:r>
        <w:rPr>
          <w:rFonts w:hint="eastAsia" w:ascii="宋体" w:hAnsi="宋体" w:eastAsia="宋体" w:cs="宋体"/>
          <w:color w:val="auto"/>
          <w:sz w:val="24"/>
          <w:szCs w:val="24"/>
          <w:highlight w:val="none"/>
        </w:rPr>
        <w:t>采购人成立综合考评小组，结合领导交办、群众举报及日常巡查情况，每月考核一次。</w:t>
      </w:r>
    </w:p>
    <w:p w14:paraId="45986724">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、如有特殊任务</w:t>
      </w:r>
      <w:r>
        <w:rPr>
          <w:rFonts w:hint="eastAsia" w:ascii="宋体" w:hAnsi="宋体" w:eastAsia="宋体" w:cs="宋体"/>
          <w:bCs/>
          <w:color w:val="auto"/>
          <w:sz w:val="24"/>
          <w:szCs w:val="24"/>
          <w:highlight w:val="none"/>
          <w:lang w:val="zh-CN" w:eastAsia="zh-CN"/>
        </w:rPr>
        <w:t>（重大活动，上级指令等）</w:t>
      </w:r>
      <w:r>
        <w:rPr>
          <w:rFonts w:hint="eastAsia" w:ascii="宋体" w:hAnsi="宋体" w:eastAsia="宋体" w:cs="宋体"/>
          <w:bCs/>
          <w:color w:val="auto"/>
          <w:sz w:val="24"/>
          <w:szCs w:val="24"/>
          <w:highlight w:val="none"/>
          <w:lang w:val="zh-CN"/>
        </w:rPr>
        <w:t>，投标人配置相应数量的内部安防人员以满足日常安保工作需要</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费用包含在投标报价中，投标人在投标时应充分考虑存在的潜在风险</w:t>
      </w:r>
      <w:r>
        <w:rPr>
          <w:rFonts w:hint="eastAsia" w:ascii="宋体" w:hAnsi="宋体" w:eastAsia="宋体" w:cs="宋体"/>
          <w:bCs/>
          <w:color w:val="auto"/>
          <w:sz w:val="24"/>
          <w:szCs w:val="24"/>
          <w:highlight w:val="none"/>
          <w:lang w:val="zh-CN"/>
        </w:rPr>
        <w:t>。</w:t>
      </w:r>
    </w:p>
    <w:p w14:paraId="011C809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、其他相关费用说明：</w:t>
      </w:r>
    </w:p>
    <w:p w14:paraId="267DE58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如遇特殊情况，安保须按采购人需求确保人员到岗率，额外产生的费用由投标人在投标报价中自行考虑，中标后不作调整。</w:t>
      </w:r>
    </w:p>
    <w:p w14:paraId="7C2813F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队员使用对讲通讯、巡视等设备均由中标单位自理，安保服务管理中所需的物品（如低值易耗品、工具及相关设备）包含在投标报价中，并附有明细。</w:t>
      </w:r>
    </w:p>
    <w:p w14:paraId="42BC6F8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其它临时性杂项服务极少，如采购人在日常工作时间搬运、看管物品，应急性地保障服务等，费用包含在投标报价中中。</w:t>
      </w:r>
    </w:p>
    <w:p w14:paraId="6C310DC7">
      <w:pPr>
        <w:spacing w:line="360" w:lineRule="auto"/>
        <w:ind w:firstLine="480"/>
        <w:rPr>
          <w:rFonts w:hint="eastAsia" w:ascii="宋体" w:hAnsi="宋体" w:cs="宋体"/>
          <w:bCs/>
          <w:color w:val="auto"/>
          <w:sz w:val="24"/>
          <w:highlight w:val="none"/>
          <w:shd w:val="clear" w:color="auto" w:fill="FFFF00"/>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对每天巡逻情况要及时规范填写巡查记录表，拍摄、保存反映实际情况的照片、摄像等资料，及时将发现问题与处理情况录入表格，并做好归档工作。</w:t>
      </w:r>
    </w:p>
    <w:p w14:paraId="7E6A5058">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、其他相关费用说明</w:t>
      </w:r>
    </w:p>
    <w:p w14:paraId="272736B2">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（1）如遇特殊情况，安保须按采购人需求确保人员到岗率，</w:t>
      </w:r>
      <w:r>
        <w:rPr>
          <w:rFonts w:hint="eastAsia" w:ascii="宋体" w:hAnsi="宋体" w:cs="宋体"/>
          <w:color w:val="auto"/>
          <w:sz w:val="24"/>
          <w:highlight w:val="none"/>
        </w:rPr>
        <w:t>额外产生的费用由投标人</w:t>
      </w:r>
      <w:r>
        <w:rPr>
          <w:rFonts w:hint="eastAsia" w:ascii="宋体" w:hAnsi="宋体" w:cs="宋体"/>
          <w:bCs/>
          <w:color w:val="auto"/>
          <w:sz w:val="24"/>
          <w:highlight w:val="none"/>
        </w:rPr>
        <w:t>在投标报价中自行考虑，中标后不作调整。</w:t>
      </w:r>
    </w:p>
    <w:p w14:paraId="260358C7">
      <w:pPr>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（2）采购人可适当提供通讯电话线路，但电话月租和通话费等</w:t>
      </w:r>
      <w:r>
        <w:rPr>
          <w:rFonts w:hint="eastAsia" w:ascii="宋体" w:hAnsi="宋体" w:cs="宋体"/>
          <w:color w:val="auto"/>
          <w:sz w:val="24"/>
          <w:highlight w:val="none"/>
        </w:rPr>
        <w:t>由投标人</w:t>
      </w:r>
      <w:r>
        <w:rPr>
          <w:rFonts w:hint="eastAsia" w:ascii="宋体" w:hAnsi="宋体" w:cs="宋体"/>
          <w:bCs/>
          <w:color w:val="auto"/>
          <w:sz w:val="24"/>
          <w:highlight w:val="none"/>
        </w:rPr>
        <w:t>在投标报价中自行考虑，中标后不作调整。（3）上述所有投入设备均由中标单位配备，使用费用包括在投标报价中，服务管理中所需的物品（如巡防人员服装需要与相统一、低值易耗品、办公工具、及相关专业设备）、管理费用包含在投标报价中。</w:t>
      </w:r>
    </w:p>
    <w:p w14:paraId="770FE5A0">
      <w:pPr>
        <w:spacing w:line="360" w:lineRule="auto"/>
        <w:ind w:firstLine="480"/>
        <w:rPr>
          <w:rFonts w:hint="eastAsia" w:ascii="宋体" w:hAnsi="宋体" w:cs="宋体"/>
          <w:b/>
          <w:bCs w:val="0"/>
          <w:strike w:val="0"/>
          <w:color w:val="auto"/>
          <w:sz w:val="24"/>
          <w:highlight w:val="none"/>
        </w:rPr>
      </w:pPr>
      <w:r>
        <w:rPr>
          <w:rFonts w:hint="eastAsia" w:ascii="宋体" w:hAnsi="宋体" w:cs="宋体"/>
          <w:b/>
          <w:bCs w:val="0"/>
          <w:strike w:val="0"/>
          <w:color w:val="auto"/>
          <w:sz w:val="24"/>
          <w:highlight w:val="none"/>
        </w:rPr>
        <w:t>1</w:t>
      </w:r>
      <w:r>
        <w:rPr>
          <w:rFonts w:hint="eastAsia" w:ascii="宋体" w:hAnsi="宋体" w:cs="宋体"/>
          <w:b/>
          <w:bCs w:val="0"/>
          <w:strike w:val="0"/>
          <w:color w:val="auto"/>
          <w:sz w:val="24"/>
          <w:highlight w:val="none"/>
          <w:lang w:val="en-US" w:eastAsia="zh-CN"/>
        </w:rPr>
        <w:t>0</w:t>
      </w:r>
      <w:r>
        <w:rPr>
          <w:rFonts w:hint="eastAsia" w:ascii="宋体" w:hAnsi="宋体" w:cs="宋体"/>
          <w:b/>
          <w:bCs w:val="0"/>
          <w:strike w:val="0"/>
          <w:color w:val="auto"/>
          <w:sz w:val="24"/>
          <w:highlight w:val="none"/>
        </w:rPr>
        <w:t>、中标人承诺在承包期结束后在新服务单位人员正式到岗前，中标人仍应按本招标文件约定的内容完成相关工作，旧合同到期之日至新合同签订之日期间，如仍由原服务单位完成相关安全服务工作的，产生的费用由中标单位支付给原服务单位。中标后产生的费用按照本次中标价支付给原服务单位。中标前产生的安全服务费用按照去年合同价与今年中标价相比较的低价向原服务单位支付</w:t>
      </w:r>
    </w:p>
    <w:p w14:paraId="24D41CB1">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四、服务期限和服务质量要求</w:t>
      </w:r>
    </w:p>
    <w:p w14:paraId="41B6EDF3">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1、服务期限：</w:t>
      </w:r>
      <w:r>
        <w:rPr>
          <w:rFonts w:hint="eastAsia" w:ascii="宋体" w:hAnsi="宋体" w:cs="宋体"/>
          <w:b w:val="0"/>
          <w:bCs w:val="0"/>
          <w:color w:val="auto"/>
          <w:sz w:val="24"/>
          <w:highlight w:val="none"/>
          <w:lang w:val="en-US" w:eastAsia="zh-CN"/>
        </w:rPr>
        <w:t>12个月（以实际时间为准）</w:t>
      </w:r>
      <w:r>
        <w:rPr>
          <w:rFonts w:hint="eastAsia" w:ascii="宋体" w:hAnsi="宋体" w:cs="宋体"/>
          <w:b w:val="0"/>
          <w:bCs w:val="0"/>
          <w:color w:val="auto"/>
          <w:sz w:val="24"/>
          <w:highlight w:val="none"/>
        </w:rPr>
        <w:t>。</w:t>
      </w:r>
      <w:r>
        <w:rPr>
          <w:rFonts w:hint="eastAsia" w:ascii="宋体" w:hAnsi="宋体" w:cs="宋体"/>
          <w:color w:val="auto"/>
          <w:sz w:val="24"/>
          <w:highlight w:val="none"/>
          <w:lang w:val="zh-CN"/>
        </w:rPr>
        <w:t>若在合同期内乙方有不配合采购方工作等严重违约行为或连续2个月</w:t>
      </w:r>
      <w:r>
        <w:rPr>
          <w:rFonts w:hint="eastAsia" w:ascii="宋体" w:hAnsi="宋体" w:cs="宋体"/>
          <w:color w:val="auto"/>
          <w:sz w:val="24"/>
          <w:highlight w:val="none"/>
          <w:lang w:val="en-US" w:eastAsia="zh-CN"/>
        </w:rPr>
        <w:t>考核</w:t>
      </w:r>
      <w:r>
        <w:rPr>
          <w:rFonts w:hint="eastAsia" w:ascii="宋体" w:hAnsi="宋体" w:cs="宋体"/>
          <w:color w:val="auto"/>
          <w:sz w:val="24"/>
          <w:highlight w:val="none"/>
          <w:lang w:val="zh-CN"/>
        </w:rPr>
        <w:t>未达到80分的，采购方有权提前终止合同，由此造成的一切后果和损失由中标方承担。</w:t>
      </w:r>
    </w:p>
    <w:p w14:paraId="67C3E1A2">
      <w:pPr>
        <w:spacing w:line="360" w:lineRule="auto"/>
        <w:ind w:firstLine="470"/>
        <w:rPr>
          <w:rFonts w:hint="eastAsia" w:ascii="宋体" w:hAnsi="宋体" w:cs="宋体"/>
          <w:bCs/>
          <w:color w:val="auto"/>
          <w:sz w:val="24"/>
          <w:highlight w:val="none"/>
        </w:rPr>
      </w:pPr>
      <w:r>
        <w:rPr>
          <w:rFonts w:hint="eastAsia" w:ascii="宋体" w:hAnsi="宋体" w:cs="宋体"/>
          <w:bCs/>
          <w:color w:val="auto"/>
          <w:sz w:val="24"/>
          <w:highlight w:val="none"/>
        </w:rPr>
        <w:t>2、服务期限内的服务质量要求：服务期内中标单位的队伍自身出现问题，如缺岗、离岗、工作期间与其他出现纠纷等影响招标单位声誉的所有事件，中标单位的主要负责人应立即响应，30分钟内到达现场，1个小时内解决问题，现场解决不了的应采取应急措施，应立即阻止事态的发展，确保无任何影响采购人的事件发生。</w:t>
      </w:r>
    </w:p>
    <w:p w14:paraId="4464061D">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五、其他要求</w:t>
      </w:r>
    </w:p>
    <w:p w14:paraId="11098A9B">
      <w:pPr>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1、中标单位须在对采购人单位现场及周边环境进行现场踏勘，在全面了解的情况下编制科学合理、切实可行的组织实施计划以及具体的保障措施、工作程序及相应的管理及考核制度。</w:t>
      </w:r>
    </w:p>
    <w:p w14:paraId="3F14855D">
      <w:pPr>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2、中标单位及其指派的防人员须遵守相关保密法规。</w:t>
      </w:r>
    </w:p>
    <w:p w14:paraId="43C0E100">
      <w:pPr>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3、中标单位须无条件撤换不合格（不称职）的人员。</w:t>
      </w:r>
    </w:p>
    <w:p w14:paraId="3C6E46B4">
      <w:pPr>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4、中标单位须制定相关的消防应急预案、重大安全事故应急预案、自然灾害应急预案、突发事件应急预案等应急措施。</w:t>
      </w:r>
    </w:p>
    <w:p w14:paraId="012EB0F3">
      <w:pPr>
        <w:adjustRightInd/>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5、拟指派人员必须为供应商的聘用人员，并且与供应商签订有正式的劳动合同，并提供劳动合同复印件交采购人。</w:t>
      </w:r>
    </w:p>
    <w:p w14:paraId="7867CF16">
      <w:pPr>
        <w:adjustRightInd/>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6、人员薪酬标准按相关规定执行，费用包括：人员工资费用（含法定节假日加班</w:t>
      </w:r>
      <w:r>
        <w:rPr>
          <w:rFonts w:hint="eastAsia" w:ascii="宋体" w:hAnsi="宋体" w:cs="宋体"/>
          <w:color w:val="auto"/>
          <w:sz w:val="24"/>
          <w:highlight w:val="none"/>
        </w:rPr>
        <w:t>费等）、五险一金、工伤意外等保险费用、队服等装备费用；管理费用由供应商根据企业自身实力，核算所需的成本及合理的利润，充分考虑合同期间的市场风险、人员增减、政策性调整及不可预见因素，并结合招标需求合理填报投标总价。</w:t>
      </w:r>
    </w:p>
    <w:p w14:paraId="008BEEB0">
      <w:pPr>
        <w:adjustRightInd/>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7、人员每月工资发放表由采购人审核，供应商需严格按照此表发放人员工资薪酬，不得苛扣工资，不得弄虚作假。</w:t>
      </w:r>
    </w:p>
    <w:p w14:paraId="6B07AD84">
      <w:pPr>
        <w:adjustRightInd/>
        <w:spacing w:line="360" w:lineRule="auto"/>
        <w:ind w:firstLine="470"/>
        <w:rPr>
          <w:rFonts w:hint="eastAsia" w:ascii="宋体" w:hAnsi="宋体" w:cs="宋体"/>
          <w:color w:val="auto"/>
          <w:sz w:val="24"/>
          <w:highlight w:val="none"/>
        </w:rPr>
      </w:pPr>
      <w:r>
        <w:rPr>
          <w:rFonts w:hint="eastAsia" w:ascii="宋体" w:hAnsi="宋体" w:cs="宋体"/>
          <w:color w:val="auto"/>
          <w:sz w:val="24"/>
          <w:highlight w:val="none"/>
        </w:rPr>
        <w:t>8、采购人不提供住宿用房。</w:t>
      </w:r>
    </w:p>
    <w:p w14:paraId="33A2CCC4">
      <w:pPr>
        <w:pStyle w:val="23"/>
        <w:adjustRightInd/>
        <w:rPr>
          <w:rFonts w:hint="eastAsia" w:hAnsi="宋体" w:cs="宋体"/>
          <w:color w:val="auto"/>
          <w:szCs w:val="24"/>
          <w:highlight w:val="none"/>
          <w:lang w:val="en-US"/>
        </w:rPr>
      </w:pPr>
      <w:r>
        <w:rPr>
          <w:rFonts w:hint="eastAsia" w:hAnsi="宋体" w:cs="宋体"/>
          <w:color w:val="auto"/>
          <w:szCs w:val="24"/>
          <w:highlight w:val="none"/>
          <w:lang w:val="en-US"/>
        </w:rPr>
        <w:t xml:space="preserve">    9、</w:t>
      </w:r>
      <w:r>
        <w:rPr>
          <w:rFonts w:hint="eastAsia" w:hAnsi="宋体" w:cs="宋体"/>
          <w:bCs/>
          <w:color w:val="auto"/>
          <w:szCs w:val="24"/>
          <w:highlight w:val="none"/>
          <w:lang w:val="en-US"/>
        </w:rPr>
        <w:t>根据应急响应实时要求等进行无条件响应执行。</w:t>
      </w:r>
    </w:p>
    <w:p w14:paraId="4F840918">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六、培训要求</w:t>
      </w:r>
    </w:p>
    <w:p w14:paraId="7B2E8BB4">
      <w:pPr>
        <w:adjustRightInd/>
        <w:spacing w:line="360" w:lineRule="auto"/>
        <w:ind w:left="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1、中标单位需进行完善的人员培训后方可上岗，有详细的培训计划、内容、方案、时间节点等。</w:t>
      </w:r>
    </w:p>
    <w:p w14:paraId="512C74DD">
      <w:pPr>
        <w:adjustRightInd/>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2、每月组织安全培训和应急演练，不断提高专职巡防人员素质和处理突发安全事故的能力。</w:t>
      </w:r>
    </w:p>
    <w:p w14:paraId="567E998D">
      <w:pPr>
        <w:adjustRightInd/>
        <w:ind w:firstLine="480" w:firstLineChars="200"/>
        <w:rPr>
          <w:rFonts w:hint="eastAsia" w:ascii="宋体" w:hAnsi="宋体" w:cs="宋体"/>
          <w:bCs/>
          <w:color w:val="auto"/>
          <w:sz w:val="24"/>
          <w:szCs w:val="24"/>
          <w:highlight w:val="none"/>
          <w:lang w:val="en-US"/>
        </w:rPr>
      </w:pPr>
      <w:r>
        <w:rPr>
          <w:rFonts w:hint="eastAsia" w:ascii="宋体" w:hAnsi="宋体" w:cs="宋体"/>
          <w:bCs/>
          <w:color w:val="auto"/>
          <w:sz w:val="24"/>
          <w:szCs w:val="24"/>
          <w:highlight w:val="none"/>
          <w:lang w:val="en-US"/>
        </w:rPr>
        <w:t>3、根据采购单位要求进行相关职业培训等。</w:t>
      </w:r>
    </w:p>
    <w:p w14:paraId="3F29E319">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七、报价要求</w:t>
      </w:r>
    </w:p>
    <w:p w14:paraId="43447086">
      <w:pPr>
        <w:adjustRightInd/>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1、投标人应考虑企业自身实力、经验及项目实施过程中的各种因素，根据采购要求，详细说明所能提供的各项具体服务内容，自主确定报价，并按服务的内容分别独立报价并提供报价组成与成本分析。</w:t>
      </w:r>
    </w:p>
    <w:p w14:paraId="187B35B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的报价应包括为完成本项目服务可能发生的全部费用及投标人的利润和应交纳的税金等（包括工资、人员福利津贴、交通工具费用、各种社会保险、人员食宿与交通、办公费、管理费、后勤保障政策性文件规定、招标代理费、有关部门的验收费及合同包含的所有风险、责任、税费、合理利润、提供交通工具和装备等各项全部费用）。投标人对合同内容的费用、质量、安全、文明服务等实行全面承包。</w:t>
      </w:r>
    </w:p>
    <w:p w14:paraId="526EE22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服务人员综合费用应包含服务人员管理费、装备费（最终所有权归采购方）、四季服装费、社会保障费、工资奖金、住宿费、加班费、高温补贴、伙食补贴、各类社会保险、以及国家法律法规规定的劳动者福利待遇、企业税金利润等所有费用。为保证服务人员的稳定性，实际发放给服务人员个人的工资、奖金、福利、补贴、各类社会保险等。中标单位需按照采购人的需求制定服务人员的考核办法，以及加班费发放标准，具体标准参照采购人现有的编外人员管理办法。</w:t>
      </w:r>
    </w:p>
    <w:p w14:paraId="5A40333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4、根据浙江省与杭州市相关文件规定，并结合本项目具体情况，投标人为服务人员缴纳基本社会保险，并承担企业承担部分（基本养老保险、基本医疗保险、失业保险、工伤保险、生育保险）。</w:t>
      </w:r>
    </w:p>
    <w:p w14:paraId="36F82E8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5、中标单位须按相关规定给服务人员发放高温补贴、购买人身意外险等。</w:t>
      </w:r>
    </w:p>
    <w:p w14:paraId="453EB85D">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八、商务要求表</w:t>
      </w:r>
    </w:p>
    <w:tbl>
      <w:tblPr>
        <w:tblStyle w:val="6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78"/>
        <w:gridCol w:w="7117"/>
      </w:tblGrid>
      <w:tr w14:paraId="047D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50" w:hRule="atLeast"/>
          <w:jc w:val="center"/>
        </w:trPr>
        <w:tc>
          <w:tcPr>
            <w:tcW w:w="811" w:type="pct"/>
            <w:tcBorders>
              <w:top w:val="single" w:color="auto" w:sz="4" w:space="0"/>
              <w:left w:val="single" w:color="auto" w:sz="4" w:space="0"/>
              <w:bottom w:val="single" w:color="auto" w:sz="4" w:space="0"/>
              <w:right w:val="single" w:color="auto" w:sz="4" w:space="0"/>
            </w:tcBorders>
            <w:vAlign w:val="center"/>
          </w:tcPr>
          <w:p w14:paraId="7EE2D07D">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4189" w:type="pct"/>
            <w:tcBorders>
              <w:top w:val="single" w:color="auto" w:sz="4" w:space="0"/>
              <w:left w:val="single" w:color="auto" w:sz="4" w:space="0"/>
              <w:bottom w:val="single" w:color="auto" w:sz="4" w:space="0"/>
              <w:right w:val="single" w:color="auto" w:sz="4" w:space="0"/>
            </w:tcBorders>
            <w:vAlign w:val="center"/>
          </w:tcPr>
          <w:p w14:paraId="5681C4BE">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本项目投标限价为：</w:t>
            </w:r>
            <w:r>
              <w:rPr>
                <w:rFonts w:hint="eastAsia" w:ascii="宋体" w:hAnsi="宋体" w:cs="宋体"/>
                <w:color w:val="auto"/>
                <w:sz w:val="24"/>
                <w:highlight w:val="none"/>
                <w:lang w:val="en-US" w:eastAsia="zh-CN"/>
              </w:rPr>
              <w:t>198</w:t>
            </w:r>
            <w:r>
              <w:rPr>
                <w:rFonts w:hint="eastAsia" w:ascii="宋体" w:hAnsi="宋体" w:cs="宋体"/>
                <w:color w:val="auto"/>
                <w:sz w:val="24"/>
                <w:highlight w:val="none"/>
              </w:rPr>
              <w:t>万元人民币，超出此限价的投标报价无效。人员工资、福利待遇及社会保障费用不得低于杭州市政府及相关行业主管部门最新文件规定。供应商须自行考虑项目服务期内相关政策的调整，中标后总价不作调整。</w:t>
            </w:r>
          </w:p>
        </w:tc>
      </w:tr>
      <w:tr w14:paraId="06B5D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8" w:hRule="atLeast"/>
          <w:jc w:val="center"/>
        </w:trPr>
        <w:tc>
          <w:tcPr>
            <w:tcW w:w="811" w:type="pct"/>
            <w:tcBorders>
              <w:top w:val="single" w:color="auto" w:sz="4" w:space="0"/>
              <w:left w:val="single" w:color="auto" w:sz="4" w:space="0"/>
              <w:bottom w:val="single" w:color="auto" w:sz="4" w:space="0"/>
              <w:right w:val="single" w:color="auto" w:sz="4" w:space="0"/>
            </w:tcBorders>
            <w:vAlign w:val="center"/>
          </w:tcPr>
          <w:p w14:paraId="206A8380">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服务期</w:t>
            </w:r>
          </w:p>
        </w:tc>
        <w:tc>
          <w:tcPr>
            <w:tcW w:w="4189" w:type="pct"/>
            <w:tcBorders>
              <w:top w:val="single" w:color="auto" w:sz="4" w:space="0"/>
              <w:left w:val="single" w:color="auto" w:sz="4" w:space="0"/>
              <w:bottom w:val="single" w:color="auto" w:sz="4" w:space="0"/>
              <w:right w:val="single" w:color="auto" w:sz="4" w:space="0"/>
            </w:tcBorders>
            <w:vAlign w:val="center"/>
          </w:tcPr>
          <w:p w14:paraId="0C8E4A64">
            <w:pPr>
              <w:spacing w:line="480" w:lineRule="exact"/>
              <w:rPr>
                <w:rFonts w:hint="eastAsia" w:ascii="宋体" w:hAnsi="宋体" w:cs="宋体"/>
                <w:color w:val="auto"/>
                <w:sz w:val="24"/>
                <w:highlight w:val="none"/>
              </w:rPr>
            </w:pPr>
            <w:r>
              <w:rPr>
                <w:rFonts w:hint="eastAsia" w:ascii="宋体" w:hAnsi="宋体" w:cs="宋体"/>
                <w:b w:val="0"/>
                <w:bCs w:val="0"/>
                <w:color w:val="auto"/>
                <w:sz w:val="24"/>
                <w:highlight w:val="none"/>
                <w:lang w:val="en-US" w:eastAsia="zh-CN"/>
              </w:rPr>
              <w:t>12个月（以实际时间为准）</w:t>
            </w:r>
            <w:r>
              <w:rPr>
                <w:rFonts w:hint="eastAsia" w:ascii="宋体" w:hAnsi="宋体" w:cs="宋体"/>
                <w:b w:val="0"/>
                <w:bCs w:val="0"/>
                <w:color w:val="auto"/>
                <w:sz w:val="24"/>
                <w:highlight w:val="none"/>
                <w:lang w:val="en-US" w:eastAsia="zh-CN"/>
              </w:rPr>
              <w:t>。</w:t>
            </w:r>
            <w:r>
              <w:rPr>
                <w:rFonts w:hint="eastAsia" w:ascii="宋体" w:hAnsi="宋体" w:cs="宋体"/>
                <w:color w:val="auto"/>
                <w:sz w:val="24"/>
                <w:highlight w:val="none"/>
              </w:rPr>
              <w:t>中标单位没有按合同规定服务，采购人有权终止合同，另行招标采购。</w:t>
            </w:r>
          </w:p>
        </w:tc>
      </w:tr>
      <w:tr w14:paraId="79FC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0" w:hRule="atLeast"/>
          <w:jc w:val="center"/>
        </w:trPr>
        <w:tc>
          <w:tcPr>
            <w:tcW w:w="811" w:type="pct"/>
            <w:tcBorders>
              <w:top w:val="single" w:color="auto" w:sz="4" w:space="0"/>
              <w:left w:val="single" w:color="auto" w:sz="4" w:space="0"/>
              <w:bottom w:val="single" w:color="auto" w:sz="4" w:space="0"/>
              <w:right w:val="single" w:color="auto" w:sz="4" w:space="0"/>
            </w:tcBorders>
            <w:vAlign w:val="center"/>
          </w:tcPr>
          <w:p w14:paraId="7629FD33">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4189" w:type="pct"/>
            <w:tcBorders>
              <w:top w:val="single" w:color="auto" w:sz="4" w:space="0"/>
              <w:left w:val="single" w:color="auto" w:sz="4" w:space="0"/>
              <w:bottom w:val="single" w:color="auto" w:sz="4" w:space="0"/>
              <w:right w:val="single" w:color="auto" w:sz="4" w:space="0"/>
            </w:tcBorders>
            <w:vAlign w:val="center"/>
          </w:tcPr>
          <w:p w14:paraId="24C2D15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1、合同签订且</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提供发票后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个工作日内支付合同金额20%的预付款。</w:t>
            </w:r>
          </w:p>
          <w:p w14:paraId="52E0D1DA">
            <w:pPr>
              <w:spacing w:line="480" w:lineRule="exact"/>
              <w:rPr>
                <w:rFonts w:hint="eastAsia" w:ascii="宋体" w:hAnsi="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剩余80%服务费每半年支付一次</w:t>
            </w:r>
            <w:r>
              <w:rPr>
                <w:rFonts w:hint="eastAsia" w:ascii="宋体" w:hAnsi="宋体" w:eastAsia="宋体" w:cs="宋体"/>
                <w:color w:val="auto"/>
                <w:sz w:val="24"/>
                <w:szCs w:val="24"/>
                <w:highlight w:val="none"/>
              </w:rPr>
              <w:t>。付款前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应当提供相应的增值税发票，否则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有权拒付。</w:t>
            </w:r>
          </w:p>
        </w:tc>
      </w:tr>
      <w:tr w14:paraId="2BF82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811" w:type="pct"/>
            <w:tcBorders>
              <w:top w:val="single" w:color="auto" w:sz="4" w:space="0"/>
              <w:left w:val="single" w:color="auto" w:sz="4" w:space="0"/>
              <w:bottom w:val="single" w:color="auto" w:sz="4" w:space="0"/>
              <w:right w:val="single" w:color="auto" w:sz="4" w:space="0"/>
            </w:tcBorders>
            <w:vAlign w:val="center"/>
          </w:tcPr>
          <w:p w14:paraId="7ED1B947">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其他约定</w:t>
            </w:r>
          </w:p>
        </w:tc>
        <w:tc>
          <w:tcPr>
            <w:tcW w:w="4189" w:type="pct"/>
            <w:tcBorders>
              <w:top w:val="single" w:color="auto" w:sz="4" w:space="0"/>
              <w:left w:val="single" w:color="auto" w:sz="4" w:space="0"/>
              <w:bottom w:val="single" w:color="auto" w:sz="4" w:space="0"/>
              <w:right w:val="single" w:color="auto" w:sz="4" w:space="0"/>
            </w:tcBorders>
            <w:vAlign w:val="center"/>
          </w:tcPr>
          <w:p w14:paraId="14C9429D">
            <w:pPr>
              <w:spacing w:line="48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1、如因项目采购过程延误，导致中标供应商实际服务期限未达采购需求期限，不足部分由采购人另行委托原供应商实施。费用根据中标价格和服务天数结算，由中标供应商代为支付。</w:t>
            </w:r>
          </w:p>
          <w:p w14:paraId="238F8C4E">
            <w:pPr>
              <w:spacing w:line="48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项目实施过程中发生的死亡、人身伤害、财产损失、损害以及任何其它损失、损害和引起的费用和开支，由供应商承担全部责任。</w:t>
            </w:r>
          </w:p>
        </w:tc>
      </w:tr>
    </w:tbl>
    <w:p w14:paraId="5892133E">
      <w:pPr>
        <w:pStyle w:val="4"/>
        <w:spacing w:line="24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九、日常监督考核内容</w:t>
      </w:r>
    </w:p>
    <w:p w14:paraId="0D0660E4">
      <w:pPr>
        <w:adjustRightInd/>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入驻人员应当政治素质好、工作积极、热爱巡防队工作。人员要求为男性。人员进驻采购人指点地点提供服务后，必须服从采购人的安排和管理，严格遵守采购人有关规章制度并接受采购人领导和员工的监督，遵纪守法、着装整洁、礼貌待客、认真负责。</w:t>
      </w:r>
    </w:p>
    <w:p w14:paraId="3C876FF6">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（一）人员仪容仪表（10分）</w:t>
      </w:r>
    </w:p>
    <w:p w14:paraId="0EB9DCE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sz w:val="24"/>
          <w:highlight w:val="none"/>
        </w:rPr>
        <w:t>1、</w:t>
      </w:r>
      <w:r>
        <w:rPr>
          <w:rFonts w:hint="eastAsia" w:ascii="宋体" w:hAnsi="宋体" w:cs="宋体"/>
          <w:bCs/>
          <w:color w:val="auto"/>
          <w:kern w:val="0"/>
          <w:sz w:val="24"/>
          <w:highlight w:val="none"/>
        </w:rPr>
        <w:t>上岗人员能自觉遵守各项规章制度，服从上级的指令，严守工作岗位，纪律严明；</w:t>
      </w:r>
    </w:p>
    <w:p w14:paraId="77095DC7">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sz w:val="24"/>
          <w:highlight w:val="none"/>
        </w:rPr>
        <w:t>上岗人员仪表整洁，统一着装，挂牌上岗，规范管理，礼貌待人；</w:t>
      </w:r>
      <w:r>
        <w:rPr>
          <w:rFonts w:hint="eastAsia" w:ascii="宋体" w:hAnsi="宋体" w:cs="宋体"/>
          <w:bCs/>
          <w:color w:val="auto"/>
          <w:kern w:val="0"/>
          <w:sz w:val="24"/>
          <w:highlight w:val="none"/>
        </w:rPr>
        <w:t xml:space="preserve"> </w:t>
      </w:r>
    </w:p>
    <w:p w14:paraId="5356F0D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（二）工作时间（10分）</w:t>
      </w:r>
    </w:p>
    <w:p w14:paraId="077F8236">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1、上岗人员</w:t>
      </w:r>
      <w:r>
        <w:rPr>
          <w:rFonts w:hint="eastAsia" w:ascii="宋体" w:hAnsi="宋体" w:cs="宋体"/>
          <w:bCs/>
          <w:color w:val="auto"/>
          <w:sz w:val="24"/>
          <w:highlight w:val="none"/>
        </w:rPr>
        <w:t>24小时2班2运转，早班（8:00-20:00）、晚班（20:00-8:00）。</w:t>
      </w:r>
    </w:p>
    <w:p w14:paraId="6B1DC5B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2、到岗率100%。</w:t>
      </w:r>
    </w:p>
    <w:p w14:paraId="4B5DAB7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（三）工作状态（30分）</w:t>
      </w:r>
    </w:p>
    <w:p w14:paraId="4289136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kern w:val="0"/>
          <w:sz w:val="24"/>
          <w:highlight w:val="none"/>
        </w:rPr>
        <w:t>1、</w:t>
      </w:r>
      <w:r>
        <w:rPr>
          <w:rFonts w:hint="eastAsia" w:ascii="宋体" w:hAnsi="宋体" w:cs="宋体"/>
          <w:bCs/>
          <w:color w:val="auto"/>
          <w:sz w:val="24"/>
          <w:highlight w:val="none"/>
        </w:rPr>
        <w:t>管理要坚持原则、工作慎密严谨；服务要以人为本、主动热情；处理问题要高度警惕、有理有节；针对不同服务对象，区别对待，灵活操作，妥善处理；</w:t>
      </w:r>
    </w:p>
    <w:p w14:paraId="3A96692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2、微笑服务，礼貌待客，热情友好，不卑不亢；</w:t>
      </w:r>
    </w:p>
    <w:p w14:paraId="404FCAE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kern w:val="0"/>
          <w:sz w:val="24"/>
          <w:highlight w:val="none"/>
        </w:rPr>
        <w:t>3、</w:t>
      </w:r>
      <w:r>
        <w:rPr>
          <w:rFonts w:hint="eastAsia" w:ascii="宋体" w:hAnsi="宋体" w:cs="宋体"/>
          <w:bCs/>
          <w:color w:val="auto"/>
          <w:sz w:val="24"/>
          <w:highlight w:val="none"/>
        </w:rPr>
        <w:t>依法办事，文明值勤，有求必应，有警必出；</w:t>
      </w:r>
    </w:p>
    <w:p w14:paraId="607637C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4、在岗期间精神饱满，工作状态佳，遵从社会生活公德和职业道德，注重工作中的礼节礼貌；</w:t>
      </w:r>
    </w:p>
    <w:p w14:paraId="224952D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5、结合工作的实际变化提出合理建议并在实践中不断完善和有效提升安全保卫整体实力；</w:t>
      </w:r>
    </w:p>
    <w:p w14:paraId="0B8B485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6、能按照上级领导管理规定处理自身权限范围内的日常事宜，工作积极、主动，能随时接受上级和管理部门的工作检查、监督；</w:t>
      </w:r>
    </w:p>
    <w:p w14:paraId="19135C0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sz w:val="24"/>
          <w:highlight w:val="none"/>
        </w:rPr>
        <w:t>（四）</w:t>
      </w:r>
      <w:r>
        <w:rPr>
          <w:rFonts w:hint="eastAsia" w:ascii="宋体" w:hAnsi="宋体" w:cs="宋体"/>
          <w:bCs/>
          <w:color w:val="auto"/>
          <w:kern w:val="0"/>
          <w:sz w:val="24"/>
          <w:highlight w:val="none"/>
        </w:rPr>
        <w:t>处置效率(40分)</w:t>
      </w:r>
    </w:p>
    <w:p w14:paraId="34512EA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sz w:val="24"/>
          <w:highlight w:val="none"/>
        </w:rPr>
        <w:t>1、</w:t>
      </w:r>
      <w:r>
        <w:rPr>
          <w:rFonts w:hint="eastAsia" w:ascii="宋体" w:hAnsi="宋体" w:cs="宋体"/>
          <w:bCs/>
          <w:color w:val="auto"/>
          <w:kern w:val="0"/>
          <w:sz w:val="24"/>
          <w:highlight w:val="none"/>
        </w:rPr>
        <w:t>熟悉工作流程，并严格按照工作流程进行操作。</w:t>
      </w:r>
    </w:p>
    <w:p w14:paraId="2C56CE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2、熟悉各自的岗位职责，有较强的专业知识和业务水平；</w:t>
      </w:r>
    </w:p>
    <w:p w14:paraId="53862E06">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3、熟悉并能使用各类安全消防设施和各种灭火器材。</w:t>
      </w:r>
    </w:p>
    <w:p w14:paraId="13212A3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w:t>
      </w:r>
      <w:r>
        <w:rPr>
          <w:rFonts w:hint="eastAsia" w:ascii="宋体" w:hAnsi="宋体" w:cs="宋体"/>
          <w:bCs/>
          <w:color w:val="auto"/>
          <w:sz w:val="24"/>
          <w:highlight w:val="none"/>
        </w:rPr>
        <w:t>制订切实可行的管理整体方案和应急预案，突发事件反应迅速，预案处置有力，</w:t>
      </w:r>
      <w:r>
        <w:rPr>
          <w:rFonts w:hint="eastAsia" w:ascii="宋体" w:hAnsi="宋体" w:cs="宋体"/>
          <w:bCs/>
          <w:color w:val="auto"/>
          <w:kern w:val="0"/>
          <w:sz w:val="24"/>
          <w:highlight w:val="none"/>
        </w:rPr>
        <w:t>管理区域秩序井然；</w:t>
      </w:r>
    </w:p>
    <w:p w14:paraId="559ADB86">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5、发现异常情况，应进行检查处理，做好处理情况记录，遇重大情况及时汇报；</w:t>
      </w:r>
    </w:p>
    <w:p w14:paraId="313A192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6、高度重视和正确投诉，及时做好意见的反馈和跟踪；</w:t>
      </w:r>
    </w:p>
    <w:p w14:paraId="004AA667">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7、</w:t>
      </w:r>
      <w:r>
        <w:rPr>
          <w:rFonts w:hint="eastAsia" w:ascii="宋体" w:hAnsi="宋体" w:cs="宋体"/>
          <w:bCs/>
          <w:color w:val="auto"/>
          <w:sz w:val="24"/>
          <w:highlight w:val="none"/>
        </w:rPr>
        <w:t>全年无责任事故和责任案件发生。</w:t>
      </w:r>
    </w:p>
    <w:p w14:paraId="15D1EDFC">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8、全年无媒体曝光、领导批评、市民投诉发生。</w:t>
      </w:r>
    </w:p>
    <w:p w14:paraId="70033BCE">
      <w:pPr>
        <w:spacing w:line="360" w:lineRule="auto"/>
        <w:ind w:firstLine="460" w:firstLineChars="200"/>
        <w:rPr>
          <w:rFonts w:hint="eastAsia" w:ascii="宋体" w:hAnsi="宋体" w:cs="宋体"/>
          <w:bCs/>
          <w:color w:val="auto"/>
          <w:spacing w:val="-5"/>
          <w:sz w:val="24"/>
          <w:highlight w:val="none"/>
          <w:shd w:val="clear" w:color="auto" w:fill="FFFFFF"/>
        </w:rPr>
      </w:pPr>
      <w:r>
        <w:rPr>
          <w:rFonts w:hint="eastAsia" w:ascii="宋体" w:hAnsi="宋体" w:cs="宋体"/>
          <w:bCs/>
          <w:color w:val="auto"/>
          <w:spacing w:val="-5"/>
          <w:sz w:val="24"/>
          <w:highlight w:val="none"/>
          <w:shd w:val="clear" w:color="auto" w:fill="FFFFFF"/>
        </w:rPr>
        <w:t>（五）满意程度（10分）</w:t>
      </w:r>
    </w:p>
    <w:p w14:paraId="6248FDD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采用调查表的方式征求意见，对服务</w:t>
      </w:r>
      <w:r>
        <w:rPr>
          <w:rFonts w:hint="eastAsia" w:ascii="宋体" w:hAnsi="宋体" w:cs="宋体"/>
          <w:bCs/>
          <w:color w:val="auto"/>
          <w:kern w:val="0"/>
          <w:sz w:val="24"/>
          <w:highlight w:val="none"/>
        </w:rPr>
        <w:t>工作</w:t>
      </w:r>
      <w:r>
        <w:rPr>
          <w:rFonts w:hint="eastAsia" w:ascii="宋体" w:hAnsi="宋体" w:cs="宋体"/>
          <w:bCs/>
          <w:color w:val="auto"/>
          <w:sz w:val="24"/>
          <w:highlight w:val="none"/>
        </w:rPr>
        <w:t>的满意率在90%（含）以上，得10分，对服务</w:t>
      </w:r>
      <w:r>
        <w:rPr>
          <w:rFonts w:hint="eastAsia" w:ascii="宋体" w:hAnsi="宋体" w:cs="宋体"/>
          <w:bCs/>
          <w:color w:val="auto"/>
          <w:kern w:val="0"/>
          <w:sz w:val="24"/>
          <w:highlight w:val="none"/>
        </w:rPr>
        <w:t>工作</w:t>
      </w:r>
      <w:r>
        <w:rPr>
          <w:rFonts w:hint="eastAsia" w:ascii="宋体" w:hAnsi="宋体" w:cs="宋体"/>
          <w:bCs/>
          <w:color w:val="auto"/>
          <w:sz w:val="24"/>
          <w:highlight w:val="none"/>
        </w:rPr>
        <w:t>的满意率在75（含））-90%，得5分。对服务</w:t>
      </w:r>
      <w:r>
        <w:rPr>
          <w:rFonts w:hint="eastAsia" w:ascii="宋体" w:hAnsi="宋体" w:cs="宋体"/>
          <w:bCs/>
          <w:color w:val="auto"/>
          <w:kern w:val="0"/>
          <w:sz w:val="24"/>
          <w:highlight w:val="none"/>
        </w:rPr>
        <w:t>工作</w:t>
      </w:r>
      <w:r>
        <w:rPr>
          <w:rFonts w:hint="eastAsia" w:ascii="宋体" w:hAnsi="宋体" w:cs="宋体"/>
          <w:bCs/>
          <w:color w:val="auto"/>
          <w:sz w:val="24"/>
          <w:highlight w:val="none"/>
        </w:rPr>
        <w:t>的满意率在75%以下，得0分。</w:t>
      </w:r>
    </w:p>
    <w:p w14:paraId="7A471518">
      <w:pPr>
        <w:spacing w:line="360" w:lineRule="auto"/>
        <w:ind w:firstLine="460" w:firstLineChars="200"/>
        <w:rPr>
          <w:rFonts w:hint="eastAsia" w:ascii="宋体" w:hAnsi="宋体" w:cs="宋体"/>
          <w:bCs/>
          <w:color w:val="auto"/>
          <w:spacing w:val="-5"/>
          <w:sz w:val="24"/>
          <w:highlight w:val="none"/>
          <w:shd w:val="clear" w:color="auto" w:fill="FFFFFF"/>
        </w:rPr>
      </w:pPr>
      <w:r>
        <w:rPr>
          <w:rFonts w:hint="eastAsia" w:ascii="宋体" w:hAnsi="宋体" w:cs="宋体"/>
          <w:bCs/>
          <w:color w:val="auto"/>
          <w:spacing w:val="-5"/>
          <w:sz w:val="24"/>
          <w:highlight w:val="none"/>
          <w:shd w:val="clear" w:color="auto" w:fill="FFFFFF"/>
        </w:rPr>
        <w:t>（六）以上考核内容为基础要求，后续将会根据“小脑+手脚”综合治理工作实际开展情况进一步完善和调整修改。</w:t>
      </w:r>
    </w:p>
    <w:p w14:paraId="0946C0D9">
      <w:pPr>
        <w:spacing w:line="360" w:lineRule="auto"/>
        <w:ind w:firstLine="468" w:firstLineChars="200"/>
        <w:rPr>
          <w:rFonts w:hint="eastAsia" w:ascii="宋体" w:hAnsi="宋体" w:cs="宋体"/>
          <w:bCs/>
          <w:color w:val="auto"/>
          <w:spacing w:val="-3"/>
          <w:sz w:val="24"/>
          <w:highlight w:val="none"/>
          <w:shd w:val="clear" w:color="auto" w:fill="FFFFFF"/>
        </w:rPr>
      </w:pPr>
      <w:r>
        <w:rPr>
          <w:rFonts w:hint="eastAsia" w:ascii="宋体" w:hAnsi="宋体" w:cs="宋体"/>
          <w:bCs/>
          <w:color w:val="auto"/>
          <w:spacing w:val="-3"/>
          <w:sz w:val="24"/>
          <w:highlight w:val="none"/>
          <w:shd w:val="clear" w:color="auto" w:fill="FFFFFF"/>
        </w:rPr>
        <w:t>合格标准：综合得分90分及以上为优秀，85—90分为良好，80—85为合格，80分以下为不合格。</w:t>
      </w:r>
    </w:p>
    <w:p w14:paraId="54856C39">
      <w:pPr>
        <w:spacing w:line="360" w:lineRule="auto"/>
        <w:ind w:firstLine="460" w:firstLineChars="200"/>
        <w:rPr>
          <w:rFonts w:hint="eastAsia" w:ascii="宋体" w:hAnsi="宋体" w:cs="宋体"/>
          <w:bCs/>
          <w:color w:val="auto"/>
          <w:spacing w:val="-5"/>
          <w:sz w:val="24"/>
          <w:highlight w:val="none"/>
          <w:shd w:val="clear" w:color="auto" w:fill="FFFFFF"/>
        </w:rPr>
      </w:pPr>
      <w:r>
        <w:rPr>
          <w:rFonts w:hint="eastAsia" w:ascii="宋体" w:hAnsi="宋体" w:cs="宋体"/>
          <w:bCs/>
          <w:color w:val="auto"/>
          <w:spacing w:val="-5"/>
          <w:sz w:val="24"/>
          <w:highlight w:val="none"/>
          <w:shd w:val="clear" w:color="auto" w:fill="FFFFFF"/>
        </w:rPr>
        <w:t>连续2个月未达到80分以上的，采购人可根据实际情况有权终止合同。</w:t>
      </w:r>
    </w:p>
    <w:p w14:paraId="17103FAC">
      <w:pPr>
        <w:pStyle w:val="4"/>
        <w:spacing w:line="240" w:lineRule="auto"/>
        <w:ind w:left="0" w:leftChars="0" w:firstLine="0" w:firstLineChars="0"/>
        <w:rPr>
          <w:rFonts w:hint="eastAsia" w:ascii="宋体" w:hAnsi="宋体" w:eastAsia="宋体" w:cs="宋体"/>
          <w:b/>
          <w:bCs/>
          <w:color w:val="auto"/>
          <w:sz w:val="24"/>
          <w:szCs w:val="24"/>
          <w:highlight w:val="none"/>
        </w:rPr>
      </w:pPr>
      <w:bookmarkStart w:id="27" w:name="_Toc109654398"/>
      <w:r>
        <w:rPr>
          <w:rFonts w:hint="eastAsia" w:ascii="宋体" w:hAnsi="宋体" w:eastAsia="宋体" w:cs="宋体"/>
          <w:b/>
          <w:bCs/>
          <w:color w:val="auto"/>
          <w:sz w:val="24"/>
          <w:szCs w:val="24"/>
          <w:highlight w:val="none"/>
        </w:rPr>
        <w:t>十、合同执行约束</w:t>
      </w:r>
      <w:bookmarkEnd w:id="27"/>
    </w:p>
    <w:p w14:paraId="5C059921">
      <w:pPr>
        <w:spacing w:line="360" w:lineRule="auto"/>
        <w:ind w:firstLine="460" w:firstLineChars="200"/>
        <w:rPr>
          <w:rFonts w:ascii="宋体" w:hAnsi="宋体" w:cs="宋体"/>
          <w:color w:val="auto"/>
          <w:sz w:val="24"/>
          <w:highlight w:val="none"/>
        </w:rPr>
      </w:pPr>
      <w:r>
        <w:rPr>
          <w:rFonts w:hint="eastAsia" w:ascii="宋体" w:hAnsi="宋体" w:cs="宋体"/>
          <w:bCs/>
          <w:color w:val="auto"/>
          <w:spacing w:val="-5"/>
          <w:sz w:val="24"/>
          <w:highlight w:val="none"/>
          <w:shd w:val="clear" w:color="auto" w:fill="FFFFFF"/>
        </w:rPr>
        <w:t>采购人可以不定期组织检查根据考核要求对中标单位服务质量进行考核，中标单位须无条件接受采购人的检查，采购人有权根据考核结果对中标单位进行处罚。具体考核条例在中标后由双方进行商谈确定。</w:t>
      </w:r>
    </w:p>
    <w:p w14:paraId="62AD929C">
      <w:pPr>
        <w:spacing w:line="360" w:lineRule="auto"/>
        <w:jc w:val="center"/>
        <w:outlineLvl w:val="0"/>
        <w:rPr>
          <w:rFonts w:hint="eastAsia" w:ascii="宋体" w:hAnsi="宋体" w:cs="宋体"/>
          <w:b/>
          <w:color w:val="auto"/>
          <w:sz w:val="36"/>
          <w:szCs w:val="36"/>
          <w:highlight w:val="none"/>
        </w:rPr>
      </w:pPr>
    </w:p>
    <w:p w14:paraId="3DD6EED6">
      <w:pPr>
        <w:spacing w:line="360" w:lineRule="auto"/>
        <w:jc w:val="center"/>
        <w:outlineLvl w:val="0"/>
        <w:rPr>
          <w:rFonts w:hint="eastAsia" w:ascii="宋体" w:hAnsi="宋体" w:cs="宋体"/>
          <w:b/>
          <w:color w:val="auto"/>
          <w:sz w:val="36"/>
          <w:szCs w:val="36"/>
          <w:highlight w:val="none"/>
        </w:rPr>
      </w:pPr>
    </w:p>
    <w:p w14:paraId="32A61F9B">
      <w:pPr>
        <w:spacing w:line="360" w:lineRule="auto"/>
        <w:jc w:val="center"/>
        <w:outlineLvl w:val="0"/>
        <w:rPr>
          <w:rFonts w:hint="eastAsia" w:ascii="宋体" w:hAnsi="宋体" w:cs="宋体"/>
          <w:b/>
          <w:color w:val="auto"/>
          <w:sz w:val="36"/>
          <w:szCs w:val="36"/>
          <w:highlight w:val="none"/>
        </w:rPr>
      </w:pPr>
    </w:p>
    <w:p w14:paraId="5249DB84">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4415"/>
      <w:bookmarkEnd w:id="28"/>
      <w:bookmarkStart w:id="29" w:name="_Toc184308070"/>
      <w:bookmarkEnd w:id="29"/>
      <w:bookmarkStart w:id="30" w:name="_Toc184313260"/>
      <w:bookmarkEnd w:id="30"/>
      <w:bookmarkStart w:id="31" w:name="_Toc184308053"/>
      <w:bookmarkEnd w:id="31"/>
      <w:bookmarkStart w:id="32" w:name="_Toc184313276"/>
      <w:bookmarkEnd w:id="32"/>
      <w:bookmarkStart w:id="33" w:name="_Toc184310317"/>
      <w:bookmarkEnd w:id="33"/>
      <w:bookmarkStart w:id="34" w:name="_Toc184314478"/>
      <w:bookmarkEnd w:id="34"/>
      <w:bookmarkStart w:id="35" w:name="_Toc184313255"/>
      <w:bookmarkEnd w:id="35"/>
      <w:bookmarkStart w:id="36" w:name="_Toc184313254"/>
      <w:bookmarkEnd w:id="36"/>
      <w:bookmarkStart w:id="37" w:name="_Toc184312107"/>
      <w:bookmarkEnd w:id="37"/>
      <w:bookmarkStart w:id="38" w:name="_Toc184314410"/>
      <w:bookmarkEnd w:id="38"/>
      <w:bookmarkStart w:id="39" w:name="_Toc184308100"/>
      <w:bookmarkEnd w:id="39"/>
      <w:bookmarkStart w:id="40" w:name="_Toc184310343"/>
      <w:bookmarkEnd w:id="40"/>
      <w:bookmarkStart w:id="41" w:name="_Toc184310334"/>
      <w:bookmarkEnd w:id="41"/>
      <w:bookmarkStart w:id="42" w:name="_Toc184312094"/>
      <w:bookmarkEnd w:id="42"/>
      <w:bookmarkStart w:id="43" w:name="_Toc184312100"/>
      <w:bookmarkEnd w:id="43"/>
      <w:bookmarkStart w:id="44" w:name="_Toc184313261"/>
      <w:bookmarkEnd w:id="44"/>
      <w:bookmarkStart w:id="45" w:name="_Toc184313239"/>
      <w:bookmarkEnd w:id="45"/>
      <w:bookmarkStart w:id="46" w:name="_Toc184313241"/>
      <w:bookmarkEnd w:id="46"/>
      <w:bookmarkStart w:id="47" w:name="_Toc184308058"/>
      <w:bookmarkEnd w:id="47"/>
      <w:bookmarkStart w:id="48" w:name="_Toc184312138"/>
      <w:bookmarkEnd w:id="48"/>
      <w:bookmarkStart w:id="49" w:name="_Toc184314426"/>
      <w:bookmarkEnd w:id="49"/>
      <w:bookmarkStart w:id="50" w:name="_Toc184310313"/>
      <w:bookmarkEnd w:id="50"/>
      <w:bookmarkStart w:id="51" w:name="_Toc184313302"/>
      <w:bookmarkEnd w:id="51"/>
      <w:bookmarkStart w:id="52" w:name="_Toc184312105"/>
      <w:bookmarkEnd w:id="52"/>
      <w:bookmarkStart w:id="53" w:name="_Toc184308097"/>
      <w:bookmarkEnd w:id="53"/>
      <w:bookmarkStart w:id="54" w:name="_Toc184312082"/>
      <w:bookmarkEnd w:id="54"/>
      <w:bookmarkStart w:id="55" w:name="_Toc184310310"/>
      <w:bookmarkEnd w:id="55"/>
      <w:bookmarkStart w:id="56" w:name="_Toc184312125"/>
      <w:bookmarkEnd w:id="56"/>
      <w:bookmarkStart w:id="57" w:name="_Toc184314444"/>
      <w:bookmarkEnd w:id="57"/>
      <w:bookmarkStart w:id="58" w:name="_Toc184314421"/>
      <w:bookmarkEnd w:id="58"/>
      <w:bookmarkStart w:id="59" w:name="_Toc184314462"/>
      <w:bookmarkEnd w:id="59"/>
      <w:bookmarkStart w:id="60" w:name="_Toc184312133"/>
      <w:bookmarkEnd w:id="60"/>
      <w:bookmarkStart w:id="61" w:name="_Toc184314479"/>
      <w:bookmarkEnd w:id="61"/>
      <w:bookmarkStart w:id="62" w:name="_Toc184312068"/>
      <w:bookmarkEnd w:id="62"/>
      <w:bookmarkStart w:id="63" w:name="_Toc184313264"/>
      <w:bookmarkEnd w:id="63"/>
      <w:bookmarkStart w:id="64" w:name="_Toc184313288"/>
      <w:bookmarkEnd w:id="64"/>
      <w:bookmarkStart w:id="65" w:name="_Toc184313298"/>
      <w:bookmarkEnd w:id="65"/>
      <w:bookmarkStart w:id="66" w:name="_Toc184312136"/>
      <w:bookmarkEnd w:id="66"/>
      <w:bookmarkStart w:id="67" w:name="_Toc184312124"/>
      <w:bookmarkEnd w:id="67"/>
      <w:bookmarkStart w:id="68" w:name="_Toc184314429"/>
      <w:bookmarkEnd w:id="68"/>
      <w:bookmarkStart w:id="69" w:name="_Toc184312093"/>
      <w:bookmarkEnd w:id="69"/>
      <w:bookmarkStart w:id="70" w:name="_Toc184312120"/>
      <w:bookmarkEnd w:id="70"/>
      <w:bookmarkStart w:id="71" w:name="_Toc184312106"/>
      <w:bookmarkEnd w:id="71"/>
      <w:bookmarkStart w:id="72" w:name="_Toc184310278"/>
      <w:bookmarkEnd w:id="72"/>
      <w:bookmarkStart w:id="73" w:name="_Toc184308085"/>
      <w:bookmarkEnd w:id="73"/>
      <w:bookmarkStart w:id="74" w:name="_Toc184308104"/>
      <w:bookmarkEnd w:id="74"/>
      <w:bookmarkStart w:id="75" w:name="_Toc184308105"/>
      <w:bookmarkEnd w:id="75"/>
      <w:bookmarkStart w:id="76" w:name="_Toc184314480"/>
      <w:bookmarkEnd w:id="76"/>
      <w:bookmarkStart w:id="77" w:name="_Toc184312118"/>
      <w:bookmarkEnd w:id="77"/>
      <w:bookmarkStart w:id="78" w:name="_Toc184308039"/>
      <w:bookmarkEnd w:id="78"/>
      <w:bookmarkStart w:id="79" w:name="_Toc184310301"/>
      <w:bookmarkEnd w:id="79"/>
      <w:bookmarkStart w:id="80" w:name="_Toc184314453"/>
      <w:bookmarkEnd w:id="80"/>
      <w:bookmarkStart w:id="81" w:name="_Toc184312090"/>
      <w:bookmarkEnd w:id="81"/>
      <w:bookmarkStart w:id="82" w:name="_Toc184310277"/>
      <w:bookmarkEnd w:id="82"/>
      <w:bookmarkStart w:id="83" w:name="_Toc184310315"/>
      <w:bookmarkEnd w:id="83"/>
      <w:bookmarkStart w:id="84" w:name="_Toc184313308"/>
      <w:bookmarkEnd w:id="84"/>
      <w:bookmarkStart w:id="85" w:name="_Toc184312114"/>
      <w:bookmarkEnd w:id="85"/>
      <w:bookmarkStart w:id="86" w:name="_Toc184314448"/>
      <w:bookmarkEnd w:id="86"/>
      <w:bookmarkStart w:id="87" w:name="_Toc184314425"/>
      <w:bookmarkEnd w:id="87"/>
      <w:bookmarkStart w:id="88" w:name="_Toc184314460"/>
      <w:bookmarkEnd w:id="88"/>
      <w:bookmarkStart w:id="89" w:name="_Toc184312131"/>
      <w:bookmarkEnd w:id="89"/>
      <w:bookmarkStart w:id="90" w:name="_Toc184310333"/>
      <w:bookmarkEnd w:id="90"/>
      <w:bookmarkStart w:id="91" w:name="_Toc184312109"/>
      <w:bookmarkEnd w:id="91"/>
      <w:bookmarkStart w:id="92" w:name="_Toc184314424"/>
      <w:bookmarkEnd w:id="92"/>
      <w:bookmarkStart w:id="93" w:name="_Toc184314418"/>
      <w:bookmarkEnd w:id="93"/>
      <w:bookmarkStart w:id="94" w:name="_Toc184312112"/>
      <w:bookmarkEnd w:id="94"/>
      <w:bookmarkStart w:id="95" w:name="_Toc184313289"/>
      <w:bookmarkEnd w:id="95"/>
      <w:bookmarkStart w:id="96" w:name="_Toc184308079"/>
      <w:bookmarkEnd w:id="96"/>
      <w:bookmarkStart w:id="97" w:name="_Toc184314473"/>
      <w:bookmarkEnd w:id="97"/>
      <w:bookmarkStart w:id="98" w:name="_Toc184314442"/>
      <w:bookmarkEnd w:id="98"/>
      <w:bookmarkStart w:id="99" w:name="_Toc184314430"/>
      <w:bookmarkEnd w:id="99"/>
      <w:bookmarkStart w:id="100" w:name="_Toc184314431"/>
      <w:bookmarkEnd w:id="100"/>
      <w:bookmarkStart w:id="101" w:name="_Toc184314446"/>
      <w:bookmarkEnd w:id="101"/>
      <w:bookmarkStart w:id="102" w:name="_Toc184312081"/>
      <w:bookmarkEnd w:id="102"/>
      <w:bookmarkStart w:id="103" w:name="_Toc184314439"/>
      <w:bookmarkEnd w:id="103"/>
      <w:bookmarkStart w:id="104" w:name="_Toc184308056"/>
      <w:bookmarkEnd w:id="104"/>
      <w:bookmarkStart w:id="105" w:name="_Toc184308036"/>
      <w:bookmarkEnd w:id="105"/>
      <w:bookmarkStart w:id="106" w:name="_Toc184313249"/>
      <w:bookmarkEnd w:id="106"/>
      <w:bookmarkStart w:id="107" w:name="_Toc184310273"/>
      <w:bookmarkEnd w:id="107"/>
      <w:bookmarkStart w:id="108" w:name="_Toc184310303"/>
      <w:bookmarkEnd w:id="108"/>
      <w:bookmarkStart w:id="109" w:name="_Toc184314459"/>
      <w:bookmarkEnd w:id="109"/>
      <w:bookmarkStart w:id="110" w:name="_Toc184314436"/>
      <w:bookmarkEnd w:id="110"/>
      <w:bookmarkStart w:id="111" w:name="_Toc184308066"/>
      <w:bookmarkEnd w:id="111"/>
      <w:bookmarkStart w:id="112" w:name="_Toc184314450"/>
      <w:bookmarkEnd w:id="112"/>
      <w:bookmarkStart w:id="113" w:name="_Toc184313262"/>
      <w:bookmarkEnd w:id="113"/>
      <w:bookmarkStart w:id="114" w:name="_Toc184314440"/>
      <w:bookmarkEnd w:id="114"/>
      <w:bookmarkStart w:id="115" w:name="_Toc184312087"/>
      <w:bookmarkEnd w:id="115"/>
      <w:bookmarkStart w:id="116" w:name="_Toc184310276"/>
      <w:bookmarkEnd w:id="116"/>
      <w:bookmarkStart w:id="117" w:name="_Toc184312111"/>
      <w:bookmarkEnd w:id="117"/>
      <w:bookmarkStart w:id="118" w:name="_Toc184308050"/>
      <w:bookmarkEnd w:id="118"/>
      <w:bookmarkStart w:id="119" w:name="_Toc184308081"/>
      <w:bookmarkEnd w:id="119"/>
      <w:bookmarkStart w:id="120" w:name="_Toc184312126"/>
      <w:bookmarkEnd w:id="120"/>
      <w:bookmarkStart w:id="121" w:name="_Toc184313305"/>
      <w:bookmarkEnd w:id="121"/>
      <w:bookmarkStart w:id="122" w:name="_Toc184310298"/>
      <w:bookmarkEnd w:id="122"/>
      <w:bookmarkStart w:id="123" w:name="_Toc184310328"/>
      <w:bookmarkEnd w:id="123"/>
      <w:bookmarkStart w:id="124" w:name="_Toc184314428"/>
      <w:bookmarkEnd w:id="124"/>
      <w:bookmarkStart w:id="125" w:name="_Toc184310326"/>
      <w:bookmarkEnd w:id="125"/>
      <w:bookmarkStart w:id="126" w:name="_Toc184314427"/>
      <w:bookmarkEnd w:id="126"/>
      <w:bookmarkStart w:id="127" w:name="_Toc184310339"/>
      <w:bookmarkEnd w:id="127"/>
      <w:bookmarkStart w:id="128" w:name="_Toc184313269"/>
      <w:bookmarkEnd w:id="128"/>
      <w:bookmarkStart w:id="129" w:name="_Toc184312128"/>
      <w:bookmarkEnd w:id="129"/>
      <w:bookmarkStart w:id="130" w:name="_Toc184308068"/>
      <w:bookmarkEnd w:id="130"/>
      <w:bookmarkStart w:id="131" w:name="_Toc184314414"/>
      <w:bookmarkEnd w:id="131"/>
      <w:bookmarkStart w:id="132" w:name="_Toc184313248"/>
      <w:bookmarkEnd w:id="132"/>
      <w:bookmarkStart w:id="133" w:name="_Toc184310300"/>
      <w:bookmarkEnd w:id="133"/>
      <w:bookmarkStart w:id="134" w:name="_Toc184312130"/>
      <w:bookmarkEnd w:id="134"/>
      <w:bookmarkStart w:id="135" w:name="_Toc184308064"/>
      <w:bookmarkEnd w:id="135"/>
      <w:bookmarkStart w:id="136" w:name="_Toc184314465"/>
      <w:bookmarkEnd w:id="136"/>
      <w:bookmarkStart w:id="137" w:name="_Toc184313281"/>
      <w:bookmarkEnd w:id="137"/>
      <w:bookmarkStart w:id="138" w:name="_Toc184312113"/>
      <w:bookmarkEnd w:id="138"/>
      <w:bookmarkStart w:id="139" w:name="_Toc184310285"/>
      <w:bookmarkEnd w:id="139"/>
      <w:bookmarkStart w:id="140" w:name="_Toc184308091"/>
      <w:bookmarkEnd w:id="140"/>
      <w:bookmarkStart w:id="141" w:name="_Toc184310274"/>
      <w:bookmarkEnd w:id="141"/>
      <w:bookmarkStart w:id="142" w:name="_Toc184314458"/>
      <w:bookmarkEnd w:id="142"/>
      <w:bookmarkStart w:id="143" w:name="_Toc184308045"/>
      <w:bookmarkEnd w:id="143"/>
      <w:bookmarkStart w:id="144" w:name="_Toc184308073"/>
      <w:bookmarkEnd w:id="144"/>
      <w:bookmarkStart w:id="145" w:name="_Toc184314441"/>
      <w:bookmarkEnd w:id="145"/>
      <w:bookmarkStart w:id="146" w:name="_Toc184310304"/>
      <w:bookmarkEnd w:id="146"/>
      <w:bookmarkStart w:id="147" w:name="_Toc184313294"/>
      <w:bookmarkEnd w:id="147"/>
      <w:bookmarkStart w:id="148" w:name="_Toc184312127"/>
      <w:bookmarkEnd w:id="148"/>
      <w:bookmarkStart w:id="149" w:name="_Toc184308106"/>
      <w:bookmarkEnd w:id="149"/>
      <w:bookmarkStart w:id="150" w:name="_Toc184310330"/>
      <w:bookmarkEnd w:id="150"/>
      <w:bookmarkStart w:id="151" w:name="_Toc184314412"/>
      <w:bookmarkEnd w:id="151"/>
      <w:bookmarkStart w:id="152" w:name="_Toc184312075"/>
      <w:bookmarkEnd w:id="152"/>
      <w:bookmarkStart w:id="153" w:name="_Toc184308090"/>
      <w:bookmarkEnd w:id="153"/>
      <w:bookmarkStart w:id="154" w:name="_Toc184310312"/>
      <w:bookmarkEnd w:id="154"/>
      <w:bookmarkStart w:id="155" w:name="_Toc184308107"/>
      <w:bookmarkEnd w:id="155"/>
      <w:bookmarkStart w:id="156" w:name="_Toc184310283"/>
      <w:bookmarkEnd w:id="156"/>
      <w:bookmarkStart w:id="157" w:name="_Toc184312117"/>
      <w:bookmarkEnd w:id="157"/>
      <w:bookmarkStart w:id="158" w:name="_Toc184314469"/>
      <w:bookmarkEnd w:id="158"/>
      <w:bookmarkStart w:id="159" w:name="_Toc184310331"/>
      <w:bookmarkEnd w:id="159"/>
      <w:bookmarkStart w:id="160" w:name="_Toc184310292"/>
      <w:bookmarkEnd w:id="160"/>
      <w:bookmarkStart w:id="161" w:name="_Toc184308046"/>
      <w:bookmarkEnd w:id="161"/>
      <w:bookmarkStart w:id="162" w:name="_Toc184312122"/>
      <w:bookmarkEnd w:id="162"/>
      <w:bookmarkStart w:id="163" w:name="_Toc184313282"/>
      <w:bookmarkEnd w:id="163"/>
      <w:bookmarkStart w:id="164" w:name="_Toc184314417"/>
      <w:bookmarkEnd w:id="164"/>
      <w:bookmarkStart w:id="165" w:name="_Toc184310321"/>
      <w:bookmarkEnd w:id="165"/>
      <w:bookmarkStart w:id="166" w:name="_Toc184313304"/>
      <w:bookmarkEnd w:id="166"/>
      <w:bookmarkStart w:id="167" w:name="_Toc184312121"/>
      <w:bookmarkEnd w:id="167"/>
      <w:bookmarkStart w:id="168" w:name="_Toc184312110"/>
      <w:bookmarkEnd w:id="168"/>
      <w:bookmarkStart w:id="169" w:name="_Toc184312134"/>
      <w:bookmarkEnd w:id="169"/>
      <w:bookmarkStart w:id="170" w:name="_Toc184314472"/>
      <w:bookmarkEnd w:id="170"/>
      <w:bookmarkStart w:id="171" w:name="_Toc184308059"/>
      <w:bookmarkEnd w:id="171"/>
      <w:bookmarkStart w:id="172" w:name="_Toc184308083"/>
      <w:bookmarkEnd w:id="172"/>
      <w:bookmarkStart w:id="173" w:name="_Toc184308074"/>
      <w:bookmarkEnd w:id="173"/>
      <w:bookmarkStart w:id="174" w:name="_Toc184313287"/>
      <w:bookmarkEnd w:id="174"/>
      <w:bookmarkStart w:id="175" w:name="_Toc184308098"/>
      <w:bookmarkEnd w:id="175"/>
      <w:bookmarkStart w:id="176" w:name="_Toc184308047"/>
      <w:bookmarkEnd w:id="176"/>
      <w:bookmarkStart w:id="177" w:name="_Toc184314454"/>
      <w:bookmarkEnd w:id="177"/>
      <w:bookmarkStart w:id="178" w:name="_Toc184313240"/>
      <w:bookmarkEnd w:id="178"/>
      <w:bookmarkStart w:id="179" w:name="_Toc184310307"/>
      <w:bookmarkEnd w:id="179"/>
      <w:bookmarkStart w:id="180" w:name="_Toc184312084"/>
      <w:bookmarkEnd w:id="180"/>
      <w:bookmarkStart w:id="181" w:name="_Toc184308103"/>
      <w:bookmarkEnd w:id="181"/>
      <w:bookmarkStart w:id="182" w:name="_Toc184312069"/>
      <w:bookmarkEnd w:id="182"/>
      <w:bookmarkStart w:id="183" w:name="_Toc184314433"/>
      <w:bookmarkEnd w:id="183"/>
      <w:bookmarkStart w:id="184" w:name="_Toc184314423"/>
      <w:bookmarkEnd w:id="184"/>
      <w:bookmarkStart w:id="185" w:name="_Toc184314451"/>
      <w:bookmarkEnd w:id="185"/>
      <w:bookmarkStart w:id="186" w:name="_Toc184313246"/>
      <w:bookmarkEnd w:id="186"/>
      <w:bookmarkStart w:id="187" w:name="_Toc184308049"/>
      <w:bookmarkEnd w:id="187"/>
      <w:bookmarkStart w:id="188" w:name="_Toc184308086"/>
      <w:bookmarkEnd w:id="188"/>
      <w:bookmarkStart w:id="189" w:name="_Toc184312083"/>
      <w:bookmarkEnd w:id="189"/>
      <w:bookmarkStart w:id="190" w:name="_Toc184310324"/>
      <w:bookmarkEnd w:id="190"/>
      <w:bookmarkStart w:id="191" w:name="_Toc184314434"/>
      <w:bookmarkEnd w:id="191"/>
      <w:bookmarkStart w:id="192" w:name="_Toc184314437"/>
      <w:bookmarkEnd w:id="192"/>
      <w:bookmarkStart w:id="193" w:name="_Toc184308094"/>
      <w:bookmarkEnd w:id="193"/>
      <w:bookmarkStart w:id="194" w:name="_Toc184308101"/>
      <w:bookmarkEnd w:id="194"/>
      <w:bookmarkStart w:id="195" w:name="_Toc184310281"/>
      <w:bookmarkEnd w:id="195"/>
      <w:bookmarkStart w:id="196" w:name="_Toc184312076"/>
      <w:bookmarkEnd w:id="196"/>
      <w:bookmarkStart w:id="197" w:name="_Toc184314449"/>
      <w:bookmarkEnd w:id="197"/>
      <w:bookmarkStart w:id="198" w:name="_Toc184314468"/>
      <w:bookmarkEnd w:id="198"/>
      <w:bookmarkStart w:id="199" w:name="_Toc184310322"/>
      <w:bookmarkEnd w:id="199"/>
      <w:bookmarkStart w:id="200" w:name="_Toc184314419"/>
      <w:bookmarkEnd w:id="200"/>
      <w:bookmarkStart w:id="201" w:name="_Toc184310314"/>
      <w:bookmarkEnd w:id="201"/>
      <w:bookmarkStart w:id="202" w:name="_Toc184312102"/>
      <w:bookmarkEnd w:id="202"/>
      <w:bookmarkStart w:id="203" w:name="_Toc184310311"/>
      <w:bookmarkEnd w:id="203"/>
      <w:bookmarkStart w:id="204" w:name="_Toc184308043"/>
      <w:bookmarkEnd w:id="204"/>
      <w:bookmarkStart w:id="205" w:name="_Toc184310284"/>
      <w:bookmarkEnd w:id="205"/>
      <w:bookmarkStart w:id="206" w:name="_Toc184313296"/>
      <w:bookmarkEnd w:id="206"/>
      <w:bookmarkStart w:id="207" w:name="_Toc184314471"/>
      <w:bookmarkEnd w:id="207"/>
      <w:bookmarkStart w:id="208" w:name="_Toc184310297"/>
      <w:bookmarkEnd w:id="208"/>
      <w:bookmarkStart w:id="209" w:name="_Toc184312089"/>
      <w:bookmarkEnd w:id="209"/>
      <w:bookmarkStart w:id="210" w:name="_Toc184310280"/>
      <w:bookmarkEnd w:id="210"/>
      <w:bookmarkStart w:id="211" w:name="_Toc184314466"/>
      <w:bookmarkEnd w:id="211"/>
      <w:bookmarkStart w:id="212" w:name="_Toc184308072"/>
      <w:bookmarkEnd w:id="212"/>
      <w:bookmarkStart w:id="213" w:name="_Toc184313278"/>
      <w:bookmarkEnd w:id="213"/>
      <w:bookmarkStart w:id="214" w:name="_Toc184308051"/>
      <w:bookmarkEnd w:id="214"/>
      <w:bookmarkStart w:id="215" w:name="_Toc184313309"/>
      <w:bookmarkEnd w:id="215"/>
      <w:bookmarkStart w:id="216" w:name="_Toc184313250"/>
      <w:bookmarkEnd w:id="216"/>
      <w:bookmarkStart w:id="217" w:name="_Toc184313256"/>
      <w:bookmarkEnd w:id="217"/>
      <w:bookmarkStart w:id="218" w:name="_Toc184308054"/>
      <w:bookmarkEnd w:id="218"/>
      <w:bookmarkStart w:id="219" w:name="_Toc184310296"/>
      <w:bookmarkEnd w:id="219"/>
      <w:bookmarkStart w:id="220" w:name="_Toc184308093"/>
      <w:bookmarkEnd w:id="220"/>
      <w:bookmarkStart w:id="221" w:name="_Toc184308071"/>
      <w:bookmarkEnd w:id="221"/>
      <w:bookmarkStart w:id="222" w:name="_Toc184308099"/>
      <w:bookmarkEnd w:id="222"/>
      <w:bookmarkStart w:id="223" w:name="_Toc184310318"/>
      <w:bookmarkEnd w:id="223"/>
      <w:bookmarkStart w:id="224" w:name="_Toc184313301"/>
      <w:bookmarkEnd w:id="224"/>
      <w:bookmarkStart w:id="225" w:name="_Toc184313306"/>
      <w:bookmarkEnd w:id="225"/>
      <w:bookmarkStart w:id="226" w:name="_Toc184308082"/>
      <w:bookmarkEnd w:id="226"/>
      <w:bookmarkStart w:id="227" w:name="_Toc184312139"/>
      <w:bookmarkEnd w:id="227"/>
      <w:bookmarkStart w:id="228" w:name="_Toc184308065"/>
      <w:bookmarkEnd w:id="228"/>
      <w:bookmarkStart w:id="229" w:name="_Toc184313300"/>
      <w:bookmarkEnd w:id="229"/>
      <w:bookmarkStart w:id="230" w:name="_Toc184313307"/>
      <w:bookmarkEnd w:id="230"/>
      <w:bookmarkStart w:id="231" w:name="_Toc184314422"/>
      <w:bookmarkEnd w:id="231"/>
      <w:bookmarkStart w:id="232" w:name="_Toc184308067"/>
      <w:bookmarkEnd w:id="232"/>
      <w:bookmarkStart w:id="233" w:name="_Toc184312086"/>
      <w:bookmarkEnd w:id="233"/>
      <w:bookmarkStart w:id="234" w:name="_Toc184308055"/>
      <w:bookmarkEnd w:id="234"/>
      <w:bookmarkStart w:id="235" w:name="_Toc184313286"/>
      <w:bookmarkEnd w:id="235"/>
      <w:bookmarkStart w:id="236" w:name="_Toc184310308"/>
      <w:bookmarkEnd w:id="236"/>
      <w:bookmarkStart w:id="237" w:name="_Toc184308057"/>
      <w:bookmarkEnd w:id="237"/>
      <w:bookmarkStart w:id="238" w:name="_Toc184312116"/>
      <w:bookmarkEnd w:id="238"/>
      <w:bookmarkStart w:id="239" w:name="_Toc184308038"/>
      <w:bookmarkEnd w:id="239"/>
      <w:bookmarkStart w:id="240" w:name="_Toc184308062"/>
      <w:bookmarkEnd w:id="240"/>
      <w:bookmarkStart w:id="241" w:name="_Toc184310325"/>
      <w:bookmarkEnd w:id="241"/>
      <w:bookmarkStart w:id="242" w:name="_Toc184312129"/>
      <w:bookmarkEnd w:id="242"/>
      <w:bookmarkStart w:id="243" w:name="_Toc184312119"/>
      <w:bookmarkEnd w:id="243"/>
      <w:bookmarkStart w:id="244" w:name="_Toc184312098"/>
      <w:bookmarkEnd w:id="244"/>
      <w:bookmarkStart w:id="245" w:name="_Toc184313303"/>
      <w:bookmarkEnd w:id="245"/>
      <w:bookmarkStart w:id="246" w:name="_Toc184310288"/>
      <w:bookmarkEnd w:id="246"/>
      <w:bookmarkStart w:id="247" w:name="_Toc184310337"/>
      <w:bookmarkEnd w:id="247"/>
      <w:bookmarkStart w:id="248" w:name="_Toc184314445"/>
      <w:bookmarkEnd w:id="248"/>
      <w:bookmarkStart w:id="249" w:name="_Toc184308092"/>
      <w:bookmarkEnd w:id="249"/>
      <w:bookmarkStart w:id="250" w:name="_Toc184314438"/>
      <w:bookmarkEnd w:id="250"/>
      <w:bookmarkStart w:id="251" w:name="_Toc184314461"/>
      <w:bookmarkEnd w:id="251"/>
      <w:bookmarkStart w:id="252" w:name="_Toc184312067"/>
      <w:bookmarkEnd w:id="252"/>
      <w:bookmarkStart w:id="253" w:name="_Toc184310275"/>
      <w:bookmarkEnd w:id="253"/>
      <w:bookmarkStart w:id="254" w:name="_Toc184310293"/>
      <w:bookmarkEnd w:id="254"/>
      <w:bookmarkStart w:id="255" w:name="_Toc184312101"/>
      <w:bookmarkEnd w:id="255"/>
      <w:bookmarkStart w:id="256" w:name="_Toc184313265"/>
      <w:bookmarkEnd w:id="256"/>
      <w:bookmarkStart w:id="257" w:name="_Toc184308060"/>
      <w:bookmarkEnd w:id="257"/>
      <w:bookmarkStart w:id="258" w:name="_Toc184308080"/>
      <w:bookmarkEnd w:id="258"/>
      <w:bookmarkStart w:id="259" w:name="_Toc184313295"/>
      <w:bookmarkEnd w:id="259"/>
      <w:bookmarkStart w:id="260" w:name="_Toc184314456"/>
      <w:bookmarkEnd w:id="260"/>
      <w:bookmarkStart w:id="261" w:name="_Toc184313252"/>
      <w:bookmarkEnd w:id="261"/>
      <w:bookmarkStart w:id="262" w:name="_Toc184313275"/>
      <w:bookmarkEnd w:id="262"/>
      <w:bookmarkStart w:id="263" w:name="_Toc184313291"/>
      <w:bookmarkEnd w:id="263"/>
      <w:bookmarkStart w:id="264" w:name="_Toc184313259"/>
      <w:bookmarkEnd w:id="264"/>
      <w:bookmarkStart w:id="265" w:name="_Toc184312096"/>
      <w:bookmarkEnd w:id="265"/>
      <w:bookmarkStart w:id="266" w:name="_Toc184313238"/>
      <w:bookmarkEnd w:id="266"/>
      <w:bookmarkStart w:id="267" w:name="_Toc184310319"/>
      <w:bookmarkEnd w:id="267"/>
      <w:bookmarkStart w:id="268" w:name="_Toc184312135"/>
      <w:bookmarkEnd w:id="268"/>
      <w:bookmarkStart w:id="269" w:name="_Toc184308076"/>
      <w:bookmarkEnd w:id="269"/>
      <w:bookmarkStart w:id="270" w:name="_Toc184313247"/>
      <w:bookmarkEnd w:id="270"/>
      <w:bookmarkStart w:id="271" w:name="_Toc184310279"/>
      <w:bookmarkEnd w:id="271"/>
      <w:bookmarkStart w:id="272" w:name="_Toc184312115"/>
      <w:bookmarkEnd w:id="272"/>
      <w:bookmarkStart w:id="273" w:name="_Toc184314443"/>
      <w:bookmarkEnd w:id="273"/>
      <w:bookmarkStart w:id="274" w:name="_Toc184312073"/>
      <w:bookmarkEnd w:id="274"/>
      <w:bookmarkStart w:id="275" w:name="_Toc184312091"/>
      <w:bookmarkEnd w:id="275"/>
      <w:bookmarkStart w:id="276" w:name="_Toc184314474"/>
      <w:bookmarkEnd w:id="276"/>
      <w:bookmarkStart w:id="277" w:name="_Toc184313243"/>
      <w:bookmarkEnd w:id="277"/>
      <w:bookmarkStart w:id="278" w:name="_Toc184310305"/>
      <w:bookmarkEnd w:id="278"/>
      <w:bookmarkStart w:id="279" w:name="_Toc184314432"/>
      <w:bookmarkEnd w:id="279"/>
      <w:bookmarkStart w:id="280" w:name="_Toc184310340"/>
      <w:bookmarkEnd w:id="280"/>
      <w:bookmarkStart w:id="281" w:name="_Toc184313253"/>
      <w:bookmarkEnd w:id="281"/>
      <w:bookmarkStart w:id="282" w:name="_Toc184310289"/>
      <w:bookmarkEnd w:id="282"/>
      <w:bookmarkStart w:id="283" w:name="_Toc184310335"/>
      <w:bookmarkEnd w:id="283"/>
      <w:bookmarkStart w:id="284" w:name="_Toc184310338"/>
      <w:bookmarkEnd w:id="284"/>
      <w:bookmarkStart w:id="285" w:name="_Toc184310327"/>
      <w:bookmarkEnd w:id="285"/>
      <w:bookmarkStart w:id="286" w:name="_Toc184310295"/>
      <w:bookmarkEnd w:id="286"/>
      <w:bookmarkStart w:id="287" w:name="_Toc184313284"/>
      <w:bookmarkEnd w:id="287"/>
      <w:bookmarkStart w:id="288" w:name="_Toc184312092"/>
      <w:bookmarkEnd w:id="288"/>
      <w:bookmarkStart w:id="289" w:name="_Toc184313285"/>
      <w:bookmarkEnd w:id="289"/>
      <w:bookmarkStart w:id="290" w:name="_Toc184312088"/>
      <w:bookmarkEnd w:id="290"/>
      <w:bookmarkStart w:id="291" w:name="_Toc184314452"/>
      <w:bookmarkEnd w:id="291"/>
      <w:bookmarkStart w:id="292" w:name="_Toc184310287"/>
      <w:bookmarkEnd w:id="292"/>
      <w:bookmarkStart w:id="293" w:name="_Toc184313271"/>
      <w:bookmarkEnd w:id="293"/>
      <w:bookmarkStart w:id="294" w:name="_Toc184314411"/>
      <w:bookmarkEnd w:id="294"/>
      <w:bookmarkStart w:id="295" w:name="_Toc184308084"/>
      <w:bookmarkEnd w:id="295"/>
      <w:bookmarkStart w:id="296" w:name="_Toc184313268"/>
      <w:bookmarkEnd w:id="296"/>
      <w:bookmarkStart w:id="297" w:name="_Toc184310329"/>
      <w:bookmarkEnd w:id="297"/>
      <w:bookmarkStart w:id="298" w:name="_Toc184313266"/>
      <w:bookmarkEnd w:id="298"/>
      <w:bookmarkStart w:id="299" w:name="_Toc184313267"/>
      <w:bookmarkEnd w:id="299"/>
      <w:bookmarkStart w:id="300" w:name="_Toc184308052"/>
      <w:bookmarkEnd w:id="300"/>
      <w:bookmarkStart w:id="301" w:name="_Toc184312137"/>
      <w:bookmarkEnd w:id="301"/>
      <w:bookmarkStart w:id="302" w:name="_Toc184308096"/>
      <w:bookmarkEnd w:id="302"/>
      <w:bookmarkStart w:id="303" w:name="_Toc184308077"/>
      <w:bookmarkEnd w:id="303"/>
      <w:bookmarkStart w:id="304" w:name="_Toc184313292"/>
      <w:bookmarkEnd w:id="304"/>
      <w:bookmarkStart w:id="305" w:name="_Toc184308063"/>
      <w:bookmarkEnd w:id="305"/>
      <w:bookmarkStart w:id="306" w:name="_Toc184312104"/>
      <w:bookmarkEnd w:id="306"/>
      <w:bookmarkStart w:id="307" w:name="_Toc184314463"/>
      <w:bookmarkEnd w:id="307"/>
      <w:bookmarkStart w:id="308" w:name="_Toc184310299"/>
      <w:bookmarkEnd w:id="308"/>
      <w:bookmarkStart w:id="309" w:name="_Toc184313299"/>
      <w:bookmarkEnd w:id="309"/>
      <w:bookmarkStart w:id="310" w:name="_Toc184308095"/>
      <w:bookmarkEnd w:id="310"/>
      <w:bookmarkStart w:id="311" w:name="_Toc184314467"/>
      <w:bookmarkEnd w:id="311"/>
      <w:bookmarkStart w:id="312" w:name="_Toc184313251"/>
      <w:bookmarkEnd w:id="312"/>
      <w:bookmarkStart w:id="313" w:name="_Toc184313297"/>
      <w:bookmarkEnd w:id="313"/>
      <w:bookmarkStart w:id="314" w:name="_Toc184313263"/>
      <w:bookmarkEnd w:id="314"/>
      <w:bookmarkStart w:id="315" w:name="_Toc184313272"/>
      <w:bookmarkEnd w:id="315"/>
      <w:bookmarkStart w:id="316" w:name="_Toc184313244"/>
      <w:bookmarkEnd w:id="316"/>
      <w:bookmarkStart w:id="317" w:name="_Toc184312070"/>
      <w:bookmarkEnd w:id="317"/>
      <w:bookmarkStart w:id="318" w:name="_Toc184312097"/>
      <w:bookmarkEnd w:id="318"/>
      <w:bookmarkStart w:id="319" w:name="_Toc184308040"/>
      <w:bookmarkEnd w:id="319"/>
      <w:bookmarkStart w:id="320" w:name="_Toc184308102"/>
      <w:bookmarkEnd w:id="320"/>
      <w:bookmarkStart w:id="321" w:name="_Toc184308075"/>
      <w:bookmarkEnd w:id="321"/>
      <w:bookmarkStart w:id="322" w:name="_Toc184310291"/>
      <w:bookmarkEnd w:id="322"/>
      <w:bookmarkStart w:id="323" w:name="_Toc184312132"/>
      <w:bookmarkEnd w:id="323"/>
      <w:bookmarkStart w:id="324" w:name="_Toc184312099"/>
      <w:bookmarkEnd w:id="324"/>
      <w:bookmarkStart w:id="325" w:name="_Toc184313273"/>
      <w:bookmarkEnd w:id="325"/>
      <w:bookmarkStart w:id="326" w:name="_Toc184308088"/>
      <w:bookmarkEnd w:id="326"/>
      <w:bookmarkStart w:id="327" w:name="_Toc184314447"/>
      <w:bookmarkEnd w:id="327"/>
      <w:bookmarkStart w:id="328" w:name="_Toc184310294"/>
      <w:bookmarkEnd w:id="328"/>
      <w:bookmarkStart w:id="329" w:name="_Toc184310332"/>
      <w:bookmarkEnd w:id="329"/>
      <w:bookmarkStart w:id="330" w:name="_Toc184312080"/>
      <w:bookmarkEnd w:id="330"/>
      <w:bookmarkStart w:id="331" w:name="_Toc184314435"/>
      <w:bookmarkEnd w:id="331"/>
      <w:bookmarkStart w:id="332" w:name="_Toc184308061"/>
      <w:bookmarkEnd w:id="332"/>
      <w:bookmarkStart w:id="333" w:name="_Toc184312077"/>
      <w:bookmarkEnd w:id="333"/>
      <w:bookmarkStart w:id="334" w:name="_Toc184313242"/>
      <w:bookmarkEnd w:id="334"/>
      <w:bookmarkStart w:id="335" w:name="_Toc184308048"/>
      <w:bookmarkEnd w:id="335"/>
      <w:bookmarkStart w:id="336" w:name="_Toc184308108"/>
      <w:bookmarkEnd w:id="336"/>
      <w:bookmarkStart w:id="337" w:name="_Toc184313280"/>
      <w:bookmarkEnd w:id="337"/>
      <w:bookmarkStart w:id="338" w:name="_Toc184310344"/>
      <w:bookmarkEnd w:id="338"/>
      <w:bookmarkStart w:id="339" w:name="_Toc184312074"/>
      <w:bookmarkEnd w:id="339"/>
      <w:bookmarkStart w:id="340" w:name="_Toc184308041"/>
      <w:bookmarkEnd w:id="340"/>
      <w:bookmarkStart w:id="341" w:name="_Toc184314475"/>
      <w:bookmarkEnd w:id="341"/>
      <w:bookmarkStart w:id="342" w:name="_Toc184313257"/>
      <w:bookmarkEnd w:id="342"/>
      <w:bookmarkStart w:id="343" w:name="_Toc184312095"/>
      <w:bookmarkEnd w:id="343"/>
      <w:bookmarkStart w:id="344" w:name="_Toc184310272"/>
      <w:bookmarkEnd w:id="344"/>
      <w:bookmarkStart w:id="345" w:name="_Toc184312123"/>
      <w:bookmarkEnd w:id="345"/>
      <w:bookmarkStart w:id="346" w:name="_Toc184314477"/>
      <w:bookmarkEnd w:id="346"/>
      <w:bookmarkStart w:id="347" w:name="_Toc184313279"/>
      <w:bookmarkEnd w:id="347"/>
      <w:bookmarkStart w:id="348" w:name="_Toc184314455"/>
      <w:bookmarkEnd w:id="348"/>
      <w:bookmarkStart w:id="349" w:name="_Toc184313277"/>
      <w:bookmarkEnd w:id="349"/>
      <w:bookmarkStart w:id="350" w:name="_Toc184308089"/>
      <w:bookmarkEnd w:id="350"/>
      <w:bookmarkStart w:id="351" w:name="_Toc184308037"/>
      <w:bookmarkEnd w:id="351"/>
      <w:bookmarkStart w:id="352" w:name="_Toc184313274"/>
      <w:bookmarkEnd w:id="352"/>
      <w:bookmarkStart w:id="353" w:name="_Toc184312079"/>
      <w:bookmarkEnd w:id="353"/>
      <w:bookmarkStart w:id="354" w:name="_Toc184312078"/>
      <w:bookmarkEnd w:id="354"/>
      <w:bookmarkStart w:id="355" w:name="_Toc184308069"/>
      <w:bookmarkEnd w:id="355"/>
      <w:bookmarkStart w:id="356" w:name="_Toc184308087"/>
      <w:bookmarkEnd w:id="356"/>
      <w:bookmarkStart w:id="357" w:name="_Toc184314482"/>
      <w:bookmarkEnd w:id="357"/>
      <w:bookmarkStart w:id="358" w:name="_Toc184314464"/>
      <w:bookmarkEnd w:id="358"/>
      <w:bookmarkStart w:id="359" w:name="_Toc184313293"/>
      <w:bookmarkEnd w:id="359"/>
      <w:bookmarkStart w:id="360" w:name="_Toc184310306"/>
      <w:bookmarkEnd w:id="360"/>
      <w:bookmarkStart w:id="361" w:name="_Toc184314416"/>
      <w:bookmarkEnd w:id="361"/>
      <w:bookmarkStart w:id="362" w:name="_Toc184313270"/>
      <w:bookmarkEnd w:id="362"/>
      <w:bookmarkStart w:id="363" w:name="_Toc184310342"/>
      <w:bookmarkEnd w:id="363"/>
      <w:bookmarkStart w:id="364" w:name="_Toc184308078"/>
      <w:bookmarkEnd w:id="364"/>
      <w:bookmarkStart w:id="365" w:name="_Toc184313290"/>
      <w:bookmarkEnd w:id="365"/>
      <w:bookmarkStart w:id="366" w:name="_Toc184312071"/>
      <w:bookmarkEnd w:id="366"/>
      <w:bookmarkStart w:id="367" w:name="_Toc184314476"/>
      <w:bookmarkEnd w:id="367"/>
      <w:bookmarkStart w:id="368" w:name="_Toc184310320"/>
      <w:bookmarkEnd w:id="368"/>
      <w:bookmarkStart w:id="369" w:name="_Toc184310282"/>
      <w:bookmarkEnd w:id="369"/>
      <w:bookmarkStart w:id="370" w:name="_Toc184310316"/>
      <w:bookmarkEnd w:id="370"/>
      <w:bookmarkStart w:id="371" w:name="_Toc184310286"/>
      <w:bookmarkEnd w:id="371"/>
      <w:bookmarkStart w:id="372" w:name="_Toc184314420"/>
      <w:bookmarkEnd w:id="372"/>
      <w:bookmarkStart w:id="373" w:name="_Toc184310341"/>
      <w:bookmarkEnd w:id="373"/>
      <w:bookmarkStart w:id="374" w:name="_Toc184313258"/>
      <w:bookmarkEnd w:id="374"/>
      <w:bookmarkStart w:id="375" w:name="_Toc184308044"/>
      <w:bookmarkEnd w:id="375"/>
      <w:bookmarkStart w:id="376" w:name="_Toc184314470"/>
      <w:bookmarkEnd w:id="376"/>
      <w:bookmarkStart w:id="377" w:name="_Toc184310290"/>
      <w:bookmarkEnd w:id="377"/>
      <w:bookmarkStart w:id="378" w:name="_Toc184314457"/>
      <w:bookmarkEnd w:id="378"/>
      <w:bookmarkStart w:id="379" w:name="_Toc184310323"/>
      <w:bookmarkEnd w:id="379"/>
      <w:bookmarkStart w:id="380" w:name="_Toc184313245"/>
      <w:bookmarkEnd w:id="380"/>
      <w:bookmarkStart w:id="381" w:name="_Toc184313283"/>
      <w:bookmarkEnd w:id="381"/>
      <w:bookmarkStart w:id="382" w:name="_Toc184312085"/>
      <w:bookmarkEnd w:id="382"/>
      <w:bookmarkStart w:id="383" w:name="_Toc184312072"/>
      <w:bookmarkEnd w:id="383"/>
      <w:bookmarkStart w:id="384" w:name="_Toc184310302"/>
      <w:bookmarkEnd w:id="384"/>
      <w:bookmarkStart w:id="385" w:name="_Toc184310309"/>
      <w:bookmarkEnd w:id="385"/>
      <w:bookmarkStart w:id="386" w:name="_Toc184312103"/>
      <w:bookmarkEnd w:id="386"/>
      <w:bookmarkStart w:id="387" w:name="_Toc184312108"/>
      <w:bookmarkEnd w:id="387"/>
      <w:bookmarkStart w:id="388" w:name="_Toc184308042"/>
      <w:bookmarkEnd w:id="388"/>
      <w:bookmarkStart w:id="389" w:name="_Toc184313310"/>
      <w:bookmarkEnd w:id="389"/>
      <w:bookmarkStart w:id="390" w:name="_Toc184314413"/>
      <w:bookmarkEnd w:id="390"/>
      <w:bookmarkStart w:id="391" w:name="_Toc184314481"/>
      <w:bookmarkEnd w:id="391"/>
      <w:bookmarkStart w:id="392" w:name="_Toc184310336"/>
      <w:bookmarkEnd w:id="392"/>
      <w:r>
        <w:rPr>
          <w:rFonts w:hint="eastAsia" w:ascii="宋体" w:hAnsi="宋体" w:cs="宋体"/>
          <w:b/>
          <w:color w:val="auto"/>
          <w:sz w:val="36"/>
          <w:szCs w:val="36"/>
          <w:highlight w:val="none"/>
        </w:rPr>
        <w:t>评标办法</w:t>
      </w:r>
    </w:p>
    <w:p w14:paraId="1BF1D06C">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965"/>
        <w:tblpPr w:leftFromText="180" w:rightFromText="180" w:vertAnchor="text" w:horzAnchor="page" w:tblpX="1448" w:tblpY="231"/>
        <w:tblOverlap w:val="never"/>
        <w:tblW w:w="54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5709"/>
        <w:gridCol w:w="708"/>
        <w:gridCol w:w="904"/>
        <w:gridCol w:w="1182"/>
      </w:tblGrid>
      <w:tr w14:paraId="3545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14" w:type="pct"/>
            <w:vAlign w:val="top"/>
          </w:tcPr>
          <w:p w14:paraId="50500C60">
            <w:pPr>
              <w:pStyle w:val="340"/>
              <w:spacing w:before="223" w:line="221" w:lineRule="auto"/>
              <w:ind w:left="185"/>
              <w:jc w:val="left"/>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3145" w:type="pct"/>
            <w:vAlign w:val="top"/>
          </w:tcPr>
          <w:p w14:paraId="45FE3877">
            <w:pPr>
              <w:pStyle w:val="340"/>
              <w:spacing w:before="220" w:line="220" w:lineRule="auto"/>
              <w:jc w:val="center"/>
              <w:rPr>
                <w:rFonts w:hint="eastAsia" w:ascii="宋体" w:hAnsi="宋体" w:eastAsia="宋体" w:cs="宋体"/>
                <w:color w:val="auto"/>
                <w:highlight w:val="none"/>
              </w:rPr>
            </w:pPr>
            <w:r>
              <w:rPr>
                <w:rFonts w:hint="eastAsia" w:ascii="宋体" w:hAnsi="宋体" w:eastAsia="宋体" w:cs="宋体"/>
                <w:b/>
                <w:bCs/>
                <w:color w:val="auto"/>
                <w:spacing w:val="-4"/>
                <w:highlight w:val="none"/>
              </w:rPr>
              <w:t>评标标准</w:t>
            </w:r>
          </w:p>
        </w:tc>
        <w:tc>
          <w:tcPr>
            <w:tcW w:w="389" w:type="pct"/>
            <w:vAlign w:val="top"/>
          </w:tcPr>
          <w:p w14:paraId="742FB4C7">
            <w:pPr>
              <w:pStyle w:val="340"/>
              <w:spacing w:before="195" w:line="219" w:lineRule="auto"/>
              <w:ind w:left="147"/>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权重</w:t>
            </w:r>
          </w:p>
        </w:tc>
        <w:tc>
          <w:tcPr>
            <w:tcW w:w="498" w:type="pct"/>
            <w:vAlign w:val="top"/>
          </w:tcPr>
          <w:p w14:paraId="2293C5D7">
            <w:pPr>
              <w:pStyle w:val="340"/>
              <w:spacing w:before="63" w:line="220" w:lineRule="auto"/>
              <w:ind w:left="57"/>
              <w:jc w:val="left"/>
              <w:rPr>
                <w:rFonts w:hint="eastAsia" w:ascii="宋体" w:hAnsi="宋体" w:eastAsia="宋体" w:cs="宋体"/>
                <w:color w:val="auto"/>
                <w:highlight w:val="none"/>
              </w:rPr>
            </w:pPr>
            <w:r>
              <w:rPr>
                <w:rFonts w:hint="eastAsia" w:ascii="宋体" w:hAnsi="宋体" w:eastAsia="宋体" w:cs="宋体"/>
                <w:color w:val="auto"/>
                <w:spacing w:val="-2"/>
                <w:highlight w:val="none"/>
              </w:rPr>
              <w:t>主观分/客观</w:t>
            </w:r>
            <w:r>
              <w:rPr>
                <w:rFonts w:hint="eastAsia" w:ascii="宋体" w:hAnsi="宋体" w:eastAsia="宋体" w:cs="宋体"/>
                <w:color w:val="auto"/>
                <w:spacing w:val="-3"/>
                <w:highlight w:val="none"/>
              </w:rPr>
              <w:t>分属性</w:t>
            </w:r>
          </w:p>
        </w:tc>
        <w:tc>
          <w:tcPr>
            <w:tcW w:w="651" w:type="pct"/>
            <w:vAlign w:val="top"/>
          </w:tcPr>
          <w:p w14:paraId="2F8B3AA2">
            <w:pPr>
              <w:pStyle w:val="340"/>
              <w:spacing w:before="14" w:line="221" w:lineRule="auto"/>
              <w:ind w:left="0"/>
              <w:jc w:val="left"/>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投标文件中评标标准相应的商务技术资料目录 *</w:t>
            </w:r>
          </w:p>
        </w:tc>
      </w:tr>
      <w:tr w14:paraId="2B6B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314" w:type="pct"/>
            <w:vAlign w:val="center"/>
          </w:tcPr>
          <w:p w14:paraId="67B40C5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45" w:type="pct"/>
            <w:vAlign w:val="top"/>
          </w:tcPr>
          <w:p w14:paraId="78903DD6">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供应商具有有效的ISO质量管理体系认证、ISO职业健康管理体系认证、ISO环境管理体系认证的，每个得1分，最高得3分。证明材料：提供证书扫描件，未提供的不得分。</w:t>
            </w:r>
          </w:p>
          <w:p w14:paraId="2B4E0623">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证明材料：同时提供证书复印件和相关网站【中国国家认证认可监督管理委员会(http://www.cnca.gov.cn)或中国合格评定国家认可委员会(https://www.cnas.org.cn)】查询网页截图（缺一不可）加盖公章，未提供证明材料或未在有效期内的均不得分。</w:t>
            </w:r>
          </w:p>
        </w:tc>
        <w:tc>
          <w:tcPr>
            <w:tcW w:w="389" w:type="pct"/>
            <w:vAlign w:val="center"/>
          </w:tcPr>
          <w:p w14:paraId="61A87B9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98" w:type="pct"/>
            <w:vAlign w:val="center"/>
          </w:tcPr>
          <w:p w14:paraId="4E7BDD87">
            <w:pPr>
              <w:jc w:val="center"/>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客观分</w:t>
            </w:r>
          </w:p>
        </w:tc>
        <w:tc>
          <w:tcPr>
            <w:tcW w:w="651" w:type="pct"/>
            <w:vAlign w:val="top"/>
          </w:tcPr>
          <w:p w14:paraId="1F5CDB67">
            <w:pPr>
              <w:jc w:val="center"/>
              <w:rPr>
                <w:rFonts w:hint="eastAsia" w:ascii="宋体" w:hAnsi="宋体" w:eastAsia="宋体" w:cs="宋体"/>
                <w:color w:val="auto"/>
                <w:sz w:val="24"/>
                <w:highlight w:val="none"/>
              </w:rPr>
            </w:pPr>
          </w:p>
        </w:tc>
      </w:tr>
      <w:tr w14:paraId="486A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314" w:type="pct"/>
            <w:vAlign w:val="center"/>
          </w:tcPr>
          <w:p w14:paraId="10E6B16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145" w:type="pct"/>
            <w:vAlign w:val="top"/>
          </w:tcPr>
          <w:p w14:paraId="48601BFD">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类似业绩：</w:t>
            </w:r>
            <w:r>
              <w:rPr>
                <w:rFonts w:hint="eastAsia" w:ascii="宋体" w:hAnsi="宋体" w:cs="宋体"/>
                <w:color w:val="auto"/>
                <w:spacing w:val="-3"/>
                <w:highlight w:val="none"/>
                <w:lang w:val="en-US" w:eastAsia="zh-CN"/>
              </w:rPr>
              <w:t>供应商自</w:t>
            </w:r>
            <w:r>
              <w:rPr>
                <w:rFonts w:hint="eastAsia" w:ascii="宋体" w:hAnsi="宋体" w:eastAsia="宋体" w:cs="宋体"/>
                <w:color w:val="auto"/>
                <w:spacing w:val="-3"/>
                <w:highlight w:val="none"/>
                <w:lang w:val="en-US" w:eastAsia="zh-CN"/>
              </w:rPr>
              <w:t>2023年1月1日(以合同签订日期为准)以来</w:t>
            </w:r>
            <w:r>
              <w:rPr>
                <w:rFonts w:hint="eastAsia" w:ascii="宋体" w:hAnsi="宋体" w:cs="宋体"/>
                <w:color w:val="auto"/>
                <w:spacing w:val="-3"/>
                <w:highlight w:val="none"/>
                <w:lang w:val="en-US" w:eastAsia="zh-CN"/>
              </w:rPr>
              <w:t>完成过</w:t>
            </w:r>
            <w:r>
              <w:rPr>
                <w:rFonts w:hint="eastAsia" w:ascii="宋体" w:hAnsi="宋体" w:eastAsia="宋体" w:cs="宋体"/>
                <w:color w:val="auto"/>
                <w:spacing w:val="-3"/>
                <w:highlight w:val="none"/>
                <w:lang w:val="en-US" w:eastAsia="zh-CN"/>
              </w:rPr>
              <w:t>的类似保安服务项目，每个得0.5分，最高得1分。</w:t>
            </w:r>
          </w:p>
          <w:p w14:paraId="4F661CD7">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证明材料：提供服务合同复印件，时间以合同签订时间为准。</w:t>
            </w:r>
          </w:p>
        </w:tc>
        <w:tc>
          <w:tcPr>
            <w:tcW w:w="389" w:type="pct"/>
            <w:vAlign w:val="center"/>
          </w:tcPr>
          <w:p w14:paraId="57663F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498" w:type="pct"/>
            <w:vAlign w:val="center"/>
          </w:tcPr>
          <w:p w14:paraId="38FDECAF">
            <w:pPr>
              <w:pStyle w:val="340"/>
              <w:spacing w:before="58" w:line="220" w:lineRule="auto"/>
              <w:ind w:left="0"/>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客观分</w:t>
            </w:r>
          </w:p>
        </w:tc>
        <w:tc>
          <w:tcPr>
            <w:tcW w:w="651" w:type="pct"/>
            <w:vAlign w:val="top"/>
          </w:tcPr>
          <w:p w14:paraId="419AA288">
            <w:pPr>
              <w:jc w:val="center"/>
              <w:rPr>
                <w:rFonts w:hint="eastAsia" w:ascii="宋体" w:hAnsi="宋体" w:eastAsia="宋体" w:cs="宋体"/>
                <w:color w:val="auto"/>
                <w:sz w:val="24"/>
                <w:highlight w:val="none"/>
              </w:rPr>
            </w:pPr>
          </w:p>
        </w:tc>
      </w:tr>
      <w:tr w14:paraId="7E66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314" w:type="pct"/>
            <w:vAlign w:val="center"/>
          </w:tcPr>
          <w:p w14:paraId="0312132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145" w:type="pct"/>
            <w:vAlign w:val="top"/>
          </w:tcPr>
          <w:p w14:paraId="3F1D05A0">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荣誉表彰：</w:t>
            </w:r>
            <w:r>
              <w:rPr>
                <w:rFonts w:hint="eastAsia" w:ascii="宋体" w:hAnsi="宋体" w:cs="宋体"/>
                <w:color w:val="auto"/>
                <w:spacing w:val="-3"/>
                <w:highlight w:val="none"/>
                <w:lang w:val="en-US" w:eastAsia="zh-CN"/>
              </w:rPr>
              <w:t>供应商自</w:t>
            </w:r>
            <w:r>
              <w:rPr>
                <w:rFonts w:hint="eastAsia" w:ascii="宋体" w:hAnsi="宋体" w:eastAsia="宋体" w:cs="宋体"/>
                <w:color w:val="auto"/>
                <w:spacing w:val="-3"/>
                <w:highlight w:val="none"/>
                <w:lang w:val="en-US" w:eastAsia="zh-CN"/>
              </w:rPr>
              <w:t>2023年1月1日(以获奖证书或获奖文件时间为准)</w:t>
            </w:r>
            <w:r>
              <w:rPr>
                <w:rFonts w:hint="eastAsia" w:ascii="宋体" w:hAnsi="宋体" w:cs="宋体"/>
                <w:color w:val="auto"/>
                <w:spacing w:val="-3"/>
                <w:highlight w:val="none"/>
                <w:lang w:val="en-US" w:eastAsia="zh-CN"/>
              </w:rPr>
              <w:t>以来</w:t>
            </w:r>
            <w:r>
              <w:rPr>
                <w:rFonts w:hint="eastAsia" w:ascii="宋体" w:hAnsi="宋体" w:eastAsia="宋体" w:cs="宋体"/>
                <w:color w:val="auto"/>
                <w:spacing w:val="-3"/>
                <w:highlight w:val="none"/>
                <w:lang w:val="en-US" w:eastAsia="zh-CN"/>
              </w:rPr>
              <w:t>获得</w:t>
            </w:r>
            <w:r>
              <w:rPr>
                <w:rFonts w:hint="eastAsia" w:ascii="宋体" w:hAnsi="宋体" w:cs="宋体"/>
                <w:color w:val="auto"/>
                <w:spacing w:val="-3"/>
                <w:highlight w:val="none"/>
                <w:lang w:val="en-US" w:eastAsia="zh-CN"/>
              </w:rPr>
              <w:t>过</w:t>
            </w:r>
            <w:r>
              <w:rPr>
                <w:rFonts w:hint="eastAsia" w:ascii="宋体" w:hAnsi="宋体" w:eastAsia="宋体" w:cs="宋体"/>
                <w:color w:val="auto"/>
                <w:spacing w:val="-3"/>
                <w:highlight w:val="none"/>
                <w:lang w:val="en-US" w:eastAsia="zh-CN"/>
              </w:rPr>
              <w:t>政府相关部门颁发的相关类荣誉</w:t>
            </w:r>
            <w:r>
              <w:rPr>
                <w:rFonts w:hint="eastAsia" w:ascii="宋体" w:hAnsi="宋体" w:cs="宋体"/>
                <w:color w:val="auto"/>
                <w:spacing w:val="-3"/>
                <w:highlight w:val="none"/>
                <w:lang w:val="en-US" w:eastAsia="zh-CN"/>
              </w:rPr>
              <w:t>（荣誉需与采购项目需求相适应）</w:t>
            </w:r>
            <w:r>
              <w:rPr>
                <w:rFonts w:hint="eastAsia" w:ascii="宋体" w:hAnsi="宋体" w:eastAsia="宋体" w:cs="宋体"/>
                <w:color w:val="auto"/>
                <w:spacing w:val="-3"/>
                <w:highlight w:val="none"/>
                <w:lang w:val="en-US" w:eastAsia="zh-CN"/>
              </w:rPr>
              <w:t>，市级荣誉的，1个得0.5分；省级荣誉的，1个得1分。满分1分。</w:t>
            </w:r>
          </w:p>
          <w:p w14:paraId="71169AC2">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证明材料：获奖证书复印件或获奖文件复印件。</w:t>
            </w:r>
          </w:p>
        </w:tc>
        <w:tc>
          <w:tcPr>
            <w:tcW w:w="389" w:type="pct"/>
            <w:vAlign w:val="center"/>
          </w:tcPr>
          <w:p w14:paraId="54E527F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98" w:type="pct"/>
            <w:vAlign w:val="center"/>
          </w:tcPr>
          <w:p w14:paraId="26FE851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客观分</w:t>
            </w:r>
          </w:p>
        </w:tc>
        <w:tc>
          <w:tcPr>
            <w:tcW w:w="651" w:type="pct"/>
            <w:vAlign w:val="top"/>
          </w:tcPr>
          <w:p w14:paraId="714252DF">
            <w:pPr>
              <w:jc w:val="center"/>
              <w:rPr>
                <w:rFonts w:hint="eastAsia" w:ascii="宋体" w:hAnsi="宋体" w:eastAsia="宋体" w:cs="宋体"/>
                <w:color w:val="auto"/>
                <w:sz w:val="24"/>
                <w:highlight w:val="none"/>
              </w:rPr>
            </w:pPr>
          </w:p>
        </w:tc>
      </w:tr>
      <w:tr w14:paraId="70BF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4" w:type="pct"/>
            <w:vAlign w:val="center"/>
          </w:tcPr>
          <w:p w14:paraId="07A51ED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p>
        </w:tc>
        <w:tc>
          <w:tcPr>
            <w:tcW w:w="3145" w:type="pct"/>
            <w:vAlign w:val="top"/>
          </w:tcPr>
          <w:p w14:paraId="02548BE0">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4.1项目负责人具备保安员一级高级技师加2分；项目负责人年龄在</w:t>
            </w:r>
            <w:r>
              <w:rPr>
                <w:rFonts w:hint="eastAsia" w:ascii="宋体" w:hAnsi="宋体" w:cs="宋体"/>
                <w:color w:val="auto"/>
                <w:spacing w:val="-3"/>
                <w:highlight w:val="none"/>
                <w:lang w:val="en-US" w:eastAsia="zh-CN"/>
              </w:rPr>
              <w:t>50</w:t>
            </w:r>
            <w:r>
              <w:rPr>
                <w:rFonts w:hint="eastAsia" w:ascii="宋体" w:hAnsi="宋体" w:eastAsia="宋体" w:cs="宋体"/>
                <w:color w:val="auto"/>
                <w:spacing w:val="-3"/>
                <w:highlight w:val="none"/>
                <w:lang w:val="en-US" w:eastAsia="zh-CN"/>
              </w:rPr>
              <w:t>周岁以内的得2分(提供身份证复印件)；项目负责人本科以上学历的得2分。</w:t>
            </w:r>
          </w:p>
          <w:p w14:paraId="185F9291">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4.2项目队长均具备保安员二级技师加2分；</w:t>
            </w:r>
          </w:p>
          <w:p w14:paraId="0D1F2EF5">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项目队长年龄均在50周岁以内的得2分(提供身份证复印件)；项目队长</w:t>
            </w:r>
            <w:r>
              <w:rPr>
                <w:rFonts w:hint="eastAsia" w:ascii="宋体" w:hAnsi="宋体" w:cs="宋体"/>
                <w:color w:val="auto"/>
                <w:spacing w:val="-3"/>
                <w:highlight w:val="none"/>
                <w:lang w:val="en-US" w:eastAsia="zh-CN"/>
              </w:rPr>
              <w:t>、副队长均</w:t>
            </w:r>
            <w:r>
              <w:rPr>
                <w:rFonts w:hint="eastAsia" w:ascii="宋体" w:hAnsi="宋体" w:eastAsia="宋体" w:cs="宋体"/>
                <w:color w:val="auto"/>
                <w:spacing w:val="-3"/>
                <w:highlight w:val="none"/>
                <w:lang w:val="en-US" w:eastAsia="zh-CN"/>
              </w:rPr>
              <w:t>为</w:t>
            </w:r>
            <w:r>
              <w:rPr>
                <w:rFonts w:hint="eastAsia" w:ascii="宋体" w:hAnsi="宋体" w:cs="宋体"/>
                <w:color w:val="auto"/>
                <w:spacing w:val="-3"/>
                <w:highlight w:val="none"/>
                <w:lang w:val="en-US" w:eastAsia="zh-CN"/>
              </w:rPr>
              <w:t>大专</w:t>
            </w:r>
            <w:r>
              <w:rPr>
                <w:rFonts w:hint="eastAsia" w:ascii="宋体" w:hAnsi="宋体" w:eastAsia="宋体" w:cs="宋体"/>
                <w:color w:val="auto"/>
                <w:spacing w:val="-3"/>
                <w:highlight w:val="none"/>
                <w:lang w:val="en-US" w:eastAsia="zh-CN"/>
              </w:rPr>
              <w:t>以上学历的得2分。</w:t>
            </w:r>
          </w:p>
          <w:p w14:paraId="2D9072DE">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本项最多12分。</w:t>
            </w:r>
          </w:p>
          <w:p w14:paraId="6116AB3A">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证明材料：所有人员提供相关有效期内证书复印件及</w:t>
            </w:r>
            <w:r>
              <w:rPr>
                <w:rFonts w:hint="eastAsia"/>
                <w:color w:val="auto"/>
                <w:highlight w:val="none"/>
                <w:lang w:val="en-US" w:eastAsia="zh-CN"/>
              </w:rPr>
              <w:t>近三个月中任意一个月</w:t>
            </w:r>
            <w:r>
              <w:rPr>
                <w:rFonts w:hint="eastAsia" w:ascii="宋体" w:hAnsi="宋体" w:eastAsia="宋体" w:cs="宋体"/>
                <w:color w:val="auto"/>
                <w:spacing w:val="-3"/>
                <w:highlight w:val="none"/>
                <w:lang w:val="en-US" w:eastAsia="zh-CN"/>
              </w:rPr>
              <w:t>人员社保证明(缺社保该人员相关均不得分，缺证书对应条款不得分)</w:t>
            </w:r>
          </w:p>
        </w:tc>
        <w:tc>
          <w:tcPr>
            <w:tcW w:w="389" w:type="pct"/>
            <w:vAlign w:val="center"/>
          </w:tcPr>
          <w:p w14:paraId="108CEF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12</w:t>
            </w:r>
          </w:p>
        </w:tc>
        <w:tc>
          <w:tcPr>
            <w:tcW w:w="498" w:type="pct"/>
            <w:vAlign w:val="center"/>
          </w:tcPr>
          <w:p w14:paraId="306AC5D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客观分</w:t>
            </w:r>
          </w:p>
        </w:tc>
        <w:tc>
          <w:tcPr>
            <w:tcW w:w="651" w:type="pct"/>
            <w:vAlign w:val="top"/>
          </w:tcPr>
          <w:p w14:paraId="3DFE42B8">
            <w:pPr>
              <w:jc w:val="center"/>
              <w:rPr>
                <w:rFonts w:hint="eastAsia" w:ascii="宋体" w:hAnsi="宋体" w:eastAsia="宋体" w:cs="宋体"/>
                <w:color w:val="auto"/>
                <w:sz w:val="24"/>
                <w:highlight w:val="none"/>
              </w:rPr>
            </w:pPr>
          </w:p>
        </w:tc>
      </w:tr>
      <w:tr w14:paraId="3C40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14" w:type="pct"/>
            <w:vAlign w:val="center"/>
          </w:tcPr>
          <w:p w14:paraId="51E6834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145" w:type="pct"/>
            <w:vAlign w:val="top"/>
          </w:tcPr>
          <w:p w14:paraId="259C733C">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拟任所有人员(项目负责人除外)拥有保安员三级及以上证书 (证书不能体现等级的需提供相关的网页查询截图)达到10%及以上的，加5分，退伍军人人数达到5%以上，加4分，满分9分。</w:t>
            </w:r>
          </w:p>
          <w:p w14:paraId="7E6D6304">
            <w:pPr>
              <w:pStyle w:val="340"/>
              <w:spacing w:before="30" w:line="214" w:lineRule="auto"/>
              <w:ind w:left="30" w:right="0"/>
              <w:jc w:val="left"/>
              <w:rPr>
                <w:rFonts w:hint="eastAsia" w:ascii="宋体" w:hAnsi="宋体" w:eastAsia="宋体" w:cs="宋体"/>
                <w:color w:val="auto"/>
                <w:highlight w:val="none"/>
              </w:rPr>
            </w:pPr>
            <w:r>
              <w:rPr>
                <w:rFonts w:hint="eastAsia" w:ascii="宋体" w:hAnsi="宋体" w:eastAsia="宋体" w:cs="宋体"/>
                <w:b/>
                <w:bCs/>
                <w:color w:val="auto"/>
                <w:spacing w:val="-3"/>
                <w:highlight w:val="none"/>
                <w:lang w:val="en-US" w:eastAsia="zh-CN"/>
              </w:rPr>
              <w:t>注：所有服务人员提供有效期内的相关证书复印件及近三个月中任意一个月的社保证明；社保不提供本项不得分；一人符合多条，可重复计分。</w:t>
            </w:r>
          </w:p>
        </w:tc>
        <w:tc>
          <w:tcPr>
            <w:tcW w:w="389" w:type="pct"/>
            <w:vAlign w:val="center"/>
          </w:tcPr>
          <w:p w14:paraId="1E70891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98" w:type="pct"/>
            <w:vAlign w:val="center"/>
          </w:tcPr>
          <w:p w14:paraId="0D4B4E3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客观分</w:t>
            </w:r>
          </w:p>
        </w:tc>
        <w:tc>
          <w:tcPr>
            <w:tcW w:w="651" w:type="pct"/>
            <w:vAlign w:val="top"/>
          </w:tcPr>
          <w:p w14:paraId="5ED99AAE">
            <w:pPr>
              <w:jc w:val="center"/>
              <w:rPr>
                <w:rFonts w:hint="eastAsia" w:ascii="宋体" w:hAnsi="宋体" w:eastAsia="宋体" w:cs="宋体"/>
                <w:color w:val="auto"/>
                <w:sz w:val="24"/>
                <w:highlight w:val="none"/>
              </w:rPr>
            </w:pPr>
          </w:p>
        </w:tc>
      </w:tr>
      <w:tr w14:paraId="23D3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314" w:type="pct"/>
            <w:vAlign w:val="center"/>
          </w:tcPr>
          <w:p w14:paraId="1185D479">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145" w:type="pct"/>
            <w:vAlign w:val="top"/>
          </w:tcPr>
          <w:p w14:paraId="7F15D69A">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本项目所提供相关设备、器材、物资配备情况(5分)：</w:t>
            </w:r>
          </w:p>
          <w:p w14:paraId="46912442">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按管理需要装备器材，设备精良并附配置清单，按实际配备，包括但不限于：对讲机(配备备用电池)、腰带、手电筒、盾牌、钢叉、防刺服、防刺手套、钢盔、橡胶棒、雨衣、雨鞋等符合实际需求的装备。装备配备一项得0.5分，满分5分。</w:t>
            </w:r>
          </w:p>
          <w:p w14:paraId="51BA9C3E">
            <w:pPr>
              <w:pStyle w:val="340"/>
              <w:spacing w:before="56" w:line="219" w:lineRule="auto"/>
              <w:ind w:left="70"/>
              <w:jc w:val="left"/>
              <w:rPr>
                <w:rFonts w:hint="eastAsia" w:ascii="宋体" w:hAnsi="宋体" w:eastAsia="宋体" w:cs="宋体"/>
                <w:color w:val="auto"/>
                <w:spacing w:val="-1"/>
                <w:highlight w:val="none"/>
              </w:rPr>
            </w:pPr>
            <w:r>
              <w:rPr>
                <w:b/>
                <w:bCs/>
                <w:color w:val="auto"/>
                <w:spacing w:val="-3"/>
                <w:highlight w:val="none"/>
              </w:rPr>
              <w:t>注：提供承诺函及装备实物照片。</w:t>
            </w:r>
          </w:p>
        </w:tc>
        <w:tc>
          <w:tcPr>
            <w:tcW w:w="389" w:type="pct"/>
            <w:vAlign w:val="center"/>
          </w:tcPr>
          <w:p w14:paraId="0773079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98" w:type="pct"/>
            <w:vAlign w:val="center"/>
          </w:tcPr>
          <w:p w14:paraId="47479AE3">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客观分</w:t>
            </w:r>
          </w:p>
        </w:tc>
        <w:tc>
          <w:tcPr>
            <w:tcW w:w="651" w:type="pct"/>
            <w:vAlign w:val="top"/>
          </w:tcPr>
          <w:p w14:paraId="5EC07390">
            <w:pPr>
              <w:jc w:val="center"/>
              <w:rPr>
                <w:rFonts w:hint="eastAsia" w:ascii="宋体" w:hAnsi="宋体" w:eastAsia="宋体" w:cs="宋体"/>
                <w:color w:val="auto"/>
                <w:sz w:val="24"/>
                <w:highlight w:val="none"/>
              </w:rPr>
            </w:pPr>
          </w:p>
        </w:tc>
      </w:tr>
      <w:tr w14:paraId="279E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0234CDF2">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145" w:type="pct"/>
            <w:vAlign w:val="top"/>
          </w:tcPr>
          <w:p w14:paraId="7CD5057B">
            <w:pPr>
              <w:pStyle w:val="340"/>
              <w:numPr>
                <w:ilvl w:val="0"/>
                <w:numId w:val="0"/>
              </w:numPr>
              <w:spacing w:before="30" w:line="214" w:lineRule="auto"/>
              <w:ind w:right="0" w:rightChars="0"/>
              <w:jc w:val="left"/>
              <w:rPr>
                <w:rFonts w:hint="eastAsia" w:ascii="宋体" w:hAnsi="宋体" w:cs="宋体"/>
                <w:color w:val="auto"/>
                <w:spacing w:val="-3"/>
                <w:highlight w:val="none"/>
                <w:lang w:val="en-US" w:eastAsia="zh-CN"/>
              </w:rPr>
            </w:pPr>
            <w:r>
              <w:rPr>
                <w:rFonts w:hint="eastAsia" w:ascii="宋体" w:hAnsi="宋体" w:eastAsia="宋体" w:cs="宋体"/>
                <w:color w:val="auto"/>
                <w:spacing w:val="-3"/>
                <w:highlight w:val="none"/>
                <w:lang w:val="en-US" w:eastAsia="zh-CN"/>
              </w:rPr>
              <w:t>(1)投标总体方案</w:t>
            </w:r>
            <w:r>
              <w:rPr>
                <w:rFonts w:hint="eastAsia" w:ascii="宋体" w:hAnsi="宋体" w:cs="宋体"/>
                <w:color w:val="auto"/>
                <w:spacing w:val="-3"/>
                <w:highlight w:val="none"/>
                <w:lang w:val="en-US" w:eastAsia="zh-CN"/>
              </w:rPr>
              <w:t>编制的专业性、全面性、科学性进行评分</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5</w:t>
            </w:r>
            <w:r>
              <w:rPr>
                <w:rFonts w:hint="eastAsia" w:ascii="宋体" w:hAnsi="宋体" w:eastAsia="宋体" w:cs="宋体"/>
                <w:color w:val="auto"/>
                <w:spacing w:val="-3"/>
                <w:highlight w:val="none"/>
                <w:lang w:val="en-US" w:eastAsia="zh-CN"/>
              </w:rPr>
              <w:t>分)</w:t>
            </w:r>
            <w:r>
              <w:rPr>
                <w:rFonts w:hint="eastAsia" w:ascii="宋体" w:hAnsi="宋体" w:cs="宋体"/>
                <w:color w:val="auto"/>
                <w:spacing w:val="-3"/>
                <w:highlight w:val="none"/>
                <w:lang w:val="en-US" w:eastAsia="zh-CN"/>
              </w:rPr>
              <w:t>；</w:t>
            </w:r>
            <w:r>
              <w:rPr>
                <w:rFonts w:hint="eastAsia" w:ascii="宋体" w:hAnsi="宋体" w:eastAsia="宋体" w:cs="宋体"/>
                <w:color w:val="auto"/>
                <w:spacing w:val="-3"/>
                <w:highlight w:val="none"/>
                <w:lang w:val="en-US" w:eastAsia="zh-CN"/>
              </w:rPr>
              <w:t>（评分范围：</w:t>
            </w:r>
            <w:r>
              <w:rPr>
                <w:rFonts w:hint="eastAsia" w:ascii="宋体" w:hAnsi="宋体" w:cs="宋体"/>
                <w:color w:val="auto"/>
                <w:spacing w:val="-3"/>
                <w:highlight w:val="none"/>
                <w:lang w:val="en-US" w:eastAsia="zh-CN"/>
              </w:rPr>
              <w:t>5</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4</w:t>
            </w:r>
            <w:r>
              <w:rPr>
                <w:rFonts w:hint="eastAsia" w:ascii="宋体" w:hAnsi="宋体" w:eastAsia="宋体" w:cs="宋体"/>
                <w:color w:val="auto"/>
                <w:spacing w:val="-3"/>
                <w:highlight w:val="none"/>
                <w:lang w:val="en-US" w:eastAsia="zh-CN"/>
              </w:rPr>
              <w:t>,3,2,1,0）</w:t>
            </w:r>
          </w:p>
          <w:p w14:paraId="38EA4654">
            <w:pPr>
              <w:pStyle w:val="340"/>
              <w:numPr>
                <w:ilvl w:val="0"/>
                <w:numId w:val="0"/>
              </w:numPr>
              <w:spacing w:before="30" w:line="214" w:lineRule="auto"/>
              <w:ind w:right="0" w:rightChars="0"/>
              <w:jc w:val="left"/>
              <w:rPr>
                <w:rFonts w:hint="default"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(2)</w:t>
            </w:r>
            <w:r>
              <w:rPr>
                <w:rFonts w:hint="eastAsia" w:ascii="宋体" w:hAnsi="宋体" w:cs="宋体"/>
                <w:color w:val="auto"/>
                <w:spacing w:val="-3"/>
                <w:highlight w:val="none"/>
                <w:lang w:val="en-US" w:eastAsia="zh-CN"/>
              </w:rPr>
              <w:t>具体服务内容与采购</w:t>
            </w:r>
            <w:r>
              <w:rPr>
                <w:rFonts w:hint="eastAsia" w:ascii="宋体" w:hAnsi="宋体" w:eastAsia="宋体" w:cs="宋体"/>
                <w:color w:val="auto"/>
                <w:spacing w:val="-3"/>
                <w:highlight w:val="none"/>
                <w:lang w:val="en-US" w:eastAsia="zh-CN"/>
              </w:rPr>
              <w:t>需求的吻合</w:t>
            </w:r>
            <w:r>
              <w:rPr>
                <w:rFonts w:hint="eastAsia" w:ascii="宋体" w:hAnsi="宋体" w:cs="宋体"/>
                <w:color w:val="auto"/>
                <w:spacing w:val="-3"/>
                <w:highlight w:val="none"/>
                <w:lang w:val="en-US" w:eastAsia="zh-CN"/>
              </w:rPr>
              <w:t>性、针对性、可行性进行评分</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4</w:t>
            </w:r>
            <w:r>
              <w:rPr>
                <w:rFonts w:hint="eastAsia" w:ascii="宋体" w:hAnsi="宋体" w:eastAsia="宋体" w:cs="宋体"/>
                <w:color w:val="auto"/>
                <w:spacing w:val="-3"/>
                <w:highlight w:val="none"/>
                <w:lang w:val="en-US" w:eastAsia="zh-CN"/>
              </w:rPr>
              <w:t>分)</w:t>
            </w:r>
            <w:r>
              <w:rPr>
                <w:rFonts w:hint="eastAsia" w:ascii="宋体" w:hAnsi="宋体" w:cs="宋体"/>
                <w:color w:val="auto"/>
                <w:spacing w:val="-3"/>
                <w:highlight w:val="none"/>
                <w:lang w:val="en-US" w:eastAsia="zh-CN"/>
              </w:rPr>
              <w:t>；</w:t>
            </w:r>
            <w:r>
              <w:rPr>
                <w:rFonts w:hint="eastAsia" w:ascii="宋体" w:hAnsi="宋体" w:eastAsia="宋体" w:cs="宋体"/>
                <w:color w:val="auto"/>
                <w:spacing w:val="-3"/>
                <w:highlight w:val="none"/>
                <w:lang w:val="en-US" w:eastAsia="zh-CN"/>
              </w:rPr>
              <w:t>（评分范围：</w:t>
            </w:r>
            <w:r>
              <w:rPr>
                <w:rFonts w:hint="eastAsia" w:ascii="宋体" w:hAnsi="宋体" w:cs="宋体"/>
                <w:color w:val="auto"/>
                <w:spacing w:val="-3"/>
                <w:highlight w:val="none"/>
                <w:lang w:val="en-US" w:eastAsia="zh-CN"/>
              </w:rPr>
              <w:t>4</w:t>
            </w:r>
            <w:r>
              <w:rPr>
                <w:rFonts w:hint="eastAsia" w:ascii="宋体" w:hAnsi="宋体" w:eastAsia="宋体" w:cs="宋体"/>
                <w:color w:val="auto"/>
                <w:spacing w:val="-3"/>
                <w:highlight w:val="none"/>
                <w:lang w:val="en-US" w:eastAsia="zh-CN"/>
              </w:rPr>
              <w:t>,3,2,1,0）</w:t>
            </w:r>
          </w:p>
        </w:tc>
        <w:tc>
          <w:tcPr>
            <w:tcW w:w="389" w:type="pct"/>
            <w:vAlign w:val="center"/>
          </w:tcPr>
          <w:p w14:paraId="7ADD055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98" w:type="pct"/>
            <w:vAlign w:val="center"/>
          </w:tcPr>
          <w:p w14:paraId="3F8950A9">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61EF777A">
            <w:pPr>
              <w:jc w:val="center"/>
              <w:rPr>
                <w:rFonts w:hint="eastAsia" w:ascii="宋体" w:hAnsi="宋体" w:eastAsia="宋体" w:cs="宋体"/>
                <w:color w:val="auto"/>
                <w:sz w:val="24"/>
                <w:highlight w:val="none"/>
              </w:rPr>
            </w:pPr>
          </w:p>
        </w:tc>
      </w:tr>
      <w:tr w14:paraId="50AC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3FC3A0DD">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3145" w:type="pct"/>
            <w:vAlign w:val="top"/>
          </w:tcPr>
          <w:p w14:paraId="79B535D0">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提供满足招标需求的服务管理模式及配套措施(</w:t>
            </w:r>
            <w:r>
              <w:rPr>
                <w:rFonts w:hint="eastAsia" w:ascii="宋体" w:hAnsi="宋体" w:cs="宋体"/>
                <w:color w:val="auto"/>
                <w:spacing w:val="-3"/>
                <w:highlight w:val="none"/>
                <w:lang w:val="en-US" w:eastAsia="zh-CN"/>
              </w:rPr>
              <w:t>6</w:t>
            </w:r>
            <w:r>
              <w:rPr>
                <w:rFonts w:hint="eastAsia" w:ascii="宋体" w:hAnsi="宋体" w:eastAsia="宋体" w:cs="宋体"/>
                <w:color w:val="auto"/>
                <w:spacing w:val="-3"/>
                <w:highlight w:val="none"/>
                <w:lang w:val="en-US" w:eastAsia="zh-CN"/>
              </w:rPr>
              <w:t>分)</w:t>
            </w:r>
          </w:p>
          <w:p w14:paraId="6EBF0002">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对各项管理规章制度的完善性和针对性进行评分(3分)。（评分范围：3,2,1,0）；以及对招标人的管理模式和服务现场的符合程度进行评分(3分)。（评分范围：3,2,1,0）</w:t>
            </w:r>
          </w:p>
        </w:tc>
        <w:tc>
          <w:tcPr>
            <w:tcW w:w="389" w:type="pct"/>
            <w:vAlign w:val="center"/>
          </w:tcPr>
          <w:p w14:paraId="2C572B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98" w:type="pct"/>
            <w:vAlign w:val="center"/>
          </w:tcPr>
          <w:p w14:paraId="778C9688">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729A5C3E">
            <w:pPr>
              <w:jc w:val="center"/>
              <w:rPr>
                <w:rFonts w:hint="eastAsia" w:ascii="宋体" w:hAnsi="宋体" w:eastAsia="宋体" w:cs="宋体"/>
                <w:color w:val="auto"/>
                <w:sz w:val="24"/>
                <w:highlight w:val="none"/>
              </w:rPr>
            </w:pPr>
          </w:p>
        </w:tc>
      </w:tr>
      <w:tr w14:paraId="7F856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4983ABAC">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3145" w:type="pct"/>
            <w:vAlign w:val="top"/>
          </w:tcPr>
          <w:p w14:paraId="0F32EB65">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应急方案及措施的可行性、可操作性及针对性进行评分(16分):</w:t>
            </w:r>
          </w:p>
          <w:p w14:paraId="7237AF01">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(1)提供对于突发事件的响应时间及处理时间的响应承诺，且承诺对于突发事件15分钟内增援人员到事件现场得2分；</w:t>
            </w:r>
          </w:p>
          <w:p w14:paraId="2AFE1314">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(2)提供对发生灾害性天气及其他环境突发事件时的紧急预案，2分（评分范围：2,1,0）；</w:t>
            </w:r>
          </w:p>
          <w:p w14:paraId="776137B9">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(3)提供对服务区域内治安、消防等紧急预案，2分（评分范围：2,1,0）；</w:t>
            </w:r>
          </w:p>
          <w:p w14:paraId="123D761E">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(4)提供对服务区域内交通突发事件紧急预案，2分（评分范围：2,1,0）；</w:t>
            </w:r>
          </w:p>
          <w:p w14:paraId="69E91856">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(5)提供对重大活动或重要接待任务等的应急预案，2分（评分范围：2,1,0）；</w:t>
            </w:r>
          </w:p>
          <w:p w14:paraId="079C89F0">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(6)提供对各类突发治安事件、纠纷等的应急预案，2分（评分范围：2,1,0）；</w:t>
            </w:r>
          </w:p>
          <w:p w14:paraId="4F267B68">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(7)提供对服务区域内多人事件、暴恐事件等的应急预案，2分（评分范围：2,1,0）；</w:t>
            </w:r>
          </w:p>
          <w:p w14:paraId="79EB04BA">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(8)在特殊需要时承诺迅速派出专业应急队伍、专用机动车辆的得2分。</w:t>
            </w:r>
          </w:p>
        </w:tc>
        <w:tc>
          <w:tcPr>
            <w:tcW w:w="389" w:type="pct"/>
            <w:vAlign w:val="center"/>
          </w:tcPr>
          <w:p w14:paraId="3423470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498" w:type="pct"/>
            <w:vAlign w:val="center"/>
          </w:tcPr>
          <w:p w14:paraId="256E7214">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0BB62DE6">
            <w:pPr>
              <w:jc w:val="center"/>
              <w:rPr>
                <w:rFonts w:hint="eastAsia" w:ascii="宋体" w:hAnsi="宋体" w:eastAsia="宋体" w:cs="宋体"/>
                <w:color w:val="auto"/>
                <w:sz w:val="24"/>
                <w:highlight w:val="none"/>
              </w:rPr>
            </w:pPr>
          </w:p>
        </w:tc>
      </w:tr>
      <w:tr w14:paraId="67D9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00CE066E">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3145" w:type="pct"/>
            <w:vAlign w:val="top"/>
          </w:tcPr>
          <w:p w14:paraId="7CC680B9">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10.1对投标人服务机构设置方案、运作流程、工作标准及服务过程相关记录资料的信息管理办法等进行评分(4分)（评分范围：4,3,2,1,0）</w:t>
            </w:r>
          </w:p>
          <w:p w14:paraId="35BB6541">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10.2对招标人的工作管理要求及业务的适应性、符合性评分审。(4分)（评分范围：4,3,2,1,0）</w:t>
            </w:r>
          </w:p>
        </w:tc>
        <w:tc>
          <w:tcPr>
            <w:tcW w:w="389" w:type="pct"/>
            <w:vAlign w:val="center"/>
          </w:tcPr>
          <w:p w14:paraId="08C2740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98" w:type="pct"/>
            <w:vAlign w:val="center"/>
          </w:tcPr>
          <w:p w14:paraId="327D69A1">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743001FF">
            <w:pPr>
              <w:jc w:val="center"/>
              <w:rPr>
                <w:rFonts w:hint="eastAsia" w:ascii="宋体" w:hAnsi="宋体" w:eastAsia="宋体" w:cs="宋体"/>
                <w:color w:val="auto"/>
                <w:sz w:val="24"/>
                <w:highlight w:val="none"/>
              </w:rPr>
            </w:pPr>
          </w:p>
        </w:tc>
      </w:tr>
      <w:tr w14:paraId="2811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344FF777">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3145" w:type="pct"/>
            <w:vAlign w:val="top"/>
          </w:tcPr>
          <w:p w14:paraId="0225D2C0">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11.1投标人提供确保出勤率措施并具有可操作性得2分；（评分范围：2,1,0）</w:t>
            </w:r>
          </w:p>
          <w:p w14:paraId="04CA7F63">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11.2提供出勤率不足的自罚承诺得2分；</w:t>
            </w:r>
          </w:p>
          <w:p w14:paraId="08253494">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11.3对招标人提供专业技术支持承诺得1分</w:t>
            </w:r>
            <w:r>
              <w:rPr>
                <w:rFonts w:hint="eastAsia" w:ascii="宋体" w:hAnsi="宋体" w:cs="宋体"/>
                <w:color w:val="auto"/>
                <w:spacing w:val="-3"/>
                <w:highlight w:val="none"/>
                <w:lang w:val="en-US" w:eastAsia="zh-CN"/>
              </w:rPr>
              <w:t>。</w:t>
            </w:r>
          </w:p>
        </w:tc>
        <w:tc>
          <w:tcPr>
            <w:tcW w:w="389" w:type="pct"/>
            <w:vAlign w:val="center"/>
          </w:tcPr>
          <w:p w14:paraId="5A19635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98" w:type="pct"/>
            <w:vAlign w:val="center"/>
          </w:tcPr>
          <w:p w14:paraId="061529E8">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69FC037E">
            <w:pPr>
              <w:jc w:val="center"/>
              <w:rPr>
                <w:rFonts w:hint="eastAsia" w:ascii="宋体" w:hAnsi="宋体" w:eastAsia="宋体" w:cs="宋体"/>
                <w:color w:val="auto"/>
                <w:sz w:val="24"/>
                <w:highlight w:val="none"/>
              </w:rPr>
            </w:pPr>
          </w:p>
        </w:tc>
      </w:tr>
      <w:tr w14:paraId="3A96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5FBA5737">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3145" w:type="pct"/>
            <w:vAlign w:val="top"/>
          </w:tcPr>
          <w:p w14:paraId="18385BF9">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其他实质性的合理化措施或优惠承诺(主要是针对保持保安队伍稳定，满足招标人的各方面需求，有利于本项目顺利实施等方面的措施或承诺)。（评分范围：4,3,2,1,0）</w:t>
            </w:r>
          </w:p>
        </w:tc>
        <w:tc>
          <w:tcPr>
            <w:tcW w:w="389" w:type="pct"/>
            <w:vAlign w:val="center"/>
          </w:tcPr>
          <w:p w14:paraId="31D0527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98" w:type="pct"/>
            <w:vAlign w:val="center"/>
          </w:tcPr>
          <w:p w14:paraId="05AC6827">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549BE728">
            <w:pPr>
              <w:jc w:val="center"/>
              <w:rPr>
                <w:rFonts w:hint="eastAsia" w:ascii="宋体" w:hAnsi="宋体" w:eastAsia="宋体" w:cs="宋体"/>
                <w:color w:val="auto"/>
                <w:sz w:val="24"/>
                <w:highlight w:val="none"/>
              </w:rPr>
            </w:pPr>
          </w:p>
        </w:tc>
      </w:tr>
      <w:tr w14:paraId="198B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5F1560C5">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3145" w:type="pct"/>
            <w:vAlign w:val="top"/>
          </w:tcPr>
          <w:p w14:paraId="183E607F">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培训方案：提供上岗前全面、完善的培训计划，计划中应包括培训内容、培训目标、培训形式等。（评分范围：4,3,2,1,0）</w:t>
            </w:r>
          </w:p>
        </w:tc>
        <w:tc>
          <w:tcPr>
            <w:tcW w:w="389" w:type="pct"/>
            <w:vAlign w:val="center"/>
          </w:tcPr>
          <w:p w14:paraId="7158189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98" w:type="pct"/>
            <w:vAlign w:val="center"/>
          </w:tcPr>
          <w:p w14:paraId="50D7A06B">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2918E936">
            <w:pPr>
              <w:jc w:val="center"/>
              <w:rPr>
                <w:rFonts w:hint="eastAsia" w:ascii="宋体" w:hAnsi="宋体" w:eastAsia="宋体" w:cs="宋体"/>
                <w:color w:val="auto"/>
                <w:sz w:val="24"/>
                <w:highlight w:val="none"/>
              </w:rPr>
            </w:pPr>
          </w:p>
        </w:tc>
      </w:tr>
      <w:tr w14:paraId="51C50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1073A644">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3145" w:type="pct"/>
            <w:vAlign w:val="top"/>
          </w:tcPr>
          <w:p w14:paraId="19A3541D">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14.1提供针对本项目保安人员的后勤保障方案(</w:t>
            </w:r>
            <w:r>
              <w:rPr>
                <w:rFonts w:hint="eastAsia" w:ascii="宋体" w:hAnsi="宋体" w:cs="宋体"/>
                <w:color w:val="auto"/>
                <w:spacing w:val="-3"/>
                <w:highlight w:val="none"/>
                <w:lang w:val="en-US" w:eastAsia="zh-CN"/>
              </w:rPr>
              <w:t>2</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1</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0</w:t>
            </w:r>
            <w:r>
              <w:rPr>
                <w:rFonts w:hint="eastAsia" w:ascii="宋体" w:hAnsi="宋体" w:eastAsia="宋体" w:cs="宋体"/>
                <w:color w:val="auto"/>
                <w:spacing w:val="-3"/>
                <w:highlight w:val="none"/>
                <w:lang w:val="en-US" w:eastAsia="zh-CN"/>
              </w:rPr>
              <w:t>分)</w:t>
            </w:r>
          </w:p>
          <w:p w14:paraId="74A65C04">
            <w:pPr>
              <w:pStyle w:val="340"/>
              <w:spacing w:before="30" w:line="214" w:lineRule="auto"/>
              <w:ind w:left="30"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14.2提供保证服务人员相对稳定的工资福利待遇等措施 (1分)</w:t>
            </w:r>
          </w:p>
          <w:p w14:paraId="1A8B4242">
            <w:pPr>
              <w:pStyle w:val="340"/>
              <w:spacing w:before="30" w:line="214" w:lineRule="auto"/>
              <w:ind w:left="30" w:right="0"/>
              <w:jc w:val="left"/>
              <w:rPr>
                <w:rFonts w:hint="default"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14.3对提升员工福利待遇措施的周全、内容全面和符合项目实际情况等内容进行评分。（评分范围：2,1,0）</w:t>
            </w:r>
          </w:p>
        </w:tc>
        <w:tc>
          <w:tcPr>
            <w:tcW w:w="389" w:type="pct"/>
            <w:vAlign w:val="center"/>
          </w:tcPr>
          <w:p w14:paraId="573A7AD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98" w:type="pct"/>
            <w:vAlign w:val="center"/>
          </w:tcPr>
          <w:p w14:paraId="6B9A26E1">
            <w:pPr>
              <w:spacing w:line="240" w:lineRule="auto"/>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主</w:t>
            </w:r>
            <w:r>
              <w:rPr>
                <w:rFonts w:hint="eastAsia" w:ascii="宋体" w:hAnsi="宋体" w:eastAsia="宋体" w:cs="宋体"/>
                <w:color w:val="auto"/>
                <w:spacing w:val="0"/>
                <w:sz w:val="24"/>
                <w:highlight w:val="none"/>
              </w:rPr>
              <w:t>观分</w:t>
            </w:r>
          </w:p>
        </w:tc>
        <w:tc>
          <w:tcPr>
            <w:tcW w:w="651" w:type="pct"/>
            <w:vAlign w:val="top"/>
          </w:tcPr>
          <w:p w14:paraId="4A5D35DB">
            <w:pPr>
              <w:jc w:val="center"/>
              <w:rPr>
                <w:rFonts w:hint="eastAsia" w:ascii="宋体" w:hAnsi="宋体" w:eastAsia="宋体" w:cs="宋体"/>
                <w:color w:val="auto"/>
                <w:sz w:val="24"/>
                <w:highlight w:val="none"/>
              </w:rPr>
            </w:pPr>
          </w:p>
        </w:tc>
      </w:tr>
      <w:tr w14:paraId="6F12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3B27BFEF">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3145" w:type="pct"/>
            <w:vAlign w:val="top"/>
          </w:tcPr>
          <w:p w14:paraId="1509508B">
            <w:pPr>
              <w:pStyle w:val="340"/>
              <w:spacing w:before="30" w:line="214" w:lineRule="auto"/>
              <w:ind w:left="30" w:right="0"/>
              <w:jc w:val="left"/>
              <w:rPr>
                <w:rFonts w:hint="eastAsia" w:ascii="宋体" w:hAnsi="宋体" w:cs="宋体"/>
                <w:color w:val="auto"/>
                <w:spacing w:val="-3"/>
                <w:highlight w:val="none"/>
                <w:lang w:val="en-US" w:eastAsia="zh-CN"/>
              </w:rPr>
            </w:pPr>
            <w:r>
              <w:rPr>
                <w:rFonts w:hint="eastAsia" w:ascii="宋体" w:hAnsi="宋体" w:cs="宋体"/>
                <w:color w:val="auto"/>
                <w:spacing w:val="-3"/>
                <w:highlight w:val="none"/>
                <w:lang w:val="en-US" w:eastAsia="zh-CN"/>
              </w:rPr>
              <w:t>其他承诺：</w:t>
            </w:r>
            <w:r>
              <w:rPr>
                <w:rFonts w:hint="eastAsia" w:ascii="宋体" w:hAnsi="宋体" w:eastAsia="宋体" w:cs="宋体"/>
                <w:color w:val="auto"/>
                <w:spacing w:val="-3"/>
                <w:highlight w:val="none"/>
                <w:lang w:val="en-US" w:eastAsia="zh-CN"/>
              </w:rPr>
              <w:t>如因项目采购过程延误，导致中标</w:t>
            </w:r>
            <w:r>
              <w:rPr>
                <w:rFonts w:hint="eastAsia" w:ascii="宋体" w:hAnsi="宋体" w:cs="宋体"/>
                <w:color w:val="auto"/>
                <w:spacing w:val="-3"/>
                <w:highlight w:val="none"/>
                <w:lang w:val="en-US" w:eastAsia="zh-CN"/>
              </w:rPr>
              <w:t>供应商</w:t>
            </w:r>
            <w:r>
              <w:rPr>
                <w:rFonts w:hint="eastAsia" w:ascii="宋体" w:hAnsi="宋体" w:eastAsia="宋体" w:cs="宋体"/>
                <w:color w:val="auto"/>
                <w:spacing w:val="-3"/>
                <w:highlight w:val="none"/>
                <w:lang w:val="en-US" w:eastAsia="zh-CN"/>
              </w:rPr>
              <w:t>实际服务期限未达采购需求期限，不足部分由采购人另行委托原供应商实施。费用根据中标价格和服务天数结算，由</w:t>
            </w:r>
            <w:r>
              <w:rPr>
                <w:rFonts w:hint="eastAsia" w:ascii="宋体" w:hAnsi="宋体" w:cs="宋体"/>
                <w:color w:val="auto"/>
                <w:spacing w:val="-3"/>
                <w:highlight w:val="none"/>
                <w:lang w:val="en-US" w:eastAsia="zh-CN"/>
              </w:rPr>
              <w:t>中标</w:t>
            </w:r>
            <w:r>
              <w:rPr>
                <w:rFonts w:hint="eastAsia" w:ascii="宋体" w:hAnsi="宋体" w:eastAsia="宋体" w:cs="宋体"/>
                <w:color w:val="auto"/>
                <w:spacing w:val="-3"/>
                <w:highlight w:val="none"/>
                <w:lang w:val="en-US" w:eastAsia="zh-CN"/>
              </w:rPr>
              <w:t>供应商代为支付</w:t>
            </w:r>
            <w:r>
              <w:rPr>
                <w:rFonts w:hint="eastAsia" w:ascii="宋体" w:hAnsi="宋体" w:cs="宋体"/>
                <w:color w:val="auto"/>
                <w:spacing w:val="-3"/>
                <w:highlight w:val="none"/>
                <w:lang w:val="en-US" w:eastAsia="zh-CN"/>
              </w:rPr>
              <w:t>，承诺同意的得2分，不同意或未响应不得分。</w:t>
            </w:r>
          </w:p>
          <w:p w14:paraId="4CF9B6D4">
            <w:pPr>
              <w:pStyle w:val="340"/>
              <w:spacing w:before="30" w:line="214" w:lineRule="auto"/>
              <w:ind w:left="30" w:right="0"/>
              <w:jc w:val="left"/>
              <w:rPr>
                <w:rFonts w:hint="default" w:ascii="宋体" w:hAnsi="宋体" w:eastAsia="宋体" w:cs="宋体"/>
                <w:color w:val="auto"/>
                <w:spacing w:val="-3"/>
                <w:highlight w:val="none"/>
                <w:lang w:val="en-US" w:eastAsia="zh-CN"/>
              </w:rPr>
            </w:pPr>
            <w:r>
              <w:rPr>
                <w:rFonts w:hint="eastAsia" w:ascii="宋体" w:hAnsi="宋体" w:cs="宋体"/>
                <w:color w:val="auto"/>
                <w:spacing w:val="-3"/>
                <w:highlight w:val="none"/>
                <w:lang w:val="en-US" w:eastAsia="zh-CN"/>
              </w:rPr>
              <w:t>证明材料：承诺函加盖公章，格式自拟。</w:t>
            </w:r>
          </w:p>
        </w:tc>
        <w:tc>
          <w:tcPr>
            <w:tcW w:w="389" w:type="pct"/>
            <w:vAlign w:val="center"/>
          </w:tcPr>
          <w:p w14:paraId="07F42A3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98" w:type="pct"/>
            <w:vAlign w:val="center"/>
          </w:tcPr>
          <w:p w14:paraId="0C214223">
            <w:pPr>
              <w:spacing w:line="240" w:lineRule="auto"/>
              <w:jc w:val="center"/>
              <w:rPr>
                <w:rFonts w:hint="default"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客观分</w:t>
            </w:r>
          </w:p>
        </w:tc>
        <w:tc>
          <w:tcPr>
            <w:tcW w:w="651" w:type="pct"/>
            <w:vAlign w:val="top"/>
          </w:tcPr>
          <w:p w14:paraId="4357B967">
            <w:pPr>
              <w:jc w:val="center"/>
              <w:rPr>
                <w:rFonts w:hint="eastAsia" w:ascii="宋体" w:hAnsi="宋体" w:eastAsia="宋体" w:cs="宋体"/>
                <w:color w:val="auto"/>
                <w:sz w:val="24"/>
                <w:highlight w:val="none"/>
              </w:rPr>
            </w:pPr>
          </w:p>
        </w:tc>
      </w:tr>
      <w:tr w14:paraId="2BE5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4" w:type="pct"/>
            <w:vAlign w:val="center"/>
          </w:tcPr>
          <w:p w14:paraId="1C2A3C1B">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p>
        </w:tc>
        <w:tc>
          <w:tcPr>
            <w:tcW w:w="3145" w:type="pct"/>
            <w:vAlign w:val="top"/>
          </w:tcPr>
          <w:p w14:paraId="56B700ED">
            <w:pPr>
              <w:pStyle w:val="340"/>
              <w:spacing w:before="30" w:line="214" w:lineRule="auto"/>
              <w:ind w:right="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有效投标报价的最低价作为评标基准价，其最低报价为满分；按［投标报价得分=（评标基准价/投标报价）*最高分值］的计算公式计算。</w:t>
            </w:r>
          </w:p>
          <w:p w14:paraId="1355F5B5">
            <w:pPr>
              <w:pStyle w:val="340"/>
              <w:spacing w:before="30" w:line="214" w:lineRule="auto"/>
              <w:ind w:left="30" w:right="0" w:firstLine="468" w:firstLineChars="20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评标过程中，不得去掉报价中的最高报价和最低报价。</w:t>
            </w:r>
          </w:p>
          <w:p w14:paraId="00533C0F">
            <w:pPr>
              <w:pStyle w:val="340"/>
              <w:spacing w:before="30" w:line="214" w:lineRule="auto"/>
              <w:ind w:left="30" w:right="0" w:firstLine="468" w:firstLineChars="20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D7E1201">
            <w:pPr>
              <w:pStyle w:val="340"/>
              <w:spacing w:before="30" w:line="214" w:lineRule="auto"/>
              <w:ind w:left="30" w:right="0" w:firstLine="468" w:firstLineChars="200"/>
              <w:jc w:val="left"/>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w:t>
            </w:r>
          </w:p>
        </w:tc>
        <w:tc>
          <w:tcPr>
            <w:tcW w:w="389" w:type="pct"/>
            <w:vAlign w:val="center"/>
          </w:tcPr>
          <w:p w14:paraId="5766A1C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98" w:type="pct"/>
            <w:vAlign w:val="center"/>
          </w:tcPr>
          <w:p w14:paraId="3DE9011D">
            <w:pPr>
              <w:spacing w:line="240" w:lineRule="auto"/>
              <w:jc w:val="center"/>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w:t>
            </w:r>
          </w:p>
        </w:tc>
        <w:tc>
          <w:tcPr>
            <w:tcW w:w="651" w:type="pct"/>
            <w:vAlign w:val="top"/>
          </w:tcPr>
          <w:p w14:paraId="1B33A7B2">
            <w:pPr>
              <w:jc w:val="center"/>
              <w:rPr>
                <w:rFonts w:hint="eastAsia" w:ascii="宋体" w:hAnsi="宋体" w:eastAsia="宋体" w:cs="宋体"/>
                <w:color w:val="auto"/>
                <w:sz w:val="24"/>
                <w:highlight w:val="none"/>
              </w:rPr>
            </w:pPr>
          </w:p>
        </w:tc>
      </w:tr>
    </w:tbl>
    <w:p w14:paraId="75FC0BC3">
      <w:pPr>
        <w:rPr>
          <w:color w:val="auto"/>
          <w:highlight w:val="none"/>
        </w:rPr>
      </w:pPr>
    </w:p>
    <w:p w14:paraId="61C89758">
      <w:pPr>
        <w:pStyle w:val="60"/>
        <w:ind w:left="0" w:leftChars="0" w:firstLine="0" w:firstLineChars="0"/>
        <w:rPr>
          <w:rFonts w:hint="eastAsia" w:ascii="宋体" w:hAnsi="宋体" w:cs="宋体"/>
          <w:color w:val="auto"/>
          <w:sz w:val="20"/>
          <w:szCs w:val="20"/>
          <w:highlight w:val="none"/>
          <w:shd w:val="clear" w:color="auto" w:fill="FFFFFF"/>
        </w:rPr>
      </w:pPr>
    </w:p>
    <w:p w14:paraId="3DD39AEC">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BD87DE9">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1760BB5">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CFDA180">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20DAC461">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F9BD3AC">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三、评标程序</w:t>
      </w:r>
    </w:p>
    <w:p w14:paraId="137CB24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23134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7B8DA1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6DD4A78D">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D817E2B">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14F84B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47AD01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DA78B0D">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B5A8C73">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62EAC295">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075C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61705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725804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182824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F25502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w:t>
      </w:r>
      <w:r>
        <w:rPr>
          <w:rFonts w:hint="eastAsia" w:ascii="宋体" w:hAnsi="宋体" w:cs="宋体"/>
          <w:color w:val="auto"/>
          <w:kern w:val="0"/>
          <w:sz w:val="24"/>
          <w:highlight w:val="none"/>
        </w:rPr>
        <w:t>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  1。</w:t>
      </w:r>
    </w:p>
    <w:p w14:paraId="224A891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w:t>
      </w:r>
      <w:r>
        <w:rPr>
          <w:rFonts w:hint="eastAsia" w:ascii="宋体" w:hAnsi="宋体" w:cs="宋体"/>
          <w:color w:val="auto"/>
          <w:kern w:val="0"/>
          <w:sz w:val="24"/>
          <w:highlight w:val="none"/>
        </w:rPr>
        <w:t>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8DED21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856321F">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7F222EE9">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55B1EBD">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65F7B5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C4B967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7537D8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A758C0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1B7437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25A04A9">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57D363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B52669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1FAC61B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0138E3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D7BE1D5">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5CD4DD9D">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2030BC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29A7F2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1528404A">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4DD8E6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42B3313B">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667D52C5">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AC3D12E">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1C5514F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BDF7481">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013CE3A2">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D0B844E">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071594A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A15040E">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9B91AA5">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63BD2DE">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8A02758">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BD70E5B">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14:paraId="3FC09477">
      <w:pPr>
        <w:widowControl/>
        <w:adjustRightInd/>
        <w:jc w:val="left"/>
        <w:rPr>
          <w:rFonts w:ascii="宋体" w:hAnsi="宋体" w:cs="宋体"/>
          <w:b/>
          <w:color w:val="auto"/>
          <w:sz w:val="36"/>
          <w:szCs w:val="36"/>
          <w:highlight w:val="none"/>
        </w:rPr>
      </w:pPr>
      <w:bookmarkStart w:id="393" w:name="第五部分"/>
      <w:bookmarkStart w:id="394" w:name="_Toc86217003"/>
      <w:r>
        <w:rPr>
          <w:rFonts w:ascii="宋体" w:hAnsi="宋体" w:cs="宋体"/>
          <w:b/>
          <w:color w:val="auto"/>
          <w:sz w:val="36"/>
          <w:szCs w:val="36"/>
          <w:highlight w:val="none"/>
        </w:rPr>
        <w:br w:type="page"/>
      </w:r>
    </w:p>
    <w:p w14:paraId="26667AF7">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4390379">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6C59FD4">
      <w:pPr>
        <w:spacing w:line="480" w:lineRule="auto"/>
        <w:jc w:val="center"/>
        <w:rPr>
          <w:rFonts w:ascii="宋体" w:hAnsi="宋体" w:cs="宋体"/>
          <w:b/>
          <w:color w:val="auto"/>
          <w:sz w:val="28"/>
          <w:szCs w:val="28"/>
          <w:highlight w:val="none"/>
        </w:rPr>
      </w:pPr>
    </w:p>
    <w:p w14:paraId="582F8DFD">
      <w:pPr>
        <w:spacing w:line="480" w:lineRule="auto"/>
        <w:jc w:val="center"/>
        <w:rPr>
          <w:rFonts w:ascii="宋体" w:hAnsi="宋体" w:cs="宋体"/>
          <w:b/>
          <w:color w:val="auto"/>
          <w:sz w:val="24"/>
          <w:highlight w:val="none"/>
        </w:rPr>
      </w:pPr>
    </w:p>
    <w:p w14:paraId="450184FA">
      <w:pPr>
        <w:spacing w:line="480" w:lineRule="auto"/>
        <w:jc w:val="center"/>
        <w:rPr>
          <w:rFonts w:ascii="宋体" w:hAnsi="宋体" w:cs="宋体"/>
          <w:b/>
          <w:color w:val="auto"/>
          <w:sz w:val="24"/>
          <w:highlight w:val="none"/>
        </w:rPr>
      </w:pPr>
    </w:p>
    <w:p w14:paraId="7930AAB1">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DE3220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9C5E930">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1F189818">
      <w:pPr>
        <w:spacing w:before="120" w:line="22" w:lineRule="atLeast"/>
        <w:rPr>
          <w:rFonts w:ascii="宋体" w:hAnsi="宋体" w:cs="宋体"/>
          <w:color w:val="auto"/>
          <w:sz w:val="24"/>
          <w:highlight w:val="none"/>
        </w:rPr>
      </w:pPr>
    </w:p>
    <w:p w14:paraId="794E7DF0">
      <w:pPr>
        <w:pStyle w:val="3"/>
        <w:rPr>
          <w:color w:val="auto"/>
          <w:highlight w:val="none"/>
        </w:rPr>
      </w:pPr>
    </w:p>
    <w:p w14:paraId="524E717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63FC63C">
      <w:pPr>
        <w:pStyle w:val="599"/>
        <w:spacing w:before="120" w:line="22" w:lineRule="atLeast"/>
        <w:rPr>
          <w:rFonts w:ascii="宋体" w:hAnsi="宋体" w:eastAsia="宋体" w:cs="宋体"/>
          <w:color w:val="auto"/>
          <w:szCs w:val="24"/>
          <w:highlight w:val="none"/>
        </w:rPr>
      </w:pPr>
    </w:p>
    <w:p w14:paraId="0AFBD3FA">
      <w:pPr>
        <w:pStyle w:val="599"/>
        <w:spacing w:before="120" w:line="22" w:lineRule="atLeast"/>
        <w:rPr>
          <w:rFonts w:ascii="宋体" w:hAnsi="宋体" w:eastAsia="宋体" w:cs="宋体"/>
          <w:color w:val="auto"/>
          <w:szCs w:val="24"/>
          <w:highlight w:val="none"/>
        </w:rPr>
      </w:pPr>
    </w:p>
    <w:p w14:paraId="57A8D52F">
      <w:pPr>
        <w:rPr>
          <w:rFonts w:ascii="宋体" w:hAnsi="宋体" w:cs="宋体"/>
          <w:color w:val="auto"/>
          <w:sz w:val="24"/>
          <w:highlight w:val="none"/>
        </w:rPr>
      </w:pPr>
    </w:p>
    <w:p w14:paraId="11537FC0">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69D4B9E">
      <w:pPr>
        <w:spacing w:before="120" w:line="22" w:lineRule="atLeast"/>
        <w:rPr>
          <w:rFonts w:ascii="宋体" w:hAnsi="宋体" w:cs="宋体"/>
          <w:color w:val="auto"/>
          <w:sz w:val="24"/>
          <w:highlight w:val="none"/>
        </w:rPr>
      </w:pPr>
    </w:p>
    <w:p w14:paraId="38C711D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D5C36CB">
      <w:pPr>
        <w:spacing w:before="120" w:line="22" w:lineRule="atLeast"/>
        <w:rPr>
          <w:rFonts w:ascii="宋体" w:hAnsi="宋体" w:cs="宋体"/>
          <w:color w:val="auto"/>
          <w:sz w:val="24"/>
          <w:highlight w:val="none"/>
        </w:rPr>
      </w:pPr>
    </w:p>
    <w:p w14:paraId="142292B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F9751E9">
      <w:pPr>
        <w:spacing w:before="120" w:line="22" w:lineRule="atLeast"/>
        <w:rPr>
          <w:rFonts w:ascii="宋体" w:hAnsi="宋体" w:cs="宋体"/>
          <w:color w:val="auto"/>
          <w:sz w:val="24"/>
          <w:highlight w:val="none"/>
        </w:rPr>
      </w:pPr>
    </w:p>
    <w:p w14:paraId="391DA983">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389EA3F">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68531F5F">
      <w:pPr>
        <w:rPr>
          <w:rFonts w:ascii="宋体" w:hAnsi="宋体" w:cs="宋体"/>
          <w:b/>
          <w:color w:val="auto"/>
          <w:sz w:val="24"/>
          <w:highlight w:val="none"/>
        </w:rPr>
      </w:pPr>
    </w:p>
    <w:p w14:paraId="38BB58AF">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2026年度一呼百应保安服务项目</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4AC4FD13">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83CBEC7">
      <w:pPr>
        <w:spacing w:line="560" w:lineRule="exact"/>
        <w:ind w:firstLine="482" w:firstLineChars="200"/>
        <w:outlineLvl w:val="0"/>
        <w:rPr>
          <w:rFonts w:ascii="宋体" w:hAnsi="宋体"/>
          <w:color w:val="auto"/>
          <w:sz w:val="24"/>
          <w:highlight w:val="none"/>
        </w:rPr>
      </w:pPr>
      <w:bookmarkStart w:id="395" w:name="_Toc20421"/>
      <w:bookmarkStart w:id="396" w:name="_Toc15367"/>
      <w:bookmarkStart w:id="397" w:name="_Toc28855"/>
      <w:bookmarkStart w:id="398" w:name="_Toc19273"/>
      <w:bookmarkStart w:id="399"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2C55BF0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7BD031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6E26D6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3DB5F12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5FFA1DA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E1783F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47222A0">
      <w:pPr>
        <w:spacing w:line="560" w:lineRule="exact"/>
        <w:ind w:firstLine="482" w:firstLineChars="200"/>
        <w:outlineLvl w:val="0"/>
        <w:rPr>
          <w:rFonts w:ascii="宋体" w:hAnsi="宋体"/>
          <w:b/>
          <w:color w:val="auto"/>
          <w:sz w:val="24"/>
          <w:highlight w:val="none"/>
        </w:rPr>
      </w:pPr>
      <w:bookmarkStart w:id="400" w:name="_Toc6311"/>
      <w:bookmarkStart w:id="401" w:name="_Toc18585"/>
      <w:bookmarkStart w:id="402" w:name="_Toc2918"/>
      <w:bookmarkStart w:id="403" w:name="_Toc6773"/>
      <w:bookmarkStart w:id="404"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28FF30A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DC866EB">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87269E4">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rPr>
        <w:t>；</w:t>
      </w:r>
    </w:p>
    <w:p w14:paraId="46DB5B0B">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32C0ABEB">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2FF9CE21">
      <w:pPr>
        <w:spacing w:line="560" w:lineRule="exact"/>
        <w:ind w:firstLine="480" w:firstLineChars="200"/>
        <w:rPr>
          <w:rFonts w:ascii="宋体" w:hAnsi="宋体" w:cs="宋体"/>
          <w:color w:val="auto"/>
          <w:sz w:val="24"/>
          <w:highlight w:val="none"/>
          <w:u w:val="single"/>
        </w:rPr>
      </w:pPr>
      <w:bookmarkStart w:id="405" w:name="_Toc4929"/>
      <w:bookmarkStart w:id="406" w:name="_Toc21124"/>
      <w:bookmarkStart w:id="407" w:name="_Toc1386"/>
      <w:bookmarkStart w:id="408" w:name="_Toc5635"/>
      <w:bookmarkStart w:id="409"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D0435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A8EA6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6EB332">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3E714405">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0B49AD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4607D7F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C0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9DB10E4">
            <w:pPr>
              <w:pStyle w:val="32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28DE9D19">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4B40CA18">
            <w:pPr>
              <w:pStyle w:val="320"/>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1F3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53A6B59">
            <w:pPr>
              <w:pStyle w:val="320"/>
              <w:spacing w:line="560" w:lineRule="exact"/>
              <w:ind w:firstLine="200"/>
              <w:jc w:val="center"/>
              <w:rPr>
                <w:rFonts w:hAnsi="宋体"/>
                <w:color w:val="auto"/>
                <w:sz w:val="24"/>
                <w:szCs w:val="24"/>
                <w:highlight w:val="none"/>
              </w:rPr>
            </w:pPr>
          </w:p>
        </w:tc>
        <w:tc>
          <w:tcPr>
            <w:tcW w:w="3402" w:type="dxa"/>
            <w:vAlign w:val="center"/>
          </w:tcPr>
          <w:p w14:paraId="36130B8E">
            <w:pPr>
              <w:pStyle w:val="320"/>
              <w:spacing w:line="560" w:lineRule="exact"/>
              <w:ind w:firstLine="200"/>
              <w:jc w:val="center"/>
              <w:rPr>
                <w:rFonts w:hAnsi="宋体"/>
                <w:color w:val="auto"/>
                <w:sz w:val="24"/>
                <w:szCs w:val="24"/>
                <w:highlight w:val="none"/>
              </w:rPr>
            </w:pPr>
          </w:p>
        </w:tc>
        <w:tc>
          <w:tcPr>
            <w:tcW w:w="2552" w:type="dxa"/>
            <w:vAlign w:val="center"/>
          </w:tcPr>
          <w:p w14:paraId="6C10A953">
            <w:pPr>
              <w:pStyle w:val="320"/>
              <w:spacing w:line="560" w:lineRule="exact"/>
              <w:ind w:firstLine="200"/>
              <w:jc w:val="center"/>
              <w:rPr>
                <w:rFonts w:hAnsi="宋体"/>
                <w:color w:val="auto"/>
                <w:sz w:val="24"/>
                <w:szCs w:val="24"/>
                <w:highlight w:val="none"/>
              </w:rPr>
            </w:pPr>
          </w:p>
        </w:tc>
      </w:tr>
      <w:tr w14:paraId="718B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12FDAB">
            <w:pPr>
              <w:pStyle w:val="320"/>
              <w:spacing w:line="560" w:lineRule="exact"/>
              <w:ind w:firstLine="200"/>
              <w:jc w:val="center"/>
              <w:rPr>
                <w:rFonts w:hAnsi="宋体"/>
                <w:color w:val="auto"/>
                <w:sz w:val="24"/>
                <w:szCs w:val="24"/>
                <w:highlight w:val="none"/>
              </w:rPr>
            </w:pPr>
          </w:p>
        </w:tc>
        <w:tc>
          <w:tcPr>
            <w:tcW w:w="3402" w:type="dxa"/>
            <w:vAlign w:val="center"/>
          </w:tcPr>
          <w:p w14:paraId="5DFF7273">
            <w:pPr>
              <w:pStyle w:val="320"/>
              <w:spacing w:line="560" w:lineRule="exact"/>
              <w:ind w:firstLine="200"/>
              <w:jc w:val="center"/>
              <w:rPr>
                <w:rFonts w:hAnsi="宋体"/>
                <w:color w:val="auto"/>
                <w:sz w:val="24"/>
                <w:szCs w:val="24"/>
                <w:highlight w:val="none"/>
              </w:rPr>
            </w:pPr>
          </w:p>
        </w:tc>
        <w:tc>
          <w:tcPr>
            <w:tcW w:w="2552" w:type="dxa"/>
            <w:vAlign w:val="center"/>
          </w:tcPr>
          <w:p w14:paraId="294E15FA">
            <w:pPr>
              <w:pStyle w:val="320"/>
              <w:spacing w:line="560" w:lineRule="exact"/>
              <w:ind w:firstLine="200"/>
              <w:jc w:val="center"/>
              <w:rPr>
                <w:rFonts w:hAnsi="宋体"/>
                <w:color w:val="auto"/>
                <w:sz w:val="24"/>
                <w:szCs w:val="24"/>
                <w:highlight w:val="none"/>
              </w:rPr>
            </w:pPr>
          </w:p>
        </w:tc>
      </w:tr>
      <w:tr w14:paraId="7375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3E3E248">
            <w:pPr>
              <w:pStyle w:val="320"/>
              <w:spacing w:line="560" w:lineRule="exact"/>
              <w:ind w:firstLine="200"/>
              <w:jc w:val="center"/>
              <w:rPr>
                <w:rFonts w:hAnsi="宋体"/>
                <w:color w:val="auto"/>
                <w:sz w:val="24"/>
                <w:szCs w:val="24"/>
                <w:highlight w:val="none"/>
              </w:rPr>
            </w:pPr>
          </w:p>
        </w:tc>
        <w:tc>
          <w:tcPr>
            <w:tcW w:w="3402" w:type="dxa"/>
            <w:vAlign w:val="center"/>
          </w:tcPr>
          <w:p w14:paraId="7D25EF1D">
            <w:pPr>
              <w:pStyle w:val="320"/>
              <w:spacing w:line="560" w:lineRule="exact"/>
              <w:ind w:firstLine="200"/>
              <w:jc w:val="center"/>
              <w:rPr>
                <w:rFonts w:hAnsi="宋体"/>
                <w:color w:val="auto"/>
                <w:sz w:val="24"/>
                <w:szCs w:val="24"/>
                <w:highlight w:val="none"/>
              </w:rPr>
            </w:pPr>
          </w:p>
        </w:tc>
        <w:tc>
          <w:tcPr>
            <w:tcW w:w="2552" w:type="dxa"/>
            <w:vAlign w:val="center"/>
          </w:tcPr>
          <w:p w14:paraId="2CD2065E">
            <w:pPr>
              <w:pStyle w:val="320"/>
              <w:spacing w:line="560" w:lineRule="exact"/>
              <w:ind w:firstLine="200"/>
              <w:jc w:val="center"/>
              <w:rPr>
                <w:rFonts w:hAnsi="宋体"/>
                <w:color w:val="auto"/>
                <w:sz w:val="24"/>
                <w:szCs w:val="24"/>
                <w:highlight w:val="none"/>
              </w:rPr>
            </w:pPr>
          </w:p>
        </w:tc>
      </w:tr>
      <w:tr w14:paraId="026B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323EE3">
            <w:pPr>
              <w:pStyle w:val="320"/>
              <w:spacing w:line="560" w:lineRule="exact"/>
              <w:ind w:firstLine="200"/>
              <w:jc w:val="center"/>
              <w:rPr>
                <w:rFonts w:hAnsi="宋体"/>
                <w:color w:val="auto"/>
                <w:sz w:val="24"/>
                <w:szCs w:val="24"/>
                <w:highlight w:val="none"/>
              </w:rPr>
            </w:pPr>
          </w:p>
        </w:tc>
        <w:tc>
          <w:tcPr>
            <w:tcW w:w="3402" w:type="dxa"/>
            <w:vAlign w:val="center"/>
          </w:tcPr>
          <w:p w14:paraId="4D9CABCF">
            <w:pPr>
              <w:pStyle w:val="320"/>
              <w:spacing w:line="560" w:lineRule="exact"/>
              <w:ind w:firstLine="200"/>
              <w:jc w:val="center"/>
              <w:rPr>
                <w:rFonts w:hAnsi="宋体"/>
                <w:color w:val="auto"/>
                <w:sz w:val="24"/>
                <w:szCs w:val="24"/>
                <w:highlight w:val="none"/>
              </w:rPr>
            </w:pPr>
          </w:p>
        </w:tc>
        <w:tc>
          <w:tcPr>
            <w:tcW w:w="2552" w:type="dxa"/>
            <w:vAlign w:val="center"/>
          </w:tcPr>
          <w:p w14:paraId="08447E90">
            <w:pPr>
              <w:pStyle w:val="320"/>
              <w:spacing w:line="560" w:lineRule="exact"/>
              <w:ind w:firstLine="200"/>
              <w:jc w:val="center"/>
              <w:rPr>
                <w:rFonts w:hAnsi="宋体"/>
                <w:color w:val="auto"/>
                <w:sz w:val="24"/>
                <w:szCs w:val="24"/>
                <w:highlight w:val="none"/>
              </w:rPr>
            </w:pPr>
          </w:p>
        </w:tc>
      </w:tr>
      <w:tr w14:paraId="06FF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75F3805">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D9E5A49">
            <w:pPr>
              <w:pStyle w:val="320"/>
              <w:spacing w:line="560" w:lineRule="exact"/>
              <w:ind w:firstLine="200"/>
              <w:jc w:val="center"/>
              <w:rPr>
                <w:rFonts w:hAnsi="宋体"/>
                <w:color w:val="auto"/>
                <w:sz w:val="24"/>
                <w:szCs w:val="24"/>
                <w:highlight w:val="none"/>
              </w:rPr>
            </w:pPr>
          </w:p>
        </w:tc>
      </w:tr>
    </w:tbl>
    <w:p w14:paraId="61F39A9C">
      <w:pPr>
        <w:spacing w:line="560" w:lineRule="exact"/>
        <w:ind w:firstLine="480" w:firstLineChars="200"/>
        <w:rPr>
          <w:rFonts w:ascii="宋体" w:hAnsi="宋体"/>
          <w:color w:val="auto"/>
          <w:sz w:val="24"/>
          <w:highlight w:val="none"/>
        </w:rPr>
      </w:pPr>
      <w:bookmarkStart w:id="410" w:name="_Toc14993"/>
      <w:bookmarkStart w:id="411" w:name="_Toc30506"/>
      <w:bookmarkStart w:id="412" w:name="_Toc3654"/>
      <w:bookmarkStart w:id="413" w:name="_Toc30158"/>
      <w:bookmarkStart w:id="414" w:name="_Toc2691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2875228">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266F97E3">
      <w:pPr>
        <w:pStyle w:val="960"/>
        <w:spacing w:before="0" w:beforeAutospacing="0" w:after="0" w:afterAutospacing="0" w:line="360" w:lineRule="auto"/>
        <w:ind w:firstLine="480"/>
        <w:rPr>
          <w:b/>
          <w:color w:val="auto"/>
          <w:highlight w:val="none"/>
        </w:rPr>
      </w:pPr>
      <w:bookmarkStart w:id="415" w:name="_Toc11108"/>
      <w:bookmarkStart w:id="416" w:name="_Toc8772"/>
      <w:bookmarkStart w:id="417" w:name="_Toc4760"/>
      <w:bookmarkStart w:id="418" w:name="_Toc31421"/>
      <w:bookmarkStart w:id="419" w:name="_Toc3625"/>
      <w:r>
        <w:rPr>
          <w:rFonts w:hint="eastAsia"/>
          <w:b/>
          <w:color w:val="auto"/>
          <w:highlight w:val="none"/>
        </w:rPr>
        <w:t>1.4履约保证金</w:t>
      </w:r>
    </w:p>
    <w:p w14:paraId="19042821">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824DB9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2BCFAB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1E0AD19">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702ED6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76F1F1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1E84565A">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BCA572D">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6ADCD5B">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F80D081">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C3AD070">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49817CFC">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41A1972">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7EBA0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5"/>
      <w:bookmarkEnd w:id="416"/>
      <w:bookmarkEnd w:id="417"/>
      <w:bookmarkEnd w:id="418"/>
      <w:bookmarkEnd w:id="419"/>
    </w:p>
    <w:p w14:paraId="7271FC4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7A728CA">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F305D73">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B19251D">
      <w:pPr>
        <w:spacing w:line="560" w:lineRule="exact"/>
        <w:ind w:firstLine="480" w:firstLineChars="200"/>
        <w:outlineLvl w:val="0"/>
        <w:rPr>
          <w:rFonts w:ascii="宋体" w:hAnsi="宋体"/>
          <w:bCs/>
          <w:color w:val="auto"/>
          <w:sz w:val="24"/>
          <w:highlight w:val="none"/>
        </w:rPr>
      </w:pPr>
      <w:bookmarkStart w:id="420" w:name="_Toc5698"/>
      <w:bookmarkStart w:id="421" w:name="_Toc24662"/>
      <w:bookmarkStart w:id="422" w:name="_Toc3079"/>
      <w:bookmarkStart w:id="423" w:name="_Toc2375"/>
      <w:bookmarkStart w:id="424"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470B6F8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5CF8B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2D0EF6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737CAA7">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0"/>
      <w:bookmarkEnd w:id="421"/>
      <w:bookmarkEnd w:id="422"/>
      <w:bookmarkEnd w:id="423"/>
      <w:bookmarkEnd w:id="424"/>
    </w:p>
    <w:p w14:paraId="7242FF8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BBDBB55">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44A55D0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CF760D3">
      <w:pPr>
        <w:spacing w:line="560" w:lineRule="exact"/>
        <w:ind w:firstLine="480" w:firstLineChars="200"/>
        <w:rPr>
          <w:rFonts w:ascii="宋体" w:hAnsi="宋体" w:cs="宋体"/>
          <w:color w:val="auto"/>
          <w:sz w:val="24"/>
          <w:highlight w:val="none"/>
        </w:rPr>
      </w:pPr>
      <w:bookmarkStart w:id="425" w:name="_Toc18683"/>
      <w:bookmarkStart w:id="426" w:name="_Toc9497"/>
      <w:bookmarkStart w:id="427" w:name="_Toc30329"/>
      <w:bookmarkStart w:id="428" w:name="_Toc32454"/>
      <w:bookmarkStart w:id="429"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B6A43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2672A2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48875B0">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5"/>
    <w:bookmarkEnd w:id="426"/>
    <w:bookmarkEnd w:id="427"/>
    <w:bookmarkEnd w:id="428"/>
    <w:bookmarkEnd w:id="429"/>
    <w:p w14:paraId="280E555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4EE39A6F">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2454CD68">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652FC197">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6EB05B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62EAFFF2">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85DA723">
      <w:pPr>
        <w:autoSpaceDE w:val="0"/>
        <w:autoSpaceDN w:val="0"/>
        <w:spacing w:line="560" w:lineRule="exact"/>
        <w:rPr>
          <w:rFonts w:ascii="宋体" w:hAnsi="宋体"/>
          <w:color w:val="auto"/>
          <w:sz w:val="24"/>
          <w:highlight w:val="none"/>
          <w:lang w:val="zh-CN"/>
        </w:rPr>
      </w:pPr>
    </w:p>
    <w:p w14:paraId="754383B6">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77D3FB4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37B47A45">
      <w:pPr>
        <w:autoSpaceDE w:val="0"/>
        <w:autoSpaceDN w:val="0"/>
        <w:spacing w:line="560" w:lineRule="exact"/>
        <w:rPr>
          <w:rFonts w:ascii="宋体" w:hAnsi="宋体"/>
          <w:color w:val="auto"/>
          <w:sz w:val="24"/>
          <w:highlight w:val="none"/>
          <w:lang w:val="zh-CN"/>
        </w:rPr>
      </w:pPr>
    </w:p>
    <w:p w14:paraId="48187CB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2C829C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03517AC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29D9D5F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332DC74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0F00857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38D2395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7223C58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7454884F">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22286135">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067068AC">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6AC8C222">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0CD4A7FB">
      <w:pPr>
        <w:widowControl/>
        <w:spacing w:line="560" w:lineRule="exact"/>
        <w:jc w:val="left"/>
        <w:rPr>
          <w:rFonts w:ascii="宋体" w:hAnsi="宋体"/>
          <w:b/>
          <w:color w:val="auto"/>
          <w:sz w:val="24"/>
          <w:highlight w:val="none"/>
        </w:rPr>
      </w:pPr>
    </w:p>
    <w:p w14:paraId="01D0085D">
      <w:pPr>
        <w:widowControl/>
        <w:adjustRightInd/>
        <w:jc w:val="left"/>
        <w:rPr>
          <w:rFonts w:ascii="宋体" w:hAnsi="宋体"/>
          <w:b/>
          <w:color w:val="auto"/>
          <w:sz w:val="24"/>
          <w:highlight w:val="none"/>
        </w:rPr>
      </w:pPr>
      <w:r>
        <w:rPr>
          <w:rFonts w:ascii="宋体" w:hAnsi="宋体"/>
          <w:b/>
          <w:color w:val="auto"/>
          <w:highlight w:val="none"/>
        </w:rPr>
        <w:br w:type="page"/>
      </w:r>
    </w:p>
    <w:p w14:paraId="6BFCAB4F">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102AA8A3">
      <w:pPr>
        <w:spacing w:line="560" w:lineRule="exact"/>
        <w:ind w:firstLine="482" w:firstLineChars="200"/>
        <w:outlineLvl w:val="0"/>
        <w:rPr>
          <w:rFonts w:ascii="宋体" w:hAnsi="宋体"/>
          <w:b/>
          <w:color w:val="auto"/>
          <w:sz w:val="24"/>
          <w:highlight w:val="none"/>
        </w:rPr>
      </w:pPr>
      <w:bookmarkStart w:id="430" w:name="_Toc19680"/>
      <w:bookmarkStart w:id="431" w:name="_Toc14021"/>
      <w:bookmarkStart w:id="432" w:name="_Toc25079"/>
      <w:bookmarkStart w:id="433" w:name="_Toc31297"/>
      <w:bookmarkStart w:id="434" w:name="_Toc5228"/>
      <w:r>
        <w:rPr>
          <w:rFonts w:ascii="宋体" w:hAnsi="宋体"/>
          <w:b/>
          <w:color w:val="auto"/>
          <w:sz w:val="24"/>
          <w:highlight w:val="none"/>
        </w:rPr>
        <w:t>2.1 定义</w:t>
      </w:r>
      <w:bookmarkEnd w:id="430"/>
      <w:bookmarkEnd w:id="431"/>
      <w:bookmarkEnd w:id="432"/>
      <w:bookmarkEnd w:id="433"/>
      <w:bookmarkEnd w:id="434"/>
    </w:p>
    <w:p w14:paraId="789D5798">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AADDC5F">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7505939C">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431DB4CD">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2F0E89AE">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1EBEFB5">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FA473E4">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341A0F0">
      <w:pPr>
        <w:spacing w:line="560" w:lineRule="exact"/>
        <w:ind w:firstLine="482" w:firstLineChars="200"/>
        <w:outlineLvl w:val="0"/>
        <w:rPr>
          <w:rFonts w:ascii="宋体" w:hAnsi="宋体"/>
          <w:b/>
          <w:color w:val="auto"/>
          <w:sz w:val="24"/>
          <w:highlight w:val="none"/>
        </w:rPr>
      </w:pPr>
      <w:bookmarkStart w:id="435" w:name="_Toc19539"/>
      <w:bookmarkStart w:id="436" w:name="_Toc16752"/>
      <w:bookmarkStart w:id="437" w:name="_Toc3769"/>
      <w:bookmarkStart w:id="438" w:name="_Toc31402"/>
      <w:bookmarkStart w:id="439" w:name="_Toc23289"/>
      <w:r>
        <w:rPr>
          <w:rFonts w:ascii="宋体" w:hAnsi="宋体"/>
          <w:b/>
          <w:color w:val="auto"/>
          <w:sz w:val="24"/>
          <w:highlight w:val="none"/>
        </w:rPr>
        <w:t>2.2 技术规范</w:t>
      </w:r>
      <w:bookmarkEnd w:id="435"/>
      <w:bookmarkEnd w:id="436"/>
      <w:bookmarkEnd w:id="437"/>
      <w:bookmarkEnd w:id="438"/>
      <w:bookmarkEnd w:id="439"/>
    </w:p>
    <w:p w14:paraId="6A3D494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4B9E2CBF">
      <w:pPr>
        <w:spacing w:line="560" w:lineRule="exact"/>
        <w:ind w:firstLine="482" w:firstLineChars="200"/>
        <w:outlineLvl w:val="0"/>
        <w:rPr>
          <w:rFonts w:ascii="宋体" w:hAnsi="宋体"/>
          <w:b/>
          <w:color w:val="auto"/>
          <w:sz w:val="24"/>
          <w:highlight w:val="none"/>
        </w:rPr>
      </w:pPr>
      <w:bookmarkStart w:id="440" w:name="_Toc13673"/>
      <w:bookmarkStart w:id="441" w:name="_Toc12412"/>
      <w:bookmarkStart w:id="442" w:name="_Toc27945"/>
      <w:bookmarkStart w:id="443" w:name="_Toc9161"/>
      <w:bookmarkStart w:id="444" w:name="_Toc4133"/>
      <w:r>
        <w:rPr>
          <w:rFonts w:ascii="宋体" w:hAnsi="宋体"/>
          <w:b/>
          <w:color w:val="auto"/>
          <w:sz w:val="24"/>
          <w:highlight w:val="none"/>
        </w:rPr>
        <w:t>2.3 知识产权</w:t>
      </w:r>
      <w:bookmarkEnd w:id="440"/>
      <w:bookmarkEnd w:id="441"/>
      <w:bookmarkEnd w:id="442"/>
      <w:bookmarkEnd w:id="443"/>
      <w:bookmarkEnd w:id="444"/>
    </w:p>
    <w:p w14:paraId="298948C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1C50AB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4631F23">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748EF17">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9FB0E5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651AA52">
      <w:pPr>
        <w:spacing w:line="560" w:lineRule="exact"/>
        <w:ind w:firstLine="482" w:firstLineChars="200"/>
        <w:outlineLvl w:val="0"/>
        <w:rPr>
          <w:rFonts w:ascii="宋体" w:hAnsi="宋体"/>
          <w:b/>
          <w:color w:val="auto"/>
          <w:sz w:val="24"/>
          <w:highlight w:val="none"/>
        </w:rPr>
      </w:pPr>
      <w:bookmarkStart w:id="445" w:name="_Toc26555"/>
      <w:bookmarkStart w:id="446" w:name="_Toc15447"/>
      <w:bookmarkStart w:id="447" w:name="_Toc22011"/>
      <w:bookmarkStart w:id="448" w:name="_Toc32670"/>
      <w:bookmarkStart w:id="449" w:name="_Toc31233"/>
      <w:r>
        <w:rPr>
          <w:rFonts w:ascii="宋体" w:hAnsi="宋体"/>
          <w:b/>
          <w:color w:val="auto"/>
          <w:sz w:val="24"/>
          <w:highlight w:val="none"/>
        </w:rPr>
        <w:t>2.5 结算方式和付款条件</w:t>
      </w:r>
      <w:bookmarkEnd w:id="445"/>
      <w:bookmarkEnd w:id="446"/>
      <w:bookmarkEnd w:id="447"/>
      <w:bookmarkEnd w:id="448"/>
      <w:bookmarkEnd w:id="449"/>
    </w:p>
    <w:p w14:paraId="462197D2">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B7CA89C">
      <w:pPr>
        <w:spacing w:line="560" w:lineRule="exact"/>
        <w:ind w:firstLine="482" w:firstLineChars="200"/>
        <w:outlineLvl w:val="0"/>
        <w:rPr>
          <w:rFonts w:ascii="宋体" w:hAnsi="宋体"/>
          <w:b/>
          <w:color w:val="auto"/>
          <w:sz w:val="24"/>
          <w:highlight w:val="none"/>
        </w:rPr>
      </w:pPr>
      <w:bookmarkStart w:id="450" w:name="_Toc18990"/>
      <w:bookmarkStart w:id="451" w:name="_Toc30507"/>
      <w:bookmarkStart w:id="452" w:name="_Toc16163"/>
      <w:bookmarkStart w:id="453" w:name="_Toc13154"/>
      <w:bookmarkStart w:id="454" w:name="_Toc13467"/>
      <w:r>
        <w:rPr>
          <w:rFonts w:ascii="宋体" w:hAnsi="宋体"/>
          <w:b/>
          <w:color w:val="auto"/>
          <w:sz w:val="24"/>
          <w:highlight w:val="none"/>
        </w:rPr>
        <w:t>2.6 技术资料和保密义务</w:t>
      </w:r>
      <w:bookmarkEnd w:id="450"/>
      <w:bookmarkEnd w:id="451"/>
      <w:bookmarkEnd w:id="452"/>
      <w:bookmarkEnd w:id="453"/>
      <w:bookmarkEnd w:id="454"/>
    </w:p>
    <w:p w14:paraId="6CEEECDB">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48A0559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B61741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3B967DF9">
      <w:pPr>
        <w:spacing w:line="560" w:lineRule="exact"/>
        <w:ind w:firstLine="482" w:firstLineChars="200"/>
        <w:outlineLvl w:val="0"/>
        <w:rPr>
          <w:rFonts w:ascii="宋体" w:hAnsi="宋体"/>
          <w:b/>
          <w:color w:val="auto"/>
          <w:sz w:val="24"/>
          <w:highlight w:val="none"/>
        </w:rPr>
      </w:pPr>
      <w:bookmarkStart w:id="45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5"/>
    </w:p>
    <w:p w14:paraId="6F6E779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2931F8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39DD99AE">
      <w:pPr>
        <w:spacing w:line="560" w:lineRule="exact"/>
        <w:ind w:firstLine="482" w:firstLineChars="200"/>
        <w:outlineLvl w:val="0"/>
        <w:rPr>
          <w:rFonts w:ascii="宋体" w:hAnsi="宋体"/>
          <w:b/>
          <w:color w:val="auto"/>
          <w:sz w:val="24"/>
          <w:highlight w:val="none"/>
        </w:rPr>
      </w:pPr>
      <w:bookmarkStart w:id="45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6"/>
    </w:p>
    <w:p w14:paraId="481B1190">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4863844C">
      <w:pPr>
        <w:spacing w:line="560" w:lineRule="exact"/>
        <w:ind w:firstLine="482" w:firstLineChars="200"/>
        <w:outlineLvl w:val="0"/>
        <w:rPr>
          <w:rFonts w:ascii="宋体" w:hAnsi="宋体"/>
          <w:b/>
          <w:color w:val="auto"/>
          <w:sz w:val="24"/>
          <w:highlight w:val="none"/>
        </w:rPr>
      </w:pPr>
      <w:bookmarkStart w:id="45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7"/>
    </w:p>
    <w:p w14:paraId="5D82F93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21DB3EF">
      <w:pPr>
        <w:spacing w:line="560" w:lineRule="exact"/>
        <w:ind w:firstLine="482" w:firstLineChars="200"/>
        <w:outlineLvl w:val="0"/>
        <w:rPr>
          <w:rFonts w:ascii="宋体" w:hAnsi="宋体"/>
          <w:b/>
          <w:color w:val="auto"/>
          <w:sz w:val="24"/>
          <w:highlight w:val="none"/>
        </w:rPr>
      </w:pPr>
      <w:bookmarkStart w:id="458" w:name="_Toc23368"/>
      <w:bookmarkStart w:id="459" w:name="_Toc10663"/>
      <w:bookmarkStart w:id="460" w:name="_Toc42"/>
      <w:bookmarkStart w:id="461" w:name="_Toc26689"/>
      <w:bookmarkStart w:id="462" w:name="_Toc21830"/>
      <w:r>
        <w:rPr>
          <w:rFonts w:ascii="宋体" w:hAnsi="宋体"/>
          <w:b/>
          <w:color w:val="auto"/>
          <w:sz w:val="24"/>
          <w:highlight w:val="none"/>
        </w:rPr>
        <w:t>2.10 合同转让和分包</w:t>
      </w:r>
      <w:bookmarkEnd w:id="458"/>
      <w:bookmarkEnd w:id="459"/>
      <w:bookmarkEnd w:id="460"/>
      <w:bookmarkEnd w:id="461"/>
      <w:bookmarkEnd w:id="462"/>
    </w:p>
    <w:p w14:paraId="60D7A918">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FDA0F2B">
      <w:pPr>
        <w:spacing w:line="560" w:lineRule="exact"/>
        <w:ind w:firstLine="482" w:firstLineChars="200"/>
        <w:outlineLvl w:val="0"/>
        <w:rPr>
          <w:rFonts w:ascii="宋体" w:hAnsi="宋体"/>
          <w:b/>
          <w:color w:val="auto"/>
          <w:sz w:val="24"/>
          <w:highlight w:val="none"/>
        </w:rPr>
      </w:pPr>
      <w:bookmarkStart w:id="463" w:name="_Toc26633"/>
      <w:bookmarkStart w:id="464" w:name="_Toc4720"/>
      <w:bookmarkStart w:id="465" w:name="_Toc32494"/>
      <w:bookmarkStart w:id="466" w:name="_Toc14371"/>
      <w:bookmarkStart w:id="467" w:name="_Toc25571"/>
      <w:r>
        <w:rPr>
          <w:rFonts w:ascii="宋体" w:hAnsi="宋体"/>
          <w:b/>
          <w:color w:val="auto"/>
          <w:sz w:val="24"/>
          <w:highlight w:val="none"/>
        </w:rPr>
        <w:t>2.11 不可抗力</w:t>
      </w:r>
      <w:bookmarkEnd w:id="463"/>
      <w:bookmarkEnd w:id="464"/>
      <w:bookmarkEnd w:id="465"/>
      <w:bookmarkEnd w:id="466"/>
      <w:bookmarkEnd w:id="467"/>
    </w:p>
    <w:p w14:paraId="50DD17D0">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1C4943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04A511B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0E60D79">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91F5494">
      <w:pPr>
        <w:spacing w:line="560" w:lineRule="exact"/>
        <w:ind w:firstLine="482" w:firstLineChars="200"/>
        <w:outlineLvl w:val="0"/>
        <w:rPr>
          <w:rFonts w:ascii="宋体" w:hAnsi="宋体"/>
          <w:b/>
          <w:color w:val="auto"/>
          <w:sz w:val="24"/>
          <w:highlight w:val="none"/>
        </w:rPr>
      </w:pPr>
      <w:bookmarkStart w:id="468" w:name="_Toc24465"/>
      <w:bookmarkStart w:id="469" w:name="_Toc3638"/>
      <w:bookmarkStart w:id="470" w:name="_Toc23854"/>
      <w:bookmarkStart w:id="471" w:name="_Toc14115"/>
      <w:bookmarkStart w:id="472" w:name="_Toc25783"/>
      <w:r>
        <w:rPr>
          <w:rFonts w:ascii="宋体" w:hAnsi="宋体"/>
          <w:b/>
          <w:color w:val="auto"/>
          <w:sz w:val="24"/>
          <w:highlight w:val="none"/>
        </w:rPr>
        <w:t>2.12 税费</w:t>
      </w:r>
      <w:bookmarkEnd w:id="468"/>
      <w:bookmarkEnd w:id="469"/>
      <w:bookmarkEnd w:id="470"/>
      <w:bookmarkEnd w:id="471"/>
      <w:bookmarkEnd w:id="472"/>
    </w:p>
    <w:p w14:paraId="2E4B3FF3">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5CAD00CF">
      <w:pPr>
        <w:spacing w:line="560" w:lineRule="exact"/>
        <w:ind w:firstLine="482" w:firstLineChars="200"/>
        <w:outlineLvl w:val="0"/>
        <w:rPr>
          <w:rFonts w:ascii="宋体" w:hAnsi="宋体"/>
          <w:b/>
          <w:color w:val="auto"/>
          <w:sz w:val="24"/>
          <w:highlight w:val="none"/>
        </w:rPr>
      </w:pPr>
      <w:bookmarkStart w:id="473" w:name="_Toc25525"/>
      <w:bookmarkStart w:id="474" w:name="_Toc14814"/>
      <w:bookmarkStart w:id="475" w:name="_Toc30105"/>
      <w:bookmarkStart w:id="476" w:name="_Toc7315"/>
      <w:bookmarkStart w:id="477" w:name="_Toc26883"/>
      <w:r>
        <w:rPr>
          <w:rFonts w:ascii="宋体" w:hAnsi="宋体"/>
          <w:b/>
          <w:color w:val="auto"/>
          <w:sz w:val="24"/>
          <w:highlight w:val="none"/>
        </w:rPr>
        <w:t>2.13 乙方破产</w:t>
      </w:r>
      <w:bookmarkEnd w:id="473"/>
      <w:bookmarkEnd w:id="474"/>
      <w:bookmarkEnd w:id="475"/>
      <w:bookmarkEnd w:id="476"/>
      <w:bookmarkEnd w:id="477"/>
    </w:p>
    <w:p w14:paraId="7BA04BA1">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07CB001">
      <w:pPr>
        <w:spacing w:line="560" w:lineRule="exact"/>
        <w:ind w:firstLine="482" w:firstLineChars="200"/>
        <w:outlineLvl w:val="0"/>
        <w:rPr>
          <w:rFonts w:ascii="宋体" w:hAnsi="宋体"/>
          <w:b/>
          <w:color w:val="auto"/>
          <w:sz w:val="24"/>
          <w:highlight w:val="none"/>
        </w:rPr>
      </w:pPr>
      <w:bookmarkStart w:id="478" w:name="_Toc23323"/>
      <w:bookmarkStart w:id="479" w:name="_Toc1123"/>
      <w:bookmarkStart w:id="480" w:name="_Toc2016"/>
      <w:r>
        <w:rPr>
          <w:rFonts w:ascii="宋体" w:hAnsi="宋体"/>
          <w:b/>
          <w:color w:val="auto"/>
          <w:sz w:val="24"/>
          <w:highlight w:val="none"/>
        </w:rPr>
        <w:t>2.14 合同中止、终止</w:t>
      </w:r>
      <w:bookmarkEnd w:id="478"/>
      <w:bookmarkEnd w:id="479"/>
      <w:bookmarkEnd w:id="480"/>
    </w:p>
    <w:p w14:paraId="4AB6977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7CE05804">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58F1C21">
      <w:pPr>
        <w:spacing w:line="560" w:lineRule="exact"/>
        <w:ind w:firstLine="482" w:firstLineChars="200"/>
        <w:outlineLvl w:val="0"/>
        <w:rPr>
          <w:rFonts w:ascii="宋体" w:hAnsi="宋体"/>
          <w:b/>
          <w:color w:val="auto"/>
          <w:sz w:val="24"/>
          <w:highlight w:val="none"/>
        </w:rPr>
      </w:pPr>
      <w:bookmarkStart w:id="481" w:name="_Toc1969"/>
      <w:bookmarkStart w:id="482" w:name="_Toc17363"/>
      <w:bookmarkStart w:id="483" w:name="_Toc14525"/>
      <w:r>
        <w:rPr>
          <w:rFonts w:ascii="宋体" w:hAnsi="宋体"/>
          <w:b/>
          <w:color w:val="auto"/>
          <w:sz w:val="24"/>
          <w:highlight w:val="none"/>
        </w:rPr>
        <w:t>2.15 检验和验收</w:t>
      </w:r>
      <w:bookmarkEnd w:id="481"/>
      <w:bookmarkEnd w:id="482"/>
      <w:bookmarkEnd w:id="483"/>
    </w:p>
    <w:p w14:paraId="79DC097B">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0BC353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876EB2">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1852894">
      <w:pPr>
        <w:spacing w:line="560" w:lineRule="exact"/>
        <w:ind w:firstLine="482" w:firstLineChars="200"/>
        <w:outlineLvl w:val="0"/>
        <w:rPr>
          <w:rFonts w:ascii="宋体" w:hAnsi="宋体"/>
          <w:b/>
          <w:color w:val="auto"/>
          <w:sz w:val="24"/>
          <w:highlight w:val="none"/>
        </w:rPr>
      </w:pPr>
      <w:bookmarkStart w:id="484" w:name="_Toc31892"/>
      <w:bookmarkStart w:id="485" w:name="_Toc9808"/>
      <w:bookmarkStart w:id="486" w:name="_Toc2308"/>
      <w:bookmarkStart w:id="487" w:name="_Toc25198"/>
      <w:bookmarkStart w:id="488" w:name="_Toc12666"/>
      <w:r>
        <w:rPr>
          <w:rFonts w:ascii="宋体" w:hAnsi="宋体"/>
          <w:b/>
          <w:color w:val="auto"/>
          <w:sz w:val="24"/>
          <w:highlight w:val="none"/>
        </w:rPr>
        <w:t>2.16 通知和送达</w:t>
      </w:r>
      <w:bookmarkEnd w:id="484"/>
      <w:bookmarkEnd w:id="485"/>
      <w:bookmarkEnd w:id="486"/>
      <w:bookmarkEnd w:id="487"/>
      <w:bookmarkEnd w:id="488"/>
    </w:p>
    <w:p w14:paraId="6033E248">
      <w:pPr>
        <w:spacing w:line="560" w:lineRule="exact"/>
        <w:ind w:firstLine="480" w:firstLineChars="200"/>
        <w:rPr>
          <w:rFonts w:ascii="宋体" w:hAnsi="宋体"/>
          <w:color w:val="auto"/>
          <w:sz w:val="24"/>
          <w:highlight w:val="none"/>
        </w:rPr>
      </w:pPr>
      <w:bookmarkStart w:id="489" w:name="_Toc18401"/>
      <w:bookmarkStart w:id="490"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19A49C2A">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89"/>
      <w:bookmarkEnd w:id="490"/>
    </w:p>
    <w:p w14:paraId="57BDFB07">
      <w:pPr>
        <w:spacing w:line="560" w:lineRule="exact"/>
        <w:ind w:firstLine="482" w:firstLineChars="200"/>
        <w:outlineLvl w:val="0"/>
        <w:rPr>
          <w:rFonts w:ascii="宋体" w:hAnsi="宋体"/>
          <w:b/>
          <w:color w:val="auto"/>
          <w:sz w:val="24"/>
          <w:highlight w:val="none"/>
        </w:rPr>
      </w:pPr>
      <w:bookmarkStart w:id="491" w:name="_Toc20808"/>
      <w:bookmarkStart w:id="492" w:name="_Toc28906"/>
      <w:bookmarkStart w:id="493" w:name="_Toc27644"/>
      <w:bookmarkStart w:id="494" w:name="_Toc5063"/>
      <w:bookmarkStart w:id="495"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1"/>
      <w:bookmarkEnd w:id="492"/>
      <w:bookmarkEnd w:id="493"/>
      <w:bookmarkEnd w:id="494"/>
      <w:bookmarkEnd w:id="495"/>
    </w:p>
    <w:p w14:paraId="2D3B7875">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639198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1555519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49D9A3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33B3BAA">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7FD619EC">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3E40BAD8">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496" w:name="_Toc331685784"/>
      <w:r>
        <w:rPr>
          <w:rFonts w:hint="eastAsia" w:ascii="宋体" w:hAnsi="宋体" w:cs="宋体"/>
          <w:b/>
          <w:color w:val="auto"/>
          <w:sz w:val="24"/>
          <w:highlight w:val="none"/>
        </w:rPr>
        <w:t xml:space="preserve"> </w:t>
      </w:r>
      <w:bookmarkEnd w:id="496"/>
      <w:r>
        <w:rPr>
          <w:rFonts w:hint="eastAsia" w:ascii="宋体" w:hAnsi="宋体" w:cs="宋体"/>
          <w:b/>
          <w:color w:val="auto"/>
          <w:sz w:val="24"/>
          <w:highlight w:val="none"/>
        </w:rPr>
        <w:t>第三部分  合同专用条款</w:t>
      </w:r>
    </w:p>
    <w:p w14:paraId="03690718">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0759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8B989D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3464DC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055BC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9E8D49">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4C11D14C">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9AA2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3BC3DA1">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0160AE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合同签订且乙方提供发票后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个工作日内支付合同金额20%的预付</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同时收取</w:t>
            </w:r>
            <w:r>
              <w:rPr>
                <w:rFonts w:hint="eastAsia" w:ascii="宋体" w:hAnsi="宋体" w:eastAsia="宋体" w:cs="宋体"/>
                <w:color w:val="auto"/>
                <w:sz w:val="24"/>
                <w:highlight w:val="none"/>
              </w:rPr>
              <w:t>合同总价1%</w:t>
            </w:r>
            <w:r>
              <w:rPr>
                <w:rFonts w:hint="eastAsia" w:ascii="宋体" w:hAnsi="宋体" w:eastAsia="宋体" w:cs="宋体"/>
                <w:color w:val="auto"/>
                <w:sz w:val="24"/>
                <w:highlight w:val="none"/>
                <w:lang w:val="en-US" w:eastAsia="zh-CN"/>
              </w:rPr>
              <w:t>的履约保证金</w:t>
            </w:r>
            <w:r>
              <w:rPr>
                <w:rFonts w:hint="eastAsia" w:ascii="宋体" w:hAnsi="宋体" w:eastAsia="宋体" w:cs="宋体"/>
                <w:color w:val="auto"/>
                <w:sz w:val="24"/>
                <w:highlight w:val="none"/>
              </w:rPr>
              <w:t>。</w:t>
            </w:r>
          </w:p>
        </w:tc>
      </w:tr>
      <w:tr w14:paraId="5D955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03AAD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0CDEA0A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合同签订且乙方提供发票后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个工作日内支付合同金额20%的预付</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highlight w:val="none"/>
                <w:lang w:val="en-US" w:eastAsia="zh-CN"/>
              </w:rPr>
              <w:t>，同时收取</w:t>
            </w:r>
            <w:r>
              <w:rPr>
                <w:rFonts w:hint="eastAsia" w:ascii="宋体" w:hAnsi="宋体" w:eastAsia="宋体" w:cs="宋体"/>
                <w:color w:val="auto"/>
                <w:sz w:val="24"/>
                <w:highlight w:val="none"/>
              </w:rPr>
              <w:t>合同总价1%</w:t>
            </w:r>
            <w:r>
              <w:rPr>
                <w:rFonts w:hint="eastAsia" w:ascii="宋体" w:hAnsi="宋体" w:eastAsia="宋体" w:cs="宋体"/>
                <w:color w:val="auto"/>
                <w:sz w:val="24"/>
                <w:highlight w:val="none"/>
                <w:lang w:val="en-US" w:eastAsia="zh-CN"/>
              </w:rPr>
              <w:t>的履约保证金</w:t>
            </w:r>
            <w:r>
              <w:rPr>
                <w:rFonts w:hint="eastAsia" w:ascii="宋体" w:hAnsi="宋体" w:eastAsia="宋体" w:cs="宋体"/>
                <w:color w:val="auto"/>
                <w:sz w:val="24"/>
                <w:highlight w:val="none"/>
              </w:rPr>
              <w:t>。</w:t>
            </w:r>
          </w:p>
        </w:tc>
      </w:tr>
      <w:tr w14:paraId="4A64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72DEB2F">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3CFB38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预付款不扣回</w:t>
            </w:r>
          </w:p>
        </w:tc>
      </w:tr>
      <w:tr w14:paraId="080D2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E282F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58B99F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5BE30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93FE52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4D22D5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1、合同签订且乙方提供发票后</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个工作日内支付合同金额20%的预付款。</w:t>
            </w:r>
          </w:p>
          <w:p w14:paraId="363D241A">
            <w:pPr>
              <w:pStyle w:val="966"/>
              <w:numPr>
                <w:ilvl w:val="0"/>
                <w:numId w:val="0"/>
              </w:numPr>
              <w:tabs>
                <w:tab w:val="left" w:pos="471"/>
              </w:tabs>
              <w:adjustRightInd/>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剩余80%服务费每半年支付一次。付款前乙方应当提供相应的增值税发票，否则甲方有权拒付。</w:t>
            </w:r>
          </w:p>
        </w:tc>
      </w:tr>
      <w:tr w14:paraId="72C2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50F23B6">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23150CE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2026年1月1日-2026年12月31日（以实际时间为准)。(如因项目甲方采购过程延误，造成乙方实际服务期限不足甲方采购需求期限的，不足部分甲方委托原供应商实施。费用按中标价格和服务天数结算，由成交乙方代行支付。)</w:t>
            </w:r>
          </w:p>
          <w:p w14:paraId="614598E7">
            <w:pPr>
              <w:shd w:val="clear" w:color="auto" w:fill="FFFFFF"/>
              <w:snapToGrid/>
              <w:spacing w:line="360" w:lineRule="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乙方承诺在承包期结束后在新服务单位人员正式到岗前，仍应按本招标文件约定的内容完成相关工作，旧合同到期之日至新合同签订之日期间，如仍由原服务单位完成相关安全服务工作的，产生的费用由中标单位支付给原服务单位。中标后产生的费用按照本次中标价支付给原服务单位。中标前产生的安全服务费用按照去年合同价与今年中标价相比较的低价向原服务单位支付。</w:t>
            </w:r>
          </w:p>
        </w:tc>
      </w:tr>
      <w:tr w14:paraId="5267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84242F2">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0A74DC83">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甲方指定地点</w:t>
            </w:r>
          </w:p>
        </w:tc>
      </w:tr>
      <w:tr w14:paraId="25C57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AEDF61E">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14F71F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交付方式:验收合格后交付</w:t>
            </w:r>
          </w:p>
        </w:tc>
      </w:tr>
      <w:tr w14:paraId="6F460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C43B1D9">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31A2AA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2C7D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D3BAB05">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363AFB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7B44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4759334">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1AF9865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362A9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C1CE577">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95210D8">
            <w:pPr>
              <w:pStyle w:val="61"/>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w:t>
            </w:r>
          </w:p>
        </w:tc>
      </w:tr>
      <w:tr w14:paraId="56494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0D59CCD">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455747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5F42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57DDAD0">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735600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向甲方所在地人民法院起诉。</w:t>
            </w:r>
          </w:p>
        </w:tc>
      </w:tr>
      <w:tr w14:paraId="29663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66AEDF">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43549A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r>
      <w:tr w14:paraId="66366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5FA4C6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0DFF51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1、合同签订且乙方提供发票后</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个工作日内支付合同金额20%的预付款。</w:t>
            </w:r>
          </w:p>
          <w:p w14:paraId="57CA92A0">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剩余80%服务费每半年支付一次。付款前乙方应当提供相应的增值税发票，否则甲方有权拒付。</w:t>
            </w:r>
          </w:p>
        </w:tc>
      </w:tr>
      <w:tr w14:paraId="48D60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24ABB1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28F3EB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不可抗力发生后5日内以书面形式变更合同</w:t>
            </w:r>
          </w:p>
        </w:tc>
      </w:tr>
      <w:tr w14:paraId="6D851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1D7105A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center"/>
          </w:tcPr>
          <w:p w14:paraId="34E516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不可抗力发生后1日内以书面形式通知对方当事人;不可抗力发生后1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rPr>
              <w:t>将有关部门出具的证明文件送达对方当事人。</w:t>
            </w:r>
          </w:p>
        </w:tc>
      </w:tr>
      <w:tr w14:paraId="0C9C6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644D38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top"/>
          </w:tcPr>
          <w:p w14:paraId="27E4C1A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满足验收条件之日起10日内组织验收</w:t>
            </w:r>
          </w:p>
        </w:tc>
      </w:tr>
      <w:tr w14:paraId="2A292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820DC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232C0DC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甲方按照《杭州市政府采购履约验收暂行办法》(杭财采</w:t>
            </w:r>
            <w:r>
              <w:rPr>
                <w:rFonts w:hint="eastAsia" w:ascii="宋体" w:hAnsi="宋体" w:eastAsia="宋体" w:cs="宋体"/>
                <w:color w:val="auto"/>
                <w:sz w:val="24"/>
                <w:highlight w:val="none"/>
                <w:lang w:val="en-US" w:eastAsia="zh-CN"/>
              </w:rPr>
              <w:t>监</w:t>
            </w:r>
            <w:r>
              <w:rPr>
                <w:rFonts w:hint="eastAsia" w:ascii="宋体" w:hAnsi="宋体" w:eastAsia="宋体" w:cs="宋体"/>
                <w:color w:val="auto"/>
                <w:sz w:val="24"/>
                <w:highlight w:val="none"/>
              </w:rPr>
              <w:t>[2019]10号)</w:t>
            </w:r>
            <w:r>
              <w:rPr>
                <w:rFonts w:hint="eastAsia" w:ascii="宋体" w:hAnsi="宋体" w:eastAsia="宋体" w:cs="宋体"/>
                <w:color w:val="auto"/>
                <w:sz w:val="24"/>
                <w:highlight w:val="none"/>
                <w:lang w:val="en-US" w:eastAsia="zh-CN"/>
              </w:rPr>
              <w:t>规</w:t>
            </w:r>
            <w:r>
              <w:rPr>
                <w:rFonts w:hint="eastAsia" w:ascii="宋体" w:hAnsi="宋体" w:eastAsia="宋体" w:cs="宋体"/>
                <w:color w:val="auto"/>
                <w:sz w:val="24"/>
                <w:highlight w:val="none"/>
              </w:rPr>
              <w:t>定组织对乙方履约的验收。验收方成员应当在验收</w:t>
            </w:r>
            <w:r>
              <w:rPr>
                <w:rFonts w:hint="eastAsia" w:ascii="宋体" w:hAnsi="宋体" w:eastAsia="宋体" w:cs="宋体"/>
                <w:color w:val="auto"/>
                <w:sz w:val="24"/>
                <w:highlight w:val="none"/>
                <w:lang w:val="en-US" w:eastAsia="zh-CN"/>
              </w:rPr>
              <w:t>书</w:t>
            </w:r>
            <w:r>
              <w:rPr>
                <w:rFonts w:hint="eastAsia" w:ascii="宋体" w:hAnsi="宋体" w:eastAsia="宋体" w:cs="宋体"/>
                <w:color w:val="auto"/>
                <w:sz w:val="24"/>
                <w:highlight w:val="none"/>
              </w:rPr>
              <w:t>上签字，并承担相应的法律责任。如果发现与合同中要求不符,乙方须承担由此发生的一切</w:t>
            </w:r>
            <w:r>
              <w:rPr>
                <w:rFonts w:hint="eastAsia" w:ascii="宋体" w:hAnsi="宋体" w:eastAsia="宋体" w:cs="宋体"/>
                <w:color w:val="auto"/>
                <w:sz w:val="24"/>
                <w:highlight w:val="none"/>
                <w:lang w:val="en-US" w:eastAsia="zh-CN"/>
              </w:rPr>
              <w:t>损</w:t>
            </w:r>
            <w:r>
              <w:rPr>
                <w:rFonts w:hint="eastAsia" w:ascii="宋体" w:hAnsi="宋体" w:eastAsia="宋体" w:cs="宋体"/>
                <w:color w:val="auto"/>
                <w:sz w:val="24"/>
                <w:highlight w:val="none"/>
              </w:rPr>
              <w:t>失和费用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并接受相应的处理</w:t>
            </w:r>
          </w:p>
        </w:tc>
      </w:tr>
      <w:tr w14:paraId="051D8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4A22A5B4">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5781FD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合同份数按甲方执叁份，乙方执叁份规定，每份均具有同等法律效力。</w:t>
            </w:r>
          </w:p>
        </w:tc>
      </w:tr>
    </w:tbl>
    <w:p w14:paraId="73D4A97B">
      <w:pPr>
        <w:spacing w:line="360" w:lineRule="auto"/>
        <w:ind w:left="-420" w:leftChars="-200" w:right="-420" w:rightChars="-200" w:firstLine="480" w:firstLineChars="200"/>
        <w:jc w:val="center"/>
        <w:outlineLvl w:val="0"/>
        <w:rPr>
          <w:rFonts w:ascii="宋体" w:hAnsi="宋体" w:cs="宋体"/>
          <w:color w:val="auto"/>
          <w:sz w:val="24"/>
          <w:highlight w:val="none"/>
        </w:rPr>
      </w:pPr>
    </w:p>
    <w:p w14:paraId="68B401DF">
      <w:pPr>
        <w:spacing w:line="360" w:lineRule="auto"/>
        <w:ind w:left="-420" w:leftChars="-200" w:right="-420" w:rightChars="-200" w:firstLine="480" w:firstLineChars="200"/>
        <w:jc w:val="center"/>
        <w:outlineLvl w:val="0"/>
        <w:rPr>
          <w:rFonts w:ascii="宋体" w:hAnsi="宋体" w:cs="宋体"/>
          <w:color w:val="auto"/>
          <w:sz w:val="24"/>
          <w:highlight w:val="none"/>
        </w:rPr>
      </w:pPr>
    </w:p>
    <w:p w14:paraId="7A96F21B">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39999667">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0DA4BF95">
      <w:pPr>
        <w:spacing w:line="360" w:lineRule="auto"/>
        <w:jc w:val="center"/>
        <w:outlineLvl w:val="0"/>
        <w:rPr>
          <w:rFonts w:ascii="宋体" w:hAnsi="宋体" w:cs="宋体"/>
          <w:b/>
          <w:color w:val="auto"/>
          <w:kern w:val="0"/>
          <w:sz w:val="36"/>
          <w:szCs w:val="36"/>
          <w:highlight w:val="none"/>
        </w:rPr>
      </w:pPr>
    </w:p>
    <w:p w14:paraId="7CA0D42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F7FFA3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D243BF1">
      <w:pPr>
        <w:spacing w:line="360" w:lineRule="auto"/>
        <w:jc w:val="center"/>
        <w:outlineLvl w:val="0"/>
        <w:rPr>
          <w:rFonts w:ascii="宋体" w:hAnsi="宋体" w:cs="宋体"/>
          <w:b/>
          <w:color w:val="auto"/>
          <w:kern w:val="0"/>
          <w:sz w:val="36"/>
          <w:szCs w:val="36"/>
          <w:highlight w:val="none"/>
        </w:rPr>
      </w:pPr>
    </w:p>
    <w:p w14:paraId="085A833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40931AB">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6F0FB4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F75B2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0E44821">
      <w:pPr>
        <w:snapToGrid w:val="0"/>
        <w:spacing w:line="360" w:lineRule="auto"/>
        <w:ind w:firstLine="480" w:firstLineChars="200"/>
        <w:rPr>
          <w:rFonts w:ascii="宋体" w:hAnsi="宋体" w:cs="宋体"/>
          <w:color w:val="auto"/>
          <w:sz w:val="24"/>
          <w:highlight w:val="none"/>
        </w:rPr>
      </w:pPr>
    </w:p>
    <w:p w14:paraId="6870D1BE">
      <w:pPr>
        <w:spacing w:line="360" w:lineRule="auto"/>
        <w:ind w:firstLine="480" w:firstLineChars="200"/>
        <w:rPr>
          <w:rFonts w:ascii="宋体" w:hAnsi="宋体" w:cs="宋体"/>
          <w:color w:val="auto"/>
          <w:sz w:val="24"/>
          <w:highlight w:val="none"/>
        </w:rPr>
      </w:pPr>
    </w:p>
    <w:p w14:paraId="4AB61B29">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4B7F04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6EF8B8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】政府采购活动，郑重承诺：</w:t>
      </w:r>
    </w:p>
    <w:p w14:paraId="14E50D4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1470D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596E8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8B7C6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56D63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814C3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55BBA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967B55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E11BEA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465466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161214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F3FB73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3F734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B5B533">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76591D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062A40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w:t>
      </w:r>
      <w:r>
        <w:rPr>
          <w:rFonts w:hint="eastAsia" w:ascii="宋体" w:hAnsi="宋体" w:cs="宋体"/>
          <w:b/>
          <w:color w:val="auto"/>
          <w:kern w:val="0"/>
          <w:sz w:val="32"/>
          <w:szCs w:val="32"/>
          <w:highlight w:val="none"/>
        </w:rPr>
        <w:t>（如果有）</w:t>
      </w:r>
    </w:p>
    <w:p w14:paraId="7D33705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BD57072">
      <w:pPr>
        <w:snapToGrid w:val="0"/>
        <w:spacing w:line="360" w:lineRule="auto"/>
        <w:ind w:right="480"/>
        <w:jc w:val="center"/>
        <w:rPr>
          <w:rFonts w:ascii="宋体" w:hAnsi="宋体" w:cs="宋体"/>
          <w:b/>
          <w:color w:val="auto"/>
          <w:kern w:val="0"/>
          <w:sz w:val="32"/>
          <w:szCs w:val="32"/>
          <w:highlight w:val="none"/>
        </w:rPr>
      </w:pPr>
    </w:p>
    <w:p w14:paraId="10846C27">
      <w:pPr>
        <w:snapToGrid w:val="0"/>
        <w:spacing w:line="360" w:lineRule="auto"/>
        <w:ind w:right="480"/>
        <w:jc w:val="center"/>
        <w:rPr>
          <w:rFonts w:ascii="宋体" w:hAnsi="宋体" w:cs="宋体"/>
          <w:b/>
          <w:color w:val="auto"/>
          <w:kern w:val="0"/>
          <w:sz w:val="32"/>
          <w:szCs w:val="32"/>
          <w:highlight w:val="none"/>
        </w:rPr>
      </w:pPr>
    </w:p>
    <w:p w14:paraId="25C62BC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r>
        <w:rPr>
          <w:rFonts w:hint="eastAsia" w:ascii="宋体" w:hAnsi="宋体" w:cs="宋体"/>
          <w:b/>
          <w:color w:val="auto"/>
          <w:kern w:val="0"/>
          <w:sz w:val="32"/>
          <w:szCs w:val="32"/>
          <w:highlight w:val="none"/>
        </w:rPr>
        <w:t>（如果有）</w:t>
      </w:r>
    </w:p>
    <w:p w14:paraId="0D094914">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FA2DA6F">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A3B81B7">
      <w:pPr>
        <w:widowControl/>
        <w:spacing w:line="360" w:lineRule="auto"/>
        <w:ind w:firstLine="480"/>
        <w:jc w:val="left"/>
        <w:rPr>
          <w:rFonts w:ascii="宋体" w:hAnsi="宋体" w:cs="宋体"/>
          <w:color w:val="auto"/>
          <w:sz w:val="24"/>
          <w:highlight w:val="none"/>
        </w:rPr>
      </w:pPr>
    </w:p>
    <w:p w14:paraId="4BDAECE8">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09D93C54">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8B9A3E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28D0469">
      <w:pPr>
        <w:widowControl/>
        <w:spacing w:line="360" w:lineRule="auto"/>
        <w:ind w:left="150"/>
        <w:jc w:val="center"/>
        <w:rPr>
          <w:rFonts w:ascii="宋体" w:hAnsi="宋体" w:cs="宋体"/>
          <w:b/>
          <w:color w:val="auto"/>
          <w:kern w:val="0"/>
          <w:sz w:val="32"/>
          <w:szCs w:val="32"/>
          <w:highlight w:val="none"/>
        </w:rPr>
      </w:pPr>
    </w:p>
    <w:p w14:paraId="7FC9C9ED">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r>
        <w:rPr>
          <w:rFonts w:hint="eastAsia" w:ascii="宋体" w:hAnsi="宋体" w:cs="宋体"/>
          <w:b/>
          <w:color w:val="auto"/>
          <w:kern w:val="0"/>
          <w:sz w:val="32"/>
          <w:szCs w:val="32"/>
          <w:highlight w:val="none"/>
        </w:rPr>
        <w:t>（如果有）</w:t>
      </w:r>
    </w:p>
    <w:p w14:paraId="26D0E3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7445D56">
      <w:pPr>
        <w:rPr>
          <w:rFonts w:ascii="宋体" w:hAnsi="宋体" w:cs="宋体"/>
          <w:color w:val="auto"/>
          <w:highlight w:val="none"/>
        </w:rPr>
      </w:pPr>
    </w:p>
    <w:p w14:paraId="3B3FEB0C">
      <w:pPr>
        <w:snapToGrid w:val="0"/>
        <w:spacing w:line="360" w:lineRule="auto"/>
        <w:ind w:right="480"/>
        <w:jc w:val="center"/>
        <w:rPr>
          <w:rFonts w:ascii="宋体" w:hAnsi="宋体" w:cs="宋体"/>
          <w:b/>
          <w:color w:val="auto"/>
          <w:kern w:val="0"/>
          <w:sz w:val="32"/>
          <w:szCs w:val="32"/>
          <w:highlight w:val="none"/>
        </w:rPr>
      </w:pPr>
    </w:p>
    <w:p w14:paraId="4882FC3D">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4D32257">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E980AAD">
      <w:pPr>
        <w:spacing w:line="360" w:lineRule="auto"/>
        <w:jc w:val="center"/>
        <w:outlineLvl w:val="0"/>
        <w:rPr>
          <w:rFonts w:ascii="宋体" w:hAnsi="宋体" w:cs="宋体"/>
          <w:b/>
          <w:color w:val="auto"/>
          <w:kern w:val="0"/>
          <w:sz w:val="24"/>
          <w:highlight w:val="none"/>
        </w:rPr>
      </w:pPr>
    </w:p>
    <w:p w14:paraId="429E8B28">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F43ADA7">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01C156AE">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6F2F84C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390F03D6">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3E9CE50A">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2073977">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3B185F48">
      <w:pPr>
        <w:snapToGrid w:val="0"/>
        <w:spacing w:line="360" w:lineRule="auto"/>
        <w:jc w:val="center"/>
        <w:rPr>
          <w:rFonts w:ascii="宋体" w:hAnsi="宋体" w:cs="宋体"/>
          <w:b/>
          <w:color w:val="auto"/>
          <w:kern w:val="0"/>
          <w:sz w:val="32"/>
          <w:szCs w:val="32"/>
          <w:highlight w:val="none"/>
          <w:lang w:val="zh-CN"/>
        </w:rPr>
      </w:pPr>
    </w:p>
    <w:p w14:paraId="7A232B7A">
      <w:pPr>
        <w:snapToGrid w:val="0"/>
        <w:spacing w:line="360" w:lineRule="auto"/>
        <w:jc w:val="center"/>
        <w:rPr>
          <w:rFonts w:ascii="宋体" w:hAnsi="宋体" w:cs="宋体"/>
          <w:b/>
          <w:color w:val="auto"/>
          <w:kern w:val="0"/>
          <w:sz w:val="32"/>
          <w:szCs w:val="32"/>
          <w:highlight w:val="none"/>
          <w:lang w:val="zh-CN"/>
        </w:rPr>
      </w:pPr>
    </w:p>
    <w:p w14:paraId="62958E79">
      <w:pPr>
        <w:snapToGrid w:val="0"/>
        <w:spacing w:line="360" w:lineRule="auto"/>
        <w:jc w:val="center"/>
        <w:rPr>
          <w:rFonts w:ascii="宋体" w:hAnsi="宋体" w:cs="宋体"/>
          <w:b/>
          <w:color w:val="auto"/>
          <w:kern w:val="0"/>
          <w:sz w:val="32"/>
          <w:szCs w:val="32"/>
          <w:highlight w:val="none"/>
          <w:lang w:val="zh-CN"/>
        </w:rPr>
      </w:pPr>
    </w:p>
    <w:p w14:paraId="250E184A">
      <w:pPr>
        <w:snapToGrid w:val="0"/>
        <w:spacing w:line="360" w:lineRule="auto"/>
        <w:jc w:val="center"/>
        <w:rPr>
          <w:rFonts w:ascii="宋体" w:hAnsi="宋体" w:cs="宋体"/>
          <w:b/>
          <w:color w:val="auto"/>
          <w:kern w:val="0"/>
          <w:sz w:val="32"/>
          <w:szCs w:val="32"/>
          <w:highlight w:val="none"/>
          <w:lang w:val="zh-CN"/>
        </w:rPr>
      </w:pPr>
    </w:p>
    <w:p w14:paraId="31D29B88">
      <w:pPr>
        <w:snapToGrid w:val="0"/>
        <w:spacing w:line="360" w:lineRule="auto"/>
        <w:jc w:val="center"/>
        <w:rPr>
          <w:rFonts w:ascii="宋体" w:hAnsi="宋体" w:cs="宋体"/>
          <w:b/>
          <w:color w:val="auto"/>
          <w:kern w:val="0"/>
          <w:sz w:val="32"/>
          <w:szCs w:val="32"/>
          <w:highlight w:val="none"/>
          <w:lang w:val="zh-CN"/>
        </w:rPr>
      </w:pPr>
    </w:p>
    <w:p w14:paraId="5AEC173B">
      <w:pPr>
        <w:snapToGrid w:val="0"/>
        <w:spacing w:line="360" w:lineRule="auto"/>
        <w:jc w:val="center"/>
        <w:rPr>
          <w:rFonts w:ascii="宋体" w:hAnsi="宋体" w:cs="宋体"/>
          <w:b/>
          <w:color w:val="auto"/>
          <w:kern w:val="0"/>
          <w:sz w:val="32"/>
          <w:szCs w:val="32"/>
          <w:highlight w:val="none"/>
          <w:lang w:val="zh-CN"/>
        </w:rPr>
      </w:pPr>
    </w:p>
    <w:p w14:paraId="611D7FA8">
      <w:pPr>
        <w:snapToGrid w:val="0"/>
        <w:spacing w:line="360" w:lineRule="auto"/>
        <w:jc w:val="center"/>
        <w:rPr>
          <w:rFonts w:ascii="宋体" w:hAnsi="宋体" w:cs="宋体"/>
          <w:b/>
          <w:color w:val="auto"/>
          <w:kern w:val="0"/>
          <w:sz w:val="32"/>
          <w:szCs w:val="32"/>
          <w:highlight w:val="none"/>
          <w:lang w:val="zh-CN"/>
        </w:rPr>
      </w:pPr>
    </w:p>
    <w:p w14:paraId="27299A0D">
      <w:pPr>
        <w:snapToGrid w:val="0"/>
        <w:spacing w:line="360" w:lineRule="auto"/>
        <w:jc w:val="center"/>
        <w:rPr>
          <w:rFonts w:ascii="宋体" w:hAnsi="宋体" w:cs="宋体"/>
          <w:b/>
          <w:color w:val="auto"/>
          <w:kern w:val="0"/>
          <w:sz w:val="32"/>
          <w:szCs w:val="32"/>
          <w:highlight w:val="none"/>
          <w:lang w:val="zh-CN"/>
        </w:rPr>
      </w:pPr>
    </w:p>
    <w:p w14:paraId="7DB60490">
      <w:pPr>
        <w:snapToGrid w:val="0"/>
        <w:spacing w:line="360" w:lineRule="auto"/>
        <w:jc w:val="center"/>
        <w:rPr>
          <w:rFonts w:ascii="宋体" w:hAnsi="宋体" w:cs="宋体"/>
          <w:b/>
          <w:color w:val="auto"/>
          <w:kern w:val="0"/>
          <w:sz w:val="32"/>
          <w:szCs w:val="32"/>
          <w:highlight w:val="none"/>
          <w:lang w:val="zh-CN"/>
        </w:rPr>
      </w:pPr>
    </w:p>
    <w:p w14:paraId="57A49EBD">
      <w:pPr>
        <w:snapToGrid w:val="0"/>
        <w:spacing w:line="360" w:lineRule="auto"/>
        <w:jc w:val="center"/>
        <w:rPr>
          <w:rFonts w:ascii="宋体" w:hAnsi="宋体" w:cs="宋体"/>
          <w:b/>
          <w:color w:val="auto"/>
          <w:kern w:val="0"/>
          <w:sz w:val="32"/>
          <w:szCs w:val="32"/>
          <w:highlight w:val="none"/>
          <w:lang w:val="zh-CN"/>
        </w:rPr>
      </w:pPr>
    </w:p>
    <w:p w14:paraId="5A154F97">
      <w:pPr>
        <w:snapToGrid w:val="0"/>
        <w:spacing w:line="360" w:lineRule="auto"/>
        <w:jc w:val="center"/>
        <w:rPr>
          <w:rFonts w:ascii="宋体" w:hAnsi="宋体" w:cs="宋体"/>
          <w:b/>
          <w:color w:val="auto"/>
          <w:kern w:val="0"/>
          <w:sz w:val="32"/>
          <w:szCs w:val="32"/>
          <w:highlight w:val="none"/>
          <w:lang w:val="zh-CN"/>
        </w:rPr>
      </w:pPr>
    </w:p>
    <w:p w14:paraId="018EDBB0">
      <w:pPr>
        <w:snapToGrid w:val="0"/>
        <w:spacing w:line="360" w:lineRule="auto"/>
        <w:jc w:val="center"/>
        <w:rPr>
          <w:rFonts w:ascii="宋体" w:hAnsi="宋体" w:cs="宋体"/>
          <w:b/>
          <w:color w:val="auto"/>
          <w:kern w:val="0"/>
          <w:sz w:val="32"/>
          <w:szCs w:val="32"/>
          <w:highlight w:val="none"/>
          <w:lang w:val="zh-CN"/>
        </w:rPr>
      </w:pPr>
    </w:p>
    <w:p w14:paraId="248E6AA7">
      <w:pPr>
        <w:rPr>
          <w:rFonts w:ascii="宋体" w:hAnsi="宋体" w:cs="宋体"/>
          <w:b/>
          <w:color w:val="auto"/>
          <w:kern w:val="0"/>
          <w:sz w:val="32"/>
          <w:szCs w:val="32"/>
          <w:highlight w:val="none"/>
          <w:lang w:val="zh-CN"/>
        </w:rPr>
      </w:pPr>
    </w:p>
    <w:p w14:paraId="3F1BB63F">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356892F">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80F69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41C676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】招标的有关活动，并对此项目进行投标。为此：</w:t>
      </w:r>
    </w:p>
    <w:p w14:paraId="39F882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E7D32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5191FC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53F1B9F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9468CA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97" w:name="_Hlk101257010"/>
      <w:r>
        <w:rPr>
          <w:rFonts w:hint="eastAsia" w:ascii="宋体" w:hAnsi="宋体" w:cs="宋体"/>
          <w:color w:val="auto"/>
          <w:sz w:val="24"/>
          <w:highlight w:val="none"/>
        </w:rPr>
        <w:t>（如果有)</w:t>
      </w:r>
      <w:bookmarkEnd w:id="497"/>
      <w:r>
        <w:rPr>
          <w:rFonts w:hint="eastAsia" w:ascii="宋体" w:hAnsi="宋体" w:cs="宋体"/>
          <w:snapToGrid w:val="0"/>
          <w:color w:val="auto"/>
          <w:kern w:val="28"/>
          <w:sz w:val="24"/>
          <w:szCs w:val="20"/>
          <w:highlight w:val="none"/>
        </w:rPr>
        <w:t>；</w:t>
      </w:r>
    </w:p>
    <w:p w14:paraId="6DBE06F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rPr>
        <w:t>（如果有）</w:t>
      </w:r>
      <w:r>
        <w:rPr>
          <w:rFonts w:hint="eastAsia" w:ascii="宋体" w:hAnsi="宋体" w:cs="宋体"/>
          <w:color w:val="auto"/>
          <w:sz w:val="24"/>
          <w:highlight w:val="none"/>
        </w:rPr>
        <w:t>；</w:t>
      </w:r>
    </w:p>
    <w:p w14:paraId="3BB131A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rPr>
        <w:t>（如果有)</w:t>
      </w:r>
      <w:r>
        <w:rPr>
          <w:rFonts w:hint="eastAsia" w:ascii="宋体" w:hAnsi="宋体" w:cs="宋体"/>
          <w:color w:val="auto"/>
          <w:sz w:val="24"/>
          <w:highlight w:val="none"/>
        </w:rPr>
        <w:t>。</w:t>
      </w:r>
    </w:p>
    <w:p w14:paraId="01DC949A">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701504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D3AB53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D5A4A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sz w:val="24"/>
          <w:highlight w:val="none"/>
        </w:rPr>
        <w:t>（如果有)</w:t>
      </w:r>
      <w:r>
        <w:rPr>
          <w:rFonts w:hint="eastAsia" w:ascii="宋体" w:hAnsi="宋体" w:cs="宋体"/>
          <w:color w:val="auto"/>
          <w:sz w:val="24"/>
          <w:highlight w:val="none"/>
        </w:rPr>
        <w:t>；</w:t>
      </w:r>
    </w:p>
    <w:p w14:paraId="659A00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679D70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FB474B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5F2B146">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14:paraId="1070650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3D45E7DF">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723993F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7C15F0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BF695B6">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4D1E0E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2A3810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3E0BA0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F55861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E166E9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123116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4F5BB3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DAD2DCD">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A722275">
      <w:pPr>
        <w:numPr>
          <w:ilvl w:val="0"/>
          <w:numId w:val="2"/>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057AB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EC24D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17C3635">
      <w:pPr>
        <w:snapToGrid w:val="0"/>
        <w:spacing w:line="360" w:lineRule="auto"/>
        <w:ind w:left="420" w:leftChars="200" w:firstLine="4200" w:firstLineChars="1750"/>
        <w:rPr>
          <w:rFonts w:ascii="宋体" w:hAnsi="宋体" w:cs="宋体"/>
          <w:color w:val="auto"/>
          <w:kern w:val="0"/>
          <w:sz w:val="24"/>
          <w:highlight w:val="none"/>
          <w:u w:val="single"/>
        </w:rPr>
      </w:pPr>
    </w:p>
    <w:p w14:paraId="3FE66DD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E4FB470">
      <w:pPr>
        <w:jc w:val="center"/>
        <w:rPr>
          <w:rFonts w:ascii="宋体" w:hAnsi="宋体" w:cs="宋体"/>
          <w:b/>
          <w:color w:val="auto"/>
          <w:kern w:val="0"/>
          <w:sz w:val="32"/>
          <w:szCs w:val="32"/>
          <w:highlight w:val="none"/>
        </w:rPr>
      </w:pPr>
    </w:p>
    <w:p w14:paraId="1196D5BF">
      <w:pPr>
        <w:jc w:val="center"/>
        <w:rPr>
          <w:rFonts w:ascii="宋体" w:hAnsi="宋体" w:cs="宋体"/>
          <w:b/>
          <w:color w:val="auto"/>
          <w:kern w:val="0"/>
          <w:sz w:val="32"/>
          <w:szCs w:val="32"/>
          <w:highlight w:val="none"/>
        </w:rPr>
      </w:pPr>
    </w:p>
    <w:p w14:paraId="37F1CC44">
      <w:pPr>
        <w:jc w:val="center"/>
        <w:rPr>
          <w:rFonts w:ascii="宋体" w:hAnsi="宋体" w:cs="宋体"/>
          <w:b/>
          <w:color w:val="auto"/>
          <w:kern w:val="0"/>
          <w:sz w:val="32"/>
          <w:szCs w:val="32"/>
          <w:highlight w:val="none"/>
        </w:rPr>
      </w:pPr>
    </w:p>
    <w:p w14:paraId="0286E423">
      <w:pPr>
        <w:jc w:val="center"/>
        <w:rPr>
          <w:rFonts w:ascii="宋体" w:hAnsi="宋体" w:cs="宋体"/>
          <w:b/>
          <w:color w:val="auto"/>
          <w:kern w:val="0"/>
          <w:sz w:val="32"/>
          <w:szCs w:val="32"/>
          <w:highlight w:val="none"/>
        </w:rPr>
      </w:pPr>
    </w:p>
    <w:p w14:paraId="3FC8A7A8">
      <w:pPr>
        <w:jc w:val="center"/>
        <w:rPr>
          <w:rFonts w:ascii="宋体" w:hAnsi="宋体" w:cs="宋体"/>
          <w:b/>
          <w:color w:val="auto"/>
          <w:kern w:val="0"/>
          <w:sz w:val="32"/>
          <w:szCs w:val="32"/>
          <w:highlight w:val="none"/>
        </w:rPr>
      </w:pPr>
    </w:p>
    <w:p w14:paraId="323E33CF">
      <w:pPr>
        <w:jc w:val="center"/>
        <w:rPr>
          <w:rFonts w:ascii="宋体" w:hAnsi="宋体" w:cs="宋体"/>
          <w:b/>
          <w:color w:val="auto"/>
          <w:kern w:val="0"/>
          <w:sz w:val="32"/>
          <w:szCs w:val="32"/>
          <w:highlight w:val="none"/>
        </w:rPr>
      </w:pPr>
    </w:p>
    <w:p w14:paraId="0C8C58A8">
      <w:pPr>
        <w:jc w:val="center"/>
        <w:rPr>
          <w:rFonts w:ascii="宋体" w:hAnsi="宋体" w:cs="宋体"/>
          <w:b/>
          <w:color w:val="auto"/>
          <w:kern w:val="0"/>
          <w:sz w:val="32"/>
          <w:szCs w:val="32"/>
          <w:highlight w:val="none"/>
        </w:rPr>
      </w:pPr>
    </w:p>
    <w:p w14:paraId="28D86503">
      <w:pPr>
        <w:pStyle w:val="3"/>
        <w:rPr>
          <w:color w:val="auto"/>
          <w:highlight w:val="none"/>
          <w:lang w:val="en-US"/>
        </w:rPr>
      </w:pPr>
    </w:p>
    <w:p w14:paraId="49CA537A">
      <w:pPr>
        <w:jc w:val="center"/>
        <w:rPr>
          <w:rFonts w:ascii="宋体" w:hAnsi="宋体" w:cs="宋体"/>
          <w:b/>
          <w:color w:val="auto"/>
          <w:kern w:val="0"/>
          <w:sz w:val="32"/>
          <w:szCs w:val="32"/>
          <w:highlight w:val="none"/>
        </w:rPr>
      </w:pPr>
    </w:p>
    <w:p w14:paraId="244F05CE">
      <w:pPr>
        <w:jc w:val="center"/>
        <w:rPr>
          <w:rFonts w:ascii="宋体" w:hAnsi="宋体" w:cs="宋体"/>
          <w:b/>
          <w:color w:val="auto"/>
          <w:kern w:val="0"/>
          <w:sz w:val="32"/>
          <w:szCs w:val="32"/>
          <w:highlight w:val="none"/>
        </w:rPr>
      </w:pPr>
    </w:p>
    <w:p w14:paraId="7A4ACD41">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9768C70">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875DE3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E1E59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3CBFD76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02FD2F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4179C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55AE0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EFF241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4E118AE8">
      <w:pPr>
        <w:snapToGrid w:val="0"/>
        <w:spacing w:line="360" w:lineRule="auto"/>
        <w:rPr>
          <w:rFonts w:ascii="宋体" w:hAnsi="宋体" w:cs="宋体"/>
          <w:color w:val="auto"/>
          <w:sz w:val="24"/>
          <w:highlight w:val="none"/>
        </w:rPr>
      </w:pPr>
    </w:p>
    <w:p w14:paraId="32EF16D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0271BD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53D800F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42679F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93C62F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1DA8377">
      <w:pPr>
        <w:jc w:val="center"/>
        <w:rPr>
          <w:rFonts w:ascii="宋体" w:hAnsi="宋体" w:cs="宋体"/>
          <w:b/>
          <w:color w:val="auto"/>
          <w:kern w:val="0"/>
          <w:sz w:val="32"/>
          <w:szCs w:val="32"/>
          <w:highlight w:val="none"/>
        </w:rPr>
      </w:pPr>
    </w:p>
    <w:p w14:paraId="5D2ADA36">
      <w:pPr>
        <w:rPr>
          <w:rFonts w:ascii="宋体" w:hAnsi="宋体" w:cs="宋体"/>
          <w:color w:val="auto"/>
          <w:highlight w:val="none"/>
        </w:rPr>
      </w:pPr>
    </w:p>
    <w:p w14:paraId="794551E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C3DC0D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1E8DEA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6B2BE1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779BADE">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6F36417E">
      <w:pPr>
        <w:autoSpaceDE w:val="0"/>
        <w:autoSpaceDN w:val="0"/>
        <w:spacing w:line="360" w:lineRule="auto"/>
        <w:jc w:val="center"/>
        <w:rPr>
          <w:rFonts w:ascii="宋体" w:hAnsi="宋体" w:cs="宋体"/>
          <w:b/>
          <w:color w:val="auto"/>
          <w:kern w:val="0"/>
          <w:sz w:val="32"/>
          <w:szCs w:val="32"/>
          <w:highlight w:val="none"/>
          <w:lang w:val="zh-CN"/>
        </w:rPr>
      </w:pPr>
    </w:p>
    <w:p w14:paraId="1DAB5331">
      <w:pPr>
        <w:autoSpaceDE w:val="0"/>
        <w:autoSpaceDN w:val="0"/>
        <w:spacing w:line="360" w:lineRule="auto"/>
        <w:jc w:val="center"/>
        <w:rPr>
          <w:rFonts w:hint="eastAsia" w:ascii="宋体" w:hAnsi="宋体" w:cs="宋体"/>
          <w:b/>
          <w:color w:val="auto"/>
          <w:kern w:val="0"/>
          <w:sz w:val="32"/>
          <w:szCs w:val="32"/>
          <w:highlight w:val="none"/>
          <w:lang w:val="zh-CN"/>
        </w:rPr>
      </w:pPr>
    </w:p>
    <w:p w14:paraId="06AE553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FB83575">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A2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96067F">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9641A">
            <w:pPr>
              <w:pStyle w:val="149"/>
              <w:adjustRightInd w:val="0"/>
              <w:spacing w:line="360" w:lineRule="auto"/>
              <w:rPr>
                <w:rFonts w:hAnsi="宋体" w:cs="宋体"/>
                <w:bCs/>
                <w:color w:val="auto"/>
                <w:sz w:val="24"/>
                <w:highlight w:val="none"/>
              </w:rPr>
            </w:pPr>
          </w:p>
        </w:tc>
      </w:tr>
    </w:tbl>
    <w:p w14:paraId="67B8E2A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BFBDDB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11275E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8E9026B">
      <w:pPr>
        <w:jc w:val="center"/>
        <w:rPr>
          <w:rFonts w:ascii="宋体" w:hAnsi="宋体" w:cs="宋体"/>
          <w:b/>
          <w:color w:val="auto"/>
          <w:kern w:val="0"/>
          <w:sz w:val="32"/>
          <w:szCs w:val="32"/>
          <w:highlight w:val="none"/>
        </w:rPr>
      </w:pPr>
    </w:p>
    <w:p w14:paraId="580BAEC7">
      <w:pPr>
        <w:jc w:val="center"/>
        <w:rPr>
          <w:rFonts w:ascii="宋体" w:hAnsi="宋体" w:cs="宋体"/>
          <w:b/>
          <w:color w:val="auto"/>
          <w:kern w:val="0"/>
          <w:sz w:val="32"/>
          <w:szCs w:val="32"/>
          <w:highlight w:val="none"/>
        </w:rPr>
      </w:pPr>
    </w:p>
    <w:p w14:paraId="04B3C603">
      <w:pPr>
        <w:jc w:val="center"/>
        <w:rPr>
          <w:rFonts w:ascii="宋体" w:hAnsi="宋体" w:cs="宋体"/>
          <w:b/>
          <w:color w:val="auto"/>
          <w:kern w:val="0"/>
          <w:sz w:val="32"/>
          <w:szCs w:val="32"/>
          <w:highlight w:val="none"/>
        </w:rPr>
      </w:pPr>
    </w:p>
    <w:p w14:paraId="2B4C83DF">
      <w:pPr>
        <w:jc w:val="center"/>
        <w:rPr>
          <w:rFonts w:ascii="宋体" w:hAnsi="宋体" w:cs="宋体"/>
          <w:b/>
          <w:color w:val="auto"/>
          <w:kern w:val="0"/>
          <w:sz w:val="32"/>
          <w:szCs w:val="32"/>
          <w:highlight w:val="none"/>
        </w:rPr>
      </w:pPr>
    </w:p>
    <w:p w14:paraId="0A28016E">
      <w:pPr>
        <w:jc w:val="center"/>
        <w:rPr>
          <w:rFonts w:ascii="宋体" w:hAnsi="宋体" w:cs="宋体"/>
          <w:b/>
          <w:color w:val="auto"/>
          <w:kern w:val="0"/>
          <w:sz w:val="32"/>
          <w:szCs w:val="32"/>
          <w:highlight w:val="none"/>
        </w:rPr>
      </w:pPr>
    </w:p>
    <w:p w14:paraId="09795074">
      <w:pPr>
        <w:jc w:val="center"/>
        <w:rPr>
          <w:rFonts w:ascii="宋体" w:hAnsi="宋体" w:cs="宋体"/>
          <w:b/>
          <w:color w:val="auto"/>
          <w:kern w:val="0"/>
          <w:sz w:val="32"/>
          <w:szCs w:val="32"/>
          <w:highlight w:val="none"/>
        </w:rPr>
      </w:pPr>
    </w:p>
    <w:p w14:paraId="7CA1139C">
      <w:pPr>
        <w:jc w:val="center"/>
        <w:rPr>
          <w:rFonts w:ascii="宋体" w:hAnsi="宋体" w:cs="宋体"/>
          <w:b/>
          <w:color w:val="auto"/>
          <w:kern w:val="0"/>
          <w:sz w:val="32"/>
          <w:szCs w:val="32"/>
          <w:highlight w:val="none"/>
        </w:rPr>
      </w:pPr>
    </w:p>
    <w:p w14:paraId="5D1CCCB8">
      <w:pPr>
        <w:jc w:val="center"/>
        <w:rPr>
          <w:rFonts w:ascii="宋体" w:hAnsi="宋体" w:cs="宋体"/>
          <w:b/>
          <w:color w:val="auto"/>
          <w:kern w:val="0"/>
          <w:sz w:val="32"/>
          <w:szCs w:val="32"/>
          <w:highlight w:val="none"/>
        </w:rPr>
      </w:pPr>
    </w:p>
    <w:p w14:paraId="589EA518">
      <w:pPr>
        <w:jc w:val="center"/>
        <w:rPr>
          <w:rFonts w:ascii="宋体" w:hAnsi="宋体" w:cs="宋体"/>
          <w:b/>
          <w:color w:val="auto"/>
          <w:kern w:val="0"/>
          <w:sz w:val="32"/>
          <w:szCs w:val="32"/>
          <w:highlight w:val="none"/>
        </w:rPr>
      </w:pPr>
    </w:p>
    <w:p w14:paraId="467B3662">
      <w:pPr>
        <w:jc w:val="center"/>
        <w:rPr>
          <w:rFonts w:ascii="宋体" w:hAnsi="宋体" w:cs="宋体"/>
          <w:b/>
          <w:color w:val="auto"/>
          <w:kern w:val="0"/>
          <w:sz w:val="32"/>
          <w:szCs w:val="32"/>
          <w:highlight w:val="none"/>
        </w:rPr>
      </w:pPr>
    </w:p>
    <w:p w14:paraId="052876D3">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EF16B3E">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w:t>
      </w:r>
      <w:r>
        <w:rPr>
          <w:rFonts w:hint="eastAsia" w:ascii="宋体" w:hAnsi="宋体" w:cs="宋体"/>
          <w:b/>
          <w:color w:val="auto"/>
          <w:kern w:val="0"/>
          <w:sz w:val="32"/>
          <w:szCs w:val="32"/>
          <w:highlight w:val="none"/>
        </w:rPr>
        <w:t>（如果有）</w:t>
      </w:r>
    </w:p>
    <w:p w14:paraId="7764000B">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E40CCF0">
      <w:pPr>
        <w:snapToGrid w:val="0"/>
        <w:spacing w:line="360" w:lineRule="auto"/>
        <w:rPr>
          <w:rFonts w:ascii="宋体" w:hAnsi="宋体" w:cs="宋体"/>
          <w:color w:val="auto"/>
          <w:kern w:val="0"/>
          <w:sz w:val="24"/>
          <w:highlight w:val="none"/>
        </w:rPr>
      </w:pPr>
    </w:p>
    <w:p w14:paraId="60A9C2B3">
      <w:pPr>
        <w:numPr>
          <w:ilvl w:val="0"/>
          <w:numId w:val="3"/>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382FC782">
      <w:pPr>
        <w:numPr>
          <w:ilvl w:val="0"/>
          <w:numId w:val="0"/>
        </w:numPr>
        <w:jc w:val="center"/>
        <w:rPr>
          <w:rFonts w:hint="eastAsia"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6F3E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12EC525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205E56D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078D501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3318BC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675CCA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199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60D32C85">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3DD336ED">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1223651">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C21B23C">
            <w:pPr>
              <w:rPr>
                <w:rFonts w:ascii="宋体" w:hAnsi="宋体" w:cs="宋体"/>
                <w:color w:val="auto"/>
                <w:sz w:val="24"/>
                <w:highlight w:val="none"/>
              </w:rPr>
            </w:pPr>
          </w:p>
          <w:p w14:paraId="79644F89">
            <w:pPr>
              <w:rPr>
                <w:rFonts w:ascii="宋体" w:hAnsi="宋体" w:cs="宋体"/>
                <w:color w:val="auto"/>
                <w:sz w:val="24"/>
                <w:highlight w:val="none"/>
              </w:rPr>
            </w:pPr>
            <w:r>
              <w:rPr>
                <w:rFonts w:hint="eastAsia" w:ascii="宋体" w:hAnsi="宋体" w:cs="宋体"/>
                <w:color w:val="auto"/>
                <w:sz w:val="24"/>
                <w:highlight w:val="none"/>
              </w:rPr>
              <w:t>见投标文件</w:t>
            </w:r>
          </w:p>
          <w:p w14:paraId="7740C055">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0BB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C051A1E">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C6C67CD">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0C0B3F6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5C9E22E0">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9B5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7303D52">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66092FBD">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5CE10F48">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7514AAB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63992C0C">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1B99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F5E86FF">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0F980C2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74718F58">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5A2E187">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F7F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BF810D5">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7E871C65">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3478A84A">
            <w:pPr>
              <w:rPr>
                <w:rFonts w:hint="eastAsia" w:ascii="宋体" w:hAnsi="宋体" w:cs="宋体"/>
                <w:b w:val="0"/>
                <w:bCs w:val="0"/>
                <w:color w:val="auto"/>
                <w:kern w:val="0"/>
                <w:sz w:val="24"/>
                <w:highlight w:val="none"/>
              </w:rPr>
            </w:pPr>
          </w:p>
        </w:tc>
        <w:tc>
          <w:tcPr>
            <w:tcW w:w="1418" w:type="dxa"/>
          </w:tcPr>
          <w:p w14:paraId="7B31C782">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7F0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8DF7F54">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1FED45C3">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292148C5">
            <w:pPr>
              <w:rPr>
                <w:rFonts w:hint="eastAsia" w:ascii="宋体" w:hAnsi="宋体" w:cs="宋体"/>
                <w:b w:val="0"/>
                <w:bCs w:val="0"/>
                <w:color w:val="auto"/>
                <w:kern w:val="0"/>
                <w:sz w:val="24"/>
                <w:highlight w:val="none"/>
              </w:rPr>
            </w:pPr>
          </w:p>
        </w:tc>
        <w:tc>
          <w:tcPr>
            <w:tcW w:w="1418" w:type="dxa"/>
          </w:tcPr>
          <w:p w14:paraId="1C76C68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04E7176A">
      <w:pPr>
        <w:numPr>
          <w:ilvl w:val="0"/>
          <w:numId w:val="0"/>
        </w:numPr>
        <w:jc w:val="center"/>
        <w:rPr>
          <w:rFonts w:hint="eastAsia" w:ascii="宋体" w:hAnsi="宋体" w:cs="宋体"/>
          <w:b/>
          <w:color w:val="auto"/>
          <w:kern w:val="0"/>
          <w:sz w:val="32"/>
          <w:szCs w:val="32"/>
          <w:highlight w:val="none"/>
        </w:rPr>
      </w:pPr>
    </w:p>
    <w:p w14:paraId="1B080D4E">
      <w:pPr>
        <w:jc w:val="center"/>
        <w:rPr>
          <w:rFonts w:ascii="宋体" w:hAnsi="宋体" w:cs="宋体"/>
          <w:b/>
          <w:color w:val="auto"/>
          <w:kern w:val="0"/>
          <w:sz w:val="32"/>
          <w:szCs w:val="32"/>
          <w:highlight w:val="none"/>
        </w:rPr>
      </w:pPr>
    </w:p>
    <w:p w14:paraId="7A68643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C79F486">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22428C1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5D5361E">
      <w:pPr>
        <w:jc w:val="center"/>
        <w:rPr>
          <w:rFonts w:ascii="宋体" w:hAnsi="宋体" w:cs="宋体"/>
          <w:b/>
          <w:color w:val="auto"/>
          <w:kern w:val="0"/>
          <w:sz w:val="32"/>
          <w:szCs w:val="32"/>
          <w:highlight w:val="none"/>
        </w:rPr>
      </w:pPr>
    </w:p>
    <w:p w14:paraId="4AAF91D2">
      <w:pPr>
        <w:jc w:val="center"/>
        <w:rPr>
          <w:rFonts w:ascii="宋体" w:hAnsi="宋体" w:cs="宋体"/>
          <w:b/>
          <w:color w:val="auto"/>
          <w:kern w:val="0"/>
          <w:sz w:val="32"/>
          <w:szCs w:val="32"/>
          <w:highlight w:val="none"/>
        </w:rPr>
      </w:pPr>
    </w:p>
    <w:p w14:paraId="12F47803">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5E0D0E67">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08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B15AD2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2A9CFEC">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9DB98A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2660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B43992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5447527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34A6B658">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13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57415F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5E5BB0F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767E51EB">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20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DEDB2FF">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7EF73E2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614D1E1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7B9CB051">
      <w:pPr>
        <w:jc w:val="center"/>
        <w:rPr>
          <w:rFonts w:ascii="宋体" w:hAnsi="宋体" w:cs="宋体"/>
          <w:b/>
          <w:color w:val="auto"/>
          <w:kern w:val="0"/>
          <w:sz w:val="32"/>
          <w:szCs w:val="32"/>
          <w:highlight w:val="none"/>
        </w:rPr>
      </w:pPr>
    </w:p>
    <w:p w14:paraId="44C01DFC">
      <w:pPr>
        <w:pStyle w:val="79"/>
        <w:rPr>
          <w:color w:val="auto"/>
          <w:highlight w:val="none"/>
        </w:rPr>
      </w:pPr>
    </w:p>
    <w:p w14:paraId="40ED7FFF">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CB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B514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3C23C1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1A46493">
            <w:pPr>
              <w:spacing w:line="360" w:lineRule="auto"/>
              <w:jc w:val="center"/>
              <w:rPr>
                <w:rFonts w:ascii="宋体" w:hAnsi="宋体" w:cs="宋体"/>
                <w:b/>
                <w:color w:val="auto"/>
                <w:sz w:val="24"/>
                <w:highlight w:val="none"/>
              </w:rPr>
            </w:pPr>
          </w:p>
          <w:p w14:paraId="65A3E2C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4FBD6BC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3E2340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185B8C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8C146FE">
            <w:pPr>
              <w:spacing w:line="360" w:lineRule="auto"/>
              <w:jc w:val="center"/>
              <w:rPr>
                <w:rFonts w:ascii="宋体" w:hAnsi="宋体" w:cs="宋体"/>
                <w:b/>
                <w:color w:val="auto"/>
                <w:sz w:val="24"/>
                <w:highlight w:val="none"/>
              </w:rPr>
            </w:pPr>
          </w:p>
          <w:p w14:paraId="6037820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19C2235">
            <w:pPr>
              <w:spacing w:line="360" w:lineRule="auto"/>
              <w:jc w:val="center"/>
              <w:rPr>
                <w:rFonts w:ascii="宋体" w:hAnsi="宋体" w:cs="宋体"/>
                <w:b/>
                <w:color w:val="auto"/>
                <w:sz w:val="24"/>
                <w:highlight w:val="none"/>
              </w:rPr>
            </w:pPr>
          </w:p>
        </w:tc>
      </w:tr>
      <w:tr w14:paraId="3CB7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231C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07BD92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8A769D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D04FD8D">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8E6045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ED9CBF7">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9E73B5F">
            <w:pPr>
              <w:spacing w:line="360" w:lineRule="auto"/>
              <w:jc w:val="center"/>
              <w:rPr>
                <w:rFonts w:ascii="宋体" w:hAnsi="宋体" w:cs="宋体"/>
                <w:color w:val="auto"/>
                <w:sz w:val="24"/>
                <w:highlight w:val="none"/>
              </w:rPr>
            </w:pPr>
          </w:p>
        </w:tc>
      </w:tr>
      <w:tr w14:paraId="5A31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0A8C3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75EDEC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3F1D1B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53721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88062B3">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ED9E436">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0B407BB">
            <w:pPr>
              <w:spacing w:line="360" w:lineRule="auto"/>
              <w:jc w:val="center"/>
              <w:rPr>
                <w:rFonts w:ascii="宋体" w:hAnsi="宋体" w:cs="宋体"/>
                <w:color w:val="auto"/>
                <w:sz w:val="24"/>
                <w:highlight w:val="none"/>
              </w:rPr>
            </w:pPr>
          </w:p>
        </w:tc>
      </w:tr>
      <w:tr w14:paraId="6BBF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114B5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10A7FA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0D6E2A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0F097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E891A6">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3934690">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2718BC3">
            <w:pPr>
              <w:spacing w:line="360" w:lineRule="auto"/>
              <w:jc w:val="center"/>
              <w:rPr>
                <w:rFonts w:ascii="宋体" w:hAnsi="宋体" w:cs="宋体"/>
                <w:color w:val="auto"/>
                <w:sz w:val="24"/>
                <w:highlight w:val="none"/>
              </w:rPr>
            </w:pPr>
          </w:p>
        </w:tc>
      </w:tr>
    </w:tbl>
    <w:p w14:paraId="2C875A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EE064B">
      <w:pPr>
        <w:jc w:val="center"/>
        <w:rPr>
          <w:rFonts w:ascii="宋体" w:hAnsi="宋体" w:cs="宋体"/>
          <w:b/>
          <w:color w:val="auto"/>
          <w:kern w:val="0"/>
          <w:sz w:val="32"/>
          <w:szCs w:val="32"/>
          <w:highlight w:val="none"/>
        </w:rPr>
      </w:pPr>
    </w:p>
    <w:p w14:paraId="06FC7744">
      <w:pPr>
        <w:jc w:val="center"/>
        <w:rPr>
          <w:rFonts w:ascii="宋体" w:hAnsi="宋体" w:cs="宋体"/>
          <w:b/>
          <w:color w:val="auto"/>
          <w:kern w:val="0"/>
          <w:sz w:val="32"/>
          <w:szCs w:val="32"/>
          <w:highlight w:val="none"/>
        </w:rPr>
      </w:pPr>
    </w:p>
    <w:p w14:paraId="3F9DD33E">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364EC3FE">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79E9BDCB">
      <w:pPr>
        <w:jc w:val="center"/>
        <w:rPr>
          <w:rFonts w:hint="eastAsia" w:ascii="宋体" w:hAnsi="宋体" w:cs="宋体"/>
          <w:b/>
          <w:color w:val="auto"/>
          <w:kern w:val="0"/>
          <w:sz w:val="32"/>
          <w:szCs w:val="32"/>
          <w:highlight w:val="none"/>
        </w:rPr>
      </w:pPr>
    </w:p>
    <w:p w14:paraId="40A8045B">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1CED4AC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637A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DE5BB2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4993282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0E211E0D">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442D90EE">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A5B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749A82A">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2A187A22">
            <w:pPr>
              <w:jc w:val="center"/>
              <w:rPr>
                <w:rFonts w:ascii="宋体" w:hAnsi="宋体" w:cs="宋体"/>
                <w:b/>
                <w:color w:val="auto"/>
                <w:kern w:val="0"/>
                <w:sz w:val="32"/>
                <w:szCs w:val="32"/>
                <w:highlight w:val="none"/>
              </w:rPr>
            </w:pPr>
          </w:p>
        </w:tc>
        <w:tc>
          <w:tcPr>
            <w:tcW w:w="3546" w:type="dxa"/>
          </w:tcPr>
          <w:p w14:paraId="748EC381">
            <w:pPr>
              <w:jc w:val="center"/>
              <w:rPr>
                <w:rFonts w:ascii="宋体" w:hAnsi="宋体" w:cs="宋体"/>
                <w:b/>
                <w:color w:val="auto"/>
                <w:kern w:val="0"/>
                <w:sz w:val="32"/>
                <w:szCs w:val="32"/>
                <w:highlight w:val="none"/>
              </w:rPr>
            </w:pPr>
          </w:p>
        </w:tc>
        <w:tc>
          <w:tcPr>
            <w:tcW w:w="1276" w:type="dxa"/>
          </w:tcPr>
          <w:p w14:paraId="6BA836C9">
            <w:pPr>
              <w:jc w:val="center"/>
              <w:rPr>
                <w:rFonts w:ascii="宋体" w:hAnsi="宋体" w:cs="宋体"/>
                <w:b/>
                <w:color w:val="auto"/>
                <w:kern w:val="0"/>
                <w:sz w:val="32"/>
                <w:szCs w:val="32"/>
                <w:highlight w:val="none"/>
              </w:rPr>
            </w:pPr>
          </w:p>
        </w:tc>
      </w:tr>
      <w:tr w14:paraId="34D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DA2F81">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09EA5203">
            <w:pPr>
              <w:jc w:val="center"/>
              <w:rPr>
                <w:rFonts w:ascii="宋体" w:hAnsi="宋体" w:cs="宋体"/>
                <w:b/>
                <w:color w:val="auto"/>
                <w:kern w:val="0"/>
                <w:sz w:val="32"/>
                <w:szCs w:val="32"/>
                <w:highlight w:val="none"/>
              </w:rPr>
            </w:pPr>
          </w:p>
        </w:tc>
        <w:tc>
          <w:tcPr>
            <w:tcW w:w="3546" w:type="dxa"/>
          </w:tcPr>
          <w:p w14:paraId="3B2CA888">
            <w:pPr>
              <w:jc w:val="center"/>
              <w:rPr>
                <w:rFonts w:ascii="宋体" w:hAnsi="宋体" w:cs="宋体"/>
                <w:b/>
                <w:color w:val="auto"/>
                <w:kern w:val="0"/>
                <w:sz w:val="32"/>
                <w:szCs w:val="32"/>
                <w:highlight w:val="none"/>
              </w:rPr>
            </w:pPr>
          </w:p>
        </w:tc>
        <w:tc>
          <w:tcPr>
            <w:tcW w:w="1276" w:type="dxa"/>
          </w:tcPr>
          <w:p w14:paraId="4D2971F6">
            <w:pPr>
              <w:jc w:val="center"/>
              <w:rPr>
                <w:rFonts w:ascii="宋体" w:hAnsi="宋体" w:cs="宋体"/>
                <w:b/>
                <w:color w:val="auto"/>
                <w:kern w:val="0"/>
                <w:sz w:val="32"/>
                <w:szCs w:val="32"/>
                <w:highlight w:val="none"/>
              </w:rPr>
            </w:pPr>
          </w:p>
        </w:tc>
      </w:tr>
      <w:tr w14:paraId="7CB7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9ABF8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53042FBB">
            <w:pPr>
              <w:jc w:val="center"/>
              <w:rPr>
                <w:rFonts w:ascii="宋体" w:hAnsi="宋体" w:cs="宋体"/>
                <w:b/>
                <w:color w:val="auto"/>
                <w:kern w:val="0"/>
                <w:sz w:val="32"/>
                <w:szCs w:val="32"/>
                <w:highlight w:val="none"/>
              </w:rPr>
            </w:pPr>
          </w:p>
        </w:tc>
        <w:tc>
          <w:tcPr>
            <w:tcW w:w="3546" w:type="dxa"/>
          </w:tcPr>
          <w:p w14:paraId="790CCAFF">
            <w:pPr>
              <w:jc w:val="center"/>
              <w:rPr>
                <w:rFonts w:ascii="宋体" w:hAnsi="宋体" w:cs="宋体"/>
                <w:b/>
                <w:color w:val="auto"/>
                <w:kern w:val="0"/>
                <w:sz w:val="32"/>
                <w:szCs w:val="32"/>
                <w:highlight w:val="none"/>
              </w:rPr>
            </w:pPr>
          </w:p>
        </w:tc>
        <w:tc>
          <w:tcPr>
            <w:tcW w:w="1276" w:type="dxa"/>
          </w:tcPr>
          <w:p w14:paraId="0015E3E2">
            <w:pPr>
              <w:jc w:val="center"/>
              <w:rPr>
                <w:rFonts w:ascii="宋体" w:hAnsi="宋体" w:cs="宋体"/>
                <w:b/>
                <w:color w:val="auto"/>
                <w:kern w:val="0"/>
                <w:sz w:val="32"/>
                <w:szCs w:val="32"/>
                <w:highlight w:val="none"/>
              </w:rPr>
            </w:pPr>
          </w:p>
        </w:tc>
      </w:tr>
    </w:tbl>
    <w:p w14:paraId="5F832B36">
      <w:pPr>
        <w:jc w:val="center"/>
        <w:rPr>
          <w:rFonts w:ascii="宋体" w:hAnsi="宋体" w:cs="宋体"/>
          <w:b/>
          <w:color w:val="auto"/>
          <w:kern w:val="0"/>
          <w:sz w:val="32"/>
          <w:szCs w:val="32"/>
          <w:highlight w:val="none"/>
        </w:rPr>
      </w:pPr>
    </w:p>
    <w:p w14:paraId="337D72C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75E74E61">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5FD76E9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6BA1C813">
      <w:pPr>
        <w:spacing w:line="360" w:lineRule="auto"/>
        <w:ind w:right="420"/>
        <w:rPr>
          <w:rFonts w:hint="eastAsia" w:ascii="宋体" w:hAnsi="宋体" w:cs="宋体"/>
          <w:color w:val="auto"/>
          <w:sz w:val="24"/>
          <w:highlight w:val="none"/>
        </w:rPr>
      </w:pPr>
    </w:p>
    <w:p w14:paraId="3C8078AF">
      <w:pPr>
        <w:ind w:firstLine="1911" w:firstLineChars="595"/>
        <w:rPr>
          <w:rFonts w:ascii="宋体" w:hAnsi="宋体" w:cs="宋体"/>
          <w:b/>
          <w:bCs/>
          <w:color w:val="auto"/>
          <w:sz w:val="32"/>
          <w:szCs w:val="32"/>
          <w:highlight w:val="none"/>
        </w:rPr>
      </w:pPr>
    </w:p>
    <w:p w14:paraId="4C8F701B">
      <w:pPr>
        <w:ind w:firstLine="1911" w:firstLineChars="595"/>
        <w:rPr>
          <w:rFonts w:ascii="宋体" w:hAnsi="宋体" w:cs="宋体"/>
          <w:b/>
          <w:bCs/>
          <w:color w:val="auto"/>
          <w:sz w:val="32"/>
          <w:szCs w:val="32"/>
          <w:highlight w:val="none"/>
        </w:rPr>
      </w:pPr>
    </w:p>
    <w:p w14:paraId="6B620ED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5EC09AD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A9F3F84">
      <w:pPr>
        <w:snapToGrid w:val="0"/>
        <w:spacing w:line="360" w:lineRule="auto"/>
        <w:rPr>
          <w:rFonts w:ascii="宋体" w:hAnsi="宋体" w:cs="宋体"/>
          <w:color w:val="auto"/>
          <w:sz w:val="24"/>
          <w:highlight w:val="none"/>
        </w:rPr>
      </w:pPr>
    </w:p>
    <w:p w14:paraId="7BDE810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22586F4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D81249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4B3B6B3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215BFB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47BCA7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06AED7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EAC19AD">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AA66E1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4EE55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C9B7CF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2A83E28">
      <w:pPr>
        <w:autoSpaceDE w:val="0"/>
        <w:autoSpaceDN w:val="0"/>
        <w:spacing w:line="360" w:lineRule="auto"/>
        <w:ind w:left="2"/>
        <w:jc w:val="left"/>
        <w:rPr>
          <w:rFonts w:ascii="宋体" w:hAnsi="宋体" w:cs="宋体"/>
          <w:color w:val="auto"/>
          <w:kern w:val="0"/>
          <w:sz w:val="24"/>
          <w:highlight w:val="none"/>
          <w:lang w:val="zh-CN"/>
        </w:rPr>
      </w:pPr>
    </w:p>
    <w:p w14:paraId="2DC6B7A8">
      <w:pPr>
        <w:autoSpaceDE w:val="0"/>
        <w:autoSpaceDN w:val="0"/>
        <w:spacing w:line="360" w:lineRule="auto"/>
        <w:ind w:left="2"/>
        <w:jc w:val="left"/>
        <w:rPr>
          <w:rFonts w:ascii="宋体" w:hAnsi="宋体" w:cs="宋体"/>
          <w:color w:val="auto"/>
          <w:kern w:val="0"/>
          <w:sz w:val="24"/>
          <w:highlight w:val="none"/>
          <w:lang w:val="zh-CN"/>
        </w:rPr>
      </w:pPr>
    </w:p>
    <w:p w14:paraId="67F45F6D">
      <w:pPr>
        <w:autoSpaceDE w:val="0"/>
        <w:autoSpaceDN w:val="0"/>
        <w:spacing w:line="360" w:lineRule="auto"/>
        <w:ind w:left="2"/>
        <w:jc w:val="left"/>
        <w:rPr>
          <w:rFonts w:ascii="宋体" w:hAnsi="宋体" w:cs="宋体"/>
          <w:color w:val="auto"/>
          <w:kern w:val="0"/>
          <w:sz w:val="24"/>
          <w:highlight w:val="none"/>
          <w:lang w:val="zh-CN"/>
        </w:rPr>
      </w:pPr>
    </w:p>
    <w:p w14:paraId="5A787554">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AED2ADF">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E543B99">
      <w:pPr>
        <w:spacing w:line="360" w:lineRule="auto"/>
        <w:jc w:val="center"/>
        <w:rPr>
          <w:rFonts w:ascii="宋体" w:hAnsi="宋体" w:cs="宋体"/>
          <w:b/>
          <w:bCs/>
          <w:color w:val="auto"/>
          <w:sz w:val="24"/>
          <w:highlight w:val="none"/>
        </w:rPr>
      </w:pPr>
    </w:p>
    <w:p w14:paraId="36BD811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6230B69">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B950F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67EB3F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13EA59A">
      <w:pPr>
        <w:spacing w:line="360" w:lineRule="auto"/>
        <w:jc w:val="center"/>
        <w:outlineLvl w:val="0"/>
        <w:rPr>
          <w:rFonts w:ascii="宋体" w:hAnsi="宋体" w:cs="宋体"/>
          <w:b/>
          <w:color w:val="auto"/>
          <w:kern w:val="0"/>
          <w:sz w:val="36"/>
          <w:szCs w:val="36"/>
          <w:highlight w:val="none"/>
        </w:rPr>
      </w:pPr>
    </w:p>
    <w:p w14:paraId="0AC4DB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D8FFFE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2986757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8F421D1">
      <w:pPr>
        <w:snapToGrid w:val="0"/>
        <w:spacing w:line="360" w:lineRule="auto"/>
        <w:ind w:right="480"/>
        <w:jc w:val="center"/>
        <w:rPr>
          <w:rFonts w:ascii="宋体" w:hAnsi="宋体" w:cs="宋体"/>
          <w:b/>
          <w:color w:val="auto"/>
          <w:kern w:val="0"/>
          <w:sz w:val="32"/>
          <w:szCs w:val="32"/>
          <w:highlight w:val="none"/>
        </w:rPr>
      </w:pPr>
    </w:p>
    <w:p w14:paraId="79AFBDEF">
      <w:pPr>
        <w:snapToGrid w:val="0"/>
        <w:spacing w:line="360" w:lineRule="auto"/>
        <w:ind w:right="480"/>
        <w:jc w:val="center"/>
        <w:rPr>
          <w:rFonts w:ascii="宋体" w:hAnsi="宋体" w:cs="宋体"/>
          <w:b/>
          <w:color w:val="auto"/>
          <w:kern w:val="0"/>
          <w:sz w:val="32"/>
          <w:szCs w:val="32"/>
          <w:highlight w:val="none"/>
        </w:rPr>
      </w:pPr>
    </w:p>
    <w:p w14:paraId="417270D0">
      <w:pPr>
        <w:snapToGrid w:val="0"/>
        <w:spacing w:line="360" w:lineRule="auto"/>
        <w:ind w:right="480"/>
        <w:jc w:val="center"/>
        <w:rPr>
          <w:rFonts w:ascii="宋体" w:hAnsi="宋体" w:cs="宋体"/>
          <w:b/>
          <w:color w:val="auto"/>
          <w:kern w:val="0"/>
          <w:sz w:val="32"/>
          <w:szCs w:val="32"/>
          <w:highlight w:val="none"/>
        </w:rPr>
      </w:pPr>
    </w:p>
    <w:p w14:paraId="4A0B966B">
      <w:pPr>
        <w:snapToGrid w:val="0"/>
        <w:spacing w:line="360" w:lineRule="auto"/>
        <w:ind w:right="480"/>
        <w:jc w:val="center"/>
        <w:rPr>
          <w:rFonts w:ascii="宋体" w:hAnsi="宋体" w:cs="宋体"/>
          <w:b/>
          <w:color w:val="auto"/>
          <w:kern w:val="0"/>
          <w:sz w:val="32"/>
          <w:szCs w:val="32"/>
          <w:highlight w:val="none"/>
        </w:rPr>
      </w:pPr>
    </w:p>
    <w:p w14:paraId="2F10718A">
      <w:pPr>
        <w:snapToGrid w:val="0"/>
        <w:spacing w:line="360" w:lineRule="auto"/>
        <w:ind w:right="480"/>
        <w:jc w:val="center"/>
        <w:rPr>
          <w:rFonts w:ascii="宋体" w:hAnsi="宋体" w:cs="宋体"/>
          <w:b/>
          <w:color w:val="auto"/>
          <w:kern w:val="0"/>
          <w:sz w:val="32"/>
          <w:szCs w:val="32"/>
          <w:highlight w:val="none"/>
        </w:rPr>
      </w:pPr>
    </w:p>
    <w:p w14:paraId="2938F125">
      <w:pPr>
        <w:snapToGrid w:val="0"/>
        <w:spacing w:line="360" w:lineRule="auto"/>
        <w:ind w:right="480"/>
        <w:jc w:val="center"/>
        <w:rPr>
          <w:rFonts w:ascii="宋体" w:hAnsi="宋体" w:cs="宋体"/>
          <w:b/>
          <w:color w:val="auto"/>
          <w:kern w:val="0"/>
          <w:sz w:val="32"/>
          <w:szCs w:val="32"/>
          <w:highlight w:val="none"/>
        </w:rPr>
      </w:pPr>
    </w:p>
    <w:p w14:paraId="2EBDA629">
      <w:pPr>
        <w:snapToGrid w:val="0"/>
        <w:spacing w:line="360" w:lineRule="auto"/>
        <w:ind w:right="480"/>
        <w:jc w:val="center"/>
        <w:rPr>
          <w:rFonts w:ascii="宋体" w:hAnsi="宋体" w:cs="宋体"/>
          <w:b/>
          <w:color w:val="auto"/>
          <w:kern w:val="0"/>
          <w:sz w:val="32"/>
          <w:szCs w:val="32"/>
          <w:highlight w:val="none"/>
        </w:rPr>
      </w:pPr>
    </w:p>
    <w:p w14:paraId="3C6C5C77">
      <w:pPr>
        <w:snapToGrid w:val="0"/>
        <w:spacing w:line="360" w:lineRule="auto"/>
        <w:ind w:right="480"/>
        <w:jc w:val="center"/>
        <w:rPr>
          <w:rFonts w:ascii="宋体" w:hAnsi="宋体" w:cs="宋体"/>
          <w:b/>
          <w:color w:val="auto"/>
          <w:kern w:val="0"/>
          <w:sz w:val="32"/>
          <w:szCs w:val="32"/>
          <w:highlight w:val="none"/>
        </w:rPr>
      </w:pPr>
    </w:p>
    <w:p w14:paraId="566300E5">
      <w:pPr>
        <w:snapToGrid w:val="0"/>
        <w:spacing w:line="360" w:lineRule="auto"/>
        <w:ind w:right="480"/>
        <w:jc w:val="center"/>
        <w:rPr>
          <w:rFonts w:ascii="宋体" w:hAnsi="宋体" w:cs="宋体"/>
          <w:b/>
          <w:color w:val="auto"/>
          <w:kern w:val="0"/>
          <w:sz w:val="32"/>
          <w:szCs w:val="32"/>
          <w:highlight w:val="none"/>
        </w:rPr>
      </w:pPr>
    </w:p>
    <w:p w14:paraId="00CE0C0F">
      <w:pPr>
        <w:snapToGrid w:val="0"/>
        <w:spacing w:line="360" w:lineRule="auto"/>
        <w:ind w:right="480"/>
        <w:jc w:val="center"/>
        <w:rPr>
          <w:rFonts w:ascii="宋体" w:hAnsi="宋体" w:cs="宋体"/>
          <w:b/>
          <w:color w:val="auto"/>
          <w:kern w:val="0"/>
          <w:sz w:val="32"/>
          <w:szCs w:val="32"/>
          <w:highlight w:val="none"/>
        </w:rPr>
      </w:pPr>
    </w:p>
    <w:p w14:paraId="086F530A">
      <w:pPr>
        <w:snapToGrid w:val="0"/>
        <w:spacing w:line="360" w:lineRule="auto"/>
        <w:ind w:right="480"/>
        <w:jc w:val="center"/>
        <w:rPr>
          <w:rFonts w:ascii="宋体" w:hAnsi="宋体" w:cs="宋体"/>
          <w:b/>
          <w:color w:val="auto"/>
          <w:kern w:val="0"/>
          <w:sz w:val="32"/>
          <w:szCs w:val="32"/>
          <w:highlight w:val="none"/>
        </w:rPr>
      </w:pPr>
    </w:p>
    <w:p w14:paraId="7C91C430">
      <w:pPr>
        <w:snapToGrid w:val="0"/>
        <w:spacing w:line="360" w:lineRule="auto"/>
        <w:ind w:right="480"/>
        <w:jc w:val="center"/>
        <w:rPr>
          <w:rFonts w:ascii="宋体" w:hAnsi="宋体" w:cs="宋体"/>
          <w:b/>
          <w:color w:val="auto"/>
          <w:kern w:val="0"/>
          <w:sz w:val="32"/>
          <w:szCs w:val="32"/>
          <w:highlight w:val="none"/>
        </w:rPr>
      </w:pPr>
    </w:p>
    <w:p w14:paraId="75BB0B76">
      <w:pPr>
        <w:snapToGrid w:val="0"/>
        <w:spacing w:line="360" w:lineRule="auto"/>
        <w:ind w:right="480"/>
        <w:jc w:val="center"/>
        <w:rPr>
          <w:rFonts w:ascii="宋体" w:hAnsi="宋体" w:cs="宋体"/>
          <w:b/>
          <w:color w:val="auto"/>
          <w:kern w:val="0"/>
          <w:sz w:val="32"/>
          <w:szCs w:val="32"/>
          <w:highlight w:val="none"/>
        </w:rPr>
      </w:pPr>
    </w:p>
    <w:p w14:paraId="701F25FE">
      <w:pPr>
        <w:snapToGrid w:val="0"/>
        <w:spacing w:line="360" w:lineRule="auto"/>
        <w:ind w:right="480"/>
        <w:jc w:val="center"/>
        <w:rPr>
          <w:rFonts w:ascii="宋体" w:hAnsi="宋体" w:cs="宋体"/>
          <w:b/>
          <w:color w:val="auto"/>
          <w:kern w:val="0"/>
          <w:sz w:val="32"/>
          <w:szCs w:val="32"/>
          <w:highlight w:val="none"/>
        </w:rPr>
      </w:pPr>
    </w:p>
    <w:p w14:paraId="2EC584CE">
      <w:pPr>
        <w:snapToGrid w:val="0"/>
        <w:spacing w:line="360" w:lineRule="auto"/>
        <w:ind w:right="480"/>
        <w:jc w:val="center"/>
        <w:rPr>
          <w:rFonts w:ascii="宋体" w:hAnsi="宋体" w:cs="宋体"/>
          <w:b/>
          <w:color w:val="auto"/>
          <w:kern w:val="0"/>
          <w:sz w:val="32"/>
          <w:szCs w:val="32"/>
          <w:highlight w:val="none"/>
        </w:rPr>
      </w:pPr>
    </w:p>
    <w:p w14:paraId="44FCFB57">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63F8143">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5171FC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3B3F84E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2026年度一呼百应保安服务项目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DEEAA8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4253"/>
        <w:gridCol w:w="2126"/>
      </w:tblGrid>
      <w:tr w14:paraId="0793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C120F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2E10B3B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3AA5FC39">
            <w:pPr>
              <w:spacing w:line="360" w:lineRule="auto"/>
              <w:jc w:val="center"/>
              <w:rPr>
                <w:rFonts w:ascii="宋体" w:hAnsi="宋体" w:cs="宋体"/>
                <w:b/>
                <w:color w:val="auto"/>
                <w:sz w:val="24"/>
                <w:highlight w:val="none"/>
              </w:rPr>
            </w:pPr>
          </w:p>
          <w:p w14:paraId="3D5B890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6C1518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2BA0F56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4253" w:type="dxa"/>
            <w:vAlign w:val="center"/>
          </w:tcPr>
          <w:p w14:paraId="2823985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6" w:type="dxa"/>
            <w:vAlign w:val="center"/>
          </w:tcPr>
          <w:p w14:paraId="7D0ED2B4">
            <w:pPr>
              <w:spacing w:line="360" w:lineRule="auto"/>
              <w:jc w:val="center"/>
              <w:rPr>
                <w:rFonts w:ascii="宋体" w:hAnsi="宋体" w:cs="宋体"/>
                <w:b/>
                <w:color w:val="auto"/>
                <w:sz w:val="24"/>
                <w:highlight w:val="none"/>
              </w:rPr>
            </w:pPr>
          </w:p>
          <w:p w14:paraId="4930AD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80578F1">
            <w:pPr>
              <w:spacing w:line="360" w:lineRule="auto"/>
              <w:jc w:val="center"/>
              <w:rPr>
                <w:rFonts w:ascii="宋体" w:hAnsi="宋体" w:cs="宋体"/>
                <w:b/>
                <w:color w:val="auto"/>
                <w:sz w:val="24"/>
                <w:highlight w:val="none"/>
              </w:rPr>
            </w:pPr>
          </w:p>
        </w:tc>
      </w:tr>
      <w:tr w14:paraId="263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6D2C99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641E10A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F04F70F">
            <w:pPr>
              <w:snapToGrid w:val="0"/>
              <w:spacing w:line="360" w:lineRule="auto"/>
              <w:jc w:val="center"/>
              <w:rPr>
                <w:rFonts w:ascii="宋体" w:hAnsi="宋体" w:cs="宋体"/>
                <w:color w:val="auto"/>
                <w:sz w:val="24"/>
                <w:highlight w:val="none"/>
              </w:rPr>
            </w:pPr>
          </w:p>
        </w:tc>
        <w:tc>
          <w:tcPr>
            <w:tcW w:w="2410" w:type="dxa"/>
            <w:vAlign w:val="center"/>
          </w:tcPr>
          <w:p w14:paraId="00A15DDC">
            <w:pPr>
              <w:snapToGrid w:val="0"/>
              <w:spacing w:line="360" w:lineRule="auto"/>
              <w:jc w:val="center"/>
              <w:rPr>
                <w:rFonts w:ascii="宋体" w:hAnsi="宋体" w:cs="宋体"/>
                <w:color w:val="auto"/>
                <w:sz w:val="24"/>
                <w:highlight w:val="none"/>
              </w:rPr>
            </w:pPr>
          </w:p>
        </w:tc>
        <w:tc>
          <w:tcPr>
            <w:tcW w:w="2268" w:type="dxa"/>
            <w:vAlign w:val="center"/>
          </w:tcPr>
          <w:p w14:paraId="4956A28A">
            <w:pPr>
              <w:snapToGrid w:val="0"/>
              <w:spacing w:line="360" w:lineRule="auto"/>
              <w:jc w:val="center"/>
              <w:rPr>
                <w:rFonts w:ascii="宋体" w:hAnsi="宋体" w:cs="宋体"/>
                <w:color w:val="auto"/>
                <w:sz w:val="24"/>
                <w:highlight w:val="none"/>
              </w:rPr>
            </w:pPr>
          </w:p>
        </w:tc>
        <w:tc>
          <w:tcPr>
            <w:tcW w:w="4253" w:type="dxa"/>
            <w:vAlign w:val="center"/>
          </w:tcPr>
          <w:p w14:paraId="6C3BD379">
            <w:pPr>
              <w:spacing w:line="360" w:lineRule="auto"/>
              <w:jc w:val="center"/>
              <w:rPr>
                <w:rFonts w:ascii="宋体" w:hAnsi="宋体" w:cs="宋体"/>
                <w:color w:val="auto"/>
                <w:sz w:val="24"/>
                <w:highlight w:val="none"/>
              </w:rPr>
            </w:pPr>
          </w:p>
        </w:tc>
        <w:tc>
          <w:tcPr>
            <w:tcW w:w="2126" w:type="dxa"/>
            <w:vAlign w:val="center"/>
          </w:tcPr>
          <w:p w14:paraId="154764FC">
            <w:pPr>
              <w:spacing w:line="360" w:lineRule="auto"/>
              <w:jc w:val="center"/>
              <w:rPr>
                <w:rFonts w:ascii="宋体" w:hAnsi="宋体" w:cs="宋体"/>
                <w:color w:val="auto"/>
                <w:sz w:val="24"/>
                <w:highlight w:val="none"/>
              </w:rPr>
            </w:pPr>
          </w:p>
        </w:tc>
      </w:tr>
      <w:tr w14:paraId="2D8D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EE01C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2C609D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6ACFF7F">
            <w:pPr>
              <w:snapToGrid w:val="0"/>
              <w:spacing w:line="360" w:lineRule="auto"/>
              <w:jc w:val="center"/>
              <w:rPr>
                <w:rFonts w:ascii="宋体" w:hAnsi="宋体" w:cs="宋体"/>
                <w:color w:val="auto"/>
                <w:sz w:val="24"/>
                <w:highlight w:val="none"/>
              </w:rPr>
            </w:pPr>
          </w:p>
        </w:tc>
        <w:tc>
          <w:tcPr>
            <w:tcW w:w="2410" w:type="dxa"/>
            <w:vAlign w:val="center"/>
          </w:tcPr>
          <w:p w14:paraId="5DEFD19F">
            <w:pPr>
              <w:snapToGrid w:val="0"/>
              <w:spacing w:line="360" w:lineRule="auto"/>
              <w:jc w:val="center"/>
              <w:rPr>
                <w:rFonts w:ascii="宋体" w:hAnsi="宋体" w:cs="宋体"/>
                <w:color w:val="auto"/>
                <w:sz w:val="24"/>
                <w:highlight w:val="none"/>
              </w:rPr>
            </w:pPr>
          </w:p>
        </w:tc>
        <w:tc>
          <w:tcPr>
            <w:tcW w:w="2268" w:type="dxa"/>
            <w:vAlign w:val="center"/>
          </w:tcPr>
          <w:p w14:paraId="6D7E33E9">
            <w:pPr>
              <w:snapToGrid w:val="0"/>
              <w:spacing w:line="360" w:lineRule="auto"/>
              <w:jc w:val="center"/>
              <w:rPr>
                <w:rFonts w:ascii="宋体" w:hAnsi="宋体" w:cs="宋体"/>
                <w:color w:val="auto"/>
                <w:sz w:val="24"/>
                <w:highlight w:val="none"/>
              </w:rPr>
            </w:pPr>
          </w:p>
        </w:tc>
        <w:tc>
          <w:tcPr>
            <w:tcW w:w="4253" w:type="dxa"/>
            <w:vAlign w:val="center"/>
          </w:tcPr>
          <w:p w14:paraId="68A89F8C">
            <w:pPr>
              <w:spacing w:line="360" w:lineRule="auto"/>
              <w:jc w:val="center"/>
              <w:rPr>
                <w:rFonts w:ascii="宋体" w:hAnsi="宋体" w:cs="宋体"/>
                <w:color w:val="auto"/>
                <w:sz w:val="24"/>
                <w:highlight w:val="none"/>
              </w:rPr>
            </w:pPr>
          </w:p>
        </w:tc>
        <w:tc>
          <w:tcPr>
            <w:tcW w:w="2126" w:type="dxa"/>
            <w:vAlign w:val="center"/>
          </w:tcPr>
          <w:p w14:paraId="16E0C4F1">
            <w:pPr>
              <w:spacing w:line="360" w:lineRule="auto"/>
              <w:jc w:val="center"/>
              <w:rPr>
                <w:rFonts w:ascii="宋体" w:hAnsi="宋体" w:cs="宋体"/>
                <w:color w:val="auto"/>
                <w:sz w:val="24"/>
                <w:highlight w:val="none"/>
              </w:rPr>
            </w:pPr>
          </w:p>
        </w:tc>
      </w:tr>
      <w:tr w14:paraId="5828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C14C6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00027067">
            <w:pPr>
              <w:snapToGrid w:val="0"/>
              <w:spacing w:line="360" w:lineRule="auto"/>
              <w:jc w:val="center"/>
              <w:rPr>
                <w:rFonts w:ascii="宋体" w:hAnsi="宋体" w:cs="宋体"/>
                <w:color w:val="auto"/>
                <w:sz w:val="24"/>
                <w:highlight w:val="none"/>
              </w:rPr>
            </w:pPr>
          </w:p>
        </w:tc>
        <w:tc>
          <w:tcPr>
            <w:tcW w:w="2268" w:type="dxa"/>
            <w:vAlign w:val="center"/>
          </w:tcPr>
          <w:p w14:paraId="6BA47B87">
            <w:pPr>
              <w:snapToGrid w:val="0"/>
              <w:spacing w:line="360" w:lineRule="auto"/>
              <w:jc w:val="center"/>
              <w:rPr>
                <w:rFonts w:ascii="宋体" w:hAnsi="宋体" w:cs="宋体"/>
                <w:color w:val="auto"/>
                <w:sz w:val="24"/>
                <w:highlight w:val="none"/>
              </w:rPr>
            </w:pPr>
          </w:p>
        </w:tc>
        <w:tc>
          <w:tcPr>
            <w:tcW w:w="2410" w:type="dxa"/>
            <w:vAlign w:val="center"/>
          </w:tcPr>
          <w:p w14:paraId="3898D797">
            <w:pPr>
              <w:snapToGrid w:val="0"/>
              <w:spacing w:line="360" w:lineRule="auto"/>
              <w:jc w:val="center"/>
              <w:rPr>
                <w:rFonts w:ascii="宋体" w:hAnsi="宋体" w:cs="宋体"/>
                <w:color w:val="auto"/>
                <w:sz w:val="24"/>
                <w:highlight w:val="none"/>
              </w:rPr>
            </w:pPr>
          </w:p>
        </w:tc>
        <w:tc>
          <w:tcPr>
            <w:tcW w:w="2268" w:type="dxa"/>
            <w:vAlign w:val="center"/>
          </w:tcPr>
          <w:p w14:paraId="5769562E">
            <w:pPr>
              <w:snapToGrid w:val="0"/>
              <w:spacing w:line="360" w:lineRule="auto"/>
              <w:jc w:val="center"/>
              <w:rPr>
                <w:rFonts w:ascii="宋体" w:hAnsi="宋体" w:cs="宋体"/>
                <w:color w:val="auto"/>
                <w:sz w:val="24"/>
                <w:highlight w:val="none"/>
              </w:rPr>
            </w:pPr>
          </w:p>
        </w:tc>
        <w:tc>
          <w:tcPr>
            <w:tcW w:w="4253" w:type="dxa"/>
            <w:vAlign w:val="center"/>
          </w:tcPr>
          <w:p w14:paraId="61520470">
            <w:pPr>
              <w:spacing w:line="360" w:lineRule="auto"/>
              <w:jc w:val="center"/>
              <w:rPr>
                <w:rFonts w:ascii="宋体" w:hAnsi="宋体" w:cs="宋体"/>
                <w:color w:val="auto"/>
                <w:sz w:val="24"/>
                <w:highlight w:val="none"/>
              </w:rPr>
            </w:pPr>
          </w:p>
        </w:tc>
        <w:tc>
          <w:tcPr>
            <w:tcW w:w="2126" w:type="dxa"/>
            <w:vAlign w:val="center"/>
          </w:tcPr>
          <w:p w14:paraId="24F119EA">
            <w:pPr>
              <w:spacing w:line="360" w:lineRule="auto"/>
              <w:jc w:val="center"/>
              <w:rPr>
                <w:rFonts w:ascii="宋体" w:hAnsi="宋体" w:cs="宋体"/>
                <w:color w:val="auto"/>
                <w:sz w:val="24"/>
                <w:highlight w:val="none"/>
              </w:rPr>
            </w:pPr>
          </w:p>
        </w:tc>
      </w:tr>
      <w:tr w14:paraId="7F74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4ECC9C0">
            <w:pPr>
              <w:spacing w:line="360" w:lineRule="auto"/>
              <w:jc w:val="center"/>
              <w:rPr>
                <w:rFonts w:ascii="宋体" w:hAnsi="宋体" w:cs="宋体"/>
                <w:color w:val="auto"/>
                <w:sz w:val="24"/>
                <w:highlight w:val="none"/>
              </w:rPr>
            </w:pPr>
          </w:p>
        </w:tc>
        <w:tc>
          <w:tcPr>
            <w:tcW w:w="992" w:type="dxa"/>
            <w:vAlign w:val="center"/>
          </w:tcPr>
          <w:p w14:paraId="46983F55">
            <w:pPr>
              <w:snapToGrid w:val="0"/>
              <w:spacing w:line="360" w:lineRule="auto"/>
              <w:jc w:val="center"/>
              <w:rPr>
                <w:rFonts w:ascii="宋体" w:hAnsi="宋体" w:cs="宋体"/>
                <w:color w:val="auto"/>
                <w:sz w:val="24"/>
                <w:highlight w:val="none"/>
              </w:rPr>
            </w:pPr>
          </w:p>
        </w:tc>
        <w:tc>
          <w:tcPr>
            <w:tcW w:w="2268" w:type="dxa"/>
            <w:vAlign w:val="center"/>
          </w:tcPr>
          <w:p w14:paraId="4F00B3FA">
            <w:pPr>
              <w:snapToGrid w:val="0"/>
              <w:spacing w:line="360" w:lineRule="auto"/>
              <w:jc w:val="center"/>
              <w:rPr>
                <w:rFonts w:ascii="宋体" w:hAnsi="宋体" w:cs="宋体"/>
                <w:color w:val="auto"/>
                <w:sz w:val="24"/>
                <w:highlight w:val="none"/>
              </w:rPr>
            </w:pPr>
          </w:p>
        </w:tc>
        <w:tc>
          <w:tcPr>
            <w:tcW w:w="2410" w:type="dxa"/>
            <w:vAlign w:val="center"/>
          </w:tcPr>
          <w:p w14:paraId="7D5131F8">
            <w:pPr>
              <w:snapToGrid w:val="0"/>
              <w:spacing w:line="360" w:lineRule="auto"/>
              <w:jc w:val="center"/>
              <w:rPr>
                <w:rFonts w:ascii="宋体" w:hAnsi="宋体" w:cs="宋体"/>
                <w:color w:val="auto"/>
                <w:sz w:val="24"/>
                <w:highlight w:val="none"/>
              </w:rPr>
            </w:pPr>
          </w:p>
        </w:tc>
        <w:tc>
          <w:tcPr>
            <w:tcW w:w="2268" w:type="dxa"/>
            <w:vAlign w:val="center"/>
          </w:tcPr>
          <w:p w14:paraId="42F27CC1">
            <w:pPr>
              <w:snapToGrid w:val="0"/>
              <w:spacing w:line="360" w:lineRule="auto"/>
              <w:jc w:val="center"/>
              <w:rPr>
                <w:rFonts w:ascii="宋体" w:hAnsi="宋体" w:cs="宋体"/>
                <w:color w:val="auto"/>
                <w:sz w:val="24"/>
                <w:highlight w:val="none"/>
              </w:rPr>
            </w:pPr>
          </w:p>
        </w:tc>
        <w:tc>
          <w:tcPr>
            <w:tcW w:w="4253" w:type="dxa"/>
            <w:vAlign w:val="center"/>
          </w:tcPr>
          <w:p w14:paraId="09BBC02F">
            <w:pPr>
              <w:spacing w:line="360" w:lineRule="auto"/>
              <w:jc w:val="center"/>
              <w:rPr>
                <w:rFonts w:ascii="宋体" w:hAnsi="宋体" w:cs="宋体"/>
                <w:color w:val="auto"/>
                <w:sz w:val="24"/>
                <w:highlight w:val="none"/>
              </w:rPr>
            </w:pPr>
          </w:p>
        </w:tc>
        <w:tc>
          <w:tcPr>
            <w:tcW w:w="2126" w:type="dxa"/>
            <w:vAlign w:val="center"/>
          </w:tcPr>
          <w:p w14:paraId="5D0325DD">
            <w:pPr>
              <w:spacing w:line="360" w:lineRule="auto"/>
              <w:jc w:val="center"/>
              <w:rPr>
                <w:rFonts w:ascii="宋体" w:hAnsi="宋体" w:cs="宋体"/>
                <w:color w:val="auto"/>
                <w:sz w:val="24"/>
                <w:highlight w:val="none"/>
              </w:rPr>
            </w:pPr>
          </w:p>
        </w:tc>
      </w:tr>
      <w:tr w14:paraId="0C78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89B18F9">
            <w:pPr>
              <w:spacing w:line="360" w:lineRule="auto"/>
              <w:jc w:val="center"/>
              <w:rPr>
                <w:rFonts w:ascii="宋体" w:hAnsi="宋体" w:cs="宋体"/>
                <w:color w:val="auto"/>
                <w:sz w:val="24"/>
                <w:highlight w:val="none"/>
              </w:rPr>
            </w:pPr>
          </w:p>
        </w:tc>
        <w:tc>
          <w:tcPr>
            <w:tcW w:w="992" w:type="dxa"/>
            <w:vAlign w:val="center"/>
          </w:tcPr>
          <w:p w14:paraId="1D53C248">
            <w:pPr>
              <w:snapToGrid w:val="0"/>
              <w:spacing w:line="360" w:lineRule="auto"/>
              <w:jc w:val="center"/>
              <w:rPr>
                <w:rFonts w:ascii="宋体" w:hAnsi="宋体" w:cs="宋体"/>
                <w:color w:val="auto"/>
                <w:sz w:val="24"/>
                <w:highlight w:val="none"/>
              </w:rPr>
            </w:pPr>
          </w:p>
        </w:tc>
        <w:tc>
          <w:tcPr>
            <w:tcW w:w="2268" w:type="dxa"/>
            <w:vAlign w:val="center"/>
          </w:tcPr>
          <w:p w14:paraId="4F931941">
            <w:pPr>
              <w:snapToGrid w:val="0"/>
              <w:spacing w:line="360" w:lineRule="auto"/>
              <w:jc w:val="center"/>
              <w:rPr>
                <w:rFonts w:ascii="宋体" w:hAnsi="宋体" w:cs="宋体"/>
                <w:color w:val="auto"/>
                <w:sz w:val="24"/>
                <w:highlight w:val="none"/>
              </w:rPr>
            </w:pPr>
          </w:p>
        </w:tc>
        <w:tc>
          <w:tcPr>
            <w:tcW w:w="2410" w:type="dxa"/>
            <w:vAlign w:val="center"/>
          </w:tcPr>
          <w:p w14:paraId="0F441AFA">
            <w:pPr>
              <w:snapToGrid w:val="0"/>
              <w:spacing w:line="360" w:lineRule="auto"/>
              <w:jc w:val="center"/>
              <w:rPr>
                <w:rFonts w:ascii="宋体" w:hAnsi="宋体" w:cs="宋体"/>
                <w:color w:val="auto"/>
                <w:sz w:val="24"/>
                <w:highlight w:val="none"/>
              </w:rPr>
            </w:pPr>
          </w:p>
        </w:tc>
        <w:tc>
          <w:tcPr>
            <w:tcW w:w="2268" w:type="dxa"/>
            <w:vAlign w:val="center"/>
          </w:tcPr>
          <w:p w14:paraId="2BC27BDD">
            <w:pPr>
              <w:snapToGrid w:val="0"/>
              <w:spacing w:line="360" w:lineRule="auto"/>
              <w:jc w:val="center"/>
              <w:rPr>
                <w:rFonts w:ascii="宋体" w:hAnsi="宋体" w:cs="宋体"/>
                <w:color w:val="auto"/>
                <w:sz w:val="24"/>
                <w:highlight w:val="none"/>
              </w:rPr>
            </w:pPr>
          </w:p>
        </w:tc>
        <w:tc>
          <w:tcPr>
            <w:tcW w:w="4253" w:type="dxa"/>
            <w:vAlign w:val="center"/>
          </w:tcPr>
          <w:p w14:paraId="5212C511">
            <w:pPr>
              <w:spacing w:line="360" w:lineRule="auto"/>
              <w:jc w:val="center"/>
              <w:rPr>
                <w:rFonts w:ascii="宋体" w:hAnsi="宋体" w:cs="宋体"/>
                <w:color w:val="auto"/>
                <w:sz w:val="24"/>
                <w:highlight w:val="none"/>
              </w:rPr>
            </w:pPr>
          </w:p>
        </w:tc>
        <w:tc>
          <w:tcPr>
            <w:tcW w:w="2126" w:type="dxa"/>
            <w:vAlign w:val="center"/>
          </w:tcPr>
          <w:p w14:paraId="550CA6C2">
            <w:pPr>
              <w:spacing w:line="360" w:lineRule="auto"/>
              <w:jc w:val="center"/>
              <w:rPr>
                <w:rFonts w:ascii="宋体" w:hAnsi="宋体" w:cs="宋体"/>
                <w:color w:val="auto"/>
                <w:sz w:val="24"/>
                <w:highlight w:val="none"/>
              </w:rPr>
            </w:pPr>
          </w:p>
        </w:tc>
      </w:tr>
      <w:tr w14:paraId="3F46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D47420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3"/>
          </w:tcPr>
          <w:p w14:paraId="1D0E70FC">
            <w:pPr>
              <w:spacing w:line="360" w:lineRule="auto"/>
              <w:jc w:val="center"/>
              <w:rPr>
                <w:rFonts w:ascii="宋体" w:hAnsi="宋体" w:cs="宋体"/>
                <w:color w:val="auto"/>
                <w:sz w:val="24"/>
                <w:highlight w:val="none"/>
              </w:rPr>
            </w:pPr>
          </w:p>
        </w:tc>
      </w:tr>
      <w:tr w14:paraId="30AB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04109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3"/>
          </w:tcPr>
          <w:p w14:paraId="2F96AEF4">
            <w:pPr>
              <w:spacing w:line="360" w:lineRule="auto"/>
              <w:jc w:val="center"/>
              <w:rPr>
                <w:rFonts w:ascii="宋体" w:hAnsi="宋体" w:cs="宋体"/>
                <w:color w:val="auto"/>
                <w:sz w:val="24"/>
                <w:highlight w:val="none"/>
              </w:rPr>
            </w:pPr>
          </w:p>
        </w:tc>
      </w:tr>
    </w:tbl>
    <w:p w14:paraId="528FCD1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AEBFA36">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14ED85E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1157F15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7DB83CCA">
      <w:pPr>
        <w:snapToGrid w:val="0"/>
        <w:spacing w:line="360" w:lineRule="auto"/>
        <w:ind w:firstLine="480" w:firstLineChars="200"/>
        <w:jc w:val="left"/>
        <w:rPr>
          <w:rFonts w:ascii="宋体" w:hAnsi="宋体" w:cs="宋体"/>
          <w:color w:val="auto"/>
          <w:kern w:val="0"/>
          <w:sz w:val="24"/>
          <w:highlight w:val="none"/>
          <w:lang w:val="zh-CN"/>
        </w:rPr>
      </w:pPr>
    </w:p>
    <w:p w14:paraId="6DBFBE56">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7452B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E61035">
      <w:pPr>
        <w:spacing w:line="360" w:lineRule="auto"/>
        <w:ind w:firstLine="482" w:firstLineChars="200"/>
        <w:rPr>
          <w:rFonts w:ascii="宋体" w:hAnsi="宋体" w:cs="宋体"/>
          <w:b/>
          <w:color w:val="auto"/>
          <w:sz w:val="24"/>
          <w:highlight w:val="none"/>
        </w:rPr>
      </w:pPr>
    </w:p>
    <w:p w14:paraId="2035DCAA">
      <w:pPr>
        <w:spacing w:line="360" w:lineRule="auto"/>
        <w:ind w:firstLine="482" w:firstLineChars="200"/>
        <w:rPr>
          <w:rFonts w:ascii="宋体" w:hAnsi="宋体" w:cs="宋体"/>
          <w:b/>
          <w:color w:val="auto"/>
          <w:kern w:val="0"/>
          <w:sz w:val="24"/>
          <w:highlight w:val="none"/>
        </w:rPr>
      </w:pPr>
    </w:p>
    <w:p w14:paraId="78F65205">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6846622">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14696D00">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68CCEA2F">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1C0A657A">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6DCCC3A6">
      <w:pPr>
        <w:pStyle w:val="693"/>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1557C18F">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09B36C21">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6A7E177A">
      <w:pPr>
        <w:spacing w:line="360" w:lineRule="auto"/>
        <w:ind w:right="420" w:firstLine="3614" w:firstLineChars="1000"/>
        <w:rPr>
          <w:rFonts w:ascii="宋体" w:hAnsi="宋体" w:cs="宋体"/>
          <w:b/>
          <w:color w:val="auto"/>
          <w:kern w:val="0"/>
          <w:sz w:val="36"/>
          <w:szCs w:val="36"/>
          <w:highlight w:val="none"/>
        </w:rPr>
      </w:pPr>
    </w:p>
    <w:p w14:paraId="219A5CC8">
      <w:pPr>
        <w:spacing w:line="360" w:lineRule="auto"/>
        <w:ind w:right="420" w:firstLine="3614" w:firstLineChars="1000"/>
        <w:rPr>
          <w:rFonts w:ascii="宋体" w:hAnsi="宋体" w:cs="宋体"/>
          <w:b/>
          <w:color w:val="auto"/>
          <w:kern w:val="0"/>
          <w:sz w:val="36"/>
          <w:szCs w:val="36"/>
          <w:highlight w:val="none"/>
        </w:rPr>
      </w:pPr>
    </w:p>
    <w:p w14:paraId="285BA129">
      <w:pPr>
        <w:spacing w:line="360" w:lineRule="auto"/>
        <w:ind w:right="420" w:firstLine="3614" w:firstLineChars="1000"/>
        <w:rPr>
          <w:rFonts w:ascii="宋体" w:hAnsi="宋体" w:cs="宋体"/>
          <w:b/>
          <w:color w:val="auto"/>
          <w:kern w:val="0"/>
          <w:sz w:val="36"/>
          <w:szCs w:val="36"/>
          <w:highlight w:val="none"/>
        </w:rPr>
      </w:pPr>
    </w:p>
    <w:p w14:paraId="180D3D1C">
      <w:pPr>
        <w:spacing w:line="360" w:lineRule="auto"/>
        <w:ind w:right="420" w:firstLine="3614" w:firstLineChars="1000"/>
        <w:rPr>
          <w:rFonts w:ascii="宋体" w:hAnsi="宋体" w:cs="宋体"/>
          <w:b/>
          <w:color w:val="auto"/>
          <w:kern w:val="0"/>
          <w:sz w:val="36"/>
          <w:szCs w:val="36"/>
          <w:highlight w:val="none"/>
        </w:rPr>
      </w:pPr>
    </w:p>
    <w:p w14:paraId="3E91821B">
      <w:pPr>
        <w:spacing w:line="360" w:lineRule="auto"/>
        <w:ind w:right="420" w:firstLine="3614" w:firstLineChars="1000"/>
        <w:rPr>
          <w:rFonts w:ascii="宋体" w:hAnsi="宋体" w:cs="宋体"/>
          <w:b/>
          <w:color w:val="auto"/>
          <w:kern w:val="0"/>
          <w:sz w:val="36"/>
          <w:szCs w:val="36"/>
          <w:highlight w:val="none"/>
        </w:rPr>
      </w:pPr>
    </w:p>
    <w:p w14:paraId="2A8DAF61">
      <w:pPr>
        <w:spacing w:line="360" w:lineRule="auto"/>
        <w:ind w:right="420" w:firstLine="3614" w:firstLineChars="1000"/>
        <w:rPr>
          <w:rFonts w:ascii="宋体" w:hAnsi="宋体" w:cs="宋体"/>
          <w:b/>
          <w:color w:val="auto"/>
          <w:kern w:val="0"/>
          <w:sz w:val="36"/>
          <w:szCs w:val="36"/>
          <w:highlight w:val="none"/>
        </w:rPr>
      </w:pPr>
    </w:p>
    <w:p w14:paraId="65689C6D">
      <w:pPr>
        <w:spacing w:line="360" w:lineRule="auto"/>
        <w:ind w:right="420" w:firstLine="3614" w:firstLineChars="1000"/>
        <w:rPr>
          <w:rFonts w:ascii="宋体" w:hAnsi="宋体" w:cs="宋体"/>
          <w:b/>
          <w:color w:val="auto"/>
          <w:kern w:val="0"/>
          <w:sz w:val="36"/>
          <w:szCs w:val="36"/>
          <w:highlight w:val="none"/>
        </w:rPr>
      </w:pPr>
    </w:p>
    <w:p w14:paraId="53A6699F">
      <w:pPr>
        <w:spacing w:line="360" w:lineRule="auto"/>
        <w:ind w:right="420" w:firstLine="3614" w:firstLineChars="1000"/>
        <w:rPr>
          <w:rFonts w:ascii="宋体" w:hAnsi="宋体" w:cs="宋体"/>
          <w:b/>
          <w:color w:val="auto"/>
          <w:kern w:val="0"/>
          <w:sz w:val="36"/>
          <w:szCs w:val="36"/>
          <w:highlight w:val="none"/>
        </w:rPr>
      </w:pPr>
    </w:p>
    <w:p w14:paraId="696EFD6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5070F3A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57E7E0BE">
      <w:pPr>
        <w:spacing w:line="360" w:lineRule="auto"/>
        <w:jc w:val="center"/>
        <w:rPr>
          <w:rFonts w:ascii="宋体" w:hAnsi="宋体" w:cs="宋体"/>
          <w:b/>
          <w:color w:val="auto"/>
          <w:spacing w:val="6"/>
          <w:sz w:val="32"/>
          <w:szCs w:val="32"/>
          <w:highlight w:val="none"/>
        </w:rPr>
      </w:pPr>
      <w:bookmarkStart w:id="498" w:name="OLE_LINK14"/>
      <w:bookmarkStart w:id="499" w:name="OLE_LINK13"/>
      <w:r>
        <w:rPr>
          <w:rFonts w:hint="eastAsia" w:ascii="宋体" w:hAnsi="宋体" w:cs="宋体"/>
          <w:b/>
          <w:color w:val="auto"/>
          <w:spacing w:val="6"/>
          <w:sz w:val="32"/>
          <w:szCs w:val="32"/>
          <w:highlight w:val="none"/>
        </w:rPr>
        <w:t>残疾人福利性单位声明函</w:t>
      </w:r>
    </w:p>
    <w:bookmarkEnd w:id="498"/>
    <w:bookmarkEnd w:id="499"/>
    <w:p w14:paraId="0E1C682C">
      <w:pPr>
        <w:spacing w:line="360" w:lineRule="auto"/>
        <w:rPr>
          <w:rFonts w:ascii="宋体" w:hAnsi="宋体" w:cs="宋体"/>
          <w:b/>
          <w:color w:val="auto"/>
          <w:spacing w:val="6"/>
          <w:sz w:val="30"/>
          <w:szCs w:val="30"/>
          <w:highlight w:val="none"/>
        </w:rPr>
      </w:pPr>
    </w:p>
    <w:p w14:paraId="45A14B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2026年度一呼百应保安服务项目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6734F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4595DEF">
      <w:pPr>
        <w:spacing w:line="360" w:lineRule="auto"/>
        <w:ind w:firstLine="480" w:firstLineChars="200"/>
        <w:rPr>
          <w:rFonts w:ascii="宋体" w:hAnsi="宋体" w:cs="宋体"/>
          <w:color w:val="auto"/>
          <w:sz w:val="24"/>
          <w:highlight w:val="none"/>
        </w:rPr>
      </w:pPr>
    </w:p>
    <w:p w14:paraId="4651DB13">
      <w:pPr>
        <w:spacing w:line="360" w:lineRule="auto"/>
        <w:ind w:firstLine="480" w:firstLineChars="200"/>
        <w:rPr>
          <w:rFonts w:ascii="宋体" w:hAnsi="宋体" w:cs="宋体"/>
          <w:color w:val="auto"/>
          <w:sz w:val="24"/>
          <w:highlight w:val="none"/>
        </w:rPr>
      </w:pPr>
    </w:p>
    <w:p w14:paraId="0EB1471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9EC5AF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14E4D70">
      <w:pPr>
        <w:spacing w:line="360" w:lineRule="auto"/>
        <w:ind w:firstLine="480" w:firstLineChars="200"/>
        <w:rPr>
          <w:rFonts w:ascii="宋体" w:hAnsi="宋体" w:cs="宋体"/>
          <w:color w:val="auto"/>
          <w:sz w:val="24"/>
          <w:highlight w:val="none"/>
        </w:rPr>
      </w:pPr>
    </w:p>
    <w:p w14:paraId="31389787">
      <w:pPr>
        <w:spacing w:line="360" w:lineRule="auto"/>
        <w:ind w:firstLine="420" w:firstLineChars="200"/>
        <w:rPr>
          <w:rFonts w:ascii="宋体" w:hAnsi="宋体" w:cs="宋体"/>
          <w:color w:val="auto"/>
          <w:highlight w:val="none"/>
        </w:rPr>
      </w:pPr>
    </w:p>
    <w:p w14:paraId="393636DD">
      <w:pPr>
        <w:spacing w:line="360" w:lineRule="auto"/>
        <w:ind w:firstLine="420" w:firstLineChars="200"/>
        <w:rPr>
          <w:rFonts w:ascii="宋体" w:hAnsi="宋体" w:cs="宋体"/>
          <w:color w:val="auto"/>
          <w:highlight w:val="none"/>
        </w:rPr>
      </w:pPr>
    </w:p>
    <w:p w14:paraId="5E1A93C4">
      <w:pPr>
        <w:spacing w:line="360" w:lineRule="auto"/>
        <w:ind w:firstLine="420" w:firstLineChars="200"/>
        <w:rPr>
          <w:rFonts w:ascii="宋体" w:hAnsi="宋体" w:cs="宋体"/>
          <w:color w:val="auto"/>
          <w:highlight w:val="none"/>
        </w:rPr>
      </w:pPr>
    </w:p>
    <w:p w14:paraId="3A6DDC76">
      <w:pPr>
        <w:spacing w:line="360" w:lineRule="auto"/>
        <w:ind w:firstLine="420" w:firstLineChars="200"/>
        <w:rPr>
          <w:rFonts w:ascii="宋体" w:hAnsi="宋体" w:cs="宋体"/>
          <w:color w:val="auto"/>
          <w:highlight w:val="none"/>
        </w:rPr>
      </w:pPr>
    </w:p>
    <w:p w14:paraId="13356E2E">
      <w:pPr>
        <w:spacing w:line="360" w:lineRule="auto"/>
        <w:rPr>
          <w:rFonts w:ascii="宋体" w:hAnsi="宋体" w:cs="宋体"/>
          <w:b/>
          <w:color w:val="auto"/>
          <w:sz w:val="24"/>
          <w:highlight w:val="none"/>
        </w:rPr>
      </w:pPr>
    </w:p>
    <w:p w14:paraId="327DC66F">
      <w:pPr>
        <w:spacing w:line="360" w:lineRule="auto"/>
        <w:rPr>
          <w:rFonts w:ascii="宋体" w:hAnsi="宋体" w:cs="宋体"/>
          <w:b/>
          <w:color w:val="auto"/>
          <w:sz w:val="24"/>
          <w:highlight w:val="none"/>
        </w:rPr>
      </w:pPr>
    </w:p>
    <w:p w14:paraId="3926A06E">
      <w:pPr>
        <w:spacing w:line="360" w:lineRule="auto"/>
        <w:rPr>
          <w:rFonts w:ascii="宋体" w:hAnsi="宋体" w:cs="宋体"/>
          <w:b/>
          <w:color w:val="auto"/>
          <w:sz w:val="24"/>
          <w:highlight w:val="none"/>
        </w:rPr>
      </w:pPr>
    </w:p>
    <w:p w14:paraId="54E4DBBE">
      <w:pPr>
        <w:spacing w:line="360" w:lineRule="auto"/>
        <w:rPr>
          <w:rFonts w:ascii="宋体" w:hAnsi="宋体" w:cs="宋体"/>
          <w:b/>
          <w:color w:val="auto"/>
          <w:sz w:val="24"/>
          <w:highlight w:val="none"/>
        </w:rPr>
      </w:pPr>
    </w:p>
    <w:p w14:paraId="20CF78AD">
      <w:pPr>
        <w:spacing w:line="360" w:lineRule="auto"/>
        <w:rPr>
          <w:rFonts w:ascii="宋体" w:hAnsi="宋体" w:cs="宋体"/>
          <w:b/>
          <w:color w:val="auto"/>
          <w:sz w:val="24"/>
          <w:highlight w:val="none"/>
        </w:rPr>
      </w:pPr>
    </w:p>
    <w:p w14:paraId="15D58AE0">
      <w:pPr>
        <w:spacing w:line="360" w:lineRule="auto"/>
        <w:rPr>
          <w:rFonts w:ascii="宋体" w:hAnsi="宋体" w:cs="宋体"/>
          <w:b/>
          <w:color w:val="auto"/>
          <w:sz w:val="24"/>
          <w:highlight w:val="none"/>
        </w:rPr>
      </w:pPr>
    </w:p>
    <w:p w14:paraId="698B713F">
      <w:pPr>
        <w:spacing w:line="360" w:lineRule="auto"/>
        <w:rPr>
          <w:rFonts w:ascii="宋体" w:hAnsi="宋体" w:cs="宋体"/>
          <w:b/>
          <w:color w:val="auto"/>
          <w:sz w:val="24"/>
          <w:highlight w:val="none"/>
        </w:rPr>
      </w:pPr>
    </w:p>
    <w:p w14:paraId="08A1F299">
      <w:pPr>
        <w:spacing w:line="360" w:lineRule="auto"/>
        <w:rPr>
          <w:rFonts w:ascii="宋体" w:hAnsi="宋体" w:cs="宋体"/>
          <w:b/>
          <w:color w:val="auto"/>
          <w:sz w:val="24"/>
          <w:highlight w:val="none"/>
        </w:rPr>
      </w:pPr>
    </w:p>
    <w:p w14:paraId="31F28A99">
      <w:pPr>
        <w:spacing w:line="360" w:lineRule="auto"/>
        <w:rPr>
          <w:rFonts w:ascii="宋体" w:hAnsi="宋体" w:cs="宋体"/>
          <w:b/>
          <w:color w:val="auto"/>
          <w:sz w:val="24"/>
          <w:highlight w:val="none"/>
        </w:rPr>
      </w:pPr>
    </w:p>
    <w:p w14:paraId="6903C6E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0BF946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6C78868">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A5A2D2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2B507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AD404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6A1C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C9792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35D75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34DB26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077AC1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7D515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E48FA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19C4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A449A2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8DC6E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73A2C6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BC155F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0F548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031867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945E6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56624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7C1227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C87674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22585D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8C9990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858C495">
      <w:pPr>
        <w:spacing w:line="360" w:lineRule="auto"/>
        <w:jc w:val="center"/>
        <w:rPr>
          <w:rFonts w:ascii="宋体" w:hAnsi="宋体" w:cs="宋体"/>
          <w:b/>
          <w:bCs/>
          <w:color w:val="auto"/>
          <w:sz w:val="24"/>
          <w:highlight w:val="none"/>
        </w:rPr>
      </w:pPr>
    </w:p>
    <w:p w14:paraId="02BB745F">
      <w:pPr>
        <w:spacing w:line="360" w:lineRule="auto"/>
        <w:rPr>
          <w:rFonts w:ascii="宋体" w:hAnsi="宋体" w:cs="宋体"/>
          <w:b/>
          <w:color w:val="auto"/>
          <w:sz w:val="24"/>
          <w:highlight w:val="none"/>
        </w:rPr>
      </w:pPr>
    </w:p>
    <w:p w14:paraId="4F1B0BD2">
      <w:pPr>
        <w:spacing w:line="360" w:lineRule="auto"/>
        <w:rPr>
          <w:rFonts w:ascii="宋体" w:hAnsi="宋体" w:cs="宋体"/>
          <w:b/>
          <w:color w:val="auto"/>
          <w:sz w:val="24"/>
          <w:highlight w:val="none"/>
        </w:rPr>
      </w:pPr>
    </w:p>
    <w:p w14:paraId="2D6710C4">
      <w:pPr>
        <w:spacing w:line="360" w:lineRule="auto"/>
        <w:rPr>
          <w:rFonts w:ascii="宋体" w:hAnsi="宋体" w:cs="宋体"/>
          <w:b/>
          <w:color w:val="auto"/>
          <w:sz w:val="24"/>
          <w:highlight w:val="none"/>
        </w:rPr>
      </w:pPr>
    </w:p>
    <w:p w14:paraId="6C6994B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ABAFD7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7E56D1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D9081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347B3A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A5216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C7B9A7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9B81228">
      <w:pPr>
        <w:widowControl/>
        <w:spacing w:line="360" w:lineRule="auto"/>
        <w:ind w:firstLine="600" w:firstLineChars="200"/>
        <w:jc w:val="left"/>
        <w:rPr>
          <w:rFonts w:ascii="宋体" w:hAnsi="宋体" w:cs="宋体"/>
          <w:color w:val="auto"/>
          <w:sz w:val="30"/>
          <w:szCs w:val="30"/>
          <w:highlight w:val="none"/>
        </w:rPr>
      </w:pPr>
    </w:p>
    <w:p w14:paraId="20A4CFF4">
      <w:pPr>
        <w:spacing w:line="360" w:lineRule="auto"/>
        <w:jc w:val="center"/>
        <w:rPr>
          <w:rFonts w:ascii="宋体" w:hAnsi="宋体" w:cs="宋体"/>
          <w:b/>
          <w:color w:val="auto"/>
          <w:spacing w:val="6"/>
          <w:sz w:val="32"/>
          <w:szCs w:val="32"/>
          <w:highlight w:val="none"/>
        </w:rPr>
      </w:pPr>
    </w:p>
    <w:p w14:paraId="73341E2A">
      <w:pPr>
        <w:spacing w:line="360" w:lineRule="auto"/>
        <w:jc w:val="center"/>
        <w:rPr>
          <w:rFonts w:ascii="宋体" w:hAnsi="宋体" w:cs="宋体"/>
          <w:b/>
          <w:color w:val="auto"/>
          <w:spacing w:val="6"/>
          <w:sz w:val="32"/>
          <w:szCs w:val="32"/>
          <w:highlight w:val="none"/>
        </w:rPr>
      </w:pPr>
    </w:p>
    <w:p w14:paraId="4C6B295B">
      <w:pPr>
        <w:spacing w:line="360" w:lineRule="auto"/>
        <w:jc w:val="center"/>
        <w:rPr>
          <w:rFonts w:ascii="宋体" w:hAnsi="宋体" w:cs="宋体"/>
          <w:b/>
          <w:color w:val="auto"/>
          <w:spacing w:val="6"/>
          <w:sz w:val="32"/>
          <w:szCs w:val="32"/>
          <w:highlight w:val="none"/>
        </w:rPr>
      </w:pPr>
    </w:p>
    <w:p w14:paraId="50989FB2">
      <w:pPr>
        <w:spacing w:line="360" w:lineRule="auto"/>
        <w:jc w:val="center"/>
        <w:rPr>
          <w:rFonts w:ascii="宋体" w:hAnsi="宋体" w:cs="宋体"/>
          <w:b/>
          <w:color w:val="auto"/>
          <w:spacing w:val="6"/>
          <w:sz w:val="32"/>
          <w:szCs w:val="32"/>
          <w:highlight w:val="none"/>
        </w:rPr>
      </w:pPr>
    </w:p>
    <w:p w14:paraId="301AD803">
      <w:pPr>
        <w:spacing w:line="360" w:lineRule="auto"/>
        <w:jc w:val="center"/>
        <w:rPr>
          <w:rFonts w:ascii="宋体" w:hAnsi="宋体" w:cs="宋体"/>
          <w:b/>
          <w:color w:val="auto"/>
          <w:spacing w:val="6"/>
          <w:sz w:val="32"/>
          <w:szCs w:val="32"/>
          <w:highlight w:val="none"/>
        </w:rPr>
      </w:pPr>
    </w:p>
    <w:p w14:paraId="0A7ACB64">
      <w:pPr>
        <w:spacing w:line="360" w:lineRule="auto"/>
        <w:jc w:val="center"/>
        <w:rPr>
          <w:rFonts w:ascii="宋体" w:hAnsi="宋体" w:cs="宋体"/>
          <w:b/>
          <w:color w:val="auto"/>
          <w:spacing w:val="6"/>
          <w:sz w:val="32"/>
          <w:szCs w:val="32"/>
          <w:highlight w:val="none"/>
        </w:rPr>
      </w:pPr>
    </w:p>
    <w:p w14:paraId="5983DB59">
      <w:pPr>
        <w:spacing w:line="360" w:lineRule="auto"/>
        <w:jc w:val="center"/>
        <w:rPr>
          <w:rFonts w:ascii="宋体" w:hAnsi="宋体" w:cs="宋体"/>
          <w:b/>
          <w:color w:val="auto"/>
          <w:spacing w:val="6"/>
          <w:sz w:val="32"/>
          <w:szCs w:val="32"/>
          <w:highlight w:val="none"/>
        </w:rPr>
      </w:pPr>
    </w:p>
    <w:p w14:paraId="0AD95ED1">
      <w:pPr>
        <w:spacing w:line="360" w:lineRule="auto"/>
        <w:jc w:val="center"/>
        <w:rPr>
          <w:rFonts w:ascii="宋体" w:hAnsi="宋体" w:cs="宋体"/>
          <w:b/>
          <w:color w:val="auto"/>
          <w:spacing w:val="6"/>
          <w:sz w:val="32"/>
          <w:szCs w:val="32"/>
          <w:highlight w:val="none"/>
        </w:rPr>
      </w:pPr>
    </w:p>
    <w:p w14:paraId="29F19D28">
      <w:pPr>
        <w:spacing w:line="360" w:lineRule="auto"/>
        <w:jc w:val="center"/>
        <w:rPr>
          <w:rFonts w:ascii="宋体" w:hAnsi="宋体" w:cs="宋体"/>
          <w:b/>
          <w:color w:val="auto"/>
          <w:spacing w:val="6"/>
          <w:sz w:val="32"/>
          <w:szCs w:val="32"/>
          <w:highlight w:val="none"/>
        </w:rPr>
      </w:pPr>
    </w:p>
    <w:p w14:paraId="35CB6638">
      <w:pPr>
        <w:spacing w:line="360" w:lineRule="auto"/>
        <w:jc w:val="center"/>
        <w:rPr>
          <w:rFonts w:ascii="宋体" w:hAnsi="宋体" w:cs="宋体"/>
          <w:b/>
          <w:color w:val="auto"/>
          <w:spacing w:val="6"/>
          <w:sz w:val="32"/>
          <w:szCs w:val="32"/>
          <w:highlight w:val="none"/>
        </w:rPr>
      </w:pPr>
    </w:p>
    <w:p w14:paraId="3FC59C84">
      <w:pPr>
        <w:spacing w:line="360" w:lineRule="auto"/>
        <w:jc w:val="center"/>
        <w:rPr>
          <w:rFonts w:ascii="宋体" w:hAnsi="宋体" w:cs="宋体"/>
          <w:b/>
          <w:color w:val="auto"/>
          <w:spacing w:val="6"/>
          <w:sz w:val="32"/>
          <w:szCs w:val="32"/>
          <w:highlight w:val="none"/>
        </w:rPr>
      </w:pPr>
    </w:p>
    <w:p w14:paraId="47B8B73C">
      <w:pPr>
        <w:spacing w:line="360" w:lineRule="auto"/>
        <w:jc w:val="center"/>
        <w:rPr>
          <w:rFonts w:ascii="宋体" w:hAnsi="宋体" w:cs="宋体"/>
          <w:b/>
          <w:color w:val="auto"/>
          <w:spacing w:val="6"/>
          <w:sz w:val="32"/>
          <w:szCs w:val="32"/>
          <w:highlight w:val="none"/>
        </w:rPr>
      </w:pPr>
    </w:p>
    <w:p w14:paraId="617ACDA4">
      <w:pPr>
        <w:spacing w:line="360" w:lineRule="auto"/>
        <w:jc w:val="left"/>
        <w:rPr>
          <w:rFonts w:ascii="宋体" w:hAnsi="宋体" w:cs="宋体"/>
          <w:b/>
          <w:color w:val="auto"/>
          <w:spacing w:val="6"/>
          <w:sz w:val="32"/>
          <w:szCs w:val="32"/>
          <w:highlight w:val="none"/>
        </w:rPr>
      </w:pPr>
    </w:p>
    <w:p w14:paraId="7C7F403C">
      <w:pPr>
        <w:spacing w:line="360" w:lineRule="auto"/>
        <w:jc w:val="left"/>
        <w:rPr>
          <w:rFonts w:ascii="宋体" w:hAnsi="宋体" w:cs="宋体"/>
          <w:b/>
          <w:color w:val="auto"/>
          <w:spacing w:val="6"/>
          <w:sz w:val="32"/>
          <w:szCs w:val="32"/>
          <w:highlight w:val="none"/>
        </w:rPr>
      </w:pPr>
    </w:p>
    <w:p w14:paraId="58A908F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B7C22CE">
      <w:pPr>
        <w:spacing w:line="360" w:lineRule="auto"/>
        <w:jc w:val="center"/>
        <w:rPr>
          <w:rFonts w:ascii="宋体" w:hAnsi="宋体" w:cs="宋体"/>
          <w:b/>
          <w:color w:val="auto"/>
          <w:sz w:val="24"/>
          <w:highlight w:val="none"/>
        </w:rPr>
      </w:pPr>
    </w:p>
    <w:p w14:paraId="429DA1EF">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7D6153A">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05C0B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9533BC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65B9CE">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D4749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5BF1D4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066BBA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33A84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A211BB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92531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4D368F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3F7F8">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CDAA8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B536D8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8E640D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E421F2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4AAA6C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27CD73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894152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7135C1B">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AFC7BA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9DCC5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C7C9F4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904BAC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11FD926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6CDC9A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EE7AA6B">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72C2C5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607C2A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A298D6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033DA9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6DCE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AB2C57F">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3CDB4312">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77FA416">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5966FCE">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E0D9C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53C0C48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4255A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F66BFA8">
      <w:pPr>
        <w:spacing w:line="360" w:lineRule="auto"/>
        <w:rPr>
          <w:rFonts w:ascii="宋体" w:hAnsi="宋体" w:cs="宋体"/>
          <w:b/>
          <w:color w:val="auto"/>
          <w:sz w:val="24"/>
          <w:highlight w:val="none"/>
        </w:rPr>
      </w:pPr>
    </w:p>
    <w:p w14:paraId="12B3A111">
      <w:pPr>
        <w:spacing w:line="360" w:lineRule="auto"/>
        <w:rPr>
          <w:rFonts w:ascii="宋体" w:hAnsi="宋体" w:cs="宋体"/>
          <w:b/>
          <w:color w:val="auto"/>
          <w:sz w:val="24"/>
          <w:highlight w:val="none"/>
        </w:rPr>
      </w:pPr>
    </w:p>
    <w:p w14:paraId="2FBBCA7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4E965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6769E9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052AC5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A9CCA6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6FBE9F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6091A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67B436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630DE67">
      <w:pPr>
        <w:spacing w:line="360" w:lineRule="auto"/>
        <w:rPr>
          <w:rFonts w:ascii="宋体" w:hAnsi="宋体" w:cs="宋体"/>
          <w:b/>
          <w:color w:val="auto"/>
          <w:sz w:val="24"/>
          <w:highlight w:val="none"/>
        </w:rPr>
      </w:pPr>
    </w:p>
    <w:p w14:paraId="4817B13B">
      <w:pPr>
        <w:autoSpaceDE w:val="0"/>
        <w:autoSpaceDN w:val="0"/>
        <w:jc w:val="center"/>
        <w:rPr>
          <w:rFonts w:ascii="宋体" w:hAnsi="宋体" w:cs="宋体"/>
          <w:b/>
          <w:color w:val="auto"/>
          <w:spacing w:val="6"/>
          <w:sz w:val="32"/>
          <w:szCs w:val="32"/>
          <w:highlight w:val="none"/>
        </w:rPr>
      </w:pPr>
    </w:p>
    <w:p w14:paraId="0310AE81">
      <w:pPr>
        <w:autoSpaceDE w:val="0"/>
        <w:autoSpaceDN w:val="0"/>
        <w:jc w:val="center"/>
        <w:rPr>
          <w:rFonts w:ascii="宋体" w:hAnsi="宋体" w:cs="宋体"/>
          <w:b/>
          <w:color w:val="auto"/>
          <w:spacing w:val="6"/>
          <w:sz w:val="32"/>
          <w:szCs w:val="32"/>
          <w:highlight w:val="none"/>
        </w:rPr>
      </w:pPr>
    </w:p>
    <w:p w14:paraId="19A44E12">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076AA42">
      <w:pPr>
        <w:spacing w:line="360" w:lineRule="auto"/>
        <w:rPr>
          <w:rFonts w:ascii="宋体" w:hAnsi="宋体" w:cs="宋体"/>
          <w:color w:val="auto"/>
          <w:sz w:val="24"/>
          <w:highlight w:val="none"/>
          <w:u w:val="single"/>
        </w:rPr>
      </w:pPr>
    </w:p>
    <w:p w14:paraId="15304BC0">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11D01F09">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E62F5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011FF5C">
      <w:pPr>
        <w:spacing w:line="360" w:lineRule="auto"/>
        <w:ind w:firstLine="494"/>
        <w:rPr>
          <w:rFonts w:ascii="宋体" w:hAnsi="宋体" w:cs="宋体"/>
          <w:color w:val="auto"/>
          <w:sz w:val="24"/>
          <w:highlight w:val="none"/>
        </w:rPr>
      </w:pPr>
    </w:p>
    <w:p w14:paraId="0754D6D6">
      <w:pPr>
        <w:spacing w:line="360" w:lineRule="auto"/>
        <w:ind w:firstLine="494"/>
        <w:rPr>
          <w:rFonts w:ascii="宋体" w:hAnsi="宋体" w:cs="宋体"/>
          <w:color w:val="auto"/>
          <w:sz w:val="24"/>
          <w:highlight w:val="none"/>
        </w:rPr>
      </w:pPr>
    </w:p>
    <w:p w14:paraId="2F51FC93">
      <w:pPr>
        <w:spacing w:line="360" w:lineRule="auto"/>
        <w:ind w:firstLine="494"/>
        <w:rPr>
          <w:rFonts w:ascii="宋体" w:hAnsi="宋体" w:cs="宋体"/>
          <w:color w:val="auto"/>
          <w:sz w:val="24"/>
          <w:highlight w:val="none"/>
        </w:rPr>
      </w:pPr>
    </w:p>
    <w:p w14:paraId="655F4155">
      <w:pPr>
        <w:spacing w:line="360" w:lineRule="auto"/>
        <w:ind w:firstLine="494"/>
        <w:rPr>
          <w:rFonts w:ascii="宋体" w:hAnsi="宋体" w:cs="宋体"/>
          <w:color w:val="auto"/>
          <w:sz w:val="24"/>
          <w:highlight w:val="none"/>
        </w:rPr>
      </w:pPr>
    </w:p>
    <w:p w14:paraId="26B5161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8BE02E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EF198D3">
      <w:pPr>
        <w:rPr>
          <w:rFonts w:ascii="宋体" w:hAnsi="宋体" w:cs="宋体"/>
          <w:color w:val="auto"/>
          <w:sz w:val="24"/>
          <w:highlight w:val="none"/>
        </w:rPr>
      </w:pPr>
      <w:r>
        <w:rPr>
          <w:rFonts w:hint="eastAsia" w:ascii="宋体" w:hAnsi="宋体" w:cs="宋体"/>
          <w:b/>
          <w:bCs/>
          <w:color w:val="auto"/>
          <w:sz w:val="24"/>
          <w:highlight w:val="none"/>
        </w:rPr>
        <w:t>附：</w:t>
      </w:r>
    </w:p>
    <w:p w14:paraId="79495E3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640C553">
      <w:pPr>
        <w:autoSpaceDE w:val="0"/>
        <w:autoSpaceDN w:val="0"/>
        <w:jc w:val="center"/>
        <w:rPr>
          <w:rFonts w:ascii="宋体" w:hAnsi="宋体" w:cs="宋体"/>
          <w:b/>
          <w:color w:val="auto"/>
          <w:spacing w:val="6"/>
          <w:sz w:val="32"/>
          <w:szCs w:val="32"/>
          <w:highlight w:val="none"/>
        </w:rPr>
      </w:pPr>
    </w:p>
    <w:p w14:paraId="1A8B7292">
      <w:pPr>
        <w:autoSpaceDE w:val="0"/>
        <w:autoSpaceDN w:val="0"/>
        <w:jc w:val="center"/>
        <w:rPr>
          <w:rFonts w:ascii="宋体" w:hAnsi="宋体" w:cs="宋体"/>
          <w:b/>
          <w:color w:val="auto"/>
          <w:spacing w:val="6"/>
          <w:sz w:val="32"/>
          <w:szCs w:val="32"/>
          <w:highlight w:val="none"/>
        </w:rPr>
      </w:pPr>
    </w:p>
    <w:p w14:paraId="3DF7C2D9">
      <w:pPr>
        <w:autoSpaceDE w:val="0"/>
        <w:autoSpaceDN w:val="0"/>
        <w:jc w:val="center"/>
        <w:rPr>
          <w:rFonts w:ascii="宋体" w:hAnsi="宋体" w:cs="宋体"/>
          <w:b/>
          <w:color w:val="auto"/>
          <w:spacing w:val="6"/>
          <w:sz w:val="32"/>
          <w:szCs w:val="32"/>
          <w:highlight w:val="none"/>
        </w:rPr>
      </w:pPr>
    </w:p>
    <w:p w14:paraId="186DAD00">
      <w:pPr>
        <w:autoSpaceDE w:val="0"/>
        <w:autoSpaceDN w:val="0"/>
        <w:jc w:val="center"/>
        <w:rPr>
          <w:rFonts w:ascii="宋体" w:hAnsi="宋体" w:cs="宋体"/>
          <w:b/>
          <w:color w:val="auto"/>
          <w:spacing w:val="6"/>
          <w:sz w:val="32"/>
          <w:szCs w:val="32"/>
          <w:highlight w:val="none"/>
        </w:rPr>
      </w:pPr>
    </w:p>
    <w:p w14:paraId="44183899">
      <w:pPr>
        <w:autoSpaceDE w:val="0"/>
        <w:autoSpaceDN w:val="0"/>
        <w:jc w:val="center"/>
        <w:rPr>
          <w:rFonts w:ascii="宋体" w:hAnsi="宋体" w:cs="宋体"/>
          <w:b/>
          <w:color w:val="auto"/>
          <w:spacing w:val="6"/>
          <w:sz w:val="32"/>
          <w:szCs w:val="32"/>
          <w:highlight w:val="none"/>
        </w:rPr>
      </w:pPr>
    </w:p>
    <w:p w14:paraId="4F60D6F4">
      <w:pPr>
        <w:autoSpaceDE w:val="0"/>
        <w:autoSpaceDN w:val="0"/>
        <w:jc w:val="center"/>
        <w:rPr>
          <w:rFonts w:ascii="宋体" w:hAnsi="宋体" w:cs="宋体"/>
          <w:b/>
          <w:color w:val="auto"/>
          <w:spacing w:val="6"/>
          <w:sz w:val="32"/>
          <w:szCs w:val="32"/>
          <w:highlight w:val="none"/>
        </w:rPr>
      </w:pPr>
    </w:p>
    <w:p w14:paraId="449A5D72">
      <w:pPr>
        <w:autoSpaceDE w:val="0"/>
        <w:autoSpaceDN w:val="0"/>
        <w:jc w:val="center"/>
        <w:rPr>
          <w:rFonts w:ascii="宋体" w:hAnsi="宋体" w:cs="宋体"/>
          <w:b/>
          <w:color w:val="auto"/>
          <w:spacing w:val="6"/>
          <w:sz w:val="32"/>
          <w:szCs w:val="32"/>
          <w:highlight w:val="none"/>
        </w:rPr>
      </w:pPr>
    </w:p>
    <w:p w14:paraId="0F6C5C6B">
      <w:pPr>
        <w:autoSpaceDE w:val="0"/>
        <w:autoSpaceDN w:val="0"/>
        <w:jc w:val="center"/>
        <w:rPr>
          <w:rFonts w:ascii="宋体" w:hAnsi="宋体" w:cs="宋体"/>
          <w:b/>
          <w:color w:val="auto"/>
          <w:spacing w:val="6"/>
          <w:sz w:val="32"/>
          <w:szCs w:val="32"/>
          <w:highlight w:val="none"/>
        </w:rPr>
      </w:pPr>
    </w:p>
    <w:p w14:paraId="52476277">
      <w:pPr>
        <w:autoSpaceDE w:val="0"/>
        <w:autoSpaceDN w:val="0"/>
        <w:jc w:val="center"/>
        <w:rPr>
          <w:rFonts w:ascii="宋体" w:hAnsi="宋体" w:cs="宋体"/>
          <w:b/>
          <w:color w:val="auto"/>
          <w:spacing w:val="6"/>
          <w:sz w:val="32"/>
          <w:szCs w:val="32"/>
          <w:highlight w:val="none"/>
        </w:rPr>
      </w:pPr>
    </w:p>
    <w:p w14:paraId="13E3C649">
      <w:pPr>
        <w:autoSpaceDE w:val="0"/>
        <w:autoSpaceDN w:val="0"/>
        <w:jc w:val="center"/>
        <w:rPr>
          <w:rFonts w:ascii="宋体" w:hAnsi="宋体" w:cs="宋体"/>
          <w:b/>
          <w:color w:val="auto"/>
          <w:spacing w:val="6"/>
          <w:sz w:val="32"/>
          <w:szCs w:val="32"/>
          <w:highlight w:val="none"/>
        </w:rPr>
      </w:pPr>
    </w:p>
    <w:p w14:paraId="79BFB8DA">
      <w:pPr>
        <w:autoSpaceDE w:val="0"/>
        <w:autoSpaceDN w:val="0"/>
        <w:jc w:val="center"/>
        <w:rPr>
          <w:rFonts w:ascii="宋体" w:hAnsi="宋体" w:cs="宋体"/>
          <w:b/>
          <w:color w:val="auto"/>
          <w:spacing w:val="6"/>
          <w:sz w:val="32"/>
          <w:szCs w:val="32"/>
          <w:highlight w:val="none"/>
        </w:rPr>
      </w:pPr>
    </w:p>
    <w:p w14:paraId="6173309B">
      <w:pPr>
        <w:autoSpaceDE w:val="0"/>
        <w:autoSpaceDN w:val="0"/>
        <w:jc w:val="center"/>
        <w:rPr>
          <w:rFonts w:ascii="宋体" w:hAnsi="宋体" w:cs="宋体"/>
          <w:b/>
          <w:color w:val="auto"/>
          <w:spacing w:val="6"/>
          <w:sz w:val="32"/>
          <w:szCs w:val="32"/>
          <w:highlight w:val="none"/>
        </w:rPr>
      </w:pPr>
    </w:p>
    <w:p w14:paraId="2CA8BAD2">
      <w:pPr>
        <w:autoSpaceDE w:val="0"/>
        <w:autoSpaceDN w:val="0"/>
        <w:jc w:val="center"/>
        <w:rPr>
          <w:rFonts w:ascii="宋体" w:hAnsi="宋体" w:cs="宋体"/>
          <w:b/>
          <w:color w:val="auto"/>
          <w:spacing w:val="6"/>
          <w:sz w:val="32"/>
          <w:szCs w:val="32"/>
          <w:highlight w:val="none"/>
        </w:rPr>
      </w:pPr>
    </w:p>
    <w:p w14:paraId="4E177165">
      <w:pPr>
        <w:autoSpaceDE w:val="0"/>
        <w:autoSpaceDN w:val="0"/>
        <w:jc w:val="center"/>
        <w:rPr>
          <w:rFonts w:ascii="宋体" w:hAnsi="宋体" w:cs="宋体"/>
          <w:b/>
          <w:color w:val="auto"/>
          <w:spacing w:val="6"/>
          <w:sz w:val="32"/>
          <w:szCs w:val="32"/>
          <w:highlight w:val="none"/>
        </w:rPr>
      </w:pPr>
    </w:p>
    <w:p w14:paraId="4AD15332">
      <w:pPr>
        <w:autoSpaceDE w:val="0"/>
        <w:autoSpaceDN w:val="0"/>
        <w:jc w:val="center"/>
        <w:rPr>
          <w:rFonts w:ascii="宋体" w:hAnsi="宋体" w:cs="宋体"/>
          <w:b/>
          <w:color w:val="auto"/>
          <w:spacing w:val="6"/>
          <w:sz w:val="32"/>
          <w:szCs w:val="32"/>
          <w:highlight w:val="none"/>
        </w:rPr>
      </w:pPr>
    </w:p>
    <w:p w14:paraId="4F4261DE">
      <w:pPr>
        <w:autoSpaceDE w:val="0"/>
        <w:autoSpaceDN w:val="0"/>
        <w:jc w:val="center"/>
        <w:rPr>
          <w:rFonts w:ascii="宋体" w:hAnsi="宋体" w:cs="宋体"/>
          <w:b/>
          <w:color w:val="auto"/>
          <w:spacing w:val="6"/>
          <w:sz w:val="32"/>
          <w:szCs w:val="32"/>
          <w:highlight w:val="none"/>
        </w:rPr>
      </w:pPr>
    </w:p>
    <w:p w14:paraId="4DE4EC0D">
      <w:pPr>
        <w:autoSpaceDE w:val="0"/>
        <w:autoSpaceDN w:val="0"/>
        <w:jc w:val="center"/>
        <w:rPr>
          <w:rFonts w:ascii="宋体" w:hAnsi="宋体" w:cs="宋体"/>
          <w:b/>
          <w:color w:val="auto"/>
          <w:spacing w:val="6"/>
          <w:sz w:val="32"/>
          <w:szCs w:val="32"/>
          <w:highlight w:val="none"/>
        </w:rPr>
      </w:pPr>
    </w:p>
    <w:p w14:paraId="4F0F2264">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78B1E09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06ED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7E72B7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D3231B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7A7036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6734D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9D4A4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F6E63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F9DE1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6207582D">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50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0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0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01"/>
      <w:r>
        <w:rPr>
          <w:rFonts w:hint="eastAsia" w:ascii="宋体" w:hAnsi="宋体" w:cs="宋体"/>
          <w:b/>
          <w:color w:val="auto"/>
          <w:kern w:val="0"/>
          <w:sz w:val="24"/>
          <w:highlight w:val="none"/>
          <w:lang w:val="zh-CN"/>
        </w:rPr>
        <w:t>）</w:t>
      </w:r>
    </w:p>
    <w:p w14:paraId="112007D0">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50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02"/>
    </w:p>
    <w:p w14:paraId="645C66E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A4B176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EEF61C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CBB4B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DF3AB9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A9CE8C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1C86B5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12D9293">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873703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DBD543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4EAB4E2">
      <w:pPr>
        <w:autoSpaceDE w:val="0"/>
        <w:autoSpaceDN w:val="0"/>
        <w:jc w:val="center"/>
        <w:rPr>
          <w:rFonts w:ascii="宋体" w:hAnsi="宋体" w:cs="宋体"/>
          <w:b/>
          <w:color w:val="auto"/>
          <w:spacing w:val="6"/>
          <w:sz w:val="32"/>
          <w:szCs w:val="32"/>
          <w:highlight w:val="none"/>
        </w:rPr>
      </w:pPr>
    </w:p>
    <w:p w14:paraId="132CC8D9">
      <w:pPr>
        <w:autoSpaceDE w:val="0"/>
        <w:autoSpaceDN w:val="0"/>
        <w:jc w:val="center"/>
        <w:rPr>
          <w:rFonts w:ascii="宋体" w:hAnsi="宋体" w:cs="宋体"/>
          <w:b/>
          <w:color w:val="auto"/>
          <w:spacing w:val="6"/>
          <w:sz w:val="32"/>
          <w:szCs w:val="32"/>
          <w:highlight w:val="none"/>
        </w:rPr>
      </w:pPr>
    </w:p>
    <w:p w14:paraId="1A16B339">
      <w:pPr>
        <w:autoSpaceDE w:val="0"/>
        <w:autoSpaceDN w:val="0"/>
        <w:jc w:val="center"/>
        <w:rPr>
          <w:rFonts w:ascii="宋体" w:hAnsi="宋体" w:cs="宋体"/>
          <w:b/>
          <w:color w:val="auto"/>
          <w:spacing w:val="6"/>
          <w:sz w:val="32"/>
          <w:szCs w:val="32"/>
          <w:highlight w:val="none"/>
        </w:rPr>
      </w:pPr>
    </w:p>
    <w:p w14:paraId="7FFA5B5B">
      <w:pPr>
        <w:autoSpaceDE w:val="0"/>
        <w:autoSpaceDN w:val="0"/>
        <w:jc w:val="center"/>
        <w:rPr>
          <w:rFonts w:ascii="宋体" w:hAnsi="宋体" w:cs="宋体"/>
          <w:b/>
          <w:color w:val="auto"/>
          <w:spacing w:val="6"/>
          <w:sz w:val="32"/>
          <w:szCs w:val="32"/>
          <w:highlight w:val="none"/>
        </w:rPr>
      </w:pPr>
    </w:p>
    <w:p w14:paraId="2C7135A0">
      <w:pPr>
        <w:autoSpaceDE w:val="0"/>
        <w:autoSpaceDN w:val="0"/>
        <w:jc w:val="center"/>
        <w:rPr>
          <w:rFonts w:ascii="宋体" w:hAnsi="宋体" w:cs="宋体"/>
          <w:b/>
          <w:color w:val="auto"/>
          <w:spacing w:val="6"/>
          <w:sz w:val="32"/>
          <w:szCs w:val="32"/>
          <w:highlight w:val="none"/>
        </w:rPr>
      </w:pPr>
    </w:p>
    <w:p w14:paraId="0BEB3482">
      <w:pPr>
        <w:autoSpaceDE w:val="0"/>
        <w:autoSpaceDN w:val="0"/>
        <w:jc w:val="center"/>
        <w:rPr>
          <w:rFonts w:ascii="宋体" w:hAnsi="宋体" w:cs="宋体"/>
          <w:b/>
          <w:color w:val="auto"/>
          <w:spacing w:val="6"/>
          <w:sz w:val="32"/>
          <w:szCs w:val="32"/>
          <w:highlight w:val="none"/>
        </w:rPr>
      </w:pPr>
    </w:p>
    <w:p w14:paraId="30895D21">
      <w:pPr>
        <w:autoSpaceDE w:val="0"/>
        <w:autoSpaceDN w:val="0"/>
        <w:jc w:val="center"/>
        <w:rPr>
          <w:rFonts w:ascii="宋体" w:hAnsi="宋体" w:cs="宋体"/>
          <w:b/>
          <w:color w:val="auto"/>
          <w:spacing w:val="6"/>
          <w:sz w:val="32"/>
          <w:szCs w:val="32"/>
          <w:highlight w:val="none"/>
        </w:rPr>
      </w:pPr>
    </w:p>
    <w:p w14:paraId="27599367">
      <w:pPr>
        <w:autoSpaceDE w:val="0"/>
        <w:autoSpaceDN w:val="0"/>
        <w:jc w:val="center"/>
        <w:rPr>
          <w:rFonts w:ascii="宋体" w:hAnsi="宋体" w:cs="宋体"/>
          <w:b/>
          <w:color w:val="auto"/>
          <w:spacing w:val="6"/>
          <w:sz w:val="32"/>
          <w:szCs w:val="32"/>
          <w:highlight w:val="none"/>
        </w:rPr>
      </w:pPr>
    </w:p>
    <w:p w14:paraId="35079A55">
      <w:pPr>
        <w:autoSpaceDE w:val="0"/>
        <w:autoSpaceDN w:val="0"/>
        <w:jc w:val="center"/>
        <w:rPr>
          <w:rFonts w:ascii="宋体" w:hAnsi="宋体" w:cs="宋体"/>
          <w:b/>
          <w:color w:val="auto"/>
          <w:spacing w:val="6"/>
          <w:sz w:val="32"/>
          <w:szCs w:val="32"/>
          <w:highlight w:val="none"/>
        </w:rPr>
      </w:pPr>
    </w:p>
    <w:p w14:paraId="72BE94A8">
      <w:pPr>
        <w:autoSpaceDE w:val="0"/>
        <w:autoSpaceDN w:val="0"/>
        <w:jc w:val="center"/>
        <w:rPr>
          <w:rFonts w:ascii="宋体" w:hAnsi="宋体" w:cs="宋体"/>
          <w:b/>
          <w:color w:val="auto"/>
          <w:spacing w:val="6"/>
          <w:sz w:val="32"/>
          <w:szCs w:val="32"/>
          <w:highlight w:val="none"/>
        </w:rPr>
      </w:pPr>
    </w:p>
    <w:p w14:paraId="6CE08D6C">
      <w:pPr>
        <w:autoSpaceDE w:val="0"/>
        <w:autoSpaceDN w:val="0"/>
        <w:jc w:val="center"/>
        <w:rPr>
          <w:rFonts w:ascii="宋体" w:hAnsi="宋体" w:cs="宋体"/>
          <w:b/>
          <w:color w:val="auto"/>
          <w:spacing w:val="6"/>
          <w:sz w:val="32"/>
          <w:szCs w:val="32"/>
          <w:highlight w:val="none"/>
        </w:rPr>
      </w:pPr>
    </w:p>
    <w:p w14:paraId="143BEC13">
      <w:pPr>
        <w:autoSpaceDE w:val="0"/>
        <w:autoSpaceDN w:val="0"/>
        <w:jc w:val="center"/>
        <w:rPr>
          <w:rFonts w:ascii="宋体" w:hAnsi="宋体" w:cs="宋体"/>
          <w:b/>
          <w:color w:val="auto"/>
          <w:spacing w:val="6"/>
          <w:sz w:val="32"/>
          <w:szCs w:val="32"/>
          <w:highlight w:val="none"/>
        </w:rPr>
      </w:pPr>
    </w:p>
    <w:p w14:paraId="721789A4">
      <w:pPr>
        <w:autoSpaceDE w:val="0"/>
        <w:autoSpaceDN w:val="0"/>
        <w:jc w:val="center"/>
        <w:rPr>
          <w:rFonts w:ascii="宋体" w:hAnsi="宋体" w:cs="宋体"/>
          <w:b/>
          <w:color w:val="auto"/>
          <w:spacing w:val="6"/>
          <w:sz w:val="32"/>
          <w:szCs w:val="32"/>
          <w:highlight w:val="none"/>
        </w:rPr>
      </w:pPr>
    </w:p>
    <w:p w14:paraId="3F3CCA6A">
      <w:pPr>
        <w:autoSpaceDE w:val="0"/>
        <w:autoSpaceDN w:val="0"/>
        <w:jc w:val="center"/>
        <w:rPr>
          <w:rFonts w:ascii="宋体" w:hAnsi="宋体" w:cs="宋体"/>
          <w:b/>
          <w:color w:val="auto"/>
          <w:spacing w:val="6"/>
          <w:sz w:val="32"/>
          <w:szCs w:val="32"/>
          <w:highlight w:val="none"/>
        </w:rPr>
      </w:pPr>
    </w:p>
    <w:p w14:paraId="1C7377FF">
      <w:pPr>
        <w:autoSpaceDE w:val="0"/>
        <w:autoSpaceDN w:val="0"/>
        <w:jc w:val="center"/>
        <w:rPr>
          <w:rFonts w:ascii="宋体" w:hAnsi="宋体" w:cs="宋体"/>
          <w:b/>
          <w:color w:val="auto"/>
          <w:spacing w:val="6"/>
          <w:sz w:val="32"/>
          <w:szCs w:val="32"/>
          <w:highlight w:val="none"/>
        </w:rPr>
      </w:pPr>
    </w:p>
    <w:p w14:paraId="1C981248">
      <w:pPr>
        <w:autoSpaceDE w:val="0"/>
        <w:autoSpaceDN w:val="0"/>
        <w:jc w:val="center"/>
        <w:rPr>
          <w:rFonts w:ascii="宋体" w:hAnsi="宋体" w:cs="宋体"/>
          <w:b/>
          <w:color w:val="auto"/>
          <w:spacing w:val="6"/>
          <w:sz w:val="32"/>
          <w:szCs w:val="32"/>
          <w:highlight w:val="none"/>
        </w:rPr>
      </w:pPr>
    </w:p>
    <w:p w14:paraId="065D722A">
      <w:pPr>
        <w:autoSpaceDE w:val="0"/>
        <w:autoSpaceDN w:val="0"/>
        <w:jc w:val="center"/>
        <w:rPr>
          <w:rFonts w:ascii="宋体" w:hAnsi="宋体" w:cs="宋体"/>
          <w:b/>
          <w:color w:val="auto"/>
          <w:spacing w:val="6"/>
          <w:sz w:val="32"/>
          <w:szCs w:val="32"/>
          <w:highlight w:val="none"/>
        </w:rPr>
      </w:pPr>
    </w:p>
    <w:p w14:paraId="01969917">
      <w:pPr>
        <w:autoSpaceDE w:val="0"/>
        <w:autoSpaceDN w:val="0"/>
        <w:jc w:val="center"/>
        <w:rPr>
          <w:rFonts w:ascii="宋体" w:hAnsi="宋体" w:cs="宋体"/>
          <w:b/>
          <w:color w:val="auto"/>
          <w:spacing w:val="6"/>
          <w:sz w:val="32"/>
          <w:szCs w:val="32"/>
          <w:highlight w:val="none"/>
        </w:rPr>
      </w:pPr>
    </w:p>
    <w:p w14:paraId="21DCE874">
      <w:pPr>
        <w:autoSpaceDE w:val="0"/>
        <w:autoSpaceDN w:val="0"/>
        <w:jc w:val="center"/>
        <w:rPr>
          <w:rFonts w:ascii="宋体" w:hAnsi="宋体" w:cs="宋体"/>
          <w:b/>
          <w:color w:val="auto"/>
          <w:spacing w:val="6"/>
          <w:sz w:val="32"/>
          <w:szCs w:val="32"/>
          <w:highlight w:val="none"/>
        </w:rPr>
      </w:pPr>
    </w:p>
    <w:p w14:paraId="3775EC4B">
      <w:pPr>
        <w:autoSpaceDE w:val="0"/>
        <w:autoSpaceDN w:val="0"/>
        <w:jc w:val="center"/>
        <w:rPr>
          <w:rFonts w:ascii="宋体" w:hAnsi="宋体" w:cs="宋体"/>
          <w:b/>
          <w:color w:val="auto"/>
          <w:spacing w:val="6"/>
          <w:sz w:val="32"/>
          <w:szCs w:val="32"/>
          <w:highlight w:val="none"/>
        </w:rPr>
      </w:pPr>
    </w:p>
    <w:p w14:paraId="052B22DC">
      <w:pPr>
        <w:autoSpaceDE w:val="0"/>
        <w:autoSpaceDN w:val="0"/>
        <w:jc w:val="center"/>
        <w:rPr>
          <w:rFonts w:ascii="宋体" w:hAnsi="宋体" w:cs="宋体"/>
          <w:b/>
          <w:color w:val="auto"/>
          <w:spacing w:val="6"/>
          <w:sz w:val="32"/>
          <w:szCs w:val="32"/>
          <w:highlight w:val="none"/>
        </w:rPr>
      </w:pPr>
    </w:p>
    <w:p w14:paraId="0F2DADD6">
      <w:pPr>
        <w:autoSpaceDE w:val="0"/>
        <w:autoSpaceDN w:val="0"/>
        <w:jc w:val="center"/>
        <w:rPr>
          <w:rFonts w:ascii="宋体" w:hAnsi="宋体" w:cs="宋体"/>
          <w:b/>
          <w:color w:val="auto"/>
          <w:spacing w:val="6"/>
          <w:sz w:val="32"/>
          <w:szCs w:val="32"/>
          <w:highlight w:val="none"/>
        </w:rPr>
      </w:pPr>
    </w:p>
    <w:p w14:paraId="74406BF4">
      <w:pPr>
        <w:autoSpaceDE w:val="0"/>
        <w:autoSpaceDN w:val="0"/>
        <w:jc w:val="center"/>
        <w:rPr>
          <w:rFonts w:ascii="宋体" w:hAnsi="宋体" w:cs="宋体"/>
          <w:b/>
          <w:color w:val="auto"/>
          <w:spacing w:val="6"/>
          <w:sz w:val="32"/>
          <w:szCs w:val="32"/>
          <w:highlight w:val="none"/>
        </w:rPr>
      </w:pPr>
    </w:p>
    <w:p w14:paraId="10C7152D">
      <w:pPr>
        <w:snapToGrid w:val="0"/>
        <w:spacing w:line="360" w:lineRule="auto"/>
        <w:ind w:firstLine="3666" w:firstLineChars="1100"/>
        <w:rPr>
          <w:rFonts w:ascii="宋体" w:hAnsi="宋体" w:cs="宋体"/>
          <w:b/>
          <w:color w:val="auto"/>
          <w:spacing w:val="6"/>
          <w:sz w:val="32"/>
          <w:szCs w:val="32"/>
          <w:highlight w:val="none"/>
        </w:rPr>
      </w:pPr>
    </w:p>
    <w:p w14:paraId="3F6D1D6E">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17F3A4D7">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97A4A4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CEDB9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2026年度一呼百应保安服务项目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330105266030010000006-HCZX-ZC-[2026]0246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93D66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660C504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2CB061A0">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41C4A1AA">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9F75F28">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2B2FB659">
      <w:pPr>
        <w:pStyle w:val="3"/>
        <w:ind w:left="664" w:leftChars="316" w:firstLine="305" w:firstLineChars="95"/>
        <w:rPr>
          <w:color w:val="auto"/>
          <w:highlight w:val="none"/>
        </w:rPr>
      </w:pPr>
    </w:p>
    <w:p w14:paraId="1FDB67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p>
    <w:p w14:paraId="3ACF2828">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5D72E2C">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AA8DA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335C23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D8BF6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1F560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566BC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0A22C6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463BAA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73C12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A3114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933B5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4C3D6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6EDB4D0A">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C95731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DAF195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C196EC5">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EA58A4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B41C87E">
      <w:pPr>
        <w:autoSpaceDE w:val="0"/>
        <w:autoSpaceDN w:val="0"/>
        <w:jc w:val="center"/>
        <w:rPr>
          <w:rFonts w:ascii="宋体" w:hAnsi="宋体" w:cs="宋体"/>
          <w:b/>
          <w:color w:val="auto"/>
          <w:spacing w:val="6"/>
          <w:sz w:val="32"/>
          <w:szCs w:val="32"/>
          <w:highlight w:val="none"/>
        </w:rPr>
      </w:pPr>
    </w:p>
    <w:p w14:paraId="100D3395">
      <w:pPr>
        <w:autoSpaceDE w:val="0"/>
        <w:autoSpaceDN w:val="0"/>
        <w:jc w:val="center"/>
        <w:rPr>
          <w:rFonts w:ascii="宋体" w:hAnsi="宋体" w:cs="宋体"/>
          <w:b/>
          <w:color w:val="auto"/>
          <w:spacing w:val="6"/>
          <w:sz w:val="32"/>
          <w:szCs w:val="32"/>
          <w:highlight w:val="none"/>
        </w:rPr>
      </w:pPr>
    </w:p>
    <w:p w14:paraId="6F1DB7D7">
      <w:pPr>
        <w:autoSpaceDE w:val="0"/>
        <w:autoSpaceDN w:val="0"/>
        <w:jc w:val="center"/>
        <w:rPr>
          <w:rFonts w:ascii="宋体" w:hAnsi="宋体" w:cs="宋体"/>
          <w:b/>
          <w:color w:val="auto"/>
          <w:spacing w:val="6"/>
          <w:sz w:val="32"/>
          <w:szCs w:val="32"/>
          <w:highlight w:val="none"/>
        </w:rPr>
      </w:pPr>
    </w:p>
    <w:p w14:paraId="6964119F">
      <w:pPr>
        <w:autoSpaceDE w:val="0"/>
        <w:autoSpaceDN w:val="0"/>
        <w:jc w:val="center"/>
        <w:rPr>
          <w:rFonts w:ascii="宋体" w:hAnsi="宋体" w:cs="宋体"/>
          <w:b/>
          <w:color w:val="auto"/>
          <w:spacing w:val="6"/>
          <w:sz w:val="32"/>
          <w:szCs w:val="32"/>
          <w:highlight w:val="none"/>
        </w:rPr>
      </w:pPr>
    </w:p>
    <w:p w14:paraId="2E2D49B3">
      <w:pPr>
        <w:autoSpaceDE w:val="0"/>
        <w:autoSpaceDN w:val="0"/>
        <w:jc w:val="center"/>
        <w:rPr>
          <w:rFonts w:ascii="宋体" w:hAnsi="宋体" w:cs="宋体"/>
          <w:b/>
          <w:color w:val="auto"/>
          <w:spacing w:val="6"/>
          <w:sz w:val="32"/>
          <w:szCs w:val="32"/>
          <w:highlight w:val="none"/>
        </w:rPr>
      </w:pPr>
    </w:p>
    <w:p w14:paraId="76286716">
      <w:pPr>
        <w:autoSpaceDE w:val="0"/>
        <w:autoSpaceDN w:val="0"/>
        <w:jc w:val="center"/>
        <w:rPr>
          <w:rFonts w:ascii="宋体" w:hAnsi="宋体" w:cs="宋体"/>
          <w:b/>
          <w:color w:val="auto"/>
          <w:spacing w:val="6"/>
          <w:sz w:val="32"/>
          <w:szCs w:val="32"/>
          <w:highlight w:val="none"/>
        </w:rPr>
      </w:pPr>
    </w:p>
    <w:p w14:paraId="4E9D9D77">
      <w:pPr>
        <w:autoSpaceDE w:val="0"/>
        <w:autoSpaceDN w:val="0"/>
        <w:jc w:val="center"/>
        <w:rPr>
          <w:rFonts w:ascii="宋体" w:hAnsi="宋体" w:cs="宋体"/>
          <w:b/>
          <w:color w:val="auto"/>
          <w:spacing w:val="6"/>
          <w:sz w:val="32"/>
          <w:szCs w:val="32"/>
          <w:highlight w:val="none"/>
        </w:rPr>
      </w:pPr>
    </w:p>
    <w:p w14:paraId="49853CC0">
      <w:pPr>
        <w:autoSpaceDE w:val="0"/>
        <w:autoSpaceDN w:val="0"/>
        <w:jc w:val="center"/>
        <w:rPr>
          <w:rFonts w:ascii="宋体" w:hAnsi="宋体" w:cs="宋体"/>
          <w:b/>
          <w:color w:val="auto"/>
          <w:spacing w:val="6"/>
          <w:sz w:val="32"/>
          <w:szCs w:val="32"/>
          <w:highlight w:val="none"/>
        </w:rPr>
      </w:pPr>
    </w:p>
    <w:p w14:paraId="1DB2D708">
      <w:pPr>
        <w:autoSpaceDE w:val="0"/>
        <w:autoSpaceDN w:val="0"/>
        <w:jc w:val="center"/>
        <w:rPr>
          <w:rFonts w:ascii="宋体" w:hAnsi="宋体" w:cs="宋体"/>
          <w:b/>
          <w:color w:val="auto"/>
          <w:spacing w:val="6"/>
          <w:sz w:val="32"/>
          <w:szCs w:val="32"/>
          <w:highlight w:val="none"/>
        </w:rPr>
      </w:pPr>
    </w:p>
    <w:p w14:paraId="071E4044">
      <w:pPr>
        <w:autoSpaceDE w:val="0"/>
        <w:autoSpaceDN w:val="0"/>
        <w:jc w:val="center"/>
        <w:rPr>
          <w:rFonts w:ascii="宋体" w:hAnsi="宋体" w:cs="宋体"/>
          <w:b/>
          <w:color w:val="auto"/>
          <w:spacing w:val="6"/>
          <w:sz w:val="32"/>
          <w:szCs w:val="32"/>
          <w:highlight w:val="none"/>
        </w:rPr>
      </w:pPr>
    </w:p>
    <w:p w14:paraId="1B54E784">
      <w:pPr>
        <w:autoSpaceDE w:val="0"/>
        <w:autoSpaceDN w:val="0"/>
        <w:jc w:val="center"/>
        <w:rPr>
          <w:rFonts w:ascii="宋体" w:hAnsi="宋体" w:cs="宋体"/>
          <w:b/>
          <w:color w:val="auto"/>
          <w:spacing w:val="6"/>
          <w:sz w:val="32"/>
          <w:szCs w:val="32"/>
          <w:highlight w:val="none"/>
        </w:rPr>
      </w:pPr>
    </w:p>
    <w:p w14:paraId="46945446">
      <w:pPr>
        <w:autoSpaceDE w:val="0"/>
        <w:autoSpaceDN w:val="0"/>
        <w:jc w:val="center"/>
        <w:rPr>
          <w:rFonts w:ascii="宋体" w:hAnsi="宋体" w:cs="宋体"/>
          <w:b/>
          <w:color w:val="auto"/>
          <w:spacing w:val="6"/>
          <w:sz w:val="32"/>
          <w:szCs w:val="32"/>
          <w:highlight w:val="none"/>
        </w:rPr>
      </w:pPr>
    </w:p>
    <w:p w14:paraId="2B88E9B0">
      <w:pPr>
        <w:autoSpaceDE w:val="0"/>
        <w:autoSpaceDN w:val="0"/>
        <w:jc w:val="center"/>
        <w:rPr>
          <w:rFonts w:ascii="宋体" w:hAnsi="宋体" w:cs="宋体"/>
          <w:b/>
          <w:color w:val="auto"/>
          <w:spacing w:val="6"/>
          <w:sz w:val="32"/>
          <w:szCs w:val="32"/>
          <w:highlight w:val="none"/>
        </w:rPr>
      </w:pPr>
    </w:p>
    <w:p w14:paraId="4A3E7E17">
      <w:pPr>
        <w:autoSpaceDE w:val="0"/>
        <w:autoSpaceDN w:val="0"/>
        <w:jc w:val="center"/>
        <w:rPr>
          <w:rFonts w:ascii="宋体" w:hAnsi="宋体" w:cs="宋体"/>
          <w:b/>
          <w:color w:val="auto"/>
          <w:spacing w:val="6"/>
          <w:sz w:val="32"/>
          <w:szCs w:val="32"/>
          <w:highlight w:val="none"/>
        </w:rPr>
      </w:pPr>
    </w:p>
    <w:p w14:paraId="0DA548C5">
      <w:pPr>
        <w:autoSpaceDE w:val="0"/>
        <w:autoSpaceDN w:val="0"/>
        <w:jc w:val="center"/>
        <w:rPr>
          <w:rFonts w:ascii="宋体" w:hAnsi="宋体" w:cs="宋体"/>
          <w:b/>
          <w:color w:val="auto"/>
          <w:spacing w:val="6"/>
          <w:sz w:val="32"/>
          <w:szCs w:val="32"/>
          <w:highlight w:val="none"/>
        </w:rPr>
      </w:pPr>
    </w:p>
    <w:p w14:paraId="62AF1BDA">
      <w:pPr>
        <w:autoSpaceDE w:val="0"/>
        <w:autoSpaceDN w:val="0"/>
        <w:jc w:val="center"/>
        <w:rPr>
          <w:rFonts w:ascii="宋体" w:hAnsi="宋体" w:cs="宋体"/>
          <w:b/>
          <w:color w:val="auto"/>
          <w:spacing w:val="6"/>
          <w:sz w:val="32"/>
          <w:szCs w:val="32"/>
          <w:highlight w:val="none"/>
        </w:rPr>
      </w:pPr>
    </w:p>
    <w:p w14:paraId="6D733DA4">
      <w:pPr>
        <w:autoSpaceDE w:val="0"/>
        <w:autoSpaceDN w:val="0"/>
        <w:jc w:val="center"/>
        <w:rPr>
          <w:rFonts w:ascii="宋体" w:hAnsi="宋体" w:cs="宋体"/>
          <w:b/>
          <w:color w:val="auto"/>
          <w:spacing w:val="6"/>
          <w:sz w:val="32"/>
          <w:szCs w:val="32"/>
          <w:highlight w:val="none"/>
        </w:rPr>
      </w:pPr>
    </w:p>
    <w:p w14:paraId="0D005440">
      <w:pPr>
        <w:autoSpaceDE w:val="0"/>
        <w:autoSpaceDN w:val="0"/>
        <w:jc w:val="center"/>
        <w:rPr>
          <w:rFonts w:ascii="宋体" w:hAnsi="宋体" w:cs="宋体"/>
          <w:b/>
          <w:color w:val="auto"/>
          <w:spacing w:val="6"/>
          <w:sz w:val="32"/>
          <w:szCs w:val="32"/>
          <w:highlight w:val="none"/>
        </w:rPr>
      </w:pPr>
    </w:p>
    <w:p w14:paraId="274B88B6">
      <w:pPr>
        <w:autoSpaceDE w:val="0"/>
        <w:autoSpaceDN w:val="0"/>
        <w:jc w:val="center"/>
        <w:rPr>
          <w:rFonts w:ascii="宋体" w:hAnsi="宋体" w:cs="宋体"/>
          <w:b/>
          <w:color w:val="auto"/>
          <w:spacing w:val="6"/>
          <w:sz w:val="32"/>
          <w:szCs w:val="32"/>
          <w:highlight w:val="none"/>
        </w:rPr>
      </w:pPr>
    </w:p>
    <w:p w14:paraId="7B0B5691">
      <w:pPr>
        <w:autoSpaceDE w:val="0"/>
        <w:autoSpaceDN w:val="0"/>
        <w:jc w:val="center"/>
        <w:rPr>
          <w:rFonts w:ascii="宋体" w:hAnsi="宋体" w:cs="宋体"/>
          <w:b/>
          <w:color w:val="auto"/>
          <w:spacing w:val="6"/>
          <w:sz w:val="32"/>
          <w:szCs w:val="32"/>
          <w:highlight w:val="none"/>
        </w:rPr>
      </w:pPr>
    </w:p>
    <w:p w14:paraId="22A242D7">
      <w:pPr>
        <w:autoSpaceDE w:val="0"/>
        <w:autoSpaceDN w:val="0"/>
        <w:jc w:val="center"/>
        <w:rPr>
          <w:rFonts w:ascii="宋体" w:hAnsi="宋体" w:cs="宋体"/>
          <w:b/>
          <w:color w:val="auto"/>
          <w:spacing w:val="6"/>
          <w:sz w:val="32"/>
          <w:szCs w:val="32"/>
          <w:highlight w:val="none"/>
        </w:rPr>
      </w:pPr>
    </w:p>
    <w:p w14:paraId="445A5A49">
      <w:pPr>
        <w:autoSpaceDE w:val="0"/>
        <w:autoSpaceDN w:val="0"/>
        <w:jc w:val="center"/>
        <w:rPr>
          <w:rFonts w:ascii="宋体" w:hAnsi="宋体" w:cs="宋体"/>
          <w:b/>
          <w:color w:val="auto"/>
          <w:spacing w:val="6"/>
          <w:sz w:val="32"/>
          <w:szCs w:val="32"/>
          <w:highlight w:val="none"/>
        </w:rPr>
      </w:pPr>
    </w:p>
    <w:p w14:paraId="597DC298">
      <w:pPr>
        <w:autoSpaceDE w:val="0"/>
        <w:autoSpaceDN w:val="0"/>
        <w:jc w:val="center"/>
        <w:rPr>
          <w:rFonts w:ascii="宋体" w:hAnsi="宋体" w:cs="宋体"/>
          <w:b/>
          <w:color w:val="auto"/>
          <w:spacing w:val="6"/>
          <w:sz w:val="32"/>
          <w:szCs w:val="32"/>
          <w:highlight w:val="none"/>
        </w:rPr>
      </w:pPr>
    </w:p>
    <w:p w14:paraId="48E4117E">
      <w:pPr>
        <w:autoSpaceDE w:val="0"/>
        <w:autoSpaceDN w:val="0"/>
        <w:jc w:val="center"/>
        <w:rPr>
          <w:rFonts w:ascii="宋体" w:hAnsi="宋体" w:cs="宋体"/>
          <w:b/>
          <w:color w:val="auto"/>
          <w:spacing w:val="6"/>
          <w:sz w:val="32"/>
          <w:szCs w:val="32"/>
          <w:highlight w:val="none"/>
        </w:rPr>
      </w:pPr>
    </w:p>
    <w:p w14:paraId="3BB8604A">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4A0765B">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27B42410">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（采购人）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2026年度一呼百应保安服务项目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w:t>
      </w:r>
      <w:r>
        <w:rPr>
          <w:rFonts w:hint="eastAsia" w:ascii="宋体" w:hAnsi="宋体" w:cs="宋体"/>
          <w:color w:val="auto"/>
          <w:sz w:val="24"/>
          <w:highlight w:val="none"/>
        </w:rPr>
        <w:t>服务全部由符合政策要求的中小企业承接</w:t>
      </w:r>
      <w:r>
        <w:rPr>
          <w:rFonts w:hint="eastAsia" w:ascii="宋体" w:hAnsi="宋体" w:cs="宋体"/>
          <w:color w:val="auto"/>
          <w:sz w:val="24"/>
          <w:highlight w:val="none"/>
        </w:rPr>
        <w:t>。相关企业（含联合体中的中小企业、签订分包意向协议的中小企业）的具体情况如下：</w:t>
      </w:r>
    </w:p>
    <w:p w14:paraId="4D45527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w:t>
      </w:r>
      <w:r>
        <w:rPr>
          <w:rFonts w:hint="eastAsia" w:ascii="宋体" w:hAnsi="宋体" w:cs="宋体"/>
          <w:color w:val="auto"/>
          <w:sz w:val="24"/>
          <w:highlight w:val="none"/>
        </w:rPr>
        <w:t>承接</w:t>
      </w:r>
      <w:r>
        <w:rPr>
          <w:rFonts w:hint="eastAsia" w:ascii="宋体" w:hAnsi="宋体" w:cs="宋体"/>
          <w:color w:val="auto"/>
          <w:sz w:val="24"/>
          <w:highlight w:val="none"/>
        </w:rPr>
        <w:t xml:space="preserve">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716407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w:t>
      </w:r>
      <w:r>
        <w:rPr>
          <w:rFonts w:hint="eastAsia" w:ascii="宋体" w:hAnsi="宋体" w:cs="宋体"/>
          <w:color w:val="auto"/>
          <w:sz w:val="24"/>
          <w:highlight w:val="none"/>
        </w:rPr>
        <w:t>承接</w:t>
      </w:r>
      <w:r>
        <w:rPr>
          <w:rFonts w:hint="eastAsia" w:ascii="宋体" w:hAnsi="宋体" w:cs="宋体"/>
          <w:color w:val="auto"/>
          <w:sz w:val="24"/>
          <w:highlight w:val="none"/>
        </w:rPr>
        <w:t xml:space="preserve">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2FE1867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03D57B8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2EC558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67B9F56">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1AE9D63D">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3847E1B4">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0F42E40D">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2C176280">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7A2D231E">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547FF60">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EE9F8F1">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55291C3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4E1F79D1">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D9356AD">
      <w:pPr>
        <w:snapToGrid w:val="0"/>
        <w:spacing w:before="0" w:line="360" w:lineRule="auto"/>
        <w:ind w:left="0"/>
        <w:outlineLvl w:val="0"/>
        <w:rPr>
          <w:rFonts w:hint="eastAsia" w:ascii="仿宋" w:hAnsi="仿宋" w:eastAsia="仿宋" w:cs="仿宋"/>
          <w:i w:val="0"/>
          <w:iCs w:val="0"/>
          <w:caps w:val="0"/>
          <w:color w:val="auto"/>
          <w:spacing w:val="0"/>
          <w:sz w:val="28"/>
          <w:szCs w:val="28"/>
          <w:highlight w:val="none"/>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44DA4309">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仿宋" w:hAnsi="仿宋" w:eastAsia="仿宋" w:cs="仿宋"/>
          <w:i w:val="0"/>
          <w:iCs w:val="0"/>
          <w:caps w:val="0"/>
          <w:color w:val="auto"/>
          <w:spacing w:val="0"/>
          <w:sz w:val="28"/>
          <w:szCs w:val="28"/>
          <w:highlight w:val="none"/>
        </w:rPr>
      </w:pPr>
      <w:r>
        <w:rPr>
          <w:rStyle w:val="70"/>
          <w:rFonts w:hint="eastAsia" w:ascii="仿宋" w:hAnsi="仿宋" w:eastAsia="仿宋" w:cs="仿宋"/>
          <w:i w:val="0"/>
          <w:iCs w:val="0"/>
          <w:caps w:val="0"/>
          <w:color w:val="auto"/>
          <w:spacing w:val="0"/>
          <w:sz w:val="36"/>
          <w:szCs w:val="36"/>
          <w:highlight w:val="none"/>
          <w:shd w:val="clear" w:fill="FFFFFF"/>
          <w:vertAlign w:val="baseline"/>
        </w:rPr>
        <w:t>关于符合本国产品标准的声明函</w:t>
      </w:r>
    </w:p>
    <w:p w14:paraId="6E212C5F">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2D88F23">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（产品名称1）1</w:t>
      </w:r>
      <w:r>
        <w:rPr>
          <w:rFonts w:hint="eastAsia" w:ascii="宋体" w:hAnsi="宋体" w:eastAsia="宋体" w:cs="宋体"/>
          <w:i w:val="0"/>
          <w:iCs w:val="0"/>
          <w:caps w:val="0"/>
          <w:color w:val="auto"/>
          <w:spacing w:val="0"/>
          <w:sz w:val="24"/>
          <w:szCs w:val="24"/>
          <w:highlight w:val="none"/>
          <w:shd w:val="clear" w:fill="FFFFFF"/>
          <w:vertAlign w:val="baseline"/>
        </w:rPr>
        <w:t>，生产厂为</w:t>
      </w:r>
      <w:r>
        <w:rPr>
          <w:rStyle w:val="74"/>
          <w:rFonts w:hint="eastAsia" w:ascii="宋体" w:hAnsi="宋体" w:eastAsia="宋体" w:cs="宋体"/>
          <w:i w:val="0"/>
          <w:iCs w:val="0"/>
          <w:caps w:val="0"/>
          <w:color w:val="auto"/>
          <w:spacing w:val="0"/>
          <w:sz w:val="24"/>
          <w:szCs w:val="24"/>
          <w:highlight w:val="none"/>
          <w:shd w:val="clear" w:fill="FFFFFF"/>
          <w:vertAlign w:val="baseline"/>
        </w:rPr>
        <w:t>（厂名）2</w:t>
      </w:r>
      <w:r>
        <w:rPr>
          <w:rFonts w:hint="eastAsia" w:ascii="宋体" w:hAnsi="宋体" w:eastAsia="宋体" w:cs="宋体"/>
          <w:i w:val="0"/>
          <w:iCs w:val="0"/>
          <w:caps w:val="0"/>
          <w:color w:val="auto"/>
          <w:spacing w:val="0"/>
          <w:sz w:val="24"/>
          <w:szCs w:val="24"/>
          <w:highlight w:val="none"/>
          <w:shd w:val="clear" w:fill="FFFFFF"/>
          <w:vertAlign w:val="baseline"/>
        </w:rPr>
        <w:t>，厂址为</w:t>
      </w:r>
      <w:r>
        <w:rPr>
          <w:rStyle w:val="74"/>
          <w:rFonts w:hint="eastAsia" w:ascii="宋体" w:hAnsi="宋体" w:eastAsia="宋体" w:cs="宋体"/>
          <w:i w:val="0"/>
          <w:iCs w:val="0"/>
          <w:caps w:val="0"/>
          <w:color w:val="auto"/>
          <w:spacing w:val="0"/>
          <w:sz w:val="24"/>
          <w:szCs w:val="24"/>
          <w:highlight w:val="none"/>
          <w:shd w:val="clear" w:fill="FFFFFF"/>
          <w:vertAlign w:val="baseline"/>
        </w:rPr>
        <w:t>（生产厂址）</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的中国境内生产的组件成本占比≥</w:t>
      </w:r>
      <w:r>
        <w:rPr>
          <w:rStyle w:val="74"/>
          <w:rFonts w:hint="eastAsia" w:ascii="宋体" w:hAnsi="宋体" w:eastAsia="宋体" w:cs="宋体"/>
          <w:i w:val="0"/>
          <w:iCs w:val="0"/>
          <w:caps w:val="0"/>
          <w:color w:val="auto"/>
          <w:spacing w:val="0"/>
          <w:sz w:val="24"/>
          <w:szCs w:val="24"/>
          <w:highlight w:val="none"/>
          <w:shd w:val="clear" w:fill="FFFFFF"/>
          <w:vertAlign w:val="baseline"/>
        </w:rPr>
        <w:t>（规定比例）3</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4"/>
          <w:rFonts w:hint="eastAsia" w:ascii="宋体" w:hAnsi="宋体" w:eastAsia="宋体" w:cs="宋体"/>
          <w:i w:val="0"/>
          <w:iCs w:val="0"/>
          <w:caps w:val="0"/>
          <w:color w:val="auto"/>
          <w:spacing w:val="0"/>
          <w:sz w:val="24"/>
          <w:szCs w:val="24"/>
          <w:highlight w:val="none"/>
          <w:shd w:val="clear" w:fill="FFFFFF"/>
          <w:vertAlign w:val="baseline"/>
        </w:rPr>
        <w:t>（关键组件）4</w:t>
      </w:r>
      <w:r>
        <w:rPr>
          <w:rFonts w:hint="eastAsia" w:ascii="宋体" w:hAnsi="宋体" w:eastAsia="宋体" w:cs="宋体"/>
          <w:i w:val="0"/>
          <w:iCs w:val="0"/>
          <w:caps w:val="0"/>
          <w:color w:val="auto"/>
          <w:spacing w:val="0"/>
          <w:sz w:val="24"/>
          <w:szCs w:val="24"/>
          <w:highlight w:val="none"/>
          <w:shd w:val="clear" w:fill="FFFFFF"/>
          <w:vertAlign w:val="baseline"/>
        </w:rPr>
        <w:t>在中国境内生产。</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4"/>
          <w:rFonts w:hint="eastAsia" w:ascii="宋体" w:hAnsi="宋体" w:eastAsia="宋体" w:cs="宋体"/>
          <w:i w:val="0"/>
          <w:iCs w:val="0"/>
          <w:caps w:val="0"/>
          <w:color w:val="auto"/>
          <w:spacing w:val="0"/>
          <w:sz w:val="24"/>
          <w:szCs w:val="24"/>
          <w:highlight w:val="none"/>
          <w:shd w:val="clear" w:fill="FFFFFF"/>
          <w:vertAlign w:val="baseline"/>
        </w:rPr>
        <w:t>（关键工序）5</w:t>
      </w:r>
      <w:r>
        <w:rPr>
          <w:rFonts w:hint="eastAsia" w:ascii="宋体" w:hAnsi="宋体" w:eastAsia="宋体" w:cs="宋体"/>
          <w:i w:val="0"/>
          <w:iCs w:val="0"/>
          <w:caps w:val="0"/>
          <w:color w:val="auto"/>
          <w:spacing w:val="0"/>
          <w:sz w:val="24"/>
          <w:szCs w:val="24"/>
          <w:highlight w:val="none"/>
          <w:shd w:val="clear" w:fill="FFFFFF"/>
          <w:vertAlign w:val="baseline"/>
        </w:rPr>
        <w:t>在中国境内完成。</w:t>
      </w:r>
    </w:p>
    <w:p w14:paraId="30EDCA36">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，生产厂为</w:t>
      </w:r>
      <w:r>
        <w:rPr>
          <w:rStyle w:val="74"/>
          <w:rFonts w:hint="eastAsia" w:ascii="宋体" w:hAnsi="宋体" w:eastAsia="宋体" w:cs="宋体"/>
          <w:i w:val="0"/>
          <w:iCs w:val="0"/>
          <w:caps w:val="0"/>
          <w:color w:val="auto"/>
          <w:spacing w:val="0"/>
          <w:sz w:val="24"/>
          <w:szCs w:val="24"/>
          <w:highlight w:val="none"/>
          <w:shd w:val="clear" w:fill="FFFFFF"/>
          <w:vertAlign w:val="baseline"/>
        </w:rPr>
        <w:t>（厂名）</w:t>
      </w:r>
      <w:r>
        <w:rPr>
          <w:rFonts w:hint="eastAsia" w:ascii="宋体" w:hAnsi="宋体" w:eastAsia="宋体" w:cs="宋体"/>
          <w:i w:val="0"/>
          <w:iCs w:val="0"/>
          <w:caps w:val="0"/>
          <w:color w:val="auto"/>
          <w:spacing w:val="0"/>
          <w:sz w:val="24"/>
          <w:szCs w:val="24"/>
          <w:highlight w:val="none"/>
          <w:shd w:val="clear" w:fill="FFFFFF"/>
          <w:vertAlign w:val="baseline"/>
        </w:rPr>
        <w:t>，厂址为</w:t>
      </w:r>
      <w:r>
        <w:rPr>
          <w:rStyle w:val="74"/>
          <w:rFonts w:hint="eastAsia" w:ascii="宋体" w:hAnsi="宋体" w:eastAsia="宋体" w:cs="宋体"/>
          <w:i w:val="0"/>
          <w:iCs w:val="0"/>
          <w:caps w:val="0"/>
          <w:color w:val="auto"/>
          <w:spacing w:val="0"/>
          <w:sz w:val="24"/>
          <w:szCs w:val="24"/>
          <w:highlight w:val="none"/>
          <w:shd w:val="clear" w:fill="FFFFFF"/>
          <w:vertAlign w:val="baseline"/>
        </w:rPr>
        <w:t>（生产厂址）</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的中国境内生产的组件成本占比≥</w:t>
      </w:r>
      <w:r>
        <w:rPr>
          <w:rStyle w:val="74"/>
          <w:rFonts w:hint="eastAsia" w:ascii="宋体" w:hAnsi="宋体" w:eastAsia="宋体" w:cs="宋体"/>
          <w:i w:val="0"/>
          <w:iCs w:val="0"/>
          <w:caps w:val="0"/>
          <w:color w:val="auto"/>
          <w:spacing w:val="0"/>
          <w:sz w:val="24"/>
          <w:szCs w:val="24"/>
          <w:highlight w:val="none"/>
          <w:shd w:val="clear" w:fill="FFFFFF"/>
          <w:vertAlign w:val="baseline"/>
        </w:rPr>
        <w:t>（规定比例）</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4"/>
          <w:rFonts w:hint="eastAsia" w:ascii="宋体" w:hAnsi="宋体" w:eastAsia="宋体" w:cs="宋体"/>
          <w:i w:val="0"/>
          <w:iCs w:val="0"/>
          <w:caps w:val="0"/>
          <w:color w:val="auto"/>
          <w:spacing w:val="0"/>
          <w:sz w:val="24"/>
          <w:szCs w:val="24"/>
          <w:highlight w:val="none"/>
          <w:shd w:val="clear" w:fill="FFFFFF"/>
          <w:vertAlign w:val="baseline"/>
        </w:rPr>
        <w:t>（关键组件）</w:t>
      </w:r>
      <w:r>
        <w:rPr>
          <w:rFonts w:hint="eastAsia" w:ascii="宋体" w:hAnsi="宋体" w:eastAsia="宋体" w:cs="宋体"/>
          <w:i w:val="0"/>
          <w:iCs w:val="0"/>
          <w:caps w:val="0"/>
          <w:color w:val="auto"/>
          <w:spacing w:val="0"/>
          <w:sz w:val="24"/>
          <w:szCs w:val="24"/>
          <w:highlight w:val="none"/>
          <w:shd w:val="clear" w:fill="FFFFFF"/>
          <w:vertAlign w:val="baseline"/>
        </w:rPr>
        <w:t>在中国境内生产。</w:t>
      </w:r>
      <w:r>
        <w:rPr>
          <w:rStyle w:val="74"/>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4"/>
          <w:rFonts w:hint="eastAsia" w:ascii="宋体" w:hAnsi="宋体" w:eastAsia="宋体" w:cs="宋体"/>
          <w:i w:val="0"/>
          <w:iCs w:val="0"/>
          <w:caps w:val="0"/>
          <w:color w:val="auto"/>
          <w:spacing w:val="0"/>
          <w:sz w:val="24"/>
          <w:szCs w:val="24"/>
          <w:highlight w:val="none"/>
          <w:shd w:val="clear" w:fill="FFFFFF"/>
          <w:vertAlign w:val="baseline"/>
        </w:rPr>
        <w:t>（关键工序）</w:t>
      </w:r>
      <w:r>
        <w:rPr>
          <w:rFonts w:hint="eastAsia" w:ascii="宋体" w:hAnsi="宋体" w:eastAsia="宋体" w:cs="宋体"/>
          <w:i w:val="0"/>
          <w:iCs w:val="0"/>
          <w:caps w:val="0"/>
          <w:color w:val="auto"/>
          <w:spacing w:val="0"/>
          <w:sz w:val="24"/>
          <w:szCs w:val="24"/>
          <w:highlight w:val="none"/>
          <w:shd w:val="clear" w:fill="FFFFFF"/>
          <w:vertAlign w:val="baseline"/>
        </w:rPr>
        <w:t>在中国境内完成。</w:t>
      </w:r>
    </w:p>
    <w:p w14:paraId="0BEF9DE3">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w:t>
      </w:r>
    </w:p>
    <w:p w14:paraId="76243E52">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本公司（单位）对上述声明内容的真实性负责。如有虚假，愿承担相应法律责任。</w:t>
      </w:r>
    </w:p>
    <w:p w14:paraId="5258569C">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 </w:t>
      </w:r>
    </w:p>
    <w:p w14:paraId="6BD68B1C">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公司（单位）名称（盖章）：　        </w:t>
      </w:r>
    </w:p>
    <w:p w14:paraId="2A370220">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日期：　     年　  月　  日         </w:t>
      </w:r>
    </w:p>
    <w:p w14:paraId="0DACD908">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__________________</w:t>
      </w:r>
    </w:p>
    <w:p w14:paraId="49C9062A">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1.产品如有型号，请在“产品名称”栏一并填写。</w:t>
      </w:r>
    </w:p>
    <w:p w14:paraId="3698C3D7">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2.生产厂名与厂址应与生产厂营业执照载明的相关信息保持一致。</w:t>
      </w:r>
    </w:p>
    <w:p w14:paraId="23D78465">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3.该产品的中国境内生产的组件成本占比相关要求实施前，“规定比例”栏可不填，下同。</w:t>
      </w:r>
    </w:p>
    <w:p w14:paraId="0E96D355">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4.该产品的关键组件要求实施前，“关键组件”栏可不填，下同。</w:t>
      </w:r>
    </w:p>
    <w:p w14:paraId="2CB5019A">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1"/>
          <w:szCs w:val="21"/>
          <w:highlight w:val="none"/>
        </w:rPr>
      </w:pPr>
      <w:r>
        <w:rPr>
          <w:rFonts w:hint="eastAsia" w:ascii="宋体" w:hAnsi="宋体" w:eastAsia="宋体" w:cs="宋体"/>
          <w:i w:val="0"/>
          <w:iCs w:val="0"/>
          <w:caps w:val="0"/>
          <w:color w:val="auto"/>
          <w:spacing w:val="0"/>
          <w:sz w:val="24"/>
          <w:szCs w:val="24"/>
          <w:highlight w:val="none"/>
          <w:shd w:val="clear" w:fill="FFFFFF"/>
          <w:vertAlign w:val="baseline"/>
        </w:rPr>
        <w:t>5.该产品的关键工序要求实施前，“关键工序”栏可不填，下同。</w:t>
      </w:r>
    </w:p>
    <w:p w14:paraId="4E4E9233">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AMGDT"/>
    <w:panose1 w:val="00000000000000000000"/>
    <w:charset w:val="00"/>
    <w:family w:val="auto"/>
    <w:pitch w:val="default"/>
    <w:sig w:usb0="00000000" w:usb1="00000000" w:usb2="00000000" w:usb3="00000000" w:csb0="0000009F" w:csb1="00000000"/>
  </w:font>
  <w:font w:name="AMGDT">
    <w:panose1 w:val="02000400000000000000"/>
    <w:charset w:val="00"/>
    <w:family w:val="auto"/>
    <w:pitch w:val="default"/>
    <w:sig w:usb0="80000003" w:usb1="1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MGD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504020202030204"/>
    <w:charset w:val="00"/>
    <w:family w:val="swiss"/>
    <w:pitch w:val="default"/>
    <w:sig w:usb0="00000007" w:usb1="00000000" w:usb2="00000000" w:usb3="00000000" w:csb0="00000093"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MGD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AMGDT"/>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MingLiU">
    <w:altName w:val="PMingLiU-ExtB"/>
    <w:panose1 w:val="02020509000000000000"/>
    <w:charset w:val="88"/>
    <w:family w:val="decorative"/>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814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0F3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9935">
    <w:pPr>
      <w:pStyle w:val="39"/>
      <w:framePr w:wrap="around" w:vAnchor="text" w:hAnchor="margin" w:xAlign="right" w:y="1"/>
      <w:rPr>
        <w:rStyle w:val="72"/>
      </w:rPr>
    </w:pPr>
    <w:r>
      <w:fldChar w:fldCharType="begin"/>
    </w:r>
    <w:r>
      <w:rPr>
        <w:rStyle w:val="72"/>
      </w:rPr>
      <w:instrText xml:space="preserve">PAGE  </w:instrText>
    </w:r>
    <w:r>
      <w:fldChar w:fldCharType="end"/>
    </w:r>
  </w:p>
  <w:p w14:paraId="65FCE441">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0F7F">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03" w:name="_Toc91899912"/>
    <w:bookmarkStart w:id="504" w:name="_Toc164085800"/>
    <w:bookmarkStart w:id="505" w:name="_Toc131845147"/>
    <w:bookmarkStart w:id="506" w:name="_Toc36110187"/>
    <w:r>
      <w:rPr>
        <w:rFonts w:hint="eastAsia" w:ascii="仿宋_GB2312" w:eastAsia="仿宋_GB2312"/>
        <w:kern w:val="0"/>
        <w:szCs w:val="21"/>
      </w:rPr>
      <w:t xml:space="preserve"> 页</w:t>
    </w:r>
    <w:bookmarkEnd w:id="503"/>
    <w:bookmarkEnd w:id="504"/>
    <w:bookmarkEnd w:id="505"/>
    <w:bookmarkEnd w:id="50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778F">
    <w:pPr>
      <w:pStyle w:val="39"/>
      <w:framePr w:wrap="around" w:vAnchor="text" w:hAnchor="margin" w:xAlign="right" w:y="1"/>
      <w:rPr>
        <w:rStyle w:val="72"/>
      </w:rPr>
    </w:pPr>
    <w:r>
      <w:fldChar w:fldCharType="begin"/>
    </w:r>
    <w:r>
      <w:rPr>
        <w:rStyle w:val="72"/>
      </w:rPr>
      <w:instrText xml:space="preserve">PAGE  </w:instrText>
    </w:r>
    <w:r>
      <w:fldChar w:fldCharType="end"/>
    </w:r>
  </w:p>
  <w:p w14:paraId="7AC1F358">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D29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5A9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744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2B6C55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70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6DC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7E5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CAD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0ED2">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7D01C">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6F62">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D9B8">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2D8F">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CAA3">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99C">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6888">
    <w:pPr>
      <w:pStyle w:val="40"/>
      <w:jc w:val="right"/>
      <w:rPr>
        <w:rFonts w:ascii="仿宋_GB2312" w:eastAsia="仿宋_GB2312"/>
        <w:b/>
        <w:i/>
        <w:u w:val="single"/>
      </w:rPr>
    </w:pPr>
    <w:r>
      <w:rPr>
        <w:rFonts w:hint="eastAsia"/>
      </w:rPr>
      <w:t xml:space="preserve">                                  </w:t>
    </w:r>
    <w:r>
      <w:t>杭州市政府采购公开招标文件</w:t>
    </w:r>
  </w:p>
  <w:p w14:paraId="4B50F35A">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D99A">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F3AE">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6FBCC2AF"/>
    <w:multiLevelType w:val="singleLevel"/>
    <w:tmpl w:val="6FBCC2AF"/>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50B"/>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93"/>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7EE"/>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472DF8"/>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6A07805"/>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047323"/>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3D87533"/>
    <w:rsid w:val="13DF3855"/>
    <w:rsid w:val="141008D8"/>
    <w:rsid w:val="14125FE6"/>
    <w:rsid w:val="142E39D1"/>
    <w:rsid w:val="146D271E"/>
    <w:rsid w:val="14982588"/>
    <w:rsid w:val="149A5AD9"/>
    <w:rsid w:val="14A7619D"/>
    <w:rsid w:val="14BA7E1E"/>
    <w:rsid w:val="14D51BE0"/>
    <w:rsid w:val="150536C3"/>
    <w:rsid w:val="150C1963"/>
    <w:rsid w:val="151447A0"/>
    <w:rsid w:val="1519410B"/>
    <w:rsid w:val="1525173B"/>
    <w:rsid w:val="152E4A94"/>
    <w:rsid w:val="154A6454"/>
    <w:rsid w:val="15762120"/>
    <w:rsid w:val="16612C47"/>
    <w:rsid w:val="16701161"/>
    <w:rsid w:val="16A50D43"/>
    <w:rsid w:val="16A8729C"/>
    <w:rsid w:val="16B33777"/>
    <w:rsid w:val="16BC70A7"/>
    <w:rsid w:val="16C31696"/>
    <w:rsid w:val="16C6339E"/>
    <w:rsid w:val="172F2D79"/>
    <w:rsid w:val="17557BEF"/>
    <w:rsid w:val="17D349C1"/>
    <w:rsid w:val="17E63F73"/>
    <w:rsid w:val="182A3B37"/>
    <w:rsid w:val="1830729E"/>
    <w:rsid w:val="18465121"/>
    <w:rsid w:val="1870062C"/>
    <w:rsid w:val="18817102"/>
    <w:rsid w:val="18830A15"/>
    <w:rsid w:val="18852B28"/>
    <w:rsid w:val="188B5321"/>
    <w:rsid w:val="188D5B8B"/>
    <w:rsid w:val="18B40001"/>
    <w:rsid w:val="198F7200"/>
    <w:rsid w:val="19932372"/>
    <w:rsid w:val="19A20DD5"/>
    <w:rsid w:val="19A8293B"/>
    <w:rsid w:val="19AE03F1"/>
    <w:rsid w:val="19FB7168"/>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4052A"/>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3E295C"/>
    <w:rsid w:val="204E48BC"/>
    <w:rsid w:val="207737BF"/>
    <w:rsid w:val="208921B3"/>
    <w:rsid w:val="20973DEB"/>
    <w:rsid w:val="20B26522"/>
    <w:rsid w:val="20B44310"/>
    <w:rsid w:val="21021A7E"/>
    <w:rsid w:val="211116EB"/>
    <w:rsid w:val="216133FC"/>
    <w:rsid w:val="218E5D56"/>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ED5B1A"/>
    <w:rsid w:val="23FD0064"/>
    <w:rsid w:val="24110028"/>
    <w:rsid w:val="245375B0"/>
    <w:rsid w:val="24642C0A"/>
    <w:rsid w:val="24B22173"/>
    <w:rsid w:val="24B95AD9"/>
    <w:rsid w:val="24BE24DA"/>
    <w:rsid w:val="24CF5825"/>
    <w:rsid w:val="24D663E6"/>
    <w:rsid w:val="24D77F2B"/>
    <w:rsid w:val="250D55B1"/>
    <w:rsid w:val="258B00E2"/>
    <w:rsid w:val="25A917A6"/>
    <w:rsid w:val="25BE27CC"/>
    <w:rsid w:val="25F74A5C"/>
    <w:rsid w:val="26216C89"/>
    <w:rsid w:val="2628662C"/>
    <w:rsid w:val="262D45DE"/>
    <w:rsid w:val="26777E78"/>
    <w:rsid w:val="26871DC8"/>
    <w:rsid w:val="26A53EF9"/>
    <w:rsid w:val="26A94201"/>
    <w:rsid w:val="26AC274F"/>
    <w:rsid w:val="27044A29"/>
    <w:rsid w:val="271D34C8"/>
    <w:rsid w:val="273852FE"/>
    <w:rsid w:val="276142BF"/>
    <w:rsid w:val="27783712"/>
    <w:rsid w:val="27907362"/>
    <w:rsid w:val="28333E1D"/>
    <w:rsid w:val="28454BD6"/>
    <w:rsid w:val="28455253"/>
    <w:rsid w:val="28551971"/>
    <w:rsid w:val="285B1C53"/>
    <w:rsid w:val="289F7086"/>
    <w:rsid w:val="28B64CF2"/>
    <w:rsid w:val="28C32028"/>
    <w:rsid w:val="28CC490F"/>
    <w:rsid w:val="28CD3510"/>
    <w:rsid w:val="28DE40AA"/>
    <w:rsid w:val="29345E77"/>
    <w:rsid w:val="294C65AD"/>
    <w:rsid w:val="29806583"/>
    <w:rsid w:val="298B3C4C"/>
    <w:rsid w:val="29F26D24"/>
    <w:rsid w:val="2A15033F"/>
    <w:rsid w:val="2A1662C1"/>
    <w:rsid w:val="2A1C7367"/>
    <w:rsid w:val="2A2815FA"/>
    <w:rsid w:val="2A6D6092"/>
    <w:rsid w:val="2A7D76B4"/>
    <w:rsid w:val="2B0F334D"/>
    <w:rsid w:val="2B437463"/>
    <w:rsid w:val="2B6D12EE"/>
    <w:rsid w:val="2B7807EE"/>
    <w:rsid w:val="2BA50BF7"/>
    <w:rsid w:val="2BBF00EC"/>
    <w:rsid w:val="2BC37CFD"/>
    <w:rsid w:val="2BD5237F"/>
    <w:rsid w:val="2BE536CE"/>
    <w:rsid w:val="2BE758D9"/>
    <w:rsid w:val="2C09049E"/>
    <w:rsid w:val="2C0A653C"/>
    <w:rsid w:val="2C191F85"/>
    <w:rsid w:val="2C6208C4"/>
    <w:rsid w:val="2CE82D6F"/>
    <w:rsid w:val="2CF241A1"/>
    <w:rsid w:val="2D343236"/>
    <w:rsid w:val="2DD15014"/>
    <w:rsid w:val="2DF72DE4"/>
    <w:rsid w:val="2E0031DA"/>
    <w:rsid w:val="2E0220AF"/>
    <w:rsid w:val="2E4B082A"/>
    <w:rsid w:val="2E5D1AEE"/>
    <w:rsid w:val="2E5D4E86"/>
    <w:rsid w:val="2E5D790B"/>
    <w:rsid w:val="2E6F4DE5"/>
    <w:rsid w:val="2E9A3C18"/>
    <w:rsid w:val="2EBB0FEE"/>
    <w:rsid w:val="2EC63002"/>
    <w:rsid w:val="2F0A6B38"/>
    <w:rsid w:val="2F946CCB"/>
    <w:rsid w:val="2FD25781"/>
    <w:rsid w:val="2FDC745C"/>
    <w:rsid w:val="2FFD7934"/>
    <w:rsid w:val="306732B1"/>
    <w:rsid w:val="30733ACD"/>
    <w:rsid w:val="308C3862"/>
    <w:rsid w:val="309379D8"/>
    <w:rsid w:val="30A270F7"/>
    <w:rsid w:val="30DF1478"/>
    <w:rsid w:val="30EC586F"/>
    <w:rsid w:val="310F031E"/>
    <w:rsid w:val="319C6071"/>
    <w:rsid w:val="31AC537E"/>
    <w:rsid w:val="31E3679B"/>
    <w:rsid w:val="31E732FD"/>
    <w:rsid w:val="31F52DDF"/>
    <w:rsid w:val="32517576"/>
    <w:rsid w:val="328B582A"/>
    <w:rsid w:val="32BE5C2C"/>
    <w:rsid w:val="32FB6478"/>
    <w:rsid w:val="33263B3F"/>
    <w:rsid w:val="33587748"/>
    <w:rsid w:val="336963EB"/>
    <w:rsid w:val="33816EEB"/>
    <w:rsid w:val="33EB55CD"/>
    <w:rsid w:val="33EC4C02"/>
    <w:rsid w:val="340D2360"/>
    <w:rsid w:val="3410665D"/>
    <w:rsid w:val="34211214"/>
    <w:rsid w:val="342E63AB"/>
    <w:rsid w:val="34566108"/>
    <w:rsid w:val="34950E68"/>
    <w:rsid w:val="34986E94"/>
    <w:rsid w:val="34AF62C9"/>
    <w:rsid w:val="34CB4388"/>
    <w:rsid w:val="34FA6E12"/>
    <w:rsid w:val="354D7158"/>
    <w:rsid w:val="358D5588"/>
    <w:rsid w:val="359009FB"/>
    <w:rsid w:val="363A3B40"/>
    <w:rsid w:val="364A002F"/>
    <w:rsid w:val="365302AE"/>
    <w:rsid w:val="36607A0A"/>
    <w:rsid w:val="366E227C"/>
    <w:rsid w:val="366F2E0D"/>
    <w:rsid w:val="3674665B"/>
    <w:rsid w:val="367B6A5C"/>
    <w:rsid w:val="36846564"/>
    <w:rsid w:val="368D09BB"/>
    <w:rsid w:val="36A74ADA"/>
    <w:rsid w:val="36AD60D5"/>
    <w:rsid w:val="36B224F9"/>
    <w:rsid w:val="36EC0CC9"/>
    <w:rsid w:val="37267CA4"/>
    <w:rsid w:val="373F410B"/>
    <w:rsid w:val="375B0AC3"/>
    <w:rsid w:val="379E599E"/>
    <w:rsid w:val="37EE7094"/>
    <w:rsid w:val="38296C89"/>
    <w:rsid w:val="383002EB"/>
    <w:rsid w:val="38586797"/>
    <w:rsid w:val="387F735C"/>
    <w:rsid w:val="38BC0149"/>
    <w:rsid w:val="38D87D1C"/>
    <w:rsid w:val="393B4615"/>
    <w:rsid w:val="39463BE4"/>
    <w:rsid w:val="39636459"/>
    <w:rsid w:val="396B7F6C"/>
    <w:rsid w:val="39B417A9"/>
    <w:rsid w:val="39FC5695"/>
    <w:rsid w:val="3A006D8E"/>
    <w:rsid w:val="3A3651E5"/>
    <w:rsid w:val="3A744481"/>
    <w:rsid w:val="3A8C7BEF"/>
    <w:rsid w:val="3A906246"/>
    <w:rsid w:val="3ADA5124"/>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3FB8126D"/>
    <w:rsid w:val="4019356B"/>
    <w:rsid w:val="40266311"/>
    <w:rsid w:val="40592157"/>
    <w:rsid w:val="405E2028"/>
    <w:rsid w:val="406E1CAE"/>
    <w:rsid w:val="408E0F77"/>
    <w:rsid w:val="40A0133A"/>
    <w:rsid w:val="40C31A53"/>
    <w:rsid w:val="40DE4DE3"/>
    <w:rsid w:val="40F5154D"/>
    <w:rsid w:val="40FF545D"/>
    <w:rsid w:val="410067C8"/>
    <w:rsid w:val="418F0D2A"/>
    <w:rsid w:val="41911D83"/>
    <w:rsid w:val="41D01505"/>
    <w:rsid w:val="42474939"/>
    <w:rsid w:val="424C3C57"/>
    <w:rsid w:val="42613FF3"/>
    <w:rsid w:val="42660D96"/>
    <w:rsid w:val="428667D2"/>
    <w:rsid w:val="42AE38A9"/>
    <w:rsid w:val="42CD1CE0"/>
    <w:rsid w:val="42DD54B7"/>
    <w:rsid w:val="42E1381E"/>
    <w:rsid w:val="42ED6459"/>
    <w:rsid w:val="42FE58DD"/>
    <w:rsid w:val="43041134"/>
    <w:rsid w:val="43174B3D"/>
    <w:rsid w:val="434B790E"/>
    <w:rsid w:val="435621A5"/>
    <w:rsid w:val="4360274F"/>
    <w:rsid w:val="43977AB6"/>
    <w:rsid w:val="43A3342B"/>
    <w:rsid w:val="43C77C27"/>
    <w:rsid w:val="43DE09EE"/>
    <w:rsid w:val="44002FAD"/>
    <w:rsid w:val="446300D3"/>
    <w:rsid w:val="44635426"/>
    <w:rsid w:val="449101DD"/>
    <w:rsid w:val="44B45CB7"/>
    <w:rsid w:val="44C85ABB"/>
    <w:rsid w:val="44DE1391"/>
    <w:rsid w:val="451B225C"/>
    <w:rsid w:val="452410C9"/>
    <w:rsid w:val="45317DFB"/>
    <w:rsid w:val="456D3CE4"/>
    <w:rsid w:val="4579042C"/>
    <w:rsid w:val="457F0571"/>
    <w:rsid w:val="45851176"/>
    <w:rsid w:val="459536FB"/>
    <w:rsid w:val="459D3A70"/>
    <w:rsid w:val="45C63B94"/>
    <w:rsid w:val="460E7DA5"/>
    <w:rsid w:val="46422483"/>
    <w:rsid w:val="46584C1D"/>
    <w:rsid w:val="4659254A"/>
    <w:rsid w:val="465B0637"/>
    <w:rsid w:val="465E3F0D"/>
    <w:rsid w:val="466A16E6"/>
    <w:rsid w:val="46893F2B"/>
    <w:rsid w:val="46C4686E"/>
    <w:rsid w:val="47023A54"/>
    <w:rsid w:val="477B778F"/>
    <w:rsid w:val="478203EC"/>
    <w:rsid w:val="47870957"/>
    <w:rsid w:val="47B025FA"/>
    <w:rsid w:val="47CC58C3"/>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BF10AC"/>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DF06083"/>
    <w:rsid w:val="4E793892"/>
    <w:rsid w:val="4E800872"/>
    <w:rsid w:val="4EC569ED"/>
    <w:rsid w:val="4ED50EA1"/>
    <w:rsid w:val="4EEC050C"/>
    <w:rsid w:val="4F104EC3"/>
    <w:rsid w:val="4F3C5616"/>
    <w:rsid w:val="4F47354A"/>
    <w:rsid w:val="4F911C54"/>
    <w:rsid w:val="4FE625E0"/>
    <w:rsid w:val="5021480F"/>
    <w:rsid w:val="509176A9"/>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49251A"/>
    <w:rsid w:val="52615633"/>
    <w:rsid w:val="526F4DE4"/>
    <w:rsid w:val="52977FD4"/>
    <w:rsid w:val="52A25790"/>
    <w:rsid w:val="52A96B6F"/>
    <w:rsid w:val="52B45975"/>
    <w:rsid w:val="52D94AA4"/>
    <w:rsid w:val="52EA3A62"/>
    <w:rsid w:val="52F50BB8"/>
    <w:rsid w:val="5303646B"/>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C16B84"/>
    <w:rsid w:val="55DC29B6"/>
    <w:rsid w:val="55DD4241"/>
    <w:rsid w:val="55F54236"/>
    <w:rsid w:val="566B6D1E"/>
    <w:rsid w:val="56917403"/>
    <w:rsid w:val="56B55B83"/>
    <w:rsid w:val="57032A2C"/>
    <w:rsid w:val="570F5219"/>
    <w:rsid w:val="574C3C50"/>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AE77D6"/>
    <w:rsid w:val="5AAF52D3"/>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397415"/>
    <w:rsid w:val="607330CE"/>
    <w:rsid w:val="60825176"/>
    <w:rsid w:val="609F2AC4"/>
    <w:rsid w:val="60FA2EE8"/>
    <w:rsid w:val="61016185"/>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A84B6A"/>
    <w:rsid w:val="64C158BF"/>
    <w:rsid w:val="64CE2EAA"/>
    <w:rsid w:val="653C3090"/>
    <w:rsid w:val="657B5DD8"/>
    <w:rsid w:val="65854376"/>
    <w:rsid w:val="658767BE"/>
    <w:rsid w:val="65892531"/>
    <w:rsid w:val="658D79C4"/>
    <w:rsid w:val="66195831"/>
    <w:rsid w:val="661C2CA5"/>
    <w:rsid w:val="662E75B1"/>
    <w:rsid w:val="66342C2E"/>
    <w:rsid w:val="663E784C"/>
    <w:rsid w:val="668B6A45"/>
    <w:rsid w:val="66BB5028"/>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8F32BC0"/>
    <w:rsid w:val="693E15D3"/>
    <w:rsid w:val="695B4640"/>
    <w:rsid w:val="69627681"/>
    <w:rsid w:val="6977531D"/>
    <w:rsid w:val="69CC2BFF"/>
    <w:rsid w:val="69FD55B8"/>
    <w:rsid w:val="6A0B1C62"/>
    <w:rsid w:val="6A2406C8"/>
    <w:rsid w:val="6AB75B07"/>
    <w:rsid w:val="6ADE0BD1"/>
    <w:rsid w:val="6AE96859"/>
    <w:rsid w:val="6AEC1C54"/>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602485"/>
    <w:rsid w:val="6D7952F5"/>
    <w:rsid w:val="6D9078AF"/>
    <w:rsid w:val="6DAA3FEF"/>
    <w:rsid w:val="6DC0172B"/>
    <w:rsid w:val="6DCB690C"/>
    <w:rsid w:val="6DD41A5B"/>
    <w:rsid w:val="6DE11A7D"/>
    <w:rsid w:val="6DF43C2E"/>
    <w:rsid w:val="6DF51CA3"/>
    <w:rsid w:val="6E8335BD"/>
    <w:rsid w:val="6E8E12EF"/>
    <w:rsid w:val="6E972936"/>
    <w:rsid w:val="6ED446C5"/>
    <w:rsid w:val="6F2502A8"/>
    <w:rsid w:val="6F2A7D94"/>
    <w:rsid w:val="6F8331F1"/>
    <w:rsid w:val="6FAE1A09"/>
    <w:rsid w:val="6FB86358"/>
    <w:rsid w:val="6FD75BF8"/>
    <w:rsid w:val="707723D0"/>
    <w:rsid w:val="707D6A8A"/>
    <w:rsid w:val="70853933"/>
    <w:rsid w:val="70F5661B"/>
    <w:rsid w:val="71360107"/>
    <w:rsid w:val="713B688E"/>
    <w:rsid w:val="713E488C"/>
    <w:rsid w:val="719077DA"/>
    <w:rsid w:val="71D43752"/>
    <w:rsid w:val="71F1796A"/>
    <w:rsid w:val="72154626"/>
    <w:rsid w:val="72262B5D"/>
    <w:rsid w:val="72283FF7"/>
    <w:rsid w:val="722E7212"/>
    <w:rsid w:val="723A0474"/>
    <w:rsid w:val="725923E4"/>
    <w:rsid w:val="726E5CBB"/>
    <w:rsid w:val="727C782E"/>
    <w:rsid w:val="72864BF7"/>
    <w:rsid w:val="729023FC"/>
    <w:rsid w:val="7324062E"/>
    <w:rsid w:val="7362065C"/>
    <w:rsid w:val="737C78ED"/>
    <w:rsid w:val="73C0646E"/>
    <w:rsid w:val="742222F5"/>
    <w:rsid w:val="744040C3"/>
    <w:rsid w:val="74476126"/>
    <w:rsid w:val="74706664"/>
    <w:rsid w:val="747F3682"/>
    <w:rsid w:val="749C4185"/>
    <w:rsid w:val="74CC6652"/>
    <w:rsid w:val="74EB7541"/>
    <w:rsid w:val="75067759"/>
    <w:rsid w:val="75124CD6"/>
    <w:rsid w:val="752E6DCD"/>
    <w:rsid w:val="7551380D"/>
    <w:rsid w:val="75600BE5"/>
    <w:rsid w:val="7564475C"/>
    <w:rsid w:val="7583797F"/>
    <w:rsid w:val="759D3E47"/>
    <w:rsid w:val="75D20F1D"/>
    <w:rsid w:val="75DA2C18"/>
    <w:rsid w:val="75F54412"/>
    <w:rsid w:val="761D08E0"/>
    <w:rsid w:val="763E532E"/>
    <w:rsid w:val="765D347C"/>
    <w:rsid w:val="76826699"/>
    <w:rsid w:val="76C87133"/>
    <w:rsid w:val="76CD08D5"/>
    <w:rsid w:val="76DB4B92"/>
    <w:rsid w:val="77052AA4"/>
    <w:rsid w:val="77136511"/>
    <w:rsid w:val="77184757"/>
    <w:rsid w:val="77340A39"/>
    <w:rsid w:val="77351FD0"/>
    <w:rsid w:val="77472422"/>
    <w:rsid w:val="777F31F2"/>
    <w:rsid w:val="77CC6D4D"/>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0E5017"/>
    <w:rsid w:val="7A1D1975"/>
    <w:rsid w:val="7A37456E"/>
    <w:rsid w:val="7A3E5150"/>
    <w:rsid w:val="7A4670D6"/>
    <w:rsid w:val="7A534B63"/>
    <w:rsid w:val="7A5C26D2"/>
    <w:rsid w:val="7A615382"/>
    <w:rsid w:val="7A67303B"/>
    <w:rsid w:val="7A7B7AB9"/>
    <w:rsid w:val="7AAB1D04"/>
    <w:rsid w:val="7ABA4368"/>
    <w:rsid w:val="7AD05746"/>
    <w:rsid w:val="7B257FFD"/>
    <w:rsid w:val="7B275619"/>
    <w:rsid w:val="7B343476"/>
    <w:rsid w:val="7B5A2978"/>
    <w:rsid w:val="7B5A7E4C"/>
    <w:rsid w:val="7B667AF9"/>
    <w:rsid w:val="7B7468F8"/>
    <w:rsid w:val="7BEE0103"/>
    <w:rsid w:val="7C0A0FE4"/>
    <w:rsid w:val="7C254906"/>
    <w:rsid w:val="7C590818"/>
    <w:rsid w:val="7C6453C2"/>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9DF00C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8"/>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9"/>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Body text|1"/>
    <w:basedOn w:val="1"/>
    <w:qFormat/>
    <w:uiPriority w:val="0"/>
    <w:pPr>
      <w:spacing w:line="329" w:lineRule="auto"/>
      <w:ind w:firstLine="400"/>
    </w:pPr>
    <w:rPr>
      <w:rFonts w:ascii="MingLiU" w:hAnsi="MingLiU" w:eastAsia="MingLiU" w:cs="MingLiU"/>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6156</Words>
  <Characters>6717</Characters>
  <Lines>282</Lines>
  <Paragraphs>79</Paragraphs>
  <TotalTime>24</TotalTime>
  <ScaleCrop>false</ScaleCrop>
  <LinksUpToDate>false</LinksUpToDate>
  <CharactersWithSpaces>7054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ZLH</cp:lastModifiedBy>
  <cp:lastPrinted>2021-12-28T03:06:00Z</cp:lastPrinted>
  <dcterms:modified xsi:type="dcterms:W3CDTF">2026-03-30T07:38:48Z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58F1E73674E8E4360B76AF694A764146</vt:lpwstr>
  </property>
  <property fmtid="{D5CDD505-2E9C-101B-9397-08002B2CF9AE}" pid="5" name="KSOTemplateDocerSaveRecord">
    <vt:lpwstr>eyJoZGlkIjoiMWFmZThjNGE5ODM1NWRlZmIwYTgzZDdmZjg2NTFmZTIiLCJ1c2VySWQiOiIzNzE2MDY4MDQifQ==</vt:lpwstr>
  </property>
</Properties>
</file>