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EB8D843">
      <w:pPr>
        <w:spacing w:line="360" w:lineRule="auto"/>
        <w:ind w:firstLine="160" w:firstLineChars="50"/>
        <w:rPr>
          <w:rFonts w:ascii="CESI黑体-GB2312" w:hAnsi="CESI黑体-GB2312" w:eastAsia="CESI黑体-GB2312" w:cs="CESI黑体-GB2312"/>
          <w:color w:val="auto"/>
          <w:sz w:val="32"/>
          <w:szCs w:val="32"/>
          <w:highlight w:val="none"/>
        </w:rPr>
      </w:pPr>
    </w:p>
    <w:p w14:paraId="05840779">
      <w:pPr>
        <w:spacing w:line="360" w:lineRule="auto"/>
        <w:ind w:firstLine="300" w:firstLineChars="50"/>
        <w:rPr>
          <w:color w:val="auto"/>
          <w:sz w:val="60"/>
          <w:szCs w:val="60"/>
          <w:highlight w:val="none"/>
        </w:rPr>
      </w:pPr>
    </w:p>
    <w:p w14:paraId="364A1780">
      <w:pPr>
        <w:jc w:val="center"/>
        <w:rPr>
          <w:rFonts w:hint="eastAsia" w:eastAsia="宋体"/>
          <w:b/>
          <w:bCs/>
          <w:color w:val="auto"/>
          <w:sz w:val="56"/>
          <w:szCs w:val="56"/>
          <w:highlight w:val="none"/>
          <w:lang w:eastAsia="zh-CN"/>
        </w:rPr>
      </w:pPr>
      <w:r>
        <w:rPr>
          <w:rFonts w:hint="eastAsia"/>
          <w:b/>
          <w:bCs/>
          <w:color w:val="auto"/>
          <w:sz w:val="56"/>
          <w:szCs w:val="56"/>
          <w:highlight w:val="none"/>
          <w:lang w:eastAsia="zh-CN"/>
        </w:rPr>
        <w:t>常州市钟楼区五星街道市政道路养护维修作业服务项目</w:t>
      </w:r>
    </w:p>
    <w:p w14:paraId="19799DE8">
      <w:pPr>
        <w:jc w:val="center"/>
        <w:rPr>
          <w:b/>
          <w:bCs/>
          <w:color w:val="auto"/>
          <w:sz w:val="60"/>
          <w:szCs w:val="60"/>
          <w:highlight w:val="none"/>
        </w:rPr>
      </w:pPr>
      <w:r>
        <w:rPr>
          <w:rFonts w:hint="eastAsia"/>
          <w:b/>
          <w:bCs/>
          <w:color w:val="auto"/>
          <w:sz w:val="60"/>
          <w:szCs w:val="60"/>
          <w:highlight w:val="none"/>
        </w:rPr>
        <w:t>公开招标文件</w:t>
      </w:r>
    </w:p>
    <w:p w14:paraId="5DA70A45">
      <w:pPr>
        <w:jc w:val="center"/>
        <w:rPr>
          <w:b/>
          <w:bCs/>
          <w:color w:val="auto"/>
          <w:sz w:val="60"/>
          <w:szCs w:val="60"/>
          <w:highlight w:val="none"/>
        </w:rPr>
      </w:pPr>
    </w:p>
    <w:p w14:paraId="36A79595">
      <w:pPr>
        <w:jc w:val="center"/>
        <w:rPr>
          <w:b/>
          <w:bCs/>
          <w:color w:val="auto"/>
          <w:sz w:val="60"/>
          <w:szCs w:val="60"/>
          <w:highlight w:val="none"/>
        </w:rPr>
      </w:pPr>
    </w:p>
    <w:p w14:paraId="371816B4">
      <w:pPr>
        <w:spacing w:line="360" w:lineRule="auto"/>
        <w:jc w:val="center"/>
        <w:rPr>
          <w:color w:val="auto"/>
          <w:sz w:val="60"/>
          <w:szCs w:val="60"/>
          <w:highlight w:val="none"/>
        </w:rPr>
      </w:pPr>
    </w:p>
    <w:p w14:paraId="40053AB8">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常州市钟楼区五星街道市政道路养护维修作业服务项目</w:t>
      </w:r>
    </w:p>
    <w:p w14:paraId="72DABBD2">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JSZC-320404001-CZJA-G2026-0002</w:t>
      </w:r>
    </w:p>
    <w:p w14:paraId="6C6484FE">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常州市钟楼区五星街道办事处</w:t>
      </w:r>
    </w:p>
    <w:p w14:paraId="3B31B31E">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lang w:eastAsia="zh-CN"/>
        </w:rPr>
        <w:t>江苏建安造价师事务所有限公司</w:t>
      </w:r>
    </w:p>
    <w:p w14:paraId="0019DA70">
      <w:pPr>
        <w:spacing w:line="360" w:lineRule="auto"/>
        <w:jc w:val="center"/>
        <w:rPr>
          <w:b/>
          <w:bCs/>
          <w:color w:val="auto"/>
          <w:sz w:val="44"/>
          <w:highlight w:val="none"/>
        </w:rPr>
      </w:pPr>
      <w:r>
        <w:rPr>
          <w:b/>
          <w:bCs/>
          <w:color w:val="auto"/>
          <w:sz w:val="44"/>
          <w:highlight w:val="none"/>
        </w:rPr>
        <w:br w:type="page"/>
      </w:r>
      <w:bookmarkStart w:id="0" w:name="_Toc99301418"/>
    </w:p>
    <w:p w14:paraId="29661374">
      <w:pPr>
        <w:spacing w:line="360" w:lineRule="auto"/>
        <w:jc w:val="center"/>
        <w:rPr>
          <w:b/>
          <w:bCs/>
          <w:color w:val="auto"/>
          <w:sz w:val="44"/>
          <w:highlight w:val="none"/>
        </w:rPr>
      </w:pPr>
      <w:r>
        <w:rPr>
          <w:b/>
          <w:bCs/>
          <w:color w:val="auto"/>
          <w:sz w:val="44"/>
          <w:highlight w:val="none"/>
        </w:rPr>
        <w:t>目      录</w:t>
      </w:r>
      <w:bookmarkEnd w:id="0"/>
    </w:p>
    <w:p w14:paraId="26C72809">
      <w:pPr>
        <w:spacing w:line="360" w:lineRule="auto"/>
        <w:rPr>
          <w:rFonts w:ascii="宋体" w:hAnsi="宋体" w:cs="宋体"/>
          <w:color w:val="auto"/>
          <w:sz w:val="32"/>
          <w:szCs w:val="32"/>
          <w:highlight w:val="none"/>
        </w:rPr>
      </w:pPr>
    </w:p>
    <w:p w14:paraId="3CF57BB8">
      <w:pPr>
        <w:pStyle w:val="32"/>
        <w:spacing w:line="360" w:lineRule="auto"/>
        <w:rPr>
          <w:b w:val="0"/>
          <w:bCs/>
          <w:color w:val="auto"/>
          <w:sz w:val="44"/>
          <w:highlight w:val="none"/>
        </w:rPr>
      </w:pPr>
    </w:p>
    <w:p w14:paraId="036DD580">
      <w:pPr>
        <w:pStyle w:val="32"/>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4BA39DB4">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7</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13300068">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2</w:t>
      </w:r>
      <w:r>
        <w:rPr>
          <w:rFonts w:hint="eastAsia" w:cs="宋体"/>
          <w:color w:val="auto"/>
          <w:sz w:val="32"/>
          <w:szCs w:val="32"/>
          <w:highlight w:val="none"/>
          <w:lang w:val="en-US" w:eastAsia="zh-CN"/>
        </w:rPr>
        <w:t>4</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7957321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_Toc8940 \h </w:instrText>
      </w:r>
      <w:r>
        <w:rPr>
          <w:rFonts w:hint="eastAsia" w:cs="宋体"/>
          <w:color w:val="auto"/>
          <w:sz w:val="32"/>
          <w:szCs w:val="32"/>
          <w:highlight w:val="none"/>
        </w:rPr>
        <w:fldChar w:fldCharType="separate"/>
      </w:r>
      <w:r>
        <w:rPr>
          <w:rFonts w:hint="eastAsia" w:cs="宋体"/>
          <w:color w:val="auto"/>
          <w:sz w:val="32"/>
          <w:szCs w:val="32"/>
          <w:highlight w:val="none"/>
        </w:rPr>
        <w:t>2</w:t>
      </w:r>
      <w:r>
        <w:rPr>
          <w:rFonts w:hint="eastAsia" w:cs="宋体"/>
          <w:color w:val="auto"/>
          <w:sz w:val="32"/>
          <w:szCs w:val="32"/>
          <w:highlight w:val="none"/>
          <w:lang w:val="en-US" w:eastAsia="zh-CN"/>
        </w:rPr>
        <w:t>6</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5DAAF632">
      <w:pPr>
        <w:pStyle w:val="32"/>
        <w:spacing w:line="360" w:lineRule="auto"/>
        <w:rPr>
          <w:rFonts w:hint="eastAsia"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第五章   采购需求</w:t>
      </w:r>
      <w:r>
        <w:rPr>
          <w:rFonts w:hint="eastAsia" w:cs="宋体"/>
          <w:color w:val="auto"/>
          <w:sz w:val="32"/>
          <w:szCs w:val="32"/>
          <w:highlight w:val="none"/>
        </w:rPr>
        <w:tab/>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lang w:val="en-US" w:eastAsia="zh-CN"/>
        </w:rPr>
        <w:t>5</w:t>
      </w:r>
    </w:p>
    <w:p w14:paraId="7913C950">
      <w:pPr>
        <w:pStyle w:val="32"/>
        <w:spacing w:line="360" w:lineRule="auto"/>
        <w:rPr>
          <w:rFonts w:hint="eastAsia"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第六章   拟签订的合同文本</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lang w:val="en-US" w:eastAsia="zh-CN"/>
        </w:rPr>
        <w:t>4</w:t>
      </w:r>
    </w:p>
    <w:p w14:paraId="1E20CF7A">
      <w:pPr>
        <w:pStyle w:val="32"/>
        <w:spacing w:line="360" w:lineRule="auto"/>
        <w:rPr>
          <w:rFonts w:hint="default" w:eastAsia="宋体" w:cs="宋体"/>
          <w:color w:val="auto"/>
          <w:sz w:val="32"/>
          <w:szCs w:val="32"/>
          <w:highlight w:val="none"/>
          <w:lang w:val="en-US" w:eastAsia="zh-CN"/>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第七章   投标文件格式</w:t>
      </w:r>
      <w:r>
        <w:rPr>
          <w:rFonts w:hint="eastAsia" w:cs="宋体"/>
          <w:color w:val="auto"/>
          <w:sz w:val="32"/>
          <w:szCs w:val="32"/>
          <w:highlight w:val="none"/>
        </w:rPr>
        <w:tab/>
      </w:r>
      <w:r>
        <w:rPr>
          <w:rFonts w:hint="eastAsia" w:cs="宋体"/>
          <w:color w:val="auto"/>
          <w:sz w:val="32"/>
          <w:szCs w:val="32"/>
          <w:highlight w:val="none"/>
        </w:rPr>
        <w:fldChar w:fldCharType="end"/>
      </w:r>
      <w:r>
        <w:rPr>
          <w:rFonts w:hint="eastAsia" w:cs="宋体"/>
          <w:color w:val="auto"/>
          <w:sz w:val="32"/>
          <w:szCs w:val="32"/>
          <w:highlight w:val="none"/>
          <w:lang w:val="en-US" w:eastAsia="zh-CN"/>
        </w:rPr>
        <w:t>58</w:t>
      </w:r>
    </w:p>
    <w:p w14:paraId="3612D7D8">
      <w:pPr>
        <w:pStyle w:val="32"/>
        <w:spacing w:line="360" w:lineRule="auto"/>
        <w:rPr>
          <w:rFonts w:cs="宋体"/>
          <w:color w:val="auto"/>
          <w:sz w:val="32"/>
          <w:szCs w:val="32"/>
          <w:highlight w:val="none"/>
        </w:rPr>
      </w:pPr>
      <w:r>
        <w:rPr>
          <w:rFonts w:hint="eastAsia" w:cs="宋体"/>
          <w:color w:val="auto"/>
          <w:sz w:val="32"/>
          <w:szCs w:val="32"/>
          <w:highlight w:val="none"/>
        </w:rPr>
        <w:fldChar w:fldCharType="end"/>
      </w:r>
    </w:p>
    <w:p w14:paraId="3965B4A3">
      <w:pPr>
        <w:pStyle w:val="32"/>
        <w:spacing w:line="360" w:lineRule="auto"/>
        <w:jc w:val="center"/>
        <w:rPr>
          <w:color w:val="auto"/>
          <w:sz w:val="36"/>
          <w:szCs w:val="36"/>
          <w:highlight w:val="none"/>
        </w:rPr>
      </w:pPr>
      <w:r>
        <w:rPr>
          <w:rFonts w:hint="eastAsia" w:cs="宋体"/>
          <w:color w:val="auto"/>
          <w:sz w:val="32"/>
          <w:szCs w:val="32"/>
          <w:highlight w:val="none"/>
        </w:rPr>
        <w:br w:type="page"/>
      </w:r>
      <w:bookmarkStart w:id="1" w:name="_Toc99301419"/>
      <w:bookmarkStart w:id="2" w:name="_Toc15932"/>
      <w:r>
        <w:rPr>
          <w:color w:val="auto"/>
          <w:sz w:val="36"/>
          <w:szCs w:val="36"/>
          <w:highlight w:val="none"/>
        </w:rPr>
        <w:t>第一章   投标邀请</w:t>
      </w:r>
      <w:bookmarkEnd w:id="1"/>
      <w:bookmarkEnd w:id="2"/>
    </w:p>
    <w:p w14:paraId="550DE427">
      <w:pPr>
        <w:snapToGrid w:val="0"/>
        <w:spacing w:line="360" w:lineRule="auto"/>
        <w:rPr>
          <w:rFonts w:ascii="宋体" w:hAnsi="宋体"/>
          <w:b/>
          <w:bCs/>
          <w:color w:val="auto"/>
          <w:sz w:val="24"/>
          <w:highlight w:val="none"/>
        </w:rPr>
      </w:pPr>
      <w:bookmarkStart w:id="3" w:name="_Toc28359079"/>
      <w:bookmarkStart w:id="4" w:name="_Toc28359002"/>
      <w:bookmarkStart w:id="5" w:name="_Toc35393621"/>
      <w:bookmarkStart w:id="6" w:name="_Toc35393790"/>
      <w:bookmarkStart w:id="7" w:name="_Hlk24379207"/>
      <w:r>
        <w:rPr>
          <w:rFonts w:hint="eastAsia" w:ascii="宋体" w:hAnsi="宋体"/>
          <w:b/>
          <w:bCs/>
          <w:color w:val="auto"/>
          <w:sz w:val="24"/>
          <w:highlight w:val="none"/>
        </w:rPr>
        <w:t>一、项目基本情况</w:t>
      </w:r>
      <w:bookmarkEnd w:id="3"/>
      <w:bookmarkEnd w:id="4"/>
      <w:bookmarkEnd w:id="5"/>
      <w:bookmarkEnd w:id="6"/>
    </w:p>
    <w:p w14:paraId="7377C4D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JSZC-320404001-CZJA-G2026-0002</w:t>
      </w:r>
      <w:r>
        <w:rPr>
          <w:rFonts w:hint="eastAsia" w:ascii="宋体" w:hAnsi="宋体" w:cs="宋体"/>
          <w:color w:val="auto"/>
          <w:sz w:val="24"/>
          <w:highlight w:val="none"/>
          <w:u w:val="single"/>
        </w:rPr>
        <w:t xml:space="preserve"> </w:t>
      </w:r>
    </w:p>
    <w:p w14:paraId="19587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常州市钟楼区五星街道市政道路养护维修作业服务项目</w:t>
      </w:r>
      <w:r>
        <w:rPr>
          <w:rFonts w:hint="eastAsia" w:ascii="宋体" w:hAnsi="宋体" w:cs="宋体"/>
          <w:color w:val="auto"/>
          <w:sz w:val="24"/>
          <w:highlight w:val="none"/>
          <w:u w:val="single"/>
        </w:rPr>
        <w:t xml:space="preserve"> </w:t>
      </w:r>
    </w:p>
    <w:p w14:paraId="6CE27BA6">
      <w:pPr>
        <w:keepNext w:val="0"/>
        <w:keepLines w:val="0"/>
        <w:pageBreakBefore w:val="0"/>
        <w:widowControl w:val="0"/>
        <w:spacing w:line="360" w:lineRule="auto"/>
        <w:ind w:firstLine="48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.项目预算金额：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210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cs="宋体"/>
          <w:color w:val="auto"/>
          <w:sz w:val="24"/>
          <w:szCs w:val="24"/>
          <w:highlight w:val="none"/>
          <w:lang w:val="en-US" w:eastAsia="zh-CN"/>
        </w:rPr>
        <w:t>/年</w:t>
      </w:r>
    </w:p>
    <w:p w14:paraId="4D619F14">
      <w:pPr>
        <w:keepNext w:val="0"/>
        <w:keepLines w:val="0"/>
        <w:pageBreakBefore w:val="0"/>
        <w:widowControl w:val="0"/>
        <w:spacing w:line="36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项目最高限价：</w:t>
      </w:r>
      <w:r>
        <w:rPr>
          <w:rFonts w:hint="eastAsia" w:ascii="宋体" w:hAnsi="宋体" w:cs="宋体"/>
          <w:color w:val="auto"/>
          <w:sz w:val="24"/>
          <w:szCs w:val="24"/>
          <w:highlight w:val="none"/>
          <w:lang w:val="en-US" w:eastAsia="zh-CN"/>
        </w:rPr>
        <w:t>本项目以优惠率进行报价。0≤优惠率&lt;100%，超出此范围则视为无效投标。</w:t>
      </w:r>
    </w:p>
    <w:p w14:paraId="7C04FB5B">
      <w:pPr>
        <w:keepNext w:val="0"/>
        <w:keepLines w:val="0"/>
        <w:pageBreakBefore w:val="0"/>
        <w:widowControl w:val="0"/>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4.采购需求：</w:t>
      </w:r>
      <w:r>
        <w:rPr>
          <w:rFonts w:hint="default" w:ascii="宋体" w:hAnsi="宋体" w:eastAsia="宋体" w:cs="宋体"/>
          <w:color w:val="auto"/>
          <w:sz w:val="24"/>
          <w:szCs w:val="24"/>
          <w:highlight w:val="none"/>
          <w:lang w:val="en-US" w:eastAsia="zh-CN"/>
        </w:rPr>
        <w:t>本项目为常州市钟楼区五星街道市政道路养护维修作业服务项目，服务范围主要包含街道管辖区域内道路(事权下放)维修、道板砖修复、井盖更换、路面养护等道路养护维修作业服务，具体包括但不限于</w:t>
      </w:r>
      <w:r>
        <w:rPr>
          <w:rFonts w:hint="eastAsia" w:ascii="宋体" w:hAnsi="宋体" w:eastAsia="宋体" w:cs="宋体"/>
          <w:color w:val="auto"/>
          <w:sz w:val="24"/>
          <w:szCs w:val="24"/>
          <w:highlight w:val="none"/>
          <w:lang w:val="en-US" w:eastAsia="zh-CN"/>
        </w:rPr>
        <w:t>招标文件</w:t>
      </w:r>
      <w:r>
        <w:rPr>
          <w:rFonts w:hint="default" w:ascii="宋体" w:hAnsi="宋体" w:eastAsia="宋体" w:cs="宋体"/>
          <w:color w:val="auto"/>
          <w:sz w:val="24"/>
          <w:szCs w:val="24"/>
          <w:highlight w:val="none"/>
          <w:lang w:val="en-US" w:eastAsia="zh-CN"/>
        </w:rPr>
        <w:t>及其基本技术要求范围内相应作业服务开工前的准备(包括现场踏勘、技术核对等)、技术资料、养护维修作业、技术服务、主管单位验收、质保期及维保服务和项目所要求的相关服务等全部内容。</w:t>
      </w:r>
    </w:p>
    <w:bookmarkEnd w:id="7"/>
    <w:p w14:paraId="652951C5">
      <w:pPr>
        <w:spacing w:before="120" w:beforeLines="50"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5.合同履行期限：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1年。</w:t>
      </w:r>
      <w:r>
        <w:rPr>
          <w:rFonts w:hint="eastAsia" w:ascii="宋体" w:hAnsi="宋体" w:cs="宋体"/>
          <w:color w:val="auto"/>
          <w:sz w:val="24"/>
          <w:highlight w:val="none"/>
          <w:u w:val="single"/>
        </w:rPr>
        <w:t xml:space="preserve"> </w:t>
      </w:r>
    </w:p>
    <w:p w14:paraId="5EE7FDB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6.本项目是否接受联合体：□是  ■否。</w:t>
      </w:r>
    </w:p>
    <w:p w14:paraId="5308BEE9">
      <w:pPr>
        <w:snapToGrid w:val="0"/>
        <w:spacing w:line="360" w:lineRule="auto"/>
        <w:rPr>
          <w:rFonts w:ascii="宋体" w:hAnsi="宋体"/>
          <w:b/>
          <w:bCs/>
          <w:color w:val="auto"/>
          <w:sz w:val="24"/>
          <w:highlight w:val="none"/>
        </w:rPr>
      </w:pPr>
      <w:bookmarkStart w:id="8" w:name="_Toc35393791"/>
      <w:bookmarkStart w:id="9" w:name="_Toc35393622"/>
      <w:bookmarkStart w:id="10" w:name="_Toc28359080"/>
      <w:bookmarkStart w:id="11" w:name="_Toc28359003"/>
      <w:r>
        <w:rPr>
          <w:rFonts w:hint="eastAsia" w:ascii="宋体" w:hAnsi="宋体"/>
          <w:b/>
          <w:bCs/>
          <w:color w:val="auto"/>
          <w:sz w:val="24"/>
          <w:highlight w:val="none"/>
        </w:rPr>
        <w:t>二、申请人的资格要求（须同时满足）</w:t>
      </w:r>
      <w:bookmarkEnd w:id="8"/>
      <w:bookmarkEnd w:id="9"/>
      <w:bookmarkEnd w:id="10"/>
      <w:bookmarkEnd w:id="11"/>
    </w:p>
    <w:p w14:paraId="744239A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1.满足《中华人民共和国政府采购法》第二十二条规定以及下列情形：</w:t>
      </w:r>
    </w:p>
    <w:p w14:paraId="46CD0AD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616562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（包含法定代表人为同一个人的两个及两个以上法人，母公司、全资子公司及其控股公司），不得参加同一合同项下的政府采购活动。</w:t>
      </w:r>
    </w:p>
    <w:p w14:paraId="54692125">
      <w:pPr>
        <w:spacing w:line="360" w:lineRule="auto"/>
        <w:ind w:firstLine="480" w:firstLineChars="200"/>
        <w:rPr>
          <w:rFonts w:ascii="宋体" w:hAnsi="宋体" w:cs="宋体"/>
          <w:color w:val="auto"/>
          <w:sz w:val="24"/>
          <w:highlight w:val="none"/>
        </w:rPr>
      </w:pPr>
      <w:bookmarkStart w:id="12" w:name="_Toc28359004"/>
      <w:bookmarkStart w:id="13" w:name="_Toc28359081"/>
      <w:r>
        <w:rPr>
          <w:rFonts w:hint="eastAsia" w:ascii="宋体" w:hAnsi="宋体" w:cs="宋体"/>
          <w:color w:val="auto"/>
          <w:sz w:val="24"/>
          <w:highlight w:val="none"/>
        </w:rPr>
        <w:t>2.落实政府采购政策需满足的资格要求：</w:t>
      </w:r>
    </w:p>
    <w:p w14:paraId="24194BC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中小企业政策</w:t>
      </w:r>
    </w:p>
    <w:p w14:paraId="53B677E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2CBCC2B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■本项目专门面向  ■中小 □小微企业  采购。即：提供的服务全部由符合政策要求的中小企业承接。</w:t>
      </w:r>
    </w:p>
    <w:p w14:paraId="6D1312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5FBA61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CB54743">
      <w:pPr>
        <w:spacing w:line="360" w:lineRule="auto"/>
        <w:ind w:firstLine="480" w:firstLineChars="200"/>
        <w:rPr>
          <w:rFonts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4EF66B4E">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3.1本项目是否接受分支机构参与投标：□是   ■否；</w:t>
      </w:r>
    </w:p>
    <w:p w14:paraId="5BBF7CBF">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 本项目是否属于政府购买服务：</w:t>
      </w:r>
    </w:p>
    <w:p w14:paraId="2E768297">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□否</w:t>
      </w:r>
    </w:p>
    <w:p w14:paraId="4F542389">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623E78FB">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3.3其他特定资格要求：</w:t>
      </w:r>
    </w:p>
    <w:p w14:paraId="246E11BD">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3.3.1具备市政公用工程施工总承包叁级及以上资质，同时具有安全生产许可证；</w:t>
      </w:r>
    </w:p>
    <w:p w14:paraId="3C161E04">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3.3.2项目经理要求具有市政公用工程专业贰级及以上注册建造师资格，同时具有安全生产考核合格证书（B 证）。</w:t>
      </w:r>
    </w:p>
    <w:bookmarkEnd w:id="12"/>
    <w:bookmarkEnd w:id="13"/>
    <w:p w14:paraId="0DC5F48E">
      <w:pPr>
        <w:snapToGrid w:val="0"/>
        <w:spacing w:line="360" w:lineRule="auto"/>
        <w:rPr>
          <w:rFonts w:ascii="宋体" w:hAnsi="宋体"/>
          <w:b/>
          <w:bCs/>
          <w:color w:val="auto"/>
          <w:sz w:val="24"/>
          <w:highlight w:val="none"/>
        </w:rPr>
      </w:pPr>
      <w:bookmarkStart w:id="14" w:name="_Toc35393623"/>
      <w:bookmarkStart w:id="15" w:name="_Toc35393792"/>
      <w:r>
        <w:rPr>
          <w:rFonts w:hint="eastAsia" w:ascii="宋体" w:hAnsi="宋体"/>
          <w:b/>
          <w:bCs/>
          <w:color w:val="auto"/>
          <w:sz w:val="24"/>
          <w:highlight w:val="none"/>
        </w:rPr>
        <w:t>三、获取招标文件</w:t>
      </w:r>
      <w:bookmarkEnd w:id="14"/>
      <w:bookmarkEnd w:id="15"/>
    </w:p>
    <w:p w14:paraId="11A9419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bookmarkStart w:id="16" w:name="_Toc28359082"/>
      <w:bookmarkStart w:id="17" w:name="_Toc28359005"/>
      <w:bookmarkStart w:id="18" w:name="_Toc35393793"/>
      <w:bookmarkStart w:id="19" w:name="_Toc35393624"/>
      <w:r>
        <w:rPr>
          <w:rFonts w:hint="eastAsia" w:ascii="宋体" w:hAnsi="宋体" w:eastAsia="宋体" w:cs="宋体"/>
          <w:color w:val="auto"/>
          <w:sz w:val="24"/>
          <w:highlight w:val="none"/>
          <w:lang w:bidi="ar"/>
        </w:rPr>
        <w:t>1.时间：自招标文件公告发布之日起5个工作日。</w:t>
      </w:r>
    </w:p>
    <w:p w14:paraId="332E9C43">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2.地点：</w:t>
      </w:r>
      <w:r>
        <w:rPr>
          <w:rFonts w:hint="eastAsia" w:ascii="宋体" w:hAnsi="宋体" w:cs="宋体"/>
          <w:color w:val="auto"/>
          <w:sz w:val="24"/>
          <w:highlight w:val="none"/>
          <w:u w:val="single"/>
        </w:rPr>
        <w:t>“苏采云”政府采购一体化平台</w:t>
      </w:r>
      <w:r>
        <w:rPr>
          <w:rFonts w:hint="eastAsia" w:ascii="宋体" w:hAnsi="宋体" w:cs="宋体"/>
          <w:color w:val="auto"/>
          <w:sz w:val="24"/>
          <w:highlight w:val="none"/>
        </w:rPr>
        <w:t>。</w:t>
      </w:r>
    </w:p>
    <w:p w14:paraId="3FF6EBF2">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3.方式：</w:t>
      </w:r>
      <w:r>
        <w:rPr>
          <w:rFonts w:hint="eastAsia" w:ascii="宋体" w:hAnsi="宋体" w:cs="宋体"/>
          <w:color w:val="auto"/>
          <w:sz w:val="24"/>
          <w:highlight w:val="none"/>
          <w:u w:val="single"/>
          <w:lang w:bidi="ar"/>
        </w:rPr>
        <w:t>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auto"/>
          <w:sz w:val="24"/>
          <w:highlight w:val="none"/>
          <w:lang w:bidi="ar"/>
        </w:rPr>
        <w:t>。</w:t>
      </w:r>
    </w:p>
    <w:p w14:paraId="0384C8C4">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793ACBD7">
      <w:pPr>
        <w:snapToGrid w:val="0"/>
        <w:spacing w:line="360" w:lineRule="auto"/>
        <w:rPr>
          <w:rFonts w:ascii="宋体" w:hAnsi="宋体"/>
          <w:b/>
          <w:bCs/>
          <w:color w:val="auto"/>
          <w:sz w:val="24"/>
          <w:highlight w:val="none"/>
        </w:rPr>
      </w:pPr>
      <w:r>
        <w:rPr>
          <w:rFonts w:hint="eastAsia" w:ascii="宋体" w:hAnsi="宋体"/>
          <w:b/>
          <w:bCs/>
          <w:color w:val="auto"/>
          <w:sz w:val="24"/>
          <w:highlight w:val="none"/>
        </w:rPr>
        <w:t>四、提交投标文件</w:t>
      </w:r>
      <w:bookmarkEnd w:id="16"/>
      <w:bookmarkEnd w:id="17"/>
      <w:r>
        <w:rPr>
          <w:rFonts w:hint="eastAsia" w:ascii="宋体" w:hAnsi="宋体"/>
          <w:b/>
          <w:bCs/>
          <w:color w:val="auto"/>
          <w:sz w:val="24"/>
          <w:highlight w:val="none"/>
        </w:rPr>
        <w:t>截止时间、开标时间和地点</w:t>
      </w:r>
      <w:bookmarkEnd w:id="18"/>
      <w:bookmarkEnd w:id="19"/>
    </w:p>
    <w:p w14:paraId="5A0DC98A">
      <w:pPr>
        <w:spacing w:line="360" w:lineRule="auto"/>
        <w:ind w:firstLine="480" w:firstLineChars="200"/>
        <w:rPr>
          <w:rFonts w:ascii="宋体" w:hAnsi="宋体" w:cs="宋体"/>
          <w:iCs/>
          <w:color w:val="auto"/>
          <w:sz w:val="24"/>
          <w:highlight w:val="none"/>
          <w:lang w:bidi="ar"/>
        </w:rPr>
      </w:pPr>
      <w:r>
        <w:rPr>
          <w:color w:val="auto"/>
          <w:sz w:val="24"/>
          <w:highlight w:val="none"/>
          <w:lang w:bidi="ar"/>
        </w:rPr>
        <w:t>投标截止时间、开标时间：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 xml:space="preserve"> 4</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21</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14</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0</w:t>
      </w:r>
      <w:r>
        <w:rPr>
          <w:rFonts w:hint="eastAsia" w:ascii="宋体" w:hAnsi="宋体" w:cs="宋体"/>
          <w:color w:val="auto"/>
          <w:sz w:val="24"/>
          <w:highlight w:val="none"/>
          <w:u w:val="single"/>
        </w:rPr>
        <w:t xml:space="preserve">0 </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1259D024">
      <w:pPr>
        <w:spacing w:line="360" w:lineRule="auto"/>
        <w:ind w:firstLine="480" w:firstLineChars="200"/>
        <w:rPr>
          <w:rFonts w:ascii="宋体" w:hAnsi="宋体" w:cs="宋体"/>
          <w:color w:val="auto"/>
          <w:sz w:val="24"/>
          <w:highlight w:val="none"/>
          <w:u w:val="single"/>
          <w:lang w:bidi="ar"/>
        </w:rPr>
      </w:pPr>
      <w:bookmarkStart w:id="20" w:name="_Toc28359007"/>
      <w:bookmarkStart w:id="21" w:name="_Toc28359084"/>
      <w:bookmarkStart w:id="22" w:name="_Toc35393794"/>
      <w:bookmarkStart w:id="23" w:name="_Toc35393625"/>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“苏采云”政府采购</w:t>
      </w:r>
      <w:r>
        <w:rPr>
          <w:rFonts w:hint="eastAsia" w:ascii="宋体" w:hAnsi="宋体" w:cs="宋体"/>
          <w:color w:val="auto"/>
          <w:sz w:val="24"/>
          <w:highlight w:val="none"/>
          <w:u w:val="single"/>
        </w:rPr>
        <w:t>一体化平台</w:t>
      </w:r>
      <w:r>
        <w:rPr>
          <w:rFonts w:hint="eastAsia" w:ascii="宋体" w:hAnsi="宋体" w:cs="宋体"/>
          <w:color w:val="auto"/>
          <w:sz w:val="24"/>
          <w:highlight w:val="none"/>
          <w:u w:val="single"/>
          <w:lang w:bidi="ar"/>
        </w:rPr>
        <w:t>网上开标大厅</w:t>
      </w:r>
      <w:r>
        <w:rPr>
          <w:rFonts w:hint="eastAsia" w:ascii="宋体" w:hAnsi="宋体" w:cs="宋体"/>
          <w:color w:val="auto"/>
          <w:sz w:val="24"/>
          <w:highlight w:val="none"/>
          <w:lang w:bidi="ar"/>
        </w:rPr>
        <w:t>。</w:t>
      </w:r>
    </w:p>
    <w:p w14:paraId="3C158BAB">
      <w:pPr>
        <w:snapToGrid w:val="0"/>
        <w:spacing w:line="360" w:lineRule="auto"/>
        <w:rPr>
          <w:rFonts w:ascii="宋体" w:hAnsi="宋体"/>
          <w:b/>
          <w:bCs/>
          <w:color w:val="auto"/>
          <w:sz w:val="24"/>
          <w:highlight w:val="none"/>
        </w:rPr>
      </w:pPr>
      <w:r>
        <w:rPr>
          <w:rFonts w:hint="eastAsia" w:ascii="宋体" w:hAnsi="宋体"/>
          <w:b/>
          <w:bCs/>
          <w:color w:val="auto"/>
          <w:sz w:val="24"/>
          <w:highlight w:val="none"/>
        </w:rPr>
        <w:t>五、公告期限</w:t>
      </w:r>
      <w:bookmarkEnd w:id="20"/>
      <w:bookmarkEnd w:id="21"/>
      <w:bookmarkEnd w:id="22"/>
      <w:bookmarkEnd w:id="23"/>
    </w:p>
    <w:p w14:paraId="7F15B059">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DA2319D">
      <w:pPr>
        <w:snapToGrid w:val="0"/>
        <w:spacing w:line="360" w:lineRule="auto"/>
        <w:rPr>
          <w:rFonts w:ascii="宋体" w:hAnsi="宋体"/>
          <w:b/>
          <w:bCs/>
          <w:color w:val="auto"/>
          <w:sz w:val="24"/>
          <w:highlight w:val="none"/>
        </w:rPr>
      </w:pPr>
      <w:bookmarkStart w:id="24" w:name="_Toc35393626"/>
      <w:bookmarkStart w:id="25" w:name="_Toc35393795"/>
      <w:r>
        <w:rPr>
          <w:rFonts w:hint="eastAsia" w:ascii="宋体" w:hAnsi="宋体"/>
          <w:b/>
          <w:bCs/>
          <w:color w:val="auto"/>
          <w:sz w:val="24"/>
          <w:highlight w:val="none"/>
        </w:rPr>
        <w:t>六、其他补充事宜</w:t>
      </w:r>
      <w:bookmarkEnd w:id="24"/>
      <w:bookmarkEnd w:id="25"/>
    </w:p>
    <w:p w14:paraId="5DFC09E3">
      <w:pPr>
        <w:spacing w:line="360" w:lineRule="auto"/>
        <w:ind w:firstLine="480" w:firstLineChars="200"/>
        <w:rPr>
          <w:rFonts w:ascii="宋体" w:hAnsi="宋体" w:cs="宋体"/>
          <w:color w:val="auto"/>
          <w:kern w:val="0"/>
          <w:sz w:val="24"/>
          <w:highlight w:val="none"/>
          <w:u w:val="single"/>
        </w:rPr>
      </w:pPr>
      <w:bookmarkStart w:id="26" w:name="_Toc35393627"/>
      <w:bookmarkStart w:id="27" w:name="_Toc28359008"/>
      <w:bookmarkStart w:id="28" w:name="_Toc35393796"/>
      <w:bookmarkStart w:id="29" w:name="_Toc28359085"/>
      <w:r>
        <w:rPr>
          <w:rFonts w:hint="eastAsia" w:ascii="宋体" w:hAnsi="宋体" w:cs="宋体"/>
          <w:color w:val="auto"/>
          <w:kern w:val="0"/>
          <w:sz w:val="24"/>
          <w:highlight w:val="none"/>
        </w:rPr>
        <w:t>1.本项目需要落实的政府采购政策：</w:t>
      </w:r>
      <w:r>
        <w:rPr>
          <w:rFonts w:hint="eastAsia" w:ascii="宋体" w:hAnsi="宋体" w:eastAsia="宋体" w:cs="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rPr>
        <w:t>。</w:t>
      </w:r>
    </w:p>
    <w:p w14:paraId="2A9D8722">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通过苏采云系统参与政府采购项目，需要更换CA数字证书和电子签章。</w:t>
      </w:r>
    </w:p>
    <w:p w14:paraId="7D78A1EA">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3BDDBE7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.本项目采用远程“不见面”交易方式，无需到现场提交，请</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在提交时间截止前提前登入“苏采云”，通过系统在线提交电子投标文件。</w:t>
      </w:r>
    </w:p>
    <w:p w14:paraId="0125DFC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.有关本次招标的事项若存在变动或修改，敬请及时关注“江苏政府采购网”、“常州市政府采购网”发布的更正公告。</w:t>
      </w:r>
    </w:p>
    <w:p w14:paraId="24F991AB">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.本项目不收取投标保证金。</w:t>
      </w:r>
    </w:p>
    <w:p w14:paraId="72EB116C">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.注意事项</w:t>
      </w:r>
    </w:p>
    <w:p w14:paraId="149AAB1D">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自行承担。</w:t>
      </w:r>
    </w:p>
    <w:p w14:paraId="541B5D4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通过“江苏政府采购网”或“常州市政府采购网”下载采购文件后，还必须登录“苏采云”系统按照获取采购文件方式要求进行登记、参与及下载电子采购文件方可通过系统进行投标文件的编制和提交。</w:t>
      </w:r>
    </w:p>
    <w:p w14:paraId="1D711F5F">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，视为未参与该项政府采购活动，不具备对该政府采购项目提出质疑的法定权利，但因</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资格条件或报名时间设定不符合有关法律法规规定等原因使</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权益受损的除外。</w:t>
      </w:r>
    </w:p>
    <w:p w14:paraId="6377314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.如潜在</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未按上述要求操作，将自行承担所产生的风险。</w:t>
      </w:r>
    </w:p>
    <w:p w14:paraId="0EDD7E9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.关于常州市中小企业政府采购信用融资：</w:t>
      </w:r>
    </w:p>
    <w:p w14:paraId="75F86F7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C11CFF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.关于深入开展常州市政府采购线上合同信用融资：</w:t>
      </w:r>
    </w:p>
    <w:p w14:paraId="6A25701D">
      <w:pPr>
        <w:spacing w:line="360" w:lineRule="auto"/>
        <w:ind w:firstLine="480" w:firstLineChars="200"/>
        <w:rPr>
          <w:color w:val="auto"/>
          <w:kern w:val="0"/>
          <w:sz w:val="24"/>
          <w:highlight w:val="none"/>
        </w:rPr>
      </w:pPr>
      <w:r>
        <w:rPr>
          <w:rFonts w:hint="eastAsia" w:ascii="宋体" w:hAnsi="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0DD495B6">
      <w:pPr>
        <w:snapToGrid w:val="0"/>
        <w:spacing w:line="360" w:lineRule="auto"/>
        <w:rPr>
          <w:rFonts w:ascii="宋体" w:hAnsi="宋体"/>
          <w:b/>
          <w:bCs/>
          <w:color w:val="auto"/>
          <w:sz w:val="24"/>
          <w:highlight w:val="none"/>
        </w:rPr>
      </w:pPr>
      <w:r>
        <w:rPr>
          <w:rFonts w:hint="eastAsia" w:ascii="宋体" w:hAnsi="宋体"/>
          <w:b/>
          <w:bCs/>
          <w:color w:val="auto"/>
          <w:sz w:val="24"/>
          <w:highlight w:val="none"/>
        </w:rPr>
        <w:t>七、对本次招标提出询问，请按以下方式联系。</w:t>
      </w:r>
      <w:bookmarkEnd w:id="26"/>
      <w:bookmarkEnd w:id="27"/>
      <w:bookmarkEnd w:id="28"/>
      <w:bookmarkEnd w:id="29"/>
    </w:p>
    <w:p w14:paraId="3E41D114">
      <w:pPr>
        <w:widowControl/>
        <w:spacing w:line="360" w:lineRule="auto"/>
        <w:ind w:firstLine="482" w:firstLineChars="200"/>
        <w:jc w:val="left"/>
        <w:rPr>
          <w:rFonts w:ascii="宋体" w:hAnsi="宋体" w:cs="宋体"/>
          <w:b/>
          <w:bCs/>
          <w:color w:val="auto"/>
          <w:sz w:val="24"/>
          <w:highlight w:val="none"/>
          <w:lang w:val="zh-TW" w:bidi="ar"/>
        </w:rPr>
      </w:pPr>
      <w:bookmarkStart w:id="30" w:name="_Toc195842950"/>
      <w:bookmarkStart w:id="31" w:name="_Toc127151777"/>
      <w:bookmarkStart w:id="32" w:name="_Toc305158854"/>
      <w:bookmarkStart w:id="33" w:name="_Toc353873938"/>
      <w:bookmarkStart w:id="34" w:name="_Toc127161488"/>
      <w:bookmarkStart w:id="35" w:name="_Toc305158928"/>
      <w:bookmarkStart w:id="36" w:name="_Toc264969275"/>
      <w:bookmarkStart w:id="37" w:name="_Toc512937850"/>
      <w:bookmarkStart w:id="38" w:name="_Toc265228423"/>
      <w:bookmarkStart w:id="39" w:name="_Toc353825548"/>
      <w:bookmarkStart w:id="40" w:name="_Toc150774783"/>
      <w:bookmarkStart w:id="41" w:name="_Toc99301420"/>
      <w:bookmarkStart w:id="42" w:name="_Toc226965856"/>
      <w:r>
        <w:rPr>
          <w:rFonts w:hint="eastAsia" w:ascii="宋体" w:hAnsi="宋体" w:cs="宋体"/>
          <w:b/>
          <w:bCs/>
          <w:color w:val="auto"/>
          <w:sz w:val="24"/>
          <w:highlight w:val="none"/>
          <w:lang w:val="zh-TW" w:bidi="ar"/>
        </w:rPr>
        <w:t>1.采购人信息</w:t>
      </w:r>
    </w:p>
    <w:p w14:paraId="492C6F94">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常州市钟楼区五星街道办事处</w:t>
      </w:r>
      <w:r>
        <w:rPr>
          <w:rFonts w:hint="eastAsia" w:ascii="宋体" w:hAnsi="宋体" w:cs="宋体"/>
          <w:color w:val="auto"/>
          <w:sz w:val="24"/>
          <w:highlight w:val="none"/>
          <w:u w:val="single"/>
          <w:lang w:bidi="ar"/>
        </w:rPr>
        <w:t xml:space="preserve"> </w:t>
      </w:r>
    </w:p>
    <w:p w14:paraId="25C88FA9">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val="zh-TW" w:eastAsia="zh-CN" w:bidi="ar"/>
        </w:rPr>
        <w:t>江苏省常州市钟楼区洪庄路2号</w:t>
      </w:r>
    </w:p>
    <w:p w14:paraId="047B8F94">
      <w:pPr>
        <w:keepNext w:val="0"/>
        <w:keepLines w:val="0"/>
        <w:pageBreakBefore w:val="0"/>
        <w:widowControl/>
        <w:tabs>
          <w:tab w:val="left" w:pos="2730"/>
        </w:tabs>
        <w:spacing w:line="360" w:lineRule="auto"/>
        <w:ind w:firstLine="480"/>
        <w:jc w:val="left"/>
        <w:outlineLvl w:val="9"/>
        <w:rPr>
          <w:rFonts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 xml:space="preserve">0519-83970296 </w:t>
      </w:r>
      <w:r>
        <w:rPr>
          <w:rFonts w:hint="eastAsia" w:ascii="宋体" w:hAnsi="宋体" w:eastAsia="宋体" w:cs="宋体"/>
          <w:color w:val="auto"/>
          <w:sz w:val="24"/>
          <w:highlight w:val="none"/>
          <w:u w:val="single"/>
          <w:lang w:val="en-US" w:eastAsia="zh-CN" w:bidi="ar"/>
        </w:rPr>
        <w:t xml:space="preserve"> </w:t>
      </w:r>
    </w:p>
    <w:p w14:paraId="79143383">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0A5A5CFB">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江苏建安造价师事务所有限公司</w:t>
      </w:r>
      <w:r>
        <w:rPr>
          <w:rFonts w:hint="eastAsia" w:ascii="宋体" w:hAnsi="宋体" w:cs="宋体"/>
          <w:color w:val="auto"/>
          <w:sz w:val="24"/>
          <w:highlight w:val="none"/>
          <w:u w:val="single"/>
          <w:lang w:bidi="ar"/>
        </w:rPr>
        <w:t xml:space="preserve"> </w:t>
      </w:r>
    </w:p>
    <w:p w14:paraId="1CCB2680">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常州市钟楼区景尚路1号景尚大厦4楼</w:t>
      </w:r>
      <w:r>
        <w:rPr>
          <w:rFonts w:hint="eastAsia" w:ascii="宋体" w:hAnsi="宋体" w:cs="宋体"/>
          <w:color w:val="auto"/>
          <w:sz w:val="24"/>
          <w:highlight w:val="none"/>
          <w:u w:val="single"/>
          <w:lang w:bidi="ar"/>
        </w:rPr>
        <w:t xml:space="preserve"> </w:t>
      </w:r>
    </w:p>
    <w:p w14:paraId="0DBC39C1">
      <w:pPr>
        <w:widowControl/>
        <w:spacing w:line="360" w:lineRule="auto"/>
        <w:ind w:firstLine="480" w:firstLineChars="200"/>
        <w:jc w:val="left"/>
        <w:rPr>
          <w:rFonts w:hint="eastAsia" w:ascii="宋体" w:hAnsi="宋体" w:eastAsia="宋体" w:cs="宋体"/>
          <w:color w:val="auto"/>
          <w:sz w:val="24"/>
          <w:highlight w:val="none"/>
          <w:lang w:val="zh-TW" w:eastAsia="zh-CN"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val="zh-TW" w:eastAsia="zh-CN" w:bidi="ar"/>
        </w:rPr>
        <w:t>0519-86801355</w:t>
      </w:r>
    </w:p>
    <w:p w14:paraId="6B168B2C">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4C19D37F">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杨工</w:t>
      </w:r>
      <w:r>
        <w:rPr>
          <w:rFonts w:hint="eastAsia" w:ascii="宋体" w:hAnsi="宋体" w:cs="宋体"/>
          <w:color w:val="auto"/>
          <w:sz w:val="24"/>
          <w:highlight w:val="none"/>
          <w:u w:val="single"/>
          <w:lang w:bidi="ar"/>
        </w:rPr>
        <w:t xml:space="preserve"> </w:t>
      </w:r>
    </w:p>
    <w:p w14:paraId="2B11310B">
      <w:pPr>
        <w:widowControl/>
        <w:spacing w:line="360" w:lineRule="auto"/>
        <w:ind w:firstLine="480" w:firstLineChars="200"/>
        <w:jc w:val="left"/>
        <w:rPr>
          <w:rFonts w:ascii="宋体" w:hAnsi="宋体" w:cs="宋体"/>
          <w:color w:val="auto"/>
          <w:sz w:val="24"/>
          <w:highlight w:val="none"/>
          <w:u w:val="single"/>
          <w:lang w:bidi="ar"/>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0519-86801355</w:t>
      </w:r>
      <w:r>
        <w:rPr>
          <w:rFonts w:hint="eastAsia" w:ascii="宋体" w:hAnsi="宋体" w:cs="宋体"/>
          <w:color w:val="auto"/>
          <w:sz w:val="24"/>
          <w:highlight w:val="none"/>
          <w:u w:val="single"/>
          <w:lang w:bidi="ar"/>
        </w:rPr>
        <w:t xml:space="preserve"> </w:t>
      </w:r>
    </w:p>
    <w:p w14:paraId="4438B901">
      <w:pPr>
        <w:widowControl/>
        <w:spacing w:line="360" w:lineRule="auto"/>
        <w:ind w:firstLine="480" w:firstLineChars="200"/>
        <w:jc w:val="left"/>
        <w:rPr>
          <w:rFonts w:ascii="宋体" w:hAnsi="宋体" w:cs="宋体"/>
          <w:color w:val="auto"/>
          <w:sz w:val="24"/>
          <w:highlight w:val="none"/>
          <w:lang w:val="zh-TW" w:bidi="ar"/>
        </w:rPr>
      </w:pPr>
    </w:p>
    <w:p w14:paraId="20D1EEF7">
      <w:pPr>
        <w:spacing w:line="360" w:lineRule="auto"/>
        <w:jc w:val="center"/>
        <w:rPr>
          <w:rFonts w:ascii="宋体" w:hAnsi="宋体" w:cs="宋体"/>
          <w:color w:val="auto"/>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fmt="decimal" w:start="1"/>
          <w:cols w:space="720" w:num="1"/>
          <w:titlePg/>
          <w:docGrid w:linePitch="462" w:charSpace="0"/>
        </w:sectPr>
      </w:pPr>
    </w:p>
    <w:p w14:paraId="0D2C9DE3">
      <w:pPr>
        <w:spacing w:line="360" w:lineRule="auto"/>
        <w:jc w:val="center"/>
        <w:outlineLvl w:val="0"/>
        <w:rPr>
          <w:b/>
          <w:color w:val="auto"/>
          <w:sz w:val="36"/>
          <w:szCs w:val="36"/>
          <w:highlight w:val="none"/>
        </w:rPr>
      </w:pPr>
      <w:bookmarkStart w:id="43" w:name="_Toc11085"/>
      <w:r>
        <w:rPr>
          <w:b/>
          <w:color w:val="auto"/>
          <w:sz w:val="36"/>
          <w:szCs w:val="36"/>
          <w:highlight w:val="none"/>
        </w:rPr>
        <w:t>第二章   投标人须知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338717FC">
      <w:pPr>
        <w:snapToGrid w:val="0"/>
        <w:spacing w:line="360" w:lineRule="auto"/>
        <w:jc w:val="center"/>
        <w:rPr>
          <w:rFonts w:ascii="宋体" w:hAnsi="宋体"/>
          <w:b/>
          <w:bCs/>
          <w:color w:val="auto"/>
          <w:sz w:val="28"/>
          <w:szCs w:val="28"/>
          <w:highlight w:val="none"/>
        </w:rPr>
      </w:pPr>
      <w:bookmarkStart w:id="44" w:name="_Toc151193617"/>
      <w:bookmarkStart w:id="45" w:name="_Toc164229214"/>
      <w:bookmarkStart w:id="46" w:name="_Toc164608788"/>
      <w:bookmarkStart w:id="47" w:name="_Toc226309763"/>
      <w:bookmarkStart w:id="48" w:name="_Toc151193907"/>
      <w:bookmarkStart w:id="49" w:name="_Toc150774724"/>
      <w:bookmarkStart w:id="50" w:name="_Toc142311021"/>
      <w:bookmarkStart w:id="51" w:name="_Toc151193761"/>
      <w:bookmarkStart w:id="52" w:name="_Toc150509270"/>
      <w:bookmarkStart w:id="53" w:name="_Toc520356144"/>
      <w:bookmarkStart w:id="54" w:name="_Toc164351613"/>
      <w:bookmarkStart w:id="55" w:name="_Toc151190146"/>
      <w:bookmarkStart w:id="56" w:name="_Toc127151519"/>
      <w:bookmarkStart w:id="57" w:name="_Toc151193833"/>
      <w:bookmarkStart w:id="58" w:name="_Toc164608633"/>
      <w:bookmarkStart w:id="59" w:name="_Toc150774619"/>
      <w:bookmarkStart w:id="60" w:name="_Toc226965792"/>
      <w:bookmarkStart w:id="61" w:name="_Toc226965709"/>
      <w:bookmarkStart w:id="62" w:name="_Toc127151720"/>
      <w:bookmarkStart w:id="63" w:name="_Toc151193689"/>
      <w:bookmarkStart w:id="64" w:name="_Toc195842884"/>
      <w:bookmarkStart w:id="65" w:name="_Toc150480757"/>
      <w:bookmarkStart w:id="66" w:name="_Toc164229360"/>
      <w:bookmarkStart w:id="67" w:name="_Toc149720812"/>
      <w:bookmarkStart w:id="68" w:name="_Toc127161433"/>
      <w:bookmarkStart w:id="69" w:name="_Toc226337215"/>
      <w:r>
        <w:rPr>
          <w:rFonts w:hint="eastAsia" w:ascii="宋体" w:hAnsi="宋体"/>
          <w:b/>
          <w:bCs/>
          <w:color w:val="auto"/>
          <w:sz w:val="28"/>
          <w:szCs w:val="28"/>
          <w:highlight w:val="none"/>
        </w:rPr>
        <w:t>投标人须知资料表</w:t>
      </w:r>
    </w:p>
    <w:p w14:paraId="7196FC12">
      <w:pPr>
        <w:jc w:val="center"/>
        <w:rPr>
          <w:b/>
          <w:color w:val="auto"/>
          <w:sz w:val="28"/>
          <w:szCs w:val="28"/>
          <w:highlight w:val="none"/>
        </w:rPr>
      </w:pPr>
    </w:p>
    <w:p w14:paraId="6E7D381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本表是对投标人须知的具体补充和修改，如有矛盾，均以本资料表为准。</w:t>
      </w:r>
    </w:p>
    <w:p w14:paraId="1042ED7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标记“■”的选项意为适用于本项目，标记“□”的选项意为不适用于本项目。</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201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5F239A3">
            <w:pPr>
              <w:jc w:val="center"/>
              <w:rPr>
                <w:b/>
                <w:bCs/>
                <w:color w:val="auto"/>
                <w:sz w:val="24"/>
                <w:highlight w:val="none"/>
              </w:rPr>
            </w:pPr>
            <w:r>
              <w:rPr>
                <w:b/>
                <w:color w:val="auto"/>
                <w:sz w:val="24"/>
                <w:highlight w:val="none"/>
              </w:rPr>
              <w:t>条款号</w:t>
            </w:r>
          </w:p>
        </w:tc>
        <w:tc>
          <w:tcPr>
            <w:tcW w:w="1701" w:type="dxa"/>
            <w:vAlign w:val="center"/>
          </w:tcPr>
          <w:p w14:paraId="1A9FC34A">
            <w:pPr>
              <w:jc w:val="center"/>
              <w:rPr>
                <w:b/>
                <w:bCs/>
                <w:color w:val="auto"/>
                <w:sz w:val="24"/>
                <w:highlight w:val="none"/>
              </w:rPr>
            </w:pPr>
            <w:r>
              <w:rPr>
                <w:b/>
                <w:bCs/>
                <w:color w:val="auto"/>
                <w:sz w:val="24"/>
                <w:highlight w:val="none"/>
              </w:rPr>
              <w:t>条目</w:t>
            </w:r>
          </w:p>
        </w:tc>
        <w:tc>
          <w:tcPr>
            <w:tcW w:w="7540" w:type="dxa"/>
            <w:vAlign w:val="center"/>
          </w:tcPr>
          <w:p w14:paraId="72A7EAFC">
            <w:pPr>
              <w:jc w:val="center"/>
              <w:rPr>
                <w:b/>
                <w:bCs/>
                <w:color w:val="auto"/>
                <w:sz w:val="24"/>
                <w:highlight w:val="none"/>
              </w:rPr>
            </w:pPr>
            <w:r>
              <w:rPr>
                <w:b/>
                <w:bCs/>
                <w:color w:val="auto"/>
                <w:sz w:val="24"/>
                <w:highlight w:val="none"/>
              </w:rPr>
              <w:t>内容</w:t>
            </w:r>
          </w:p>
        </w:tc>
      </w:tr>
      <w:tr w14:paraId="7023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988" w:type="dxa"/>
            <w:vAlign w:val="center"/>
          </w:tcPr>
          <w:p w14:paraId="102869A0">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2F8F4597">
            <w:pPr>
              <w:jc w:val="center"/>
              <w:rPr>
                <w:color w:val="auto"/>
                <w:sz w:val="24"/>
                <w:highlight w:val="none"/>
              </w:rPr>
            </w:pPr>
            <w:r>
              <w:rPr>
                <w:color w:val="auto"/>
                <w:sz w:val="24"/>
                <w:highlight w:val="none"/>
              </w:rPr>
              <w:t>项目属性</w:t>
            </w:r>
          </w:p>
        </w:tc>
        <w:tc>
          <w:tcPr>
            <w:tcW w:w="7540" w:type="dxa"/>
            <w:vAlign w:val="center"/>
          </w:tcPr>
          <w:p w14:paraId="7B2FAD63">
            <w:pPr>
              <w:jc w:val="left"/>
              <w:rPr>
                <w:rFonts w:ascii="宋体" w:hAnsi="宋体" w:cs="宋体"/>
                <w:color w:val="auto"/>
                <w:sz w:val="24"/>
                <w:highlight w:val="none"/>
              </w:rPr>
            </w:pPr>
            <w:r>
              <w:rPr>
                <w:rFonts w:hint="eastAsia" w:ascii="宋体" w:hAnsi="宋体" w:cs="宋体"/>
                <w:color w:val="auto"/>
                <w:sz w:val="24"/>
                <w:highlight w:val="none"/>
              </w:rPr>
              <w:t>项目属性：</w:t>
            </w:r>
          </w:p>
          <w:p w14:paraId="0B344293">
            <w:pPr>
              <w:jc w:val="left"/>
              <w:rPr>
                <w:rFonts w:ascii="宋体" w:hAnsi="宋体" w:cs="宋体"/>
                <w:color w:val="auto"/>
                <w:sz w:val="24"/>
                <w:highlight w:val="none"/>
              </w:rPr>
            </w:pPr>
            <w:r>
              <w:rPr>
                <w:rFonts w:hint="eastAsia" w:ascii="宋体" w:hAnsi="宋体" w:cs="宋体"/>
                <w:color w:val="auto"/>
                <w:sz w:val="24"/>
                <w:highlight w:val="none"/>
              </w:rPr>
              <w:t>■服务</w:t>
            </w:r>
          </w:p>
          <w:p w14:paraId="16F34056">
            <w:pPr>
              <w:jc w:val="left"/>
              <w:rPr>
                <w:rFonts w:ascii="宋体" w:hAnsi="宋体" w:cs="宋体"/>
                <w:color w:val="auto"/>
                <w:sz w:val="24"/>
                <w:highlight w:val="none"/>
              </w:rPr>
            </w:pPr>
            <w:r>
              <w:rPr>
                <w:rFonts w:hint="eastAsia" w:ascii="宋体" w:hAnsi="宋体" w:cs="宋体"/>
                <w:color w:val="auto"/>
                <w:sz w:val="24"/>
                <w:highlight w:val="none"/>
              </w:rPr>
              <w:t>□货物</w:t>
            </w:r>
          </w:p>
        </w:tc>
      </w:tr>
      <w:tr w14:paraId="0A14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88" w:type="dxa"/>
            <w:vMerge w:val="restart"/>
            <w:vAlign w:val="center"/>
          </w:tcPr>
          <w:p w14:paraId="01BCE3FA">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2370B3E1">
            <w:pPr>
              <w:jc w:val="center"/>
              <w:rPr>
                <w:color w:val="auto"/>
                <w:sz w:val="24"/>
                <w:highlight w:val="none"/>
              </w:rPr>
            </w:pPr>
            <w:r>
              <w:rPr>
                <w:color w:val="auto"/>
                <w:sz w:val="24"/>
                <w:highlight w:val="none"/>
              </w:rPr>
              <w:t>现场考察</w:t>
            </w:r>
          </w:p>
        </w:tc>
        <w:tc>
          <w:tcPr>
            <w:tcW w:w="7540" w:type="dxa"/>
            <w:vAlign w:val="center"/>
          </w:tcPr>
          <w:p w14:paraId="79DD7758">
            <w:pPr>
              <w:jc w:val="left"/>
              <w:rPr>
                <w:rFonts w:ascii="宋体" w:hAnsi="宋体" w:cs="宋体"/>
                <w:color w:val="auto"/>
                <w:sz w:val="24"/>
                <w:highlight w:val="none"/>
              </w:rPr>
            </w:pPr>
            <w:r>
              <w:rPr>
                <w:rFonts w:hint="eastAsia" w:ascii="宋体" w:hAnsi="宋体" w:cs="宋体"/>
                <w:color w:val="auto"/>
                <w:sz w:val="24"/>
                <w:highlight w:val="none"/>
              </w:rPr>
              <w:t>■不组织</w:t>
            </w:r>
          </w:p>
          <w:p w14:paraId="2C5ADE6D">
            <w:pPr>
              <w:jc w:val="left"/>
              <w:rPr>
                <w:rFonts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61D50E20">
            <w:pPr>
              <w:pStyle w:val="24"/>
              <w:adjustRightInd w:val="0"/>
              <w:snapToGrid w:val="0"/>
              <w:rPr>
                <w:rFonts w:hint="default"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5047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988" w:type="dxa"/>
            <w:vMerge w:val="continue"/>
            <w:vAlign w:val="center"/>
          </w:tcPr>
          <w:p w14:paraId="5E70D6DA">
            <w:pPr>
              <w:pStyle w:val="24"/>
              <w:adjustRightInd w:val="0"/>
              <w:snapToGrid w:val="0"/>
              <w:jc w:val="center"/>
              <w:rPr>
                <w:rFonts w:hint="default" w:ascii="Times New Roman" w:hAnsi="Times New Roman"/>
                <w:color w:val="auto"/>
                <w:sz w:val="24"/>
                <w:szCs w:val="24"/>
                <w:highlight w:val="none"/>
              </w:rPr>
            </w:pPr>
          </w:p>
        </w:tc>
        <w:tc>
          <w:tcPr>
            <w:tcW w:w="1701" w:type="dxa"/>
            <w:vAlign w:val="center"/>
          </w:tcPr>
          <w:p w14:paraId="28D4C45B">
            <w:pPr>
              <w:jc w:val="center"/>
              <w:rPr>
                <w:color w:val="auto"/>
                <w:sz w:val="24"/>
                <w:highlight w:val="none"/>
              </w:rPr>
            </w:pPr>
            <w:r>
              <w:rPr>
                <w:color w:val="auto"/>
                <w:sz w:val="24"/>
                <w:highlight w:val="none"/>
              </w:rPr>
              <w:t>开标前答疑会</w:t>
            </w:r>
          </w:p>
        </w:tc>
        <w:tc>
          <w:tcPr>
            <w:tcW w:w="7540" w:type="dxa"/>
            <w:vAlign w:val="center"/>
          </w:tcPr>
          <w:p w14:paraId="021B3BE4">
            <w:pPr>
              <w:jc w:val="left"/>
              <w:rPr>
                <w:rFonts w:ascii="宋体" w:hAnsi="宋体" w:cs="宋体"/>
                <w:color w:val="auto"/>
                <w:sz w:val="24"/>
                <w:highlight w:val="none"/>
              </w:rPr>
            </w:pPr>
            <w:r>
              <w:rPr>
                <w:rFonts w:hint="eastAsia" w:ascii="宋体" w:hAnsi="宋体" w:cs="宋体"/>
                <w:color w:val="auto"/>
                <w:sz w:val="24"/>
                <w:highlight w:val="none"/>
              </w:rPr>
              <w:t>■不召开</w:t>
            </w:r>
          </w:p>
          <w:p w14:paraId="02C03D12">
            <w:pPr>
              <w:jc w:val="left"/>
              <w:rPr>
                <w:rFonts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5A851202">
            <w:pPr>
              <w:jc w:val="left"/>
              <w:rPr>
                <w:rFonts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34FA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8" w:type="dxa"/>
            <w:vAlign w:val="center"/>
          </w:tcPr>
          <w:p w14:paraId="7A5B1AA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5B2B74B3">
            <w:pPr>
              <w:jc w:val="center"/>
              <w:rPr>
                <w:color w:val="auto"/>
                <w:sz w:val="24"/>
                <w:highlight w:val="none"/>
              </w:rPr>
            </w:pPr>
            <w:r>
              <w:rPr>
                <w:color w:val="auto"/>
                <w:sz w:val="24"/>
                <w:highlight w:val="none"/>
              </w:rPr>
              <w:t>标的所属行业</w:t>
            </w:r>
          </w:p>
        </w:tc>
        <w:tc>
          <w:tcPr>
            <w:tcW w:w="7540" w:type="dxa"/>
            <w:vAlign w:val="center"/>
          </w:tcPr>
          <w:p w14:paraId="707BDE4B">
            <w:pPr>
              <w:widowControl/>
              <w:jc w:val="left"/>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w:t>
            </w:r>
            <w:r>
              <w:rPr>
                <w:rFonts w:hint="eastAsia" w:ascii="宋体" w:hAnsi="宋体" w:cs="宋体"/>
                <w:b/>
                <w:bCs/>
                <w:color w:val="auto"/>
                <w:kern w:val="0"/>
                <w:sz w:val="24"/>
                <w:highlight w:val="none"/>
                <w:u w:val="single"/>
                <w:lang w:val="en-US" w:eastAsia="zh-CN" w:bidi="ar"/>
              </w:rPr>
              <w:t>建筑业</w:t>
            </w:r>
          </w:p>
        </w:tc>
      </w:tr>
      <w:tr w14:paraId="31A2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8" w:type="dxa"/>
            <w:vAlign w:val="center"/>
          </w:tcPr>
          <w:p w14:paraId="2723B625">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65A40066">
            <w:pPr>
              <w:jc w:val="center"/>
              <w:rPr>
                <w:color w:val="auto"/>
                <w:sz w:val="24"/>
                <w:highlight w:val="none"/>
              </w:rPr>
            </w:pPr>
            <w:r>
              <w:rPr>
                <w:rFonts w:hint="eastAsia"/>
                <w:color w:val="auto"/>
                <w:sz w:val="24"/>
                <w:highlight w:val="none"/>
              </w:rPr>
              <w:t>投标报价</w:t>
            </w:r>
          </w:p>
        </w:tc>
        <w:tc>
          <w:tcPr>
            <w:tcW w:w="7540" w:type="dxa"/>
            <w:vAlign w:val="center"/>
          </w:tcPr>
          <w:p w14:paraId="7C7980D0">
            <w:pPr>
              <w:jc w:val="left"/>
              <w:rPr>
                <w:rFonts w:ascii="宋体" w:hAnsi="宋体" w:cs="宋体"/>
                <w:color w:val="auto"/>
                <w:sz w:val="24"/>
                <w:highlight w:val="none"/>
              </w:rPr>
            </w:pPr>
            <w:r>
              <w:rPr>
                <w:rFonts w:hint="eastAsia" w:ascii="宋体" w:hAnsi="宋体" w:cs="宋体"/>
                <w:color w:val="auto"/>
                <w:sz w:val="24"/>
                <w:highlight w:val="none"/>
              </w:rPr>
              <w:t>投标报价的特殊规定：</w:t>
            </w:r>
          </w:p>
          <w:p w14:paraId="4B9A5A1A">
            <w:pPr>
              <w:jc w:val="left"/>
              <w:rPr>
                <w:rFonts w:ascii="宋体" w:hAnsi="宋体" w:cs="宋体"/>
                <w:color w:val="auto"/>
                <w:sz w:val="24"/>
                <w:highlight w:val="none"/>
              </w:rPr>
            </w:pPr>
            <w:r>
              <w:rPr>
                <w:rFonts w:hint="eastAsia" w:ascii="宋体" w:hAnsi="宋体" w:cs="宋体"/>
                <w:color w:val="auto"/>
                <w:sz w:val="24"/>
                <w:highlight w:val="none"/>
              </w:rPr>
              <w:t>■无</w:t>
            </w:r>
          </w:p>
          <w:p w14:paraId="5CB48AC7">
            <w:pPr>
              <w:jc w:val="left"/>
              <w:rPr>
                <w:rFonts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683FE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88" w:type="dxa"/>
            <w:vAlign w:val="center"/>
          </w:tcPr>
          <w:p w14:paraId="6A1CC753">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vAlign w:val="center"/>
          </w:tcPr>
          <w:p w14:paraId="44CC78C1">
            <w:pPr>
              <w:jc w:val="center"/>
              <w:rPr>
                <w:color w:val="auto"/>
                <w:sz w:val="24"/>
                <w:highlight w:val="none"/>
              </w:rPr>
            </w:pPr>
            <w:r>
              <w:rPr>
                <w:rFonts w:hint="eastAsia"/>
                <w:color w:val="auto"/>
                <w:sz w:val="24"/>
                <w:highlight w:val="none"/>
              </w:rPr>
              <w:t>投标保证金</w:t>
            </w:r>
          </w:p>
        </w:tc>
        <w:tc>
          <w:tcPr>
            <w:tcW w:w="7540" w:type="dxa"/>
            <w:vAlign w:val="center"/>
          </w:tcPr>
          <w:p w14:paraId="4AF2EBE9">
            <w:pPr>
              <w:jc w:val="left"/>
              <w:rPr>
                <w:rFonts w:ascii="宋体" w:hAnsi="宋体" w:cs="宋体"/>
                <w:color w:val="auto"/>
                <w:sz w:val="24"/>
                <w:highlight w:val="none"/>
              </w:rPr>
            </w:pPr>
            <w:r>
              <w:rPr>
                <w:rFonts w:hint="eastAsia" w:ascii="宋体" w:hAnsi="宋体" w:cs="宋体"/>
                <w:color w:val="auto"/>
                <w:sz w:val="24"/>
                <w:highlight w:val="none"/>
              </w:rPr>
              <w:t>免收</w:t>
            </w:r>
          </w:p>
        </w:tc>
      </w:tr>
      <w:tr w14:paraId="6450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1B9157A6">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04E98525">
            <w:pPr>
              <w:jc w:val="center"/>
              <w:rPr>
                <w:color w:val="auto"/>
                <w:sz w:val="24"/>
                <w:highlight w:val="none"/>
              </w:rPr>
            </w:pPr>
            <w:r>
              <w:rPr>
                <w:color w:val="auto"/>
                <w:sz w:val="24"/>
                <w:highlight w:val="none"/>
              </w:rPr>
              <w:t>投标有效期</w:t>
            </w:r>
          </w:p>
        </w:tc>
        <w:tc>
          <w:tcPr>
            <w:tcW w:w="7540" w:type="dxa"/>
            <w:vAlign w:val="center"/>
          </w:tcPr>
          <w:p w14:paraId="520EE00F">
            <w:pPr>
              <w:jc w:val="left"/>
              <w:rPr>
                <w:rFonts w:ascii="宋体" w:hAnsi="宋体" w:cs="宋体"/>
                <w:color w:val="auto"/>
                <w:sz w:val="24"/>
                <w:highlight w:val="none"/>
              </w:rPr>
            </w:pPr>
            <w:r>
              <w:rPr>
                <w:rFonts w:hint="eastAsia" w:ascii="宋体" w:hAnsi="宋体" w:cs="宋体"/>
                <w:color w:val="auto"/>
                <w:sz w:val="24"/>
                <w:highlight w:val="none"/>
              </w:rPr>
              <w:t>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2A1F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jc w:val="center"/>
        </w:trPr>
        <w:tc>
          <w:tcPr>
            <w:tcW w:w="988" w:type="dxa"/>
            <w:vAlign w:val="center"/>
          </w:tcPr>
          <w:p w14:paraId="4D9B9CB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6FE136CE">
            <w:pPr>
              <w:jc w:val="center"/>
              <w:rPr>
                <w:color w:val="auto"/>
                <w:sz w:val="24"/>
                <w:highlight w:val="none"/>
              </w:rPr>
            </w:pPr>
            <w:r>
              <w:rPr>
                <w:color w:val="auto"/>
                <w:sz w:val="24"/>
                <w:highlight w:val="none"/>
              </w:rPr>
              <w:t>分包</w:t>
            </w:r>
          </w:p>
        </w:tc>
        <w:tc>
          <w:tcPr>
            <w:tcW w:w="7540" w:type="dxa"/>
            <w:vAlign w:val="center"/>
          </w:tcPr>
          <w:p w14:paraId="051D741C">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p>
          <w:p w14:paraId="42FDB0CC">
            <w:pPr>
              <w:jc w:val="left"/>
              <w:rPr>
                <w:rFonts w:ascii="宋体" w:hAnsi="宋体" w:cs="宋体"/>
                <w:color w:val="auto"/>
                <w:sz w:val="24"/>
                <w:highlight w:val="none"/>
              </w:rPr>
            </w:pPr>
            <w:r>
              <w:rPr>
                <w:rFonts w:hint="eastAsia" w:ascii="宋体" w:hAnsi="宋体" w:cs="宋体"/>
                <w:color w:val="auto"/>
                <w:sz w:val="24"/>
                <w:highlight w:val="none"/>
              </w:rPr>
              <w:t>■不允许</w:t>
            </w:r>
          </w:p>
          <w:p w14:paraId="546866DB">
            <w:pPr>
              <w:jc w:val="left"/>
              <w:rPr>
                <w:rFonts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B036D34">
            <w:pPr>
              <w:jc w:val="left"/>
              <w:rPr>
                <w:rFonts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AE0190">
            <w:pPr>
              <w:jc w:val="left"/>
              <w:rPr>
                <w:rFonts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BC697A">
            <w:pPr>
              <w:jc w:val="left"/>
              <w:rPr>
                <w:rFonts w:ascii="宋体" w:hAnsi="宋体" w:cs="宋体"/>
                <w:color w:val="auto"/>
                <w:sz w:val="24"/>
                <w:highlight w:val="non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03D0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988" w:type="dxa"/>
            <w:vAlign w:val="center"/>
          </w:tcPr>
          <w:p w14:paraId="39058D7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2B2D3DBB">
            <w:pPr>
              <w:jc w:val="center"/>
              <w:rPr>
                <w:color w:val="auto"/>
                <w:sz w:val="24"/>
                <w:highlight w:val="none"/>
              </w:rPr>
            </w:pPr>
            <w:r>
              <w:rPr>
                <w:color w:val="auto"/>
                <w:sz w:val="24"/>
                <w:highlight w:val="none"/>
              </w:rPr>
              <w:t>询问</w:t>
            </w:r>
          </w:p>
        </w:tc>
        <w:tc>
          <w:tcPr>
            <w:tcW w:w="7540" w:type="dxa"/>
            <w:vAlign w:val="center"/>
          </w:tcPr>
          <w:p w14:paraId="46548D12">
            <w:pPr>
              <w:jc w:val="left"/>
              <w:rPr>
                <w:rFonts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4</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日</w:t>
            </w:r>
            <w:r>
              <w:rPr>
                <w:rFonts w:hint="eastAsia" w:ascii="宋体" w:hAnsi="宋体" w:cs="宋体"/>
                <w:color w:val="auto"/>
                <w:sz w:val="24"/>
                <w:highlight w:val="none"/>
                <w:u w:val="single"/>
              </w:rPr>
              <w:t>11:00（北京时间）前以书面形式递交至</w:t>
            </w:r>
            <w:r>
              <w:rPr>
                <w:rFonts w:hint="eastAsia" w:ascii="宋体" w:hAnsi="宋体" w:cs="宋体"/>
                <w:color w:val="auto"/>
                <w:sz w:val="24"/>
                <w:highlight w:val="none"/>
                <w:u w:val="single"/>
                <w:lang w:eastAsia="zh-CN"/>
              </w:rPr>
              <w:t>江苏建安造价师事务所有限公司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tc>
      </w:tr>
      <w:tr w14:paraId="7E06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988" w:type="dxa"/>
            <w:vAlign w:val="center"/>
          </w:tcPr>
          <w:p w14:paraId="18DAD158">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449340D4">
            <w:pPr>
              <w:jc w:val="center"/>
              <w:rPr>
                <w:color w:val="auto"/>
                <w:sz w:val="24"/>
                <w:highlight w:val="none"/>
              </w:rPr>
            </w:pPr>
            <w:r>
              <w:rPr>
                <w:color w:val="auto"/>
                <w:sz w:val="24"/>
                <w:highlight w:val="none"/>
              </w:rPr>
              <w:t>联系方式</w:t>
            </w:r>
          </w:p>
        </w:tc>
        <w:tc>
          <w:tcPr>
            <w:tcW w:w="7540" w:type="dxa"/>
            <w:vAlign w:val="center"/>
          </w:tcPr>
          <w:p w14:paraId="47D4B5DC">
            <w:pPr>
              <w:jc w:val="left"/>
              <w:rPr>
                <w:rFonts w:ascii="宋体" w:hAnsi="宋体" w:cs="宋体"/>
                <w:color w:val="auto"/>
                <w:sz w:val="24"/>
                <w:highlight w:val="none"/>
              </w:rPr>
            </w:pPr>
            <w:r>
              <w:rPr>
                <w:rFonts w:hint="eastAsia" w:ascii="宋体" w:hAnsi="宋体" w:cs="宋体"/>
                <w:color w:val="auto"/>
                <w:sz w:val="24"/>
                <w:highlight w:val="none"/>
              </w:rPr>
              <w:t>接收询问和质疑的联系方式</w:t>
            </w:r>
          </w:p>
          <w:p w14:paraId="19342CF9">
            <w:pPr>
              <w:jc w:val="left"/>
              <w:rPr>
                <w:rFonts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杨工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311AF67">
            <w:pPr>
              <w:jc w:val="left"/>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0519-86801355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182BC7A">
            <w:pPr>
              <w:jc w:val="left"/>
              <w:rPr>
                <w:rFonts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常州市钟楼区景尚路1号景尚大厦4楼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tc>
      </w:tr>
      <w:tr w14:paraId="0C0C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317892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853E0C2">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0674A30">
            <w:pPr>
              <w:jc w:val="left"/>
              <w:rPr>
                <w:rFonts w:ascii="宋体" w:hAnsi="宋体" w:cs="宋体"/>
                <w:color w:val="auto"/>
                <w:sz w:val="24"/>
                <w:highlight w:val="none"/>
              </w:rPr>
            </w:pPr>
            <w:r>
              <w:rPr>
                <w:rFonts w:hint="eastAsia" w:ascii="宋体" w:hAnsi="宋体" w:cs="宋体"/>
                <w:color w:val="auto"/>
                <w:sz w:val="24"/>
                <w:highlight w:val="none"/>
              </w:rPr>
              <w:t>收费对象：</w:t>
            </w:r>
          </w:p>
          <w:p w14:paraId="137D419D">
            <w:pPr>
              <w:jc w:val="left"/>
              <w:rPr>
                <w:rFonts w:ascii="宋体" w:hAnsi="宋体" w:cs="宋体"/>
                <w:color w:val="auto"/>
                <w:sz w:val="24"/>
                <w:highlight w:val="none"/>
              </w:rPr>
            </w:pPr>
            <w:r>
              <w:rPr>
                <w:rFonts w:hint="eastAsia" w:ascii="宋体" w:hAnsi="宋体" w:cs="宋体"/>
                <w:color w:val="auto"/>
                <w:sz w:val="24"/>
                <w:highlight w:val="none"/>
              </w:rPr>
              <w:t>□采购人</w:t>
            </w:r>
          </w:p>
          <w:p w14:paraId="69CCF764">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eastAsia="zh-CN"/>
              </w:rPr>
              <w:t>中标人</w:t>
            </w:r>
          </w:p>
          <w:p w14:paraId="5BC32ABF">
            <w:pPr>
              <w:jc w:val="left"/>
              <w:rPr>
                <w:rFonts w:ascii="宋体" w:hAnsi="宋体" w:cs="宋体"/>
                <w:color w:val="auto"/>
                <w:sz w:val="24"/>
                <w:highlight w:val="none"/>
                <w:u w:val="single"/>
              </w:rPr>
            </w:pPr>
            <w:r>
              <w:rPr>
                <w:rFonts w:hint="eastAsia" w:ascii="宋体" w:hAnsi="宋体" w:cs="宋体"/>
                <w:color w:val="auto"/>
                <w:sz w:val="24"/>
                <w:highlight w:val="none"/>
              </w:rPr>
              <w:t>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rPr>
              <w:t>收费比例按差额定率分档累进法计算，收费差额费率：</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金额在100万元(含)以下的为1.5%，</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金额在100万元（不含）至500万元（含）的为0.8%</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lang w:val="en-US" w:eastAsia="zh-CN"/>
              </w:rPr>
              <w:t>中标</w:t>
            </w:r>
            <w:r>
              <w:rPr>
                <w:rFonts w:hint="eastAsia" w:ascii="宋体" w:hAnsi="宋体" w:eastAsia="宋体" w:cs="宋体"/>
                <w:color w:val="auto"/>
                <w:sz w:val="24"/>
                <w:szCs w:val="24"/>
                <w:highlight w:val="none"/>
                <w:u w:val="single"/>
              </w:rPr>
              <w:t>金额在</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00万元（不含）至</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00万元（含）的为0.</w:t>
            </w:r>
            <w:r>
              <w:rPr>
                <w:rFonts w:hint="eastAsia" w:ascii="宋体" w:hAnsi="宋体" w:eastAsia="宋体" w:cs="宋体"/>
                <w:color w:val="auto"/>
                <w:sz w:val="24"/>
                <w:szCs w:val="24"/>
                <w:highlight w:val="none"/>
                <w:u w:val="single"/>
                <w:lang w:val="en-US" w:eastAsia="zh-CN"/>
              </w:rPr>
              <w:t>45</w:t>
            </w:r>
            <w:r>
              <w:rPr>
                <w:rFonts w:hint="eastAsia" w:ascii="宋体" w:hAnsi="宋体" w:eastAsia="宋体" w:cs="宋体"/>
                <w:color w:val="auto"/>
                <w:sz w:val="24"/>
                <w:szCs w:val="24"/>
                <w:highlight w:val="none"/>
                <w:u w:val="single"/>
              </w:rPr>
              <w:t>%，</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shd w:val="clear" w:color="auto" w:fill="auto"/>
              </w:rPr>
              <w:t>服务收费按上述计算方法</w:t>
            </w:r>
            <w:r>
              <w:rPr>
                <w:rFonts w:hint="eastAsia" w:ascii="宋体" w:hAnsi="宋体" w:cs="宋体"/>
                <w:color w:val="auto"/>
                <w:sz w:val="24"/>
                <w:szCs w:val="24"/>
                <w:highlight w:val="none"/>
                <w:u w:val="single"/>
                <w:shd w:val="clear" w:color="auto" w:fill="auto"/>
                <w:lang w:val="en-US" w:eastAsia="zh-CN"/>
              </w:rPr>
              <w:t>的100%</w:t>
            </w:r>
            <w:r>
              <w:rPr>
                <w:rFonts w:hint="eastAsia" w:ascii="宋体" w:hAnsi="宋体" w:eastAsia="宋体" w:cs="宋体"/>
                <w:color w:val="auto"/>
                <w:sz w:val="24"/>
                <w:szCs w:val="24"/>
                <w:highlight w:val="none"/>
                <w:u w:val="single"/>
                <w:shd w:val="clear" w:color="auto" w:fill="auto"/>
                <w:lang w:val="en-US" w:eastAsia="zh-CN"/>
              </w:rPr>
              <w:t>收取，</w:t>
            </w:r>
            <w:r>
              <w:rPr>
                <w:rFonts w:hint="eastAsia" w:ascii="宋体" w:hAnsi="宋体" w:eastAsia="宋体" w:cs="宋体"/>
                <w:color w:val="auto"/>
                <w:sz w:val="24"/>
                <w:szCs w:val="24"/>
                <w:highlight w:val="none"/>
                <w:u w:val="single"/>
                <w:shd w:val="clear" w:color="auto" w:fill="auto"/>
              </w:rPr>
              <w:t>不足人民币3000元的，按人民币3000元收取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A4C3B81">
            <w:pPr>
              <w:jc w:val="left"/>
              <w:rPr>
                <w:rFonts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中标人</w:t>
            </w:r>
            <w:r>
              <w:rPr>
                <w:rFonts w:hint="eastAsia" w:ascii="宋体" w:hAnsi="宋体" w:cs="宋体"/>
                <w:color w:val="auto"/>
                <w:sz w:val="24"/>
                <w:highlight w:val="none"/>
                <w:u w:val="single"/>
              </w:rPr>
              <w:t xml:space="preserve">应在领取中标通知书时将中标服务费付至采购代理机构的账户并备注项目编号 </w:t>
            </w:r>
            <w:r>
              <w:rPr>
                <w:rFonts w:hint="eastAsia" w:ascii="宋体" w:hAnsi="宋体" w:cs="宋体"/>
                <w:color w:val="auto"/>
                <w:sz w:val="24"/>
                <w:highlight w:val="none"/>
              </w:rPr>
              <w:t>。</w:t>
            </w:r>
          </w:p>
          <w:p w14:paraId="0DA76C12">
            <w:pPr>
              <w:jc w:val="lef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u w:val="single"/>
              </w:rPr>
              <w:t>收款单位：</w:t>
            </w:r>
            <w:r>
              <w:rPr>
                <w:rFonts w:hint="eastAsia" w:ascii="宋体" w:hAnsi="宋体" w:cs="宋体"/>
                <w:color w:val="auto"/>
                <w:sz w:val="24"/>
                <w:highlight w:val="none"/>
                <w:u w:val="single"/>
                <w:lang w:eastAsia="zh-CN"/>
              </w:rPr>
              <w:t>江苏建安造价师事务所有限公司</w:t>
            </w:r>
          </w:p>
          <w:p w14:paraId="69AAA30E">
            <w:pPr>
              <w:jc w:val="lef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u w:val="single"/>
              </w:rPr>
              <w:t>银行账号：</w:t>
            </w:r>
            <w:r>
              <w:rPr>
                <w:rFonts w:hint="eastAsia" w:ascii="宋体" w:hAnsi="宋体" w:cs="宋体"/>
                <w:color w:val="auto"/>
                <w:sz w:val="24"/>
                <w:highlight w:val="none"/>
                <w:u w:val="single"/>
                <w:lang w:eastAsia="zh-CN"/>
              </w:rPr>
              <w:t>3204011201201000017845</w:t>
            </w:r>
          </w:p>
          <w:p w14:paraId="64185924">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u w:val="single"/>
              </w:rPr>
              <w:t>开户银行：</w:t>
            </w:r>
            <w:r>
              <w:rPr>
                <w:rFonts w:hint="eastAsia" w:ascii="宋体" w:hAnsi="宋体" w:cs="宋体"/>
                <w:color w:val="auto"/>
                <w:sz w:val="24"/>
                <w:highlight w:val="none"/>
                <w:u w:val="single"/>
                <w:lang w:eastAsia="zh-CN"/>
              </w:rPr>
              <w:t>江苏江南农村商业银行股份有限公司常州市钟楼支行</w:t>
            </w:r>
          </w:p>
        </w:tc>
      </w:tr>
      <w:tr w14:paraId="4CC95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6"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7FB0D19">
            <w:pPr>
              <w:pStyle w:val="24"/>
              <w:adjustRightInd w:val="0"/>
              <w:snapToGrid w:val="0"/>
              <w:jc w:val="center"/>
              <w:rPr>
                <w:rFonts w:hint="default"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2.8</w:t>
            </w:r>
          </w:p>
        </w:tc>
        <w:tc>
          <w:tcPr>
            <w:tcW w:w="1701" w:type="dxa"/>
            <w:tcBorders>
              <w:top w:val="single" w:color="auto" w:sz="4" w:space="0"/>
              <w:left w:val="single" w:color="auto" w:sz="4" w:space="0"/>
              <w:bottom w:val="single" w:color="auto" w:sz="4" w:space="0"/>
              <w:right w:val="single" w:color="auto" w:sz="4" w:space="0"/>
            </w:tcBorders>
            <w:vAlign w:val="center"/>
          </w:tcPr>
          <w:p w14:paraId="7FB1722B">
            <w:pPr>
              <w:jc w:val="center"/>
              <w:rPr>
                <w:color w:val="auto"/>
                <w:sz w:val="24"/>
                <w:highlight w:val="none"/>
              </w:rPr>
            </w:pPr>
            <w:r>
              <w:rPr>
                <w:rFonts w:hint="eastAsia"/>
                <w:color w:val="auto"/>
                <w:sz w:val="24"/>
                <w:highlight w:val="none"/>
              </w:rPr>
              <w:t>电子系统意外情况处理条款</w:t>
            </w:r>
          </w:p>
        </w:tc>
        <w:tc>
          <w:tcPr>
            <w:tcW w:w="7540" w:type="dxa"/>
            <w:tcBorders>
              <w:top w:val="single" w:color="auto" w:sz="4" w:space="0"/>
              <w:left w:val="single" w:color="auto" w:sz="4" w:space="0"/>
              <w:bottom w:val="single" w:color="auto" w:sz="4" w:space="0"/>
              <w:right w:val="single" w:color="auto" w:sz="4" w:space="0"/>
            </w:tcBorders>
            <w:vAlign w:val="center"/>
          </w:tcPr>
          <w:p w14:paraId="30B37C26">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为确保本项目电子化采购活动顺利进行，防范化解采购风险，特制定相关情形处置举措。所有潜在投标人及参与各方均应知悉并遵守以下规定：</w:t>
            </w:r>
          </w:p>
          <w:p w14:paraId="6E17CB01">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1.意外情况定义：本条款所称“电子交易系统无法访问等意外情况”，是指在政府采购电子交易平台使用过程中，出现包括但不限于网络中断、服务器故障、应用软件或数据库错误等情形，导致采购活动无法正常进行。</w:t>
            </w:r>
          </w:p>
          <w:p w14:paraId="51F1F318">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2.开标前环节故障处置：在</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报名、</w:t>
            </w:r>
            <w:r>
              <w:rPr>
                <w:rFonts w:hint="eastAsia" w:ascii="宋体" w:hAnsi="宋体" w:cs="宋体"/>
                <w:color w:val="auto"/>
                <w:sz w:val="24"/>
                <w:highlight w:val="none"/>
                <w:u w:val="none"/>
                <w:lang w:eastAsia="zh-CN"/>
              </w:rPr>
              <w:t>投标文件</w:t>
            </w:r>
            <w:r>
              <w:rPr>
                <w:rFonts w:hint="eastAsia" w:ascii="宋体" w:hAnsi="宋体" w:cs="宋体"/>
                <w:color w:val="auto"/>
                <w:sz w:val="24"/>
                <w:highlight w:val="none"/>
                <w:u w:val="none"/>
              </w:rPr>
              <w:t>上传、</w:t>
            </w:r>
            <w:r>
              <w:rPr>
                <w:rFonts w:hint="eastAsia" w:ascii="宋体" w:hAnsi="宋体" w:cs="宋体"/>
                <w:color w:val="auto"/>
                <w:sz w:val="24"/>
                <w:highlight w:val="none"/>
                <w:u w:val="none"/>
                <w:lang w:eastAsia="zh-CN"/>
              </w:rPr>
              <w:t>投标文件</w:t>
            </w:r>
            <w:r>
              <w:rPr>
                <w:rFonts w:hint="eastAsia" w:ascii="宋体" w:hAnsi="宋体" w:cs="宋体"/>
                <w:color w:val="auto"/>
                <w:sz w:val="24"/>
                <w:highlight w:val="none"/>
                <w:u w:val="none"/>
              </w:rPr>
              <w:t>解密及唱标环节等开标活动开始前的任何环节出现系统无法访问的情形，采购代理机构将按照以下原则处置：</w:t>
            </w:r>
          </w:p>
          <w:p w14:paraId="01EDFDA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（一）若故障可在短时间内排除，采购代理机构将等待系统修复后，继续开展采购活动。</w:t>
            </w:r>
          </w:p>
          <w:p w14:paraId="6E8E3AC2">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（二）若故障无法在预定开标时间前排除，或故障情况严重影响公平竞争，采购代理机构将通过发布更正公告推迟开标。</w:t>
            </w:r>
          </w:p>
          <w:p w14:paraId="60FF2500">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（三）若因故障导致有效投标人不足法定家数或出现其他法定废标情形，采购代理机构将发布废标（终止）公告，重新开展采购活动。</w:t>
            </w:r>
          </w:p>
          <w:p w14:paraId="749AC842">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特别说明：本项目</w:t>
            </w:r>
            <w:r>
              <w:rPr>
                <w:rFonts w:hint="eastAsia" w:ascii="宋体" w:hAnsi="宋体" w:cs="宋体"/>
                <w:color w:val="auto"/>
                <w:sz w:val="24"/>
                <w:highlight w:val="none"/>
                <w:u w:val="none"/>
                <w:lang w:eastAsia="zh-CN"/>
              </w:rPr>
              <w:t>投标文件</w:t>
            </w:r>
            <w:r>
              <w:rPr>
                <w:rFonts w:hint="eastAsia" w:ascii="宋体" w:hAnsi="宋体" w:cs="宋体"/>
                <w:color w:val="auto"/>
                <w:sz w:val="24"/>
                <w:highlight w:val="none"/>
                <w:u w:val="none"/>
              </w:rPr>
              <w:t>递交方式以招标文件载明为准。在电子系统发生故障时，采购代理机构仅依据上述程序处理，不接受任何现场提交的纸质、U盘等非招标文件规定的</w:t>
            </w:r>
            <w:r>
              <w:rPr>
                <w:rFonts w:hint="eastAsia" w:ascii="宋体" w:hAnsi="宋体" w:cs="宋体"/>
                <w:color w:val="auto"/>
                <w:sz w:val="24"/>
                <w:highlight w:val="none"/>
                <w:u w:val="none"/>
                <w:lang w:eastAsia="zh-CN"/>
              </w:rPr>
              <w:t>投标文件</w:t>
            </w:r>
            <w:r>
              <w:rPr>
                <w:rFonts w:hint="eastAsia" w:ascii="宋体" w:hAnsi="宋体" w:cs="宋体"/>
                <w:color w:val="auto"/>
                <w:sz w:val="24"/>
                <w:highlight w:val="none"/>
                <w:u w:val="none"/>
              </w:rPr>
              <w:t>。</w:t>
            </w:r>
          </w:p>
          <w:p w14:paraId="71AD7306">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3.评审过程中故障处置：在评审委员会组建后至评审报告出具前的评审过程中出现系统无法访问的情形，采购代理机构将按照以下原则处置：</w:t>
            </w:r>
          </w:p>
          <w:p w14:paraId="4084EEB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（一）立即暂停评审：采购代理机构将立即宣布暂停评审活动，并采取必要措施封存所有</w:t>
            </w:r>
            <w:r>
              <w:rPr>
                <w:rFonts w:hint="eastAsia" w:ascii="宋体" w:hAnsi="宋体" w:cs="宋体"/>
                <w:color w:val="auto"/>
                <w:sz w:val="24"/>
                <w:highlight w:val="none"/>
                <w:u w:val="none"/>
                <w:lang w:eastAsia="zh-CN"/>
              </w:rPr>
              <w:t>投标文件</w:t>
            </w:r>
            <w:r>
              <w:rPr>
                <w:rFonts w:hint="eastAsia" w:ascii="宋体" w:hAnsi="宋体" w:cs="宋体"/>
                <w:color w:val="auto"/>
                <w:sz w:val="24"/>
                <w:highlight w:val="none"/>
                <w:u w:val="none"/>
              </w:rPr>
              <w:t>及评审记录。</w:t>
            </w:r>
          </w:p>
          <w:p w14:paraId="55315897">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（二）处置方案：视故障排除情况，采购代理机构将选择：</w:t>
            </w:r>
          </w:p>
          <w:p w14:paraId="4DCBB1CF">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1.若故障可在短时间内排除，采购代理机构将等待系统修复后，由原评审委员会继续完成评审；</w:t>
            </w:r>
          </w:p>
          <w:p w14:paraId="7809AAEE">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2. 若故障无法在当日排除，或故障导致评审无法公正进行，将发布废标（终止）公告，重新开展采购活动；</w:t>
            </w:r>
          </w:p>
          <w:p w14:paraId="09A7AD59">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3.若需在第二日继续评审，采购代理机构将重新从政府采购评审专家库中抽取专家，组建新的评审委员会，在系统修复后继续评审活动。</w:t>
            </w:r>
          </w:p>
          <w:p w14:paraId="2920A63F">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应密切关注上述网站公告，公告内容对各方具有约束力。</w:t>
            </w:r>
          </w:p>
          <w:p w14:paraId="238F35C0">
            <w:pPr>
              <w:rPr>
                <w:rFonts w:hint="eastAsia" w:ascii="宋体" w:hAnsi="宋体" w:cs="宋体"/>
                <w:color w:val="auto"/>
                <w:sz w:val="24"/>
                <w:highlight w:val="none"/>
                <w:u w:val="single"/>
              </w:rPr>
            </w:pPr>
            <w:r>
              <w:rPr>
                <w:rFonts w:hint="eastAsia" w:ascii="宋体" w:hAnsi="宋体" w:cs="宋体"/>
                <w:color w:val="auto"/>
                <w:sz w:val="24"/>
                <w:highlight w:val="none"/>
                <w:u w:val="none"/>
              </w:rPr>
              <w:t>（四）</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责任：</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有责任确保自身网络环境、设备及数字证书（CA）的正常，并在招标文件规定的期限内完成文件上传、解密等操作。因</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自身原因导致的操作失败，不适用本意外情况处理条款。</w:t>
            </w:r>
          </w:p>
        </w:tc>
      </w:tr>
    </w:tbl>
    <w:p w14:paraId="080AFAE6">
      <w:pPr>
        <w:tabs>
          <w:tab w:val="left" w:pos="5580"/>
        </w:tabs>
        <w:adjustRightInd w:val="0"/>
        <w:spacing w:line="360" w:lineRule="auto"/>
        <w:jc w:val="distribute"/>
        <w:rPr>
          <w:color w:val="auto"/>
          <w:sz w:val="24"/>
          <w:highlight w:val="none"/>
        </w:rPr>
        <w:sectPr>
          <w:headerReference r:id="rId8" w:type="first"/>
          <w:footerReference r:id="rId10" w:type="first"/>
          <w:headerReference r:id="rId7" w:type="default"/>
          <w:footerReference r:id="rId9" w:type="default"/>
          <w:type w:val="nextColumn"/>
          <w:pgSz w:w="11907" w:h="16840"/>
          <w:pgMar w:top="1418" w:right="1134" w:bottom="1418" w:left="1701" w:header="851" w:footer="851" w:gutter="0"/>
          <w:pgNumType w:fmt="decimal"/>
          <w:cols w:space="720" w:num="1"/>
          <w:titlePg/>
          <w:docGrid w:linePitch="462" w:charSpace="0"/>
        </w:sectPr>
      </w:pPr>
    </w:p>
    <w:p w14:paraId="4DA1B2F8">
      <w:pPr>
        <w:spacing w:before="312" w:beforeLines="100" w:after="312" w:afterLines="100"/>
        <w:jc w:val="center"/>
        <w:rPr>
          <w:b/>
          <w:color w:val="auto"/>
          <w:sz w:val="28"/>
          <w:szCs w:val="28"/>
          <w:highlight w:val="none"/>
        </w:rPr>
      </w:pPr>
      <w:bookmarkStart w:id="70" w:name="_Toc353873932"/>
      <w:bookmarkStart w:id="71" w:name="_Toc265228355"/>
      <w:bookmarkStart w:id="72" w:name="_Toc353873662"/>
      <w:bookmarkStart w:id="73" w:name="_Toc226337213"/>
      <w:bookmarkStart w:id="74" w:name="_Toc195842882"/>
      <w:bookmarkStart w:id="75" w:name="_Toc142311019"/>
      <w:bookmarkStart w:id="76" w:name="_Toc226965790"/>
      <w:bookmarkStart w:id="77" w:name="_Toc127151517"/>
      <w:bookmarkStart w:id="78" w:name="_Toc305158785"/>
      <w:bookmarkStart w:id="79" w:name="_Toc150480755"/>
      <w:bookmarkStart w:id="80" w:name="_Toc305158859"/>
      <w:bookmarkStart w:id="81" w:name="_Toc264969207"/>
      <w:bookmarkStart w:id="82" w:name="_Toc150774722"/>
      <w:bookmarkStart w:id="83" w:name="_Toc353825542"/>
      <w:r>
        <w:rPr>
          <w:b/>
          <w:color w:val="auto"/>
          <w:sz w:val="28"/>
          <w:szCs w:val="28"/>
          <w:highlight w:val="none"/>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A6665BA">
      <w:pPr>
        <w:snapToGrid w:val="0"/>
        <w:spacing w:line="360" w:lineRule="auto"/>
        <w:jc w:val="center"/>
        <w:rPr>
          <w:rFonts w:ascii="宋体" w:hAnsi="宋体"/>
          <w:b/>
          <w:bCs/>
          <w:color w:val="auto"/>
          <w:sz w:val="28"/>
          <w:szCs w:val="28"/>
          <w:highlight w:val="none"/>
        </w:rPr>
      </w:pPr>
      <w:bookmarkStart w:id="84" w:name="_Toc150774723"/>
      <w:bookmarkStart w:id="85" w:name="_Toc151193832"/>
      <w:bookmarkStart w:id="86" w:name="_Toc127151518"/>
      <w:bookmarkStart w:id="87" w:name="_Toc151193906"/>
      <w:bookmarkStart w:id="88" w:name="_Toc151193760"/>
      <w:bookmarkStart w:id="89" w:name="_Toc305158786"/>
      <w:bookmarkStart w:id="90" w:name="_Toc265228356"/>
      <w:bookmarkStart w:id="91" w:name="_Toc150480756"/>
      <w:bookmarkStart w:id="92" w:name="_Toc150774618"/>
      <w:bookmarkStart w:id="93" w:name="_Toc151193616"/>
      <w:bookmarkStart w:id="94" w:name="_Toc226309762"/>
      <w:bookmarkStart w:id="95" w:name="_Toc520356143"/>
      <w:bookmarkStart w:id="96" w:name="_Toc226965708"/>
      <w:bookmarkStart w:id="97" w:name="_Toc226965791"/>
      <w:bookmarkStart w:id="98" w:name="_Toc151190145"/>
      <w:bookmarkStart w:id="99" w:name="_Toc142311020"/>
      <w:bookmarkStart w:id="100" w:name="_Toc264969208"/>
      <w:bookmarkStart w:id="101" w:name="_Toc226337214"/>
      <w:bookmarkStart w:id="102" w:name="_Toc150509269"/>
      <w:bookmarkStart w:id="103" w:name="_Toc151193688"/>
      <w:bookmarkStart w:id="104" w:name="_Toc305158860"/>
      <w:bookmarkStart w:id="105" w:name="_Toc195842883"/>
      <w:r>
        <w:rPr>
          <w:rFonts w:hint="eastAsia" w:ascii="宋体" w:hAnsi="宋体"/>
          <w:b/>
          <w:bCs/>
          <w:color w:val="auto"/>
          <w:sz w:val="28"/>
          <w:szCs w:val="28"/>
          <w:highlight w:val="none"/>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DBBF200">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06" w:name="_Toc305158787"/>
      <w:bookmarkStart w:id="107" w:name="_Toc264969209"/>
      <w:bookmarkStart w:id="108" w:name="_Toc305158861"/>
      <w:bookmarkStart w:id="109" w:name="_Toc265228357"/>
      <w:r>
        <w:rPr>
          <w:rFonts w:hint="eastAsia" w:ascii="宋体" w:hAnsi="宋体" w:cs="宋体"/>
          <w:color w:val="auto"/>
          <w:sz w:val="24"/>
          <w:highlight w:val="none"/>
        </w:rPr>
        <w:t>采购人、采购代理机构、投标人</w:t>
      </w:r>
      <w:bookmarkEnd w:id="106"/>
      <w:bookmarkEnd w:id="107"/>
      <w:bookmarkEnd w:id="108"/>
      <w:bookmarkEnd w:id="109"/>
      <w:r>
        <w:rPr>
          <w:rFonts w:hint="eastAsia" w:ascii="宋体" w:hAnsi="宋体" w:cs="宋体"/>
          <w:color w:val="auto"/>
          <w:sz w:val="24"/>
          <w:highlight w:val="none"/>
        </w:rPr>
        <w:t>、联合体</w:t>
      </w:r>
    </w:p>
    <w:p w14:paraId="6725B7FA">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p>
    <w:p w14:paraId="02C8694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投标人（也称“供应商”、“申请人”）：指向采购人提供货物、工程或者服务的法人、其他组织或者自然人。</w:t>
      </w:r>
    </w:p>
    <w:p w14:paraId="50DC78F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6E7CA269">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10" w:name="_Toc195842885"/>
      <w:bookmarkStart w:id="111" w:name="_Toc151193690"/>
      <w:bookmarkStart w:id="112" w:name="_Toc127161434"/>
      <w:bookmarkStart w:id="113" w:name="_Toc226337216"/>
      <w:bookmarkStart w:id="114" w:name="_Toc164229215"/>
      <w:bookmarkStart w:id="115" w:name="_Toc226309764"/>
      <w:bookmarkStart w:id="116" w:name="_Toc150774725"/>
      <w:bookmarkStart w:id="117" w:name="_Toc151193762"/>
      <w:bookmarkStart w:id="118" w:name="_Toc150774620"/>
      <w:bookmarkStart w:id="119" w:name="_Toc142311022"/>
      <w:bookmarkStart w:id="120" w:name="_Toc150480758"/>
      <w:bookmarkStart w:id="121" w:name="_Toc127151520"/>
      <w:bookmarkStart w:id="122" w:name="_Toc226965710"/>
      <w:bookmarkStart w:id="123" w:name="_Toc265228358"/>
      <w:bookmarkStart w:id="124" w:name="_Toc164229361"/>
      <w:bookmarkStart w:id="125" w:name="_Toc164608634"/>
      <w:bookmarkStart w:id="126" w:name="_Toc149720813"/>
      <w:bookmarkStart w:id="127" w:name="_Toc151193908"/>
      <w:bookmarkStart w:id="128" w:name="_Toc150509271"/>
      <w:bookmarkStart w:id="129" w:name="_Toc305158862"/>
      <w:bookmarkStart w:id="130" w:name="_Toc151193618"/>
      <w:bookmarkStart w:id="131" w:name="_Toc151193834"/>
      <w:bookmarkStart w:id="132" w:name="_Toc226965793"/>
      <w:bookmarkStart w:id="133" w:name="_Toc164351614"/>
      <w:bookmarkStart w:id="134" w:name="_Toc151190147"/>
      <w:bookmarkStart w:id="135" w:name="_Toc305158788"/>
      <w:bookmarkStart w:id="136" w:name="_Toc127151721"/>
      <w:bookmarkStart w:id="137" w:name="_Toc164608789"/>
      <w:bookmarkStart w:id="138" w:name="_Toc264969210"/>
      <w:r>
        <w:rPr>
          <w:rFonts w:hint="eastAsia" w:ascii="宋体" w:hAnsi="宋体" w:cs="宋体"/>
          <w:color w:val="auto"/>
          <w:sz w:val="24"/>
          <w:highlight w:val="none"/>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cs="宋体"/>
          <w:color w:val="auto"/>
          <w:sz w:val="24"/>
          <w:highlight w:val="none"/>
        </w:rPr>
        <w:t>、项目属性、科研仪器设备采购、核心产品</w:t>
      </w:r>
    </w:p>
    <w:p w14:paraId="6D1BE6A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22269C2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项目属性见《投标人须知资料表》。</w:t>
      </w:r>
    </w:p>
    <w:p w14:paraId="1C1A3AB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是否属于科研仪器设备采购见《投标人须知资料表》。（本项目不涉及）</w:t>
      </w:r>
    </w:p>
    <w:p w14:paraId="27F4E68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核心产品见《投标人须知资料表》。（本项目不涉及）</w:t>
      </w:r>
    </w:p>
    <w:p w14:paraId="70E7B557">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现场考察、开标前答疑会</w:t>
      </w:r>
    </w:p>
    <w:p w14:paraId="2D3DC56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bookmarkStart w:id="139" w:name="_Toc151190149"/>
      <w:bookmarkStart w:id="140" w:name="_Toc151193692"/>
      <w:bookmarkStart w:id="141" w:name="_Toc226965712"/>
      <w:bookmarkStart w:id="142" w:name="_Toc265228360"/>
      <w:bookmarkStart w:id="143" w:name="_Toc226337218"/>
      <w:bookmarkStart w:id="144" w:name="_Toc195842887"/>
      <w:bookmarkStart w:id="145" w:name="_Toc226965795"/>
      <w:bookmarkStart w:id="146" w:name="_Toc305158790"/>
      <w:bookmarkStart w:id="147" w:name="_Toc151193836"/>
      <w:bookmarkStart w:id="148" w:name="_Toc226309766"/>
      <w:bookmarkStart w:id="149" w:name="_Toc127151522"/>
      <w:bookmarkStart w:id="150" w:name="_Toc142311024"/>
      <w:bookmarkStart w:id="151" w:name="_Toc520356146"/>
      <w:bookmarkStart w:id="152" w:name="_Toc150509273"/>
      <w:bookmarkStart w:id="153" w:name="_Toc264969212"/>
      <w:bookmarkStart w:id="154" w:name="_Toc151193620"/>
      <w:bookmarkStart w:id="155" w:name="_Toc150774727"/>
      <w:bookmarkStart w:id="156" w:name="_Toc305158864"/>
      <w:bookmarkStart w:id="157" w:name="_Toc151193910"/>
      <w:bookmarkStart w:id="158" w:name="_Toc150774622"/>
      <w:bookmarkStart w:id="159" w:name="_Toc150480760"/>
      <w:bookmarkStart w:id="160" w:name="_Toc151193764"/>
    </w:p>
    <w:p w14:paraId="1BE825F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752CA369">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样品（本项目不涉及）</w:t>
      </w:r>
    </w:p>
    <w:p w14:paraId="624B71E4">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0DEAD51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3AA6BA98">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23555BC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进口产品（本项目不涉及）</w:t>
      </w:r>
    </w:p>
    <w:p w14:paraId="1C36AE6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AC2526">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0ED38EF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中小企业定义：</w:t>
      </w:r>
    </w:p>
    <w:p w14:paraId="1A77F083">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2607C0F7">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1518775C">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6D1449F7">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5A566694">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ECB6EE4">
      <w:pPr>
        <w:pStyle w:val="11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4947A46B">
      <w:pPr>
        <w:pStyle w:val="11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4666565">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0EBE788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226615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14:paraId="41CD0F29">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66D136A6">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461011A3">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40DC4AD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6DEEBF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045C69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6D4164">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2768EBDA">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33E88D2">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E61A79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017D1C3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42F9E42A">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70D5FCB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3D91769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6A1FAA6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6FBB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本项目是否专门面向中小企业预留采购份额见第一章《投标邀请》。</w:t>
      </w:r>
    </w:p>
    <w:p w14:paraId="3D63AE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采购标的对应的中小企业划分标准所属行业见《投标人须知资料表》。</w:t>
      </w:r>
    </w:p>
    <w:p w14:paraId="53955D6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小微企业价格评审优惠的政策调整：见第四章《评标方法和评标标准》。</w:t>
      </w:r>
    </w:p>
    <w:p w14:paraId="24F5AB6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政府采购节能产品、环境标志产品（本项目不涉及）</w:t>
      </w:r>
    </w:p>
    <w:p w14:paraId="2524BB6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66D8386">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A8A83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w:t>
      </w:r>
    </w:p>
    <w:p w14:paraId="43CBD3BB">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非政府强制采购的节能产品或环境标志产品，依据品目清单和认证证书实施政府优先采购。优先采购的具体规定见第四章《评标方法和评标标准》（本项目不涉及）。</w:t>
      </w:r>
    </w:p>
    <w:p w14:paraId="4C9540D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必须严格执行，必要时应按照要求在履约验收环节出具检测报告。</w:t>
      </w:r>
    </w:p>
    <w:p w14:paraId="349D1C8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2087A5E4">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w:t>
      </w:r>
    </w:p>
    <w:p w14:paraId="5F043D9B">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正版软件（本项目不涉及）</w:t>
      </w:r>
    </w:p>
    <w:p w14:paraId="3A89FE5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826A0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E36B8E">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4EF3F123">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851E09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绿色采购政策</w:t>
      </w:r>
    </w:p>
    <w:p w14:paraId="5409C01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绿色数据中心政策 </w:t>
      </w:r>
    </w:p>
    <w:p w14:paraId="1B0330A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F6A84CA">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推广应用绿色建材</w:t>
      </w:r>
    </w:p>
    <w:p w14:paraId="64BCAAD0">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93A228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优先使用低挥发性有机化合物产品</w:t>
      </w:r>
    </w:p>
    <w:p w14:paraId="33A4481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3C2A693">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投标费用</w:t>
      </w:r>
    </w:p>
    <w:p w14:paraId="6B71208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5964A8D3">
      <w:pPr>
        <w:snapToGrid w:val="0"/>
        <w:spacing w:line="360" w:lineRule="auto"/>
        <w:jc w:val="center"/>
        <w:rPr>
          <w:rFonts w:ascii="宋体" w:hAnsi="宋体"/>
          <w:b/>
          <w:bCs/>
          <w:color w:val="auto"/>
          <w:sz w:val="28"/>
          <w:szCs w:val="28"/>
          <w:highlight w:val="none"/>
        </w:rPr>
      </w:pPr>
      <w:bookmarkStart w:id="161" w:name="_1.8_计量单位"/>
      <w:bookmarkEnd w:id="161"/>
    </w:p>
    <w:p w14:paraId="022970EB">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   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27A9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162" w:name="_Toc151190150"/>
      <w:bookmarkStart w:id="163" w:name="_Toc151193837"/>
      <w:bookmarkStart w:id="164" w:name="_Toc164608637"/>
      <w:bookmarkStart w:id="165" w:name="_Toc264969213"/>
      <w:bookmarkStart w:id="166" w:name="_Toc226309767"/>
      <w:bookmarkStart w:id="167" w:name="_Toc150774623"/>
      <w:bookmarkStart w:id="168" w:name="_Toc151193765"/>
      <w:bookmarkStart w:id="169" w:name="_Toc164351617"/>
      <w:bookmarkStart w:id="170" w:name="_Toc226965796"/>
      <w:bookmarkStart w:id="171" w:name="_Toc151193911"/>
      <w:bookmarkStart w:id="172" w:name="_Toc226337219"/>
      <w:bookmarkStart w:id="173" w:name="_Toc142311025"/>
      <w:bookmarkStart w:id="174" w:name="_Toc265228361"/>
      <w:bookmarkStart w:id="175" w:name="_Toc305158865"/>
      <w:bookmarkStart w:id="176" w:name="_Toc149720816"/>
      <w:bookmarkStart w:id="177" w:name="_Toc150774728"/>
      <w:bookmarkStart w:id="178" w:name="_Toc150480761"/>
      <w:bookmarkStart w:id="179" w:name="_Toc151193693"/>
      <w:bookmarkStart w:id="180" w:name="_Toc520356147"/>
      <w:bookmarkStart w:id="181" w:name="_Toc127151724"/>
      <w:bookmarkStart w:id="182" w:name="_Toc127161437"/>
      <w:bookmarkStart w:id="183" w:name="_Toc164229218"/>
      <w:bookmarkStart w:id="184" w:name="_Toc127151523"/>
      <w:bookmarkStart w:id="185" w:name="_Toc164229364"/>
      <w:bookmarkStart w:id="186" w:name="_Toc164608792"/>
      <w:bookmarkStart w:id="187" w:name="_Toc305158791"/>
      <w:bookmarkStart w:id="188" w:name="_Toc150509274"/>
      <w:bookmarkStart w:id="189" w:name="_Toc195842888"/>
      <w:bookmarkStart w:id="190" w:name="_Toc226965713"/>
      <w:bookmarkStart w:id="191" w:name="_Toc151193621"/>
      <w:r>
        <w:rPr>
          <w:rFonts w:hint="eastAsia" w:ascii="宋体" w:hAnsi="宋体" w:cs="宋体"/>
          <w:color w:val="auto"/>
          <w:sz w:val="24"/>
          <w:highlight w:val="none"/>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cs="宋体"/>
          <w:color w:val="auto"/>
          <w:sz w:val="24"/>
          <w:highlight w:val="none"/>
        </w:rPr>
        <w:t>成</w:t>
      </w:r>
    </w:p>
    <w:p w14:paraId="3D27CAA9">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招标文件包括以下部分：</w:t>
      </w:r>
    </w:p>
    <w:p w14:paraId="0673A284">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投标邀请</w:t>
      </w:r>
    </w:p>
    <w:p w14:paraId="3C72ACDB">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投标人须知</w:t>
      </w:r>
    </w:p>
    <w:p w14:paraId="12D2AEFF">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资格审查</w:t>
      </w:r>
    </w:p>
    <w:p w14:paraId="22DAC70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6DCACD5C">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14:paraId="2C78608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拟签订的合同文本</w:t>
      </w:r>
    </w:p>
    <w:p w14:paraId="55F89AC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投标文件格式</w:t>
      </w:r>
    </w:p>
    <w:p w14:paraId="3681E3A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B372AA3">
      <w:pPr>
        <w:numPr>
          <w:ilvl w:val="0"/>
          <w:numId w:val="8"/>
        </w:numPr>
        <w:tabs>
          <w:tab w:val="left" w:pos="1080"/>
          <w:tab w:val="left" w:pos="2014"/>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对招标文件的澄清或修改</w:t>
      </w:r>
    </w:p>
    <w:p w14:paraId="2F01F902">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1079BC2C">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41F13DD">
      <w:pPr>
        <w:snapToGrid w:val="0"/>
        <w:spacing w:line="360" w:lineRule="auto"/>
        <w:jc w:val="center"/>
        <w:rPr>
          <w:rFonts w:ascii="宋体" w:hAnsi="宋体"/>
          <w:b/>
          <w:bCs/>
          <w:color w:val="auto"/>
          <w:sz w:val="28"/>
          <w:szCs w:val="28"/>
          <w:highlight w:val="none"/>
        </w:rPr>
      </w:pPr>
      <w:bookmarkStart w:id="192" w:name="_Toc516367020"/>
      <w:bookmarkStart w:id="193" w:name="_Toc127151526"/>
      <w:bookmarkStart w:id="194" w:name="_Toc151193914"/>
      <w:bookmarkStart w:id="195" w:name="_Toc226337222"/>
      <w:bookmarkStart w:id="196" w:name="_Toc226965716"/>
      <w:bookmarkStart w:id="197" w:name="_Toc226309770"/>
      <w:bookmarkStart w:id="198" w:name="_Toc142311028"/>
      <w:bookmarkStart w:id="199" w:name="_Toc151190153"/>
      <w:bookmarkStart w:id="200" w:name="_Toc264969216"/>
      <w:bookmarkStart w:id="201" w:name="_Toc151193768"/>
      <w:bookmarkStart w:id="202" w:name="_Toc151193624"/>
      <w:bookmarkStart w:id="203" w:name="_Toc520356150"/>
      <w:bookmarkStart w:id="204" w:name="_Toc265228364"/>
      <w:bookmarkStart w:id="205" w:name="_Toc150509277"/>
      <w:bookmarkStart w:id="206" w:name="_Toc150480764"/>
      <w:bookmarkStart w:id="207" w:name="_Toc151193696"/>
      <w:bookmarkStart w:id="208" w:name="_Toc150774626"/>
      <w:bookmarkStart w:id="209" w:name="_Toc150774731"/>
      <w:bookmarkStart w:id="210" w:name="_Toc151193840"/>
      <w:bookmarkStart w:id="211" w:name="_Toc305158868"/>
      <w:bookmarkStart w:id="212" w:name="_Toc226965799"/>
      <w:bookmarkStart w:id="213" w:name="_Toc195842891"/>
      <w:bookmarkStart w:id="214" w:name="_Toc305158794"/>
    </w:p>
    <w:p w14:paraId="53AACEDF">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三   投标文件</w:t>
      </w:r>
      <w:bookmarkEnd w:id="192"/>
      <w:r>
        <w:rPr>
          <w:rFonts w:hint="eastAsia" w:ascii="宋体" w:hAnsi="宋体"/>
          <w:b/>
          <w:bCs/>
          <w:color w:val="auto"/>
          <w:sz w:val="28"/>
          <w:szCs w:val="28"/>
          <w:highlight w:val="none"/>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A7967E9">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15" w:name="_Toc164229368"/>
      <w:bookmarkStart w:id="216" w:name="_Toc151193697"/>
      <w:bookmarkStart w:id="217" w:name="_Toc151190154"/>
      <w:bookmarkStart w:id="218" w:name="_Toc226337223"/>
      <w:bookmarkStart w:id="219" w:name="_Toc516367021"/>
      <w:bookmarkStart w:id="220" w:name="_Toc226965717"/>
      <w:bookmarkStart w:id="221" w:name="_Toc151193915"/>
      <w:bookmarkStart w:id="222" w:name="_Toc164351621"/>
      <w:bookmarkStart w:id="223" w:name="_Toc226965800"/>
      <w:bookmarkStart w:id="224" w:name="_Toc142311029"/>
      <w:bookmarkStart w:id="225" w:name="_Toc164229222"/>
      <w:bookmarkStart w:id="226" w:name="_Toc305158869"/>
      <w:bookmarkStart w:id="227" w:name="_Toc149720820"/>
      <w:bookmarkStart w:id="228" w:name="_Toc150480765"/>
      <w:bookmarkStart w:id="229" w:name="_Toc151193841"/>
      <w:bookmarkStart w:id="230" w:name="_Toc226309771"/>
      <w:bookmarkStart w:id="231" w:name="_Toc265228365"/>
      <w:bookmarkStart w:id="232" w:name="_Toc264969217"/>
      <w:bookmarkStart w:id="233" w:name="_Toc151193625"/>
      <w:bookmarkStart w:id="234" w:name="_Toc150509278"/>
      <w:bookmarkStart w:id="235" w:name="_Toc127151527"/>
      <w:bookmarkStart w:id="236" w:name="_Toc127151728"/>
      <w:bookmarkStart w:id="237" w:name="_Toc127161441"/>
      <w:bookmarkStart w:id="238" w:name="_Toc164608796"/>
      <w:bookmarkStart w:id="239" w:name="_Toc164608641"/>
      <w:bookmarkStart w:id="240" w:name="_Toc150774732"/>
      <w:bookmarkStart w:id="241" w:name="_Toc520356151"/>
      <w:bookmarkStart w:id="242" w:name="_Toc305158795"/>
      <w:bookmarkStart w:id="243" w:name="_Toc150774627"/>
      <w:bookmarkStart w:id="244" w:name="_Toc195842892"/>
      <w:bookmarkStart w:id="245" w:name="_Toc151193769"/>
      <w:r>
        <w:rPr>
          <w:rFonts w:hint="eastAsia" w:ascii="宋体" w:hAnsi="宋体" w:cs="宋体"/>
          <w:color w:val="auto"/>
          <w:sz w:val="24"/>
          <w:highlight w:val="none"/>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cs="宋体"/>
          <w:color w:val="auto"/>
          <w:sz w:val="24"/>
          <w:highlight w:val="none"/>
        </w:rPr>
        <w:t>及投标语言</w:t>
      </w:r>
    </w:p>
    <w:p w14:paraId="4AB1030A">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r>
        <w:rPr>
          <w:rFonts w:hint="eastAsia" w:ascii="宋体" w:hAnsi="宋体" w:cs="宋体"/>
          <w:color w:val="auto"/>
          <w:sz w:val="24"/>
          <w:highlight w:val="none"/>
        </w:rPr>
        <w:t>。</w:t>
      </w:r>
    </w:p>
    <w:p w14:paraId="734B23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7CC77F27">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D7B438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46" w:name="_Toc516367022"/>
      <w:bookmarkStart w:id="247" w:name="_Ref467306195"/>
      <w:bookmarkStart w:id="248" w:name="_Ref467306676"/>
      <w:bookmarkStart w:id="249" w:name="_Toc150509279"/>
      <w:bookmarkStart w:id="250" w:name="_Toc195842893"/>
      <w:bookmarkStart w:id="251" w:name="_Toc150774733"/>
      <w:bookmarkStart w:id="252" w:name="_Toc127151729"/>
      <w:bookmarkStart w:id="253" w:name="_Toc226965801"/>
      <w:bookmarkStart w:id="254" w:name="_Toc226337224"/>
      <w:bookmarkStart w:id="255" w:name="_Toc151190155"/>
      <w:bookmarkStart w:id="256" w:name="_Toc150480766"/>
      <w:bookmarkStart w:id="257" w:name="_Toc151193626"/>
      <w:bookmarkStart w:id="258" w:name="_Toc151193698"/>
      <w:bookmarkStart w:id="259" w:name="_Toc226965718"/>
      <w:bookmarkStart w:id="260" w:name="_Toc127151528"/>
      <w:bookmarkStart w:id="261" w:name="_Toc520356152"/>
      <w:bookmarkStart w:id="262" w:name="_Toc149720821"/>
      <w:bookmarkStart w:id="263" w:name="_Toc226309772"/>
      <w:bookmarkStart w:id="264" w:name="_Toc142311030"/>
      <w:bookmarkStart w:id="265" w:name="_Toc164608642"/>
      <w:bookmarkStart w:id="266" w:name="_Toc127161442"/>
      <w:bookmarkStart w:id="267" w:name="_Toc151193770"/>
      <w:bookmarkStart w:id="268" w:name="_Toc264969218"/>
      <w:bookmarkStart w:id="269" w:name="_Toc265228366"/>
      <w:bookmarkStart w:id="270" w:name="_Toc164608797"/>
      <w:bookmarkStart w:id="271" w:name="_Toc164229223"/>
      <w:bookmarkStart w:id="272" w:name="_Toc150774628"/>
      <w:bookmarkStart w:id="273" w:name="_Toc151193916"/>
      <w:bookmarkStart w:id="274" w:name="_Toc164229369"/>
      <w:bookmarkStart w:id="275" w:name="_Toc305158870"/>
      <w:bookmarkStart w:id="276" w:name="_Toc151193842"/>
      <w:bookmarkStart w:id="277" w:name="_Toc164351622"/>
      <w:bookmarkStart w:id="278" w:name="_Toc305158796"/>
      <w:r>
        <w:rPr>
          <w:rFonts w:hint="eastAsia" w:ascii="宋体" w:hAnsi="宋体" w:cs="宋体"/>
          <w:color w:val="auto"/>
          <w:sz w:val="24"/>
          <w:highlight w:val="none"/>
        </w:rPr>
        <w:t>投标文件</w:t>
      </w:r>
      <w:bookmarkEnd w:id="246"/>
      <w:bookmarkEnd w:id="247"/>
      <w:bookmarkEnd w:id="248"/>
      <w:r>
        <w:rPr>
          <w:rFonts w:hint="eastAsia" w:ascii="宋体" w:hAnsi="宋体" w:cs="宋体"/>
          <w:color w:val="auto"/>
          <w:sz w:val="24"/>
          <w:highlight w:val="none"/>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CFA1B64">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279" w:name="_Ref467052588"/>
      <w:r>
        <w:rPr>
          <w:rFonts w:hint="eastAsia" w:ascii="宋体" w:hAnsi="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365BCD6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highlight w:val="none"/>
        </w:rPr>
        <w:t>对于招标文件中标记了“实质性格式”文件的，</w:t>
      </w:r>
      <w:r>
        <w:rPr>
          <w:rFonts w:hint="eastAsia" w:ascii="宋体" w:hAnsi="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kern w:val="0"/>
          <w:sz w:val="24"/>
          <w:highlight w:val="none"/>
        </w:rPr>
        <w:t>。未标记“实质性格式”的文件和招标文件未提供格式的内容，可由投标人自行编写。</w:t>
      </w:r>
    </w:p>
    <w:p w14:paraId="694369F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6D65C9E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86884B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投标人认为应附的其他材料。</w:t>
      </w:r>
      <w:bookmarkEnd w:id="279"/>
    </w:p>
    <w:p w14:paraId="542BF7C7">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80" w:name="_Toc164351624"/>
      <w:bookmarkStart w:id="281" w:name="_Toc142311032"/>
      <w:bookmarkStart w:id="282" w:name="_Toc151193628"/>
      <w:bookmarkStart w:id="283" w:name="_Toc520356155"/>
      <w:bookmarkStart w:id="284" w:name="_Toc151190157"/>
      <w:bookmarkStart w:id="285" w:name="_Toc127151731"/>
      <w:bookmarkStart w:id="286" w:name="_Toc151193700"/>
      <w:bookmarkStart w:id="287" w:name="_Toc150774630"/>
      <w:bookmarkStart w:id="288" w:name="_Toc164229371"/>
      <w:bookmarkStart w:id="289" w:name="_Toc127151530"/>
      <w:bookmarkStart w:id="290" w:name="_Toc149720823"/>
      <w:bookmarkStart w:id="291" w:name="_Toc151193844"/>
      <w:bookmarkStart w:id="292" w:name="_Toc151193918"/>
      <w:bookmarkStart w:id="293" w:name="_Toc195842895"/>
      <w:bookmarkStart w:id="294" w:name="_Toc150774735"/>
      <w:bookmarkStart w:id="295" w:name="_Toc164608644"/>
      <w:bookmarkStart w:id="296" w:name="_Toc151193772"/>
      <w:bookmarkStart w:id="297" w:name="_Toc164229225"/>
      <w:bookmarkStart w:id="298" w:name="_Toc164608799"/>
      <w:bookmarkStart w:id="299" w:name="_Toc127161444"/>
      <w:bookmarkStart w:id="300" w:name="_Toc150480768"/>
      <w:bookmarkStart w:id="301" w:name="_Toc150509281"/>
      <w:r>
        <w:rPr>
          <w:rFonts w:hint="eastAsia" w:ascii="宋体" w:hAnsi="宋体" w:cs="宋体"/>
          <w:color w:val="auto"/>
          <w:sz w:val="24"/>
          <w:highlight w:val="none"/>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EEB823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所有投标均以人民币报价。</w:t>
      </w:r>
    </w:p>
    <w:p w14:paraId="1915FC8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82A83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5854D2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p>
    <w:p w14:paraId="090AA8B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59462B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投标人不能提供任何有选择性或可调整的报价，否则其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924186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02" w:name="_Toc151193629"/>
      <w:bookmarkStart w:id="303" w:name="_Toc164351625"/>
      <w:bookmarkStart w:id="304" w:name="_Toc149720824"/>
      <w:bookmarkStart w:id="305" w:name="_Toc520356156"/>
      <w:bookmarkStart w:id="306" w:name="_Toc164229372"/>
      <w:bookmarkStart w:id="307" w:name="_Toc226337227"/>
      <w:bookmarkStart w:id="308" w:name="_Toc226309775"/>
      <w:bookmarkStart w:id="309" w:name="_Toc265228369"/>
      <w:bookmarkStart w:id="310" w:name="_Toc151193701"/>
      <w:bookmarkStart w:id="311" w:name="_Toc226965804"/>
      <w:bookmarkStart w:id="312" w:name="_Toc151193845"/>
      <w:bookmarkStart w:id="313" w:name="_Toc151193919"/>
      <w:bookmarkStart w:id="314" w:name="_Toc305158873"/>
      <w:bookmarkStart w:id="315" w:name="_Toc127151732"/>
      <w:bookmarkStart w:id="316" w:name="_Toc195842896"/>
      <w:bookmarkStart w:id="317" w:name="_Toc150774631"/>
      <w:bookmarkStart w:id="318" w:name="_Toc264969221"/>
      <w:bookmarkStart w:id="319" w:name="_Ref467306513"/>
      <w:bookmarkStart w:id="320" w:name="_Toc305158799"/>
      <w:bookmarkStart w:id="321" w:name="_Toc127151531"/>
      <w:bookmarkStart w:id="322" w:name="_Toc150774736"/>
      <w:bookmarkStart w:id="323" w:name="_Toc226965721"/>
      <w:bookmarkStart w:id="324" w:name="_Toc164608800"/>
      <w:bookmarkStart w:id="325" w:name="_Toc127161445"/>
      <w:bookmarkStart w:id="326" w:name="_Toc150480769"/>
      <w:bookmarkStart w:id="327" w:name="_Toc151193773"/>
      <w:bookmarkStart w:id="328" w:name="_Toc164229226"/>
      <w:bookmarkStart w:id="329" w:name="_Toc164608645"/>
      <w:bookmarkStart w:id="330" w:name="_Toc150509282"/>
      <w:bookmarkStart w:id="331" w:name="_Toc142311033"/>
      <w:bookmarkStart w:id="332" w:name="_Toc151190158"/>
      <w:r>
        <w:rPr>
          <w:rFonts w:hint="eastAsia" w:ascii="宋体" w:hAnsi="宋体" w:cs="宋体"/>
          <w:color w:val="auto"/>
          <w:sz w:val="24"/>
          <w:highlight w:val="none"/>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BFA88F7">
      <w:pPr>
        <w:tabs>
          <w:tab w:val="left" w:pos="360"/>
        </w:tabs>
        <w:snapToGrid w:val="0"/>
        <w:spacing w:line="360" w:lineRule="auto"/>
        <w:ind w:left="357"/>
        <w:rPr>
          <w:rFonts w:ascii="宋体" w:hAnsi="宋体" w:cs="宋体"/>
          <w:color w:val="auto"/>
          <w:sz w:val="24"/>
          <w:highlight w:val="none"/>
        </w:rPr>
      </w:pPr>
      <w:r>
        <w:rPr>
          <w:rFonts w:hint="eastAsia" w:ascii="宋体" w:hAnsi="宋体" w:cs="宋体"/>
          <w:color w:val="auto"/>
          <w:sz w:val="24"/>
          <w:highlight w:val="none"/>
        </w:rPr>
        <w:t>根据江苏省和常州市的相关文件规定，免收投标保证金。</w:t>
      </w:r>
    </w:p>
    <w:p w14:paraId="6C1CC8C8">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33" w:name="_Toc226965722"/>
      <w:bookmarkStart w:id="334" w:name="_Toc151190159"/>
      <w:bookmarkStart w:id="335" w:name="_Toc164229227"/>
      <w:bookmarkStart w:id="336" w:name="_Toc226337228"/>
      <w:bookmarkStart w:id="337" w:name="_Toc150774737"/>
      <w:bookmarkStart w:id="338" w:name="_Toc305158800"/>
      <w:bookmarkStart w:id="339" w:name="_Toc264969222"/>
      <w:bookmarkStart w:id="340" w:name="_Toc164229373"/>
      <w:bookmarkStart w:id="341" w:name="_Toc151193630"/>
      <w:bookmarkStart w:id="342" w:name="_Toc520356157"/>
      <w:bookmarkStart w:id="343" w:name="_Toc151193774"/>
      <w:bookmarkStart w:id="344" w:name="_Toc127151733"/>
      <w:bookmarkStart w:id="345" w:name="_Toc151193846"/>
      <w:bookmarkStart w:id="346" w:name="_Toc164608646"/>
      <w:bookmarkStart w:id="347" w:name="_Toc149720825"/>
      <w:bookmarkStart w:id="348" w:name="_Toc305158874"/>
      <w:bookmarkStart w:id="349" w:name="_Toc127151532"/>
      <w:bookmarkStart w:id="350" w:name="_Toc151193702"/>
      <w:bookmarkStart w:id="351" w:name="_Toc127161446"/>
      <w:bookmarkStart w:id="352" w:name="_Toc150509283"/>
      <w:bookmarkStart w:id="353" w:name="_Toc151193920"/>
      <w:bookmarkStart w:id="354" w:name="_Toc195842897"/>
      <w:bookmarkStart w:id="355" w:name="_Toc226309776"/>
      <w:bookmarkStart w:id="356" w:name="_Toc150480770"/>
      <w:bookmarkStart w:id="357" w:name="_Toc150774632"/>
      <w:bookmarkStart w:id="358" w:name="_Toc164351626"/>
      <w:bookmarkStart w:id="359" w:name="_Toc164608801"/>
      <w:bookmarkStart w:id="360" w:name="_Toc226965805"/>
      <w:bookmarkStart w:id="361" w:name="_Toc265228370"/>
      <w:bookmarkStart w:id="362" w:name="_Toc142311034"/>
      <w:r>
        <w:rPr>
          <w:rFonts w:hint="eastAsia" w:ascii="宋体" w:hAnsi="宋体" w:cs="宋体"/>
          <w:color w:val="auto"/>
          <w:sz w:val="24"/>
          <w:highlight w:val="none"/>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43E9E38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2607596">
      <w:pPr>
        <w:numPr>
          <w:ilvl w:val="0"/>
          <w:numId w:val="8"/>
        </w:numPr>
        <w:tabs>
          <w:tab w:val="left" w:pos="360"/>
        </w:tabs>
        <w:snapToGrid w:val="0"/>
        <w:spacing w:line="360" w:lineRule="auto"/>
        <w:ind w:left="357" w:hanging="357"/>
        <w:outlineLvl w:val="1"/>
        <w:rPr>
          <w:color w:val="auto"/>
          <w:sz w:val="24"/>
          <w:highlight w:val="none"/>
        </w:rPr>
      </w:pPr>
      <w:bookmarkStart w:id="363" w:name="_Toc305158875"/>
      <w:bookmarkStart w:id="364" w:name="_Toc150509284"/>
      <w:bookmarkStart w:id="365" w:name="_Toc142311035"/>
      <w:bookmarkStart w:id="366" w:name="_Toc195842898"/>
      <w:bookmarkStart w:id="367" w:name="_Toc127151734"/>
      <w:bookmarkStart w:id="368" w:name="_Toc149720826"/>
      <w:bookmarkStart w:id="369" w:name="_Toc150480771"/>
      <w:bookmarkStart w:id="370" w:name="_Toc226309777"/>
      <w:bookmarkStart w:id="371" w:name="_Toc127151533"/>
      <w:bookmarkStart w:id="372" w:name="_Toc305158801"/>
      <w:bookmarkStart w:id="373" w:name="_Toc164351627"/>
      <w:bookmarkStart w:id="374" w:name="_Toc520356158"/>
      <w:bookmarkStart w:id="375" w:name="_Toc150774633"/>
      <w:bookmarkStart w:id="376" w:name="_Toc226965723"/>
      <w:bookmarkStart w:id="377" w:name="_Toc151193775"/>
      <w:bookmarkStart w:id="378" w:name="_Toc164229374"/>
      <w:bookmarkStart w:id="379" w:name="_Toc151193921"/>
      <w:bookmarkStart w:id="380" w:name="_Toc151190160"/>
      <w:bookmarkStart w:id="381" w:name="_Toc151193631"/>
      <w:bookmarkStart w:id="382" w:name="_Toc150774738"/>
      <w:bookmarkStart w:id="383" w:name="_Toc164608647"/>
      <w:bookmarkStart w:id="384" w:name="_Toc265228371"/>
      <w:bookmarkStart w:id="385" w:name="_Toc164229228"/>
      <w:bookmarkStart w:id="386" w:name="_Toc127161447"/>
      <w:bookmarkStart w:id="387" w:name="_Toc151193847"/>
      <w:bookmarkStart w:id="388" w:name="_Toc164608802"/>
      <w:bookmarkStart w:id="389" w:name="_Toc226965806"/>
      <w:bookmarkStart w:id="390" w:name="_Toc151193703"/>
      <w:bookmarkStart w:id="391" w:name="_Toc264969223"/>
      <w:bookmarkStart w:id="392" w:name="_Toc226337229"/>
      <w:bookmarkStart w:id="393" w:name="_Toc151193776"/>
      <w:bookmarkStart w:id="394" w:name="_Toc151190161"/>
      <w:bookmarkStart w:id="395" w:name="_Toc142311036"/>
      <w:bookmarkStart w:id="396" w:name="_Toc151193922"/>
      <w:bookmarkStart w:id="397" w:name="_Toc150774634"/>
      <w:bookmarkStart w:id="398" w:name="_Toc150509285"/>
      <w:bookmarkStart w:id="399" w:name="_Toc226965807"/>
      <w:bookmarkStart w:id="400" w:name="_Toc520356159"/>
      <w:bookmarkStart w:id="401" w:name="_Toc151193848"/>
      <w:bookmarkStart w:id="402" w:name="_Toc150480772"/>
      <w:bookmarkStart w:id="403" w:name="_Toc195842899"/>
      <w:bookmarkStart w:id="404" w:name="_Toc150774739"/>
      <w:bookmarkStart w:id="405" w:name="_Toc151193704"/>
      <w:bookmarkStart w:id="406" w:name="_Toc305158802"/>
      <w:bookmarkStart w:id="407" w:name="_Toc265228372"/>
      <w:bookmarkStart w:id="408" w:name="_Toc264969224"/>
      <w:bookmarkStart w:id="409" w:name="_Toc226965724"/>
      <w:bookmarkStart w:id="410" w:name="_Toc226337230"/>
      <w:bookmarkStart w:id="411" w:name="_Toc151193632"/>
      <w:bookmarkStart w:id="412" w:name="_Toc127151534"/>
      <w:bookmarkStart w:id="413" w:name="_Toc305158876"/>
      <w:bookmarkStart w:id="414" w:name="_Toc226309778"/>
      <w:r>
        <w:rPr>
          <w:color w:val="auto"/>
          <w:sz w:val="24"/>
          <w:highlight w:val="none"/>
        </w:rPr>
        <w:t>投标文件的签署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color w:val="auto"/>
          <w:sz w:val="24"/>
          <w:highlight w:val="none"/>
        </w:rPr>
        <w:t>、加盖公章</w:t>
      </w:r>
    </w:p>
    <w:p w14:paraId="04BEBDC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388664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71A03112">
      <w:pPr>
        <w:pStyle w:val="3"/>
        <w:spacing w:before="0" w:line="360" w:lineRule="auto"/>
        <w:rPr>
          <w:rFonts w:ascii="Times New Roman" w:hAnsi="Times New Roman" w:eastAsia="宋体"/>
          <w:color w:val="auto"/>
          <w:sz w:val="28"/>
          <w:highlight w:val="none"/>
        </w:rPr>
      </w:pPr>
      <w:bookmarkStart w:id="415" w:name="_Toc520356169"/>
      <w:r>
        <w:rPr>
          <w:rFonts w:ascii="Times New Roman" w:hAnsi="Times New Roman" w:eastAsia="宋体"/>
          <w:color w:val="auto"/>
          <w:sz w:val="28"/>
          <w:highlight w:val="none"/>
        </w:rPr>
        <w:t>四   投标文件的提交</w:t>
      </w:r>
    </w:p>
    <w:p w14:paraId="1D58F4B3">
      <w:pPr>
        <w:numPr>
          <w:ilvl w:val="0"/>
          <w:numId w:val="8"/>
        </w:numPr>
        <w:tabs>
          <w:tab w:val="left" w:pos="360"/>
        </w:tabs>
        <w:snapToGrid w:val="0"/>
        <w:spacing w:line="360" w:lineRule="auto"/>
        <w:ind w:left="357" w:hanging="357"/>
        <w:outlineLvl w:val="1"/>
        <w:rPr>
          <w:color w:val="auto"/>
          <w:sz w:val="24"/>
          <w:highlight w:val="none"/>
        </w:rPr>
      </w:pPr>
      <w:bookmarkStart w:id="416" w:name="_Toc150774635"/>
      <w:bookmarkStart w:id="417" w:name="_Toc164608649"/>
      <w:bookmarkStart w:id="418" w:name="_Toc305158877"/>
      <w:bookmarkStart w:id="419" w:name="_Toc150774740"/>
      <w:bookmarkStart w:id="420" w:name="_Toc164229230"/>
      <w:bookmarkStart w:id="421" w:name="_Toc127161449"/>
      <w:bookmarkStart w:id="422" w:name="_Toc149720828"/>
      <w:bookmarkStart w:id="423" w:name="_Toc164351629"/>
      <w:bookmarkStart w:id="424" w:name="_Toc164608804"/>
      <w:bookmarkStart w:id="425" w:name="_Toc151193777"/>
      <w:bookmarkStart w:id="426" w:name="_Toc150480773"/>
      <w:bookmarkStart w:id="427" w:name="_Toc195842900"/>
      <w:bookmarkStart w:id="428" w:name="_Toc150509286"/>
      <w:bookmarkStart w:id="429" w:name="_Toc151193849"/>
      <w:bookmarkStart w:id="430" w:name="_Toc151193633"/>
      <w:bookmarkStart w:id="431" w:name="_Toc127151535"/>
      <w:bookmarkStart w:id="432" w:name="_Toc151190162"/>
      <w:bookmarkStart w:id="433" w:name="_Toc164229376"/>
      <w:bookmarkStart w:id="434" w:name="_Toc127151736"/>
      <w:bookmarkStart w:id="435" w:name="_Toc264969225"/>
      <w:bookmarkStart w:id="436" w:name="_Toc226337231"/>
      <w:bookmarkStart w:id="437" w:name="_Toc142311037"/>
      <w:bookmarkStart w:id="438" w:name="_Toc520356160"/>
      <w:bookmarkStart w:id="439" w:name="_Toc305158803"/>
      <w:bookmarkStart w:id="440" w:name="_Toc226965808"/>
      <w:bookmarkStart w:id="441" w:name="_Toc226309779"/>
      <w:bookmarkStart w:id="442" w:name="_Toc151193705"/>
      <w:bookmarkStart w:id="443" w:name="_Toc151193923"/>
      <w:bookmarkStart w:id="444" w:name="_Toc226965725"/>
      <w:bookmarkStart w:id="445" w:name="_Toc265228373"/>
      <w:r>
        <w:rPr>
          <w:color w:val="auto"/>
          <w:sz w:val="24"/>
          <w:highlight w:val="none"/>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color w:val="auto"/>
          <w:sz w:val="24"/>
          <w:highlight w:val="none"/>
        </w:rPr>
        <w:t>提交</w:t>
      </w:r>
    </w:p>
    <w:p w14:paraId="7EDA88F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bidi="ar"/>
        </w:rPr>
        <w:t>“苏采云”政府采购一体化平台</w:t>
      </w:r>
      <w:r>
        <w:rPr>
          <w:color w:val="auto"/>
          <w:sz w:val="24"/>
          <w:highlight w:val="none"/>
        </w:rPr>
        <w:t>。投标人根据招标文件及</w:t>
      </w:r>
      <w:r>
        <w:rPr>
          <w:rFonts w:hint="eastAsia"/>
          <w:color w:val="auto"/>
          <w:sz w:val="24"/>
          <w:highlight w:val="none"/>
          <w:lang w:bidi="ar"/>
        </w:rPr>
        <w:t>“苏采云”政府采购一体化平台</w:t>
      </w:r>
      <w:r>
        <w:rPr>
          <w:color w:val="auto"/>
          <w:sz w:val="24"/>
          <w:highlight w:val="none"/>
        </w:rPr>
        <w:t>供应商操作手册要求编制、生成并提交电子投标文件。</w:t>
      </w:r>
    </w:p>
    <w:p w14:paraId="1AC229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“苏采云”政府采购一体化平台</w:t>
      </w:r>
      <w:r>
        <w:rPr>
          <w:color w:val="auto"/>
          <w:sz w:val="24"/>
          <w:highlight w:val="none"/>
        </w:rPr>
        <w:t>以外任何形式提交的投标文件。</w:t>
      </w:r>
    </w:p>
    <w:p w14:paraId="72CC3BB0">
      <w:pPr>
        <w:numPr>
          <w:ilvl w:val="0"/>
          <w:numId w:val="8"/>
        </w:numPr>
        <w:tabs>
          <w:tab w:val="left" w:pos="360"/>
        </w:tabs>
        <w:snapToGrid w:val="0"/>
        <w:spacing w:line="360" w:lineRule="auto"/>
        <w:ind w:left="357" w:hanging="357"/>
        <w:outlineLvl w:val="1"/>
        <w:rPr>
          <w:color w:val="auto"/>
          <w:sz w:val="24"/>
          <w:highlight w:val="none"/>
        </w:rPr>
      </w:pPr>
      <w:bookmarkStart w:id="446" w:name="_Toc265228374"/>
      <w:bookmarkStart w:id="447" w:name="_Toc164351630"/>
      <w:bookmarkStart w:id="448" w:name="_Toc151193778"/>
      <w:bookmarkStart w:id="449" w:name="_Toc164608650"/>
      <w:bookmarkStart w:id="450" w:name="_Toc150509287"/>
      <w:bookmarkStart w:id="451" w:name="_Toc164229377"/>
      <w:bookmarkStart w:id="452" w:name="_Toc151193850"/>
      <w:bookmarkStart w:id="453" w:name="_Toc164608805"/>
      <w:bookmarkStart w:id="454" w:name="_Toc127151536"/>
      <w:bookmarkStart w:id="455" w:name="_Toc150774636"/>
      <w:bookmarkStart w:id="456" w:name="_Toc305158804"/>
      <w:bookmarkStart w:id="457" w:name="_Toc150774741"/>
      <w:bookmarkStart w:id="458" w:name="_Toc226965809"/>
      <w:bookmarkStart w:id="459" w:name="_Toc142311038"/>
      <w:bookmarkStart w:id="460" w:name="_Toc151190163"/>
      <w:bookmarkStart w:id="461" w:name="_Toc226965726"/>
      <w:bookmarkStart w:id="462" w:name="_Toc305158878"/>
      <w:bookmarkStart w:id="463" w:name="_Toc164229231"/>
      <w:bookmarkStart w:id="464" w:name="_Toc195842901"/>
      <w:bookmarkStart w:id="465" w:name="_Toc264969226"/>
      <w:bookmarkStart w:id="466" w:name="_Toc150480774"/>
      <w:bookmarkStart w:id="467" w:name="_Toc149720829"/>
      <w:bookmarkStart w:id="468" w:name="_Toc151193706"/>
      <w:bookmarkStart w:id="469" w:name="_Toc127161450"/>
      <w:bookmarkStart w:id="470" w:name="_Toc226309780"/>
      <w:bookmarkStart w:id="471" w:name="_Toc127151737"/>
      <w:bookmarkStart w:id="472" w:name="_Toc151193634"/>
      <w:bookmarkStart w:id="473" w:name="_Toc151193924"/>
      <w:bookmarkStart w:id="474" w:name="_Toc226337232"/>
      <w:bookmarkStart w:id="475" w:name="_Toc520356161"/>
      <w:r>
        <w:rPr>
          <w:color w:val="auto"/>
          <w:sz w:val="24"/>
          <w:highlight w:val="none"/>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color w:val="auto"/>
          <w:sz w:val="24"/>
          <w:highlight w:val="none"/>
        </w:rPr>
        <w:t>时间</w:t>
      </w:r>
    </w:p>
    <w:p w14:paraId="47F4E24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rPr>
        <w:t>“苏采云”政府采购一体化平台</w:t>
      </w:r>
      <w:r>
        <w:rPr>
          <w:color w:val="auto"/>
          <w:sz w:val="24"/>
          <w:highlight w:val="none"/>
        </w:rPr>
        <w:t>。</w:t>
      </w:r>
    </w:p>
    <w:p w14:paraId="01611F3D">
      <w:pPr>
        <w:numPr>
          <w:ilvl w:val="0"/>
          <w:numId w:val="8"/>
        </w:numPr>
        <w:tabs>
          <w:tab w:val="left" w:pos="360"/>
        </w:tabs>
        <w:snapToGrid w:val="0"/>
        <w:spacing w:line="360" w:lineRule="auto"/>
        <w:ind w:left="357" w:hanging="357"/>
        <w:outlineLvl w:val="1"/>
        <w:rPr>
          <w:color w:val="auto"/>
          <w:sz w:val="24"/>
          <w:highlight w:val="none"/>
        </w:rPr>
      </w:pPr>
      <w:bookmarkStart w:id="476" w:name="_Toc151193851"/>
      <w:bookmarkStart w:id="477" w:name="_Toc226965810"/>
      <w:bookmarkStart w:id="478" w:name="_Toc226309781"/>
      <w:bookmarkStart w:id="479" w:name="_Toc151193779"/>
      <w:bookmarkStart w:id="480" w:name="_Toc164608651"/>
      <w:bookmarkStart w:id="481" w:name="_Toc127151537"/>
      <w:bookmarkStart w:id="482" w:name="_Toc226965727"/>
      <w:bookmarkStart w:id="483" w:name="_Toc150774637"/>
      <w:bookmarkStart w:id="484" w:name="_Toc151193707"/>
      <w:bookmarkStart w:id="485" w:name="_Toc150480775"/>
      <w:bookmarkStart w:id="486" w:name="_Toc150774742"/>
      <w:bookmarkStart w:id="487" w:name="_Toc265228375"/>
      <w:bookmarkStart w:id="488" w:name="_Toc195842902"/>
      <w:bookmarkStart w:id="489" w:name="_Toc226337233"/>
      <w:bookmarkStart w:id="490" w:name="_Toc150509288"/>
      <w:bookmarkStart w:id="491" w:name="_Toc164351631"/>
      <w:bookmarkStart w:id="492" w:name="_Toc127151738"/>
      <w:bookmarkStart w:id="493" w:name="_Toc151190164"/>
      <w:bookmarkStart w:id="494" w:name="_Toc151193635"/>
      <w:bookmarkStart w:id="495" w:name="_Toc305158879"/>
      <w:bookmarkStart w:id="496" w:name="_Toc305158805"/>
      <w:bookmarkStart w:id="497" w:name="_Toc520356162"/>
      <w:bookmarkStart w:id="498" w:name="_Toc164229378"/>
      <w:bookmarkStart w:id="499" w:name="_Toc164229232"/>
      <w:bookmarkStart w:id="500" w:name="_Toc164608806"/>
      <w:bookmarkStart w:id="501" w:name="_Toc264969227"/>
      <w:bookmarkStart w:id="502" w:name="_Toc127161451"/>
      <w:bookmarkStart w:id="503" w:name="_Toc149720830"/>
      <w:bookmarkStart w:id="504" w:name="_Toc151193925"/>
      <w:bookmarkStart w:id="505" w:name="_Toc142311039"/>
      <w:r>
        <w:rPr>
          <w:color w:val="auto"/>
          <w:sz w:val="24"/>
          <w:highlight w:val="none"/>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8B255F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“苏采云”政府采购一体化平台</w:t>
      </w:r>
      <w:r>
        <w:rPr>
          <w:color w:val="auto"/>
          <w:sz w:val="24"/>
          <w:highlight w:val="none"/>
        </w:rPr>
        <w:t>对所提交的投标文件进行补充、修改或者撤回。</w:t>
      </w:r>
    </w:p>
    <w:p w14:paraId="4532C1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4C2E1F81">
      <w:pPr>
        <w:spacing w:line="360" w:lineRule="auto"/>
        <w:rPr>
          <w:color w:val="auto"/>
          <w:sz w:val="24"/>
          <w:highlight w:val="none"/>
        </w:rPr>
      </w:pPr>
    </w:p>
    <w:p w14:paraId="055908D8">
      <w:pPr>
        <w:pStyle w:val="3"/>
        <w:spacing w:before="0" w:line="360" w:lineRule="auto"/>
        <w:rPr>
          <w:rFonts w:ascii="Times New Roman" w:hAnsi="Times New Roman" w:eastAsia="宋体"/>
          <w:color w:val="auto"/>
          <w:sz w:val="28"/>
          <w:highlight w:val="none"/>
        </w:rPr>
      </w:pPr>
      <w:bookmarkStart w:id="506" w:name="_Toc150774743"/>
      <w:bookmarkStart w:id="507" w:name="_Toc226965811"/>
      <w:bookmarkStart w:id="508" w:name="_Toc151190165"/>
      <w:bookmarkStart w:id="509" w:name="_Toc264969228"/>
      <w:bookmarkStart w:id="510" w:name="_Toc151193708"/>
      <w:bookmarkStart w:id="511" w:name="_Toc265228376"/>
      <w:bookmarkStart w:id="512" w:name="_Toc226309782"/>
      <w:bookmarkStart w:id="513" w:name="_Toc151193852"/>
      <w:bookmarkStart w:id="514" w:name="_Toc195842903"/>
      <w:bookmarkStart w:id="515" w:name="_Toc226337234"/>
      <w:bookmarkStart w:id="516" w:name="_Toc226965728"/>
      <w:bookmarkStart w:id="517" w:name="_Toc305158880"/>
      <w:bookmarkStart w:id="518" w:name="_Toc305158806"/>
      <w:bookmarkStart w:id="519" w:name="_Toc151193636"/>
      <w:bookmarkStart w:id="520" w:name="_Toc150509289"/>
      <w:bookmarkStart w:id="521" w:name="_Toc150774638"/>
      <w:bookmarkStart w:id="522" w:name="_Toc142311040"/>
      <w:bookmarkStart w:id="523" w:name="_Toc520356163"/>
      <w:bookmarkStart w:id="524" w:name="_Toc151193926"/>
      <w:bookmarkStart w:id="525" w:name="_Toc150480776"/>
      <w:bookmarkStart w:id="526" w:name="_Toc127151538"/>
      <w:bookmarkStart w:id="527" w:name="_Toc151193780"/>
      <w:r>
        <w:rPr>
          <w:rFonts w:ascii="Times New Roman" w:hAnsi="Times New Roman" w:eastAsia="宋体"/>
          <w:color w:val="auto"/>
          <w:sz w:val="28"/>
          <w:highlight w:val="none"/>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43E1C497">
      <w:pPr>
        <w:numPr>
          <w:ilvl w:val="0"/>
          <w:numId w:val="8"/>
        </w:numPr>
        <w:tabs>
          <w:tab w:val="left" w:pos="360"/>
        </w:tabs>
        <w:snapToGrid w:val="0"/>
        <w:spacing w:line="360" w:lineRule="auto"/>
        <w:ind w:left="357" w:hanging="357"/>
        <w:outlineLvl w:val="1"/>
        <w:rPr>
          <w:color w:val="auto"/>
          <w:sz w:val="24"/>
          <w:highlight w:val="none"/>
        </w:rPr>
      </w:pPr>
      <w:bookmarkStart w:id="528" w:name="_Toc164351633"/>
      <w:bookmarkStart w:id="529" w:name="_Toc164608808"/>
      <w:bookmarkStart w:id="530" w:name="_Toc265228377"/>
      <w:bookmarkStart w:id="531" w:name="_Toc195842904"/>
      <w:bookmarkStart w:id="532" w:name="_Toc150509290"/>
      <w:bookmarkStart w:id="533" w:name="_Toc151193853"/>
      <w:bookmarkStart w:id="534" w:name="_Toc142311041"/>
      <w:bookmarkStart w:id="535" w:name="_Toc520356164"/>
      <w:bookmarkStart w:id="536" w:name="_Toc164229234"/>
      <w:bookmarkStart w:id="537" w:name="_Toc226965812"/>
      <w:bookmarkStart w:id="538" w:name="_Toc127151740"/>
      <w:bookmarkStart w:id="539" w:name="_Toc151193927"/>
      <w:bookmarkStart w:id="540" w:name="_Toc305158807"/>
      <w:bookmarkStart w:id="541" w:name="_Toc127151539"/>
      <w:bookmarkStart w:id="542" w:name="_Toc151193637"/>
      <w:bookmarkStart w:id="543" w:name="_Toc151190166"/>
      <w:bookmarkStart w:id="544" w:name="_Toc151193781"/>
      <w:bookmarkStart w:id="545" w:name="_Toc305158881"/>
      <w:bookmarkStart w:id="546" w:name="_Toc127161453"/>
      <w:bookmarkStart w:id="547" w:name="_Toc150480777"/>
      <w:bookmarkStart w:id="548" w:name="_Toc226309783"/>
      <w:bookmarkStart w:id="549" w:name="_Toc150774639"/>
      <w:bookmarkStart w:id="550" w:name="_Toc264969229"/>
      <w:bookmarkStart w:id="551" w:name="_Toc164608653"/>
      <w:bookmarkStart w:id="552" w:name="_Toc149720832"/>
      <w:bookmarkStart w:id="553" w:name="_Toc164229380"/>
      <w:bookmarkStart w:id="554" w:name="_Toc151193709"/>
      <w:bookmarkStart w:id="555" w:name="_Toc150774744"/>
      <w:bookmarkStart w:id="556" w:name="_Toc226965729"/>
      <w:bookmarkStart w:id="557" w:name="_Toc226337235"/>
      <w:r>
        <w:rPr>
          <w:color w:val="auto"/>
          <w:sz w:val="24"/>
          <w:highlight w:val="none"/>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0C5FF3A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52B35BC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3DF21C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“苏采云”政府采购一体化平台公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58" w:name="_Toc520356165"/>
      <w:r>
        <w:rPr>
          <w:rFonts w:hint="eastAsia"/>
          <w:color w:val="auto"/>
          <w:sz w:val="24"/>
          <w:highlight w:val="none"/>
        </w:rPr>
        <w:t>。投标人超过规定时间未确认但是未提出疑义的，系统将视同已确认</w:t>
      </w:r>
      <w:r>
        <w:rPr>
          <w:color w:val="auto"/>
          <w:sz w:val="24"/>
          <w:highlight w:val="none"/>
        </w:rPr>
        <w:t>。</w:t>
      </w:r>
    </w:p>
    <w:p w14:paraId="189BB11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1CECED7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0A0B9CA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12F2D8D7">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投标人</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w:t>
      </w:r>
      <w:r>
        <w:rPr>
          <w:rFonts w:hint="eastAsia"/>
          <w:color w:val="auto"/>
          <w:sz w:val="24"/>
          <w:highlight w:val="none"/>
          <w:lang w:val="en-US" w:eastAsia="zh-CN"/>
        </w:rPr>
        <w:t>评标委员会</w:t>
      </w:r>
      <w:r>
        <w:rPr>
          <w:rFonts w:hint="eastAsia"/>
          <w:color w:val="auto"/>
          <w:sz w:val="24"/>
          <w:highlight w:val="none"/>
        </w:rPr>
        <w:t>发出的指令和要求进行响应操作。如果因为无人值守造成不能及时回应系统或者</w:t>
      </w:r>
      <w:r>
        <w:rPr>
          <w:rFonts w:hint="eastAsia"/>
          <w:color w:val="auto"/>
          <w:sz w:val="24"/>
          <w:highlight w:val="none"/>
          <w:lang w:val="en-US" w:eastAsia="zh-CN"/>
        </w:rPr>
        <w:t>评标委员会</w:t>
      </w:r>
      <w:r>
        <w:rPr>
          <w:rFonts w:hint="eastAsia"/>
          <w:color w:val="auto"/>
          <w:sz w:val="24"/>
          <w:highlight w:val="none"/>
        </w:rPr>
        <w:t>指令和要求从而导致影响开标、评审结果的，责任由投标人承担</w:t>
      </w:r>
      <w:r>
        <w:rPr>
          <w:color w:val="auto"/>
          <w:sz w:val="24"/>
          <w:highlight w:val="none"/>
        </w:rPr>
        <w:t>。</w:t>
      </w:r>
    </w:p>
    <w:p w14:paraId="2EA04FDF">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“苏采云”政府采购一体化平台系统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5E8A5002">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884841">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2869D0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1285E0DC">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10B1C3C8">
      <w:pPr>
        <w:tabs>
          <w:tab w:val="left" w:pos="1080"/>
          <w:tab w:val="left" w:pos="1589"/>
          <w:tab w:val="left" w:pos="2014"/>
        </w:tabs>
        <w:snapToGrid w:val="0"/>
        <w:spacing w:line="360" w:lineRule="auto"/>
        <w:ind w:left="1134" w:leftChars="54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0A42892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70CB1F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58"/>
    <w:p w14:paraId="5F2E04A8">
      <w:pPr>
        <w:numPr>
          <w:ilvl w:val="0"/>
          <w:numId w:val="8"/>
        </w:numPr>
        <w:tabs>
          <w:tab w:val="left" w:pos="360"/>
        </w:tabs>
        <w:snapToGrid w:val="0"/>
        <w:spacing w:line="360" w:lineRule="auto"/>
        <w:ind w:left="357" w:hanging="357"/>
        <w:outlineLvl w:val="1"/>
        <w:rPr>
          <w:color w:val="auto"/>
          <w:sz w:val="24"/>
          <w:highlight w:val="none"/>
        </w:rPr>
      </w:pPr>
      <w:bookmarkStart w:id="559" w:name="_Toc127151540"/>
      <w:bookmarkStart w:id="560" w:name="_Toc151193782"/>
      <w:bookmarkStart w:id="561" w:name="_Toc151193854"/>
      <w:bookmarkStart w:id="562" w:name="_Toc151193638"/>
      <w:bookmarkStart w:id="563" w:name="_Toc164229381"/>
      <w:bookmarkStart w:id="564" w:name="_Toc305158882"/>
      <w:bookmarkStart w:id="565" w:name="_Toc151193928"/>
      <w:bookmarkStart w:id="566" w:name="_Toc226337236"/>
      <w:bookmarkStart w:id="567" w:name="_Toc150774640"/>
      <w:bookmarkStart w:id="568" w:name="_Toc142311042"/>
      <w:bookmarkStart w:id="569" w:name="_Toc150509291"/>
      <w:bookmarkStart w:id="570" w:name="_Toc151193710"/>
      <w:bookmarkStart w:id="571" w:name="_Toc150774745"/>
      <w:bookmarkStart w:id="572" w:name="_Toc226965813"/>
      <w:bookmarkStart w:id="573" w:name="_Toc195842905"/>
      <w:bookmarkStart w:id="574" w:name="_Toc226965730"/>
      <w:bookmarkStart w:id="575" w:name="_Toc164608654"/>
      <w:bookmarkStart w:id="576" w:name="_Toc164608809"/>
      <w:bookmarkStart w:id="577" w:name="_Toc265228378"/>
      <w:bookmarkStart w:id="578" w:name="_Toc305158808"/>
      <w:bookmarkStart w:id="579" w:name="_Toc226309784"/>
      <w:bookmarkStart w:id="580" w:name="_Toc127161454"/>
      <w:bookmarkStart w:id="581" w:name="_Toc164351634"/>
      <w:bookmarkStart w:id="582" w:name="_Toc164229235"/>
      <w:bookmarkStart w:id="583" w:name="_Toc264969230"/>
      <w:bookmarkStart w:id="584" w:name="_Toc149720833"/>
      <w:bookmarkStart w:id="585" w:name="_Toc151190167"/>
      <w:bookmarkStart w:id="586" w:name="_Toc127151741"/>
      <w:bookmarkStart w:id="587" w:name="_Toc150480778"/>
      <w:r>
        <w:rPr>
          <w:color w:val="auto"/>
          <w:sz w:val="24"/>
          <w:highlight w:val="none"/>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79EE076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88" w:name="_Toc520356166"/>
    </w:p>
    <w:p w14:paraId="508C6D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88"/>
    </w:p>
    <w:p w14:paraId="10D84A7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23F320A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D903D2D">
      <w:pPr>
        <w:snapToGrid w:val="0"/>
        <w:spacing w:line="360" w:lineRule="auto"/>
        <w:jc w:val="center"/>
        <w:rPr>
          <w:rFonts w:ascii="宋体" w:hAnsi="宋体"/>
          <w:b/>
          <w:bCs/>
          <w:color w:val="auto"/>
          <w:sz w:val="28"/>
          <w:szCs w:val="28"/>
          <w:highlight w:val="none"/>
        </w:rPr>
      </w:pPr>
      <w:bookmarkStart w:id="589" w:name="_Toc265228383"/>
      <w:bookmarkStart w:id="590" w:name="_Toc264969235"/>
      <w:bookmarkStart w:id="591" w:name="_Toc151193643"/>
      <w:bookmarkStart w:id="592" w:name="_Toc226309789"/>
      <w:bookmarkStart w:id="593" w:name="_Toc151193933"/>
      <w:bookmarkStart w:id="594" w:name="_Toc150774645"/>
      <w:bookmarkStart w:id="595" w:name="_Toc195842910"/>
      <w:bookmarkStart w:id="596" w:name="_Toc226965818"/>
      <w:bookmarkStart w:id="597" w:name="_Toc150509296"/>
      <w:bookmarkStart w:id="598" w:name="_Toc142311047"/>
      <w:bookmarkStart w:id="599" w:name="_Toc305158887"/>
      <w:bookmarkStart w:id="600" w:name="_Toc151190172"/>
      <w:bookmarkStart w:id="601" w:name="_Toc305158813"/>
      <w:bookmarkStart w:id="602" w:name="_Toc151193787"/>
      <w:bookmarkStart w:id="603" w:name="_Toc127151545"/>
      <w:bookmarkStart w:id="604" w:name="_Toc226337241"/>
      <w:bookmarkStart w:id="605" w:name="_Toc150480783"/>
      <w:bookmarkStart w:id="606" w:name="_Toc226965735"/>
      <w:bookmarkStart w:id="607" w:name="_Toc151193715"/>
      <w:bookmarkStart w:id="608" w:name="_Toc150774750"/>
      <w:bookmarkStart w:id="609" w:name="_Toc151193859"/>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确定中标</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Start w:id="610" w:name="_Toc127161461"/>
      <w:bookmarkStart w:id="611" w:name="_Toc226965820"/>
      <w:bookmarkStart w:id="612" w:name="_Toc149720840"/>
      <w:bookmarkStart w:id="613" w:name="_Toc151193645"/>
      <w:bookmarkStart w:id="614" w:name="_Toc151193861"/>
      <w:bookmarkStart w:id="615" w:name="_Toc151193935"/>
      <w:bookmarkStart w:id="616" w:name="_Toc151190174"/>
      <w:bookmarkStart w:id="617" w:name="_Toc226965737"/>
      <w:bookmarkStart w:id="618" w:name="_Toc127151547"/>
      <w:bookmarkStart w:id="619" w:name="_Toc305158889"/>
      <w:bookmarkStart w:id="620" w:name="_Toc164351641"/>
      <w:bookmarkStart w:id="621" w:name="_Toc142311049"/>
      <w:bookmarkStart w:id="622" w:name="_Toc164608661"/>
      <w:bookmarkStart w:id="623" w:name="_Toc150509298"/>
      <w:bookmarkStart w:id="624" w:name="_Toc226337243"/>
      <w:bookmarkStart w:id="625" w:name="_Toc305158815"/>
      <w:bookmarkStart w:id="626" w:name="_Toc151193789"/>
      <w:bookmarkStart w:id="627" w:name="_Toc195842912"/>
      <w:bookmarkStart w:id="628" w:name="_Toc164608816"/>
      <w:bookmarkStart w:id="629" w:name="_Toc150774752"/>
      <w:bookmarkStart w:id="630" w:name="_Toc226309791"/>
      <w:bookmarkStart w:id="631" w:name="_Toc127151748"/>
      <w:bookmarkStart w:id="632" w:name="_Toc164229388"/>
      <w:bookmarkStart w:id="633" w:name="_Toc164229242"/>
      <w:bookmarkStart w:id="634" w:name="_Toc150480785"/>
      <w:bookmarkStart w:id="635" w:name="_Toc150774647"/>
      <w:bookmarkStart w:id="636" w:name="_Toc264969237"/>
      <w:bookmarkStart w:id="637" w:name="_Toc151193717"/>
      <w:bookmarkStart w:id="638" w:name="_Toc265228385"/>
    </w:p>
    <w:p w14:paraId="1A9C351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确定</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hint="eastAsia" w:ascii="宋体" w:hAnsi="宋体" w:cs="宋体"/>
          <w:color w:val="auto"/>
          <w:sz w:val="24"/>
          <w:highlight w:val="none"/>
          <w:lang w:eastAsia="zh-CN"/>
        </w:rPr>
        <w:t>中标人</w:t>
      </w:r>
    </w:p>
    <w:p w14:paraId="2EEDD27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，中标候选人并列的，由采购人依法确定。</w:t>
      </w:r>
    </w:p>
    <w:p w14:paraId="0B2907B0">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39" w:name="_Toc305158817"/>
      <w:bookmarkStart w:id="640" w:name="_Toc305158891"/>
      <w:bookmarkStart w:id="641" w:name="_Toc149720842"/>
      <w:bookmarkStart w:id="642" w:name="_Toc150480787"/>
      <w:bookmarkStart w:id="643" w:name="_Toc226337245"/>
      <w:bookmarkStart w:id="644" w:name="_Toc151193719"/>
      <w:bookmarkStart w:id="645" w:name="_Toc164229244"/>
      <w:bookmarkStart w:id="646" w:name="_Toc151193791"/>
      <w:bookmarkStart w:id="647" w:name="_Toc151193937"/>
      <w:bookmarkStart w:id="648" w:name="_Toc127151549"/>
      <w:bookmarkStart w:id="649" w:name="_Toc150774649"/>
      <w:bookmarkStart w:id="650" w:name="_Toc150509300"/>
      <w:bookmarkStart w:id="651" w:name="_Toc151193647"/>
      <w:bookmarkStart w:id="652" w:name="_Toc265228387"/>
      <w:bookmarkStart w:id="653" w:name="_Toc164608663"/>
      <w:bookmarkStart w:id="654" w:name="_Toc150774754"/>
      <w:bookmarkStart w:id="655" w:name="_Toc164229390"/>
      <w:bookmarkStart w:id="656" w:name="_Toc195842914"/>
      <w:bookmarkStart w:id="657" w:name="_Toc164608818"/>
      <w:bookmarkStart w:id="658" w:name="_Toc226309793"/>
      <w:bookmarkStart w:id="659" w:name="_Toc226965822"/>
      <w:bookmarkStart w:id="660" w:name="_Toc127151750"/>
      <w:bookmarkStart w:id="661" w:name="_Toc127161463"/>
      <w:bookmarkStart w:id="662" w:name="_Toc151190176"/>
      <w:bookmarkStart w:id="663" w:name="_Toc164351643"/>
      <w:bookmarkStart w:id="664" w:name="_Toc226965739"/>
      <w:bookmarkStart w:id="665" w:name="_Toc142311051"/>
      <w:bookmarkStart w:id="666" w:name="_Toc264969239"/>
      <w:bookmarkStart w:id="667" w:name="_Toc151193863"/>
      <w:bookmarkStart w:id="668" w:name="_Ref467306425"/>
      <w:bookmarkStart w:id="669" w:name="_Toc520356176"/>
      <w:bookmarkStart w:id="670" w:name="_Ref467307090"/>
      <w:r>
        <w:rPr>
          <w:rFonts w:hint="eastAsia" w:ascii="宋体" w:hAnsi="宋体" w:cs="宋体"/>
          <w:color w:val="auto"/>
          <w:sz w:val="24"/>
          <w:highlight w:val="none"/>
        </w:rPr>
        <w:t>中标公告与中标通知书</w:t>
      </w:r>
      <w:bookmarkEnd w:id="639"/>
      <w:bookmarkEnd w:id="640"/>
    </w:p>
    <w:p w14:paraId="1A59148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采购人或采购代理机构自</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确定之日起2个工作日内，</w:t>
      </w:r>
      <w:r>
        <w:rPr>
          <w:rFonts w:hint="eastAsia" w:ascii="宋体" w:hAnsi="宋体" w:cs="宋体"/>
          <w:color w:val="auto"/>
          <w:kern w:val="0"/>
          <w:sz w:val="24"/>
          <w:highlight w:val="none"/>
        </w:rPr>
        <w:t>在江苏政府采购网、常州市政府采购网</w:t>
      </w:r>
      <w:r>
        <w:rPr>
          <w:rFonts w:hint="eastAsia" w:ascii="宋体" w:hAnsi="宋体" w:cs="宋体"/>
          <w:color w:val="auto"/>
          <w:sz w:val="24"/>
          <w:highlight w:val="none"/>
        </w:rPr>
        <w:t>和</w:t>
      </w:r>
      <w:r>
        <w:rPr>
          <w:rFonts w:hint="eastAsia" w:ascii="宋体" w:hAnsi="宋体" w:cs="宋体"/>
          <w:color w:val="auto"/>
          <w:sz w:val="24"/>
          <w:highlight w:val="none"/>
          <w:lang w:eastAsia="zh-CN"/>
        </w:rPr>
        <w:t>江苏建安造价师事务所有限公司</w:t>
      </w:r>
      <w:r>
        <w:rPr>
          <w:rFonts w:hint="eastAsia" w:ascii="宋体" w:hAnsi="宋体" w:cs="宋体"/>
          <w:color w:val="auto"/>
          <w:sz w:val="24"/>
          <w:highlight w:val="none"/>
        </w:rPr>
        <w:t>网</w:t>
      </w:r>
      <w:r>
        <w:rPr>
          <w:rFonts w:hint="eastAsia" w:ascii="宋体" w:hAnsi="宋体" w:cs="宋体"/>
          <w:color w:val="auto"/>
          <w:kern w:val="0"/>
          <w:sz w:val="24"/>
          <w:highlight w:val="none"/>
        </w:rPr>
        <w:t>公告中标结果</w:t>
      </w:r>
      <w:r>
        <w:rPr>
          <w:rFonts w:hint="eastAsia" w:ascii="宋体" w:hAnsi="宋体" w:cs="宋体"/>
          <w:color w:val="auto"/>
          <w:sz w:val="24"/>
          <w:highlight w:val="none"/>
        </w:rPr>
        <w:t>，同时向</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发出中标通知书，中标公告期限为1个工作日。</w:t>
      </w:r>
    </w:p>
    <w:p w14:paraId="18BA22C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中标通知书对采购人和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均具有法律效力。中标通知书发出后，采购人改变中标结果的，或者</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放弃中标项目的，应当依法承担法律责任。</w:t>
      </w:r>
    </w:p>
    <w:p w14:paraId="2462FA5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废标</w:t>
      </w:r>
    </w:p>
    <w:p w14:paraId="166ACA30">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7A1C2FB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符合专业条件的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或者对招标文件作实质响应的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不足三家的；</w:t>
      </w:r>
    </w:p>
    <w:p w14:paraId="609A594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6410427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p>
    <w:p w14:paraId="4555CDC1">
      <w:pPr>
        <w:numPr>
          <w:ilvl w:val="2"/>
          <w:numId w:val="8"/>
        </w:numPr>
        <w:snapToGrid w:val="0"/>
        <w:spacing w:line="360" w:lineRule="auto"/>
        <w:rPr>
          <w:color w:val="auto"/>
          <w:sz w:val="24"/>
          <w:highlight w:val="none"/>
        </w:rPr>
      </w:pPr>
      <w:r>
        <w:rPr>
          <w:rFonts w:hint="eastAsia" w:ascii="宋体" w:hAnsi="宋体" w:cs="宋体"/>
          <w:color w:val="auto"/>
          <w:sz w:val="24"/>
          <w:highlight w:val="none"/>
        </w:rPr>
        <w:t>因重大变故，采购任务取消的。</w:t>
      </w:r>
    </w:p>
    <w:p w14:paraId="328A120A">
      <w:pPr>
        <w:numPr>
          <w:ilvl w:val="2"/>
          <w:numId w:val="8"/>
        </w:numPr>
        <w:snapToGrid w:val="0"/>
        <w:spacing w:line="360" w:lineRule="auto"/>
        <w:rPr>
          <w:rFonts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46711B6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废标后，采购人将废标理由通知所有投标人。</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14:paraId="44E2BD9F">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71" w:name="_Toc151193864"/>
      <w:bookmarkStart w:id="672" w:name="_Toc164608664"/>
      <w:bookmarkStart w:id="673" w:name="_Toc305158892"/>
      <w:bookmarkStart w:id="674" w:name="_Toc151193938"/>
      <w:bookmarkStart w:id="675" w:name="_Toc151193792"/>
      <w:bookmarkStart w:id="676" w:name="_Toc164229245"/>
      <w:bookmarkStart w:id="677" w:name="_Toc151190177"/>
      <w:bookmarkStart w:id="678" w:name="_Toc226337246"/>
      <w:bookmarkStart w:id="679" w:name="_Ref467307062"/>
      <w:bookmarkStart w:id="680" w:name="_Toc265228388"/>
      <w:bookmarkStart w:id="681" w:name="_Toc264969240"/>
      <w:bookmarkStart w:id="682" w:name="_Toc164229391"/>
      <w:bookmarkStart w:id="683" w:name="_Toc150509301"/>
      <w:bookmarkStart w:id="684" w:name="_Toc151193720"/>
      <w:bookmarkStart w:id="685" w:name="_Toc226965740"/>
      <w:bookmarkStart w:id="686" w:name="_Ref467307204"/>
      <w:bookmarkStart w:id="687" w:name="_Toc226965823"/>
      <w:bookmarkStart w:id="688" w:name="_Toc305158818"/>
      <w:bookmarkStart w:id="689" w:name="_Ref467306978"/>
      <w:bookmarkStart w:id="690" w:name="_Toc164608819"/>
      <w:bookmarkStart w:id="691" w:name="_Toc127161464"/>
      <w:bookmarkStart w:id="692" w:name="_Toc226309794"/>
      <w:bookmarkStart w:id="693" w:name="_Toc151193648"/>
      <w:bookmarkStart w:id="694" w:name="_Toc164351644"/>
      <w:bookmarkStart w:id="695" w:name="_Toc149720843"/>
      <w:bookmarkStart w:id="696" w:name="_Toc150774755"/>
      <w:bookmarkStart w:id="697" w:name="_Toc150774650"/>
      <w:bookmarkStart w:id="698" w:name="_Ref467306377"/>
      <w:bookmarkStart w:id="699" w:name="_Toc195842915"/>
      <w:bookmarkStart w:id="700" w:name="_Toc520356175"/>
      <w:bookmarkStart w:id="701" w:name="_Toc127151550"/>
      <w:bookmarkStart w:id="702" w:name="_Toc127151751"/>
      <w:bookmarkStart w:id="703" w:name="_Toc150480788"/>
      <w:bookmarkStart w:id="704" w:name="_Toc142311052"/>
      <w:r>
        <w:rPr>
          <w:rFonts w:hint="eastAsia" w:ascii="宋体" w:hAnsi="宋体" w:cs="宋体"/>
          <w:color w:val="auto"/>
          <w:sz w:val="24"/>
          <w:highlight w:val="none"/>
        </w:rPr>
        <w:t>签订合同</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43B34B4C">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、采购人应当自中标通知书发出之日起30日内，按照招标文件和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投标文件的规定签订书面合同。所签订的合同不得对招标文件确定的事项和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的投标文件作实质性修改。</w:t>
      </w:r>
    </w:p>
    <w:p w14:paraId="0F4C72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拒绝与采购人签订合同的，采购人可以按照评标报告推荐的中标候选人名单排序，确定下一候选人为</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，也可以重新开展政府采购活动。</w:t>
      </w:r>
    </w:p>
    <w:p w14:paraId="4258D6B8">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41384B19">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政府采购合同不能转包。</w:t>
      </w:r>
    </w:p>
    <w:p w14:paraId="0C73620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本项目的非主体、非关键性工作是否允许分包，见《投标人须知资料表》。</w:t>
      </w:r>
    </w:p>
    <w:bookmarkEnd w:id="668"/>
    <w:bookmarkEnd w:id="669"/>
    <w:bookmarkEnd w:id="670"/>
    <w:p w14:paraId="1D00567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询问与质疑</w:t>
      </w:r>
    </w:p>
    <w:p w14:paraId="675E55F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询问</w:t>
      </w:r>
    </w:p>
    <w:p w14:paraId="0E46F3E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投标人对政府采购活动事项有疑问的，可依法提出询问，并按《投标人须知资料表》载明的形式送达采购人或采购代理机构。</w:t>
      </w:r>
    </w:p>
    <w:p w14:paraId="685C911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采购人或采购代理机构对</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依法提出的询问，在3个工作日内作出答复，但答复的内容不得涉及商业秘密。</w:t>
      </w:r>
    </w:p>
    <w:p w14:paraId="5B201BD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质疑</w:t>
      </w:r>
    </w:p>
    <w:p w14:paraId="6695F22C">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39906D1">
      <w:pPr>
        <w:numPr>
          <w:ilvl w:val="2"/>
          <w:numId w:val="8"/>
        </w:numPr>
        <w:snapToGrid w:val="0"/>
        <w:spacing w:line="360" w:lineRule="auto"/>
        <w:rPr>
          <w:rFonts w:ascii="宋体" w:hAnsi="宋体" w:cs="宋体"/>
          <w:color w:val="auto"/>
          <w:sz w:val="24"/>
          <w:highlight w:val="none"/>
        </w:rPr>
      </w:pPr>
      <w:r>
        <w:rPr>
          <w:rFonts w:hint="eastAsia" w:ascii="宋体" w:hAnsi="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61835E4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4"/>
          <w:rFonts w:hint="eastAsia" w:ascii="宋体" w:hAnsi="宋体" w:cs="宋体"/>
          <w:color w:val="auto"/>
          <w:sz w:val="24"/>
          <w:highlight w:val="none"/>
        </w:rPr>
        <w:t>http://gk</w:t>
      </w:r>
      <w:bookmarkStart w:id="705" w:name="_Hlt100654014"/>
      <w:r>
        <w:rPr>
          <w:rStyle w:val="54"/>
          <w:rFonts w:hint="eastAsia" w:ascii="宋体" w:hAnsi="宋体" w:cs="宋体"/>
          <w:color w:val="auto"/>
          <w:sz w:val="24"/>
          <w:highlight w:val="none"/>
        </w:rPr>
        <w:t>s</w:t>
      </w:r>
      <w:bookmarkEnd w:id="705"/>
      <w:r>
        <w:rPr>
          <w:rStyle w:val="54"/>
          <w:rFonts w:hint="eastAsia" w:ascii="宋体" w:hAnsi="宋体" w:cs="宋体"/>
          <w:color w:val="auto"/>
          <w:sz w:val="24"/>
          <w:highlight w:val="none"/>
        </w:rPr>
        <w:t>.m</w:t>
      </w:r>
      <w:bookmarkStart w:id="706" w:name="_Hlt100653993"/>
      <w:bookmarkStart w:id="707" w:name="_Hlt100653994"/>
      <w:r>
        <w:rPr>
          <w:rStyle w:val="54"/>
          <w:rFonts w:hint="eastAsia" w:ascii="宋体" w:hAnsi="宋体" w:cs="宋体"/>
          <w:color w:val="auto"/>
          <w:sz w:val="24"/>
          <w:highlight w:val="none"/>
        </w:rPr>
        <w:t>o</w:t>
      </w:r>
      <w:bookmarkEnd w:id="706"/>
      <w:bookmarkEnd w:id="707"/>
      <w:r>
        <w:rPr>
          <w:rStyle w:val="54"/>
          <w:rFonts w:hint="eastAsia" w:ascii="宋体" w:hAnsi="宋体" w:cs="宋体"/>
          <w:color w:val="auto"/>
          <w:sz w:val="24"/>
          <w:highlight w:val="none"/>
        </w:rPr>
        <w:t>f.gov.cn/ztztz/zhengfucaigouguanli/201802/t20180201_2804589.htm</w:t>
      </w:r>
      <w:r>
        <w:rPr>
          <w:rStyle w:val="54"/>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69A88B3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投标人为自然人的，应当由本人签字；投标人为法人或者其他组织的，应当由法定代表人、主要负责人，或者其授权代表签字或者加盖公章，并加盖公章。</w:t>
      </w:r>
    </w:p>
    <w:p w14:paraId="599DA47D">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1CCEE3E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127A01DA">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代理费</w:t>
      </w:r>
    </w:p>
    <w:p w14:paraId="1B92344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sectPr>
          <w:pgSz w:w="11906" w:h="16838"/>
          <w:pgMar w:top="1440" w:right="1800" w:bottom="1440" w:left="1800" w:header="851" w:footer="992" w:gutter="0"/>
          <w:pgNumType w:fmt="decimal"/>
          <w:cols w:space="720" w:num="1"/>
          <w:docGrid w:type="lines" w:linePitch="312" w:charSpace="0"/>
        </w:sectPr>
      </w:pPr>
      <w:r>
        <w:rPr>
          <w:rFonts w:hint="eastAsia" w:ascii="宋体" w:hAnsi="宋体" w:cs="宋体"/>
          <w:color w:val="auto"/>
          <w:sz w:val="24"/>
          <w:highlight w:val="none"/>
        </w:rPr>
        <w:t>收费对象、收费标准及缴纳时间见《投标人须知资料表》。由</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支付的，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须一次性向采购代理机构缴纳代理费，投标报价应包含代理费用。</w:t>
      </w:r>
    </w:p>
    <w:p w14:paraId="0CDE4C00">
      <w:pPr>
        <w:spacing w:line="360" w:lineRule="auto"/>
        <w:jc w:val="center"/>
        <w:outlineLvl w:val="0"/>
        <w:rPr>
          <w:b/>
          <w:color w:val="auto"/>
          <w:sz w:val="36"/>
          <w:szCs w:val="36"/>
          <w:highlight w:val="none"/>
        </w:rPr>
      </w:pPr>
      <w:bookmarkStart w:id="708" w:name="_Toc226965827"/>
      <w:bookmarkStart w:id="709" w:name="_Toc353825544"/>
      <w:bookmarkStart w:id="710" w:name="_Toc127151554"/>
      <w:bookmarkStart w:id="711" w:name="_Toc264969244"/>
      <w:bookmarkStart w:id="712" w:name="_Toc226337250"/>
      <w:bookmarkStart w:id="713" w:name="_Toc150774759"/>
      <w:bookmarkStart w:id="714" w:name="_Toc150480792"/>
      <w:bookmarkStart w:id="715" w:name="_Toc142311056"/>
      <w:bookmarkStart w:id="716" w:name="_Toc353873664"/>
      <w:bookmarkStart w:id="717" w:name="_Toc353873934"/>
      <w:bookmarkStart w:id="718" w:name="_Toc305158896"/>
      <w:bookmarkStart w:id="719" w:name="_Toc305158822"/>
      <w:bookmarkStart w:id="720" w:name="_Toc265228392"/>
      <w:bookmarkStart w:id="721" w:name="_Toc99301421"/>
      <w:bookmarkStart w:id="722" w:name="_Toc4607"/>
      <w:r>
        <w:rPr>
          <w:b/>
          <w:color w:val="auto"/>
          <w:sz w:val="36"/>
          <w:szCs w:val="36"/>
          <w:highlight w:val="none"/>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color w:val="auto"/>
          <w:sz w:val="36"/>
          <w:szCs w:val="36"/>
          <w:highlight w:val="none"/>
        </w:rPr>
        <w:t>资格审查</w:t>
      </w:r>
      <w:bookmarkEnd w:id="721"/>
      <w:bookmarkEnd w:id="722"/>
      <w:bookmarkStart w:id="723" w:name="_Toc487900382"/>
    </w:p>
    <w:p w14:paraId="3EB5A40B">
      <w:pPr>
        <w:snapToGrid w:val="0"/>
        <w:spacing w:line="360" w:lineRule="auto"/>
        <w:jc w:val="center"/>
        <w:rPr>
          <w:rFonts w:ascii="宋体" w:hAnsi="宋体"/>
          <w:b/>
          <w:bCs/>
          <w:color w:val="auto"/>
          <w:sz w:val="28"/>
          <w:szCs w:val="28"/>
          <w:highlight w:val="none"/>
        </w:rPr>
      </w:pPr>
      <w:bookmarkStart w:id="724" w:name="_Toc99301422"/>
      <w:r>
        <w:rPr>
          <w:rFonts w:hint="eastAsia" w:ascii="宋体" w:hAnsi="宋体"/>
          <w:b/>
          <w:bCs/>
          <w:color w:val="auto"/>
          <w:sz w:val="28"/>
          <w:szCs w:val="28"/>
          <w:highlight w:val="none"/>
        </w:rPr>
        <w:t>一、资格审查程序</w:t>
      </w:r>
      <w:bookmarkEnd w:id="724"/>
    </w:p>
    <w:p w14:paraId="2E02222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开标结束后，采购人将根据《资格审查要求》中的规定，对投标人进行资格审查，并形成资格审查结果。</w:t>
      </w:r>
    </w:p>
    <w:p w14:paraId="0D6CFF0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《资格审查要求》中对格式有要求的，除招标文件另有规定外，均为“实质性格式”文件。</w:t>
      </w:r>
    </w:p>
    <w:p w14:paraId="0DACA74C">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投标人《资格证明文件》有任何一项不符合《资格审查要求》的，资格审查不合格，其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EAFD3BF">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资格审查合格的投标人不足3家的，不进行评标。</w:t>
      </w:r>
    </w:p>
    <w:p w14:paraId="55287519">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二、资格审查要求</w:t>
      </w:r>
    </w:p>
    <w:tbl>
      <w:tblPr>
        <w:tblStyle w:val="46"/>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1796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03A08F22">
            <w:pPr>
              <w:tabs>
                <w:tab w:val="left" w:pos="1080"/>
              </w:tabs>
              <w:snapToGrid w:val="0"/>
              <w:jc w:val="center"/>
              <w:rPr>
                <w:b/>
                <w:color w:val="auto"/>
                <w:sz w:val="24"/>
                <w:highlight w:val="none"/>
              </w:rPr>
            </w:pPr>
            <w:bookmarkStart w:id="725" w:name="_Hlt487972895"/>
            <w:bookmarkEnd w:id="725"/>
            <w:r>
              <w:rPr>
                <w:b/>
                <w:color w:val="auto"/>
                <w:sz w:val="24"/>
                <w:highlight w:val="none"/>
              </w:rPr>
              <w:t>序号</w:t>
            </w:r>
          </w:p>
        </w:tc>
        <w:tc>
          <w:tcPr>
            <w:tcW w:w="1982" w:type="dxa"/>
            <w:vAlign w:val="center"/>
          </w:tcPr>
          <w:p w14:paraId="720DDB21">
            <w:pPr>
              <w:tabs>
                <w:tab w:val="left" w:pos="1080"/>
              </w:tabs>
              <w:snapToGrid w:val="0"/>
              <w:jc w:val="center"/>
              <w:rPr>
                <w:b/>
                <w:color w:val="auto"/>
                <w:sz w:val="24"/>
                <w:highlight w:val="none"/>
              </w:rPr>
            </w:pPr>
            <w:r>
              <w:rPr>
                <w:b/>
                <w:color w:val="auto"/>
                <w:sz w:val="24"/>
                <w:highlight w:val="none"/>
              </w:rPr>
              <w:t>审查因素</w:t>
            </w:r>
          </w:p>
        </w:tc>
        <w:tc>
          <w:tcPr>
            <w:tcW w:w="4822" w:type="dxa"/>
            <w:vAlign w:val="center"/>
          </w:tcPr>
          <w:p w14:paraId="1B4B80C7">
            <w:pPr>
              <w:tabs>
                <w:tab w:val="left" w:pos="1080"/>
              </w:tabs>
              <w:snapToGrid w:val="0"/>
              <w:jc w:val="center"/>
              <w:rPr>
                <w:b/>
                <w:color w:val="auto"/>
                <w:sz w:val="24"/>
                <w:highlight w:val="none"/>
              </w:rPr>
            </w:pPr>
            <w:r>
              <w:rPr>
                <w:b/>
                <w:color w:val="auto"/>
                <w:sz w:val="24"/>
                <w:highlight w:val="none"/>
              </w:rPr>
              <w:t>审查内容</w:t>
            </w:r>
          </w:p>
        </w:tc>
        <w:tc>
          <w:tcPr>
            <w:tcW w:w="1638" w:type="dxa"/>
            <w:vAlign w:val="center"/>
          </w:tcPr>
          <w:p w14:paraId="14B2A99F">
            <w:pPr>
              <w:tabs>
                <w:tab w:val="left" w:pos="1080"/>
              </w:tabs>
              <w:snapToGrid w:val="0"/>
              <w:jc w:val="center"/>
              <w:rPr>
                <w:b/>
                <w:color w:val="auto"/>
                <w:sz w:val="24"/>
                <w:highlight w:val="none"/>
              </w:rPr>
            </w:pPr>
            <w:r>
              <w:rPr>
                <w:b/>
                <w:color w:val="auto"/>
                <w:sz w:val="24"/>
                <w:highlight w:val="none"/>
              </w:rPr>
              <w:t>格式要求</w:t>
            </w:r>
          </w:p>
        </w:tc>
      </w:tr>
      <w:tr w14:paraId="0E289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E1D102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w:t>
            </w:r>
          </w:p>
        </w:tc>
        <w:tc>
          <w:tcPr>
            <w:tcW w:w="1982" w:type="dxa"/>
            <w:vAlign w:val="center"/>
          </w:tcPr>
          <w:p w14:paraId="3E43B579">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4822" w:type="dxa"/>
            <w:vAlign w:val="center"/>
          </w:tcPr>
          <w:p w14:paraId="6F28E0F1">
            <w:pPr>
              <w:tabs>
                <w:tab w:val="left" w:pos="1080"/>
              </w:tabs>
              <w:snapToGrid w:val="0"/>
              <w:rPr>
                <w:color w:val="auto"/>
                <w:sz w:val="24"/>
                <w:highlight w:val="none"/>
              </w:rPr>
            </w:pPr>
            <w:r>
              <w:rPr>
                <w:color w:val="auto"/>
                <w:sz w:val="24"/>
                <w:highlight w:val="none"/>
              </w:rPr>
              <w:t>具体规定见第一章《投标邀请》</w:t>
            </w:r>
          </w:p>
        </w:tc>
        <w:tc>
          <w:tcPr>
            <w:tcW w:w="1638" w:type="dxa"/>
            <w:vAlign w:val="center"/>
          </w:tcPr>
          <w:p w14:paraId="43F45D15">
            <w:pPr>
              <w:tabs>
                <w:tab w:val="left" w:pos="1080"/>
              </w:tabs>
              <w:snapToGrid w:val="0"/>
              <w:rPr>
                <w:color w:val="auto"/>
                <w:sz w:val="24"/>
                <w:highlight w:val="none"/>
              </w:rPr>
            </w:pPr>
          </w:p>
        </w:tc>
      </w:tr>
      <w:tr w14:paraId="794E5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760985A2">
            <w:pPr>
              <w:tabs>
                <w:tab w:val="left" w:pos="1080"/>
              </w:tabs>
              <w:snapToGrid w:val="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w:t>
            </w:r>
          </w:p>
        </w:tc>
        <w:tc>
          <w:tcPr>
            <w:tcW w:w="1982" w:type="dxa"/>
            <w:vAlign w:val="center"/>
          </w:tcPr>
          <w:p w14:paraId="60D9FB5F">
            <w:pPr>
              <w:tabs>
                <w:tab w:val="left" w:pos="1080"/>
              </w:tabs>
              <w:snapToGrid w:val="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供应商营业执照</w:t>
            </w:r>
          </w:p>
        </w:tc>
        <w:tc>
          <w:tcPr>
            <w:tcW w:w="4822" w:type="dxa"/>
            <w:vAlign w:val="center"/>
          </w:tcPr>
          <w:p w14:paraId="3D9B30EA">
            <w:pPr>
              <w:tabs>
                <w:tab w:val="left" w:pos="1080"/>
              </w:tabs>
              <w:snapToGrid w:val="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有效的法人或者其他组织的营业执照等证明文件</w:t>
            </w:r>
          </w:p>
        </w:tc>
        <w:tc>
          <w:tcPr>
            <w:tcW w:w="1638" w:type="dxa"/>
            <w:vAlign w:val="center"/>
          </w:tcPr>
          <w:p w14:paraId="0378AA26">
            <w:pPr>
              <w:tabs>
                <w:tab w:val="left" w:pos="1080"/>
              </w:tabs>
              <w:snapToGrid w:val="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提供证明文件的电子件或电子证照</w:t>
            </w:r>
          </w:p>
        </w:tc>
      </w:tr>
      <w:tr w14:paraId="65249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53C93E3">
            <w:pPr>
              <w:tabs>
                <w:tab w:val="left" w:pos="1080"/>
              </w:tabs>
              <w:snapToGrid w:val="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p>
        </w:tc>
        <w:tc>
          <w:tcPr>
            <w:tcW w:w="1982" w:type="dxa"/>
            <w:vAlign w:val="center"/>
          </w:tcPr>
          <w:p w14:paraId="2102858B">
            <w:pPr>
              <w:tabs>
                <w:tab w:val="left" w:pos="1080"/>
              </w:tabs>
              <w:snapToGrid w:val="0"/>
              <w:rPr>
                <w:color w:val="auto"/>
                <w:sz w:val="24"/>
                <w:highlight w:val="none"/>
              </w:rPr>
            </w:pPr>
            <w:r>
              <w:rPr>
                <w:rFonts w:hint="eastAsia"/>
                <w:color w:val="auto"/>
                <w:sz w:val="24"/>
                <w:highlight w:val="none"/>
              </w:rPr>
              <w:t>投标人资格声明函</w:t>
            </w:r>
          </w:p>
        </w:tc>
        <w:tc>
          <w:tcPr>
            <w:tcW w:w="4822" w:type="dxa"/>
            <w:vAlign w:val="center"/>
          </w:tcPr>
          <w:p w14:paraId="73E10F75">
            <w:pPr>
              <w:tabs>
                <w:tab w:val="left" w:pos="1080"/>
              </w:tabs>
              <w:snapToGrid w:val="0"/>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638" w:type="dxa"/>
            <w:vAlign w:val="center"/>
          </w:tcPr>
          <w:p w14:paraId="014B918F">
            <w:pPr>
              <w:tabs>
                <w:tab w:val="left" w:pos="1080"/>
              </w:tabs>
              <w:snapToGrid w:val="0"/>
              <w:rPr>
                <w:color w:val="auto"/>
                <w:sz w:val="24"/>
                <w:highlight w:val="none"/>
              </w:rPr>
            </w:pPr>
            <w:r>
              <w:rPr>
                <w:color w:val="auto"/>
                <w:sz w:val="24"/>
                <w:highlight w:val="none"/>
              </w:rPr>
              <w:t>格式见《投标文件格式》</w:t>
            </w:r>
          </w:p>
        </w:tc>
      </w:tr>
      <w:tr w14:paraId="414A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54F0FF5">
            <w:pPr>
              <w:tabs>
                <w:tab w:val="left" w:pos="1080"/>
              </w:tabs>
              <w:snapToGrid w:val="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p>
        </w:tc>
        <w:tc>
          <w:tcPr>
            <w:tcW w:w="1982" w:type="dxa"/>
            <w:vAlign w:val="center"/>
          </w:tcPr>
          <w:p w14:paraId="3B6AD919">
            <w:pPr>
              <w:tabs>
                <w:tab w:val="left" w:pos="1080"/>
              </w:tabs>
              <w:snapToGrid w:val="0"/>
              <w:rPr>
                <w:color w:val="auto"/>
                <w:sz w:val="24"/>
                <w:highlight w:val="none"/>
              </w:rPr>
            </w:pPr>
            <w:r>
              <w:rPr>
                <w:color w:val="auto"/>
                <w:sz w:val="24"/>
                <w:highlight w:val="none"/>
              </w:rPr>
              <w:t>投标人信用记录</w:t>
            </w:r>
          </w:p>
        </w:tc>
        <w:tc>
          <w:tcPr>
            <w:tcW w:w="4822" w:type="dxa"/>
            <w:vAlign w:val="center"/>
          </w:tcPr>
          <w:p w14:paraId="224681DC">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3679757">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0EBAF796">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5B668C54">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w:t>
            </w:r>
          </w:p>
        </w:tc>
        <w:tc>
          <w:tcPr>
            <w:tcW w:w="1638" w:type="dxa"/>
            <w:vAlign w:val="center"/>
          </w:tcPr>
          <w:p w14:paraId="653F47BC">
            <w:pPr>
              <w:tabs>
                <w:tab w:val="left" w:pos="1080"/>
              </w:tabs>
              <w:snapToGrid w:val="0"/>
              <w:rPr>
                <w:color w:val="auto"/>
                <w:sz w:val="24"/>
                <w:highlight w:val="none"/>
              </w:rPr>
            </w:pPr>
            <w:r>
              <w:rPr>
                <w:rFonts w:hint="eastAsia"/>
                <w:color w:val="auto"/>
                <w:sz w:val="24"/>
                <w:highlight w:val="none"/>
              </w:rPr>
              <w:t>无须投标人提供，由采购人查询。</w:t>
            </w:r>
          </w:p>
        </w:tc>
      </w:tr>
      <w:tr w14:paraId="0EF44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shd w:val="clear" w:color="auto" w:fill="auto"/>
            <w:vAlign w:val="center"/>
          </w:tcPr>
          <w:p w14:paraId="73947046">
            <w:pPr>
              <w:tabs>
                <w:tab w:val="left" w:pos="1080"/>
              </w:tabs>
              <w:snapToGrid w:val="0"/>
              <w:jc w:val="center"/>
              <w:rPr>
                <w:rFonts w:hint="eastAsia" w:ascii="宋体" w:hAnsi="宋体" w:eastAsia="宋体" w:cs="宋体"/>
                <w:color w:val="auto"/>
                <w:kern w:val="2"/>
                <w:sz w:val="24"/>
                <w:szCs w:val="24"/>
                <w:highlight w:val="none"/>
                <w:lang w:val="en-US" w:eastAsia="zh-CN" w:bidi="ar-SA"/>
              </w:rPr>
            </w:pPr>
            <w:bookmarkStart w:id="726" w:name="_Toc353825550"/>
            <w:bookmarkStart w:id="727" w:name="_Toc353873940"/>
            <w:bookmarkStart w:id="728" w:name="_Toc127161490"/>
            <w:bookmarkStart w:id="729" w:name="_Toc127151779"/>
            <w:bookmarkStart w:id="730" w:name="_Toc226965858"/>
            <w:r>
              <w:rPr>
                <w:rFonts w:hint="eastAsia" w:ascii="宋体" w:hAnsi="宋体" w:cs="宋体"/>
                <w:color w:val="auto"/>
                <w:sz w:val="24"/>
                <w:highlight w:val="none"/>
              </w:rPr>
              <w:t>2</w:t>
            </w:r>
          </w:p>
        </w:tc>
        <w:tc>
          <w:tcPr>
            <w:tcW w:w="1982" w:type="dxa"/>
            <w:shd w:val="clear" w:color="auto" w:fill="auto"/>
            <w:vAlign w:val="center"/>
          </w:tcPr>
          <w:p w14:paraId="3322DECA">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落实政府采购政策需满足的资格要求</w:t>
            </w:r>
          </w:p>
        </w:tc>
        <w:tc>
          <w:tcPr>
            <w:tcW w:w="4822" w:type="dxa"/>
            <w:shd w:val="clear" w:color="auto" w:fill="auto"/>
            <w:vAlign w:val="center"/>
          </w:tcPr>
          <w:p w14:paraId="093C58D6">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具体要求见第一章《</w:t>
            </w:r>
            <w:r>
              <w:rPr>
                <w:color w:val="auto"/>
                <w:sz w:val="24"/>
                <w:highlight w:val="none"/>
              </w:rPr>
              <w:t>投标邀请</w:t>
            </w:r>
            <w:r>
              <w:rPr>
                <w:rFonts w:hint="eastAsia" w:ascii="宋体" w:hAnsi="宋体" w:cs="宋体"/>
                <w:color w:val="auto"/>
                <w:sz w:val="24"/>
                <w:highlight w:val="none"/>
              </w:rPr>
              <w:t>》</w:t>
            </w:r>
          </w:p>
        </w:tc>
        <w:tc>
          <w:tcPr>
            <w:tcW w:w="1638" w:type="dxa"/>
            <w:shd w:val="clear" w:color="auto" w:fill="auto"/>
            <w:vAlign w:val="center"/>
          </w:tcPr>
          <w:p w14:paraId="0BD28B98">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3"/>
      <w:tr w14:paraId="66004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6C93F8A5">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2-1</w:t>
            </w:r>
          </w:p>
        </w:tc>
        <w:tc>
          <w:tcPr>
            <w:tcW w:w="0" w:type="auto"/>
            <w:shd w:val="clear" w:color="auto" w:fill="auto"/>
            <w:vAlign w:val="center"/>
          </w:tcPr>
          <w:p w14:paraId="10B3A014">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中小企业声明函</w:t>
            </w:r>
          </w:p>
        </w:tc>
        <w:tc>
          <w:tcPr>
            <w:tcW w:w="0" w:type="auto"/>
            <w:shd w:val="clear" w:color="auto" w:fill="auto"/>
            <w:vAlign w:val="center"/>
          </w:tcPr>
          <w:p w14:paraId="43A20983">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投标人单独投标的，应提供中小企业声明函；如为监狱企业或残疾人福利性单位，不必提供中小企业声明函，但须按注1或注2要求提供证明材料。</w:t>
            </w:r>
          </w:p>
          <w:p w14:paraId="7805482A">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注1：监狱企业须提供由省级以上监狱管理局（常州市含教育矫治局）、戒毒管理局（含新疆生产建设兵团）出具的属于监狱企业的证明文件。</w:t>
            </w:r>
          </w:p>
          <w:p w14:paraId="14BE5343">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bCs/>
                <w:color w:val="auto"/>
                <w:sz w:val="24"/>
                <w:highlight w:val="none"/>
              </w:rPr>
              <w:t>注2：残疾人福利性单位须按招标文件要求提供《残疾人福利性单位声明函》。</w:t>
            </w:r>
          </w:p>
        </w:tc>
        <w:tc>
          <w:tcPr>
            <w:tcW w:w="0" w:type="auto"/>
            <w:shd w:val="clear" w:color="auto" w:fill="auto"/>
            <w:vAlign w:val="center"/>
          </w:tcPr>
          <w:p w14:paraId="5E55B78D">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格式见《投标文件格式》</w:t>
            </w:r>
          </w:p>
        </w:tc>
      </w:tr>
      <w:tr w14:paraId="16E77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shd w:val="clear" w:color="auto" w:fill="auto"/>
            <w:vAlign w:val="center"/>
          </w:tcPr>
          <w:p w14:paraId="4C89834B">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outlineLvl w:val="9"/>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3</w:t>
            </w:r>
          </w:p>
        </w:tc>
        <w:tc>
          <w:tcPr>
            <w:tcW w:w="1982" w:type="dxa"/>
            <w:shd w:val="clear" w:color="auto" w:fill="auto"/>
            <w:vAlign w:val="center"/>
          </w:tcPr>
          <w:p w14:paraId="7EAE8CED">
            <w:pPr>
              <w:keepNext w:val="0"/>
              <w:keepLines w:val="0"/>
              <w:pageBreakBefore w:val="0"/>
              <w:widowControl w:val="0"/>
              <w:tabs>
                <w:tab w:val="left" w:pos="1080"/>
              </w:tabs>
              <w:kinsoku/>
              <w:wordWrap/>
              <w:overflowPunct/>
              <w:topLinePunct w:val="0"/>
              <w:autoSpaceDE/>
              <w:autoSpaceDN/>
              <w:bidi w:val="0"/>
              <w:adjustRightInd/>
              <w:snapToGrid w:val="0"/>
              <w:textAlignment w:val="auto"/>
              <w:outlineLvl w:val="9"/>
              <w:rPr>
                <w:rFonts w:hint="eastAsia" w:ascii="宋体" w:hAnsi="宋体" w:cs="宋体"/>
                <w:color w:val="auto"/>
                <w:sz w:val="24"/>
                <w:highlight w:val="none"/>
              </w:rPr>
            </w:pPr>
            <w:r>
              <w:rPr>
                <w:rFonts w:hint="eastAsia" w:ascii="宋体" w:hAnsi="宋体" w:eastAsia="宋体" w:cs="宋体"/>
                <w:color w:val="auto"/>
                <w:sz w:val="24"/>
                <w:highlight w:val="none"/>
              </w:rPr>
              <w:t>本项目的特定资格要求</w:t>
            </w:r>
          </w:p>
        </w:tc>
        <w:tc>
          <w:tcPr>
            <w:tcW w:w="4822" w:type="dxa"/>
            <w:shd w:val="clear" w:color="auto" w:fill="auto"/>
            <w:vAlign w:val="center"/>
          </w:tcPr>
          <w:p w14:paraId="6C5BDAF5">
            <w:pPr>
              <w:keepNext w:val="0"/>
              <w:keepLines w:val="0"/>
              <w:pageBreakBefore w:val="0"/>
              <w:widowControl w:val="0"/>
              <w:tabs>
                <w:tab w:val="left" w:pos="1080"/>
              </w:tabs>
              <w:kinsoku/>
              <w:wordWrap/>
              <w:overflowPunct/>
              <w:topLinePunct w:val="0"/>
              <w:autoSpaceDE/>
              <w:autoSpaceDN/>
              <w:bidi w:val="0"/>
              <w:adjustRightInd/>
              <w:snapToGrid w:val="0"/>
              <w:textAlignment w:val="auto"/>
              <w:outlineLvl w:val="9"/>
              <w:rPr>
                <w:rFonts w:hint="eastAsia" w:ascii="宋体" w:hAnsi="宋体" w:cs="宋体"/>
                <w:bCs/>
                <w:color w:val="auto"/>
                <w:sz w:val="24"/>
                <w:highlight w:val="none"/>
              </w:rPr>
            </w:pPr>
            <w:r>
              <w:rPr>
                <w:rFonts w:hint="eastAsia" w:ascii="宋体" w:hAnsi="宋体" w:eastAsia="宋体" w:cs="宋体"/>
                <w:color w:val="auto"/>
                <w:sz w:val="24"/>
                <w:highlight w:val="none"/>
              </w:rPr>
              <w:t>见第一章《采购邀请》</w:t>
            </w:r>
          </w:p>
        </w:tc>
        <w:tc>
          <w:tcPr>
            <w:tcW w:w="1638" w:type="dxa"/>
            <w:shd w:val="clear" w:color="auto" w:fill="auto"/>
            <w:vAlign w:val="center"/>
          </w:tcPr>
          <w:p w14:paraId="35F04734">
            <w:pPr>
              <w:keepNext w:val="0"/>
              <w:keepLines w:val="0"/>
              <w:pageBreakBefore w:val="0"/>
              <w:widowControl w:val="0"/>
              <w:tabs>
                <w:tab w:val="left" w:pos="1080"/>
              </w:tabs>
              <w:kinsoku/>
              <w:wordWrap/>
              <w:overflowPunct/>
              <w:topLinePunct w:val="0"/>
              <w:autoSpaceDE/>
              <w:autoSpaceDN/>
              <w:bidi w:val="0"/>
              <w:adjustRightInd/>
              <w:snapToGrid w:val="0"/>
              <w:textAlignment w:val="auto"/>
              <w:outlineLvl w:val="9"/>
              <w:rPr>
                <w:rFonts w:hint="eastAsia" w:ascii="宋体" w:hAnsi="宋体" w:cs="宋体"/>
                <w:color w:val="auto"/>
                <w:sz w:val="24"/>
                <w:highlight w:val="none"/>
              </w:rPr>
            </w:pPr>
          </w:p>
        </w:tc>
      </w:tr>
      <w:tr w14:paraId="42EAD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shd w:val="clear" w:color="auto" w:fill="auto"/>
            <w:vAlign w:val="center"/>
          </w:tcPr>
          <w:p w14:paraId="5285B96F">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outlineLvl w:val="9"/>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p>
        </w:tc>
        <w:tc>
          <w:tcPr>
            <w:tcW w:w="1982" w:type="dxa"/>
            <w:shd w:val="clear" w:color="auto" w:fill="auto"/>
            <w:vAlign w:val="center"/>
          </w:tcPr>
          <w:p w14:paraId="32617E12">
            <w:pPr>
              <w:keepNext w:val="0"/>
              <w:keepLines w:val="0"/>
              <w:pageBreakBefore w:val="0"/>
              <w:widowControl w:val="0"/>
              <w:tabs>
                <w:tab w:val="left" w:pos="1080"/>
              </w:tabs>
              <w:kinsoku/>
              <w:wordWrap/>
              <w:overflowPunct/>
              <w:topLinePunct w:val="0"/>
              <w:autoSpaceDE/>
              <w:autoSpaceDN/>
              <w:bidi w:val="0"/>
              <w:adjustRightInd/>
              <w:snapToGrid w:val="0"/>
              <w:textAlignment w:val="auto"/>
              <w:outlineLvl w:val="9"/>
              <w:rPr>
                <w:rFonts w:hint="eastAsia" w:ascii="宋体" w:hAnsi="宋体" w:cs="宋体"/>
                <w:color w:val="auto"/>
                <w:sz w:val="24"/>
                <w:highlight w:val="none"/>
              </w:rPr>
            </w:pPr>
            <w:r>
              <w:rPr>
                <w:rFonts w:hint="eastAsia" w:ascii="宋体" w:hAnsi="宋体" w:eastAsia="宋体" w:cs="宋体"/>
                <w:color w:val="auto"/>
                <w:sz w:val="24"/>
                <w:highlight w:val="none"/>
              </w:rPr>
              <w:t>其他特定资格要求</w:t>
            </w:r>
          </w:p>
        </w:tc>
        <w:tc>
          <w:tcPr>
            <w:tcW w:w="4822" w:type="dxa"/>
            <w:shd w:val="clear" w:color="auto" w:fill="auto"/>
            <w:vAlign w:val="center"/>
          </w:tcPr>
          <w:p w14:paraId="37C74380">
            <w:pPr>
              <w:keepNext w:val="0"/>
              <w:keepLines w:val="0"/>
              <w:pageBreakBefore w:val="0"/>
              <w:widowControl w:val="0"/>
              <w:tabs>
                <w:tab w:val="left" w:pos="1080"/>
              </w:tabs>
              <w:kinsoku/>
              <w:wordWrap/>
              <w:overflowPunct/>
              <w:topLinePunct w:val="0"/>
              <w:autoSpaceDE/>
              <w:autoSpaceDN/>
              <w:bidi w:val="0"/>
              <w:adjustRightInd/>
              <w:snapToGrid w:val="0"/>
              <w:textAlignment w:val="auto"/>
              <w:outlineLvl w:val="9"/>
              <w:rPr>
                <w:rFonts w:hint="eastAsia" w:ascii="宋体" w:hAnsi="宋体" w:cs="宋体"/>
                <w:bCs/>
                <w:color w:val="auto"/>
                <w:sz w:val="24"/>
                <w:highlight w:val="none"/>
              </w:rPr>
            </w:pPr>
            <w:r>
              <w:rPr>
                <w:rFonts w:hint="eastAsia" w:ascii="宋体" w:hAnsi="宋体" w:eastAsia="宋体" w:cs="宋体"/>
                <w:color w:val="auto"/>
                <w:sz w:val="24"/>
                <w:highlight w:val="none"/>
              </w:rPr>
              <w:t>见第一章《采购邀请》</w:t>
            </w:r>
          </w:p>
        </w:tc>
        <w:tc>
          <w:tcPr>
            <w:tcW w:w="1638" w:type="dxa"/>
            <w:shd w:val="clear" w:color="auto" w:fill="auto"/>
            <w:vAlign w:val="center"/>
          </w:tcPr>
          <w:p w14:paraId="1D365BDA">
            <w:pPr>
              <w:keepNext w:val="0"/>
              <w:keepLines w:val="0"/>
              <w:pageBreakBefore w:val="0"/>
              <w:widowControl w:val="0"/>
              <w:tabs>
                <w:tab w:val="left" w:pos="1080"/>
              </w:tabs>
              <w:kinsoku/>
              <w:wordWrap/>
              <w:overflowPunct/>
              <w:topLinePunct w:val="0"/>
              <w:autoSpaceDE/>
              <w:autoSpaceDN/>
              <w:bidi w:val="0"/>
              <w:adjustRightInd/>
              <w:snapToGrid w:val="0"/>
              <w:textAlignment w:val="auto"/>
              <w:outlineLvl w:val="9"/>
              <w:rPr>
                <w:rFonts w:hint="eastAsia" w:ascii="宋体" w:hAnsi="宋体" w:cs="宋体"/>
                <w:color w:val="auto"/>
                <w:sz w:val="24"/>
                <w:highlight w:val="none"/>
              </w:rPr>
            </w:pP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val="en-US" w:eastAsia="zh-CN"/>
              </w:rPr>
              <w:t>证书的电子件或电子证照</w:t>
            </w:r>
            <w:r>
              <w:rPr>
                <w:rFonts w:hint="eastAsia" w:ascii="宋体" w:hAnsi="宋体" w:eastAsia="宋体" w:cs="宋体"/>
                <w:color w:val="auto"/>
                <w:sz w:val="24"/>
                <w:highlight w:val="none"/>
                <w:lang w:eastAsia="zh-CN"/>
              </w:rPr>
              <w:t>。</w:t>
            </w:r>
          </w:p>
        </w:tc>
      </w:tr>
    </w:tbl>
    <w:p w14:paraId="78B2E3DB">
      <w:pPr>
        <w:widowControl/>
        <w:jc w:val="center"/>
        <w:rPr>
          <w:color w:val="auto"/>
          <w:sz w:val="24"/>
          <w:highlight w:val="none"/>
        </w:rPr>
        <w:sectPr>
          <w:pgSz w:w="11906" w:h="16838"/>
          <w:pgMar w:top="1440" w:right="1800" w:bottom="1440" w:left="1800" w:header="851" w:footer="992" w:gutter="0"/>
          <w:pgNumType w:fmt="decimal"/>
          <w:cols w:space="720" w:num="1"/>
          <w:docGrid w:type="lines" w:linePitch="312" w:charSpace="0"/>
        </w:sectPr>
      </w:pPr>
    </w:p>
    <w:p w14:paraId="1C57D076">
      <w:pPr>
        <w:widowControl/>
        <w:jc w:val="center"/>
        <w:outlineLvl w:val="0"/>
        <w:rPr>
          <w:b/>
          <w:color w:val="auto"/>
          <w:sz w:val="36"/>
          <w:szCs w:val="36"/>
          <w:highlight w:val="none"/>
        </w:rPr>
      </w:pPr>
      <w:bookmarkStart w:id="731" w:name="_Toc99301423"/>
      <w:bookmarkStart w:id="732" w:name="_Toc8940"/>
      <w:r>
        <w:rPr>
          <w:b/>
          <w:color w:val="auto"/>
          <w:sz w:val="36"/>
          <w:szCs w:val="36"/>
          <w:highlight w:val="none"/>
        </w:rPr>
        <w:t xml:space="preserve">第四章   </w:t>
      </w:r>
      <w:bookmarkEnd w:id="726"/>
      <w:bookmarkEnd w:id="727"/>
      <w:bookmarkEnd w:id="728"/>
      <w:bookmarkEnd w:id="729"/>
      <w:bookmarkEnd w:id="730"/>
      <w:bookmarkStart w:id="733" w:name="_Hlt164229061"/>
      <w:bookmarkEnd w:id="733"/>
      <w:r>
        <w:rPr>
          <w:b/>
          <w:color w:val="auto"/>
          <w:sz w:val="36"/>
          <w:szCs w:val="36"/>
          <w:highlight w:val="none"/>
        </w:rPr>
        <w:t>评标程序、评标方法和评标标准</w:t>
      </w:r>
      <w:bookmarkEnd w:id="731"/>
      <w:bookmarkEnd w:id="732"/>
    </w:p>
    <w:p w14:paraId="4453F903">
      <w:pPr>
        <w:tabs>
          <w:tab w:val="left" w:pos="360"/>
          <w:tab w:val="left" w:pos="900"/>
        </w:tabs>
        <w:snapToGrid w:val="0"/>
        <w:spacing w:line="360" w:lineRule="auto"/>
        <w:jc w:val="center"/>
        <w:rPr>
          <w:b/>
          <w:color w:val="auto"/>
          <w:highlight w:val="none"/>
        </w:rPr>
      </w:pPr>
      <w:r>
        <w:rPr>
          <w:b/>
          <w:color w:val="auto"/>
          <w:sz w:val="24"/>
          <w:highlight w:val="none"/>
        </w:rPr>
        <w:t>一、评标</w:t>
      </w:r>
      <w:r>
        <w:rPr>
          <w:rFonts w:hint="eastAsia"/>
          <w:b/>
          <w:color w:val="auto"/>
          <w:sz w:val="24"/>
          <w:highlight w:val="none"/>
        </w:rPr>
        <w:t>程序</w:t>
      </w:r>
    </w:p>
    <w:p w14:paraId="7EDD7A35">
      <w:pPr>
        <w:numPr>
          <w:ilvl w:val="0"/>
          <w:numId w:val="12"/>
        </w:numPr>
        <w:tabs>
          <w:tab w:val="left" w:pos="360"/>
        </w:tabs>
        <w:snapToGrid w:val="0"/>
        <w:spacing w:line="360" w:lineRule="auto"/>
        <w:rPr>
          <w:color w:val="auto"/>
          <w:sz w:val="24"/>
          <w:highlight w:val="none"/>
        </w:rPr>
      </w:pPr>
      <w:bookmarkStart w:id="734" w:name="_Toc151193855"/>
      <w:bookmarkStart w:id="735" w:name="_Toc151193639"/>
      <w:bookmarkStart w:id="736" w:name="_Toc226337237"/>
      <w:bookmarkStart w:id="737" w:name="_Toc164351635"/>
      <w:bookmarkStart w:id="738" w:name="_Toc226965814"/>
      <w:bookmarkStart w:id="739" w:name="_Toc151193783"/>
      <w:bookmarkStart w:id="740" w:name="_Toc150480779"/>
      <w:bookmarkStart w:id="741" w:name="_Toc226309785"/>
      <w:bookmarkStart w:id="742" w:name="_Toc151193929"/>
      <w:bookmarkStart w:id="743" w:name="_Toc265228379"/>
      <w:bookmarkStart w:id="744" w:name="_Toc150509292"/>
      <w:bookmarkStart w:id="745" w:name="_Toc164229236"/>
      <w:bookmarkStart w:id="746" w:name="_Toc226965731"/>
      <w:bookmarkStart w:id="747" w:name="_Toc127161455"/>
      <w:bookmarkStart w:id="748" w:name="_Toc151193711"/>
      <w:bookmarkStart w:id="749" w:name="_Toc195842906"/>
      <w:bookmarkStart w:id="750" w:name="_Toc305158883"/>
      <w:bookmarkStart w:id="751" w:name="_Toc164608655"/>
      <w:bookmarkStart w:id="752" w:name="_Toc150774641"/>
      <w:bookmarkStart w:id="753" w:name="_Toc142311043"/>
      <w:bookmarkStart w:id="754" w:name="_Toc151190168"/>
      <w:bookmarkStart w:id="755" w:name="_Toc150774746"/>
      <w:bookmarkStart w:id="756" w:name="_Toc149720834"/>
      <w:bookmarkStart w:id="757" w:name="_Toc264969231"/>
      <w:bookmarkStart w:id="758" w:name="_Toc127151541"/>
      <w:bookmarkStart w:id="759" w:name="_Toc305158809"/>
      <w:bookmarkStart w:id="760" w:name="_Toc164229382"/>
      <w:bookmarkStart w:id="761" w:name="_Toc127151742"/>
      <w:bookmarkStart w:id="762" w:name="_Toc164608810"/>
      <w:bookmarkStart w:id="763" w:name="_Toc353873941"/>
      <w:bookmarkStart w:id="764" w:name="_Toc353825551"/>
      <w:bookmarkStart w:id="765" w:name="_Toc127151555"/>
      <w:bookmarkStart w:id="766" w:name="_Toc195842920"/>
      <w:bookmarkStart w:id="767" w:name="_Toc226965828"/>
      <w:bookmarkStart w:id="768" w:name="_Toc264969245"/>
      <w:bookmarkStart w:id="769" w:name="_Toc305158823"/>
      <w:bookmarkStart w:id="770" w:name="_Toc353825545"/>
      <w:bookmarkStart w:id="771" w:name="_Toc353873935"/>
      <w:bookmarkStart w:id="772" w:name="_Toc265228393"/>
      <w:bookmarkStart w:id="773" w:name="_Toc150480793"/>
      <w:bookmarkStart w:id="774" w:name="_Toc142311057"/>
      <w:bookmarkStart w:id="775" w:name="_Toc305158897"/>
      <w:bookmarkStart w:id="776" w:name="_Toc353873665"/>
      <w:bookmarkStart w:id="777" w:name="_Toc150774760"/>
      <w:bookmarkStart w:id="778" w:name="_Toc226337251"/>
      <w:r>
        <w:rPr>
          <w:color w:val="auto"/>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69633B1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79" w:name="_Toc520356167"/>
    </w:p>
    <w:p w14:paraId="28559B3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7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38BB882C">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14:paraId="6EEE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75EA23C1">
            <w:pPr>
              <w:widowControl/>
              <w:jc w:val="center"/>
              <w:rPr>
                <w:b/>
                <w:color w:val="auto"/>
                <w:kern w:val="0"/>
                <w:sz w:val="24"/>
                <w:highlight w:val="none"/>
              </w:rPr>
            </w:pPr>
            <w:r>
              <w:rPr>
                <w:b/>
                <w:color w:val="auto"/>
                <w:kern w:val="0"/>
                <w:sz w:val="24"/>
                <w:highlight w:val="none"/>
              </w:rPr>
              <w:t>序号</w:t>
            </w:r>
          </w:p>
        </w:tc>
        <w:tc>
          <w:tcPr>
            <w:tcW w:w="1813" w:type="dxa"/>
            <w:vAlign w:val="center"/>
          </w:tcPr>
          <w:p w14:paraId="568DE3CD">
            <w:pPr>
              <w:widowControl/>
              <w:jc w:val="center"/>
              <w:rPr>
                <w:b/>
                <w:color w:val="auto"/>
                <w:kern w:val="0"/>
                <w:sz w:val="24"/>
                <w:highlight w:val="none"/>
              </w:rPr>
            </w:pPr>
            <w:r>
              <w:rPr>
                <w:b/>
                <w:color w:val="auto"/>
                <w:kern w:val="0"/>
                <w:sz w:val="24"/>
                <w:highlight w:val="none"/>
              </w:rPr>
              <w:t>审查因素</w:t>
            </w:r>
          </w:p>
        </w:tc>
        <w:tc>
          <w:tcPr>
            <w:tcW w:w="6725" w:type="dxa"/>
            <w:vAlign w:val="center"/>
          </w:tcPr>
          <w:p w14:paraId="30E98068">
            <w:pPr>
              <w:widowControl/>
              <w:jc w:val="center"/>
              <w:rPr>
                <w:b/>
                <w:color w:val="auto"/>
                <w:kern w:val="0"/>
                <w:sz w:val="24"/>
                <w:highlight w:val="none"/>
              </w:rPr>
            </w:pPr>
            <w:r>
              <w:rPr>
                <w:b/>
                <w:color w:val="auto"/>
                <w:kern w:val="0"/>
                <w:sz w:val="24"/>
                <w:highlight w:val="none"/>
              </w:rPr>
              <w:t>审查内容</w:t>
            </w:r>
          </w:p>
        </w:tc>
      </w:tr>
      <w:tr w14:paraId="50B4B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04804C1">
            <w:pPr>
              <w:widowControl/>
              <w:jc w:val="center"/>
              <w:rPr>
                <w:color w:val="auto"/>
                <w:kern w:val="0"/>
                <w:sz w:val="24"/>
                <w:highlight w:val="none"/>
              </w:rPr>
            </w:pPr>
            <w:r>
              <w:rPr>
                <w:color w:val="auto"/>
                <w:kern w:val="0"/>
                <w:sz w:val="24"/>
                <w:highlight w:val="none"/>
              </w:rPr>
              <w:t>1</w:t>
            </w:r>
          </w:p>
        </w:tc>
        <w:tc>
          <w:tcPr>
            <w:tcW w:w="1813" w:type="dxa"/>
            <w:vAlign w:val="center"/>
          </w:tcPr>
          <w:p w14:paraId="4E020D6F">
            <w:pPr>
              <w:widowControl/>
              <w:jc w:val="left"/>
              <w:rPr>
                <w:color w:val="auto"/>
                <w:kern w:val="0"/>
                <w:sz w:val="24"/>
                <w:highlight w:val="none"/>
              </w:rPr>
            </w:pPr>
            <w:r>
              <w:rPr>
                <w:rFonts w:hint="eastAsia"/>
                <w:color w:val="auto"/>
                <w:kern w:val="0"/>
                <w:sz w:val="24"/>
                <w:highlight w:val="none"/>
              </w:rPr>
              <w:t>投标函、</w:t>
            </w:r>
            <w:r>
              <w:rPr>
                <w:rFonts w:hint="eastAsia"/>
                <w:color w:val="auto"/>
                <w:sz w:val="24"/>
                <w:highlight w:val="none"/>
              </w:rPr>
              <w:t>法定代表人资格证明书和政府采购供应商信用承诺书</w:t>
            </w:r>
          </w:p>
        </w:tc>
        <w:tc>
          <w:tcPr>
            <w:tcW w:w="6725" w:type="dxa"/>
            <w:vAlign w:val="center"/>
          </w:tcPr>
          <w:p w14:paraId="5AD9C1F8">
            <w:pPr>
              <w:widowControl/>
              <w:jc w:val="left"/>
              <w:rPr>
                <w:color w:val="auto"/>
                <w:kern w:val="0"/>
                <w:sz w:val="24"/>
                <w:highlight w:val="none"/>
              </w:rPr>
            </w:pPr>
            <w:r>
              <w:rPr>
                <w:color w:val="auto"/>
                <w:kern w:val="0"/>
                <w:sz w:val="24"/>
                <w:highlight w:val="none"/>
              </w:rPr>
              <w:t>按招标文件要求提供</w:t>
            </w:r>
            <w:r>
              <w:rPr>
                <w:rFonts w:hint="eastAsia"/>
                <w:color w:val="auto"/>
                <w:kern w:val="0"/>
                <w:sz w:val="24"/>
                <w:highlight w:val="none"/>
              </w:rPr>
              <w:t>投标函、</w:t>
            </w:r>
            <w:r>
              <w:rPr>
                <w:rFonts w:hint="eastAsia"/>
                <w:color w:val="auto"/>
                <w:sz w:val="24"/>
                <w:highlight w:val="none"/>
              </w:rPr>
              <w:t>法定代表人资格证明书和政府采购供应商信用承诺书</w:t>
            </w:r>
            <w:r>
              <w:rPr>
                <w:color w:val="auto"/>
                <w:kern w:val="0"/>
                <w:sz w:val="24"/>
                <w:highlight w:val="none"/>
              </w:rPr>
              <w:t>；</w:t>
            </w:r>
          </w:p>
        </w:tc>
      </w:tr>
      <w:tr w14:paraId="5131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2963E96">
            <w:pPr>
              <w:widowControl/>
              <w:jc w:val="center"/>
              <w:rPr>
                <w:color w:val="auto"/>
                <w:kern w:val="0"/>
                <w:sz w:val="24"/>
                <w:highlight w:val="none"/>
              </w:rPr>
            </w:pPr>
            <w:r>
              <w:rPr>
                <w:color w:val="auto"/>
                <w:kern w:val="0"/>
                <w:sz w:val="24"/>
                <w:highlight w:val="none"/>
              </w:rPr>
              <w:t>2</w:t>
            </w:r>
          </w:p>
        </w:tc>
        <w:tc>
          <w:tcPr>
            <w:tcW w:w="1813" w:type="dxa"/>
            <w:vAlign w:val="center"/>
          </w:tcPr>
          <w:p w14:paraId="494EC01E">
            <w:pPr>
              <w:widowControl/>
              <w:jc w:val="left"/>
              <w:rPr>
                <w:color w:val="auto"/>
                <w:kern w:val="0"/>
                <w:sz w:val="24"/>
                <w:highlight w:val="none"/>
              </w:rPr>
            </w:pPr>
            <w:r>
              <w:rPr>
                <w:color w:val="auto"/>
                <w:kern w:val="0"/>
                <w:sz w:val="24"/>
                <w:highlight w:val="none"/>
              </w:rPr>
              <w:t>投标完整性</w:t>
            </w:r>
          </w:p>
        </w:tc>
        <w:tc>
          <w:tcPr>
            <w:tcW w:w="6725" w:type="dxa"/>
            <w:vAlign w:val="center"/>
          </w:tcPr>
          <w:p w14:paraId="19B613D7">
            <w:pPr>
              <w:widowControl/>
              <w:jc w:val="left"/>
              <w:rPr>
                <w:color w:val="auto"/>
                <w:kern w:val="0"/>
                <w:sz w:val="24"/>
                <w:highlight w:val="none"/>
              </w:rPr>
            </w:pPr>
            <w:r>
              <w:rPr>
                <w:rFonts w:hint="eastAsia"/>
                <w:color w:val="auto"/>
                <w:sz w:val="24"/>
                <w:highlight w:val="none"/>
              </w:rPr>
              <w:t>未</w:t>
            </w:r>
            <w:r>
              <w:rPr>
                <w:color w:val="auto"/>
                <w:sz w:val="24"/>
                <w:highlight w:val="none"/>
              </w:rPr>
              <w:t>将一个采购</w:t>
            </w:r>
            <w:r>
              <w:rPr>
                <w:rFonts w:hint="eastAsia"/>
                <w:color w:val="auto"/>
                <w:sz w:val="24"/>
                <w:highlight w:val="none"/>
                <w:lang w:val="en-US" w:eastAsia="zh-CN"/>
              </w:rPr>
              <w:t>项目</w:t>
            </w:r>
            <w:r>
              <w:rPr>
                <w:color w:val="auto"/>
                <w:sz w:val="24"/>
                <w:highlight w:val="none"/>
              </w:rPr>
              <w:t>中的内容拆开投标；</w:t>
            </w:r>
          </w:p>
        </w:tc>
      </w:tr>
      <w:tr w14:paraId="4A8F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F42E538">
            <w:pPr>
              <w:widowControl/>
              <w:jc w:val="center"/>
              <w:rPr>
                <w:color w:val="auto"/>
                <w:kern w:val="0"/>
                <w:sz w:val="24"/>
                <w:highlight w:val="none"/>
              </w:rPr>
            </w:pPr>
            <w:r>
              <w:rPr>
                <w:color w:val="auto"/>
                <w:kern w:val="0"/>
                <w:sz w:val="24"/>
                <w:highlight w:val="none"/>
              </w:rPr>
              <w:t>3</w:t>
            </w:r>
          </w:p>
        </w:tc>
        <w:tc>
          <w:tcPr>
            <w:tcW w:w="1813" w:type="dxa"/>
            <w:vAlign w:val="center"/>
          </w:tcPr>
          <w:p w14:paraId="285D784F">
            <w:pPr>
              <w:widowControl/>
              <w:jc w:val="left"/>
              <w:rPr>
                <w:color w:val="auto"/>
                <w:kern w:val="0"/>
                <w:sz w:val="24"/>
                <w:highlight w:val="none"/>
              </w:rPr>
            </w:pPr>
            <w:r>
              <w:rPr>
                <w:color w:val="auto"/>
                <w:kern w:val="0"/>
                <w:sz w:val="24"/>
                <w:highlight w:val="none"/>
              </w:rPr>
              <w:t>投标报价</w:t>
            </w:r>
          </w:p>
        </w:tc>
        <w:tc>
          <w:tcPr>
            <w:tcW w:w="6725" w:type="dxa"/>
            <w:vAlign w:val="center"/>
          </w:tcPr>
          <w:p w14:paraId="7110F7D0">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超过招标文件中规定的项目预算金额或者项目最高限价</w:t>
            </w:r>
            <w:r>
              <w:rPr>
                <w:color w:val="auto"/>
                <w:kern w:val="0"/>
                <w:sz w:val="24"/>
                <w:highlight w:val="none"/>
              </w:rPr>
              <w:t>；</w:t>
            </w:r>
          </w:p>
        </w:tc>
      </w:tr>
      <w:tr w14:paraId="2E52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4BE14E8">
            <w:pPr>
              <w:widowControl/>
              <w:jc w:val="center"/>
              <w:rPr>
                <w:color w:val="auto"/>
                <w:kern w:val="0"/>
                <w:sz w:val="24"/>
                <w:highlight w:val="none"/>
              </w:rPr>
            </w:pPr>
            <w:r>
              <w:rPr>
                <w:color w:val="auto"/>
                <w:kern w:val="0"/>
                <w:sz w:val="24"/>
                <w:highlight w:val="none"/>
              </w:rPr>
              <w:t>4</w:t>
            </w:r>
          </w:p>
        </w:tc>
        <w:tc>
          <w:tcPr>
            <w:tcW w:w="1813" w:type="dxa"/>
            <w:vAlign w:val="center"/>
          </w:tcPr>
          <w:p w14:paraId="4A4B1A07">
            <w:pPr>
              <w:widowControl/>
              <w:jc w:val="left"/>
              <w:rPr>
                <w:color w:val="auto"/>
                <w:kern w:val="0"/>
                <w:sz w:val="24"/>
                <w:highlight w:val="none"/>
              </w:rPr>
            </w:pPr>
            <w:r>
              <w:rPr>
                <w:color w:val="auto"/>
                <w:kern w:val="0"/>
                <w:sz w:val="24"/>
                <w:highlight w:val="none"/>
              </w:rPr>
              <w:t>报价唯一性</w:t>
            </w:r>
          </w:p>
        </w:tc>
        <w:tc>
          <w:tcPr>
            <w:tcW w:w="6725" w:type="dxa"/>
            <w:vAlign w:val="center"/>
          </w:tcPr>
          <w:p w14:paraId="27749B64">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682D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481D6FC">
            <w:pPr>
              <w:widowControl/>
              <w:jc w:val="center"/>
              <w:rPr>
                <w:color w:val="auto"/>
                <w:kern w:val="0"/>
                <w:sz w:val="24"/>
                <w:highlight w:val="none"/>
              </w:rPr>
            </w:pPr>
            <w:r>
              <w:rPr>
                <w:color w:val="auto"/>
                <w:kern w:val="0"/>
                <w:sz w:val="24"/>
                <w:highlight w:val="none"/>
              </w:rPr>
              <w:t>5</w:t>
            </w:r>
          </w:p>
        </w:tc>
        <w:tc>
          <w:tcPr>
            <w:tcW w:w="1813" w:type="dxa"/>
            <w:vAlign w:val="center"/>
          </w:tcPr>
          <w:p w14:paraId="4CAA56B3">
            <w:pPr>
              <w:widowControl/>
              <w:jc w:val="left"/>
              <w:rPr>
                <w:color w:val="auto"/>
                <w:kern w:val="0"/>
                <w:sz w:val="24"/>
                <w:highlight w:val="none"/>
              </w:rPr>
            </w:pPr>
            <w:r>
              <w:rPr>
                <w:color w:val="auto"/>
                <w:kern w:val="0"/>
                <w:sz w:val="24"/>
                <w:highlight w:val="none"/>
              </w:rPr>
              <w:t>投标有效期</w:t>
            </w:r>
          </w:p>
        </w:tc>
        <w:tc>
          <w:tcPr>
            <w:tcW w:w="6725" w:type="dxa"/>
            <w:vAlign w:val="center"/>
          </w:tcPr>
          <w:p w14:paraId="2C45E044">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5F06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A2E8BF6">
            <w:pPr>
              <w:widowControl/>
              <w:jc w:val="center"/>
              <w:rPr>
                <w:color w:val="auto"/>
                <w:kern w:val="0"/>
                <w:sz w:val="24"/>
                <w:highlight w:val="none"/>
              </w:rPr>
            </w:pPr>
            <w:r>
              <w:rPr>
                <w:color w:val="auto"/>
                <w:kern w:val="0"/>
                <w:sz w:val="24"/>
                <w:highlight w:val="none"/>
              </w:rPr>
              <w:t>6</w:t>
            </w:r>
          </w:p>
        </w:tc>
        <w:tc>
          <w:tcPr>
            <w:tcW w:w="1813" w:type="dxa"/>
            <w:vAlign w:val="center"/>
          </w:tcPr>
          <w:p w14:paraId="66EF4B07">
            <w:pPr>
              <w:widowControl/>
              <w:jc w:val="left"/>
              <w:rPr>
                <w:color w:val="auto"/>
                <w:kern w:val="0"/>
                <w:sz w:val="24"/>
                <w:highlight w:val="none"/>
              </w:rPr>
            </w:pPr>
            <w:r>
              <w:rPr>
                <w:color w:val="auto"/>
                <w:kern w:val="0"/>
                <w:sz w:val="24"/>
                <w:highlight w:val="none"/>
              </w:rPr>
              <w:t>签署、加盖公章</w:t>
            </w:r>
          </w:p>
        </w:tc>
        <w:tc>
          <w:tcPr>
            <w:tcW w:w="6725" w:type="dxa"/>
            <w:vAlign w:val="center"/>
          </w:tcPr>
          <w:p w14:paraId="7BABC60B">
            <w:pPr>
              <w:widowControl/>
              <w:jc w:val="left"/>
              <w:rPr>
                <w:color w:val="auto"/>
                <w:kern w:val="0"/>
                <w:sz w:val="24"/>
                <w:highlight w:val="none"/>
              </w:rPr>
            </w:pPr>
            <w:r>
              <w:rPr>
                <w:color w:val="auto"/>
                <w:kern w:val="0"/>
                <w:sz w:val="24"/>
                <w:highlight w:val="none"/>
              </w:rPr>
              <w:t>按照招标文件要求签署、加盖公章的；</w:t>
            </w:r>
          </w:p>
        </w:tc>
      </w:tr>
      <w:tr w14:paraId="10BB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942CBA6">
            <w:pPr>
              <w:widowControl/>
              <w:jc w:val="center"/>
              <w:rPr>
                <w:color w:val="auto"/>
                <w:kern w:val="0"/>
                <w:sz w:val="24"/>
                <w:highlight w:val="none"/>
              </w:rPr>
            </w:pPr>
            <w:r>
              <w:rPr>
                <w:rFonts w:hint="eastAsia"/>
                <w:color w:val="auto"/>
                <w:kern w:val="0"/>
                <w:sz w:val="24"/>
                <w:highlight w:val="none"/>
              </w:rPr>
              <w:t>7</w:t>
            </w:r>
          </w:p>
        </w:tc>
        <w:tc>
          <w:tcPr>
            <w:tcW w:w="1813" w:type="dxa"/>
            <w:vAlign w:val="center"/>
          </w:tcPr>
          <w:p w14:paraId="6BDAE896">
            <w:pPr>
              <w:widowControl/>
              <w:jc w:val="left"/>
              <w:rPr>
                <w:color w:val="auto"/>
                <w:kern w:val="0"/>
                <w:sz w:val="24"/>
                <w:highlight w:val="none"/>
              </w:rPr>
            </w:pPr>
            <w:r>
              <w:rPr>
                <w:rFonts w:hint="eastAsia"/>
                <w:color w:val="auto"/>
                <w:kern w:val="0"/>
                <w:sz w:val="24"/>
                <w:highlight w:val="none"/>
              </w:rPr>
              <w:t>实质性格式</w:t>
            </w:r>
          </w:p>
        </w:tc>
        <w:tc>
          <w:tcPr>
            <w:tcW w:w="6725" w:type="dxa"/>
            <w:vAlign w:val="center"/>
          </w:tcPr>
          <w:p w14:paraId="58DFF32B">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14:paraId="69EA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E93E629">
            <w:pPr>
              <w:widowControl/>
              <w:jc w:val="center"/>
              <w:rPr>
                <w:color w:val="auto"/>
                <w:kern w:val="0"/>
                <w:sz w:val="24"/>
                <w:highlight w:val="none"/>
              </w:rPr>
            </w:pPr>
            <w:r>
              <w:rPr>
                <w:color w:val="auto"/>
                <w:kern w:val="0"/>
                <w:sz w:val="24"/>
                <w:highlight w:val="none"/>
              </w:rPr>
              <w:t>8</w:t>
            </w:r>
          </w:p>
        </w:tc>
        <w:tc>
          <w:tcPr>
            <w:tcW w:w="1813" w:type="dxa"/>
            <w:vAlign w:val="center"/>
          </w:tcPr>
          <w:p w14:paraId="4272F213">
            <w:pPr>
              <w:widowControl/>
              <w:jc w:val="left"/>
              <w:rPr>
                <w:rFonts w:hint="eastAsia" w:eastAsia="宋体"/>
                <w:color w:val="auto"/>
                <w:kern w:val="0"/>
                <w:sz w:val="24"/>
                <w:highlight w:val="none"/>
                <w:lang w:eastAsia="zh-CN"/>
              </w:rPr>
            </w:pPr>
            <w:r>
              <w:rPr>
                <w:color w:val="auto"/>
                <w:kern w:val="0"/>
                <w:sz w:val="24"/>
                <w:highlight w:val="none"/>
              </w:rPr>
              <w:t>报价的修正</w:t>
            </w:r>
            <w:r>
              <w:rPr>
                <w:rFonts w:hint="eastAsia"/>
                <w:color w:val="auto"/>
                <w:kern w:val="0"/>
                <w:sz w:val="24"/>
                <w:highlight w:val="none"/>
                <w:lang w:val="en-US" w:eastAsia="zh-CN"/>
              </w:rPr>
              <w:t xml:space="preserve"> </w:t>
            </w:r>
          </w:p>
        </w:tc>
        <w:tc>
          <w:tcPr>
            <w:tcW w:w="6725" w:type="dxa"/>
            <w:vAlign w:val="center"/>
          </w:tcPr>
          <w:p w14:paraId="074519BF">
            <w:pPr>
              <w:widowControl/>
              <w:jc w:val="left"/>
              <w:rPr>
                <w:color w:val="auto"/>
                <w:kern w:val="0"/>
                <w:sz w:val="24"/>
                <w:highlight w:val="none"/>
              </w:rPr>
            </w:pPr>
            <w:r>
              <w:rPr>
                <w:color w:val="auto"/>
                <w:kern w:val="0"/>
                <w:sz w:val="24"/>
                <w:highlight w:val="none"/>
              </w:rPr>
              <w:t>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w:t>
            </w:r>
          </w:p>
        </w:tc>
      </w:tr>
      <w:tr w14:paraId="4949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D4D0E73">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9</w:t>
            </w:r>
          </w:p>
        </w:tc>
        <w:tc>
          <w:tcPr>
            <w:tcW w:w="1813" w:type="dxa"/>
            <w:vAlign w:val="center"/>
          </w:tcPr>
          <w:p w14:paraId="43A2C364">
            <w:pPr>
              <w:widowControl/>
              <w:jc w:val="left"/>
              <w:rPr>
                <w:color w:val="auto"/>
                <w:kern w:val="0"/>
                <w:sz w:val="24"/>
                <w:highlight w:val="none"/>
              </w:rPr>
            </w:pPr>
            <w:r>
              <w:rPr>
                <w:color w:val="auto"/>
                <w:kern w:val="0"/>
                <w:sz w:val="24"/>
                <w:highlight w:val="none"/>
              </w:rPr>
              <w:t>报价合理性</w:t>
            </w:r>
          </w:p>
        </w:tc>
        <w:tc>
          <w:tcPr>
            <w:tcW w:w="6725" w:type="dxa"/>
            <w:vAlign w:val="center"/>
          </w:tcPr>
          <w:p w14:paraId="492E0430">
            <w:pPr>
              <w:widowControl/>
              <w:jc w:val="left"/>
              <w:rPr>
                <w:color w:val="auto"/>
                <w:kern w:val="0"/>
                <w:sz w:val="24"/>
                <w:highlight w:val="none"/>
              </w:rPr>
            </w:pPr>
            <w:r>
              <w:rPr>
                <w:rFonts w:hint="eastAsia" w:ascii="宋体" w:hAnsi="宋体" w:eastAsia="宋体" w:cs="宋体"/>
                <w:color w:val="auto"/>
                <w:kern w:val="0"/>
                <w:sz w:val="24"/>
                <w:highlight w:val="none"/>
              </w:rPr>
              <w:t>报价合理，或投标人的报价明显低于其他通过符合性审查投标人的报价，有可能影响服务质量或者不能诚信履约的，能够应评标委员会要求在规定时间内证明其报价合理性的；</w:t>
            </w:r>
          </w:p>
        </w:tc>
      </w:tr>
      <w:tr w14:paraId="0417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4B494B3">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10</w:t>
            </w:r>
          </w:p>
        </w:tc>
        <w:tc>
          <w:tcPr>
            <w:tcW w:w="1813" w:type="dxa"/>
            <w:vAlign w:val="center"/>
          </w:tcPr>
          <w:p w14:paraId="425DBEC3">
            <w:pPr>
              <w:widowControl/>
              <w:jc w:val="left"/>
              <w:rPr>
                <w:color w:val="auto"/>
                <w:kern w:val="0"/>
                <w:sz w:val="24"/>
                <w:highlight w:val="none"/>
              </w:rPr>
            </w:pPr>
            <w:r>
              <w:rPr>
                <w:color w:val="auto"/>
                <w:kern w:val="0"/>
                <w:sz w:val="24"/>
                <w:highlight w:val="none"/>
              </w:rPr>
              <w:t>公平竞争</w:t>
            </w:r>
          </w:p>
        </w:tc>
        <w:tc>
          <w:tcPr>
            <w:tcW w:w="6725" w:type="dxa"/>
            <w:vAlign w:val="center"/>
          </w:tcPr>
          <w:p w14:paraId="3EB8FB65">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4EBC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710FE1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11</w:t>
            </w:r>
          </w:p>
        </w:tc>
        <w:tc>
          <w:tcPr>
            <w:tcW w:w="1813" w:type="dxa"/>
            <w:vAlign w:val="center"/>
          </w:tcPr>
          <w:p w14:paraId="629AAA13">
            <w:pPr>
              <w:widowControl/>
              <w:jc w:val="left"/>
              <w:rPr>
                <w:color w:val="auto"/>
                <w:kern w:val="0"/>
                <w:sz w:val="24"/>
                <w:highlight w:val="none"/>
              </w:rPr>
            </w:pPr>
            <w:r>
              <w:rPr>
                <w:color w:val="auto"/>
                <w:kern w:val="0"/>
                <w:sz w:val="24"/>
                <w:highlight w:val="none"/>
              </w:rPr>
              <w:t>串通投标</w:t>
            </w:r>
          </w:p>
        </w:tc>
        <w:tc>
          <w:tcPr>
            <w:tcW w:w="6725" w:type="dxa"/>
            <w:vAlign w:val="center"/>
          </w:tcPr>
          <w:p w14:paraId="7AC04DA5">
            <w:pPr>
              <w:widowControl/>
              <w:jc w:val="left"/>
              <w:rPr>
                <w:color w:val="auto"/>
                <w:kern w:val="0"/>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（包含使用同一MAC地址的计算机制作电子投标文件的情形）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（包含使用同一MAC地址的计算机提交或者解密电子投标文件的情形）</w:t>
            </w:r>
            <w:r>
              <w:rPr>
                <w:rFonts w:hint="eastAsia"/>
                <w:color w:val="auto"/>
                <w:sz w:val="24"/>
                <w:highlight w:val="none"/>
              </w:rPr>
              <w:t>；（三）不同投标人的投标文件载明的项目管理成员或者联系人员为同一人；（四）不同投标人的投标文件异常一致或者投标报价呈规律性差异；</w:t>
            </w:r>
          </w:p>
        </w:tc>
      </w:tr>
      <w:tr w14:paraId="42B75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4729B46">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12</w:t>
            </w:r>
          </w:p>
        </w:tc>
        <w:tc>
          <w:tcPr>
            <w:tcW w:w="1813" w:type="dxa"/>
            <w:vAlign w:val="center"/>
          </w:tcPr>
          <w:p w14:paraId="64D02342">
            <w:pPr>
              <w:widowControl/>
              <w:jc w:val="left"/>
              <w:rPr>
                <w:color w:val="auto"/>
                <w:kern w:val="0"/>
                <w:sz w:val="24"/>
                <w:highlight w:val="none"/>
              </w:rPr>
            </w:pPr>
            <w:r>
              <w:rPr>
                <w:color w:val="auto"/>
                <w:kern w:val="0"/>
                <w:sz w:val="24"/>
                <w:highlight w:val="none"/>
              </w:rPr>
              <w:t>附加条件</w:t>
            </w:r>
          </w:p>
        </w:tc>
        <w:tc>
          <w:tcPr>
            <w:tcW w:w="6725" w:type="dxa"/>
            <w:vAlign w:val="center"/>
          </w:tcPr>
          <w:p w14:paraId="715147FA">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14:paraId="765F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81827F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13</w:t>
            </w:r>
          </w:p>
        </w:tc>
        <w:tc>
          <w:tcPr>
            <w:tcW w:w="1813" w:type="dxa"/>
            <w:vAlign w:val="center"/>
          </w:tcPr>
          <w:p w14:paraId="28CF0AE9">
            <w:pPr>
              <w:widowControl/>
              <w:jc w:val="left"/>
              <w:rPr>
                <w:color w:val="auto"/>
                <w:kern w:val="0"/>
                <w:sz w:val="24"/>
                <w:highlight w:val="none"/>
              </w:rPr>
            </w:pPr>
            <w:r>
              <w:rPr>
                <w:color w:val="auto"/>
                <w:kern w:val="0"/>
                <w:sz w:val="24"/>
                <w:highlight w:val="none"/>
              </w:rPr>
              <w:t>其他无效情形</w:t>
            </w:r>
          </w:p>
        </w:tc>
        <w:tc>
          <w:tcPr>
            <w:tcW w:w="6725" w:type="dxa"/>
            <w:vAlign w:val="center"/>
          </w:tcPr>
          <w:p w14:paraId="6B889D76">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3553FED7">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投标文件有关事项的澄清或者说明</w:t>
      </w:r>
    </w:p>
    <w:p w14:paraId="47EFDAEE">
      <w:pPr>
        <w:numPr>
          <w:ilvl w:val="1"/>
          <w:numId w:val="12"/>
        </w:numPr>
        <w:tabs>
          <w:tab w:val="left" w:pos="1080"/>
        </w:tabs>
        <w:snapToGrid w:val="0"/>
        <w:spacing w:line="360" w:lineRule="auto"/>
        <w:ind w:left="1077" w:hanging="720"/>
        <w:rPr>
          <w:rFonts w:hint="eastAsia"/>
          <w:color w:val="auto"/>
          <w:sz w:val="24"/>
          <w:highlight w:val="none"/>
        </w:rPr>
      </w:pPr>
      <w:r>
        <w:rPr>
          <w:color w:val="auto"/>
          <w:sz w:val="24"/>
          <w:highlight w:val="none"/>
        </w:rPr>
        <w:t>评标过程中，评标委员会将</w:t>
      </w:r>
      <w:r>
        <w:rPr>
          <w:rFonts w:hint="eastAsia"/>
          <w:color w:val="auto"/>
          <w:sz w:val="24"/>
          <w:highlight w:val="none"/>
        </w:rPr>
        <w:t>通过“苏采云”政府采购一体化平台系统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r>
        <w:rPr>
          <w:rFonts w:hint="eastAsia"/>
          <w:color w:val="auto"/>
          <w:sz w:val="24"/>
          <w:highlight w:val="none"/>
        </w:rPr>
        <w:t>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b/>
          <w:bCs/>
          <w:color w:val="auto"/>
          <w:sz w:val="24"/>
          <w:highlight w:val="none"/>
        </w:rPr>
        <w:t>无效投标处理。</w:t>
      </w:r>
    </w:p>
    <w:p w14:paraId="740F6D01">
      <w:pPr>
        <w:keepNext w:val="0"/>
        <w:keepLines w:val="0"/>
        <w:pageBreakBefore w:val="0"/>
        <w:numPr>
          <w:ilvl w:val="0"/>
          <w:numId w:val="0"/>
        </w:numPr>
        <w:tabs>
          <w:tab w:val="left" w:pos="1080"/>
        </w:tabs>
        <w:kinsoku/>
        <w:wordWrap/>
        <w:overflowPunct/>
        <w:topLinePunct w:val="0"/>
        <w:autoSpaceDE/>
        <w:autoSpaceDN/>
        <w:bidi w:val="0"/>
        <w:adjustRightInd/>
        <w:snapToGrid w:val="0"/>
        <w:spacing w:line="360" w:lineRule="auto"/>
        <w:ind w:left="0" w:leftChars="0" w:firstLine="241" w:firstLineChars="100"/>
        <w:rPr>
          <w:rFonts w:hint="eastAsia"/>
          <w:b/>
          <w:bCs/>
          <w:color w:val="auto"/>
          <w:sz w:val="24"/>
          <w:highlight w:val="none"/>
        </w:rPr>
      </w:pPr>
      <w:r>
        <w:rPr>
          <w:rFonts w:hint="eastAsia"/>
          <w:b/>
          <w:bCs/>
          <w:color w:val="auto"/>
          <w:sz w:val="24"/>
          <w:highlight w:val="none"/>
        </w:rPr>
        <w:t>2.</w:t>
      </w:r>
      <w:r>
        <w:rPr>
          <w:rFonts w:hint="eastAsia"/>
          <w:b/>
          <w:bCs/>
          <w:color w:val="auto"/>
          <w:sz w:val="24"/>
          <w:highlight w:val="none"/>
          <w:lang w:val="en-US" w:eastAsia="zh-CN"/>
        </w:rPr>
        <w:t>2</w:t>
      </w:r>
      <w:r>
        <w:rPr>
          <w:rFonts w:hint="eastAsia"/>
          <w:b/>
          <w:bCs/>
          <w:color w:val="auto"/>
          <w:sz w:val="24"/>
          <w:highlight w:val="none"/>
        </w:rPr>
        <w:t>.1实施政府采购异常低价审查的有关要求：具体按照财</w:t>
      </w:r>
      <w:r>
        <w:rPr>
          <w:rFonts w:hint="eastAsia"/>
          <w:b/>
          <w:bCs/>
          <w:color w:val="auto"/>
          <w:sz w:val="24"/>
          <w:highlight w:val="none"/>
          <w:lang w:val="en-US" w:eastAsia="zh-CN"/>
        </w:rPr>
        <w:t>库</w:t>
      </w:r>
      <w:r>
        <w:rPr>
          <w:rFonts w:hint="eastAsia"/>
          <w:b/>
          <w:bCs/>
          <w:color w:val="auto"/>
          <w:sz w:val="24"/>
          <w:highlight w:val="none"/>
        </w:rPr>
        <w:t>〔202</w:t>
      </w:r>
      <w:r>
        <w:rPr>
          <w:rFonts w:hint="eastAsia"/>
          <w:b/>
          <w:bCs/>
          <w:color w:val="auto"/>
          <w:sz w:val="24"/>
          <w:highlight w:val="none"/>
          <w:lang w:val="en-US" w:eastAsia="zh-CN"/>
        </w:rPr>
        <w:t>6</w:t>
      </w:r>
      <w:r>
        <w:rPr>
          <w:rFonts w:hint="eastAsia"/>
          <w:b/>
          <w:bCs/>
          <w:color w:val="auto"/>
          <w:sz w:val="24"/>
          <w:highlight w:val="none"/>
        </w:rPr>
        <w:t>〕</w:t>
      </w:r>
      <w:r>
        <w:rPr>
          <w:rFonts w:hint="eastAsia"/>
          <w:b/>
          <w:bCs/>
          <w:color w:val="auto"/>
          <w:sz w:val="24"/>
          <w:highlight w:val="none"/>
          <w:lang w:val="en-US" w:eastAsia="zh-CN"/>
        </w:rPr>
        <w:t>2</w:t>
      </w:r>
      <w:r>
        <w:rPr>
          <w:rFonts w:hint="eastAsia"/>
          <w:b/>
          <w:bCs/>
          <w:color w:val="auto"/>
          <w:sz w:val="24"/>
          <w:highlight w:val="none"/>
        </w:rPr>
        <w:t>号《关于推动解决政府采购异常低价问题的通知》要求：</w:t>
      </w:r>
    </w:p>
    <w:p w14:paraId="5E6D2AA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（一）政府采购评审中出现下列情形之一的，评审委员会应当启动异常低价投标（响应）审查程序：</w:t>
      </w:r>
    </w:p>
    <w:p w14:paraId="3BA76D2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28BAC49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166678A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3.投标（响应）报价低于采购项目最高限价45%的，即投标（响应）报价&lt;采购项目最高限价×45%；</w:t>
      </w:r>
    </w:p>
    <w:p w14:paraId="686D146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4.评审委员会基于专业判断，认为供应商报价过低，有可能影响产品质量或者不能诚信履约的其他情形。</w:t>
      </w:r>
    </w:p>
    <w:p w14:paraId="58242E7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采购人可以结合具体项目实际情况，提高上述第1项至第3项中启动异常低价投标（响应）审查的数值标准，但是最高不得超过65%。</w:t>
      </w:r>
    </w:p>
    <w:p w14:paraId="789A5BB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相关法律法规对供应商报价有规定的，从其规定。</w:t>
      </w:r>
    </w:p>
    <w:p w14:paraId="538FF24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12D919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22831F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621DAB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548BE1E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中的内容拆开投标，其</w:t>
      </w:r>
      <w:r>
        <w:rPr>
          <w:rFonts w:hint="eastAsia" w:ascii="宋体" w:hAnsi="宋体" w:eastAsia="宋体" w:cs="宋体"/>
          <w:b/>
          <w:color w:val="auto"/>
          <w:sz w:val="24"/>
          <w:highlight w:val="none"/>
        </w:rPr>
        <w:t>投标无效</w:t>
      </w:r>
      <w:r>
        <w:rPr>
          <w:rFonts w:hint="eastAsia" w:ascii="宋体" w:hAnsi="宋体" w:cs="宋体"/>
          <w:color w:val="auto"/>
          <w:sz w:val="24"/>
          <w:highlight w:val="none"/>
        </w:rPr>
        <w:t>。</w:t>
      </w:r>
    </w:p>
    <w:p w14:paraId="05B741B6">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01FAEB5E">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招标文件对于报价修正是否另有规定：</w:t>
      </w:r>
    </w:p>
    <w:p w14:paraId="6A39C56C">
      <w:pPr>
        <w:tabs>
          <w:tab w:val="left" w:pos="1080"/>
          <w:tab w:val="left" w:pos="1589"/>
          <w:tab w:val="left" w:pos="2035"/>
          <w:tab w:val="left" w:pos="2114"/>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00D35DF">
      <w:p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■无，按下述2.4.2-2.4.7项规定修正。</w:t>
      </w:r>
    </w:p>
    <w:p w14:paraId="2E278870">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单独递交的开标一览表（报价表）与投标文件中开标一览表（报价表）内容不一致的，以单独递交的开标一览表（报价表）为准；</w:t>
      </w:r>
    </w:p>
    <w:p w14:paraId="7398FCC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2B519559">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8F0071C">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单价金额小数点或者百分比有明显错位的，以开标一览表的总价为准，并修改单价；</w:t>
      </w:r>
    </w:p>
    <w:p w14:paraId="0886053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55FA075C">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19FC1794">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rPr>
        <w:t>落实政府采购政策的价格调整：</w:t>
      </w:r>
      <w:r>
        <w:rPr>
          <w:rFonts w:hint="eastAsia" w:ascii="宋体" w:hAnsi="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14:paraId="2652BD6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投标文件的比较和评价</w:t>
      </w:r>
      <w:bookmarkEnd w:id="763"/>
      <w:bookmarkEnd w:id="764"/>
    </w:p>
    <w:p w14:paraId="4FDD5CD4">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67532498">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评标方法和评标标准</w:t>
      </w:r>
    </w:p>
    <w:p w14:paraId="5E03172D">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本项目采用的评标方法为：</w:t>
      </w:r>
    </w:p>
    <w:p w14:paraId="7AC45497">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227CD31">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□最低评标价法，指投标文件满足招标文件全部实质性要求，且投标报价最低的投标人为中标候选人的评标方法。</w:t>
      </w:r>
    </w:p>
    <w:p w14:paraId="5A93B09B">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5276B281">
      <w:p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□随机抽取</w:t>
      </w:r>
    </w:p>
    <w:p w14:paraId="07CD82AC">
      <w:pPr>
        <w:tabs>
          <w:tab w:val="left" w:pos="1080"/>
          <w:tab w:val="left" w:pos="1589"/>
          <w:tab w:val="left" w:pos="2035"/>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4304A0E">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DB50EC9">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A78E463">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确定</w:t>
      </w:r>
      <w:bookmarkStart w:id="780" w:name="_Toc226337242"/>
      <w:bookmarkStart w:id="781" w:name="_Toc142311048"/>
      <w:bookmarkStart w:id="782" w:name="_Toc127161460"/>
      <w:bookmarkStart w:id="783" w:name="_Toc127151546"/>
      <w:bookmarkStart w:id="784" w:name="_Ref467307010"/>
      <w:bookmarkStart w:id="785" w:name="_Toc265228384"/>
      <w:bookmarkStart w:id="786" w:name="_Toc151193788"/>
      <w:bookmarkStart w:id="787" w:name="_Toc226309790"/>
      <w:bookmarkStart w:id="788" w:name="_Toc226965819"/>
      <w:bookmarkStart w:id="789" w:name="_Toc151193644"/>
      <w:bookmarkStart w:id="790" w:name="_Toc151193934"/>
      <w:bookmarkStart w:id="791" w:name="_Toc150509297"/>
      <w:bookmarkStart w:id="792" w:name="_Toc520356170"/>
      <w:bookmarkStart w:id="793" w:name="_Toc226965736"/>
      <w:bookmarkStart w:id="794" w:name="_Toc164608660"/>
      <w:bookmarkStart w:id="795" w:name="_Toc164608815"/>
      <w:bookmarkStart w:id="796" w:name="_Toc151193860"/>
      <w:bookmarkStart w:id="797" w:name="_Toc150774751"/>
      <w:bookmarkStart w:id="798" w:name="_Toc164351640"/>
      <w:bookmarkStart w:id="799" w:name="_Toc127151747"/>
      <w:bookmarkStart w:id="800" w:name="_Toc264969236"/>
      <w:bookmarkStart w:id="801" w:name="_Toc149720839"/>
      <w:bookmarkStart w:id="802" w:name="_Toc195842911"/>
      <w:bookmarkStart w:id="803" w:name="_Toc164229241"/>
      <w:bookmarkStart w:id="804" w:name="_Toc151193716"/>
      <w:bookmarkStart w:id="805" w:name="_Toc305158814"/>
      <w:bookmarkStart w:id="806" w:name="_Toc305158888"/>
      <w:bookmarkStart w:id="807" w:name="_Toc164229387"/>
      <w:bookmarkStart w:id="808" w:name="_Toc151190173"/>
      <w:bookmarkStart w:id="809" w:name="_Toc150774646"/>
      <w:bookmarkStart w:id="810" w:name="_Toc150480784"/>
      <w:r>
        <w:rPr>
          <w:rFonts w:hint="eastAsia" w:ascii="宋体" w:hAnsi="宋体" w:cs="宋体"/>
          <w:color w:val="auto"/>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17E0151A">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47B8A87">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972AFA5">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评标委员会要对评分汇总情况进行复核，特别是对排名第一的、报价最低的、投标或投标文件被认定为无效的情形进行重点复核。</w:t>
      </w:r>
    </w:p>
    <w:p w14:paraId="3E54EEAD">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评标委员会将根据各投标人的评标排序，依次推荐本项目的中标候选人，起草并签署评标报告。本项目评标委员会共推荐不少于3名中标候选人</w:t>
      </w:r>
      <w:r>
        <w:rPr>
          <w:rFonts w:hint="eastAsia" w:ascii="宋体" w:hAnsi="宋体" w:cs="宋体"/>
          <w:color w:val="auto"/>
          <w:sz w:val="24"/>
          <w:highlight w:val="none"/>
        </w:rPr>
        <w:t>。</w:t>
      </w:r>
    </w:p>
    <w:p w14:paraId="3031CCD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报告违法行为</w:t>
      </w:r>
    </w:p>
    <w:p w14:paraId="16EA1A9E">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评标委员会在评标过程中发现投标人有行贿、提供虚假材料或者串通等违法行为时，有向采购人、采购代理机构或者有关部门报告的职责。</w:t>
      </w:r>
    </w:p>
    <w:p w14:paraId="5CE47583">
      <w:pPr>
        <w:widowControl/>
        <w:numPr>
          <w:ilvl w:val="0"/>
          <w:numId w:val="13"/>
        </w:numPr>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评标标准</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7"/>
        <w:gridCol w:w="1200"/>
        <w:gridCol w:w="5820"/>
        <w:gridCol w:w="725"/>
      </w:tblGrid>
      <w:tr w14:paraId="480C3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5" w:hRule="atLeast"/>
        </w:trPr>
        <w:tc>
          <w:tcPr>
            <w:tcW w:w="777" w:type="dxa"/>
            <w:noWrap w:val="0"/>
            <w:tcMar>
              <w:top w:w="0" w:type="dxa"/>
              <w:left w:w="108" w:type="dxa"/>
              <w:bottom w:w="0" w:type="dxa"/>
              <w:right w:w="108" w:type="dxa"/>
            </w:tcMar>
            <w:vAlign w:val="center"/>
          </w:tcPr>
          <w:p w14:paraId="33719FFB">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00" w:type="dxa"/>
            <w:noWrap w:val="0"/>
            <w:tcMar>
              <w:top w:w="0" w:type="dxa"/>
              <w:left w:w="108" w:type="dxa"/>
              <w:bottom w:w="0" w:type="dxa"/>
              <w:right w:w="108" w:type="dxa"/>
            </w:tcMar>
            <w:vAlign w:val="center"/>
          </w:tcPr>
          <w:p w14:paraId="0A3C7DD3">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评分因素</w:t>
            </w:r>
          </w:p>
        </w:tc>
        <w:tc>
          <w:tcPr>
            <w:tcW w:w="5820" w:type="dxa"/>
            <w:noWrap w:val="0"/>
            <w:tcMar>
              <w:top w:w="0" w:type="dxa"/>
              <w:left w:w="108" w:type="dxa"/>
              <w:bottom w:w="0" w:type="dxa"/>
              <w:right w:w="108" w:type="dxa"/>
            </w:tcMar>
            <w:vAlign w:val="center"/>
          </w:tcPr>
          <w:p w14:paraId="30975B70">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c>
          <w:tcPr>
            <w:tcW w:w="725" w:type="dxa"/>
            <w:noWrap w:val="0"/>
            <w:tcMar>
              <w:top w:w="0" w:type="dxa"/>
              <w:left w:w="108" w:type="dxa"/>
              <w:bottom w:w="0" w:type="dxa"/>
              <w:right w:w="108" w:type="dxa"/>
            </w:tcMar>
            <w:vAlign w:val="center"/>
          </w:tcPr>
          <w:p w14:paraId="252C1AFD">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r>
      <w:tr w14:paraId="5D384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8" w:hRule="atLeast"/>
        </w:trPr>
        <w:tc>
          <w:tcPr>
            <w:tcW w:w="8522" w:type="dxa"/>
            <w:gridSpan w:val="4"/>
            <w:noWrap w:val="0"/>
            <w:tcMar>
              <w:top w:w="0" w:type="dxa"/>
              <w:left w:w="108" w:type="dxa"/>
              <w:bottom w:w="0" w:type="dxa"/>
              <w:right w:w="108" w:type="dxa"/>
            </w:tcMar>
            <w:vAlign w:val="center"/>
          </w:tcPr>
          <w:p w14:paraId="715E4E5B">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一、报价（</w:t>
            </w:r>
            <w:r>
              <w:rPr>
                <w:rFonts w:hint="eastAsia" w:ascii="宋体" w:hAnsi="宋体" w:cs="宋体"/>
                <w:b/>
                <w:color w:val="auto"/>
                <w:kern w:val="0"/>
                <w:sz w:val="24"/>
                <w:szCs w:val="24"/>
                <w:highlight w:val="none"/>
                <w:lang w:val="en-US" w:eastAsia="zh-CN"/>
              </w:rPr>
              <w:t>15</w:t>
            </w:r>
            <w:r>
              <w:rPr>
                <w:rFonts w:hint="eastAsia" w:ascii="宋体" w:hAnsi="宋体" w:eastAsia="宋体" w:cs="宋体"/>
                <w:b/>
                <w:color w:val="auto"/>
                <w:kern w:val="0"/>
                <w:sz w:val="24"/>
                <w:szCs w:val="24"/>
                <w:highlight w:val="none"/>
              </w:rPr>
              <w:t>分）</w:t>
            </w:r>
          </w:p>
        </w:tc>
      </w:tr>
      <w:tr w14:paraId="329B5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62" w:hRule="atLeast"/>
        </w:trPr>
        <w:tc>
          <w:tcPr>
            <w:tcW w:w="777" w:type="dxa"/>
            <w:noWrap w:val="0"/>
            <w:tcMar>
              <w:top w:w="0" w:type="dxa"/>
              <w:left w:w="108" w:type="dxa"/>
              <w:bottom w:w="0" w:type="dxa"/>
              <w:right w:w="108" w:type="dxa"/>
            </w:tcMar>
            <w:vAlign w:val="center"/>
          </w:tcPr>
          <w:p w14:paraId="1E89DDE1">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1200" w:type="dxa"/>
            <w:noWrap w:val="0"/>
            <w:tcMar>
              <w:top w:w="0" w:type="dxa"/>
              <w:left w:w="108" w:type="dxa"/>
              <w:bottom w:w="0" w:type="dxa"/>
              <w:right w:w="108" w:type="dxa"/>
            </w:tcMar>
            <w:vAlign w:val="center"/>
          </w:tcPr>
          <w:p w14:paraId="134DF70A">
            <w:pPr>
              <w:keepNext w:val="0"/>
              <w:keepLines w:val="0"/>
              <w:pageBreakBefore w:val="0"/>
              <w:widowControl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c>
          <w:tcPr>
            <w:tcW w:w="5820" w:type="dxa"/>
            <w:noWrap w:val="0"/>
            <w:tcMar>
              <w:top w:w="0" w:type="dxa"/>
              <w:left w:w="108" w:type="dxa"/>
              <w:bottom w:w="0" w:type="dxa"/>
              <w:right w:w="108" w:type="dxa"/>
            </w:tcMar>
            <w:vAlign w:val="center"/>
          </w:tcPr>
          <w:p w14:paraId="15BF54B9">
            <w:pPr>
              <w:keepNext w:val="0"/>
              <w:keepLines w:val="0"/>
              <w:pageBreakBefore w:val="0"/>
              <w:tabs>
                <w:tab w:val="left" w:pos="1200"/>
              </w:tabs>
              <w:kinsoku/>
              <w:wordWrap/>
              <w:overflowPunct/>
              <w:topLinePunct w:val="0"/>
              <w:autoSpaceDE/>
              <w:autoSpaceDN/>
              <w:bidi w:val="0"/>
              <w:spacing w:line="360" w:lineRule="auto"/>
              <w:jc w:val="left"/>
              <w:textAlignment w:val="auto"/>
              <w:rPr>
                <w:rFonts w:hint="eastAsia" w:ascii="宋体" w:hAnsi="宋体" w:cs="宋体"/>
                <w:color w:val="auto"/>
                <w:sz w:val="24"/>
                <w:highlight w:val="none"/>
              </w:rPr>
            </w:pPr>
            <w:r>
              <w:rPr>
                <w:rFonts w:hint="eastAsia" w:ascii="宋体" w:hAnsi="宋体" w:cs="宋体"/>
                <w:color w:val="auto"/>
                <w:kern w:val="0"/>
                <w:sz w:val="24"/>
                <w:highlight w:val="none"/>
                <w:lang w:val="zh-Hans"/>
              </w:rPr>
              <w:t>满足招标文件要求且报价（即1-优惠率）最低的报价为评标基准价，其价格分为满分。其他投标</w:t>
            </w:r>
            <w:r>
              <w:rPr>
                <w:rFonts w:hint="eastAsia" w:ascii="宋体" w:hAnsi="宋体" w:cs="宋体"/>
                <w:color w:val="auto"/>
                <w:kern w:val="0"/>
                <w:sz w:val="24"/>
                <w:highlight w:val="none"/>
                <w:lang w:val="en-US" w:eastAsia="zh-CN"/>
              </w:rPr>
              <w:t>人</w:t>
            </w:r>
            <w:r>
              <w:rPr>
                <w:rFonts w:hint="eastAsia" w:ascii="宋体" w:hAnsi="宋体" w:cs="宋体"/>
                <w:color w:val="auto"/>
                <w:kern w:val="0"/>
                <w:sz w:val="24"/>
                <w:highlight w:val="none"/>
                <w:lang w:val="zh-Hans"/>
              </w:rPr>
              <w:t>的价格分统一按照下列公式计算：价格分得分＝（评标基准价/</w:t>
            </w:r>
            <w:r>
              <w:rPr>
                <w:rFonts w:hint="eastAsia" w:ascii="宋体" w:hAnsi="宋体" w:cs="宋体"/>
                <w:color w:val="auto"/>
                <w:kern w:val="0"/>
                <w:sz w:val="24"/>
                <w:highlight w:val="none"/>
                <w:lang w:val="en-US" w:eastAsia="zh-CN"/>
              </w:rPr>
              <w:t>投标</w:t>
            </w:r>
            <w:r>
              <w:rPr>
                <w:rFonts w:hint="eastAsia" w:ascii="宋体" w:hAnsi="宋体" w:cs="宋体"/>
                <w:color w:val="auto"/>
                <w:kern w:val="0"/>
                <w:sz w:val="24"/>
                <w:highlight w:val="none"/>
                <w:lang w:val="zh-Hans"/>
              </w:rPr>
              <w:t>报价）×分值。</w:t>
            </w:r>
          </w:p>
          <w:p w14:paraId="7C1894E7">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cs="宋体"/>
                <w:b/>
                <w:bCs/>
                <w:color w:val="auto"/>
                <w:sz w:val="24"/>
                <w:highlight w:val="none"/>
                <w:lang w:eastAsia="en-US"/>
              </w:rPr>
              <w:t>此处投标报价（即 1-优惠率）指经过报价修正后的报价。</w:t>
            </w:r>
            <w:r>
              <w:rPr>
                <w:rFonts w:hint="eastAsia" w:ascii="宋体" w:hAnsi="宋体" w:cs="宋体"/>
                <w:b/>
                <w:bCs/>
                <w:color w:val="auto"/>
                <w:sz w:val="24"/>
                <w:highlight w:val="none"/>
                <w:lang w:val="en-US" w:eastAsia="en-US"/>
              </w:rPr>
              <w:t>本项目以优惠率进行报价。0≤优惠率&lt;100%，超出此范围则视为无效投标。</w:t>
            </w:r>
          </w:p>
        </w:tc>
        <w:tc>
          <w:tcPr>
            <w:tcW w:w="725" w:type="dxa"/>
            <w:noWrap w:val="0"/>
            <w:tcMar>
              <w:top w:w="0" w:type="dxa"/>
              <w:left w:w="108" w:type="dxa"/>
              <w:bottom w:w="0" w:type="dxa"/>
              <w:right w:w="108" w:type="dxa"/>
            </w:tcMar>
            <w:vAlign w:val="center"/>
          </w:tcPr>
          <w:p w14:paraId="066D4AF2">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15</w:t>
            </w:r>
          </w:p>
        </w:tc>
      </w:tr>
      <w:tr w14:paraId="1D179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noWrap w:val="0"/>
            <w:tcMar>
              <w:top w:w="0" w:type="dxa"/>
              <w:left w:w="108" w:type="dxa"/>
              <w:bottom w:w="0" w:type="dxa"/>
              <w:right w:w="108" w:type="dxa"/>
            </w:tcMar>
            <w:vAlign w:val="center"/>
          </w:tcPr>
          <w:p w14:paraId="7E11BA27">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rPr>
              <w:t>二</w:t>
            </w:r>
            <w:r>
              <w:rPr>
                <w:rFonts w:hint="eastAsia" w:ascii="宋体" w:hAnsi="宋体" w:eastAsia="宋体" w:cs="宋体"/>
                <w:b/>
                <w:color w:val="auto"/>
                <w:kern w:val="0"/>
                <w:sz w:val="24"/>
                <w:szCs w:val="24"/>
                <w:highlight w:val="none"/>
                <w:lang w:eastAsia="zh-CN"/>
              </w:rPr>
              <w:t>、</w:t>
            </w:r>
            <w:r>
              <w:rPr>
                <w:rFonts w:hint="eastAsia" w:ascii="宋体" w:hAnsi="宋体" w:cs="宋体"/>
                <w:b/>
                <w:color w:val="auto"/>
                <w:kern w:val="0"/>
                <w:sz w:val="24"/>
                <w:szCs w:val="24"/>
                <w:highlight w:val="none"/>
                <w:lang w:val="en-US" w:eastAsia="zh-CN"/>
              </w:rPr>
              <w:t>主观分</w:t>
            </w:r>
            <w:r>
              <w:rPr>
                <w:rFonts w:hint="eastAsia" w:ascii="宋体" w:hAnsi="宋体" w:eastAsia="宋体" w:cs="宋体"/>
                <w:b/>
                <w:color w:val="auto"/>
                <w:kern w:val="0"/>
                <w:sz w:val="24"/>
                <w:szCs w:val="24"/>
                <w:highlight w:val="none"/>
                <w:lang w:eastAsia="zh-CN"/>
              </w:rPr>
              <w:t>（</w:t>
            </w:r>
            <w:r>
              <w:rPr>
                <w:rFonts w:hint="eastAsia" w:ascii="宋体" w:hAnsi="宋体" w:cs="宋体"/>
                <w:b/>
                <w:color w:val="auto"/>
                <w:kern w:val="0"/>
                <w:sz w:val="24"/>
                <w:szCs w:val="24"/>
                <w:highlight w:val="none"/>
                <w:lang w:val="en-US" w:eastAsia="zh-CN"/>
              </w:rPr>
              <w:t>49</w:t>
            </w:r>
            <w:r>
              <w:rPr>
                <w:rFonts w:hint="eastAsia" w:ascii="宋体" w:hAnsi="宋体" w:eastAsia="宋体" w:cs="宋体"/>
                <w:b/>
                <w:color w:val="auto"/>
                <w:kern w:val="0"/>
                <w:sz w:val="24"/>
                <w:szCs w:val="24"/>
                <w:highlight w:val="none"/>
                <w:lang w:val="en-US" w:eastAsia="zh-CN"/>
              </w:rPr>
              <w:t>分</w:t>
            </w:r>
            <w:r>
              <w:rPr>
                <w:rFonts w:hint="eastAsia" w:ascii="宋体" w:hAnsi="宋体" w:eastAsia="宋体" w:cs="宋体"/>
                <w:b/>
                <w:color w:val="auto"/>
                <w:kern w:val="0"/>
                <w:sz w:val="24"/>
                <w:szCs w:val="24"/>
                <w:highlight w:val="none"/>
                <w:lang w:eastAsia="zh-CN"/>
              </w:rPr>
              <w:t>）</w:t>
            </w:r>
          </w:p>
        </w:tc>
      </w:tr>
      <w:tr w14:paraId="6BA02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617920FB">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2.1</w:t>
            </w:r>
          </w:p>
        </w:tc>
        <w:tc>
          <w:tcPr>
            <w:tcW w:w="1200" w:type="dxa"/>
            <w:noWrap w:val="0"/>
            <w:tcMar>
              <w:top w:w="0" w:type="dxa"/>
              <w:left w:w="108" w:type="dxa"/>
              <w:bottom w:w="0" w:type="dxa"/>
              <w:right w:w="108" w:type="dxa"/>
            </w:tcMar>
            <w:vAlign w:val="center"/>
          </w:tcPr>
          <w:p w14:paraId="1AB0BA21">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实施方案</w:t>
            </w:r>
          </w:p>
        </w:tc>
        <w:tc>
          <w:tcPr>
            <w:tcW w:w="5820" w:type="dxa"/>
            <w:noWrap w:val="0"/>
            <w:tcMar>
              <w:top w:w="0" w:type="dxa"/>
              <w:left w:w="108" w:type="dxa"/>
              <w:bottom w:w="0" w:type="dxa"/>
              <w:right w:w="108" w:type="dxa"/>
            </w:tcMar>
            <w:vAlign w:val="center"/>
          </w:tcPr>
          <w:p w14:paraId="3280DBAE">
            <w:pPr>
              <w:keepNext w:val="0"/>
              <w:keepLines w:val="0"/>
              <w:pageBreakBefore w:val="0"/>
              <w:tabs>
                <w:tab w:val="left" w:pos="1200"/>
              </w:tabs>
              <w:kinsoku/>
              <w:wordWrap/>
              <w:overflowPunct/>
              <w:topLinePunct w:val="0"/>
              <w:autoSpaceDE/>
              <w:autoSpaceDN/>
              <w:bidi w:val="0"/>
              <w:spacing w:line="360" w:lineRule="auto"/>
              <w:jc w:val="both"/>
              <w:textAlignment w:val="auto"/>
              <w:rPr>
                <w:rFonts w:hint="eastAsia" w:ascii="宋体" w:hAnsi="宋体" w:eastAsia="宋体" w:cs="宋体"/>
                <w:color w:val="auto"/>
                <w:kern w:val="0"/>
                <w:sz w:val="24"/>
                <w:highlight w:val="none"/>
                <w:lang w:val="zh-Hans" w:eastAsia="zh-CN"/>
              </w:rPr>
            </w:pPr>
            <w:r>
              <w:rPr>
                <w:rFonts w:hint="eastAsia" w:ascii="宋体" w:hAnsi="宋体" w:eastAsia="宋体" w:cs="宋体"/>
                <w:color w:val="auto"/>
                <w:kern w:val="0"/>
                <w:sz w:val="24"/>
                <w:highlight w:val="none"/>
                <w:lang w:val="en-US" w:eastAsia="zh-CN"/>
              </w:rPr>
              <w:t>提供</w:t>
            </w:r>
            <w:r>
              <w:rPr>
                <w:rFonts w:hint="eastAsia" w:ascii="宋体" w:hAnsi="宋体" w:eastAsia="宋体" w:cs="宋体"/>
                <w:color w:val="auto"/>
                <w:kern w:val="0"/>
                <w:sz w:val="24"/>
                <w:highlight w:val="none"/>
                <w:lang w:val="zh-Hans" w:eastAsia="zh-CN"/>
              </w:rPr>
              <w:t>总体实施方案。</w:t>
            </w:r>
          </w:p>
          <w:p w14:paraId="02BA95A1">
            <w:pPr>
              <w:keepNext w:val="0"/>
              <w:keepLines w:val="0"/>
              <w:pageBreakBefore w:val="0"/>
              <w:tabs>
                <w:tab w:val="left" w:pos="1200"/>
              </w:tabs>
              <w:kinsoku/>
              <w:wordWrap/>
              <w:overflowPunct/>
              <w:topLinePunct w:val="0"/>
              <w:autoSpaceDE/>
              <w:autoSpaceDN/>
              <w:bidi w:val="0"/>
              <w:spacing w:line="360" w:lineRule="auto"/>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highlight w:val="none"/>
                <w:lang w:val="zh-Hans" w:eastAsia="zh-CN"/>
              </w:rPr>
              <w:t>方案完整、可行，能完全满足项目实施要求，得</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lang w:val="zh-Hans" w:eastAsia="zh-CN"/>
              </w:rPr>
              <w:t>分；方案较具体、可行，能基本满足项目实施要求，得</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val="zh-Hans" w:eastAsia="zh-CN"/>
              </w:rPr>
              <w:t>分；方案内容较简单，对项目实施要求响应一般，得</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lang w:val="zh-Hans" w:eastAsia="zh-CN"/>
              </w:rPr>
              <w:t>分；方案内容较差、无针对性或可行性较差，得</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val="zh-Hans" w:eastAsia="zh-CN"/>
              </w:rPr>
              <w:t>分。根据</w:t>
            </w:r>
            <w:r>
              <w:rPr>
                <w:rFonts w:hint="eastAsia" w:ascii="宋体" w:hAnsi="宋体" w:eastAsia="宋体" w:cs="宋体"/>
                <w:color w:val="auto"/>
                <w:kern w:val="0"/>
                <w:sz w:val="24"/>
                <w:highlight w:val="none"/>
                <w:lang w:val="en-US" w:eastAsia="zh-CN"/>
              </w:rPr>
              <w:t>投标文件</w:t>
            </w:r>
            <w:r>
              <w:rPr>
                <w:rFonts w:hint="eastAsia" w:ascii="宋体" w:hAnsi="宋体" w:eastAsia="宋体" w:cs="宋体"/>
                <w:color w:val="auto"/>
                <w:kern w:val="0"/>
                <w:sz w:val="24"/>
                <w:highlight w:val="none"/>
                <w:lang w:val="zh-Hans" w:eastAsia="zh-CN"/>
              </w:rPr>
              <w:t>中</w:t>
            </w:r>
            <w:r>
              <w:rPr>
                <w:rFonts w:hint="eastAsia" w:ascii="宋体" w:hAnsi="宋体" w:eastAsia="宋体" w:cs="宋体"/>
                <w:color w:val="auto"/>
                <w:kern w:val="0"/>
                <w:sz w:val="24"/>
                <w:highlight w:val="none"/>
                <w:lang w:val="en-US" w:eastAsia="zh-CN"/>
              </w:rPr>
              <w:t>投标人</w:t>
            </w:r>
            <w:r>
              <w:rPr>
                <w:rFonts w:hint="eastAsia" w:ascii="宋体" w:hAnsi="宋体" w:eastAsia="宋体" w:cs="宋体"/>
                <w:color w:val="auto"/>
                <w:kern w:val="0"/>
                <w:sz w:val="24"/>
                <w:highlight w:val="none"/>
                <w:lang w:val="zh-Hans" w:eastAsia="zh-CN"/>
              </w:rPr>
              <w:t>提供的本项内容评分。不提供的不得分。</w:t>
            </w:r>
          </w:p>
        </w:tc>
        <w:tc>
          <w:tcPr>
            <w:tcW w:w="725" w:type="dxa"/>
            <w:noWrap w:val="0"/>
            <w:tcMar>
              <w:top w:w="0" w:type="dxa"/>
              <w:left w:w="108" w:type="dxa"/>
              <w:bottom w:w="0" w:type="dxa"/>
              <w:right w:w="108" w:type="dxa"/>
            </w:tcMar>
            <w:vAlign w:val="center"/>
          </w:tcPr>
          <w:p w14:paraId="011B760F">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7</w:t>
            </w:r>
          </w:p>
        </w:tc>
      </w:tr>
      <w:tr w14:paraId="4F73B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4011415E">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1200" w:type="dxa"/>
            <w:noWrap w:val="0"/>
            <w:tcMar>
              <w:top w:w="0" w:type="dxa"/>
              <w:left w:w="108" w:type="dxa"/>
              <w:bottom w:w="0" w:type="dxa"/>
              <w:right w:w="108" w:type="dxa"/>
            </w:tcMar>
            <w:vAlign w:val="center"/>
          </w:tcPr>
          <w:p w14:paraId="181AA21A">
            <w:pPr>
              <w:keepNext w:val="0"/>
              <w:keepLines w:val="0"/>
              <w:pageBreakBefore w:val="0"/>
              <w:tabs>
                <w:tab w:val="left" w:pos="426"/>
              </w:tabs>
              <w:kinsoku/>
              <w:wordWrap/>
              <w:overflowPunct/>
              <w:topLinePunct w:val="0"/>
              <w:autoSpaceDE w:val="0"/>
              <w:autoSpaceDN w:val="0"/>
              <w:bidi w:val="0"/>
              <w:adjustRightInd w:val="0"/>
              <w:spacing w:line="360" w:lineRule="auto"/>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管理措施</w:t>
            </w:r>
          </w:p>
        </w:tc>
        <w:tc>
          <w:tcPr>
            <w:tcW w:w="5820" w:type="dxa"/>
            <w:noWrap w:val="0"/>
            <w:tcMar>
              <w:top w:w="0" w:type="dxa"/>
              <w:left w:w="108" w:type="dxa"/>
              <w:bottom w:w="0" w:type="dxa"/>
              <w:right w:w="108" w:type="dxa"/>
            </w:tcMar>
            <w:vAlign w:val="center"/>
          </w:tcPr>
          <w:p w14:paraId="0EC78F90">
            <w:pPr>
              <w:keepNext w:val="0"/>
              <w:keepLines w:val="0"/>
              <w:pageBreakBefore w:val="0"/>
              <w:tabs>
                <w:tab w:val="left" w:pos="1200"/>
              </w:tabs>
              <w:kinsoku/>
              <w:wordWrap/>
              <w:overflowPunct/>
              <w:topLinePunct w:val="0"/>
              <w:autoSpaceDE/>
              <w:autoSpaceDN/>
              <w:bidi w:val="0"/>
              <w:spacing w:line="360" w:lineRule="auto"/>
              <w:jc w:val="both"/>
              <w:textAlignment w:val="auto"/>
              <w:rPr>
                <w:rFonts w:hint="eastAsia" w:ascii="宋体" w:hAnsi="宋体" w:eastAsia="宋体" w:cs="宋体"/>
                <w:color w:val="auto"/>
                <w:kern w:val="0"/>
                <w:sz w:val="24"/>
                <w:highlight w:val="none"/>
                <w:lang w:val="zh-Hans" w:eastAsia="zh-CN"/>
              </w:rPr>
            </w:pPr>
            <w:r>
              <w:rPr>
                <w:rFonts w:hint="eastAsia" w:ascii="宋体" w:hAnsi="宋体" w:eastAsia="宋体" w:cs="宋体"/>
                <w:color w:val="auto"/>
                <w:kern w:val="0"/>
                <w:sz w:val="24"/>
                <w:highlight w:val="none"/>
                <w:lang w:val="en-US" w:eastAsia="zh-CN"/>
              </w:rPr>
              <w:t>提供管理措施</w:t>
            </w:r>
            <w:r>
              <w:rPr>
                <w:rFonts w:hint="eastAsia" w:ascii="宋体" w:hAnsi="宋体" w:eastAsia="宋体" w:cs="宋体"/>
                <w:color w:val="auto"/>
                <w:kern w:val="0"/>
                <w:sz w:val="24"/>
                <w:highlight w:val="none"/>
                <w:lang w:val="zh-Hans" w:eastAsia="zh-CN"/>
              </w:rPr>
              <w:t>，包括工期保证措施、质量保证措施、对民工工资与材料款发放措施。</w:t>
            </w:r>
          </w:p>
          <w:p w14:paraId="290CDE40">
            <w:pPr>
              <w:keepNext w:val="0"/>
              <w:keepLines w:val="0"/>
              <w:pageBreakBefore w:val="0"/>
              <w:tabs>
                <w:tab w:val="left" w:pos="1200"/>
              </w:tabs>
              <w:kinsoku/>
              <w:wordWrap/>
              <w:overflowPunct/>
              <w:topLinePunct w:val="0"/>
              <w:autoSpaceDE/>
              <w:autoSpaceDN/>
              <w:bidi w:val="0"/>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highlight w:val="none"/>
                <w:lang w:val="zh-Hans" w:eastAsia="zh-CN"/>
              </w:rPr>
              <w:t>方案完整、可行，能完全满足项目实施要求，得</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lang w:val="zh-Hans" w:eastAsia="zh-CN"/>
              </w:rPr>
              <w:t>分；方案较具体、可行，能基本满足项目实施要求，得</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val="zh-Hans" w:eastAsia="zh-CN"/>
              </w:rPr>
              <w:t>分；方案内容较简单，对项目实施要求响应一般，得</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lang w:val="zh-Hans" w:eastAsia="zh-CN"/>
              </w:rPr>
              <w:t>分；方案内容较差、无针对性或可行性较差，得</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val="zh-Hans" w:eastAsia="zh-CN"/>
              </w:rPr>
              <w:t>分。根据</w:t>
            </w:r>
            <w:r>
              <w:rPr>
                <w:rFonts w:hint="eastAsia" w:ascii="宋体" w:hAnsi="宋体" w:eastAsia="宋体" w:cs="宋体"/>
                <w:color w:val="auto"/>
                <w:kern w:val="0"/>
                <w:sz w:val="24"/>
                <w:highlight w:val="none"/>
                <w:lang w:val="en-US" w:eastAsia="zh-CN"/>
              </w:rPr>
              <w:t>投标文件</w:t>
            </w:r>
            <w:r>
              <w:rPr>
                <w:rFonts w:hint="eastAsia" w:ascii="宋体" w:hAnsi="宋体" w:eastAsia="宋体" w:cs="宋体"/>
                <w:color w:val="auto"/>
                <w:kern w:val="0"/>
                <w:sz w:val="24"/>
                <w:highlight w:val="none"/>
                <w:lang w:val="zh-Hans" w:eastAsia="zh-CN"/>
              </w:rPr>
              <w:t>中</w:t>
            </w:r>
            <w:r>
              <w:rPr>
                <w:rFonts w:hint="eastAsia" w:ascii="宋体" w:hAnsi="宋体" w:eastAsia="宋体" w:cs="宋体"/>
                <w:color w:val="auto"/>
                <w:kern w:val="0"/>
                <w:sz w:val="24"/>
                <w:highlight w:val="none"/>
                <w:lang w:val="en-US" w:eastAsia="zh-CN"/>
              </w:rPr>
              <w:t>投标人</w:t>
            </w:r>
            <w:r>
              <w:rPr>
                <w:rFonts w:hint="eastAsia" w:ascii="宋体" w:hAnsi="宋体" w:eastAsia="宋体" w:cs="宋体"/>
                <w:color w:val="auto"/>
                <w:kern w:val="0"/>
                <w:sz w:val="24"/>
                <w:highlight w:val="none"/>
                <w:lang w:val="zh-Hans" w:eastAsia="zh-CN"/>
              </w:rPr>
              <w:t>提供的本项内容评分。不提供的不得分。</w:t>
            </w:r>
          </w:p>
        </w:tc>
        <w:tc>
          <w:tcPr>
            <w:tcW w:w="725" w:type="dxa"/>
            <w:noWrap w:val="0"/>
            <w:tcMar>
              <w:top w:w="0" w:type="dxa"/>
              <w:left w:w="108" w:type="dxa"/>
              <w:bottom w:w="0" w:type="dxa"/>
              <w:right w:w="108" w:type="dxa"/>
            </w:tcMar>
            <w:vAlign w:val="center"/>
          </w:tcPr>
          <w:p w14:paraId="715A83F5">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7</w:t>
            </w:r>
          </w:p>
        </w:tc>
      </w:tr>
      <w:tr w14:paraId="01799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2EB39FE2">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1200" w:type="dxa"/>
            <w:noWrap w:val="0"/>
            <w:tcMar>
              <w:top w:w="0" w:type="dxa"/>
              <w:left w:w="108" w:type="dxa"/>
              <w:bottom w:w="0" w:type="dxa"/>
              <w:right w:w="108" w:type="dxa"/>
            </w:tcMar>
            <w:vAlign w:val="center"/>
          </w:tcPr>
          <w:p w14:paraId="65B5EBBC">
            <w:pPr>
              <w:keepNext w:val="0"/>
              <w:keepLines w:val="0"/>
              <w:pageBreakBefore w:val="0"/>
              <w:tabs>
                <w:tab w:val="left" w:pos="426"/>
              </w:tabs>
              <w:kinsoku/>
              <w:wordWrap/>
              <w:overflowPunct/>
              <w:topLinePunct w:val="0"/>
              <w:autoSpaceDE w:val="0"/>
              <w:autoSpaceDN w:val="0"/>
              <w:bidi w:val="0"/>
              <w:adjustRightInd w:val="0"/>
              <w:spacing w:line="360" w:lineRule="auto"/>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设施设备</w:t>
            </w:r>
          </w:p>
        </w:tc>
        <w:tc>
          <w:tcPr>
            <w:tcW w:w="5820" w:type="dxa"/>
            <w:noWrap w:val="0"/>
            <w:tcMar>
              <w:top w:w="0" w:type="dxa"/>
              <w:left w:w="108" w:type="dxa"/>
              <w:bottom w:w="0" w:type="dxa"/>
              <w:right w:w="108" w:type="dxa"/>
            </w:tcMar>
            <w:vAlign w:val="center"/>
          </w:tcPr>
          <w:p w14:paraId="284A7C74">
            <w:pPr>
              <w:keepNext w:val="0"/>
              <w:keepLines w:val="0"/>
              <w:pageBreakBefore w:val="0"/>
              <w:tabs>
                <w:tab w:val="left" w:pos="1200"/>
              </w:tabs>
              <w:kinsoku/>
              <w:wordWrap/>
              <w:overflowPunct/>
              <w:topLinePunct w:val="0"/>
              <w:autoSpaceDE/>
              <w:autoSpaceDN/>
              <w:bidi w:val="0"/>
              <w:spacing w:line="360" w:lineRule="auto"/>
              <w:jc w:val="both"/>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提供投入本项目设施设备方案。</w:t>
            </w:r>
          </w:p>
          <w:p w14:paraId="4A34988B">
            <w:pPr>
              <w:keepNext w:val="0"/>
              <w:keepLines w:val="0"/>
              <w:pageBreakBefore w:val="0"/>
              <w:tabs>
                <w:tab w:val="left" w:pos="1200"/>
              </w:tabs>
              <w:kinsoku/>
              <w:wordWrap/>
              <w:overflowPunct/>
              <w:topLinePunct w:val="0"/>
              <w:autoSpaceDE/>
              <w:autoSpaceDN/>
              <w:bidi w:val="0"/>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highlight w:val="none"/>
                <w:lang w:val="zh-Hans" w:eastAsia="zh-CN"/>
              </w:rPr>
              <w:t>方案完整、可行，能完全满足项目实施要求，得</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val="zh-Hans" w:eastAsia="zh-CN"/>
              </w:rPr>
              <w:t>分；方案较具体、可行，能基本满足项目实施要求，得</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lang w:val="zh-Hans" w:eastAsia="zh-CN"/>
              </w:rPr>
              <w:t>分；方案内容较简单，对项目实施要求响应一般，得</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lang w:val="zh-Hans" w:eastAsia="zh-CN"/>
              </w:rPr>
              <w:t>分；方案内容较差、无针对性或可行性较差，得</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val="zh-Hans" w:eastAsia="zh-CN"/>
              </w:rPr>
              <w:t>分。根据</w:t>
            </w:r>
            <w:r>
              <w:rPr>
                <w:rFonts w:hint="eastAsia" w:ascii="宋体" w:hAnsi="宋体" w:eastAsia="宋体" w:cs="宋体"/>
                <w:color w:val="auto"/>
                <w:kern w:val="0"/>
                <w:sz w:val="24"/>
                <w:highlight w:val="none"/>
                <w:lang w:val="en-US" w:eastAsia="zh-CN"/>
              </w:rPr>
              <w:t>投标文件</w:t>
            </w:r>
            <w:r>
              <w:rPr>
                <w:rFonts w:hint="eastAsia" w:ascii="宋体" w:hAnsi="宋体" w:eastAsia="宋体" w:cs="宋体"/>
                <w:color w:val="auto"/>
                <w:kern w:val="0"/>
                <w:sz w:val="24"/>
                <w:highlight w:val="none"/>
                <w:lang w:val="zh-Hans" w:eastAsia="zh-CN"/>
              </w:rPr>
              <w:t>中</w:t>
            </w:r>
            <w:r>
              <w:rPr>
                <w:rFonts w:hint="eastAsia" w:ascii="宋体" w:hAnsi="宋体" w:eastAsia="宋体" w:cs="宋体"/>
                <w:color w:val="auto"/>
                <w:kern w:val="0"/>
                <w:sz w:val="24"/>
                <w:highlight w:val="none"/>
                <w:lang w:val="en-US" w:eastAsia="zh-CN"/>
              </w:rPr>
              <w:t>投标人</w:t>
            </w:r>
            <w:r>
              <w:rPr>
                <w:rFonts w:hint="eastAsia" w:ascii="宋体" w:hAnsi="宋体" w:eastAsia="宋体" w:cs="宋体"/>
                <w:color w:val="auto"/>
                <w:kern w:val="0"/>
                <w:sz w:val="24"/>
                <w:highlight w:val="none"/>
                <w:lang w:val="zh-Hans" w:eastAsia="zh-CN"/>
              </w:rPr>
              <w:t>提供的本项内容评分。不提供的不得分。</w:t>
            </w:r>
          </w:p>
        </w:tc>
        <w:tc>
          <w:tcPr>
            <w:tcW w:w="725" w:type="dxa"/>
            <w:noWrap w:val="0"/>
            <w:tcMar>
              <w:top w:w="0" w:type="dxa"/>
              <w:left w:w="108" w:type="dxa"/>
              <w:bottom w:w="0" w:type="dxa"/>
              <w:right w:w="108" w:type="dxa"/>
            </w:tcMar>
            <w:vAlign w:val="center"/>
          </w:tcPr>
          <w:p w14:paraId="144D9D53">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5</w:t>
            </w:r>
          </w:p>
        </w:tc>
      </w:tr>
      <w:tr w14:paraId="1B99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56FB3469">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1200" w:type="dxa"/>
            <w:noWrap w:val="0"/>
            <w:tcMar>
              <w:top w:w="0" w:type="dxa"/>
              <w:left w:w="108" w:type="dxa"/>
              <w:bottom w:w="0" w:type="dxa"/>
              <w:right w:w="108" w:type="dxa"/>
            </w:tcMar>
            <w:vAlign w:val="center"/>
          </w:tcPr>
          <w:p w14:paraId="25BB06E4">
            <w:pPr>
              <w:keepNext w:val="0"/>
              <w:keepLines w:val="0"/>
              <w:pageBreakBefore w:val="0"/>
              <w:tabs>
                <w:tab w:val="left" w:pos="426"/>
              </w:tabs>
              <w:kinsoku/>
              <w:wordWrap/>
              <w:overflowPunct/>
              <w:topLinePunct w:val="0"/>
              <w:autoSpaceDE w:val="0"/>
              <w:autoSpaceDN w:val="0"/>
              <w:bidi w:val="0"/>
              <w:adjustRightInd w:val="0"/>
              <w:spacing w:line="360" w:lineRule="auto"/>
              <w:jc w:val="left"/>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进场计划</w:t>
            </w:r>
          </w:p>
        </w:tc>
        <w:tc>
          <w:tcPr>
            <w:tcW w:w="5820" w:type="dxa"/>
            <w:noWrap w:val="0"/>
            <w:tcMar>
              <w:top w:w="0" w:type="dxa"/>
              <w:left w:w="108" w:type="dxa"/>
              <w:bottom w:w="0" w:type="dxa"/>
              <w:right w:w="108" w:type="dxa"/>
            </w:tcMar>
            <w:vAlign w:val="center"/>
          </w:tcPr>
          <w:p w14:paraId="62F445AF">
            <w:pPr>
              <w:keepNext w:val="0"/>
              <w:keepLines w:val="0"/>
              <w:pageBreakBefore w:val="0"/>
              <w:tabs>
                <w:tab w:val="left" w:pos="1200"/>
              </w:tabs>
              <w:kinsoku/>
              <w:wordWrap/>
              <w:overflowPunct/>
              <w:topLinePunct w:val="0"/>
              <w:autoSpaceDE/>
              <w:autoSpaceDN/>
              <w:bidi w:val="0"/>
              <w:spacing w:line="360" w:lineRule="auto"/>
              <w:jc w:val="both"/>
              <w:textAlignment w:val="auto"/>
              <w:rPr>
                <w:rFonts w:hint="eastAsia" w:ascii="宋体" w:hAnsi="宋体" w:eastAsia="宋体" w:cs="宋体"/>
                <w:color w:val="auto"/>
                <w:kern w:val="0"/>
                <w:sz w:val="24"/>
                <w:highlight w:val="none"/>
                <w:lang w:val="zh-CN" w:eastAsia="zh-CN"/>
              </w:rPr>
            </w:pPr>
            <w:r>
              <w:rPr>
                <w:rFonts w:hint="eastAsia" w:ascii="宋体" w:hAnsi="宋体" w:eastAsia="宋体" w:cs="宋体"/>
                <w:color w:val="auto"/>
                <w:kern w:val="0"/>
                <w:sz w:val="24"/>
                <w:highlight w:val="none"/>
                <w:lang w:val="en-US" w:eastAsia="zh-CN"/>
              </w:rPr>
              <w:t>提供</w:t>
            </w:r>
            <w:r>
              <w:rPr>
                <w:rFonts w:hint="eastAsia" w:ascii="宋体" w:hAnsi="宋体" w:eastAsia="宋体" w:cs="宋体"/>
                <w:color w:val="auto"/>
                <w:kern w:val="0"/>
                <w:sz w:val="24"/>
                <w:highlight w:val="none"/>
                <w:lang w:val="zh-CN" w:eastAsia="zh-CN"/>
              </w:rPr>
              <w:t>劳动力、施工机械设备、构件和半成品等均需列进退场计划。</w:t>
            </w:r>
          </w:p>
          <w:p w14:paraId="70C8AE74">
            <w:pPr>
              <w:keepNext w:val="0"/>
              <w:keepLines w:val="0"/>
              <w:pageBreakBefore w:val="0"/>
              <w:tabs>
                <w:tab w:val="left" w:pos="1200"/>
              </w:tabs>
              <w:kinsoku/>
              <w:wordWrap/>
              <w:overflowPunct/>
              <w:topLinePunct w:val="0"/>
              <w:autoSpaceDE/>
              <w:autoSpaceDN/>
              <w:bidi w:val="0"/>
              <w:spacing w:line="360" w:lineRule="auto"/>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highlight w:val="none"/>
                <w:lang w:val="zh-Hans" w:eastAsia="zh-CN"/>
              </w:rPr>
              <w:t>方案完整、可行，能完全满足项目实施要求，得</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val="zh-Hans" w:eastAsia="zh-CN"/>
              </w:rPr>
              <w:t>分；方案较具体、可行，能基本满足项目实施要求，得</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lang w:val="zh-Hans" w:eastAsia="zh-CN"/>
              </w:rPr>
              <w:t>分；方案内容较简单，对项目实施要求响应一般，得</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lang w:val="zh-Hans" w:eastAsia="zh-CN"/>
              </w:rPr>
              <w:t>分；方案内容较差、无针对性或可行性较差，得</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val="zh-Hans" w:eastAsia="zh-CN"/>
              </w:rPr>
              <w:t>分。根据</w:t>
            </w:r>
            <w:r>
              <w:rPr>
                <w:rFonts w:hint="eastAsia" w:ascii="宋体" w:hAnsi="宋体" w:eastAsia="宋体" w:cs="宋体"/>
                <w:color w:val="auto"/>
                <w:kern w:val="0"/>
                <w:sz w:val="24"/>
                <w:highlight w:val="none"/>
                <w:lang w:val="en-US" w:eastAsia="zh-CN"/>
              </w:rPr>
              <w:t>投标文件</w:t>
            </w:r>
            <w:r>
              <w:rPr>
                <w:rFonts w:hint="eastAsia" w:ascii="宋体" w:hAnsi="宋体" w:eastAsia="宋体" w:cs="宋体"/>
                <w:color w:val="auto"/>
                <w:kern w:val="0"/>
                <w:sz w:val="24"/>
                <w:highlight w:val="none"/>
                <w:lang w:val="zh-Hans" w:eastAsia="zh-CN"/>
              </w:rPr>
              <w:t>中</w:t>
            </w:r>
            <w:r>
              <w:rPr>
                <w:rFonts w:hint="eastAsia" w:ascii="宋体" w:hAnsi="宋体" w:eastAsia="宋体" w:cs="宋体"/>
                <w:color w:val="auto"/>
                <w:kern w:val="0"/>
                <w:sz w:val="24"/>
                <w:highlight w:val="none"/>
                <w:lang w:val="en-US" w:eastAsia="zh-CN"/>
              </w:rPr>
              <w:t>投标人</w:t>
            </w:r>
            <w:r>
              <w:rPr>
                <w:rFonts w:hint="eastAsia" w:ascii="宋体" w:hAnsi="宋体" w:eastAsia="宋体" w:cs="宋体"/>
                <w:color w:val="auto"/>
                <w:kern w:val="0"/>
                <w:sz w:val="24"/>
                <w:highlight w:val="none"/>
                <w:lang w:val="zh-Hans" w:eastAsia="zh-CN"/>
              </w:rPr>
              <w:t>提供的本项内容评分。不提供的不得分。</w:t>
            </w:r>
          </w:p>
        </w:tc>
        <w:tc>
          <w:tcPr>
            <w:tcW w:w="725" w:type="dxa"/>
            <w:noWrap w:val="0"/>
            <w:tcMar>
              <w:top w:w="0" w:type="dxa"/>
              <w:left w:w="108" w:type="dxa"/>
              <w:bottom w:w="0" w:type="dxa"/>
              <w:right w:w="108" w:type="dxa"/>
            </w:tcMar>
            <w:vAlign w:val="center"/>
          </w:tcPr>
          <w:p w14:paraId="29D103F2">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5</w:t>
            </w:r>
          </w:p>
        </w:tc>
      </w:tr>
      <w:tr w14:paraId="562F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4343B788">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1200" w:type="dxa"/>
            <w:noWrap w:val="0"/>
            <w:tcMar>
              <w:top w:w="0" w:type="dxa"/>
              <w:left w:w="108" w:type="dxa"/>
              <w:bottom w:w="0" w:type="dxa"/>
              <w:right w:w="108" w:type="dxa"/>
            </w:tcMar>
            <w:vAlign w:val="center"/>
          </w:tcPr>
          <w:p w14:paraId="3B7E4E35">
            <w:pPr>
              <w:keepNext w:val="0"/>
              <w:keepLines w:val="0"/>
              <w:pageBreakBefore w:val="0"/>
              <w:tabs>
                <w:tab w:val="left" w:pos="426"/>
              </w:tabs>
              <w:kinsoku/>
              <w:wordWrap/>
              <w:overflowPunct/>
              <w:topLinePunct w:val="0"/>
              <w:autoSpaceDE w:val="0"/>
              <w:autoSpaceDN w:val="0"/>
              <w:bidi w:val="0"/>
              <w:adjustRightInd w:val="0"/>
              <w:spacing w:line="360" w:lineRule="auto"/>
              <w:jc w:val="left"/>
              <w:textAlignment w:val="auto"/>
              <w:outlineLvl w:val="9"/>
              <w:rPr>
                <w:rFonts w:hint="eastAsia" w:ascii="Times New Roman" w:hAnsi="Times New Roman" w:eastAsia="方正仿宋_GB2312" w:cs="Times New Roman"/>
                <w:sz w:val="24"/>
                <w:szCs w:val="24"/>
                <w:lang w:eastAsia="zh-CN"/>
              </w:rPr>
            </w:pPr>
            <w:r>
              <w:rPr>
                <w:rFonts w:hint="eastAsia" w:ascii="宋体" w:hAnsi="宋体" w:eastAsia="宋体" w:cs="宋体"/>
                <w:color w:val="auto"/>
                <w:sz w:val="24"/>
                <w:szCs w:val="24"/>
                <w:highlight w:val="none"/>
                <w:lang w:eastAsia="zh-CN"/>
              </w:rPr>
              <w:t>关键技术、施工工艺</w:t>
            </w:r>
          </w:p>
        </w:tc>
        <w:tc>
          <w:tcPr>
            <w:tcW w:w="5820" w:type="dxa"/>
            <w:noWrap w:val="0"/>
            <w:tcMar>
              <w:top w:w="0" w:type="dxa"/>
              <w:left w:w="108" w:type="dxa"/>
              <w:bottom w:w="0" w:type="dxa"/>
              <w:right w:w="108" w:type="dxa"/>
            </w:tcMar>
            <w:vAlign w:val="center"/>
          </w:tcPr>
          <w:p w14:paraId="144C54B0">
            <w:pPr>
              <w:keepNext w:val="0"/>
              <w:keepLines w:val="0"/>
              <w:pageBreakBefore w:val="0"/>
              <w:tabs>
                <w:tab w:val="left" w:pos="1200"/>
              </w:tabs>
              <w:kinsoku/>
              <w:wordWrap/>
              <w:overflowPunct/>
              <w:topLinePunct w:val="0"/>
              <w:autoSpaceDE/>
              <w:autoSpaceDN/>
              <w:bidi w:val="0"/>
              <w:spacing w:line="360" w:lineRule="auto"/>
              <w:jc w:val="both"/>
              <w:textAlignment w:val="auto"/>
              <w:rPr>
                <w:rFonts w:hint="eastAsia" w:ascii="宋体" w:hAnsi="宋体" w:eastAsia="宋体" w:cs="宋体"/>
                <w:color w:val="auto"/>
                <w:kern w:val="0"/>
                <w:sz w:val="24"/>
                <w:highlight w:val="none"/>
                <w:lang w:val="zh-Hans" w:eastAsia="zh-CN"/>
              </w:rPr>
            </w:pPr>
            <w:r>
              <w:rPr>
                <w:rFonts w:hint="eastAsia" w:ascii="宋体" w:hAnsi="宋体" w:eastAsia="宋体" w:cs="宋体"/>
                <w:color w:val="auto"/>
                <w:kern w:val="0"/>
                <w:sz w:val="24"/>
                <w:highlight w:val="none"/>
                <w:lang w:val="en-US" w:eastAsia="zh-CN"/>
              </w:rPr>
              <w:t>提供</w:t>
            </w:r>
            <w:r>
              <w:rPr>
                <w:rFonts w:hint="eastAsia" w:ascii="宋体" w:hAnsi="宋体" w:eastAsia="宋体" w:cs="宋体"/>
                <w:color w:val="auto"/>
                <w:kern w:val="0"/>
                <w:sz w:val="24"/>
                <w:highlight w:val="none"/>
                <w:lang w:val="zh-Hans" w:eastAsia="zh-CN"/>
              </w:rPr>
              <w:t>道路维修、道板砖修复、井盖更换等关键施工技术、工艺及工程项目实施的重点、难点和解决方案。</w:t>
            </w:r>
          </w:p>
          <w:p w14:paraId="0CC0AFC0">
            <w:pPr>
              <w:keepNext w:val="0"/>
              <w:keepLines w:val="0"/>
              <w:pageBreakBefore w:val="0"/>
              <w:tabs>
                <w:tab w:val="left" w:pos="1200"/>
              </w:tabs>
              <w:kinsoku/>
              <w:wordWrap/>
              <w:overflowPunct/>
              <w:topLinePunct w:val="0"/>
              <w:autoSpaceDE/>
              <w:autoSpaceDN/>
              <w:bidi w:val="0"/>
              <w:spacing w:line="360" w:lineRule="auto"/>
              <w:jc w:val="both"/>
              <w:textAlignment w:val="auto"/>
              <w:rPr>
                <w:rFonts w:hint="eastAsia" w:ascii="宋体" w:hAnsi="宋体" w:eastAsia="宋体" w:cs="宋体"/>
                <w:color w:val="auto"/>
                <w:kern w:val="0"/>
                <w:sz w:val="24"/>
                <w:highlight w:val="none"/>
                <w:lang w:val="zh-Hans" w:eastAsia="zh-CN"/>
              </w:rPr>
            </w:pP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val="zh-Hans" w:eastAsia="zh-CN"/>
              </w:rPr>
              <w:t>关键施工技术、工艺：方案具体、可行，能满足项目实施要求，得</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val="zh-Hans" w:eastAsia="zh-CN"/>
              </w:rPr>
              <w:t>分；方案内容较好，能基本满足项目实施要求，得</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lang w:val="zh-Hans" w:eastAsia="zh-CN"/>
              </w:rPr>
              <w:t>分；方案内容较简单，对项目实施要求响应一般，得</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lang w:val="zh-Hans" w:eastAsia="zh-CN"/>
              </w:rPr>
              <w:t>分；方案内容较差、无针对性或可行性较差，得</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val="zh-Hans" w:eastAsia="zh-CN"/>
              </w:rPr>
              <w:t>分。根据</w:t>
            </w:r>
            <w:r>
              <w:rPr>
                <w:rFonts w:hint="eastAsia" w:ascii="宋体" w:hAnsi="宋体" w:eastAsia="宋体" w:cs="宋体"/>
                <w:color w:val="auto"/>
                <w:kern w:val="0"/>
                <w:sz w:val="24"/>
                <w:highlight w:val="none"/>
                <w:lang w:val="en-US" w:eastAsia="zh-CN"/>
              </w:rPr>
              <w:t>投标文件</w:t>
            </w:r>
            <w:r>
              <w:rPr>
                <w:rFonts w:hint="eastAsia" w:ascii="宋体" w:hAnsi="宋体" w:eastAsia="宋体" w:cs="宋体"/>
                <w:color w:val="auto"/>
                <w:kern w:val="0"/>
                <w:sz w:val="24"/>
                <w:highlight w:val="none"/>
                <w:lang w:val="zh-Hans" w:eastAsia="zh-CN"/>
              </w:rPr>
              <w:t>中</w:t>
            </w:r>
            <w:r>
              <w:rPr>
                <w:rFonts w:hint="eastAsia" w:ascii="宋体" w:hAnsi="宋体" w:eastAsia="宋体" w:cs="宋体"/>
                <w:color w:val="auto"/>
                <w:kern w:val="0"/>
                <w:sz w:val="24"/>
                <w:highlight w:val="none"/>
                <w:lang w:val="en-US" w:eastAsia="zh-CN"/>
              </w:rPr>
              <w:t>投标人</w:t>
            </w:r>
            <w:r>
              <w:rPr>
                <w:rFonts w:hint="eastAsia" w:ascii="宋体" w:hAnsi="宋体" w:eastAsia="宋体" w:cs="宋体"/>
                <w:color w:val="auto"/>
                <w:kern w:val="0"/>
                <w:sz w:val="24"/>
                <w:highlight w:val="none"/>
                <w:lang w:val="zh-Hans" w:eastAsia="zh-CN"/>
              </w:rPr>
              <w:t>提供的本项内容评分。不提供的不得分。</w:t>
            </w:r>
          </w:p>
          <w:p w14:paraId="6A1A865C">
            <w:pPr>
              <w:keepNext w:val="0"/>
              <w:keepLines w:val="0"/>
              <w:pageBreakBefore w:val="0"/>
              <w:tabs>
                <w:tab w:val="left" w:pos="1200"/>
              </w:tabs>
              <w:kinsoku/>
              <w:wordWrap/>
              <w:overflowPunct/>
              <w:topLinePunct w:val="0"/>
              <w:autoSpaceDE/>
              <w:autoSpaceDN/>
              <w:bidi w:val="0"/>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val="zh-Hans" w:eastAsia="zh-CN"/>
              </w:rPr>
              <w:t>工程项目实施的重点、难点和解决方案：方案具体、可行，能满足项目实施要求，得5分；方案内容较好，能基本满足项目实施要求，得4分；方案内容较简单，对项目实施要求响应一般，得3分；方案内容较差、无针对性或可行性较差，得基本分2分。根据</w:t>
            </w:r>
            <w:r>
              <w:rPr>
                <w:rFonts w:hint="eastAsia" w:ascii="宋体" w:hAnsi="宋体" w:eastAsia="宋体" w:cs="宋体"/>
                <w:color w:val="auto"/>
                <w:kern w:val="0"/>
                <w:sz w:val="24"/>
                <w:highlight w:val="none"/>
                <w:lang w:val="en-US" w:eastAsia="zh-CN"/>
              </w:rPr>
              <w:t>投标文件</w:t>
            </w:r>
            <w:r>
              <w:rPr>
                <w:rFonts w:hint="eastAsia" w:ascii="宋体" w:hAnsi="宋体" w:eastAsia="宋体" w:cs="宋体"/>
                <w:color w:val="auto"/>
                <w:kern w:val="0"/>
                <w:sz w:val="24"/>
                <w:highlight w:val="none"/>
                <w:lang w:val="zh-Hans" w:eastAsia="zh-CN"/>
              </w:rPr>
              <w:t>中</w:t>
            </w:r>
            <w:r>
              <w:rPr>
                <w:rFonts w:hint="eastAsia" w:ascii="宋体" w:hAnsi="宋体" w:eastAsia="宋体" w:cs="宋体"/>
                <w:color w:val="auto"/>
                <w:kern w:val="0"/>
                <w:sz w:val="24"/>
                <w:highlight w:val="none"/>
                <w:lang w:val="en-US" w:eastAsia="zh-CN"/>
              </w:rPr>
              <w:t>投标人</w:t>
            </w:r>
            <w:r>
              <w:rPr>
                <w:rFonts w:hint="eastAsia" w:ascii="宋体" w:hAnsi="宋体" w:eastAsia="宋体" w:cs="宋体"/>
                <w:color w:val="auto"/>
                <w:kern w:val="0"/>
                <w:sz w:val="24"/>
                <w:highlight w:val="none"/>
                <w:lang w:val="zh-Hans" w:eastAsia="zh-CN"/>
              </w:rPr>
              <w:t>提供的本项内容评分。不提供的不得分。</w:t>
            </w:r>
          </w:p>
        </w:tc>
        <w:tc>
          <w:tcPr>
            <w:tcW w:w="725" w:type="dxa"/>
            <w:noWrap w:val="0"/>
            <w:tcMar>
              <w:top w:w="0" w:type="dxa"/>
              <w:left w:w="108" w:type="dxa"/>
              <w:bottom w:w="0" w:type="dxa"/>
              <w:right w:w="108" w:type="dxa"/>
            </w:tcMar>
            <w:vAlign w:val="center"/>
          </w:tcPr>
          <w:p w14:paraId="47C441C7">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10</w:t>
            </w:r>
          </w:p>
        </w:tc>
      </w:tr>
      <w:tr w14:paraId="7BDBB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2B1E98A0">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1200" w:type="dxa"/>
            <w:noWrap w:val="0"/>
            <w:tcMar>
              <w:top w:w="0" w:type="dxa"/>
              <w:left w:w="108" w:type="dxa"/>
              <w:bottom w:w="0" w:type="dxa"/>
              <w:right w:w="108" w:type="dxa"/>
            </w:tcMar>
            <w:vAlign w:val="center"/>
          </w:tcPr>
          <w:p w14:paraId="7F6E1326">
            <w:pPr>
              <w:keepNext w:val="0"/>
              <w:keepLines w:val="0"/>
              <w:pageBreakBefore w:val="0"/>
              <w:tabs>
                <w:tab w:val="left" w:pos="426"/>
              </w:tabs>
              <w:kinsoku/>
              <w:wordWrap/>
              <w:overflowPunct/>
              <w:topLinePunct w:val="0"/>
              <w:autoSpaceDE w:val="0"/>
              <w:autoSpaceDN w:val="0"/>
              <w:bidi w:val="0"/>
              <w:adjustRightInd w:val="0"/>
              <w:spacing w:line="360" w:lineRule="auto"/>
              <w:jc w:val="left"/>
              <w:textAlignment w:val="auto"/>
              <w:outlineLvl w:val="9"/>
              <w:rPr>
                <w:rFonts w:hint="eastAsia" w:ascii="Times New Roman" w:hAnsi="Times New Roman" w:eastAsia="方正仿宋_GB2312" w:cs="Times New Roman"/>
                <w:sz w:val="24"/>
                <w:szCs w:val="24"/>
                <w:lang w:eastAsia="zh-CN"/>
              </w:rPr>
            </w:pPr>
            <w:r>
              <w:rPr>
                <w:rFonts w:hint="eastAsia" w:ascii="宋体" w:hAnsi="宋体" w:eastAsia="宋体" w:cs="宋体"/>
                <w:color w:val="auto"/>
                <w:sz w:val="24"/>
                <w:szCs w:val="24"/>
                <w:highlight w:val="none"/>
                <w:lang w:eastAsia="zh-CN"/>
              </w:rPr>
              <w:t>安全施工、文明施工、环境保护</w:t>
            </w:r>
            <w:r>
              <w:rPr>
                <w:rFonts w:hint="eastAsia" w:ascii="宋体" w:hAnsi="宋体" w:eastAsia="宋体" w:cs="宋体"/>
                <w:color w:val="auto"/>
                <w:sz w:val="24"/>
                <w:szCs w:val="24"/>
                <w:highlight w:val="none"/>
                <w:lang w:val="en-US" w:eastAsia="zh-CN"/>
              </w:rPr>
              <w:t>及消防</w:t>
            </w:r>
            <w:r>
              <w:rPr>
                <w:rFonts w:hint="eastAsia" w:ascii="宋体" w:hAnsi="宋体" w:eastAsia="宋体" w:cs="宋体"/>
                <w:color w:val="auto"/>
                <w:sz w:val="24"/>
                <w:szCs w:val="24"/>
                <w:highlight w:val="none"/>
                <w:lang w:eastAsia="zh-CN"/>
              </w:rPr>
              <w:t>措施</w:t>
            </w:r>
          </w:p>
        </w:tc>
        <w:tc>
          <w:tcPr>
            <w:tcW w:w="5820" w:type="dxa"/>
            <w:noWrap w:val="0"/>
            <w:tcMar>
              <w:top w:w="0" w:type="dxa"/>
              <w:left w:w="108" w:type="dxa"/>
              <w:bottom w:w="0" w:type="dxa"/>
              <w:right w:w="108" w:type="dxa"/>
            </w:tcMar>
            <w:vAlign w:val="center"/>
          </w:tcPr>
          <w:p w14:paraId="7A80EC0C">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lang w:eastAsia="zh-CN"/>
              </w:rPr>
              <w:t>安全施工、文明施工、环境保护措施。</w:t>
            </w:r>
          </w:p>
          <w:p w14:paraId="3F72587C">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措施方案完整、可行，能完全满足项目实施要求，得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分；措施方案较具体、可行，能基本满足项目实施要求，得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分；措施方案内容较简单，对项目实施要求响应一般，得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分；方案内容较差、无针对性或可行性较差，得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分。根据</w:t>
            </w:r>
            <w:r>
              <w:rPr>
                <w:rFonts w:hint="eastAsia" w:ascii="宋体" w:hAnsi="宋体" w:eastAsia="宋体" w:cs="宋体"/>
                <w:color w:val="auto"/>
                <w:sz w:val="24"/>
                <w:szCs w:val="24"/>
                <w:highlight w:val="none"/>
                <w:lang w:val="en-US" w:eastAsia="zh-CN"/>
              </w:rPr>
              <w:t>投标文件</w:t>
            </w:r>
            <w:r>
              <w:rPr>
                <w:rFonts w:hint="eastAsia" w:ascii="宋体" w:hAnsi="宋体" w:eastAsia="宋体" w:cs="宋体"/>
                <w:color w:val="auto"/>
                <w:sz w:val="24"/>
                <w:szCs w:val="24"/>
                <w:highlight w:val="none"/>
                <w:lang w:eastAsia="zh-CN"/>
              </w:rPr>
              <w:t>中</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提供的本项内容评分。不提供的不得分。</w:t>
            </w:r>
          </w:p>
        </w:tc>
        <w:tc>
          <w:tcPr>
            <w:tcW w:w="725" w:type="dxa"/>
            <w:noWrap w:val="0"/>
            <w:tcMar>
              <w:top w:w="0" w:type="dxa"/>
              <w:left w:w="108" w:type="dxa"/>
              <w:bottom w:w="0" w:type="dxa"/>
              <w:right w:w="108" w:type="dxa"/>
            </w:tcMar>
            <w:vAlign w:val="center"/>
          </w:tcPr>
          <w:p w14:paraId="0EEC1473">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5</w:t>
            </w:r>
          </w:p>
        </w:tc>
      </w:tr>
      <w:tr w14:paraId="0BE57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2CBFA9C1">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1200" w:type="dxa"/>
            <w:noWrap w:val="0"/>
            <w:tcMar>
              <w:top w:w="0" w:type="dxa"/>
              <w:left w:w="108" w:type="dxa"/>
              <w:bottom w:w="0" w:type="dxa"/>
              <w:right w:w="108" w:type="dxa"/>
            </w:tcMar>
            <w:vAlign w:val="center"/>
          </w:tcPr>
          <w:p w14:paraId="033235E5">
            <w:pPr>
              <w:keepNext w:val="0"/>
              <w:keepLines w:val="0"/>
              <w:pageBreakBefore w:val="0"/>
              <w:tabs>
                <w:tab w:val="left" w:pos="426"/>
              </w:tabs>
              <w:kinsoku/>
              <w:wordWrap/>
              <w:overflowPunct/>
              <w:topLinePunct w:val="0"/>
              <w:autoSpaceDE w:val="0"/>
              <w:autoSpaceDN w:val="0"/>
              <w:bidi w:val="0"/>
              <w:adjustRightInd w:val="0"/>
              <w:spacing w:line="360" w:lineRule="auto"/>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后期服务方案</w:t>
            </w:r>
          </w:p>
        </w:tc>
        <w:tc>
          <w:tcPr>
            <w:tcW w:w="5820" w:type="dxa"/>
            <w:noWrap w:val="0"/>
            <w:tcMar>
              <w:top w:w="0" w:type="dxa"/>
              <w:left w:w="108" w:type="dxa"/>
              <w:bottom w:w="0" w:type="dxa"/>
              <w:right w:w="108" w:type="dxa"/>
            </w:tcMar>
            <w:vAlign w:val="center"/>
          </w:tcPr>
          <w:p w14:paraId="3729125E">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提供后期服务方案，方案中包含后期服务体系、后期服务机构及人员、后期维修方案。</w:t>
            </w:r>
          </w:p>
          <w:p w14:paraId="7C51EE32">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方案完整、可行，能完全满足项目实施要求，得5分；方案较具体、可行，能基本满足项目实施要求，得4分；方案内容较简单，对项目实施要求响应一般，得3分；方案内容较差、无针对性或可行性较差，得2分。根据投标文件中投标人提供的本项内容评分。不提供的不得分。</w:t>
            </w:r>
          </w:p>
        </w:tc>
        <w:tc>
          <w:tcPr>
            <w:tcW w:w="725" w:type="dxa"/>
            <w:noWrap w:val="0"/>
            <w:tcMar>
              <w:top w:w="0" w:type="dxa"/>
              <w:left w:w="108" w:type="dxa"/>
              <w:bottom w:w="0" w:type="dxa"/>
              <w:right w:w="108" w:type="dxa"/>
            </w:tcMar>
            <w:vAlign w:val="center"/>
          </w:tcPr>
          <w:p w14:paraId="1D5576F3">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5</w:t>
            </w:r>
          </w:p>
        </w:tc>
      </w:tr>
      <w:tr w14:paraId="504CC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36CEAED3">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p>
        </w:tc>
        <w:tc>
          <w:tcPr>
            <w:tcW w:w="1200" w:type="dxa"/>
            <w:noWrap w:val="0"/>
            <w:tcMar>
              <w:top w:w="0" w:type="dxa"/>
              <w:left w:w="108" w:type="dxa"/>
              <w:bottom w:w="0" w:type="dxa"/>
              <w:right w:w="108" w:type="dxa"/>
            </w:tcMar>
            <w:vAlign w:val="center"/>
          </w:tcPr>
          <w:p w14:paraId="46E69EAD">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服务响应及时性</w:t>
            </w:r>
          </w:p>
        </w:tc>
        <w:tc>
          <w:tcPr>
            <w:tcW w:w="5820" w:type="dxa"/>
            <w:noWrap w:val="0"/>
            <w:tcMar>
              <w:top w:w="0" w:type="dxa"/>
              <w:left w:w="108" w:type="dxa"/>
              <w:bottom w:w="0" w:type="dxa"/>
              <w:right w:w="108" w:type="dxa"/>
            </w:tcMar>
            <w:vAlign w:val="center"/>
          </w:tcPr>
          <w:p w14:paraId="06B1B2D5">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在满足招标文件要求的基础上（中标人在接到采购人的维修要求时，需在2小时内安排人员到场并进行修复工作。），根据自身情况综合考虑，自行承诺：在接到采购人报修通知后，15分钟内到达现场并同时做出具体维修安排（即时限内人员及设备设施已到场、安全防护措施设置到位，并开始维修。下同）得5分；30分钟内到达现场并同时做出具体维修安排得4分；45分钟内到达现场并同时做出具体维修安排得3分；1小时内到达现场并同时做出具体维修安排得2分；1.5小时内到达现场并同时做出具体维修安排得1分；投标人提供承诺书加盖投标人公章。不提供的不得分。</w:t>
            </w:r>
          </w:p>
        </w:tc>
        <w:tc>
          <w:tcPr>
            <w:tcW w:w="725" w:type="dxa"/>
            <w:noWrap w:val="0"/>
            <w:tcMar>
              <w:top w:w="0" w:type="dxa"/>
              <w:left w:w="108" w:type="dxa"/>
              <w:bottom w:w="0" w:type="dxa"/>
              <w:right w:w="108" w:type="dxa"/>
            </w:tcMar>
            <w:vAlign w:val="center"/>
          </w:tcPr>
          <w:p w14:paraId="0A723ABE">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5</w:t>
            </w:r>
          </w:p>
        </w:tc>
      </w:tr>
      <w:tr w14:paraId="29BCB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noWrap w:val="0"/>
            <w:tcMar>
              <w:top w:w="0" w:type="dxa"/>
              <w:left w:w="108" w:type="dxa"/>
              <w:bottom w:w="0" w:type="dxa"/>
              <w:right w:w="108" w:type="dxa"/>
            </w:tcMar>
            <w:vAlign w:val="center"/>
          </w:tcPr>
          <w:p w14:paraId="674BB06C">
            <w:pPr>
              <w:keepNext w:val="0"/>
              <w:keepLines w:val="0"/>
              <w:pageBreakBefore w:val="0"/>
              <w:tabs>
                <w:tab w:val="left" w:pos="426"/>
              </w:tabs>
              <w:kinsoku/>
              <w:wordWrap/>
              <w:overflowPunct/>
              <w:topLinePunct w:val="0"/>
              <w:autoSpaceDE w:val="0"/>
              <w:autoSpaceDN w:val="0"/>
              <w:bidi w:val="0"/>
              <w:adjustRightInd w:val="0"/>
              <w:spacing w:line="360" w:lineRule="auto"/>
              <w:jc w:val="left"/>
              <w:textAlignment w:val="auto"/>
              <w:outlineLvl w:val="9"/>
              <w:rPr>
                <w:rFonts w:hint="eastAsia" w:ascii="宋体" w:hAnsi="宋体" w:cs="宋体"/>
                <w:color w:val="auto"/>
                <w:kern w:val="2"/>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rPr>
              <w:t>三</w:t>
            </w:r>
            <w:r>
              <w:rPr>
                <w:rFonts w:hint="eastAsia" w:ascii="宋体" w:hAnsi="宋体" w:eastAsia="宋体" w:cs="宋体"/>
                <w:b/>
                <w:color w:val="auto"/>
                <w:kern w:val="0"/>
                <w:sz w:val="24"/>
                <w:szCs w:val="24"/>
                <w:highlight w:val="none"/>
                <w:lang w:eastAsia="zh-CN"/>
              </w:rPr>
              <w:t>、</w:t>
            </w:r>
            <w:r>
              <w:rPr>
                <w:rFonts w:hint="eastAsia" w:ascii="宋体" w:hAnsi="宋体" w:cs="宋体"/>
                <w:b/>
                <w:color w:val="auto"/>
                <w:kern w:val="0"/>
                <w:sz w:val="24"/>
                <w:szCs w:val="24"/>
                <w:highlight w:val="none"/>
                <w:lang w:val="en-US" w:eastAsia="zh-CN"/>
              </w:rPr>
              <w:t>客观分</w:t>
            </w:r>
            <w:r>
              <w:rPr>
                <w:rFonts w:hint="eastAsia" w:ascii="宋体" w:hAnsi="宋体" w:eastAsia="宋体" w:cs="宋体"/>
                <w:b/>
                <w:color w:val="auto"/>
                <w:kern w:val="0"/>
                <w:sz w:val="24"/>
                <w:szCs w:val="24"/>
                <w:highlight w:val="none"/>
                <w:lang w:eastAsia="zh-CN"/>
              </w:rPr>
              <w:t>（</w:t>
            </w:r>
            <w:r>
              <w:rPr>
                <w:rFonts w:hint="eastAsia" w:ascii="宋体" w:hAnsi="宋体" w:cs="宋体"/>
                <w:b/>
                <w:color w:val="auto"/>
                <w:kern w:val="0"/>
                <w:sz w:val="24"/>
                <w:szCs w:val="24"/>
                <w:highlight w:val="none"/>
                <w:lang w:val="en-US" w:eastAsia="zh-CN"/>
              </w:rPr>
              <w:t>36</w:t>
            </w:r>
            <w:r>
              <w:rPr>
                <w:rFonts w:hint="eastAsia" w:ascii="宋体" w:hAnsi="宋体" w:eastAsia="宋体" w:cs="宋体"/>
                <w:b/>
                <w:color w:val="auto"/>
                <w:kern w:val="0"/>
                <w:sz w:val="24"/>
                <w:szCs w:val="24"/>
                <w:highlight w:val="none"/>
                <w:lang w:val="en-US" w:eastAsia="zh-CN"/>
              </w:rPr>
              <w:t>分</w:t>
            </w:r>
            <w:r>
              <w:rPr>
                <w:rFonts w:hint="eastAsia" w:ascii="宋体" w:hAnsi="宋体" w:eastAsia="宋体" w:cs="宋体"/>
                <w:b/>
                <w:color w:val="auto"/>
                <w:kern w:val="0"/>
                <w:sz w:val="24"/>
                <w:szCs w:val="24"/>
                <w:highlight w:val="none"/>
                <w:lang w:eastAsia="zh-CN"/>
              </w:rPr>
              <w:t>）</w:t>
            </w:r>
          </w:p>
        </w:tc>
      </w:tr>
      <w:tr w14:paraId="45C31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0052A9E7">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3.1</w:t>
            </w:r>
          </w:p>
        </w:tc>
        <w:tc>
          <w:tcPr>
            <w:tcW w:w="1200" w:type="dxa"/>
            <w:noWrap w:val="0"/>
            <w:tcMar>
              <w:top w:w="0" w:type="dxa"/>
              <w:left w:w="108" w:type="dxa"/>
              <w:bottom w:w="0" w:type="dxa"/>
              <w:right w:w="108" w:type="dxa"/>
            </w:tcMar>
            <w:vAlign w:val="center"/>
          </w:tcPr>
          <w:p w14:paraId="5679BFA4">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业绩</w:t>
            </w:r>
          </w:p>
        </w:tc>
        <w:tc>
          <w:tcPr>
            <w:tcW w:w="5820" w:type="dxa"/>
            <w:noWrap w:val="0"/>
            <w:tcMar>
              <w:top w:w="0" w:type="dxa"/>
              <w:left w:w="108" w:type="dxa"/>
              <w:bottom w:w="0" w:type="dxa"/>
              <w:right w:w="108" w:type="dxa"/>
            </w:tcMar>
            <w:vAlign w:val="center"/>
          </w:tcPr>
          <w:p w14:paraId="0D53D080">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w:t>
            </w:r>
            <w:r>
              <w:rPr>
                <w:rFonts w:hint="default" w:ascii="宋体" w:hAnsi="宋体" w:eastAsia="宋体" w:cs="宋体"/>
                <w:color w:val="auto"/>
                <w:sz w:val="24"/>
                <w:szCs w:val="24"/>
                <w:highlight w:val="none"/>
                <w:lang w:val="en-US" w:eastAsia="zh-CN"/>
              </w:rPr>
              <w:t>自202</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年1月1日以来承担的类似项目业绩，每有一个得3分，本项最高得1</w:t>
            </w: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分。</w:t>
            </w:r>
          </w:p>
          <w:p w14:paraId="14248CE1">
            <w:pPr>
              <w:keepNext w:val="0"/>
              <w:keepLines w:val="0"/>
              <w:pageBreakBefore w:val="0"/>
              <w:widowControl/>
              <w:kinsoku/>
              <w:wordWrap/>
              <w:overflowPunct/>
              <w:topLinePunct w:val="0"/>
              <w:bidi w:val="0"/>
              <w:spacing w:line="360" w:lineRule="auto"/>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注：</w:t>
            </w:r>
            <w:r>
              <w:rPr>
                <w:rFonts w:hint="default" w:ascii="宋体" w:hAnsi="宋体" w:eastAsia="宋体" w:cs="宋体"/>
                <w:b/>
                <w:bCs/>
                <w:color w:val="auto"/>
                <w:sz w:val="24"/>
                <w:szCs w:val="24"/>
                <w:highlight w:val="none"/>
                <w:lang w:val="en-US" w:eastAsia="zh-CN"/>
              </w:rPr>
              <w:t>时间以</w:t>
            </w:r>
            <w:r>
              <w:rPr>
                <w:rFonts w:hint="eastAsia" w:ascii="宋体" w:hAnsi="宋体" w:eastAsia="宋体" w:cs="宋体"/>
                <w:b/>
                <w:bCs/>
                <w:color w:val="auto"/>
                <w:sz w:val="24"/>
                <w:szCs w:val="24"/>
                <w:highlight w:val="none"/>
                <w:lang w:val="en-US" w:eastAsia="zh-CN"/>
              </w:rPr>
              <w:t>合同签订</w:t>
            </w:r>
            <w:r>
              <w:rPr>
                <w:rFonts w:hint="default" w:ascii="宋体" w:hAnsi="宋体" w:eastAsia="宋体" w:cs="宋体"/>
                <w:b/>
                <w:bCs/>
                <w:color w:val="auto"/>
                <w:sz w:val="24"/>
                <w:szCs w:val="24"/>
                <w:highlight w:val="none"/>
                <w:lang w:val="zh-CN" w:eastAsia="zh-CN"/>
              </w:rPr>
              <w:t>时间</w:t>
            </w:r>
            <w:r>
              <w:rPr>
                <w:rFonts w:hint="default" w:ascii="宋体" w:hAnsi="宋体" w:eastAsia="宋体" w:cs="宋体"/>
                <w:b/>
                <w:bCs/>
                <w:color w:val="auto"/>
                <w:sz w:val="24"/>
                <w:szCs w:val="24"/>
                <w:highlight w:val="none"/>
                <w:lang w:val="en-US" w:eastAsia="zh-CN"/>
              </w:rPr>
              <w:t>为准</w:t>
            </w:r>
            <w:r>
              <w:rPr>
                <w:rFonts w:hint="default" w:ascii="宋体" w:hAnsi="宋体" w:eastAsia="宋体" w:cs="宋体"/>
                <w:b/>
                <w:bCs/>
                <w:color w:val="auto"/>
                <w:sz w:val="24"/>
                <w:szCs w:val="24"/>
                <w:highlight w:val="none"/>
                <w:lang w:val="zh-CN" w:eastAsia="zh-CN"/>
              </w:rPr>
              <w:t>，同一甲方的业绩按一份计算。</w:t>
            </w:r>
            <w:r>
              <w:rPr>
                <w:rFonts w:hint="eastAsia" w:ascii="宋体" w:hAnsi="宋体" w:eastAsia="宋体" w:cs="宋体"/>
                <w:b/>
                <w:bCs/>
                <w:color w:val="auto"/>
                <w:sz w:val="24"/>
                <w:szCs w:val="24"/>
                <w:highlight w:val="none"/>
                <w:lang w:val="en-US" w:eastAsia="zh-CN"/>
              </w:rPr>
              <w:t>投标文件中</w:t>
            </w:r>
            <w:r>
              <w:rPr>
                <w:rFonts w:hint="default" w:ascii="宋体" w:hAnsi="宋体" w:eastAsia="宋体" w:cs="宋体"/>
                <w:b/>
                <w:bCs/>
                <w:color w:val="auto"/>
                <w:sz w:val="24"/>
                <w:szCs w:val="24"/>
                <w:highlight w:val="none"/>
                <w:lang w:val="en-US" w:eastAsia="zh-CN"/>
              </w:rPr>
              <w:t>提供合同扫描件并加盖公章，未提供不得分。</w:t>
            </w:r>
          </w:p>
        </w:tc>
        <w:tc>
          <w:tcPr>
            <w:tcW w:w="725" w:type="dxa"/>
            <w:noWrap w:val="0"/>
            <w:tcMar>
              <w:top w:w="0" w:type="dxa"/>
              <w:left w:w="108" w:type="dxa"/>
              <w:bottom w:w="0" w:type="dxa"/>
              <w:right w:w="108" w:type="dxa"/>
            </w:tcMar>
            <w:vAlign w:val="center"/>
          </w:tcPr>
          <w:p w14:paraId="06D6E982">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15</w:t>
            </w:r>
          </w:p>
        </w:tc>
      </w:tr>
      <w:tr w14:paraId="5EA08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59E0E98A">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w:t>
            </w:r>
          </w:p>
        </w:tc>
        <w:tc>
          <w:tcPr>
            <w:tcW w:w="1200" w:type="dxa"/>
            <w:noWrap w:val="0"/>
            <w:tcMar>
              <w:top w:w="0" w:type="dxa"/>
              <w:left w:w="108" w:type="dxa"/>
              <w:bottom w:w="0" w:type="dxa"/>
              <w:right w:w="108" w:type="dxa"/>
            </w:tcMar>
            <w:vAlign w:val="center"/>
          </w:tcPr>
          <w:p w14:paraId="09098B15">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拟投入本项目人员</w:t>
            </w:r>
          </w:p>
        </w:tc>
        <w:tc>
          <w:tcPr>
            <w:tcW w:w="5820" w:type="dxa"/>
            <w:noWrap w:val="0"/>
            <w:tcMar>
              <w:top w:w="0" w:type="dxa"/>
              <w:left w:w="108" w:type="dxa"/>
              <w:bottom w:w="0" w:type="dxa"/>
              <w:right w:w="108" w:type="dxa"/>
            </w:tcMar>
            <w:vAlign w:val="center"/>
          </w:tcPr>
          <w:p w14:paraId="49A9EFA8">
            <w:pPr>
              <w:keepNext w:val="0"/>
              <w:keepLines w:val="0"/>
              <w:pageBreakBefore w:val="0"/>
              <w:tabs>
                <w:tab w:val="left" w:pos="426"/>
              </w:tabs>
              <w:kinsoku/>
              <w:wordWrap/>
              <w:overflowPunct/>
              <w:topLinePunct w:val="0"/>
              <w:autoSpaceDE w:val="0"/>
              <w:autoSpaceDN w:val="0"/>
              <w:bidi w:val="0"/>
              <w:adjustRightInd w:val="0"/>
              <w:spacing w:line="360" w:lineRule="auto"/>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具有中级工程师及以上职称的，得2分；</w:t>
            </w:r>
          </w:p>
          <w:p w14:paraId="142887E9">
            <w:pPr>
              <w:keepNext w:val="0"/>
              <w:keepLines w:val="0"/>
              <w:pageBreakBefore w:val="0"/>
              <w:tabs>
                <w:tab w:val="left" w:pos="426"/>
              </w:tabs>
              <w:kinsoku/>
              <w:wordWrap/>
              <w:overflowPunct/>
              <w:topLinePunct w:val="0"/>
              <w:autoSpaceDE w:val="0"/>
              <w:autoSpaceDN w:val="0"/>
              <w:bidi w:val="0"/>
              <w:adjustRightInd w:val="0"/>
              <w:spacing w:line="360" w:lineRule="auto"/>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具有安全员证书的，得2分；</w:t>
            </w:r>
          </w:p>
          <w:p w14:paraId="1C9FC70C">
            <w:pPr>
              <w:keepNext w:val="0"/>
              <w:keepLines w:val="0"/>
              <w:pageBreakBefore w:val="0"/>
              <w:tabs>
                <w:tab w:val="left" w:pos="426"/>
              </w:tabs>
              <w:kinsoku/>
              <w:wordWrap/>
              <w:overflowPunct/>
              <w:topLinePunct w:val="0"/>
              <w:autoSpaceDE w:val="0"/>
              <w:autoSpaceDN w:val="0"/>
              <w:bidi w:val="0"/>
              <w:adjustRightInd w:val="0"/>
              <w:spacing w:line="360" w:lineRule="auto"/>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具有施工员证书的，得2分；</w:t>
            </w:r>
          </w:p>
          <w:p w14:paraId="43D7F781">
            <w:pPr>
              <w:keepNext w:val="0"/>
              <w:keepLines w:val="0"/>
              <w:pageBreakBefore w:val="0"/>
              <w:tabs>
                <w:tab w:val="left" w:pos="426"/>
              </w:tabs>
              <w:kinsoku/>
              <w:wordWrap/>
              <w:overflowPunct/>
              <w:topLinePunct w:val="0"/>
              <w:autoSpaceDE w:val="0"/>
              <w:autoSpaceDN w:val="0"/>
              <w:bidi w:val="0"/>
              <w:adjustRightInd w:val="0"/>
              <w:spacing w:line="360" w:lineRule="auto"/>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具有材料员证书的，得2分；</w:t>
            </w:r>
          </w:p>
          <w:p w14:paraId="7B326822">
            <w:pPr>
              <w:keepNext w:val="0"/>
              <w:keepLines w:val="0"/>
              <w:pageBreakBefore w:val="0"/>
              <w:tabs>
                <w:tab w:val="left" w:pos="426"/>
              </w:tabs>
              <w:kinsoku/>
              <w:wordWrap/>
              <w:overflowPunct/>
              <w:topLinePunct w:val="0"/>
              <w:autoSpaceDE w:val="0"/>
              <w:autoSpaceDN w:val="0"/>
              <w:bidi w:val="0"/>
              <w:adjustRightInd w:val="0"/>
              <w:spacing w:line="360" w:lineRule="auto"/>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具有质量员证书的，得2分；</w:t>
            </w:r>
          </w:p>
          <w:p w14:paraId="5A99F9FA">
            <w:pPr>
              <w:keepNext w:val="0"/>
              <w:keepLines w:val="0"/>
              <w:pageBreakBefore w:val="0"/>
              <w:tabs>
                <w:tab w:val="left" w:pos="426"/>
              </w:tabs>
              <w:kinsoku/>
              <w:wordWrap/>
              <w:overflowPunct/>
              <w:topLinePunct w:val="0"/>
              <w:autoSpaceDE w:val="0"/>
              <w:autoSpaceDN w:val="0"/>
              <w:bidi w:val="0"/>
              <w:adjustRightInd w:val="0"/>
              <w:spacing w:line="360" w:lineRule="auto"/>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具有资料员证书的，得2分。</w:t>
            </w:r>
          </w:p>
          <w:p w14:paraId="30B9349B">
            <w:pPr>
              <w:keepNext w:val="0"/>
              <w:keepLines w:val="0"/>
              <w:pageBreakBefore w:val="0"/>
              <w:widowControl/>
              <w:kinsoku/>
              <w:wordWrap/>
              <w:overflowPunct/>
              <w:topLinePunct w:val="0"/>
              <w:bidi w:val="0"/>
              <w:spacing w:line="360" w:lineRule="auto"/>
              <w:jc w:val="distribute"/>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注：按单人单证计算得分，单人多证最多得2分。</w:t>
            </w:r>
          </w:p>
          <w:p w14:paraId="734D0913">
            <w:pPr>
              <w:keepNext w:val="0"/>
              <w:keepLines w:val="0"/>
              <w:pageBreakBefore w:val="0"/>
              <w:widowControl/>
              <w:kinsoku/>
              <w:wordWrap/>
              <w:overflowPunct/>
              <w:topLinePunct w:val="0"/>
              <w:bidi w:val="0"/>
              <w:spacing w:line="360" w:lineRule="auto"/>
              <w:jc w:val="distribute"/>
              <w:textAlignment w:val="auto"/>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sz w:val="24"/>
                <w:szCs w:val="24"/>
                <w:highlight w:val="none"/>
                <w:lang w:val="en-US" w:eastAsia="zh-CN" w:bidi="ar-SA"/>
              </w:rPr>
              <w:t>投标文件中提供相关人员的证书复印件及投标人为其缴纳的近三个月内（2025年12月-2026年2月）任意一个月的社保证明材料</w:t>
            </w:r>
            <w:r>
              <w:rPr>
                <w:rFonts w:hint="default" w:ascii="宋体" w:hAnsi="宋体" w:eastAsia="宋体" w:cs="宋体"/>
                <w:b/>
                <w:bCs/>
                <w:color w:val="auto"/>
                <w:sz w:val="24"/>
                <w:szCs w:val="24"/>
                <w:highlight w:val="none"/>
                <w:lang w:val="en-US" w:eastAsia="zh-CN" w:bidi="ar-SA"/>
              </w:rPr>
              <w:t>并加盖公章</w:t>
            </w:r>
            <w:r>
              <w:rPr>
                <w:rFonts w:hint="eastAsia" w:ascii="宋体" w:hAnsi="宋体" w:eastAsia="宋体" w:cs="宋体"/>
                <w:b/>
                <w:bCs/>
                <w:color w:val="auto"/>
                <w:sz w:val="24"/>
                <w:szCs w:val="24"/>
                <w:highlight w:val="none"/>
                <w:lang w:val="en-US" w:eastAsia="zh-CN" w:bidi="ar-SA"/>
              </w:rPr>
              <w:t>，未提供不得分。提供材料不全的，按材料齐全的人员数量计分。</w:t>
            </w:r>
          </w:p>
        </w:tc>
        <w:tc>
          <w:tcPr>
            <w:tcW w:w="725" w:type="dxa"/>
            <w:noWrap w:val="0"/>
            <w:tcMar>
              <w:top w:w="0" w:type="dxa"/>
              <w:left w:w="108" w:type="dxa"/>
              <w:bottom w:w="0" w:type="dxa"/>
              <w:right w:w="108" w:type="dxa"/>
            </w:tcMar>
            <w:vAlign w:val="center"/>
          </w:tcPr>
          <w:p w14:paraId="2312D992">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12</w:t>
            </w:r>
          </w:p>
        </w:tc>
      </w:tr>
      <w:tr w14:paraId="1629C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777" w:type="dxa"/>
            <w:noWrap w:val="0"/>
            <w:tcMar>
              <w:top w:w="0" w:type="dxa"/>
              <w:left w:w="108" w:type="dxa"/>
              <w:bottom w:w="0" w:type="dxa"/>
              <w:right w:w="108" w:type="dxa"/>
            </w:tcMar>
            <w:vAlign w:val="center"/>
          </w:tcPr>
          <w:p w14:paraId="4A8FB38A">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3.3</w:t>
            </w:r>
          </w:p>
        </w:tc>
        <w:tc>
          <w:tcPr>
            <w:tcW w:w="1200" w:type="dxa"/>
            <w:noWrap w:val="0"/>
            <w:tcMar>
              <w:top w:w="0" w:type="dxa"/>
              <w:left w:w="108" w:type="dxa"/>
              <w:bottom w:w="0" w:type="dxa"/>
              <w:right w:w="108" w:type="dxa"/>
            </w:tcMar>
            <w:vAlign w:val="center"/>
          </w:tcPr>
          <w:p w14:paraId="4EA3FAF0">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val="en-US" w:eastAsia="zh-CN"/>
              </w:rPr>
              <w:t>企业实力</w:t>
            </w:r>
          </w:p>
        </w:tc>
        <w:tc>
          <w:tcPr>
            <w:tcW w:w="5820" w:type="dxa"/>
            <w:noWrap w:val="0"/>
            <w:tcMar>
              <w:top w:w="0" w:type="dxa"/>
              <w:left w:w="108" w:type="dxa"/>
              <w:bottom w:w="0" w:type="dxa"/>
              <w:right w:w="108" w:type="dxa"/>
            </w:tcMar>
            <w:vAlign w:val="center"/>
          </w:tcPr>
          <w:p w14:paraId="0A99782C">
            <w:pPr>
              <w:keepNext w:val="0"/>
              <w:keepLines w:val="0"/>
              <w:pageBreakBefore w:val="0"/>
              <w:tabs>
                <w:tab w:val="left" w:pos="426"/>
              </w:tabs>
              <w:kinsoku/>
              <w:wordWrap/>
              <w:overflowPunct/>
              <w:topLinePunct w:val="0"/>
              <w:autoSpaceDE w:val="0"/>
              <w:autoSpaceDN w:val="0"/>
              <w:bidi w:val="0"/>
              <w:adjustRightInd w:val="0"/>
              <w:spacing w:line="360" w:lineRule="auto"/>
              <w:jc w:val="left"/>
              <w:textAlignment w:val="auto"/>
              <w:outlineLvl w:val="9"/>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具有有效的质量管理体系认证、环境管理体系认证、职业健康安全管理体系认证证书的，每有一个得</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分，最高得</w:t>
            </w:r>
            <w:r>
              <w:rPr>
                <w:rFonts w:hint="eastAsia" w:ascii="宋体" w:hAnsi="宋体" w:eastAsia="宋体" w:cs="宋体"/>
                <w:color w:val="auto"/>
                <w:sz w:val="24"/>
                <w:szCs w:val="24"/>
                <w:highlight w:val="none"/>
                <w:lang w:val="en-US" w:eastAsia="zh-CN"/>
              </w:rPr>
              <w:t>9</w:t>
            </w:r>
            <w:r>
              <w:rPr>
                <w:rFonts w:hint="default" w:ascii="宋体" w:hAnsi="宋体" w:eastAsia="宋体" w:cs="宋体"/>
                <w:color w:val="auto"/>
                <w:sz w:val="24"/>
                <w:szCs w:val="24"/>
                <w:highlight w:val="none"/>
                <w:lang w:val="en-US" w:eastAsia="zh-CN"/>
              </w:rPr>
              <w:t>分。</w:t>
            </w:r>
          </w:p>
          <w:p w14:paraId="4AF14844">
            <w:pPr>
              <w:keepNext w:val="0"/>
              <w:keepLines w:val="0"/>
              <w:pageBreakBefore w:val="0"/>
              <w:widowControl/>
              <w:kinsoku/>
              <w:wordWrap/>
              <w:overflowPunct/>
              <w:topLinePunct w:val="0"/>
              <w:bidi w:val="0"/>
              <w:spacing w:line="360" w:lineRule="auto"/>
              <w:jc w:val="distribute"/>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注：投标文件中同时提供证书及对应证书在国家认证认可监督管理委员会网站（http://www.cnca.gov.cn/）查询为“有效”状态截图或</w:t>
            </w:r>
            <w:r>
              <w:rPr>
                <w:rFonts w:hint="default" w:ascii="宋体" w:hAnsi="宋体" w:eastAsia="宋体" w:cs="宋体"/>
                <w:b/>
                <w:bCs/>
                <w:color w:val="auto"/>
                <w:sz w:val="24"/>
                <w:szCs w:val="24"/>
                <w:highlight w:val="none"/>
                <w:lang w:val="en-US" w:eastAsia="zh-CN" w:bidi="ar-SA"/>
              </w:rPr>
              <w:t>扫描件并加盖公章</w:t>
            </w:r>
            <w:r>
              <w:rPr>
                <w:rFonts w:hint="eastAsia" w:ascii="宋体" w:hAnsi="宋体" w:eastAsia="宋体" w:cs="宋体"/>
                <w:b/>
                <w:bCs/>
                <w:color w:val="auto"/>
                <w:sz w:val="24"/>
                <w:szCs w:val="24"/>
                <w:highlight w:val="none"/>
                <w:lang w:val="en-US" w:eastAsia="zh-CN" w:bidi="ar-SA"/>
              </w:rPr>
              <w:t>。未提供的或无效的不得分。</w:t>
            </w:r>
          </w:p>
        </w:tc>
        <w:tc>
          <w:tcPr>
            <w:tcW w:w="725" w:type="dxa"/>
            <w:noWrap w:val="0"/>
            <w:tcMar>
              <w:top w:w="0" w:type="dxa"/>
              <w:left w:w="108" w:type="dxa"/>
              <w:bottom w:w="0" w:type="dxa"/>
              <w:right w:w="108" w:type="dxa"/>
            </w:tcMar>
            <w:vAlign w:val="center"/>
          </w:tcPr>
          <w:p w14:paraId="4B481E13">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9</w:t>
            </w:r>
          </w:p>
        </w:tc>
      </w:tr>
    </w:tbl>
    <w:p w14:paraId="6CAE62A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52DD5DA1">
      <w:pPr>
        <w:spacing w:line="360" w:lineRule="auto"/>
        <w:ind w:firstLine="480" w:firstLineChars="200"/>
        <w:contextualSpacing/>
        <w:rPr>
          <w:color w:val="auto"/>
          <w:highlight w:val="none"/>
        </w:rPr>
      </w:pPr>
      <w:r>
        <w:rPr>
          <w:rFonts w:hint="eastAsia" w:ascii="宋体" w:hAnsi="宋体" w:cs="宋体"/>
          <w:bCs/>
          <w:color w:val="auto"/>
          <w:sz w:val="24"/>
          <w:highlight w:val="none"/>
        </w:rPr>
        <w:t>2.评审时，未能按以上要求提供相应证明的，不作为评审依据，不得分。</w:t>
      </w:r>
    </w:p>
    <w:p w14:paraId="7D3078C3">
      <w:pPr>
        <w:pStyle w:val="45"/>
        <w:ind w:firstLine="480"/>
        <w:rPr>
          <w:color w:val="auto"/>
          <w:highlight w:val="none"/>
        </w:rPr>
        <w:sectPr>
          <w:pgSz w:w="11906" w:h="16838"/>
          <w:pgMar w:top="1440" w:right="1800" w:bottom="1440" w:left="1800" w:header="851" w:footer="992" w:gutter="0"/>
          <w:pgNumType w:fmt="decimal"/>
          <w:cols w:space="720" w:num="1"/>
          <w:docGrid w:type="lines" w:linePitch="312" w:charSpace="0"/>
        </w:sectPr>
      </w:pPr>
    </w:p>
    <w:p w14:paraId="3B3AD81F">
      <w:pPr>
        <w:spacing w:line="360" w:lineRule="auto"/>
        <w:jc w:val="center"/>
        <w:outlineLvl w:val="0"/>
        <w:rPr>
          <w:b/>
          <w:color w:val="auto"/>
          <w:sz w:val="36"/>
          <w:szCs w:val="36"/>
          <w:highlight w:val="none"/>
        </w:rPr>
      </w:pPr>
      <w:bookmarkStart w:id="811" w:name="_Toc99301424"/>
      <w:bookmarkStart w:id="812" w:name="_Toc29962"/>
      <w:r>
        <w:rPr>
          <w:b/>
          <w:color w:val="auto"/>
          <w:sz w:val="36"/>
          <w:szCs w:val="36"/>
          <w:highlight w:val="none"/>
        </w:rPr>
        <w:t>第五章   采购需求</w:t>
      </w:r>
      <w:bookmarkEnd w:id="811"/>
      <w:bookmarkEnd w:id="812"/>
    </w:p>
    <w:p w14:paraId="77F4B07E">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一、采购标的</w:t>
      </w:r>
    </w:p>
    <w:p w14:paraId="337738B3">
      <w:pPr>
        <w:keepNext w:val="0"/>
        <w:keepLines w:val="0"/>
        <w:pageBreakBefore w:val="0"/>
        <w:widowControl w:val="0"/>
        <w:spacing w:line="360" w:lineRule="auto"/>
        <w:ind w:firstLine="488"/>
        <w:outlineLvl w:val="9"/>
        <w:rPr>
          <w:rFonts w:hint="eastAsia" w:ascii="宋体" w:hAnsi="宋体" w:eastAsia="宋体" w:cs="宋体"/>
          <w:color w:val="auto"/>
          <w:sz w:val="24"/>
          <w:szCs w:val="24"/>
          <w:highlight w:val="none"/>
          <w:lang w:eastAsia="zh-CN"/>
        </w:rPr>
      </w:pPr>
      <w:r>
        <w:rPr>
          <w:rFonts w:hint="eastAsia" w:ascii="宋体" w:hAnsi="宋体" w:cs="宋体"/>
          <w:color w:val="auto"/>
          <w:spacing w:val="2"/>
          <w:sz w:val="24"/>
          <w:szCs w:val="24"/>
          <w:highlight w:val="none"/>
          <w:u w:val="none"/>
          <w:lang w:eastAsia="zh-CN"/>
        </w:rPr>
        <w:t>项目内容：</w:t>
      </w:r>
      <w:r>
        <w:rPr>
          <w:rFonts w:hint="default" w:ascii="宋体" w:hAnsi="宋体" w:eastAsia="宋体" w:cs="宋体"/>
          <w:color w:val="auto"/>
          <w:sz w:val="24"/>
          <w:szCs w:val="24"/>
          <w:highlight w:val="none"/>
          <w:lang w:val="en-US" w:eastAsia="zh-CN"/>
        </w:rPr>
        <w:t>本项目为常州市钟楼区五星街道市政道路养护维修作业服务项目，服务范围主要包含街道管辖区域内道路(事权下放)维修、道板砖修复、井盖更换、路面养护等道路养护维修作业服务，具体包括但不限于</w:t>
      </w:r>
      <w:r>
        <w:rPr>
          <w:rFonts w:hint="eastAsia" w:ascii="宋体" w:hAnsi="宋体" w:eastAsia="宋体" w:cs="宋体"/>
          <w:color w:val="auto"/>
          <w:sz w:val="24"/>
          <w:szCs w:val="24"/>
          <w:highlight w:val="none"/>
          <w:lang w:val="en-US" w:eastAsia="zh-CN"/>
        </w:rPr>
        <w:t>招标文件</w:t>
      </w:r>
      <w:r>
        <w:rPr>
          <w:rFonts w:hint="default" w:ascii="宋体" w:hAnsi="宋体" w:eastAsia="宋体" w:cs="宋体"/>
          <w:color w:val="auto"/>
          <w:sz w:val="24"/>
          <w:szCs w:val="24"/>
          <w:highlight w:val="none"/>
          <w:lang w:val="en-US" w:eastAsia="zh-CN"/>
        </w:rPr>
        <w:t>及其基本技术要求范围内相应作业服务开工前的准备(包括现场踏勘、技术核对等)、技术资料、养护维修作业、技术服务、主管单位验收、质保期及维保服务和项目所要求的相关服务等全部内容。</w:t>
      </w:r>
    </w:p>
    <w:p w14:paraId="2C7A883B">
      <w:pPr>
        <w:keepNext w:val="0"/>
        <w:keepLines w:val="0"/>
        <w:pageBreakBefore w:val="0"/>
        <w:widowControl w:val="0"/>
        <w:spacing w:line="360" w:lineRule="auto"/>
        <w:ind w:firstLine="488"/>
        <w:outlineLvl w:val="9"/>
        <w:rPr>
          <w:rFonts w:hint="eastAsia" w:ascii="宋体" w:hAnsi="宋体" w:cs="宋体"/>
          <w:color w:val="auto"/>
          <w:spacing w:val="2"/>
          <w:sz w:val="24"/>
          <w:szCs w:val="24"/>
          <w:highlight w:val="none"/>
          <w:u w:val="none"/>
          <w:lang w:eastAsia="zh-CN"/>
        </w:rPr>
      </w:pPr>
      <w:r>
        <w:rPr>
          <w:rFonts w:hint="eastAsia" w:ascii="宋体" w:hAnsi="宋体" w:cs="宋体"/>
          <w:color w:val="auto"/>
          <w:spacing w:val="2"/>
          <w:sz w:val="24"/>
          <w:szCs w:val="24"/>
          <w:highlight w:val="none"/>
          <w:u w:val="none"/>
          <w:lang w:val="en-US" w:eastAsia="zh-CN"/>
        </w:rPr>
        <w:t>2</w:t>
      </w:r>
      <w:r>
        <w:rPr>
          <w:rFonts w:hint="eastAsia" w:ascii="宋体" w:hAnsi="宋体" w:cs="宋体"/>
          <w:color w:val="auto"/>
          <w:spacing w:val="2"/>
          <w:sz w:val="24"/>
          <w:szCs w:val="24"/>
          <w:highlight w:val="none"/>
          <w:u w:val="none"/>
          <w:lang w:eastAsia="zh-CN"/>
        </w:rPr>
        <w:t>.项目地点</w:t>
      </w:r>
      <w:r>
        <w:rPr>
          <w:rFonts w:hint="eastAsia" w:ascii="宋体" w:hAnsi="宋体" w:eastAsia="宋体" w:cs="宋体"/>
          <w:color w:val="auto"/>
          <w:spacing w:val="2"/>
          <w:sz w:val="24"/>
          <w:szCs w:val="24"/>
          <w:highlight w:val="none"/>
          <w:u w:val="none"/>
          <w:lang w:eastAsia="zh-CN"/>
        </w:rPr>
        <w:t>：</w:t>
      </w:r>
      <w:r>
        <w:rPr>
          <w:rFonts w:hint="default" w:ascii="宋体" w:hAnsi="宋体" w:eastAsia="宋体" w:cs="宋体"/>
          <w:color w:val="auto"/>
          <w:spacing w:val="2"/>
          <w:sz w:val="24"/>
          <w:szCs w:val="24"/>
          <w:highlight w:val="none"/>
          <w:u w:val="none"/>
          <w:lang w:eastAsia="zh-CN"/>
        </w:rPr>
        <w:t>五星街道</w:t>
      </w:r>
    </w:p>
    <w:p w14:paraId="181E8A8C">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二、商务要求</w:t>
      </w:r>
    </w:p>
    <w:p w14:paraId="40F44147">
      <w:pPr>
        <w:keepNext w:val="0"/>
        <w:keepLines w:val="0"/>
        <w:pageBreakBefore w:val="0"/>
        <w:widowControl w:val="0"/>
        <w:spacing w:line="360" w:lineRule="auto"/>
        <w:ind w:firstLine="488"/>
        <w:outlineLvl w:val="9"/>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服务</w:t>
      </w:r>
      <w:r>
        <w:rPr>
          <w:rFonts w:hint="default" w:ascii="宋体" w:hAnsi="宋体" w:eastAsia="宋体" w:cs="宋体"/>
          <w:b/>
          <w:bCs/>
          <w:color w:val="auto"/>
          <w:sz w:val="24"/>
          <w:szCs w:val="24"/>
          <w:highlight w:val="none"/>
          <w:lang w:val="en-US" w:eastAsia="zh-CN"/>
        </w:rPr>
        <w:t>的期限和范围</w:t>
      </w:r>
    </w:p>
    <w:p w14:paraId="245578DD">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1.1</w:t>
      </w:r>
      <w:r>
        <w:rPr>
          <w:rFonts w:hint="eastAsia" w:ascii="宋体" w:hAnsi="宋体" w:cs="宋体"/>
          <w:color w:val="auto"/>
          <w:sz w:val="24"/>
          <w:szCs w:val="24"/>
          <w:highlight w:val="none"/>
          <w:lang w:val="en-US" w:eastAsia="zh-CN"/>
        </w:rPr>
        <w:t>服务</w:t>
      </w:r>
      <w:r>
        <w:rPr>
          <w:rFonts w:hint="default" w:ascii="宋体" w:hAnsi="宋体" w:eastAsia="宋体" w:cs="宋体"/>
          <w:color w:val="auto"/>
          <w:sz w:val="24"/>
          <w:szCs w:val="24"/>
          <w:highlight w:val="none"/>
          <w:lang w:val="en-US" w:eastAsia="zh-CN"/>
        </w:rPr>
        <w:t>的期限：</w:t>
      </w:r>
      <w:r>
        <w:rPr>
          <w:rFonts w:hint="eastAsia" w:ascii="宋体" w:hAnsi="宋体" w:eastAsia="宋体" w:cs="宋体"/>
          <w:color w:val="auto"/>
          <w:sz w:val="24"/>
          <w:szCs w:val="24"/>
          <w:highlight w:val="none"/>
          <w:lang w:val="en-US" w:eastAsia="zh-CN"/>
        </w:rPr>
        <w:t>一</w:t>
      </w:r>
      <w:r>
        <w:rPr>
          <w:rFonts w:hint="default" w:ascii="宋体" w:hAnsi="宋体" w:eastAsia="宋体" w:cs="宋体"/>
          <w:color w:val="auto"/>
          <w:sz w:val="24"/>
          <w:szCs w:val="24"/>
          <w:highlight w:val="none"/>
          <w:lang w:val="en-US" w:eastAsia="zh-CN"/>
        </w:rPr>
        <w:t>年。</w:t>
      </w:r>
    </w:p>
    <w:p w14:paraId="00A91E20">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1.2</w:t>
      </w:r>
      <w:r>
        <w:rPr>
          <w:rFonts w:hint="eastAsia" w:ascii="宋体" w:hAnsi="宋体" w:cs="宋体"/>
          <w:color w:val="auto"/>
          <w:sz w:val="24"/>
          <w:szCs w:val="24"/>
          <w:highlight w:val="none"/>
          <w:lang w:val="en-US" w:eastAsia="zh-CN"/>
        </w:rPr>
        <w:t>服务</w:t>
      </w:r>
      <w:r>
        <w:rPr>
          <w:rFonts w:hint="default" w:ascii="宋体" w:hAnsi="宋体" w:eastAsia="宋体" w:cs="宋体"/>
          <w:color w:val="auto"/>
          <w:sz w:val="24"/>
          <w:szCs w:val="24"/>
          <w:highlight w:val="none"/>
          <w:lang w:val="en-US" w:eastAsia="zh-CN"/>
        </w:rPr>
        <w:t>的范围：包含街道管辖区域内道路(事权下放)维修、道板砖修复、井盖更换、路面养护等道路养护维修作业服务</w:t>
      </w:r>
      <w:r>
        <w:rPr>
          <w:rFonts w:hint="eastAsia" w:ascii="宋体" w:hAnsi="宋体" w:cs="宋体"/>
          <w:color w:val="auto"/>
          <w:sz w:val="24"/>
          <w:szCs w:val="24"/>
          <w:highlight w:val="none"/>
          <w:lang w:val="en-US" w:eastAsia="zh-CN"/>
        </w:rPr>
        <w:t>。</w:t>
      </w:r>
      <w:bookmarkStart w:id="1092" w:name="_GoBack"/>
      <w:bookmarkEnd w:id="1092"/>
    </w:p>
    <w:p w14:paraId="79B83578">
      <w:pPr>
        <w:keepNext w:val="0"/>
        <w:keepLines w:val="0"/>
        <w:pageBreakBefore w:val="0"/>
        <w:widowControl w:val="0"/>
        <w:spacing w:line="360" w:lineRule="auto"/>
        <w:ind w:firstLine="488"/>
        <w:outlineLvl w:val="9"/>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2.付款方式</w:t>
      </w:r>
    </w:p>
    <w:p w14:paraId="410A8CEC">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应于每</w:t>
      </w:r>
      <w:r>
        <w:rPr>
          <w:rFonts w:hint="eastAsia" w:ascii="宋体" w:hAnsi="宋体" w:eastAsia="宋体" w:cs="宋体"/>
          <w:color w:val="auto"/>
          <w:sz w:val="24"/>
          <w:szCs w:val="24"/>
          <w:highlight w:val="none"/>
          <w:lang w:val="en-US" w:eastAsia="zh-CN"/>
        </w:rPr>
        <w:t>季度</w:t>
      </w:r>
      <w:r>
        <w:rPr>
          <w:rFonts w:hint="default" w:ascii="宋体" w:hAnsi="宋体" w:eastAsia="宋体" w:cs="宋体"/>
          <w:color w:val="auto"/>
          <w:sz w:val="24"/>
          <w:szCs w:val="24"/>
          <w:highlight w:val="none"/>
          <w:lang w:val="en-US" w:eastAsia="zh-CN"/>
        </w:rPr>
        <w:t>末向采购人提供本</w:t>
      </w:r>
      <w:r>
        <w:rPr>
          <w:rFonts w:hint="eastAsia" w:ascii="宋体" w:hAnsi="宋体" w:eastAsia="宋体" w:cs="宋体"/>
          <w:color w:val="auto"/>
          <w:sz w:val="24"/>
          <w:szCs w:val="24"/>
          <w:highlight w:val="none"/>
          <w:lang w:val="en-US" w:eastAsia="zh-CN"/>
        </w:rPr>
        <w:t>季</w:t>
      </w:r>
      <w:r>
        <w:rPr>
          <w:rFonts w:hint="default" w:ascii="宋体" w:hAnsi="宋体" w:eastAsia="宋体" w:cs="宋体"/>
          <w:color w:val="auto"/>
          <w:sz w:val="24"/>
          <w:szCs w:val="24"/>
          <w:highlight w:val="none"/>
          <w:lang w:val="en-US" w:eastAsia="zh-CN"/>
        </w:rPr>
        <w:t>度已完成项目清单，在确定</w:t>
      </w:r>
      <w:r>
        <w:rPr>
          <w:rFonts w:hint="eastAsia" w:ascii="宋体" w:hAnsi="宋体" w:eastAsia="宋体" w:cs="宋体"/>
          <w:color w:val="auto"/>
          <w:sz w:val="24"/>
          <w:szCs w:val="24"/>
          <w:highlight w:val="none"/>
          <w:lang w:val="en-US" w:eastAsia="zh-CN"/>
        </w:rPr>
        <w:t>结算</w:t>
      </w:r>
      <w:r>
        <w:rPr>
          <w:rFonts w:hint="default" w:ascii="宋体" w:hAnsi="宋体" w:eastAsia="宋体" w:cs="宋体"/>
          <w:color w:val="auto"/>
          <w:sz w:val="24"/>
          <w:szCs w:val="24"/>
          <w:highlight w:val="none"/>
          <w:lang w:val="en-US" w:eastAsia="zh-CN"/>
        </w:rPr>
        <w:t>金额</w:t>
      </w:r>
      <w:r>
        <w:rPr>
          <w:rFonts w:hint="eastAsia" w:ascii="宋体" w:hAnsi="宋体" w:eastAsia="宋体" w:cs="宋体"/>
          <w:color w:val="auto"/>
          <w:sz w:val="24"/>
          <w:szCs w:val="24"/>
          <w:highlight w:val="none"/>
          <w:lang w:val="en-US" w:eastAsia="zh-CN"/>
        </w:rPr>
        <w:t>（该费用为扣除考核扣款后的金额）</w:t>
      </w:r>
      <w:r>
        <w:rPr>
          <w:rFonts w:hint="default" w:ascii="宋体" w:hAnsi="宋体" w:eastAsia="宋体" w:cs="宋体"/>
          <w:color w:val="auto"/>
          <w:sz w:val="24"/>
          <w:szCs w:val="24"/>
          <w:highlight w:val="none"/>
          <w:lang w:val="en-US" w:eastAsia="zh-CN"/>
        </w:rPr>
        <w:t>后按要求开具发票，凭票及相关付款材料向采购人申请付款，采购人收到发票及相关付款材料齐全后30</w:t>
      </w:r>
      <w:r>
        <w:rPr>
          <w:rFonts w:hint="eastAsia" w:ascii="宋体" w:hAnsi="宋体" w:eastAsia="宋体" w:cs="宋体"/>
          <w:color w:val="auto"/>
          <w:sz w:val="24"/>
          <w:szCs w:val="24"/>
          <w:highlight w:val="none"/>
          <w:lang w:val="en-US" w:eastAsia="zh-CN"/>
        </w:rPr>
        <w:t>日</w:t>
      </w:r>
      <w:r>
        <w:rPr>
          <w:rFonts w:hint="default" w:ascii="宋体" w:hAnsi="宋体" w:eastAsia="宋体" w:cs="宋体"/>
          <w:color w:val="auto"/>
          <w:sz w:val="24"/>
          <w:szCs w:val="24"/>
          <w:highlight w:val="none"/>
          <w:lang w:val="en-US" w:eastAsia="zh-CN"/>
        </w:rPr>
        <w:t>内向</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支付</w:t>
      </w:r>
      <w:r>
        <w:rPr>
          <w:rFonts w:hint="eastAsia" w:ascii="宋体" w:hAnsi="宋体" w:eastAsia="宋体" w:cs="宋体"/>
          <w:color w:val="auto"/>
          <w:sz w:val="24"/>
          <w:szCs w:val="24"/>
          <w:highlight w:val="none"/>
          <w:lang w:val="en-US" w:eastAsia="zh-CN"/>
        </w:rPr>
        <w:t>本季度经审定的全部维修金额</w:t>
      </w:r>
      <w:r>
        <w:rPr>
          <w:rFonts w:hint="default" w:ascii="宋体" w:hAnsi="宋体" w:eastAsia="宋体" w:cs="宋体"/>
          <w:color w:val="auto"/>
          <w:sz w:val="24"/>
          <w:szCs w:val="24"/>
          <w:highlight w:val="none"/>
          <w:lang w:val="en-US" w:eastAsia="zh-CN"/>
        </w:rPr>
        <w:t>。因</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未及时提供发票及相关付款材料或所提供发票金额等信息不正确导致相应后果的，采购人不承担任何责任。</w:t>
      </w:r>
    </w:p>
    <w:p w14:paraId="0808FF3D">
      <w:pPr>
        <w:keepNext w:val="0"/>
        <w:keepLines w:val="0"/>
        <w:pageBreakBefore w:val="0"/>
        <w:widowControl w:val="0"/>
        <w:spacing w:line="360" w:lineRule="auto"/>
        <w:ind w:firstLine="488"/>
        <w:outlineLvl w:val="9"/>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3.承包方式：包工包料。</w:t>
      </w:r>
    </w:p>
    <w:p w14:paraId="452D96C9">
      <w:pPr>
        <w:keepNext w:val="0"/>
        <w:keepLines w:val="0"/>
        <w:pageBreakBefore w:val="0"/>
        <w:widowControl w:val="0"/>
        <w:spacing w:line="360" w:lineRule="auto"/>
        <w:ind w:firstLine="488"/>
        <w:outlineLvl w:val="9"/>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4.质量要求</w:t>
      </w:r>
    </w:p>
    <w:p w14:paraId="625F650C">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4.1工程质量标准：合格。</w:t>
      </w:r>
    </w:p>
    <w:p w14:paraId="3D0E4269">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4.2工程规范以现行的施工项目任务期间国家和行业新颁布施行的规范、规程为准。</w:t>
      </w:r>
    </w:p>
    <w:p w14:paraId="360DFEFA">
      <w:pPr>
        <w:keepNext w:val="0"/>
        <w:keepLines w:val="0"/>
        <w:pageBreakBefore w:val="0"/>
        <w:widowControl w:val="0"/>
        <w:spacing w:line="360" w:lineRule="auto"/>
        <w:ind w:firstLine="488"/>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default" w:ascii="宋体" w:hAnsi="宋体" w:eastAsia="宋体" w:cs="宋体"/>
          <w:b/>
          <w:bCs/>
          <w:color w:val="auto"/>
          <w:sz w:val="24"/>
          <w:szCs w:val="24"/>
          <w:highlight w:val="none"/>
          <w:lang w:val="en-US" w:eastAsia="zh-CN"/>
        </w:rPr>
        <w:t>保修期：保修期不得低于国家相关规定。</w:t>
      </w:r>
    </w:p>
    <w:p w14:paraId="52759718">
      <w:pPr>
        <w:keepNext w:val="0"/>
        <w:keepLines w:val="0"/>
        <w:pageBreakBefore w:val="0"/>
        <w:widowControl w:val="0"/>
        <w:spacing w:line="360" w:lineRule="auto"/>
        <w:ind w:firstLine="488"/>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履约保函</w:t>
      </w:r>
    </w:p>
    <w:p w14:paraId="5182AE1E">
      <w:pPr>
        <w:keepNext w:val="0"/>
        <w:keepLines w:val="0"/>
        <w:pageBreakBefore w:val="0"/>
        <w:widowControl w:val="0"/>
        <w:spacing w:line="360" w:lineRule="auto"/>
        <w:ind w:firstLine="488"/>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6.1中标人应在合同签订之日起5日内，向采购人提交金额为合同暂估总价*10%的履约保函。</w:t>
      </w:r>
    </w:p>
    <w:p w14:paraId="4E645710">
      <w:pPr>
        <w:keepNext w:val="0"/>
        <w:keepLines w:val="0"/>
        <w:pageBreakBefore w:val="0"/>
        <w:widowControl w:val="0"/>
        <w:spacing w:line="360" w:lineRule="auto"/>
        <w:ind w:firstLine="488"/>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如中标人违约、出现被扣罚情况或因过失导致采购人或第三方损失时，采购人可依据保函条款向保函出具机构索赔，也有权随时对履约保函项下权益进行处置。如履约保函担保金额不足以赔偿采购人或第三方损失时，采购人还有权继续对中标人进行追讨。</w:t>
      </w:r>
    </w:p>
    <w:p w14:paraId="78C8C8DC">
      <w:pPr>
        <w:keepNext w:val="0"/>
        <w:keepLines w:val="0"/>
        <w:pageBreakBefore w:val="0"/>
        <w:widowControl w:val="0"/>
        <w:spacing w:line="360" w:lineRule="auto"/>
        <w:ind w:firstLine="488"/>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6.3因处置导致履约保函担保额度未达到本项目要求时，采购人有权要求中标人重新出具或补足保函。中标人须在接到采购人通知之日起的 5 个工作日内完成保函补足。中标人未按时补足的，采购人有权解除合同，并按保函约定主张权利。</w:t>
      </w:r>
    </w:p>
    <w:p w14:paraId="1759D99B">
      <w:pPr>
        <w:keepNext w:val="0"/>
        <w:keepLines w:val="0"/>
        <w:pageBreakBefore w:val="0"/>
        <w:widowControl w:val="0"/>
        <w:spacing w:line="360" w:lineRule="auto"/>
        <w:ind w:firstLine="488"/>
        <w:outlineLvl w:val="9"/>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 合同期满，中标人全部合同义务履行完毕，无违约责任或违约责任已处理完成，采购人在 30 日内办理履约保函的退还 / 解除手续，无息退回。</w:t>
      </w:r>
      <w:r>
        <w:rPr>
          <w:rFonts w:hint="default" w:ascii="宋体" w:hAnsi="宋体" w:eastAsia="宋体" w:cs="宋体"/>
          <w:b/>
          <w:bCs/>
          <w:color w:val="auto"/>
          <w:sz w:val="24"/>
          <w:szCs w:val="24"/>
          <w:highlight w:val="none"/>
          <w:lang w:val="en-US" w:eastAsia="zh-CN"/>
        </w:rPr>
        <w:t xml:space="preserve"> </w:t>
      </w:r>
    </w:p>
    <w:p w14:paraId="14C96365">
      <w:pPr>
        <w:keepNext w:val="0"/>
        <w:keepLines w:val="0"/>
        <w:pageBreakBefore w:val="0"/>
        <w:wordWrap/>
        <w:overflowPunct/>
        <w:topLinePunct w:val="0"/>
        <w:bidi w:val="0"/>
        <w:spacing w:line="360" w:lineRule="auto"/>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服务内容及要求</w:t>
      </w:r>
    </w:p>
    <w:p w14:paraId="763F24FF">
      <w:pPr>
        <w:keepNext w:val="0"/>
        <w:keepLines w:val="0"/>
        <w:pageBreakBefore w:val="0"/>
        <w:widowControl w:val="0"/>
        <w:spacing w:line="360" w:lineRule="auto"/>
        <w:ind w:firstLine="488"/>
        <w:outlineLvl w:val="9"/>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服务</w:t>
      </w:r>
      <w:r>
        <w:rPr>
          <w:rFonts w:hint="default" w:ascii="宋体" w:hAnsi="宋体" w:eastAsia="宋体" w:cs="宋体"/>
          <w:b/>
          <w:bCs/>
          <w:color w:val="auto"/>
          <w:sz w:val="24"/>
          <w:szCs w:val="24"/>
          <w:highlight w:val="none"/>
          <w:lang w:val="en-US" w:eastAsia="zh-CN"/>
        </w:rPr>
        <w:t>内容</w:t>
      </w:r>
    </w:p>
    <w:p w14:paraId="67560913">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本项目须由</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根据采购人需求进行</w:t>
      </w:r>
      <w:r>
        <w:rPr>
          <w:rFonts w:hint="eastAsia" w:ascii="宋体" w:hAnsi="宋体" w:eastAsia="宋体" w:cs="宋体"/>
          <w:color w:val="auto"/>
          <w:sz w:val="24"/>
          <w:szCs w:val="24"/>
          <w:highlight w:val="none"/>
          <w:lang w:val="en-US" w:eastAsia="zh-CN"/>
        </w:rPr>
        <w:t>实施</w:t>
      </w:r>
      <w:r>
        <w:rPr>
          <w:rFonts w:hint="default" w:ascii="宋体" w:hAnsi="宋体" w:eastAsia="宋体" w:cs="宋体"/>
          <w:color w:val="auto"/>
          <w:sz w:val="24"/>
          <w:szCs w:val="24"/>
          <w:highlight w:val="none"/>
          <w:lang w:val="en-US" w:eastAsia="zh-CN"/>
        </w:rPr>
        <w:t>，包括但不限于街道管辖区域内道路(事权下放)</w:t>
      </w:r>
      <w:r>
        <w:rPr>
          <w:rFonts w:hint="eastAsia" w:ascii="宋体" w:hAnsi="宋体" w:eastAsia="宋体" w:cs="宋体"/>
          <w:color w:val="auto"/>
          <w:sz w:val="24"/>
          <w:szCs w:val="24"/>
          <w:highlight w:val="none"/>
          <w:lang w:val="en-US" w:eastAsia="zh-CN"/>
        </w:rPr>
        <w:t>巡视检查、</w:t>
      </w:r>
      <w:r>
        <w:rPr>
          <w:rFonts w:hint="default" w:ascii="宋体" w:hAnsi="宋体" w:eastAsia="宋体" w:cs="宋体"/>
          <w:color w:val="auto"/>
          <w:sz w:val="24"/>
          <w:szCs w:val="24"/>
          <w:highlight w:val="none"/>
          <w:lang w:val="en-US" w:eastAsia="zh-CN"/>
        </w:rPr>
        <w:t>维修、道板砖修复、井盖更换、路面养护等单个道路零星养护维修</w:t>
      </w:r>
      <w:r>
        <w:rPr>
          <w:rFonts w:hint="eastAsia" w:ascii="宋体" w:hAnsi="宋体" w:eastAsia="宋体" w:cs="宋体"/>
          <w:color w:val="auto"/>
          <w:sz w:val="24"/>
          <w:szCs w:val="24"/>
          <w:highlight w:val="none"/>
          <w:lang w:val="en-US" w:eastAsia="zh-CN"/>
        </w:rPr>
        <w:t>作业服务</w:t>
      </w:r>
      <w:r>
        <w:rPr>
          <w:rFonts w:hint="default" w:ascii="宋体" w:hAnsi="宋体" w:eastAsia="宋体" w:cs="宋体"/>
          <w:color w:val="auto"/>
          <w:sz w:val="24"/>
          <w:szCs w:val="24"/>
          <w:highlight w:val="none"/>
          <w:lang w:val="en-US" w:eastAsia="zh-CN"/>
        </w:rPr>
        <w:t>。</w:t>
      </w:r>
    </w:p>
    <w:p w14:paraId="0A73822D">
      <w:pPr>
        <w:keepNext w:val="0"/>
        <w:keepLines w:val="0"/>
        <w:pageBreakBefore w:val="0"/>
        <w:widowControl w:val="0"/>
        <w:numPr>
          <w:ilvl w:val="0"/>
          <w:numId w:val="14"/>
        </w:numPr>
        <w:spacing w:line="360" w:lineRule="auto"/>
        <w:ind w:firstLine="488"/>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巡查要求</w:t>
      </w:r>
    </w:p>
    <w:p w14:paraId="50E0E3E8">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2.1市政道路日常巡查工作，每</w:t>
      </w:r>
      <w:r>
        <w:rPr>
          <w:rFonts w:hint="eastAsia" w:ascii="宋体" w:hAnsi="宋体" w:eastAsia="宋体" w:cs="宋体"/>
          <w:color w:val="auto"/>
          <w:sz w:val="24"/>
          <w:szCs w:val="24"/>
          <w:highlight w:val="none"/>
          <w:lang w:val="en-US" w:eastAsia="zh-CN"/>
        </w:rPr>
        <w:t>月</w:t>
      </w:r>
      <w:r>
        <w:rPr>
          <w:rFonts w:hint="default" w:ascii="宋体" w:hAnsi="宋体" w:eastAsia="宋体" w:cs="宋体"/>
          <w:color w:val="auto"/>
          <w:sz w:val="24"/>
          <w:szCs w:val="24"/>
          <w:highlight w:val="none"/>
          <w:lang w:val="en-US" w:eastAsia="zh-CN"/>
        </w:rPr>
        <w:t>上报巡查记录，发现道路、人行道板损坏及时上报采购人</w:t>
      </w:r>
      <w:r>
        <w:rPr>
          <w:rFonts w:hint="eastAsia" w:ascii="宋体" w:hAnsi="宋体" w:eastAsia="宋体" w:cs="宋体"/>
          <w:color w:val="auto"/>
          <w:sz w:val="24"/>
          <w:szCs w:val="24"/>
          <w:highlight w:val="none"/>
          <w:lang w:val="en-US" w:eastAsia="zh-CN"/>
        </w:rPr>
        <w:t>。</w:t>
      </w:r>
    </w:p>
    <w:p w14:paraId="6B77C2A2">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2.2沥青路面出现泛油、拥包、裂缝、坑槽、坑塘、沉陷、局部网裂、松散、车辙、麻面、啃边要及时上报采购人，经审批后按规范修补，保证路面平整度良好，行车</w:t>
      </w:r>
      <w:r>
        <w:rPr>
          <w:rFonts w:hint="eastAsia" w:ascii="宋体" w:hAnsi="宋体" w:eastAsia="宋体" w:cs="宋体"/>
          <w:color w:val="auto"/>
          <w:sz w:val="24"/>
          <w:szCs w:val="24"/>
          <w:highlight w:val="none"/>
          <w:lang w:val="en-US" w:eastAsia="zh-CN"/>
        </w:rPr>
        <w:t>舒适。</w:t>
      </w:r>
    </w:p>
    <w:p w14:paraId="0B485857">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2.3水泥混凝土路面行车道上无杂物，对路面各种接缝的填料出现缺损或溢出应及时填补或清除，并防止泥土、砂石及其他杂物挤压进入缝内。</w:t>
      </w:r>
    </w:p>
    <w:p w14:paraId="386AEBCE">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r>
        <w:rPr>
          <w:rFonts w:hint="default" w:ascii="宋体" w:hAnsi="宋体" w:eastAsia="宋体" w:cs="宋体"/>
          <w:color w:val="auto"/>
          <w:sz w:val="24"/>
          <w:szCs w:val="24"/>
          <w:highlight w:val="none"/>
          <w:lang w:val="en-US" w:eastAsia="zh-CN"/>
        </w:rPr>
        <w:t>水泥混凝土路面行车道上无杂物，对路面各种接缝的填料出现缺损或溢出应及时填补或清除，并防止泥土、砂石及其他杂物挤压进入缝内。</w:t>
      </w:r>
    </w:p>
    <w:p w14:paraId="1B0F5A91">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r>
        <w:rPr>
          <w:rFonts w:hint="default" w:ascii="宋体" w:hAnsi="宋体" w:eastAsia="宋体" w:cs="宋体"/>
          <w:color w:val="auto"/>
          <w:sz w:val="24"/>
          <w:szCs w:val="24"/>
          <w:highlight w:val="none"/>
          <w:lang w:val="en-US" w:eastAsia="zh-CN"/>
        </w:rPr>
        <w:t>水泥混凝土路面出现的裂缝、板角断裂、边角剥落、错台、唧泥、拱起、表面裂纹与层状剥落、坑洞等病害要及时上报采购人，经审批后按规范修补。</w:t>
      </w:r>
    </w:p>
    <w:p w14:paraId="750AF550">
      <w:pPr>
        <w:keepNext w:val="0"/>
        <w:keepLines w:val="0"/>
        <w:pageBreakBefore w:val="0"/>
        <w:widowControl w:val="0"/>
        <w:spacing w:line="360" w:lineRule="auto"/>
        <w:ind w:firstLine="488"/>
        <w:outlineLvl w:val="9"/>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r>
        <w:rPr>
          <w:rFonts w:hint="default" w:ascii="宋体" w:hAnsi="宋体" w:eastAsia="宋体" w:cs="宋体"/>
          <w:color w:val="auto"/>
          <w:sz w:val="24"/>
          <w:szCs w:val="24"/>
          <w:highlight w:val="none"/>
          <w:lang w:val="en-US" w:eastAsia="zh-CN"/>
        </w:rPr>
        <w:t>对损坏的人行道板、侧石要及时更换或修复，修复前要采取安全防范措施。</w:t>
      </w:r>
    </w:p>
    <w:p w14:paraId="6DF97F7A">
      <w:pPr>
        <w:keepNext w:val="0"/>
        <w:keepLines w:val="0"/>
        <w:pageBreakBefore w:val="0"/>
        <w:widowControl w:val="0"/>
        <w:spacing w:line="360" w:lineRule="auto"/>
        <w:ind w:firstLine="488"/>
        <w:outlineLvl w:val="9"/>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w:t>
      </w:r>
      <w:r>
        <w:rPr>
          <w:rFonts w:hint="default" w:ascii="宋体" w:hAnsi="宋体" w:eastAsia="宋体" w:cs="宋体"/>
          <w:b/>
          <w:bCs/>
          <w:color w:val="auto"/>
          <w:sz w:val="24"/>
          <w:szCs w:val="24"/>
          <w:highlight w:val="none"/>
          <w:lang w:val="en-US" w:eastAsia="zh-CN"/>
        </w:rPr>
        <w:t>.施工要求</w:t>
      </w:r>
    </w:p>
    <w:p w14:paraId="59F618DE">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rPr>
        <w:t>严格执行施工规范、安全操作规程、防火安全规定。严格按照图纸或作法说明进行施工，做好各项质量检查记录。</w:t>
      </w:r>
    </w:p>
    <w:p w14:paraId="379BB58F">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p>
    <w:p w14:paraId="0C272CE1">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r>
        <w:rPr>
          <w:rFonts w:hint="default" w:ascii="宋体" w:hAnsi="宋体" w:eastAsia="宋体" w:cs="宋体"/>
          <w:color w:val="auto"/>
          <w:sz w:val="24"/>
          <w:szCs w:val="24"/>
          <w:highlight w:val="none"/>
          <w:lang w:val="en-US" w:eastAsia="zh-CN"/>
        </w:rPr>
        <w:t>施工过程中引起的绿化损失应及时修复并承担其费用，费用需含在报价中。</w:t>
      </w:r>
    </w:p>
    <w:p w14:paraId="347DB9B9">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w:t>
      </w:r>
      <w:r>
        <w:rPr>
          <w:rFonts w:hint="default" w:ascii="宋体" w:hAnsi="宋体" w:eastAsia="宋体" w:cs="宋体"/>
          <w:color w:val="auto"/>
          <w:sz w:val="24"/>
          <w:szCs w:val="24"/>
          <w:highlight w:val="none"/>
          <w:lang w:val="en-US" w:eastAsia="zh-CN"/>
        </w:rPr>
        <w:t>负责做好现场保卫、消防、垃圾处理等工作，并承担相应费用，费用需含在报价中。</w:t>
      </w:r>
    </w:p>
    <w:p w14:paraId="09EF8DC7">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w:t>
      </w:r>
      <w:r>
        <w:rPr>
          <w:rFonts w:hint="default" w:ascii="宋体" w:hAnsi="宋体" w:eastAsia="宋体" w:cs="宋体"/>
          <w:color w:val="auto"/>
          <w:sz w:val="24"/>
          <w:szCs w:val="24"/>
          <w:highlight w:val="none"/>
          <w:lang w:val="en-US" w:eastAsia="zh-CN"/>
        </w:rPr>
        <w:t>施工中未经采购人同意或有关部门批准，不得随便拆改原建筑物结构及各种设备管线。</w:t>
      </w:r>
    </w:p>
    <w:p w14:paraId="2BDA22AA">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w:t>
      </w:r>
      <w:r>
        <w:rPr>
          <w:rFonts w:hint="default"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lang w:val="en-US" w:eastAsia="zh-CN"/>
        </w:rPr>
        <w:t>完工</w:t>
      </w:r>
      <w:r>
        <w:rPr>
          <w:rFonts w:hint="default" w:ascii="宋体" w:hAnsi="宋体" w:eastAsia="宋体" w:cs="宋体"/>
          <w:color w:val="auto"/>
          <w:sz w:val="24"/>
          <w:szCs w:val="24"/>
          <w:highlight w:val="none"/>
          <w:lang w:val="en-US" w:eastAsia="zh-CN"/>
        </w:rPr>
        <w:t>未移交采购人之前，负责对现场的一切设施和工程成品进行保护。</w:t>
      </w:r>
    </w:p>
    <w:p w14:paraId="0B42F1B0">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w:t>
      </w:r>
      <w:r>
        <w:rPr>
          <w:rFonts w:hint="default" w:ascii="宋体" w:hAnsi="宋体" w:eastAsia="宋体" w:cs="宋体"/>
          <w:color w:val="auto"/>
          <w:sz w:val="24"/>
          <w:szCs w:val="24"/>
          <w:highlight w:val="none"/>
          <w:lang w:val="en-US" w:eastAsia="zh-CN"/>
        </w:rPr>
        <w:t>采购人有权对现场不称职或不合格的技术负责人、其他人员提出更换，</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应无条件接受。</w:t>
      </w:r>
    </w:p>
    <w:p w14:paraId="5984D733">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w:t>
      </w:r>
      <w:r>
        <w:rPr>
          <w:rFonts w:hint="default" w:ascii="宋体" w:hAnsi="宋体" w:eastAsia="宋体" w:cs="宋体"/>
          <w:color w:val="auto"/>
          <w:sz w:val="24"/>
          <w:szCs w:val="24"/>
          <w:highlight w:val="none"/>
          <w:lang w:val="en-US" w:eastAsia="zh-CN"/>
        </w:rPr>
        <w:t>工地内不安排民工宿舍及办公室。异地搭设临建需租地，其租地费用、交通费用等一切费用及所需承担的责任由</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负责。现场的材料及设备、工具由</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自行保管。</w:t>
      </w:r>
    </w:p>
    <w:p w14:paraId="4A3AAC19">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3.9中标人</w:t>
      </w:r>
      <w:r>
        <w:rPr>
          <w:rFonts w:hint="default" w:ascii="宋体" w:hAnsi="宋体" w:eastAsia="宋体" w:cs="宋体"/>
          <w:color w:val="auto"/>
          <w:sz w:val="24"/>
          <w:szCs w:val="24"/>
          <w:highlight w:val="none"/>
          <w:lang w:val="en-US" w:eastAsia="zh-CN"/>
        </w:rPr>
        <w:t>应及时办理隐蔽工程和中间工程的检查与验收手续。任一项隐蔽工程的验收未通过采购人的验收，采购人可对</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处以1000元/次的罚款；</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修复直至通过验收，罚款不返还。若</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拒缴罚款，采购人有权不支付工程款并要求</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暂停下步节点的施工。</w:t>
      </w:r>
    </w:p>
    <w:p w14:paraId="75C19F3A">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3.10中标人</w:t>
      </w:r>
      <w:r>
        <w:rPr>
          <w:rFonts w:hint="default" w:ascii="宋体" w:hAnsi="宋体" w:eastAsia="宋体" w:cs="宋体"/>
          <w:color w:val="auto"/>
          <w:sz w:val="24"/>
          <w:szCs w:val="24"/>
          <w:highlight w:val="none"/>
          <w:lang w:val="en-US" w:eastAsia="zh-CN"/>
        </w:rPr>
        <w:t>在施工过程中，采购人有权要求对</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的施工进行适当调整安排，对采购人提出的安排，</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应积极服从。如</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拒服从采购人的调整安排，采购人有权对</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进行相应的经济处罚。</w:t>
      </w:r>
    </w:p>
    <w:p w14:paraId="10A66C6D">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3.11项目维修完成</w:t>
      </w:r>
      <w:r>
        <w:rPr>
          <w:rFonts w:hint="default" w:ascii="宋体" w:hAnsi="宋体" w:eastAsia="宋体" w:cs="宋体"/>
          <w:color w:val="auto"/>
          <w:sz w:val="24"/>
          <w:szCs w:val="24"/>
          <w:highlight w:val="none"/>
          <w:lang w:val="en-US" w:eastAsia="zh-CN"/>
        </w:rPr>
        <w:t>后，</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应通知采购人验收，采购人自接到验收通知10日内组织验收，并办理</w:t>
      </w:r>
      <w:r>
        <w:rPr>
          <w:rFonts w:hint="eastAsia" w:ascii="宋体" w:hAnsi="宋体" w:eastAsia="宋体" w:cs="宋体"/>
          <w:color w:val="auto"/>
          <w:sz w:val="24"/>
          <w:szCs w:val="24"/>
          <w:highlight w:val="none"/>
          <w:lang w:val="en-US" w:eastAsia="zh-CN"/>
        </w:rPr>
        <w:t>完工</w:t>
      </w:r>
      <w:r>
        <w:rPr>
          <w:rFonts w:hint="default" w:ascii="宋体" w:hAnsi="宋体" w:eastAsia="宋体" w:cs="宋体"/>
          <w:color w:val="auto"/>
          <w:sz w:val="24"/>
          <w:szCs w:val="24"/>
          <w:highlight w:val="none"/>
          <w:lang w:val="en-US" w:eastAsia="zh-CN"/>
        </w:rPr>
        <w:t>手续。</w:t>
      </w:r>
    </w:p>
    <w:p w14:paraId="3F6F1453">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3.12中标人</w:t>
      </w:r>
      <w:r>
        <w:rPr>
          <w:rFonts w:hint="default" w:ascii="宋体" w:hAnsi="宋体" w:eastAsia="宋体" w:cs="宋体"/>
          <w:color w:val="auto"/>
          <w:sz w:val="24"/>
          <w:szCs w:val="24"/>
          <w:highlight w:val="none"/>
          <w:lang w:val="en-US" w:eastAsia="zh-CN"/>
        </w:rPr>
        <w:t>负责完工工程移交采购人之前的维护及保管工作。</w:t>
      </w:r>
    </w:p>
    <w:p w14:paraId="620E2B0D">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w:t>
      </w:r>
      <w:r>
        <w:rPr>
          <w:rFonts w:hint="default" w:ascii="宋体" w:hAnsi="宋体" w:eastAsia="宋体" w:cs="宋体"/>
          <w:color w:val="auto"/>
          <w:sz w:val="24"/>
          <w:szCs w:val="24"/>
          <w:highlight w:val="none"/>
          <w:lang w:val="en-US" w:eastAsia="zh-CN"/>
        </w:rPr>
        <w:t>材料堆放及现场施工应服从采购人管理，做到材料堆放整齐、规范，施工现场保证工完场地清；保持施工现场整洁、通畅。施工现场严禁打架、斗殴，工作前严禁喝酒，一经发现，采购人有权处以500元/次罚款，罚款直接在工程款中扣除。</w:t>
      </w:r>
    </w:p>
    <w:p w14:paraId="0B221E9C">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3.14</w:t>
      </w:r>
      <w:r>
        <w:rPr>
          <w:rFonts w:hint="default" w:ascii="宋体" w:hAnsi="宋体" w:eastAsia="宋体" w:cs="宋体"/>
          <w:color w:val="auto"/>
          <w:sz w:val="24"/>
          <w:szCs w:val="24"/>
          <w:highlight w:val="none"/>
          <w:lang w:val="en-US" w:eastAsia="zh-CN"/>
        </w:rPr>
        <w:t>做好现场垃圾处理与清运等工作，并承担费用。</w:t>
      </w:r>
    </w:p>
    <w:p w14:paraId="7714E0D5">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3.15</w:t>
      </w:r>
      <w:r>
        <w:rPr>
          <w:rFonts w:hint="default" w:ascii="宋体" w:hAnsi="宋体" w:eastAsia="宋体" w:cs="宋体"/>
          <w:color w:val="auto"/>
          <w:sz w:val="24"/>
          <w:szCs w:val="24"/>
          <w:highlight w:val="none"/>
          <w:lang w:val="en-US" w:eastAsia="zh-CN"/>
        </w:rPr>
        <w:t>在施工区域设置必要的危险警示牌、灯等，采取警示措施，避免发生伤亡事故，工程施工期间所发生伤亡等一切事故，均由</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承担，所发生的一切费用均由</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全部支付。</w:t>
      </w:r>
    </w:p>
    <w:p w14:paraId="2611AD89">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3.16</w:t>
      </w:r>
      <w:r>
        <w:rPr>
          <w:rFonts w:hint="default" w:ascii="宋体" w:hAnsi="宋体" w:eastAsia="宋体" w:cs="宋体"/>
          <w:color w:val="auto"/>
          <w:sz w:val="24"/>
          <w:szCs w:val="24"/>
          <w:highlight w:val="none"/>
          <w:lang w:val="en-US" w:eastAsia="zh-CN"/>
        </w:rPr>
        <w:t>在项目施工期间，</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应根据江苏省相关文件规定、现行标准和合同文件关于农民工工伤保险的约定，负责购买农民工工伤保险。如采购人核查后发现其未购买的，则有权终止合同。</w:t>
      </w:r>
    </w:p>
    <w:p w14:paraId="75340735">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3.17中标人</w:t>
      </w:r>
      <w:r>
        <w:rPr>
          <w:rFonts w:hint="default" w:ascii="宋体" w:hAnsi="宋体" w:eastAsia="宋体" w:cs="宋体"/>
          <w:color w:val="auto"/>
          <w:sz w:val="24"/>
          <w:szCs w:val="24"/>
          <w:highlight w:val="none"/>
          <w:lang w:val="en-US" w:eastAsia="zh-CN"/>
        </w:rPr>
        <w:t>应随时接受采购人对工程的监督和检查，对不符合规范的施工项目无条件组织返工或整改，所产生的返工或整改的一切费用（含设备、材料、人工、搬运及保管费等），由</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自行承担。若未按期整改，采购人有权立即解除合同，且一切损失均由</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承担。</w:t>
      </w:r>
    </w:p>
    <w:p w14:paraId="3C9FE26E">
      <w:pPr>
        <w:keepNext w:val="0"/>
        <w:keepLines w:val="0"/>
        <w:pageBreakBefore w:val="0"/>
        <w:widowControl w:val="0"/>
        <w:spacing w:line="360" w:lineRule="auto"/>
        <w:ind w:firstLine="488"/>
        <w:outlineLvl w:val="9"/>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w:t>
      </w:r>
      <w:r>
        <w:rPr>
          <w:rFonts w:hint="default" w:ascii="宋体" w:hAnsi="宋体" w:eastAsia="宋体" w:cs="宋体"/>
          <w:b/>
          <w:bCs/>
          <w:color w:val="auto"/>
          <w:sz w:val="24"/>
          <w:szCs w:val="24"/>
          <w:highlight w:val="none"/>
          <w:lang w:val="en-US" w:eastAsia="zh-CN"/>
        </w:rPr>
        <w:t>.关于材料供应的要求</w:t>
      </w:r>
    </w:p>
    <w:p w14:paraId="4D96E3EE">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val="en-US" w:eastAsia="zh-CN"/>
        </w:rPr>
        <w:t>.1凡由</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采购的材料、设备，如不符合质量要求或规格差异，应禁止使用。若已使用，对工程造成的损失由</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负责。</w:t>
      </w:r>
    </w:p>
    <w:p w14:paraId="77A4D3FB">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val="en-US" w:eastAsia="zh-CN"/>
        </w:rPr>
        <w:t>.2材料、设备进场前应接受采购人组织的验收，不合格材料及与封样不符的材料标识后，三天内运出场外。场内严禁堆放不合格材料和不符材料，过期不处理的不合格材料和不符材料，采购人有权自行处理，由此造成</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异议或损失的，采购人不予赔偿。</w:t>
      </w:r>
    </w:p>
    <w:p w14:paraId="565320C7">
      <w:pPr>
        <w:keepNext w:val="0"/>
        <w:keepLines w:val="0"/>
        <w:pageBreakBefore w:val="0"/>
        <w:widowControl w:val="0"/>
        <w:spacing w:line="360" w:lineRule="auto"/>
        <w:ind w:firstLine="488"/>
        <w:outlineLvl w:val="9"/>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5</w:t>
      </w:r>
      <w:r>
        <w:rPr>
          <w:rFonts w:hint="default" w:ascii="宋体" w:hAnsi="宋体" w:eastAsia="宋体" w:cs="宋体"/>
          <w:b/>
          <w:bCs/>
          <w:color w:val="auto"/>
          <w:sz w:val="24"/>
          <w:szCs w:val="24"/>
          <w:highlight w:val="none"/>
          <w:lang w:val="en-US" w:eastAsia="zh-CN"/>
        </w:rPr>
        <w:t>.有关安全生产和防火的要求</w:t>
      </w:r>
    </w:p>
    <w:p w14:paraId="6B5620FA">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1中标人</w:t>
      </w:r>
      <w:r>
        <w:rPr>
          <w:rFonts w:hint="default" w:ascii="宋体" w:hAnsi="宋体" w:eastAsia="宋体" w:cs="宋体"/>
          <w:color w:val="auto"/>
          <w:sz w:val="24"/>
          <w:szCs w:val="24"/>
          <w:highlight w:val="none"/>
          <w:lang w:val="en-US" w:eastAsia="zh-CN"/>
        </w:rPr>
        <w:t>在施工期间应严格遵守《建设工程安全生产管理条例》、《建筑施工安全检查标准》、《中华人民共和国消防法》和其他相关的法规、规范。</w:t>
      </w:r>
    </w:p>
    <w:p w14:paraId="19DEB660">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由于</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在施工生产过程中发生人员伤亡或安全事故或火灾事故或交通事故，</w:t>
      </w:r>
      <w:r>
        <w:rPr>
          <w:rFonts w:hint="eastAsia" w:ascii="宋体" w:hAnsi="宋体" w:eastAsia="宋体" w:cs="宋体"/>
          <w:color w:val="auto"/>
          <w:sz w:val="24"/>
          <w:szCs w:val="24"/>
          <w:highlight w:val="none"/>
          <w:lang w:val="en-US" w:eastAsia="zh-CN"/>
        </w:rPr>
        <w:t>中标人应</w:t>
      </w:r>
      <w:r>
        <w:rPr>
          <w:rFonts w:hint="default" w:ascii="宋体" w:hAnsi="宋体" w:eastAsia="宋体" w:cs="宋体"/>
          <w:color w:val="auto"/>
          <w:sz w:val="24"/>
          <w:szCs w:val="24"/>
          <w:highlight w:val="none"/>
          <w:lang w:val="en-US" w:eastAsia="zh-CN"/>
        </w:rPr>
        <w:t>承担由此引发的一切经济损失及法律责任。</w:t>
      </w:r>
    </w:p>
    <w:p w14:paraId="2AFE4287">
      <w:pPr>
        <w:keepNext w:val="0"/>
        <w:keepLines w:val="0"/>
        <w:pageBreakBefore w:val="0"/>
        <w:widowControl w:val="0"/>
        <w:spacing w:line="360" w:lineRule="auto"/>
        <w:ind w:firstLine="488"/>
        <w:outlineLvl w:val="9"/>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6</w:t>
      </w:r>
      <w:r>
        <w:rPr>
          <w:rFonts w:hint="default" w:ascii="宋体" w:hAnsi="宋体" w:eastAsia="宋体" w:cs="宋体"/>
          <w:b/>
          <w:bCs/>
          <w:color w:val="auto"/>
          <w:sz w:val="24"/>
          <w:szCs w:val="24"/>
          <w:highlight w:val="none"/>
          <w:lang w:val="en-US" w:eastAsia="zh-CN"/>
        </w:rPr>
        <w:t>.有关维修进度工期的要求</w:t>
      </w:r>
    </w:p>
    <w:p w14:paraId="7BBDF258">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default" w:ascii="宋体" w:hAnsi="宋体" w:eastAsia="宋体" w:cs="宋体"/>
          <w:color w:val="auto"/>
          <w:sz w:val="24"/>
          <w:szCs w:val="24"/>
          <w:highlight w:val="none"/>
          <w:lang w:val="en-US" w:eastAsia="zh-CN"/>
        </w:rPr>
        <w:t>.1井盖破损、缺失，修复时间为4个工作日；</w:t>
      </w:r>
    </w:p>
    <w:p w14:paraId="4317EF05">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default" w:ascii="宋体" w:hAnsi="宋体" w:eastAsia="宋体" w:cs="宋体"/>
          <w:color w:val="auto"/>
          <w:sz w:val="24"/>
          <w:szCs w:val="24"/>
          <w:highlight w:val="none"/>
          <w:lang w:val="en-US" w:eastAsia="zh-CN"/>
        </w:rPr>
        <w:t>.2道路破损、坑洼，修复时间为3个工作日；</w:t>
      </w:r>
    </w:p>
    <w:p w14:paraId="7C844F74">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修复时间按收到采购人维修要求时开始算起。其他维修项目具体时间按采购人要求实施，</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在接到采购人的维修要求时，需在2小时内安排人员到场查看，并及时进行修复工作。</w:t>
      </w:r>
    </w:p>
    <w:p w14:paraId="19C8E7A6">
      <w:pPr>
        <w:keepNext w:val="0"/>
        <w:keepLines w:val="0"/>
        <w:pageBreakBefore w:val="0"/>
        <w:widowControl w:val="0"/>
        <w:spacing w:line="360" w:lineRule="auto"/>
        <w:ind w:firstLine="488"/>
        <w:outlineLvl w:val="9"/>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7</w:t>
      </w:r>
      <w:r>
        <w:rPr>
          <w:rFonts w:hint="default" w:ascii="宋体" w:hAnsi="宋体" w:eastAsia="宋体" w:cs="宋体"/>
          <w:b/>
          <w:bCs/>
          <w:color w:val="auto"/>
          <w:sz w:val="24"/>
          <w:szCs w:val="24"/>
          <w:highlight w:val="none"/>
          <w:lang w:val="en-US" w:eastAsia="zh-CN"/>
        </w:rPr>
        <w:t>.重要说明</w:t>
      </w:r>
    </w:p>
    <w:p w14:paraId="61A46E35">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default" w:ascii="宋体" w:hAnsi="宋体" w:eastAsia="宋体" w:cs="宋体"/>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中标人</w:t>
      </w:r>
      <w:r>
        <w:rPr>
          <w:rFonts w:hint="default" w:ascii="宋体" w:hAnsi="宋体" w:eastAsia="宋体" w:cs="宋体"/>
          <w:b/>
          <w:bCs/>
          <w:color w:val="auto"/>
          <w:sz w:val="24"/>
          <w:szCs w:val="24"/>
          <w:highlight w:val="none"/>
          <w:lang w:val="en-US" w:eastAsia="zh-CN"/>
        </w:rPr>
        <w:t>必须为进场施工人员购买建筑工程团体意外险或针对该项目的个人人身意外伤害保险</w:t>
      </w:r>
      <w:r>
        <w:rPr>
          <w:rFonts w:hint="eastAsia" w:ascii="宋体" w:hAnsi="宋体" w:eastAsia="宋体" w:cs="宋体"/>
          <w:b/>
          <w:bCs/>
          <w:color w:val="auto"/>
          <w:sz w:val="24"/>
          <w:szCs w:val="24"/>
          <w:highlight w:val="none"/>
          <w:lang w:val="en-US" w:eastAsia="zh-CN"/>
        </w:rPr>
        <w:t>以及建筑工程第三者责任险</w:t>
      </w:r>
      <w:r>
        <w:rPr>
          <w:rFonts w:hint="default" w:ascii="宋体" w:hAnsi="宋体" w:eastAsia="宋体" w:cs="宋体"/>
          <w:b/>
          <w:bCs/>
          <w:color w:val="auto"/>
          <w:sz w:val="24"/>
          <w:szCs w:val="24"/>
          <w:highlight w:val="none"/>
          <w:lang w:val="en-US" w:eastAsia="zh-CN"/>
        </w:rPr>
        <w:t>，如采购人核查后发现其未给施工人员购买</w:t>
      </w:r>
      <w:r>
        <w:rPr>
          <w:rFonts w:hint="eastAsia" w:ascii="宋体" w:hAnsi="宋体" w:eastAsia="宋体" w:cs="宋体"/>
          <w:b/>
          <w:bCs/>
          <w:color w:val="auto"/>
          <w:sz w:val="24"/>
          <w:szCs w:val="24"/>
          <w:highlight w:val="none"/>
          <w:lang w:val="en-US" w:eastAsia="zh-CN"/>
        </w:rPr>
        <w:t>意外险及第三者责任险</w:t>
      </w:r>
      <w:r>
        <w:rPr>
          <w:rFonts w:hint="default" w:ascii="宋体" w:hAnsi="宋体" w:eastAsia="宋体" w:cs="宋体"/>
          <w:b/>
          <w:bCs/>
          <w:color w:val="auto"/>
          <w:sz w:val="24"/>
          <w:szCs w:val="24"/>
          <w:highlight w:val="none"/>
          <w:lang w:val="en-US" w:eastAsia="zh-CN"/>
        </w:rPr>
        <w:t>的，则有权</w:t>
      </w:r>
      <w:r>
        <w:rPr>
          <w:rFonts w:hint="eastAsia" w:ascii="宋体" w:hAnsi="宋体" w:eastAsia="宋体" w:cs="宋体"/>
          <w:b/>
          <w:bCs/>
          <w:color w:val="auto"/>
          <w:sz w:val="24"/>
          <w:szCs w:val="24"/>
          <w:highlight w:val="none"/>
          <w:lang w:val="en-US" w:eastAsia="zh-CN"/>
        </w:rPr>
        <w:t>终</w:t>
      </w:r>
      <w:r>
        <w:rPr>
          <w:rFonts w:hint="default" w:ascii="宋体" w:hAnsi="宋体" w:eastAsia="宋体" w:cs="宋体"/>
          <w:b/>
          <w:bCs/>
          <w:color w:val="auto"/>
          <w:sz w:val="24"/>
          <w:szCs w:val="24"/>
          <w:highlight w:val="none"/>
          <w:lang w:val="en-US" w:eastAsia="zh-CN"/>
        </w:rPr>
        <w:t>止合同</w:t>
      </w:r>
      <w:r>
        <w:rPr>
          <w:rFonts w:hint="default" w:ascii="宋体" w:hAnsi="宋体" w:eastAsia="宋体" w:cs="宋体"/>
          <w:color w:val="auto"/>
          <w:sz w:val="24"/>
          <w:szCs w:val="24"/>
          <w:highlight w:val="none"/>
          <w:lang w:val="en-US" w:eastAsia="zh-CN"/>
        </w:rPr>
        <w:t>。</w:t>
      </w:r>
    </w:p>
    <w:p w14:paraId="075DF5BE">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default" w:ascii="宋体" w:hAnsi="宋体" w:eastAsia="宋体" w:cs="宋体"/>
          <w:color w:val="auto"/>
          <w:sz w:val="24"/>
          <w:szCs w:val="24"/>
          <w:highlight w:val="none"/>
          <w:lang w:val="en-US" w:eastAsia="zh-CN"/>
        </w:rPr>
        <w:t>.2如遇市区级相关部门进行大气管控、扬尘管控及裸土需进行绿网覆盖等施工要求，导致停工及增加的绿网覆盖费用均由</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自行承担，采购人不另行增加此类费用。</w:t>
      </w:r>
    </w:p>
    <w:p w14:paraId="5CD92FCB">
      <w:pPr>
        <w:keepNext w:val="0"/>
        <w:keepLines w:val="0"/>
        <w:pageBreakBefore w:val="0"/>
        <w:widowControl w:val="0"/>
        <w:spacing w:line="360" w:lineRule="auto"/>
        <w:ind w:firstLine="488"/>
        <w:outlineLvl w:val="9"/>
        <w:rPr>
          <w:rFonts w:hint="default" w:ascii="Times New Roman" w:hAnsi="Times New Roman" w:eastAsia="方正仿宋_GB2312" w:cs="Times New Roman"/>
          <w:i w:val="0"/>
          <w:iCs/>
          <w:sz w:val="32"/>
          <w:szCs w:val="32"/>
          <w:u w:val="single"/>
        </w:rPr>
      </w:pPr>
      <w:r>
        <w:rPr>
          <w:rFonts w:hint="eastAsia" w:ascii="宋体" w:hAnsi="宋体" w:eastAsia="宋体" w:cs="宋体"/>
          <w:color w:val="auto"/>
          <w:sz w:val="24"/>
          <w:szCs w:val="24"/>
          <w:highlight w:val="none"/>
          <w:lang w:val="en-US" w:eastAsia="zh-CN"/>
        </w:rPr>
        <w:t>7</w:t>
      </w:r>
      <w:r>
        <w:rPr>
          <w:rFonts w:hint="default"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有义务配合采购人做好相关单位的协调工作。</w:t>
      </w:r>
    </w:p>
    <w:p w14:paraId="2DB04C83">
      <w:pPr>
        <w:keepNext w:val="0"/>
        <w:keepLines w:val="0"/>
        <w:pageBreakBefore w:val="0"/>
        <w:widowControl w:val="0"/>
        <w:spacing w:line="360" w:lineRule="auto"/>
        <w:ind w:firstLine="488"/>
        <w:outlineLvl w:val="9"/>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8</w:t>
      </w:r>
      <w:r>
        <w:rPr>
          <w:rFonts w:hint="default"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项目工程价格</w:t>
      </w:r>
    </w:p>
    <w:p w14:paraId="7BCEABDE">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.1计价原则</w:t>
      </w:r>
    </w:p>
    <w:p w14:paraId="58D3B665">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承担的工程项目施工任务，由采购人根据工程性质和特点与</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约定，报价的计价方法按下列规则计算：</w:t>
      </w:r>
    </w:p>
    <w:p w14:paraId="63311F89">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.1.1.1按现行建设工程工程量清单计价规范执行</w:t>
      </w:r>
    </w:p>
    <w:p w14:paraId="56AD2B2B">
      <w:pPr>
        <w:keepNext w:val="0"/>
        <w:keepLines w:val="0"/>
        <w:pageBreakBefore w:val="0"/>
        <w:widowControl w:val="0"/>
        <w:spacing w:line="360" w:lineRule="auto"/>
        <w:ind w:firstLine="488"/>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1.1.2可参考的工程计价表和有关文件按现行计价规范及相关规定执行。《建设工程工程量清单计价规范》（GB50500-2013）、《江苏省建设工程费用定额》2014版、《江苏省建筑与装饰工程计价定额》2014版、《江苏省市政工程计价定额》2014版等相关文件、法律法规及规范要求的工程量清单计价规范执行。</w:t>
      </w:r>
    </w:p>
    <w:p w14:paraId="341772B1">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.1.1.3 材料、设备价格：以常州工程造价信息发布的施工当季度除税平均价为基础；若</w:t>
      </w:r>
      <w:r>
        <w:rPr>
          <w:rFonts w:hint="eastAsia" w:ascii="宋体" w:hAnsi="宋体" w:eastAsia="宋体" w:cs="宋体"/>
          <w:color w:val="auto"/>
          <w:sz w:val="24"/>
          <w:szCs w:val="24"/>
          <w:highlight w:val="none"/>
          <w:lang w:val="en-US" w:eastAsia="zh-CN"/>
        </w:rPr>
        <w:t>当</w:t>
      </w:r>
      <w:r>
        <w:rPr>
          <w:rFonts w:hint="default" w:ascii="宋体" w:hAnsi="宋体" w:eastAsia="宋体" w:cs="宋体"/>
          <w:color w:val="auto"/>
          <w:sz w:val="24"/>
          <w:szCs w:val="24"/>
          <w:highlight w:val="none"/>
          <w:lang w:val="en-US" w:eastAsia="zh-CN"/>
        </w:rPr>
        <w:t>期没有的，</w:t>
      </w:r>
      <w:r>
        <w:rPr>
          <w:rFonts w:hint="eastAsia" w:ascii="宋体" w:hAnsi="宋体" w:eastAsia="宋体" w:cs="宋体"/>
          <w:color w:val="auto"/>
          <w:sz w:val="24"/>
          <w:szCs w:val="24"/>
          <w:highlight w:val="none"/>
          <w:lang w:val="en-US" w:eastAsia="zh-CN"/>
        </w:rPr>
        <w:t>参照上一季度除税平均</w:t>
      </w:r>
      <w:r>
        <w:rPr>
          <w:rFonts w:hint="default" w:ascii="宋体" w:hAnsi="宋体" w:eastAsia="宋体" w:cs="宋体"/>
          <w:color w:val="auto"/>
          <w:sz w:val="24"/>
          <w:szCs w:val="24"/>
          <w:highlight w:val="none"/>
          <w:lang w:val="en-US" w:eastAsia="zh-CN"/>
        </w:rPr>
        <w:t>指导价，以此类推；常州工程造价信息中</w:t>
      </w:r>
      <w:r>
        <w:rPr>
          <w:rFonts w:hint="eastAsia" w:ascii="宋体" w:hAnsi="宋体" w:eastAsia="宋体" w:cs="宋体"/>
          <w:color w:val="auto"/>
          <w:sz w:val="24"/>
          <w:szCs w:val="24"/>
          <w:highlight w:val="none"/>
          <w:lang w:val="en-US" w:eastAsia="zh-CN"/>
        </w:rPr>
        <w:t>未发布</w:t>
      </w:r>
      <w:r>
        <w:rPr>
          <w:rFonts w:hint="default" w:ascii="宋体" w:hAnsi="宋体" w:eastAsia="宋体" w:cs="宋体"/>
          <w:color w:val="auto"/>
          <w:sz w:val="24"/>
          <w:szCs w:val="24"/>
          <w:highlight w:val="none"/>
          <w:lang w:val="en-US" w:eastAsia="zh-CN"/>
        </w:rPr>
        <w:t>的材料、设备</w:t>
      </w:r>
      <w:r>
        <w:rPr>
          <w:rFonts w:hint="eastAsia" w:ascii="宋体" w:hAnsi="宋体" w:eastAsia="宋体" w:cs="宋体"/>
          <w:color w:val="auto"/>
          <w:sz w:val="24"/>
          <w:szCs w:val="24"/>
          <w:highlight w:val="none"/>
          <w:lang w:val="en-US" w:eastAsia="zh-CN"/>
        </w:rPr>
        <w:t>价格</w:t>
      </w:r>
      <w:r>
        <w:rPr>
          <w:rFonts w:hint="default" w:ascii="宋体" w:hAnsi="宋体" w:eastAsia="宋体" w:cs="宋体"/>
          <w:color w:val="auto"/>
          <w:sz w:val="24"/>
          <w:szCs w:val="24"/>
          <w:highlight w:val="none"/>
          <w:lang w:val="en-US" w:eastAsia="zh-CN"/>
        </w:rPr>
        <w:t>以市场价为基础</w:t>
      </w:r>
      <w:r>
        <w:rPr>
          <w:rFonts w:hint="eastAsia" w:ascii="宋体" w:hAnsi="宋体" w:eastAsia="宋体" w:cs="宋体"/>
          <w:color w:val="auto"/>
          <w:sz w:val="24"/>
          <w:szCs w:val="24"/>
          <w:highlight w:val="none"/>
          <w:lang w:val="en-US" w:eastAsia="zh-CN"/>
        </w:rPr>
        <w:t>，办理相关签证手续对价格予以确认</w:t>
      </w:r>
      <w:r>
        <w:rPr>
          <w:rFonts w:hint="default" w:ascii="宋体" w:hAnsi="宋体" w:eastAsia="宋体" w:cs="宋体"/>
          <w:color w:val="auto"/>
          <w:sz w:val="24"/>
          <w:szCs w:val="24"/>
          <w:highlight w:val="none"/>
          <w:lang w:val="en-US" w:eastAsia="zh-CN"/>
        </w:rPr>
        <w:t>；材料消耗量和辅材单价按相关定额计算。</w:t>
      </w:r>
    </w:p>
    <w:p w14:paraId="7DA4B84F">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.1.1.4 人工费单价：以项目实际施工期</w:t>
      </w:r>
      <w:r>
        <w:rPr>
          <w:rFonts w:hint="eastAsia" w:ascii="宋体" w:hAnsi="宋体" w:eastAsia="宋体" w:cs="宋体"/>
          <w:color w:val="auto"/>
          <w:sz w:val="24"/>
          <w:szCs w:val="24"/>
          <w:highlight w:val="none"/>
          <w:lang w:val="en-US" w:eastAsia="zh-CN"/>
        </w:rPr>
        <w:t>中</w:t>
      </w:r>
      <w:r>
        <w:rPr>
          <w:rFonts w:hint="default" w:ascii="宋体" w:hAnsi="宋体" w:eastAsia="宋体" w:cs="宋体"/>
          <w:color w:val="auto"/>
          <w:sz w:val="24"/>
          <w:szCs w:val="24"/>
          <w:highlight w:val="none"/>
          <w:lang w:val="en-US" w:eastAsia="zh-CN"/>
        </w:rPr>
        <w:t>正在实行的江苏省政策性文件确定。</w:t>
      </w:r>
    </w:p>
    <w:p w14:paraId="69F41410">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.1.1.5措施费和不可竞争费用：采购人与</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应根据工程项目情况在签订的合同中加以明确约定。</w:t>
      </w:r>
    </w:p>
    <w:p w14:paraId="59894E34">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.1.2项目实施期内如遇国家、江苏省、常州市政策调整，则双方须按最新政策规定执行。</w:t>
      </w:r>
    </w:p>
    <w:p w14:paraId="56FEF477">
      <w:pPr>
        <w:keepNext w:val="0"/>
        <w:keepLines w:val="0"/>
        <w:pageBreakBefore w:val="0"/>
        <w:widowControl w:val="0"/>
        <w:spacing w:line="360" w:lineRule="auto"/>
        <w:ind w:firstLine="488"/>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.1.3结算价格的确定：</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依照上述要求以及合同中有关价格调整的规定计算工程造价（包括但不限于人工费、材料费、机械费、管理费（含企业和现场管理费）、措施费、规费、保险费用、利润、税金等），并由采购人委托的审计</w:t>
      </w:r>
      <w:r>
        <w:rPr>
          <w:rFonts w:hint="eastAsia" w:ascii="宋体" w:hAnsi="宋体" w:eastAsia="宋体" w:cs="宋体"/>
          <w:color w:val="auto"/>
          <w:sz w:val="24"/>
          <w:szCs w:val="24"/>
          <w:highlight w:val="none"/>
          <w:lang w:val="en-US" w:eastAsia="zh-CN"/>
        </w:rPr>
        <w:t>机构</w:t>
      </w:r>
      <w:r>
        <w:rPr>
          <w:rFonts w:hint="default" w:ascii="宋体" w:hAnsi="宋体" w:eastAsia="宋体" w:cs="宋体"/>
          <w:color w:val="auto"/>
          <w:sz w:val="24"/>
          <w:szCs w:val="24"/>
          <w:highlight w:val="none"/>
          <w:lang w:val="en-US" w:eastAsia="zh-CN"/>
        </w:rPr>
        <w:t>进行结算审计。最终工程结算价格按照经审计后的工程</w:t>
      </w:r>
      <w:r>
        <w:rPr>
          <w:rFonts w:hint="eastAsia" w:ascii="宋体" w:hAnsi="宋体" w:eastAsia="宋体" w:cs="宋体"/>
          <w:color w:val="auto"/>
          <w:sz w:val="24"/>
          <w:szCs w:val="24"/>
          <w:highlight w:val="none"/>
          <w:lang w:val="en-US" w:eastAsia="zh-CN"/>
        </w:rPr>
        <w:t>审定价。（工程结算</w:t>
      </w:r>
      <w:r>
        <w:rPr>
          <w:rFonts w:hint="default" w:ascii="宋体" w:hAnsi="宋体" w:eastAsia="宋体" w:cs="宋体"/>
          <w:color w:val="auto"/>
          <w:sz w:val="24"/>
          <w:szCs w:val="24"/>
          <w:highlight w:val="none"/>
          <w:lang w:val="en-US" w:eastAsia="zh-CN"/>
        </w:rPr>
        <w:t>以采购人与</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签订的合同中确定的优惠率计算，其中：政策明文规定不予优惠的项目（如税金等）不作下浮、无信息指导价而经采购人确认的材料价格不作优惠下浮。其他由</w:t>
      </w:r>
      <w:r>
        <w:rPr>
          <w:rFonts w:hint="eastAsia" w:ascii="宋体" w:hAnsi="宋体" w:eastAsia="宋体" w:cs="宋体"/>
          <w:color w:val="auto"/>
          <w:sz w:val="24"/>
          <w:szCs w:val="24"/>
          <w:highlight w:val="none"/>
          <w:lang w:val="en-US" w:eastAsia="zh-CN"/>
        </w:rPr>
        <w:t>审计机构</w:t>
      </w:r>
      <w:r>
        <w:rPr>
          <w:rFonts w:hint="default" w:ascii="宋体" w:hAnsi="宋体" w:eastAsia="宋体" w:cs="宋体"/>
          <w:color w:val="auto"/>
          <w:sz w:val="24"/>
          <w:szCs w:val="24"/>
          <w:highlight w:val="none"/>
          <w:lang w:val="en-US" w:eastAsia="zh-CN"/>
        </w:rPr>
        <w:t>、编标机构等第三方机构市场询价的价格按本项目合同签订的优惠率计算规则进行计算。最终工程结算价格应扣除考核扣款。）</w:t>
      </w:r>
    </w:p>
    <w:p w14:paraId="7BE7735C">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.2调整工程价格的范围及方法</w:t>
      </w:r>
    </w:p>
    <w:p w14:paraId="576F35C4">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.2.l暂估材料、设备价格按照采购人书面确认的实际价格调整。对于暂估价材料、设备只调整材料、设备价差和计取税金，不计取其它费用。</w:t>
      </w:r>
    </w:p>
    <w:p w14:paraId="38DE46A7">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.2.2 结算说明：工程结算须经采购人委托的审计</w:t>
      </w:r>
      <w:r>
        <w:rPr>
          <w:rFonts w:hint="eastAsia" w:ascii="宋体" w:hAnsi="宋体" w:eastAsia="宋体" w:cs="宋体"/>
          <w:color w:val="auto"/>
          <w:sz w:val="24"/>
          <w:szCs w:val="24"/>
          <w:highlight w:val="none"/>
          <w:lang w:val="en-US" w:eastAsia="zh-CN"/>
        </w:rPr>
        <w:t>机构</w:t>
      </w:r>
      <w:r>
        <w:rPr>
          <w:rFonts w:hint="default" w:ascii="宋体" w:hAnsi="宋体" w:eastAsia="宋体" w:cs="宋体"/>
          <w:color w:val="auto"/>
          <w:sz w:val="24"/>
          <w:szCs w:val="24"/>
          <w:highlight w:val="none"/>
          <w:lang w:val="en-US" w:eastAsia="zh-CN"/>
        </w:rPr>
        <w:t>审计，最终工程结算</w:t>
      </w:r>
      <w:r>
        <w:rPr>
          <w:rFonts w:hint="eastAsia" w:ascii="宋体" w:hAnsi="宋体" w:eastAsia="宋体" w:cs="宋体"/>
          <w:color w:val="auto"/>
          <w:sz w:val="24"/>
          <w:szCs w:val="24"/>
          <w:highlight w:val="none"/>
          <w:lang w:val="en-US" w:eastAsia="zh-CN"/>
        </w:rPr>
        <w:t>以</w:t>
      </w:r>
      <w:r>
        <w:rPr>
          <w:rFonts w:hint="default" w:ascii="宋体" w:hAnsi="宋体" w:eastAsia="宋体" w:cs="宋体"/>
          <w:color w:val="auto"/>
          <w:sz w:val="24"/>
          <w:szCs w:val="24"/>
          <w:highlight w:val="none"/>
          <w:lang w:val="en-US" w:eastAsia="zh-CN"/>
        </w:rPr>
        <w:t>经采购人委托的</w:t>
      </w:r>
      <w:r>
        <w:rPr>
          <w:rFonts w:hint="eastAsia" w:ascii="宋体" w:hAnsi="宋体" w:eastAsia="宋体" w:cs="宋体"/>
          <w:color w:val="auto"/>
          <w:sz w:val="24"/>
          <w:szCs w:val="24"/>
          <w:highlight w:val="none"/>
          <w:lang w:val="en-US" w:eastAsia="zh-CN"/>
        </w:rPr>
        <w:t>审计机构</w:t>
      </w:r>
      <w:r>
        <w:rPr>
          <w:rFonts w:hint="default" w:ascii="宋体" w:hAnsi="宋体" w:eastAsia="宋体" w:cs="宋体"/>
          <w:color w:val="auto"/>
          <w:sz w:val="24"/>
          <w:szCs w:val="24"/>
          <w:highlight w:val="none"/>
          <w:lang w:val="en-US" w:eastAsia="zh-CN"/>
        </w:rPr>
        <w:t>审计后的工程</w:t>
      </w:r>
      <w:r>
        <w:rPr>
          <w:rFonts w:hint="eastAsia" w:ascii="宋体" w:hAnsi="宋体" w:eastAsia="宋体" w:cs="宋体"/>
          <w:color w:val="auto"/>
          <w:sz w:val="24"/>
          <w:szCs w:val="24"/>
          <w:highlight w:val="none"/>
          <w:lang w:val="en-US" w:eastAsia="zh-CN"/>
        </w:rPr>
        <w:t>审定价为准</w:t>
      </w:r>
      <w:r>
        <w:rPr>
          <w:rFonts w:hint="default" w:ascii="宋体" w:hAnsi="宋体" w:eastAsia="宋体" w:cs="宋体"/>
          <w:color w:val="auto"/>
          <w:sz w:val="24"/>
          <w:szCs w:val="24"/>
          <w:highlight w:val="none"/>
          <w:lang w:val="en-US" w:eastAsia="zh-CN"/>
        </w:rPr>
        <w:t>。</w:t>
      </w:r>
    </w:p>
    <w:p w14:paraId="7DEE01F1">
      <w:pPr>
        <w:keepNext w:val="0"/>
        <w:keepLines w:val="0"/>
        <w:pageBreakBefore w:val="0"/>
        <w:widowControl w:val="0"/>
        <w:spacing w:line="360" w:lineRule="auto"/>
        <w:ind w:firstLine="488"/>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9.养护维修的检查考核</w:t>
      </w:r>
    </w:p>
    <w:p w14:paraId="5FF51798">
      <w:pPr>
        <w:keepNext w:val="0"/>
        <w:keepLines w:val="0"/>
        <w:pageBreakBefore w:val="0"/>
        <w:widowControl w:val="0"/>
        <w:spacing w:line="360" w:lineRule="auto"/>
        <w:ind w:firstLine="488"/>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rPr>
        <w:t>考核</w:t>
      </w:r>
      <w:r>
        <w:rPr>
          <w:rFonts w:hint="eastAsia" w:ascii="宋体" w:hAnsi="宋体" w:eastAsia="宋体" w:cs="宋体"/>
          <w:color w:val="auto"/>
          <w:sz w:val="24"/>
          <w:szCs w:val="24"/>
          <w:highlight w:val="none"/>
          <w:lang w:val="en-US" w:eastAsia="zh-CN"/>
        </w:rPr>
        <w:t>办法</w:t>
      </w:r>
    </w:p>
    <w:p w14:paraId="7B7489F8">
      <w:pPr>
        <w:keepNext w:val="0"/>
        <w:keepLines w:val="0"/>
        <w:pageBreakBefore w:val="0"/>
        <w:widowControl w:val="0"/>
        <w:spacing w:line="360" w:lineRule="auto"/>
        <w:ind w:firstLine="488"/>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实行百分制考核（附件：《五星街道道路养护管理考核表》），由采购人相关人员组成考核小组，考评结果与工程结算价格挂钩，相应费用在结算时扣除。</w:t>
      </w:r>
    </w:p>
    <w:p w14:paraId="240C6DD4">
      <w:pPr>
        <w:keepNext w:val="0"/>
        <w:keepLines w:val="0"/>
        <w:pageBreakBefore w:val="0"/>
        <w:widowControl w:val="0"/>
        <w:spacing w:line="360" w:lineRule="auto"/>
        <w:ind w:firstLine="488"/>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default" w:ascii="宋体" w:hAnsi="宋体" w:eastAsia="宋体" w:cs="宋体"/>
          <w:color w:val="auto"/>
          <w:sz w:val="24"/>
          <w:szCs w:val="24"/>
          <w:highlight w:val="none"/>
          <w:lang w:val="en-US" w:eastAsia="zh-CN"/>
        </w:rPr>
        <w:t>2考核运用</w:t>
      </w:r>
    </w:p>
    <w:p w14:paraId="27D8A444">
      <w:pPr>
        <w:keepNext w:val="0"/>
        <w:keepLines w:val="0"/>
        <w:pageBreakBefore w:val="0"/>
        <w:widowControl w:val="0"/>
        <w:spacing w:line="360" w:lineRule="auto"/>
        <w:ind w:firstLine="488"/>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得分95分（含）以上不扣款。90分（含）-95分，扣款额=（100-考核得分）*100元；80分（含）-90分，扣款额=（100-考核得分）*200元；70分（含）-80分，扣款额=（100-考核得分）*500元；60分（含）-70分，扣款额=（100-考核得分）*1000元；</w:t>
      </w:r>
    </w:p>
    <w:p w14:paraId="5D9EB592">
      <w:pPr>
        <w:keepNext w:val="0"/>
        <w:keepLines w:val="0"/>
        <w:pageBreakBefore w:val="0"/>
        <w:widowControl w:val="0"/>
        <w:spacing w:line="360" w:lineRule="auto"/>
        <w:ind w:firstLine="488"/>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中标人在合同期内月度考核结果在60分以下的，或年度内累计2次考核结果在70分以下的，采购人有权直接解除合同，因解除合同给采购人造成的经济损失有中标人承担。</w:t>
      </w:r>
    </w:p>
    <w:p w14:paraId="4A1C1F15">
      <w:pPr>
        <w:keepNext w:val="0"/>
        <w:keepLines w:val="0"/>
        <w:pageBreakBefore w:val="0"/>
        <w:widowControl w:val="0"/>
        <w:spacing w:line="360" w:lineRule="auto"/>
        <w:ind w:firstLine="488"/>
        <w:outlineLvl w:val="9"/>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10</w:t>
      </w:r>
      <w:r>
        <w:rPr>
          <w:rFonts w:hint="default"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其他内容</w:t>
      </w:r>
    </w:p>
    <w:p w14:paraId="6E00B003">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pPr>
      <w:bookmarkStart w:id="813" w:name="_Toc99301425"/>
      <w:bookmarkStart w:id="814" w:name="_Toc13366"/>
      <w:r>
        <w:rPr>
          <w:rFonts w:hint="eastAsia" w:ascii="宋体" w:hAnsi="宋体" w:eastAsia="宋体" w:cs="宋体"/>
          <w:color w:val="auto"/>
          <w:sz w:val="24"/>
          <w:szCs w:val="24"/>
          <w:highlight w:val="none"/>
          <w:lang w:val="en-US" w:eastAsia="zh-CN"/>
        </w:rPr>
        <w:t>10</w:t>
      </w:r>
      <w:r>
        <w:rPr>
          <w:rFonts w:hint="default" w:ascii="宋体" w:hAnsi="宋体" w:eastAsia="宋体" w:cs="宋体"/>
          <w:color w:val="auto"/>
          <w:sz w:val="24"/>
          <w:szCs w:val="24"/>
          <w:highlight w:val="none"/>
          <w:lang w:val="en-US" w:eastAsia="zh-CN"/>
        </w:rPr>
        <w:t>.1如出现</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自身管理或沟通不利使员工通过各类渠道或以其他方式对采购人的声誉造成不利影响，以及因</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服务质量或员工素质等原因有损采购人的社会公众形象、口碑等情况，</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必须第一时间负责将不利影响降到最低并及时妥善处理，同时承担由此造成的声誉损失后果。采购人保留从经济、法律或其他形式向</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追究责任的权利。</w:t>
      </w:r>
    </w:p>
    <w:p w14:paraId="7BE0B30F">
      <w:pPr>
        <w:keepNext w:val="0"/>
        <w:keepLines w:val="0"/>
        <w:pageBreakBefore w:val="0"/>
        <w:widowControl w:val="0"/>
        <w:spacing w:line="360" w:lineRule="auto"/>
        <w:ind w:firstLine="488"/>
        <w:outlineLvl w:val="9"/>
        <w:rPr>
          <w:rFonts w:hint="default" w:ascii="宋体" w:hAnsi="宋体" w:eastAsia="宋体" w:cs="宋体"/>
          <w:color w:val="auto"/>
          <w:sz w:val="24"/>
          <w:szCs w:val="24"/>
          <w:highlight w:val="none"/>
          <w:lang w:val="en-US" w:eastAsia="zh-CN"/>
        </w:rPr>
        <w:sectPr>
          <w:headerReference r:id="rId11" w:type="default"/>
          <w:footerReference r:id="rId12" w:type="default"/>
          <w:pgSz w:w="11907" w:h="16840"/>
          <w:pgMar w:top="1418" w:right="1134" w:bottom="1418" w:left="1701" w:header="851" w:footer="851" w:gutter="0"/>
          <w:pgNumType w:fmt="decimal"/>
          <w:cols w:space="720" w:num="1"/>
          <w:docGrid w:linePitch="462" w:charSpace="0"/>
        </w:sectPr>
      </w:pPr>
      <w:r>
        <w:rPr>
          <w:rFonts w:hint="eastAsia" w:ascii="宋体" w:hAnsi="宋体" w:eastAsia="宋体" w:cs="宋体"/>
          <w:color w:val="auto"/>
          <w:sz w:val="24"/>
          <w:szCs w:val="24"/>
          <w:highlight w:val="none"/>
          <w:lang w:val="en-US" w:eastAsia="zh-CN"/>
        </w:rPr>
        <w:t>10</w:t>
      </w:r>
      <w:r>
        <w:rPr>
          <w:rFonts w:hint="default"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擅自将服务合同转包或分包给第三人的，以及</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违反法律法规、规章或其他相关规范性文件的规定，影响合同履行的，采购人可以单方面解除合同而无须向</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支付任何费用或承担其他任何责任，由此产生的经济损失和法律责任均由</w:t>
      </w:r>
      <w:r>
        <w:rPr>
          <w:rFonts w:hint="eastAsia" w:ascii="宋体" w:hAnsi="宋体" w:eastAsia="宋体" w:cs="宋体"/>
          <w:color w:val="auto"/>
          <w:sz w:val="24"/>
          <w:szCs w:val="24"/>
          <w:highlight w:val="none"/>
          <w:lang w:val="en-US" w:eastAsia="zh-CN"/>
        </w:rPr>
        <w:t>中标人</w:t>
      </w:r>
      <w:r>
        <w:rPr>
          <w:rFonts w:hint="default" w:ascii="宋体" w:hAnsi="宋体" w:eastAsia="宋体" w:cs="宋体"/>
          <w:color w:val="auto"/>
          <w:sz w:val="24"/>
          <w:szCs w:val="24"/>
          <w:highlight w:val="none"/>
          <w:lang w:val="en-US" w:eastAsia="zh-CN"/>
        </w:rPr>
        <w:t>承担。</w:t>
      </w:r>
    </w:p>
    <w:p w14:paraId="4558B398">
      <w:pPr>
        <w:jc w:val="both"/>
        <w:rPr>
          <w:rFonts w:hint="eastAsia" w:hAnsi="宋体"/>
          <w:b w:val="0"/>
          <w:bCs/>
          <w:sz w:val="28"/>
          <w:szCs w:val="28"/>
          <w:lang w:val="en-US" w:eastAsia="zh-CN"/>
        </w:rPr>
      </w:pPr>
      <w:r>
        <w:rPr>
          <w:rFonts w:hint="eastAsia" w:hAnsi="宋体"/>
          <w:b w:val="0"/>
          <w:bCs/>
          <w:sz w:val="28"/>
          <w:szCs w:val="28"/>
          <w:lang w:val="en-US" w:eastAsia="zh-CN"/>
        </w:rPr>
        <w:t>附件：</w:t>
      </w:r>
    </w:p>
    <w:p w14:paraId="2AB1C6BA">
      <w:pPr>
        <w:ind w:firstLine="5320" w:firstLineChars="1900"/>
        <w:jc w:val="both"/>
        <w:rPr>
          <w:rFonts w:hint="default" w:hAnsi="宋体"/>
          <w:b w:val="0"/>
          <w:bCs/>
          <w:sz w:val="28"/>
          <w:szCs w:val="28"/>
          <w:lang w:val="en-US" w:eastAsia="zh-CN"/>
        </w:rPr>
      </w:pPr>
      <w:r>
        <w:rPr>
          <w:rFonts w:hint="eastAsia" w:hAnsi="宋体"/>
          <w:b w:val="0"/>
          <w:bCs/>
          <w:sz w:val="28"/>
          <w:szCs w:val="28"/>
          <w:lang w:val="en-US" w:eastAsia="zh-CN"/>
        </w:rPr>
        <w:t>五星街道道路养护管理考核表</w:t>
      </w:r>
    </w:p>
    <w:tbl>
      <w:tblPr>
        <w:tblStyle w:val="46"/>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8"/>
        <w:gridCol w:w="1363"/>
        <w:gridCol w:w="7175"/>
        <w:gridCol w:w="1453"/>
        <w:gridCol w:w="1423"/>
        <w:gridCol w:w="30"/>
        <w:gridCol w:w="1453"/>
      </w:tblGrid>
      <w:tr w14:paraId="18A1F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noWrap w:val="0"/>
            <w:vAlign w:val="center"/>
          </w:tcPr>
          <w:p w14:paraId="3DB84857">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项目</w:t>
            </w:r>
          </w:p>
        </w:tc>
        <w:tc>
          <w:tcPr>
            <w:tcW w:w="456" w:type="pct"/>
            <w:noWrap w:val="0"/>
            <w:vAlign w:val="center"/>
          </w:tcPr>
          <w:p w14:paraId="09E09E1C">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分项</w:t>
            </w:r>
          </w:p>
        </w:tc>
        <w:tc>
          <w:tcPr>
            <w:tcW w:w="2400" w:type="pct"/>
            <w:noWrap w:val="0"/>
            <w:vAlign w:val="center"/>
          </w:tcPr>
          <w:p w14:paraId="6C8C60F8">
            <w:pPr>
              <w:jc w:val="center"/>
              <w:rPr>
                <w:rFonts w:hint="eastAsia" w:ascii="宋体" w:hAnsi="宋体" w:eastAsia="宋体" w:cs="宋体"/>
                <w:sz w:val="24"/>
                <w:szCs w:val="24"/>
              </w:rPr>
            </w:pPr>
            <w:r>
              <w:rPr>
                <w:rFonts w:hint="eastAsia" w:ascii="宋体" w:hAnsi="宋体" w:eastAsia="宋体" w:cs="宋体"/>
                <w:sz w:val="24"/>
                <w:szCs w:val="24"/>
                <w:lang w:val="en-US" w:eastAsia="zh-CN"/>
              </w:rPr>
              <w:t>考核要求</w:t>
            </w:r>
          </w:p>
        </w:tc>
        <w:tc>
          <w:tcPr>
            <w:tcW w:w="486" w:type="pct"/>
            <w:noWrap w:val="0"/>
            <w:vAlign w:val="center"/>
          </w:tcPr>
          <w:p w14:paraId="6C92173A">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分值</w:t>
            </w:r>
          </w:p>
        </w:tc>
        <w:tc>
          <w:tcPr>
            <w:tcW w:w="476" w:type="pct"/>
            <w:noWrap w:val="0"/>
            <w:vAlign w:val="center"/>
          </w:tcPr>
          <w:p w14:paraId="0926AEC8">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次数</w:t>
            </w:r>
          </w:p>
        </w:tc>
        <w:tc>
          <w:tcPr>
            <w:tcW w:w="495" w:type="pct"/>
            <w:gridSpan w:val="2"/>
            <w:noWrap w:val="0"/>
            <w:vAlign w:val="center"/>
          </w:tcPr>
          <w:p w14:paraId="0CFB4E3F">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扣分</w:t>
            </w:r>
          </w:p>
        </w:tc>
      </w:tr>
      <w:tr w14:paraId="43B31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restart"/>
            <w:noWrap w:val="0"/>
            <w:vAlign w:val="center"/>
          </w:tcPr>
          <w:p w14:paraId="3581E474">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工作计划</w:t>
            </w:r>
          </w:p>
        </w:tc>
        <w:tc>
          <w:tcPr>
            <w:tcW w:w="456" w:type="pct"/>
            <w:vMerge w:val="restart"/>
            <w:noWrap w:val="0"/>
            <w:vAlign w:val="center"/>
          </w:tcPr>
          <w:p w14:paraId="082180C2">
            <w:pPr>
              <w:jc w:val="center"/>
              <w:rPr>
                <w:rFonts w:hint="eastAsia" w:ascii="宋体" w:hAnsi="宋体" w:eastAsia="宋体" w:cs="宋体"/>
                <w:sz w:val="24"/>
                <w:szCs w:val="24"/>
                <w:lang w:val="en-US" w:eastAsia="zh-CN"/>
              </w:rPr>
            </w:pPr>
          </w:p>
        </w:tc>
        <w:tc>
          <w:tcPr>
            <w:tcW w:w="2400" w:type="pct"/>
            <w:noWrap w:val="0"/>
            <w:vAlign w:val="center"/>
          </w:tcPr>
          <w:p w14:paraId="47AEF41E">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未经街道许可擅自进行维修</w:t>
            </w:r>
          </w:p>
        </w:tc>
        <w:tc>
          <w:tcPr>
            <w:tcW w:w="486" w:type="pct"/>
            <w:noWrap w:val="0"/>
            <w:vAlign w:val="center"/>
          </w:tcPr>
          <w:p w14:paraId="2D09EB45">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10分/次</w:t>
            </w:r>
          </w:p>
        </w:tc>
        <w:tc>
          <w:tcPr>
            <w:tcW w:w="486" w:type="pct"/>
            <w:gridSpan w:val="2"/>
            <w:noWrap w:val="0"/>
            <w:vAlign w:val="center"/>
          </w:tcPr>
          <w:p w14:paraId="50F565F0">
            <w:pPr>
              <w:jc w:val="center"/>
              <w:rPr>
                <w:rFonts w:hint="eastAsia" w:ascii="宋体" w:hAnsi="宋体" w:eastAsia="宋体" w:cs="宋体"/>
                <w:sz w:val="24"/>
                <w:szCs w:val="24"/>
                <w:lang w:val="en-US" w:eastAsia="zh-CN"/>
              </w:rPr>
            </w:pPr>
          </w:p>
        </w:tc>
        <w:tc>
          <w:tcPr>
            <w:tcW w:w="486" w:type="pct"/>
            <w:noWrap w:val="0"/>
            <w:vAlign w:val="center"/>
          </w:tcPr>
          <w:p w14:paraId="1C2E64A3">
            <w:pPr>
              <w:jc w:val="center"/>
              <w:rPr>
                <w:rFonts w:hint="eastAsia" w:ascii="宋体" w:hAnsi="宋体" w:eastAsia="宋体" w:cs="宋体"/>
                <w:sz w:val="24"/>
                <w:szCs w:val="24"/>
                <w:lang w:val="en-US" w:eastAsia="zh-CN"/>
              </w:rPr>
            </w:pPr>
          </w:p>
        </w:tc>
      </w:tr>
      <w:tr w14:paraId="34076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4A3398AB">
            <w:pPr>
              <w:jc w:val="center"/>
              <w:rPr>
                <w:rFonts w:hint="eastAsia" w:ascii="宋体" w:hAnsi="宋体" w:eastAsia="宋体" w:cs="宋体"/>
                <w:sz w:val="24"/>
                <w:szCs w:val="24"/>
                <w:lang w:val="en-US" w:eastAsia="zh-CN"/>
              </w:rPr>
            </w:pPr>
          </w:p>
        </w:tc>
        <w:tc>
          <w:tcPr>
            <w:tcW w:w="456" w:type="pct"/>
            <w:vMerge w:val="continue"/>
            <w:noWrap w:val="0"/>
            <w:vAlign w:val="center"/>
          </w:tcPr>
          <w:p w14:paraId="543B6DE1">
            <w:pPr>
              <w:jc w:val="center"/>
              <w:rPr>
                <w:rFonts w:hint="eastAsia" w:ascii="宋体" w:hAnsi="宋体" w:eastAsia="宋体" w:cs="宋体"/>
                <w:sz w:val="24"/>
                <w:szCs w:val="24"/>
                <w:lang w:val="en-US" w:eastAsia="zh-CN"/>
              </w:rPr>
            </w:pPr>
          </w:p>
        </w:tc>
        <w:tc>
          <w:tcPr>
            <w:tcW w:w="2400" w:type="pct"/>
            <w:noWrap w:val="0"/>
            <w:vAlign w:val="center"/>
          </w:tcPr>
          <w:p w14:paraId="2FB88616">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每月25日上报下月维修工作计划</w:t>
            </w:r>
          </w:p>
        </w:tc>
        <w:tc>
          <w:tcPr>
            <w:tcW w:w="486" w:type="pct"/>
            <w:noWrap w:val="0"/>
            <w:vAlign w:val="center"/>
          </w:tcPr>
          <w:p w14:paraId="6792E588">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1分/月</w:t>
            </w:r>
          </w:p>
        </w:tc>
        <w:tc>
          <w:tcPr>
            <w:tcW w:w="486" w:type="pct"/>
            <w:gridSpan w:val="2"/>
            <w:noWrap w:val="0"/>
            <w:vAlign w:val="center"/>
          </w:tcPr>
          <w:p w14:paraId="4BD8A77B">
            <w:pPr>
              <w:jc w:val="center"/>
              <w:rPr>
                <w:rFonts w:hint="eastAsia" w:ascii="宋体" w:hAnsi="宋体" w:eastAsia="宋体" w:cs="宋体"/>
                <w:sz w:val="24"/>
                <w:szCs w:val="24"/>
                <w:lang w:val="en-US" w:eastAsia="zh-CN"/>
              </w:rPr>
            </w:pPr>
          </w:p>
        </w:tc>
        <w:tc>
          <w:tcPr>
            <w:tcW w:w="486" w:type="pct"/>
            <w:noWrap w:val="0"/>
            <w:vAlign w:val="center"/>
          </w:tcPr>
          <w:p w14:paraId="23975370">
            <w:pPr>
              <w:jc w:val="center"/>
              <w:rPr>
                <w:rFonts w:hint="eastAsia" w:ascii="宋体" w:hAnsi="宋体" w:eastAsia="宋体" w:cs="宋体"/>
                <w:sz w:val="24"/>
                <w:szCs w:val="24"/>
                <w:lang w:val="en-US" w:eastAsia="zh-CN"/>
              </w:rPr>
            </w:pPr>
          </w:p>
        </w:tc>
      </w:tr>
      <w:tr w14:paraId="640A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72369208">
            <w:pPr>
              <w:jc w:val="center"/>
              <w:rPr>
                <w:rFonts w:hint="eastAsia" w:ascii="宋体" w:hAnsi="宋体" w:eastAsia="宋体" w:cs="宋体"/>
                <w:sz w:val="24"/>
                <w:szCs w:val="24"/>
                <w:lang w:val="en-US" w:eastAsia="zh-CN"/>
              </w:rPr>
            </w:pPr>
          </w:p>
        </w:tc>
        <w:tc>
          <w:tcPr>
            <w:tcW w:w="456" w:type="pct"/>
            <w:vMerge w:val="continue"/>
            <w:noWrap w:val="0"/>
            <w:vAlign w:val="center"/>
          </w:tcPr>
          <w:p w14:paraId="7B647EDB">
            <w:pPr>
              <w:jc w:val="center"/>
              <w:rPr>
                <w:rFonts w:hint="eastAsia" w:ascii="宋体" w:hAnsi="宋体" w:eastAsia="宋体" w:cs="宋体"/>
                <w:sz w:val="24"/>
                <w:szCs w:val="24"/>
                <w:lang w:val="en-US" w:eastAsia="zh-CN"/>
              </w:rPr>
            </w:pPr>
          </w:p>
        </w:tc>
        <w:tc>
          <w:tcPr>
            <w:tcW w:w="2400" w:type="pct"/>
            <w:noWrap w:val="0"/>
            <w:vAlign w:val="center"/>
          </w:tcPr>
          <w:p w14:paraId="66ABEE6D">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每月3日前上报上月完成工作量</w:t>
            </w:r>
          </w:p>
        </w:tc>
        <w:tc>
          <w:tcPr>
            <w:tcW w:w="486" w:type="pct"/>
            <w:noWrap w:val="0"/>
            <w:vAlign w:val="center"/>
          </w:tcPr>
          <w:p w14:paraId="2ABF2C15">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2分/月</w:t>
            </w:r>
          </w:p>
        </w:tc>
        <w:tc>
          <w:tcPr>
            <w:tcW w:w="486" w:type="pct"/>
            <w:gridSpan w:val="2"/>
            <w:noWrap w:val="0"/>
            <w:vAlign w:val="center"/>
          </w:tcPr>
          <w:p w14:paraId="4DA08C61">
            <w:pPr>
              <w:jc w:val="center"/>
              <w:rPr>
                <w:rFonts w:hint="eastAsia" w:ascii="宋体" w:hAnsi="宋体" w:eastAsia="宋体" w:cs="宋体"/>
                <w:sz w:val="24"/>
                <w:szCs w:val="24"/>
                <w:lang w:val="en-US" w:eastAsia="zh-CN"/>
              </w:rPr>
            </w:pPr>
          </w:p>
        </w:tc>
        <w:tc>
          <w:tcPr>
            <w:tcW w:w="486" w:type="pct"/>
            <w:noWrap w:val="0"/>
            <w:vAlign w:val="center"/>
          </w:tcPr>
          <w:p w14:paraId="1717E1F3">
            <w:pPr>
              <w:jc w:val="center"/>
              <w:rPr>
                <w:rFonts w:hint="eastAsia" w:ascii="宋体" w:hAnsi="宋体" w:eastAsia="宋体" w:cs="宋体"/>
                <w:sz w:val="24"/>
                <w:szCs w:val="24"/>
                <w:lang w:val="en-US" w:eastAsia="zh-CN"/>
              </w:rPr>
            </w:pPr>
          </w:p>
        </w:tc>
      </w:tr>
      <w:tr w14:paraId="4258D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85" w:type="pct"/>
            <w:vMerge w:val="continue"/>
            <w:noWrap w:val="0"/>
            <w:vAlign w:val="center"/>
          </w:tcPr>
          <w:p w14:paraId="058163F3">
            <w:pPr>
              <w:jc w:val="center"/>
              <w:rPr>
                <w:rFonts w:hint="eastAsia" w:ascii="宋体" w:hAnsi="宋体" w:eastAsia="宋体" w:cs="宋体"/>
                <w:sz w:val="24"/>
                <w:szCs w:val="24"/>
                <w:lang w:val="en-US" w:eastAsia="zh-CN"/>
              </w:rPr>
            </w:pPr>
          </w:p>
        </w:tc>
        <w:tc>
          <w:tcPr>
            <w:tcW w:w="456" w:type="pct"/>
            <w:vMerge w:val="continue"/>
            <w:noWrap w:val="0"/>
            <w:vAlign w:val="center"/>
          </w:tcPr>
          <w:p w14:paraId="7A6FC10F">
            <w:pPr>
              <w:jc w:val="center"/>
              <w:rPr>
                <w:rFonts w:hint="eastAsia" w:ascii="宋体" w:hAnsi="宋体" w:eastAsia="宋体" w:cs="宋体"/>
                <w:sz w:val="24"/>
                <w:szCs w:val="24"/>
                <w:lang w:val="en-US" w:eastAsia="zh-CN"/>
              </w:rPr>
            </w:pPr>
          </w:p>
        </w:tc>
        <w:tc>
          <w:tcPr>
            <w:tcW w:w="2400" w:type="pct"/>
            <w:noWrap w:val="0"/>
            <w:vAlign w:val="center"/>
          </w:tcPr>
          <w:p w14:paraId="23CAA946">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按养护维修时限完结巡查养护系统内工单</w:t>
            </w:r>
          </w:p>
        </w:tc>
        <w:tc>
          <w:tcPr>
            <w:tcW w:w="486" w:type="pct"/>
            <w:noWrap w:val="0"/>
            <w:vAlign w:val="center"/>
          </w:tcPr>
          <w:p w14:paraId="7786FABA">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0.5分/日</w:t>
            </w:r>
          </w:p>
        </w:tc>
        <w:tc>
          <w:tcPr>
            <w:tcW w:w="486" w:type="pct"/>
            <w:gridSpan w:val="2"/>
            <w:noWrap w:val="0"/>
            <w:vAlign w:val="center"/>
          </w:tcPr>
          <w:p w14:paraId="2EFF8339">
            <w:pPr>
              <w:jc w:val="center"/>
              <w:rPr>
                <w:rFonts w:hint="eastAsia" w:ascii="宋体" w:hAnsi="宋体" w:eastAsia="宋体" w:cs="宋体"/>
                <w:sz w:val="24"/>
                <w:szCs w:val="24"/>
                <w:lang w:val="en-US" w:eastAsia="zh-CN"/>
              </w:rPr>
            </w:pPr>
          </w:p>
        </w:tc>
        <w:tc>
          <w:tcPr>
            <w:tcW w:w="486" w:type="pct"/>
            <w:noWrap w:val="0"/>
            <w:vAlign w:val="center"/>
          </w:tcPr>
          <w:p w14:paraId="3636DC52">
            <w:pPr>
              <w:jc w:val="center"/>
              <w:rPr>
                <w:rFonts w:hint="eastAsia" w:ascii="宋体" w:hAnsi="宋体" w:eastAsia="宋体" w:cs="宋体"/>
                <w:sz w:val="24"/>
                <w:szCs w:val="24"/>
                <w:lang w:val="en-US" w:eastAsia="zh-CN"/>
              </w:rPr>
            </w:pPr>
          </w:p>
        </w:tc>
      </w:tr>
      <w:tr w14:paraId="2D86E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00C45968">
            <w:pPr>
              <w:jc w:val="center"/>
              <w:rPr>
                <w:rFonts w:hint="eastAsia" w:ascii="宋体" w:hAnsi="宋体" w:eastAsia="宋体" w:cs="宋体"/>
                <w:sz w:val="24"/>
                <w:szCs w:val="24"/>
                <w:lang w:val="en-US" w:eastAsia="zh-CN"/>
              </w:rPr>
            </w:pPr>
          </w:p>
        </w:tc>
        <w:tc>
          <w:tcPr>
            <w:tcW w:w="456" w:type="pct"/>
            <w:vMerge w:val="continue"/>
            <w:noWrap w:val="0"/>
            <w:vAlign w:val="center"/>
          </w:tcPr>
          <w:p w14:paraId="5B9CC453">
            <w:pPr>
              <w:jc w:val="center"/>
              <w:rPr>
                <w:rFonts w:hint="eastAsia" w:ascii="宋体" w:hAnsi="宋体" w:eastAsia="宋体" w:cs="宋体"/>
                <w:sz w:val="24"/>
                <w:szCs w:val="24"/>
                <w:lang w:val="en-US" w:eastAsia="zh-CN"/>
              </w:rPr>
            </w:pPr>
          </w:p>
        </w:tc>
        <w:tc>
          <w:tcPr>
            <w:tcW w:w="2400" w:type="pct"/>
            <w:noWrap w:val="0"/>
            <w:vAlign w:val="center"/>
          </w:tcPr>
          <w:p w14:paraId="5E6B88A5">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项目负责人不在本市范围内需提出书面请假备案</w:t>
            </w:r>
          </w:p>
        </w:tc>
        <w:tc>
          <w:tcPr>
            <w:tcW w:w="486" w:type="pct"/>
            <w:noWrap w:val="0"/>
            <w:vAlign w:val="center"/>
          </w:tcPr>
          <w:p w14:paraId="19FBC1FB">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2分/次</w:t>
            </w:r>
          </w:p>
        </w:tc>
        <w:tc>
          <w:tcPr>
            <w:tcW w:w="486" w:type="pct"/>
            <w:gridSpan w:val="2"/>
            <w:noWrap w:val="0"/>
            <w:vAlign w:val="center"/>
          </w:tcPr>
          <w:p w14:paraId="55B467B3">
            <w:pPr>
              <w:jc w:val="center"/>
              <w:rPr>
                <w:rFonts w:hint="eastAsia" w:ascii="宋体" w:hAnsi="宋体" w:eastAsia="宋体" w:cs="宋体"/>
                <w:sz w:val="24"/>
                <w:szCs w:val="24"/>
                <w:lang w:val="en-US" w:eastAsia="zh-CN"/>
              </w:rPr>
            </w:pPr>
          </w:p>
        </w:tc>
        <w:tc>
          <w:tcPr>
            <w:tcW w:w="486" w:type="pct"/>
            <w:noWrap w:val="0"/>
            <w:vAlign w:val="center"/>
          </w:tcPr>
          <w:p w14:paraId="18246BD1">
            <w:pPr>
              <w:jc w:val="center"/>
              <w:rPr>
                <w:rFonts w:hint="eastAsia" w:ascii="宋体" w:hAnsi="宋体" w:eastAsia="宋体" w:cs="宋体"/>
                <w:sz w:val="24"/>
                <w:szCs w:val="24"/>
                <w:lang w:val="en-US" w:eastAsia="zh-CN"/>
              </w:rPr>
            </w:pPr>
          </w:p>
        </w:tc>
      </w:tr>
      <w:tr w14:paraId="597DC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72AD214D">
            <w:pPr>
              <w:jc w:val="center"/>
              <w:rPr>
                <w:rFonts w:hint="eastAsia" w:ascii="宋体" w:hAnsi="宋体" w:eastAsia="宋体" w:cs="宋体"/>
                <w:sz w:val="24"/>
                <w:szCs w:val="24"/>
                <w:lang w:val="en-US" w:eastAsia="zh-CN"/>
              </w:rPr>
            </w:pPr>
          </w:p>
        </w:tc>
        <w:tc>
          <w:tcPr>
            <w:tcW w:w="456" w:type="pct"/>
            <w:vMerge w:val="continue"/>
            <w:noWrap w:val="0"/>
            <w:vAlign w:val="center"/>
          </w:tcPr>
          <w:p w14:paraId="244A163E">
            <w:pPr>
              <w:jc w:val="center"/>
              <w:rPr>
                <w:rFonts w:hint="eastAsia" w:ascii="宋体" w:hAnsi="宋体" w:eastAsia="宋体" w:cs="宋体"/>
                <w:sz w:val="24"/>
                <w:szCs w:val="24"/>
                <w:lang w:val="en-US" w:eastAsia="zh-CN"/>
              </w:rPr>
            </w:pPr>
          </w:p>
        </w:tc>
        <w:tc>
          <w:tcPr>
            <w:tcW w:w="2400" w:type="pct"/>
            <w:noWrap w:val="0"/>
            <w:vAlign w:val="center"/>
          </w:tcPr>
          <w:p w14:paraId="3B314E38">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根据工作要求制定灾害天气及重大事故应急预案</w:t>
            </w:r>
          </w:p>
        </w:tc>
        <w:tc>
          <w:tcPr>
            <w:tcW w:w="486" w:type="pct"/>
            <w:noWrap w:val="0"/>
            <w:vAlign w:val="center"/>
          </w:tcPr>
          <w:p w14:paraId="283095D9">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5分/次</w:t>
            </w:r>
          </w:p>
        </w:tc>
        <w:tc>
          <w:tcPr>
            <w:tcW w:w="486" w:type="pct"/>
            <w:gridSpan w:val="2"/>
            <w:noWrap w:val="0"/>
            <w:vAlign w:val="center"/>
          </w:tcPr>
          <w:p w14:paraId="4E6BB95B">
            <w:pPr>
              <w:jc w:val="center"/>
              <w:rPr>
                <w:rFonts w:hint="eastAsia" w:ascii="宋体" w:hAnsi="宋体" w:eastAsia="宋体" w:cs="宋体"/>
                <w:sz w:val="24"/>
                <w:szCs w:val="24"/>
                <w:lang w:val="en-US" w:eastAsia="zh-CN"/>
              </w:rPr>
            </w:pPr>
          </w:p>
        </w:tc>
        <w:tc>
          <w:tcPr>
            <w:tcW w:w="486" w:type="pct"/>
            <w:noWrap w:val="0"/>
            <w:vAlign w:val="center"/>
          </w:tcPr>
          <w:p w14:paraId="62713AB5">
            <w:pPr>
              <w:jc w:val="center"/>
              <w:rPr>
                <w:rFonts w:hint="eastAsia" w:ascii="宋体" w:hAnsi="宋体" w:eastAsia="宋体" w:cs="宋体"/>
                <w:sz w:val="24"/>
                <w:szCs w:val="24"/>
                <w:lang w:val="en-US" w:eastAsia="zh-CN"/>
              </w:rPr>
            </w:pPr>
          </w:p>
        </w:tc>
      </w:tr>
      <w:tr w14:paraId="63CB5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noWrap w:val="0"/>
            <w:vAlign w:val="center"/>
          </w:tcPr>
          <w:p w14:paraId="4372746C">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施工及时率</w:t>
            </w:r>
          </w:p>
        </w:tc>
        <w:tc>
          <w:tcPr>
            <w:tcW w:w="456" w:type="pct"/>
            <w:noWrap w:val="0"/>
            <w:vAlign w:val="center"/>
          </w:tcPr>
          <w:p w14:paraId="000902A5">
            <w:pPr>
              <w:jc w:val="center"/>
              <w:rPr>
                <w:rFonts w:hint="eastAsia" w:ascii="宋体" w:hAnsi="宋体" w:eastAsia="宋体" w:cs="宋体"/>
                <w:sz w:val="24"/>
                <w:szCs w:val="24"/>
                <w:lang w:val="en-US" w:eastAsia="zh-CN"/>
              </w:rPr>
            </w:pPr>
          </w:p>
        </w:tc>
        <w:tc>
          <w:tcPr>
            <w:tcW w:w="2400" w:type="pct"/>
            <w:noWrap w:val="0"/>
            <w:vAlign w:val="center"/>
          </w:tcPr>
          <w:p w14:paraId="6CF5316D">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按养护维修时限要求完成各项维修任务</w:t>
            </w:r>
          </w:p>
        </w:tc>
        <w:tc>
          <w:tcPr>
            <w:tcW w:w="486" w:type="pct"/>
            <w:noWrap w:val="0"/>
            <w:vAlign w:val="center"/>
          </w:tcPr>
          <w:p w14:paraId="590F4482">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1分/次</w:t>
            </w:r>
          </w:p>
        </w:tc>
        <w:tc>
          <w:tcPr>
            <w:tcW w:w="486" w:type="pct"/>
            <w:gridSpan w:val="2"/>
            <w:noWrap w:val="0"/>
            <w:vAlign w:val="center"/>
          </w:tcPr>
          <w:p w14:paraId="648B48E7">
            <w:pPr>
              <w:jc w:val="center"/>
              <w:rPr>
                <w:rFonts w:hint="eastAsia" w:ascii="宋体" w:hAnsi="宋体" w:eastAsia="宋体" w:cs="宋体"/>
                <w:sz w:val="24"/>
                <w:szCs w:val="24"/>
                <w:lang w:val="en-US" w:eastAsia="zh-CN"/>
              </w:rPr>
            </w:pPr>
          </w:p>
        </w:tc>
        <w:tc>
          <w:tcPr>
            <w:tcW w:w="486" w:type="pct"/>
            <w:noWrap w:val="0"/>
            <w:vAlign w:val="center"/>
          </w:tcPr>
          <w:p w14:paraId="30DBF0D6">
            <w:pPr>
              <w:jc w:val="center"/>
              <w:rPr>
                <w:rFonts w:hint="eastAsia" w:ascii="宋体" w:hAnsi="宋体" w:eastAsia="宋体" w:cs="宋体"/>
                <w:sz w:val="24"/>
                <w:szCs w:val="24"/>
                <w:lang w:val="en-US" w:eastAsia="zh-CN"/>
              </w:rPr>
            </w:pPr>
          </w:p>
        </w:tc>
      </w:tr>
      <w:tr w14:paraId="33144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restart"/>
            <w:noWrap w:val="0"/>
            <w:vAlign w:val="center"/>
          </w:tcPr>
          <w:p w14:paraId="76AAC75C">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安全文明施工</w:t>
            </w:r>
          </w:p>
        </w:tc>
        <w:tc>
          <w:tcPr>
            <w:tcW w:w="456" w:type="pct"/>
            <w:vMerge w:val="restart"/>
            <w:noWrap w:val="0"/>
            <w:vAlign w:val="center"/>
          </w:tcPr>
          <w:p w14:paraId="24B1A8B4">
            <w:pPr>
              <w:jc w:val="center"/>
              <w:rPr>
                <w:rFonts w:hint="eastAsia" w:ascii="宋体" w:hAnsi="宋体" w:eastAsia="宋体" w:cs="宋体"/>
                <w:sz w:val="24"/>
                <w:szCs w:val="24"/>
                <w:lang w:val="en-US" w:eastAsia="zh-CN"/>
              </w:rPr>
            </w:pPr>
          </w:p>
        </w:tc>
        <w:tc>
          <w:tcPr>
            <w:tcW w:w="2400" w:type="pct"/>
            <w:noWrap w:val="0"/>
            <w:vAlign w:val="center"/>
          </w:tcPr>
          <w:p w14:paraId="2F36D6C7">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需配备专职的安全人员</w:t>
            </w:r>
          </w:p>
        </w:tc>
        <w:tc>
          <w:tcPr>
            <w:tcW w:w="486" w:type="pct"/>
            <w:noWrap w:val="0"/>
            <w:vAlign w:val="center"/>
          </w:tcPr>
          <w:p w14:paraId="018186B9">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2分/次</w:t>
            </w:r>
          </w:p>
        </w:tc>
        <w:tc>
          <w:tcPr>
            <w:tcW w:w="486" w:type="pct"/>
            <w:gridSpan w:val="2"/>
            <w:noWrap w:val="0"/>
            <w:vAlign w:val="center"/>
          </w:tcPr>
          <w:p w14:paraId="2B2D490D">
            <w:pPr>
              <w:jc w:val="center"/>
              <w:rPr>
                <w:rFonts w:hint="eastAsia" w:ascii="宋体" w:hAnsi="宋体" w:eastAsia="宋体" w:cs="宋体"/>
                <w:sz w:val="24"/>
                <w:szCs w:val="24"/>
                <w:lang w:val="en-US" w:eastAsia="zh-CN"/>
              </w:rPr>
            </w:pPr>
          </w:p>
        </w:tc>
        <w:tc>
          <w:tcPr>
            <w:tcW w:w="486" w:type="pct"/>
            <w:noWrap w:val="0"/>
            <w:vAlign w:val="center"/>
          </w:tcPr>
          <w:p w14:paraId="04D4764F">
            <w:pPr>
              <w:jc w:val="center"/>
              <w:rPr>
                <w:rFonts w:hint="eastAsia" w:ascii="宋体" w:hAnsi="宋体" w:eastAsia="宋体" w:cs="宋体"/>
                <w:sz w:val="24"/>
                <w:szCs w:val="24"/>
                <w:lang w:val="en-US" w:eastAsia="zh-CN"/>
              </w:rPr>
            </w:pPr>
          </w:p>
        </w:tc>
      </w:tr>
      <w:tr w14:paraId="476A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3B79748C">
            <w:pPr>
              <w:jc w:val="center"/>
              <w:rPr>
                <w:rFonts w:hint="eastAsia" w:ascii="宋体" w:hAnsi="宋体" w:eastAsia="宋体" w:cs="宋体"/>
                <w:sz w:val="24"/>
                <w:szCs w:val="24"/>
                <w:lang w:val="en-US" w:eastAsia="zh-CN"/>
              </w:rPr>
            </w:pPr>
          </w:p>
        </w:tc>
        <w:tc>
          <w:tcPr>
            <w:tcW w:w="456" w:type="pct"/>
            <w:vMerge w:val="continue"/>
            <w:noWrap w:val="0"/>
            <w:vAlign w:val="center"/>
          </w:tcPr>
          <w:p w14:paraId="184CD6F7">
            <w:pPr>
              <w:jc w:val="center"/>
              <w:rPr>
                <w:rFonts w:hint="eastAsia" w:ascii="宋体" w:hAnsi="宋体" w:eastAsia="宋体" w:cs="宋体"/>
                <w:sz w:val="24"/>
                <w:szCs w:val="24"/>
                <w:lang w:val="en-US" w:eastAsia="zh-CN"/>
              </w:rPr>
            </w:pPr>
          </w:p>
        </w:tc>
        <w:tc>
          <w:tcPr>
            <w:tcW w:w="2400" w:type="pct"/>
            <w:noWrap w:val="0"/>
            <w:vAlign w:val="center"/>
          </w:tcPr>
          <w:p w14:paraId="22713E25">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按规定进行全员安全教育</w:t>
            </w:r>
          </w:p>
        </w:tc>
        <w:tc>
          <w:tcPr>
            <w:tcW w:w="486" w:type="pct"/>
            <w:noWrap w:val="0"/>
            <w:vAlign w:val="center"/>
          </w:tcPr>
          <w:p w14:paraId="203F0C23">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1分/次</w:t>
            </w:r>
          </w:p>
        </w:tc>
        <w:tc>
          <w:tcPr>
            <w:tcW w:w="486" w:type="pct"/>
            <w:gridSpan w:val="2"/>
            <w:noWrap w:val="0"/>
            <w:vAlign w:val="center"/>
          </w:tcPr>
          <w:p w14:paraId="5EA50FC2">
            <w:pPr>
              <w:jc w:val="center"/>
              <w:rPr>
                <w:rFonts w:hint="eastAsia" w:ascii="宋体" w:hAnsi="宋体" w:eastAsia="宋体" w:cs="宋体"/>
                <w:sz w:val="24"/>
                <w:szCs w:val="24"/>
                <w:lang w:val="en-US" w:eastAsia="zh-CN"/>
              </w:rPr>
            </w:pPr>
          </w:p>
        </w:tc>
        <w:tc>
          <w:tcPr>
            <w:tcW w:w="486" w:type="pct"/>
            <w:noWrap w:val="0"/>
            <w:vAlign w:val="center"/>
          </w:tcPr>
          <w:p w14:paraId="76108A46">
            <w:pPr>
              <w:jc w:val="center"/>
              <w:rPr>
                <w:rFonts w:hint="eastAsia" w:ascii="宋体" w:hAnsi="宋体" w:eastAsia="宋体" w:cs="宋体"/>
                <w:sz w:val="24"/>
                <w:szCs w:val="24"/>
                <w:lang w:val="en-US" w:eastAsia="zh-CN"/>
              </w:rPr>
            </w:pPr>
          </w:p>
        </w:tc>
      </w:tr>
      <w:tr w14:paraId="575A3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43BFF409">
            <w:pPr>
              <w:jc w:val="center"/>
              <w:rPr>
                <w:rFonts w:hint="eastAsia" w:ascii="宋体" w:hAnsi="宋体" w:eastAsia="宋体" w:cs="宋体"/>
                <w:sz w:val="24"/>
                <w:szCs w:val="24"/>
                <w:lang w:val="en-US" w:eastAsia="zh-CN"/>
              </w:rPr>
            </w:pPr>
          </w:p>
        </w:tc>
        <w:tc>
          <w:tcPr>
            <w:tcW w:w="456" w:type="pct"/>
            <w:vMerge w:val="continue"/>
            <w:noWrap w:val="0"/>
            <w:vAlign w:val="center"/>
          </w:tcPr>
          <w:p w14:paraId="22E5ACBE">
            <w:pPr>
              <w:jc w:val="center"/>
              <w:rPr>
                <w:rFonts w:hint="eastAsia" w:ascii="宋体" w:hAnsi="宋体" w:eastAsia="宋体" w:cs="宋体"/>
                <w:sz w:val="24"/>
                <w:szCs w:val="24"/>
                <w:lang w:val="en-US" w:eastAsia="zh-CN"/>
              </w:rPr>
            </w:pPr>
          </w:p>
        </w:tc>
        <w:tc>
          <w:tcPr>
            <w:tcW w:w="2400" w:type="pct"/>
            <w:noWrap w:val="0"/>
            <w:vAlign w:val="center"/>
          </w:tcPr>
          <w:p w14:paraId="53AABB49">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养护作业现场内人员必须穿戴干净、整洁并具有反光功能的安全标识服和防护帽</w:t>
            </w:r>
          </w:p>
        </w:tc>
        <w:tc>
          <w:tcPr>
            <w:tcW w:w="486" w:type="pct"/>
            <w:noWrap w:val="0"/>
            <w:vAlign w:val="center"/>
          </w:tcPr>
          <w:p w14:paraId="5B997473">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0.5分/人次</w:t>
            </w:r>
          </w:p>
        </w:tc>
        <w:tc>
          <w:tcPr>
            <w:tcW w:w="486" w:type="pct"/>
            <w:gridSpan w:val="2"/>
            <w:noWrap w:val="0"/>
            <w:vAlign w:val="center"/>
          </w:tcPr>
          <w:p w14:paraId="2D03397E">
            <w:pPr>
              <w:jc w:val="center"/>
              <w:rPr>
                <w:rFonts w:hint="eastAsia" w:ascii="宋体" w:hAnsi="宋体" w:eastAsia="宋体" w:cs="宋体"/>
                <w:sz w:val="24"/>
                <w:szCs w:val="24"/>
                <w:lang w:val="en-US" w:eastAsia="zh-CN"/>
              </w:rPr>
            </w:pPr>
          </w:p>
        </w:tc>
        <w:tc>
          <w:tcPr>
            <w:tcW w:w="486" w:type="pct"/>
            <w:noWrap w:val="0"/>
            <w:vAlign w:val="center"/>
          </w:tcPr>
          <w:p w14:paraId="6303282E">
            <w:pPr>
              <w:jc w:val="center"/>
              <w:rPr>
                <w:rFonts w:hint="eastAsia" w:ascii="宋体" w:hAnsi="宋体" w:eastAsia="宋体" w:cs="宋体"/>
                <w:sz w:val="24"/>
                <w:szCs w:val="24"/>
                <w:lang w:val="en-US" w:eastAsia="zh-CN"/>
              </w:rPr>
            </w:pPr>
          </w:p>
        </w:tc>
      </w:tr>
      <w:tr w14:paraId="7DA51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5522F3CA">
            <w:pPr>
              <w:jc w:val="center"/>
              <w:rPr>
                <w:rFonts w:hint="eastAsia" w:ascii="宋体" w:hAnsi="宋体" w:eastAsia="宋体" w:cs="宋体"/>
                <w:sz w:val="24"/>
                <w:szCs w:val="24"/>
                <w:lang w:val="en-US" w:eastAsia="zh-CN"/>
              </w:rPr>
            </w:pPr>
          </w:p>
        </w:tc>
        <w:tc>
          <w:tcPr>
            <w:tcW w:w="456" w:type="pct"/>
            <w:vMerge w:val="continue"/>
            <w:noWrap w:val="0"/>
            <w:vAlign w:val="center"/>
          </w:tcPr>
          <w:p w14:paraId="5E34E185">
            <w:pPr>
              <w:jc w:val="center"/>
              <w:rPr>
                <w:rFonts w:hint="eastAsia" w:ascii="宋体" w:hAnsi="宋体" w:eastAsia="宋体" w:cs="宋体"/>
                <w:sz w:val="24"/>
                <w:szCs w:val="24"/>
                <w:lang w:val="en-US" w:eastAsia="zh-CN"/>
              </w:rPr>
            </w:pPr>
          </w:p>
        </w:tc>
        <w:tc>
          <w:tcPr>
            <w:tcW w:w="2400" w:type="pct"/>
            <w:noWrap w:val="0"/>
            <w:vAlign w:val="center"/>
          </w:tcPr>
          <w:p w14:paraId="08DDF362">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养护作业现场应根据规范设置明显安全标志及安全防护，安排专人疏导现场交通</w:t>
            </w:r>
          </w:p>
        </w:tc>
        <w:tc>
          <w:tcPr>
            <w:tcW w:w="486" w:type="pct"/>
            <w:noWrap w:val="0"/>
            <w:vAlign w:val="center"/>
          </w:tcPr>
          <w:p w14:paraId="2D4973F2">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1分/次</w:t>
            </w:r>
          </w:p>
        </w:tc>
        <w:tc>
          <w:tcPr>
            <w:tcW w:w="486" w:type="pct"/>
            <w:gridSpan w:val="2"/>
            <w:noWrap w:val="0"/>
            <w:vAlign w:val="center"/>
          </w:tcPr>
          <w:p w14:paraId="190E81EB">
            <w:pPr>
              <w:jc w:val="center"/>
              <w:rPr>
                <w:rFonts w:hint="eastAsia" w:ascii="宋体" w:hAnsi="宋体" w:eastAsia="宋体" w:cs="宋体"/>
                <w:sz w:val="24"/>
                <w:szCs w:val="24"/>
                <w:lang w:val="en-US" w:eastAsia="zh-CN"/>
              </w:rPr>
            </w:pPr>
          </w:p>
        </w:tc>
        <w:tc>
          <w:tcPr>
            <w:tcW w:w="486" w:type="pct"/>
            <w:noWrap w:val="0"/>
            <w:vAlign w:val="center"/>
          </w:tcPr>
          <w:p w14:paraId="5BCA975A">
            <w:pPr>
              <w:jc w:val="center"/>
              <w:rPr>
                <w:rFonts w:hint="eastAsia" w:ascii="宋体" w:hAnsi="宋体" w:eastAsia="宋体" w:cs="宋体"/>
                <w:sz w:val="24"/>
                <w:szCs w:val="24"/>
                <w:lang w:val="en-US" w:eastAsia="zh-CN"/>
              </w:rPr>
            </w:pPr>
          </w:p>
        </w:tc>
      </w:tr>
      <w:tr w14:paraId="4FF6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294A6CA4">
            <w:pPr>
              <w:jc w:val="center"/>
              <w:rPr>
                <w:rFonts w:hint="eastAsia" w:ascii="宋体" w:hAnsi="宋体" w:eastAsia="宋体" w:cs="宋体"/>
                <w:sz w:val="24"/>
                <w:szCs w:val="24"/>
                <w:lang w:val="en-US" w:eastAsia="zh-CN"/>
              </w:rPr>
            </w:pPr>
          </w:p>
        </w:tc>
        <w:tc>
          <w:tcPr>
            <w:tcW w:w="456" w:type="pct"/>
            <w:vMerge w:val="continue"/>
            <w:noWrap w:val="0"/>
            <w:vAlign w:val="center"/>
          </w:tcPr>
          <w:p w14:paraId="6AA70B38">
            <w:pPr>
              <w:jc w:val="center"/>
              <w:rPr>
                <w:rFonts w:hint="eastAsia" w:ascii="宋体" w:hAnsi="宋体" w:eastAsia="宋体" w:cs="宋体"/>
                <w:sz w:val="24"/>
                <w:szCs w:val="24"/>
                <w:lang w:val="en-US" w:eastAsia="zh-CN"/>
              </w:rPr>
            </w:pPr>
          </w:p>
        </w:tc>
        <w:tc>
          <w:tcPr>
            <w:tcW w:w="2400" w:type="pct"/>
            <w:noWrap w:val="0"/>
            <w:vAlign w:val="center"/>
          </w:tcPr>
          <w:p w14:paraId="5480F64F">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夜间施工时，养护作业区应有足够的照明，并设置频闪警示标志</w:t>
            </w:r>
          </w:p>
        </w:tc>
        <w:tc>
          <w:tcPr>
            <w:tcW w:w="486" w:type="pct"/>
            <w:noWrap w:val="0"/>
            <w:vAlign w:val="center"/>
          </w:tcPr>
          <w:p w14:paraId="2B9DB15C">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1分/次</w:t>
            </w:r>
          </w:p>
        </w:tc>
        <w:tc>
          <w:tcPr>
            <w:tcW w:w="486" w:type="pct"/>
            <w:gridSpan w:val="2"/>
            <w:noWrap w:val="0"/>
            <w:vAlign w:val="center"/>
          </w:tcPr>
          <w:p w14:paraId="4AF900A0">
            <w:pPr>
              <w:jc w:val="center"/>
              <w:rPr>
                <w:rFonts w:hint="eastAsia" w:ascii="宋体" w:hAnsi="宋体" w:eastAsia="宋体" w:cs="宋体"/>
                <w:sz w:val="24"/>
                <w:szCs w:val="24"/>
                <w:lang w:val="en-US" w:eastAsia="zh-CN"/>
              </w:rPr>
            </w:pPr>
          </w:p>
        </w:tc>
        <w:tc>
          <w:tcPr>
            <w:tcW w:w="486" w:type="pct"/>
            <w:noWrap w:val="0"/>
            <w:vAlign w:val="center"/>
          </w:tcPr>
          <w:p w14:paraId="5B240420">
            <w:pPr>
              <w:jc w:val="center"/>
              <w:rPr>
                <w:rFonts w:hint="eastAsia" w:ascii="宋体" w:hAnsi="宋体" w:eastAsia="宋体" w:cs="宋体"/>
                <w:sz w:val="24"/>
                <w:szCs w:val="24"/>
                <w:lang w:val="en-US" w:eastAsia="zh-CN"/>
              </w:rPr>
            </w:pPr>
          </w:p>
        </w:tc>
      </w:tr>
      <w:tr w14:paraId="47D7F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26F5D11E">
            <w:pPr>
              <w:jc w:val="center"/>
              <w:rPr>
                <w:rFonts w:hint="eastAsia" w:ascii="宋体" w:hAnsi="宋体" w:eastAsia="宋体" w:cs="宋体"/>
                <w:sz w:val="24"/>
                <w:szCs w:val="24"/>
                <w:lang w:val="en-US" w:eastAsia="zh-CN"/>
              </w:rPr>
            </w:pPr>
          </w:p>
        </w:tc>
        <w:tc>
          <w:tcPr>
            <w:tcW w:w="456" w:type="pct"/>
            <w:vMerge w:val="continue"/>
            <w:noWrap w:val="0"/>
            <w:vAlign w:val="center"/>
          </w:tcPr>
          <w:p w14:paraId="55D4C8F7">
            <w:pPr>
              <w:jc w:val="center"/>
              <w:rPr>
                <w:rFonts w:hint="eastAsia" w:ascii="宋体" w:hAnsi="宋体" w:eastAsia="宋体" w:cs="宋体"/>
                <w:sz w:val="24"/>
                <w:szCs w:val="24"/>
                <w:lang w:val="en-US" w:eastAsia="zh-CN"/>
              </w:rPr>
            </w:pPr>
          </w:p>
        </w:tc>
        <w:tc>
          <w:tcPr>
            <w:tcW w:w="2400" w:type="pct"/>
            <w:noWrap w:val="0"/>
            <w:vAlign w:val="center"/>
          </w:tcPr>
          <w:p w14:paraId="37F71249">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大面积养护作业现场使用雾炮车等降尘设施</w:t>
            </w:r>
          </w:p>
        </w:tc>
        <w:tc>
          <w:tcPr>
            <w:tcW w:w="486" w:type="pct"/>
            <w:noWrap w:val="0"/>
            <w:vAlign w:val="center"/>
          </w:tcPr>
          <w:p w14:paraId="71E1EE38">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2分/次</w:t>
            </w:r>
          </w:p>
        </w:tc>
        <w:tc>
          <w:tcPr>
            <w:tcW w:w="486" w:type="pct"/>
            <w:gridSpan w:val="2"/>
            <w:noWrap w:val="0"/>
            <w:vAlign w:val="center"/>
          </w:tcPr>
          <w:p w14:paraId="00714454">
            <w:pPr>
              <w:jc w:val="center"/>
              <w:rPr>
                <w:rFonts w:hint="eastAsia" w:ascii="宋体" w:hAnsi="宋体" w:eastAsia="宋体" w:cs="宋体"/>
                <w:sz w:val="24"/>
                <w:szCs w:val="24"/>
                <w:lang w:val="en-US" w:eastAsia="zh-CN"/>
              </w:rPr>
            </w:pPr>
          </w:p>
        </w:tc>
        <w:tc>
          <w:tcPr>
            <w:tcW w:w="486" w:type="pct"/>
            <w:noWrap w:val="0"/>
            <w:vAlign w:val="center"/>
          </w:tcPr>
          <w:p w14:paraId="387DFAFC">
            <w:pPr>
              <w:jc w:val="center"/>
              <w:rPr>
                <w:rFonts w:hint="eastAsia" w:ascii="宋体" w:hAnsi="宋体" w:eastAsia="宋体" w:cs="宋体"/>
                <w:sz w:val="24"/>
                <w:szCs w:val="24"/>
                <w:lang w:val="en-US" w:eastAsia="zh-CN"/>
              </w:rPr>
            </w:pPr>
          </w:p>
        </w:tc>
      </w:tr>
      <w:tr w14:paraId="19551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1270D81A">
            <w:pPr>
              <w:jc w:val="center"/>
              <w:rPr>
                <w:rFonts w:hint="eastAsia" w:ascii="宋体" w:hAnsi="宋体" w:eastAsia="宋体" w:cs="宋体"/>
                <w:sz w:val="24"/>
                <w:szCs w:val="24"/>
                <w:lang w:val="en-US" w:eastAsia="zh-CN"/>
              </w:rPr>
            </w:pPr>
          </w:p>
        </w:tc>
        <w:tc>
          <w:tcPr>
            <w:tcW w:w="456" w:type="pct"/>
            <w:vMerge w:val="continue"/>
            <w:noWrap w:val="0"/>
            <w:vAlign w:val="center"/>
          </w:tcPr>
          <w:p w14:paraId="3FA4708C">
            <w:pPr>
              <w:jc w:val="center"/>
              <w:rPr>
                <w:rFonts w:hint="eastAsia" w:ascii="宋体" w:hAnsi="宋体" w:eastAsia="宋体" w:cs="宋体"/>
                <w:sz w:val="24"/>
                <w:szCs w:val="24"/>
                <w:lang w:val="en-US" w:eastAsia="zh-CN"/>
              </w:rPr>
            </w:pPr>
          </w:p>
        </w:tc>
        <w:tc>
          <w:tcPr>
            <w:tcW w:w="2400" w:type="pct"/>
            <w:noWrap w:val="0"/>
            <w:vAlign w:val="center"/>
          </w:tcPr>
          <w:p w14:paraId="723AD5A9">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养护作业区裸土、堆放易造成扬尘的材料采用符合标准的防尘网覆盖</w:t>
            </w:r>
          </w:p>
        </w:tc>
        <w:tc>
          <w:tcPr>
            <w:tcW w:w="486" w:type="pct"/>
            <w:noWrap w:val="0"/>
            <w:vAlign w:val="center"/>
          </w:tcPr>
          <w:p w14:paraId="25E7B3F6">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2分/次</w:t>
            </w:r>
          </w:p>
        </w:tc>
        <w:tc>
          <w:tcPr>
            <w:tcW w:w="486" w:type="pct"/>
            <w:gridSpan w:val="2"/>
            <w:noWrap w:val="0"/>
            <w:vAlign w:val="center"/>
          </w:tcPr>
          <w:p w14:paraId="38FE67E6">
            <w:pPr>
              <w:jc w:val="center"/>
              <w:rPr>
                <w:rFonts w:hint="eastAsia" w:ascii="宋体" w:hAnsi="宋体" w:eastAsia="宋体" w:cs="宋体"/>
                <w:sz w:val="24"/>
                <w:szCs w:val="24"/>
                <w:lang w:val="en-US" w:eastAsia="zh-CN"/>
              </w:rPr>
            </w:pPr>
          </w:p>
        </w:tc>
        <w:tc>
          <w:tcPr>
            <w:tcW w:w="486" w:type="pct"/>
            <w:noWrap w:val="0"/>
            <w:vAlign w:val="center"/>
          </w:tcPr>
          <w:p w14:paraId="4C117C8F">
            <w:pPr>
              <w:jc w:val="center"/>
              <w:rPr>
                <w:rFonts w:hint="eastAsia" w:ascii="宋体" w:hAnsi="宋体" w:eastAsia="宋体" w:cs="宋体"/>
                <w:sz w:val="24"/>
                <w:szCs w:val="24"/>
                <w:lang w:val="en-US" w:eastAsia="zh-CN"/>
              </w:rPr>
            </w:pPr>
          </w:p>
        </w:tc>
      </w:tr>
      <w:tr w14:paraId="61F44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47B269E8">
            <w:pPr>
              <w:jc w:val="center"/>
              <w:rPr>
                <w:rFonts w:hint="eastAsia" w:ascii="宋体" w:hAnsi="宋体" w:eastAsia="宋体" w:cs="宋体"/>
                <w:sz w:val="24"/>
                <w:szCs w:val="24"/>
                <w:lang w:val="en-US" w:eastAsia="zh-CN"/>
              </w:rPr>
            </w:pPr>
          </w:p>
        </w:tc>
        <w:tc>
          <w:tcPr>
            <w:tcW w:w="456" w:type="pct"/>
            <w:vMerge w:val="continue"/>
            <w:noWrap w:val="0"/>
            <w:vAlign w:val="center"/>
          </w:tcPr>
          <w:p w14:paraId="39E2368A">
            <w:pPr>
              <w:jc w:val="center"/>
              <w:rPr>
                <w:rFonts w:hint="eastAsia" w:ascii="宋体" w:hAnsi="宋体" w:eastAsia="宋体" w:cs="宋体"/>
                <w:sz w:val="24"/>
                <w:szCs w:val="24"/>
                <w:lang w:val="en-US" w:eastAsia="zh-CN"/>
              </w:rPr>
            </w:pPr>
          </w:p>
        </w:tc>
        <w:tc>
          <w:tcPr>
            <w:tcW w:w="2400" w:type="pct"/>
            <w:noWrap w:val="0"/>
            <w:vAlign w:val="center"/>
          </w:tcPr>
          <w:p w14:paraId="4CC8880C">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养护作业现场建筑材料集中整齐堆放</w:t>
            </w:r>
          </w:p>
        </w:tc>
        <w:tc>
          <w:tcPr>
            <w:tcW w:w="486" w:type="pct"/>
            <w:noWrap w:val="0"/>
            <w:vAlign w:val="center"/>
          </w:tcPr>
          <w:p w14:paraId="5D87F6C4">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1分/次</w:t>
            </w:r>
          </w:p>
        </w:tc>
        <w:tc>
          <w:tcPr>
            <w:tcW w:w="486" w:type="pct"/>
            <w:gridSpan w:val="2"/>
            <w:noWrap w:val="0"/>
            <w:vAlign w:val="center"/>
          </w:tcPr>
          <w:p w14:paraId="0E10EB62">
            <w:pPr>
              <w:jc w:val="center"/>
              <w:rPr>
                <w:rFonts w:hint="eastAsia" w:ascii="宋体" w:hAnsi="宋体" w:eastAsia="宋体" w:cs="宋体"/>
                <w:sz w:val="24"/>
                <w:szCs w:val="24"/>
                <w:lang w:val="en-US" w:eastAsia="zh-CN"/>
              </w:rPr>
            </w:pPr>
          </w:p>
        </w:tc>
        <w:tc>
          <w:tcPr>
            <w:tcW w:w="486" w:type="pct"/>
            <w:noWrap w:val="0"/>
            <w:vAlign w:val="center"/>
          </w:tcPr>
          <w:p w14:paraId="71CBE718">
            <w:pPr>
              <w:jc w:val="center"/>
              <w:rPr>
                <w:rFonts w:hint="eastAsia" w:ascii="宋体" w:hAnsi="宋体" w:eastAsia="宋体" w:cs="宋体"/>
                <w:sz w:val="24"/>
                <w:szCs w:val="24"/>
                <w:lang w:val="en-US" w:eastAsia="zh-CN"/>
              </w:rPr>
            </w:pPr>
          </w:p>
        </w:tc>
      </w:tr>
      <w:tr w14:paraId="4E81A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60BA63DA">
            <w:pPr>
              <w:jc w:val="center"/>
              <w:rPr>
                <w:rFonts w:hint="eastAsia" w:ascii="宋体" w:hAnsi="宋体" w:eastAsia="宋体" w:cs="宋体"/>
                <w:sz w:val="24"/>
                <w:szCs w:val="24"/>
                <w:lang w:val="en-US" w:eastAsia="zh-CN"/>
              </w:rPr>
            </w:pPr>
          </w:p>
        </w:tc>
        <w:tc>
          <w:tcPr>
            <w:tcW w:w="456" w:type="pct"/>
            <w:vMerge w:val="continue"/>
            <w:noWrap w:val="0"/>
            <w:vAlign w:val="center"/>
          </w:tcPr>
          <w:p w14:paraId="266E4C4D">
            <w:pPr>
              <w:jc w:val="center"/>
              <w:rPr>
                <w:rFonts w:hint="eastAsia" w:ascii="宋体" w:hAnsi="宋体" w:eastAsia="宋体" w:cs="宋体"/>
                <w:sz w:val="24"/>
                <w:szCs w:val="24"/>
                <w:lang w:val="en-US" w:eastAsia="zh-CN"/>
              </w:rPr>
            </w:pPr>
          </w:p>
        </w:tc>
        <w:tc>
          <w:tcPr>
            <w:tcW w:w="2400" w:type="pct"/>
            <w:noWrap w:val="0"/>
            <w:vAlign w:val="center"/>
          </w:tcPr>
          <w:p w14:paraId="78F7F3DD">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养护作业现场施工完成后需做到工完料尽场地清</w:t>
            </w:r>
          </w:p>
        </w:tc>
        <w:tc>
          <w:tcPr>
            <w:tcW w:w="486" w:type="pct"/>
            <w:noWrap w:val="0"/>
            <w:vAlign w:val="center"/>
          </w:tcPr>
          <w:p w14:paraId="1175D653">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2分/次</w:t>
            </w:r>
          </w:p>
        </w:tc>
        <w:tc>
          <w:tcPr>
            <w:tcW w:w="486" w:type="pct"/>
            <w:gridSpan w:val="2"/>
            <w:noWrap w:val="0"/>
            <w:vAlign w:val="center"/>
          </w:tcPr>
          <w:p w14:paraId="0BFB5B3B">
            <w:pPr>
              <w:jc w:val="center"/>
              <w:rPr>
                <w:rFonts w:hint="eastAsia" w:ascii="宋体" w:hAnsi="宋体" w:eastAsia="宋体" w:cs="宋体"/>
                <w:sz w:val="24"/>
                <w:szCs w:val="24"/>
                <w:lang w:val="en-US" w:eastAsia="zh-CN"/>
              </w:rPr>
            </w:pPr>
          </w:p>
        </w:tc>
        <w:tc>
          <w:tcPr>
            <w:tcW w:w="486" w:type="pct"/>
            <w:noWrap w:val="0"/>
            <w:vAlign w:val="center"/>
          </w:tcPr>
          <w:p w14:paraId="0A47EC8E">
            <w:pPr>
              <w:jc w:val="center"/>
              <w:rPr>
                <w:rFonts w:hint="eastAsia" w:ascii="宋体" w:hAnsi="宋体" w:eastAsia="宋体" w:cs="宋体"/>
                <w:sz w:val="24"/>
                <w:szCs w:val="24"/>
                <w:lang w:val="en-US" w:eastAsia="zh-CN"/>
              </w:rPr>
            </w:pPr>
          </w:p>
        </w:tc>
      </w:tr>
      <w:tr w14:paraId="02B18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0D72AA9B">
            <w:pPr>
              <w:jc w:val="center"/>
              <w:rPr>
                <w:rFonts w:hint="eastAsia" w:ascii="宋体" w:hAnsi="宋体" w:eastAsia="宋体" w:cs="宋体"/>
                <w:sz w:val="24"/>
                <w:szCs w:val="24"/>
                <w:lang w:val="en-US" w:eastAsia="zh-CN"/>
              </w:rPr>
            </w:pPr>
          </w:p>
        </w:tc>
        <w:tc>
          <w:tcPr>
            <w:tcW w:w="456" w:type="pct"/>
            <w:vMerge w:val="continue"/>
            <w:noWrap w:val="0"/>
            <w:vAlign w:val="center"/>
          </w:tcPr>
          <w:p w14:paraId="3E55DDDC">
            <w:pPr>
              <w:jc w:val="center"/>
              <w:rPr>
                <w:rFonts w:hint="eastAsia" w:ascii="宋体" w:hAnsi="宋体" w:eastAsia="宋体" w:cs="宋体"/>
                <w:sz w:val="24"/>
                <w:szCs w:val="24"/>
                <w:lang w:val="en-US" w:eastAsia="zh-CN"/>
              </w:rPr>
            </w:pPr>
          </w:p>
        </w:tc>
        <w:tc>
          <w:tcPr>
            <w:tcW w:w="2400" w:type="pct"/>
            <w:noWrap w:val="0"/>
            <w:vAlign w:val="center"/>
          </w:tcPr>
          <w:p w14:paraId="71979D03">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发生承担主要责任以上的安全事故</w:t>
            </w:r>
          </w:p>
        </w:tc>
        <w:tc>
          <w:tcPr>
            <w:tcW w:w="486" w:type="pct"/>
            <w:noWrap w:val="0"/>
            <w:vAlign w:val="center"/>
          </w:tcPr>
          <w:p w14:paraId="24858266">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10分/次</w:t>
            </w:r>
          </w:p>
        </w:tc>
        <w:tc>
          <w:tcPr>
            <w:tcW w:w="486" w:type="pct"/>
            <w:gridSpan w:val="2"/>
            <w:noWrap w:val="0"/>
            <w:vAlign w:val="center"/>
          </w:tcPr>
          <w:p w14:paraId="19392459">
            <w:pPr>
              <w:jc w:val="center"/>
              <w:rPr>
                <w:rFonts w:hint="eastAsia" w:ascii="宋体" w:hAnsi="宋体" w:eastAsia="宋体" w:cs="宋体"/>
                <w:sz w:val="24"/>
                <w:szCs w:val="24"/>
                <w:lang w:val="en-US" w:eastAsia="zh-CN"/>
              </w:rPr>
            </w:pPr>
          </w:p>
        </w:tc>
        <w:tc>
          <w:tcPr>
            <w:tcW w:w="486" w:type="pct"/>
            <w:noWrap w:val="0"/>
            <w:vAlign w:val="center"/>
          </w:tcPr>
          <w:p w14:paraId="50CEF724">
            <w:pPr>
              <w:jc w:val="center"/>
              <w:rPr>
                <w:rFonts w:hint="eastAsia" w:ascii="宋体" w:hAnsi="宋体" w:eastAsia="宋体" w:cs="宋体"/>
                <w:sz w:val="24"/>
                <w:szCs w:val="24"/>
                <w:lang w:val="en-US" w:eastAsia="zh-CN"/>
              </w:rPr>
            </w:pPr>
          </w:p>
        </w:tc>
      </w:tr>
      <w:tr w14:paraId="14069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79EBE4D1">
            <w:pPr>
              <w:jc w:val="center"/>
              <w:rPr>
                <w:rFonts w:hint="eastAsia" w:ascii="宋体" w:hAnsi="宋体" w:eastAsia="宋体" w:cs="宋体"/>
                <w:sz w:val="24"/>
                <w:szCs w:val="24"/>
                <w:lang w:val="en-US" w:eastAsia="zh-CN"/>
              </w:rPr>
            </w:pPr>
          </w:p>
        </w:tc>
        <w:tc>
          <w:tcPr>
            <w:tcW w:w="456" w:type="pct"/>
            <w:vMerge w:val="continue"/>
            <w:noWrap w:val="0"/>
            <w:vAlign w:val="center"/>
          </w:tcPr>
          <w:p w14:paraId="1B551CF2">
            <w:pPr>
              <w:jc w:val="center"/>
              <w:rPr>
                <w:rFonts w:hint="eastAsia" w:ascii="宋体" w:hAnsi="宋体" w:eastAsia="宋体" w:cs="宋体"/>
                <w:sz w:val="24"/>
                <w:szCs w:val="24"/>
                <w:lang w:val="en-US" w:eastAsia="zh-CN"/>
              </w:rPr>
            </w:pPr>
          </w:p>
        </w:tc>
        <w:tc>
          <w:tcPr>
            <w:tcW w:w="2400" w:type="pct"/>
            <w:noWrap w:val="0"/>
            <w:vAlign w:val="center"/>
          </w:tcPr>
          <w:p w14:paraId="16565283">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对存在安全隐患的市政设施2小时内消除安全隐患或采取安全防护措施</w:t>
            </w:r>
          </w:p>
        </w:tc>
        <w:tc>
          <w:tcPr>
            <w:tcW w:w="486" w:type="pct"/>
            <w:noWrap w:val="0"/>
            <w:vAlign w:val="center"/>
          </w:tcPr>
          <w:p w14:paraId="46B20ADE">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5分/次</w:t>
            </w:r>
          </w:p>
        </w:tc>
        <w:tc>
          <w:tcPr>
            <w:tcW w:w="486" w:type="pct"/>
            <w:gridSpan w:val="2"/>
            <w:noWrap w:val="0"/>
            <w:vAlign w:val="center"/>
          </w:tcPr>
          <w:p w14:paraId="48AEB2AC">
            <w:pPr>
              <w:jc w:val="center"/>
              <w:rPr>
                <w:rFonts w:hint="eastAsia" w:ascii="宋体" w:hAnsi="宋体" w:eastAsia="宋体" w:cs="宋体"/>
                <w:sz w:val="24"/>
                <w:szCs w:val="24"/>
                <w:lang w:val="en-US" w:eastAsia="zh-CN"/>
              </w:rPr>
            </w:pPr>
          </w:p>
        </w:tc>
        <w:tc>
          <w:tcPr>
            <w:tcW w:w="486" w:type="pct"/>
            <w:noWrap w:val="0"/>
            <w:vAlign w:val="center"/>
          </w:tcPr>
          <w:p w14:paraId="1B9E04D1">
            <w:pPr>
              <w:jc w:val="center"/>
              <w:rPr>
                <w:rFonts w:hint="eastAsia" w:ascii="宋体" w:hAnsi="宋体" w:eastAsia="宋体" w:cs="宋体"/>
                <w:sz w:val="24"/>
                <w:szCs w:val="24"/>
                <w:lang w:val="en-US" w:eastAsia="zh-CN"/>
              </w:rPr>
            </w:pPr>
          </w:p>
        </w:tc>
      </w:tr>
      <w:tr w14:paraId="2E992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restart"/>
            <w:noWrap w:val="0"/>
            <w:vAlign w:val="center"/>
          </w:tcPr>
          <w:p w14:paraId="26CCE100">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施工质量</w:t>
            </w:r>
          </w:p>
        </w:tc>
        <w:tc>
          <w:tcPr>
            <w:tcW w:w="456" w:type="pct"/>
            <w:vMerge w:val="restart"/>
            <w:noWrap w:val="0"/>
            <w:vAlign w:val="center"/>
          </w:tcPr>
          <w:p w14:paraId="71FFED61">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沥青</w:t>
            </w:r>
          </w:p>
          <w:p w14:paraId="37F18290">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路面</w:t>
            </w:r>
          </w:p>
        </w:tc>
        <w:tc>
          <w:tcPr>
            <w:tcW w:w="2400" w:type="pct"/>
            <w:noWrap w:val="0"/>
            <w:vAlign w:val="center"/>
          </w:tcPr>
          <w:p w14:paraId="378C9EBD">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维修作业时的沥青料温度须符合规范要求</w:t>
            </w:r>
          </w:p>
        </w:tc>
        <w:tc>
          <w:tcPr>
            <w:tcW w:w="486" w:type="pct"/>
            <w:noWrap w:val="0"/>
            <w:vAlign w:val="center"/>
          </w:tcPr>
          <w:p w14:paraId="2799AC74">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1分/次</w:t>
            </w:r>
          </w:p>
        </w:tc>
        <w:tc>
          <w:tcPr>
            <w:tcW w:w="486" w:type="pct"/>
            <w:gridSpan w:val="2"/>
            <w:noWrap w:val="0"/>
            <w:vAlign w:val="center"/>
          </w:tcPr>
          <w:p w14:paraId="5FE54637">
            <w:pPr>
              <w:jc w:val="center"/>
              <w:rPr>
                <w:rFonts w:hint="eastAsia" w:ascii="宋体" w:hAnsi="宋体" w:eastAsia="宋体" w:cs="宋体"/>
                <w:sz w:val="24"/>
                <w:szCs w:val="24"/>
                <w:lang w:val="en-US" w:eastAsia="zh-CN"/>
              </w:rPr>
            </w:pPr>
          </w:p>
        </w:tc>
        <w:tc>
          <w:tcPr>
            <w:tcW w:w="486" w:type="pct"/>
            <w:noWrap w:val="0"/>
            <w:vAlign w:val="center"/>
          </w:tcPr>
          <w:p w14:paraId="42090886">
            <w:pPr>
              <w:jc w:val="center"/>
              <w:rPr>
                <w:rFonts w:hint="eastAsia" w:ascii="宋体" w:hAnsi="宋体" w:eastAsia="宋体" w:cs="宋体"/>
                <w:sz w:val="24"/>
                <w:szCs w:val="24"/>
                <w:lang w:val="en-US" w:eastAsia="zh-CN"/>
              </w:rPr>
            </w:pPr>
          </w:p>
        </w:tc>
      </w:tr>
      <w:tr w14:paraId="1B06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2EBF209C">
            <w:pPr>
              <w:jc w:val="center"/>
              <w:rPr>
                <w:rFonts w:hint="eastAsia" w:ascii="宋体" w:hAnsi="宋体" w:eastAsia="宋体" w:cs="宋体"/>
                <w:sz w:val="24"/>
                <w:szCs w:val="24"/>
                <w:lang w:val="en-US" w:eastAsia="zh-CN"/>
              </w:rPr>
            </w:pPr>
          </w:p>
        </w:tc>
        <w:tc>
          <w:tcPr>
            <w:tcW w:w="456" w:type="pct"/>
            <w:vMerge w:val="continue"/>
            <w:noWrap w:val="0"/>
            <w:vAlign w:val="center"/>
          </w:tcPr>
          <w:p w14:paraId="1591B55D">
            <w:pPr>
              <w:jc w:val="center"/>
              <w:rPr>
                <w:rFonts w:hint="eastAsia" w:ascii="宋体" w:hAnsi="宋体" w:eastAsia="宋体" w:cs="宋体"/>
                <w:sz w:val="24"/>
                <w:szCs w:val="24"/>
                <w:lang w:val="en-US" w:eastAsia="zh-CN"/>
              </w:rPr>
            </w:pPr>
          </w:p>
        </w:tc>
        <w:tc>
          <w:tcPr>
            <w:tcW w:w="2400" w:type="pct"/>
            <w:noWrap w:val="0"/>
            <w:vAlign w:val="center"/>
          </w:tcPr>
          <w:p w14:paraId="3CE7F720">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沥青路面铣创规范，边线整齐，底层平整</w:t>
            </w:r>
          </w:p>
        </w:tc>
        <w:tc>
          <w:tcPr>
            <w:tcW w:w="486" w:type="pct"/>
            <w:noWrap w:val="0"/>
            <w:vAlign w:val="center"/>
          </w:tcPr>
          <w:p w14:paraId="6FA53305">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3B2CBBFC">
            <w:pPr>
              <w:jc w:val="center"/>
              <w:rPr>
                <w:rFonts w:hint="eastAsia" w:ascii="宋体" w:hAnsi="宋体" w:eastAsia="宋体" w:cs="宋体"/>
                <w:sz w:val="24"/>
                <w:szCs w:val="24"/>
                <w:lang w:val="en-US" w:eastAsia="zh-CN"/>
              </w:rPr>
            </w:pPr>
          </w:p>
        </w:tc>
        <w:tc>
          <w:tcPr>
            <w:tcW w:w="486" w:type="pct"/>
            <w:noWrap w:val="0"/>
            <w:vAlign w:val="center"/>
          </w:tcPr>
          <w:p w14:paraId="4E66430B">
            <w:pPr>
              <w:jc w:val="center"/>
              <w:rPr>
                <w:rFonts w:hint="eastAsia" w:ascii="宋体" w:hAnsi="宋体" w:eastAsia="宋体" w:cs="宋体"/>
                <w:sz w:val="24"/>
                <w:szCs w:val="24"/>
                <w:lang w:val="en-US" w:eastAsia="zh-CN"/>
              </w:rPr>
            </w:pPr>
          </w:p>
        </w:tc>
      </w:tr>
      <w:tr w14:paraId="703A7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7C35A125">
            <w:pPr>
              <w:jc w:val="center"/>
              <w:rPr>
                <w:rFonts w:hint="eastAsia" w:ascii="宋体" w:hAnsi="宋体" w:eastAsia="宋体" w:cs="宋体"/>
                <w:sz w:val="24"/>
                <w:szCs w:val="24"/>
                <w:lang w:val="en-US" w:eastAsia="zh-CN"/>
              </w:rPr>
            </w:pPr>
          </w:p>
        </w:tc>
        <w:tc>
          <w:tcPr>
            <w:tcW w:w="456" w:type="pct"/>
            <w:vMerge w:val="continue"/>
            <w:noWrap w:val="0"/>
            <w:vAlign w:val="center"/>
          </w:tcPr>
          <w:p w14:paraId="3B8376D8">
            <w:pPr>
              <w:jc w:val="center"/>
              <w:rPr>
                <w:rFonts w:hint="eastAsia" w:ascii="宋体" w:hAnsi="宋体" w:eastAsia="宋体" w:cs="宋体"/>
                <w:sz w:val="24"/>
                <w:szCs w:val="24"/>
                <w:lang w:val="en-US" w:eastAsia="zh-CN"/>
              </w:rPr>
            </w:pPr>
          </w:p>
        </w:tc>
        <w:tc>
          <w:tcPr>
            <w:tcW w:w="2400" w:type="pct"/>
            <w:noWrap w:val="0"/>
            <w:vAlign w:val="center"/>
          </w:tcPr>
          <w:p w14:paraId="772637AA">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粘结层撒布须饱满均匀，无露白现象</w:t>
            </w:r>
          </w:p>
        </w:tc>
        <w:tc>
          <w:tcPr>
            <w:tcW w:w="486" w:type="pct"/>
            <w:noWrap w:val="0"/>
            <w:vAlign w:val="center"/>
          </w:tcPr>
          <w:p w14:paraId="0443FF7E">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5AFC837A">
            <w:pPr>
              <w:jc w:val="center"/>
              <w:rPr>
                <w:rFonts w:hint="eastAsia" w:ascii="宋体" w:hAnsi="宋体" w:eastAsia="宋体" w:cs="宋体"/>
                <w:sz w:val="24"/>
                <w:szCs w:val="24"/>
                <w:lang w:val="en-US" w:eastAsia="zh-CN"/>
              </w:rPr>
            </w:pPr>
          </w:p>
        </w:tc>
        <w:tc>
          <w:tcPr>
            <w:tcW w:w="486" w:type="pct"/>
            <w:noWrap w:val="0"/>
            <w:vAlign w:val="center"/>
          </w:tcPr>
          <w:p w14:paraId="2374A950">
            <w:pPr>
              <w:jc w:val="center"/>
              <w:rPr>
                <w:rFonts w:hint="eastAsia" w:ascii="宋体" w:hAnsi="宋体" w:eastAsia="宋体" w:cs="宋体"/>
                <w:sz w:val="24"/>
                <w:szCs w:val="24"/>
                <w:lang w:val="en-US" w:eastAsia="zh-CN"/>
              </w:rPr>
            </w:pPr>
          </w:p>
        </w:tc>
      </w:tr>
      <w:tr w14:paraId="691E0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0D934B6C">
            <w:pPr>
              <w:jc w:val="center"/>
              <w:rPr>
                <w:rFonts w:hint="eastAsia" w:ascii="宋体" w:hAnsi="宋体" w:eastAsia="宋体" w:cs="宋体"/>
                <w:sz w:val="24"/>
                <w:szCs w:val="24"/>
                <w:lang w:val="en-US" w:eastAsia="zh-CN"/>
              </w:rPr>
            </w:pPr>
          </w:p>
        </w:tc>
        <w:tc>
          <w:tcPr>
            <w:tcW w:w="456" w:type="pct"/>
            <w:vMerge w:val="continue"/>
            <w:noWrap w:val="0"/>
            <w:vAlign w:val="center"/>
          </w:tcPr>
          <w:p w14:paraId="02890F56">
            <w:pPr>
              <w:jc w:val="center"/>
              <w:rPr>
                <w:rFonts w:hint="eastAsia" w:ascii="宋体" w:hAnsi="宋体" w:eastAsia="宋体" w:cs="宋体"/>
                <w:sz w:val="24"/>
                <w:szCs w:val="24"/>
                <w:lang w:val="en-US" w:eastAsia="zh-CN"/>
              </w:rPr>
            </w:pPr>
          </w:p>
        </w:tc>
        <w:tc>
          <w:tcPr>
            <w:tcW w:w="2400" w:type="pct"/>
            <w:noWrap w:val="0"/>
            <w:vAlign w:val="center"/>
          </w:tcPr>
          <w:p w14:paraId="4B145A10">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沥青摊铺平整，与井框或其他肉筑物高差不大于5mn</w:t>
            </w:r>
          </w:p>
        </w:tc>
        <w:tc>
          <w:tcPr>
            <w:tcW w:w="486" w:type="pct"/>
            <w:noWrap w:val="0"/>
            <w:vAlign w:val="center"/>
          </w:tcPr>
          <w:p w14:paraId="29094384">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398F7CC4">
            <w:pPr>
              <w:jc w:val="center"/>
              <w:rPr>
                <w:rFonts w:hint="eastAsia" w:ascii="宋体" w:hAnsi="宋体" w:eastAsia="宋体" w:cs="宋体"/>
                <w:sz w:val="24"/>
                <w:szCs w:val="24"/>
                <w:lang w:val="en-US" w:eastAsia="zh-CN"/>
              </w:rPr>
            </w:pPr>
          </w:p>
        </w:tc>
        <w:tc>
          <w:tcPr>
            <w:tcW w:w="486" w:type="pct"/>
            <w:noWrap w:val="0"/>
            <w:vAlign w:val="center"/>
          </w:tcPr>
          <w:p w14:paraId="61EE9327">
            <w:pPr>
              <w:jc w:val="center"/>
              <w:rPr>
                <w:rFonts w:hint="eastAsia" w:ascii="宋体" w:hAnsi="宋体" w:eastAsia="宋体" w:cs="宋体"/>
                <w:sz w:val="24"/>
                <w:szCs w:val="24"/>
                <w:lang w:val="en-US" w:eastAsia="zh-CN"/>
              </w:rPr>
            </w:pPr>
          </w:p>
        </w:tc>
      </w:tr>
      <w:tr w14:paraId="58004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344A95EE">
            <w:pPr>
              <w:jc w:val="center"/>
              <w:rPr>
                <w:rFonts w:hint="eastAsia" w:ascii="宋体" w:hAnsi="宋体" w:eastAsia="宋体" w:cs="宋体"/>
                <w:sz w:val="24"/>
                <w:szCs w:val="24"/>
                <w:lang w:val="en-US" w:eastAsia="zh-CN"/>
              </w:rPr>
            </w:pPr>
          </w:p>
        </w:tc>
        <w:tc>
          <w:tcPr>
            <w:tcW w:w="456" w:type="pct"/>
            <w:vMerge w:val="continue"/>
            <w:noWrap w:val="0"/>
            <w:vAlign w:val="center"/>
          </w:tcPr>
          <w:p w14:paraId="48D35164">
            <w:pPr>
              <w:jc w:val="center"/>
              <w:rPr>
                <w:rFonts w:hint="eastAsia" w:ascii="宋体" w:hAnsi="宋体" w:eastAsia="宋体" w:cs="宋体"/>
                <w:sz w:val="24"/>
                <w:szCs w:val="24"/>
                <w:lang w:val="en-US" w:eastAsia="zh-CN"/>
              </w:rPr>
            </w:pPr>
          </w:p>
        </w:tc>
        <w:tc>
          <w:tcPr>
            <w:tcW w:w="2400" w:type="pct"/>
            <w:noWrap w:val="0"/>
            <w:vAlign w:val="center"/>
          </w:tcPr>
          <w:p w14:paraId="09CB38A9">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沥青碾压规范，压实充分，表面颗粒无离析、松散现象</w:t>
            </w:r>
          </w:p>
        </w:tc>
        <w:tc>
          <w:tcPr>
            <w:tcW w:w="486" w:type="pct"/>
            <w:noWrap w:val="0"/>
            <w:vAlign w:val="center"/>
          </w:tcPr>
          <w:p w14:paraId="04F2FF18">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47CC267F">
            <w:pPr>
              <w:jc w:val="center"/>
              <w:rPr>
                <w:rFonts w:hint="eastAsia" w:ascii="宋体" w:hAnsi="宋体" w:eastAsia="宋体" w:cs="宋体"/>
                <w:sz w:val="24"/>
                <w:szCs w:val="24"/>
                <w:lang w:val="en-US" w:eastAsia="zh-CN"/>
              </w:rPr>
            </w:pPr>
          </w:p>
        </w:tc>
        <w:tc>
          <w:tcPr>
            <w:tcW w:w="486" w:type="pct"/>
            <w:noWrap w:val="0"/>
            <w:vAlign w:val="center"/>
          </w:tcPr>
          <w:p w14:paraId="69244ED6">
            <w:pPr>
              <w:jc w:val="center"/>
              <w:rPr>
                <w:rFonts w:hint="eastAsia" w:ascii="宋体" w:hAnsi="宋体" w:eastAsia="宋体" w:cs="宋体"/>
                <w:sz w:val="24"/>
                <w:szCs w:val="24"/>
                <w:lang w:val="en-US" w:eastAsia="zh-CN"/>
              </w:rPr>
            </w:pPr>
          </w:p>
        </w:tc>
      </w:tr>
      <w:tr w14:paraId="23018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4FE6E33E">
            <w:pPr>
              <w:jc w:val="center"/>
              <w:rPr>
                <w:rFonts w:hint="eastAsia" w:ascii="宋体" w:hAnsi="宋体" w:eastAsia="宋体" w:cs="宋体"/>
                <w:sz w:val="24"/>
                <w:szCs w:val="24"/>
                <w:lang w:val="en-US" w:eastAsia="zh-CN"/>
              </w:rPr>
            </w:pPr>
          </w:p>
        </w:tc>
        <w:tc>
          <w:tcPr>
            <w:tcW w:w="456" w:type="pct"/>
            <w:vMerge w:val="continue"/>
            <w:noWrap w:val="0"/>
            <w:vAlign w:val="center"/>
          </w:tcPr>
          <w:p w14:paraId="77318B29">
            <w:pPr>
              <w:jc w:val="center"/>
              <w:rPr>
                <w:rFonts w:hint="eastAsia" w:ascii="宋体" w:hAnsi="宋体" w:eastAsia="宋体" w:cs="宋体"/>
                <w:sz w:val="24"/>
                <w:szCs w:val="24"/>
                <w:lang w:val="en-US" w:eastAsia="zh-CN"/>
              </w:rPr>
            </w:pPr>
          </w:p>
        </w:tc>
        <w:tc>
          <w:tcPr>
            <w:tcW w:w="2400" w:type="pct"/>
            <w:noWrap w:val="0"/>
            <w:vAlign w:val="center"/>
          </w:tcPr>
          <w:p w14:paraId="2EAF318E">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冬季沥青摊铺后，接缝位置须采用石油沥青灌缝</w:t>
            </w:r>
          </w:p>
        </w:tc>
        <w:tc>
          <w:tcPr>
            <w:tcW w:w="486" w:type="pct"/>
            <w:noWrap w:val="0"/>
            <w:vAlign w:val="center"/>
          </w:tcPr>
          <w:p w14:paraId="7F5BB302">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6C9D1E14">
            <w:pPr>
              <w:jc w:val="center"/>
              <w:rPr>
                <w:rFonts w:hint="eastAsia" w:ascii="宋体" w:hAnsi="宋体" w:eastAsia="宋体" w:cs="宋体"/>
                <w:sz w:val="24"/>
                <w:szCs w:val="24"/>
                <w:lang w:val="en-US" w:eastAsia="zh-CN"/>
              </w:rPr>
            </w:pPr>
          </w:p>
        </w:tc>
        <w:tc>
          <w:tcPr>
            <w:tcW w:w="486" w:type="pct"/>
            <w:noWrap w:val="0"/>
            <w:vAlign w:val="center"/>
          </w:tcPr>
          <w:p w14:paraId="58BDDD0D">
            <w:pPr>
              <w:jc w:val="center"/>
              <w:rPr>
                <w:rFonts w:hint="eastAsia" w:ascii="宋体" w:hAnsi="宋体" w:eastAsia="宋体" w:cs="宋体"/>
                <w:sz w:val="24"/>
                <w:szCs w:val="24"/>
                <w:lang w:val="en-US" w:eastAsia="zh-CN"/>
              </w:rPr>
            </w:pPr>
          </w:p>
        </w:tc>
      </w:tr>
      <w:tr w14:paraId="47F89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0F9D0F23">
            <w:pPr>
              <w:jc w:val="center"/>
              <w:rPr>
                <w:rFonts w:hint="eastAsia" w:ascii="宋体" w:hAnsi="宋体" w:eastAsia="宋体" w:cs="宋体"/>
                <w:sz w:val="24"/>
                <w:szCs w:val="24"/>
                <w:lang w:val="en-US" w:eastAsia="zh-CN"/>
              </w:rPr>
            </w:pPr>
          </w:p>
        </w:tc>
        <w:tc>
          <w:tcPr>
            <w:tcW w:w="456" w:type="pct"/>
            <w:vMerge w:val="continue"/>
            <w:noWrap w:val="0"/>
            <w:vAlign w:val="center"/>
          </w:tcPr>
          <w:p w14:paraId="48E3D140">
            <w:pPr>
              <w:jc w:val="center"/>
              <w:rPr>
                <w:rFonts w:hint="eastAsia" w:ascii="宋体" w:hAnsi="宋体" w:eastAsia="宋体" w:cs="宋体"/>
                <w:sz w:val="24"/>
                <w:szCs w:val="24"/>
                <w:lang w:val="en-US" w:eastAsia="zh-CN"/>
              </w:rPr>
            </w:pPr>
          </w:p>
        </w:tc>
        <w:tc>
          <w:tcPr>
            <w:tcW w:w="2400" w:type="pct"/>
            <w:noWrap w:val="0"/>
            <w:vAlign w:val="center"/>
          </w:tcPr>
          <w:p w14:paraId="4B59CE8E">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沥青路面灌缝开槽机须配备吸尘装置</w:t>
            </w:r>
          </w:p>
        </w:tc>
        <w:tc>
          <w:tcPr>
            <w:tcW w:w="486" w:type="pct"/>
            <w:noWrap w:val="0"/>
            <w:vAlign w:val="center"/>
          </w:tcPr>
          <w:p w14:paraId="280211C4">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2C173C35">
            <w:pPr>
              <w:jc w:val="center"/>
              <w:rPr>
                <w:rFonts w:hint="eastAsia" w:ascii="宋体" w:hAnsi="宋体" w:eastAsia="宋体" w:cs="宋体"/>
                <w:sz w:val="24"/>
                <w:szCs w:val="24"/>
                <w:lang w:val="en-US" w:eastAsia="zh-CN"/>
              </w:rPr>
            </w:pPr>
          </w:p>
        </w:tc>
        <w:tc>
          <w:tcPr>
            <w:tcW w:w="486" w:type="pct"/>
            <w:noWrap w:val="0"/>
            <w:vAlign w:val="center"/>
          </w:tcPr>
          <w:p w14:paraId="05639821">
            <w:pPr>
              <w:jc w:val="center"/>
              <w:rPr>
                <w:rFonts w:hint="eastAsia" w:ascii="宋体" w:hAnsi="宋体" w:eastAsia="宋体" w:cs="宋体"/>
                <w:sz w:val="24"/>
                <w:szCs w:val="24"/>
                <w:lang w:val="en-US" w:eastAsia="zh-CN"/>
              </w:rPr>
            </w:pPr>
          </w:p>
        </w:tc>
      </w:tr>
      <w:tr w14:paraId="445E5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709AF682">
            <w:pPr>
              <w:jc w:val="center"/>
              <w:rPr>
                <w:rFonts w:hint="eastAsia" w:ascii="宋体" w:hAnsi="宋体" w:eastAsia="宋体" w:cs="宋体"/>
                <w:sz w:val="24"/>
                <w:szCs w:val="24"/>
                <w:lang w:val="en-US" w:eastAsia="zh-CN"/>
              </w:rPr>
            </w:pPr>
          </w:p>
        </w:tc>
        <w:tc>
          <w:tcPr>
            <w:tcW w:w="456" w:type="pct"/>
            <w:vMerge w:val="continue"/>
            <w:noWrap w:val="0"/>
            <w:vAlign w:val="center"/>
          </w:tcPr>
          <w:p w14:paraId="504E034B">
            <w:pPr>
              <w:jc w:val="center"/>
              <w:rPr>
                <w:rFonts w:hint="eastAsia" w:ascii="宋体" w:hAnsi="宋体" w:eastAsia="宋体" w:cs="宋体"/>
                <w:sz w:val="24"/>
                <w:szCs w:val="24"/>
                <w:lang w:val="en-US" w:eastAsia="zh-CN"/>
              </w:rPr>
            </w:pPr>
          </w:p>
        </w:tc>
        <w:tc>
          <w:tcPr>
            <w:tcW w:w="2400" w:type="pct"/>
            <w:noWrap w:val="0"/>
            <w:vAlign w:val="center"/>
          </w:tcPr>
          <w:p w14:paraId="6B1C526F">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开槽宽度不低于1cm，深度1-3cm，深宽比不超过2:1,灌缝密实均匀</w:t>
            </w:r>
          </w:p>
        </w:tc>
        <w:tc>
          <w:tcPr>
            <w:tcW w:w="486" w:type="pct"/>
            <w:noWrap w:val="0"/>
            <w:vAlign w:val="center"/>
          </w:tcPr>
          <w:p w14:paraId="7D25D7F9">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03623058">
            <w:pPr>
              <w:jc w:val="center"/>
              <w:rPr>
                <w:rFonts w:hint="eastAsia" w:ascii="宋体" w:hAnsi="宋体" w:eastAsia="宋体" w:cs="宋体"/>
                <w:sz w:val="24"/>
                <w:szCs w:val="24"/>
                <w:lang w:val="en-US" w:eastAsia="zh-CN"/>
              </w:rPr>
            </w:pPr>
          </w:p>
        </w:tc>
        <w:tc>
          <w:tcPr>
            <w:tcW w:w="486" w:type="pct"/>
            <w:noWrap w:val="0"/>
            <w:vAlign w:val="center"/>
          </w:tcPr>
          <w:p w14:paraId="31749281">
            <w:pPr>
              <w:jc w:val="center"/>
              <w:rPr>
                <w:rFonts w:hint="eastAsia" w:ascii="宋体" w:hAnsi="宋体" w:eastAsia="宋体" w:cs="宋体"/>
                <w:sz w:val="24"/>
                <w:szCs w:val="24"/>
                <w:lang w:val="en-US" w:eastAsia="zh-CN"/>
              </w:rPr>
            </w:pPr>
          </w:p>
        </w:tc>
      </w:tr>
      <w:tr w14:paraId="54C5C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restart"/>
            <w:noWrap w:val="0"/>
            <w:vAlign w:val="center"/>
          </w:tcPr>
          <w:p w14:paraId="5DE937F3">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施工质量</w:t>
            </w:r>
          </w:p>
        </w:tc>
        <w:tc>
          <w:tcPr>
            <w:tcW w:w="456" w:type="pct"/>
            <w:vMerge w:val="restart"/>
            <w:noWrap w:val="0"/>
            <w:vAlign w:val="center"/>
          </w:tcPr>
          <w:p w14:paraId="23DA9713">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混凝土路面</w:t>
            </w:r>
          </w:p>
        </w:tc>
        <w:tc>
          <w:tcPr>
            <w:tcW w:w="2400" w:type="pct"/>
            <w:noWrap w:val="0"/>
            <w:vAlign w:val="center"/>
          </w:tcPr>
          <w:p w14:paraId="31C031D0">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混凝土浇筑前应确保基底整洁、无杂物</w:t>
            </w:r>
          </w:p>
        </w:tc>
        <w:tc>
          <w:tcPr>
            <w:tcW w:w="486" w:type="pct"/>
            <w:noWrap w:val="0"/>
            <w:vAlign w:val="center"/>
          </w:tcPr>
          <w:p w14:paraId="5AD7F53E">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1B17CEB5">
            <w:pPr>
              <w:jc w:val="center"/>
              <w:rPr>
                <w:rFonts w:hint="eastAsia" w:ascii="宋体" w:hAnsi="宋体" w:eastAsia="宋体" w:cs="宋体"/>
                <w:sz w:val="24"/>
                <w:szCs w:val="24"/>
                <w:lang w:val="en-US" w:eastAsia="zh-CN"/>
              </w:rPr>
            </w:pPr>
          </w:p>
        </w:tc>
        <w:tc>
          <w:tcPr>
            <w:tcW w:w="486" w:type="pct"/>
            <w:noWrap w:val="0"/>
            <w:vAlign w:val="center"/>
          </w:tcPr>
          <w:p w14:paraId="4ACB7E51">
            <w:pPr>
              <w:jc w:val="center"/>
              <w:rPr>
                <w:rFonts w:hint="eastAsia" w:ascii="宋体" w:hAnsi="宋体" w:eastAsia="宋体" w:cs="宋体"/>
                <w:sz w:val="24"/>
                <w:szCs w:val="24"/>
                <w:lang w:val="en-US" w:eastAsia="zh-CN"/>
              </w:rPr>
            </w:pPr>
          </w:p>
        </w:tc>
      </w:tr>
      <w:tr w14:paraId="260E3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74FD8650">
            <w:pPr>
              <w:jc w:val="center"/>
              <w:rPr>
                <w:rFonts w:hint="eastAsia" w:ascii="宋体" w:hAnsi="宋体" w:eastAsia="宋体" w:cs="宋体"/>
                <w:sz w:val="24"/>
                <w:szCs w:val="24"/>
                <w:lang w:val="en-US" w:eastAsia="zh-CN"/>
              </w:rPr>
            </w:pPr>
          </w:p>
        </w:tc>
        <w:tc>
          <w:tcPr>
            <w:tcW w:w="456" w:type="pct"/>
            <w:vMerge w:val="continue"/>
            <w:noWrap w:val="0"/>
            <w:vAlign w:val="center"/>
          </w:tcPr>
          <w:p w14:paraId="0D83F2C5">
            <w:pPr>
              <w:jc w:val="center"/>
              <w:rPr>
                <w:rFonts w:hint="eastAsia" w:ascii="宋体" w:hAnsi="宋体" w:eastAsia="宋体" w:cs="宋体"/>
                <w:sz w:val="24"/>
                <w:szCs w:val="24"/>
                <w:lang w:val="en-US" w:eastAsia="zh-CN"/>
              </w:rPr>
            </w:pPr>
          </w:p>
        </w:tc>
        <w:tc>
          <w:tcPr>
            <w:tcW w:w="2400" w:type="pct"/>
            <w:noWrap w:val="0"/>
            <w:vAlign w:val="center"/>
          </w:tcPr>
          <w:p w14:paraId="4D8225AA">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混凝土须振捣密实、无离析现象</w:t>
            </w:r>
          </w:p>
        </w:tc>
        <w:tc>
          <w:tcPr>
            <w:tcW w:w="486" w:type="pct"/>
            <w:noWrap w:val="0"/>
            <w:vAlign w:val="center"/>
          </w:tcPr>
          <w:p w14:paraId="71F9912F">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7117177C">
            <w:pPr>
              <w:jc w:val="center"/>
              <w:rPr>
                <w:rFonts w:hint="eastAsia" w:ascii="宋体" w:hAnsi="宋体" w:eastAsia="宋体" w:cs="宋体"/>
                <w:sz w:val="24"/>
                <w:szCs w:val="24"/>
                <w:lang w:val="en-US" w:eastAsia="zh-CN"/>
              </w:rPr>
            </w:pPr>
          </w:p>
        </w:tc>
        <w:tc>
          <w:tcPr>
            <w:tcW w:w="486" w:type="pct"/>
            <w:noWrap w:val="0"/>
            <w:vAlign w:val="center"/>
          </w:tcPr>
          <w:p w14:paraId="0481C88C">
            <w:pPr>
              <w:jc w:val="center"/>
              <w:rPr>
                <w:rFonts w:hint="eastAsia" w:ascii="宋体" w:hAnsi="宋体" w:eastAsia="宋体" w:cs="宋体"/>
                <w:sz w:val="24"/>
                <w:szCs w:val="24"/>
                <w:lang w:val="en-US" w:eastAsia="zh-CN"/>
              </w:rPr>
            </w:pPr>
          </w:p>
        </w:tc>
      </w:tr>
      <w:tr w14:paraId="3D00C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604A4FA5">
            <w:pPr>
              <w:jc w:val="center"/>
              <w:rPr>
                <w:rFonts w:hint="eastAsia" w:ascii="宋体" w:hAnsi="宋体" w:eastAsia="宋体" w:cs="宋体"/>
                <w:sz w:val="24"/>
                <w:szCs w:val="24"/>
                <w:lang w:val="en-US" w:eastAsia="zh-CN"/>
              </w:rPr>
            </w:pPr>
          </w:p>
        </w:tc>
        <w:tc>
          <w:tcPr>
            <w:tcW w:w="456" w:type="pct"/>
            <w:vMerge w:val="continue"/>
            <w:noWrap w:val="0"/>
            <w:vAlign w:val="center"/>
          </w:tcPr>
          <w:p w14:paraId="0517516F">
            <w:pPr>
              <w:jc w:val="center"/>
              <w:rPr>
                <w:rFonts w:hint="eastAsia" w:ascii="宋体" w:hAnsi="宋体" w:eastAsia="宋体" w:cs="宋体"/>
                <w:sz w:val="24"/>
                <w:szCs w:val="24"/>
                <w:lang w:val="en-US" w:eastAsia="zh-CN"/>
              </w:rPr>
            </w:pPr>
          </w:p>
        </w:tc>
        <w:tc>
          <w:tcPr>
            <w:tcW w:w="2400" w:type="pct"/>
            <w:noWrap w:val="0"/>
            <w:vAlign w:val="center"/>
          </w:tcPr>
          <w:p w14:paraId="20E0460C">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混凝土表面平整、无蜂窝麻面、裂缝现象</w:t>
            </w:r>
          </w:p>
        </w:tc>
        <w:tc>
          <w:tcPr>
            <w:tcW w:w="486" w:type="pct"/>
            <w:noWrap w:val="0"/>
            <w:vAlign w:val="center"/>
          </w:tcPr>
          <w:p w14:paraId="0EC159A5">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38BE8B17">
            <w:pPr>
              <w:jc w:val="center"/>
              <w:rPr>
                <w:rFonts w:hint="eastAsia" w:ascii="宋体" w:hAnsi="宋体" w:eastAsia="宋体" w:cs="宋体"/>
                <w:sz w:val="24"/>
                <w:szCs w:val="24"/>
                <w:lang w:val="en-US" w:eastAsia="zh-CN"/>
              </w:rPr>
            </w:pPr>
          </w:p>
        </w:tc>
        <w:tc>
          <w:tcPr>
            <w:tcW w:w="486" w:type="pct"/>
            <w:noWrap w:val="0"/>
            <w:vAlign w:val="center"/>
          </w:tcPr>
          <w:p w14:paraId="35B94C9E">
            <w:pPr>
              <w:jc w:val="center"/>
              <w:rPr>
                <w:rFonts w:hint="eastAsia" w:ascii="宋体" w:hAnsi="宋体" w:eastAsia="宋体" w:cs="宋体"/>
                <w:sz w:val="24"/>
                <w:szCs w:val="24"/>
                <w:lang w:val="en-US" w:eastAsia="zh-CN"/>
              </w:rPr>
            </w:pPr>
          </w:p>
        </w:tc>
      </w:tr>
      <w:tr w14:paraId="23203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577F2E60">
            <w:pPr>
              <w:jc w:val="center"/>
              <w:rPr>
                <w:rFonts w:hint="eastAsia" w:ascii="宋体" w:hAnsi="宋体" w:eastAsia="宋体" w:cs="宋体"/>
                <w:sz w:val="24"/>
                <w:szCs w:val="24"/>
                <w:lang w:val="en-US" w:eastAsia="zh-CN"/>
              </w:rPr>
            </w:pPr>
          </w:p>
        </w:tc>
        <w:tc>
          <w:tcPr>
            <w:tcW w:w="456" w:type="pct"/>
            <w:vMerge w:val="continue"/>
            <w:noWrap w:val="0"/>
            <w:vAlign w:val="center"/>
          </w:tcPr>
          <w:p w14:paraId="66C918A2">
            <w:pPr>
              <w:jc w:val="center"/>
              <w:rPr>
                <w:rFonts w:hint="eastAsia" w:ascii="宋体" w:hAnsi="宋体" w:eastAsia="宋体" w:cs="宋体"/>
                <w:sz w:val="24"/>
                <w:szCs w:val="24"/>
                <w:lang w:val="en-US" w:eastAsia="zh-CN"/>
              </w:rPr>
            </w:pPr>
          </w:p>
        </w:tc>
        <w:tc>
          <w:tcPr>
            <w:tcW w:w="2400" w:type="pct"/>
            <w:noWrap w:val="0"/>
            <w:vAlign w:val="center"/>
          </w:tcPr>
          <w:p w14:paraId="40D749FB">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与井框或其他构筑物高差不大于5mm</w:t>
            </w:r>
          </w:p>
        </w:tc>
        <w:tc>
          <w:tcPr>
            <w:tcW w:w="486" w:type="pct"/>
            <w:noWrap w:val="0"/>
            <w:vAlign w:val="center"/>
          </w:tcPr>
          <w:p w14:paraId="18E2C7BD">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41BA44A3">
            <w:pPr>
              <w:jc w:val="center"/>
              <w:rPr>
                <w:rFonts w:hint="eastAsia" w:ascii="宋体" w:hAnsi="宋体" w:eastAsia="宋体" w:cs="宋体"/>
                <w:sz w:val="24"/>
                <w:szCs w:val="24"/>
                <w:lang w:val="en-US" w:eastAsia="zh-CN"/>
              </w:rPr>
            </w:pPr>
          </w:p>
        </w:tc>
        <w:tc>
          <w:tcPr>
            <w:tcW w:w="486" w:type="pct"/>
            <w:noWrap w:val="0"/>
            <w:vAlign w:val="center"/>
          </w:tcPr>
          <w:p w14:paraId="2251F551">
            <w:pPr>
              <w:jc w:val="center"/>
              <w:rPr>
                <w:rFonts w:hint="eastAsia" w:ascii="宋体" w:hAnsi="宋体" w:eastAsia="宋体" w:cs="宋体"/>
                <w:sz w:val="24"/>
                <w:szCs w:val="24"/>
                <w:lang w:val="en-US" w:eastAsia="zh-CN"/>
              </w:rPr>
            </w:pPr>
          </w:p>
        </w:tc>
      </w:tr>
      <w:tr w14:paraId="54E3E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0539059C">
            <w:pPr>
              <w:jc w:val="center"/>
              <w:rPr>
                <w:rFonts w:hint="eastAsia" w:ascii="宋体" w:hAnsi="宋体" w:eastAsia="宋体" w:cs="宋体"/>
                <w:sz w:val="24"/>
                <w:szCs w:val="24"/>
                <w:lang w:val="en-US" w:eastAsia="zh-CN"/>
              </w:rPr>
            </w:pPr>
          </w:p>
        </w:tc>
        <w:tc>
          <w:tcPr>
            <w:tcW w:w="456" w:type="pct"/>
            <w:vMerge w:val="continue"/>
            <w:noWrap w:val="0"/>
            <w:vAlign w:val="center"/>
          </w:tcPr>
          <w:p w14:paraId="5C651D63">
            <w:pPr>
              <w:jc w:val="center"/>
              <w:rPr>
                <w:rFonts w:hint="eastAsia" w:ascii="宋体" w:hAnsi="宋体" w:eastAsia="宋体" w:cs="宋体"/>
                <w:sz w:val="24"/>
                <w:szCs w:val="24"/>
                <w:lang w:val="en-US" w:eastAsia="zh-CN"/>
              </w:rPr>
            </w:pPr>
          </w:p>
        </w:tc>
        <w:tc>
          <w:tcPr>
            <w:tcW w:w="2400" w:type="pct"/>
            <w:noWrap w:val="0"/>
            <w:vAlign w:val="center"/>
          </w:tcPr>
          <w:p w14:paraId="65B3C090">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混凝土路面棱边顺直，无边角剥落现象</w:t>
            </w:r>
          </w:p>
        </w:tc>
        <w:tc>
          <w:tcPr>
            <w:tcW w:w="486" w:type="pct"/>
            <w:noWrap w:val="0"/>
            <w:vAlign w:val="center"/>
          </w:tcPr>
          <w:p w14:paraId="5C5032C2">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56966C84">
            <w:pPr>
              <w:jc w:val="center"/>
              <w:rPr>
                <w:rFonts w:hint="eastAsia" w:ascii="宋体" w:hAnsi="宋体" w:eastAsia="宋体" w:cs="宋体"/>
                <w:sz w:val="24"/>
                <w:szCs w:val="24"/>
                <w:lang w:val="en-US" w:eastAsia="zh-CN"/>
              </w:rPr>
            </w:pPr>
          </w:p>
        </w:tc>
        <w:tc>
          <w:tcPr>
            <w:tcW w:w="486" w:type="pct"/>
            <w:noWrap w:val="0"/>
            <w:vAlign w:val="center"/>
          </w:tcPr>
          <w:p w14:paraId="4C6C6D16">
            <w:pPr>
              <w:jc w:val="center"/>
              <w:rPr>
                <w:rFonts w:hint="eastAsia" w:ascii="宋体" w:hAnsi="宋体" w:eastAsia="宋体" w:cs="宋体"/>
                <w:sz w:val="24"/>
                <w:szCs w:val="24"/>
                <w:lang w:val="en-US" w:eastAsia="zh-CN"/>
              </w:rPr>
            </w:pPr>
          </w:p>
        </w:tc>
      </w:tr>
      <w:tr w14:paraId="0C0D1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309D6648">
            <w:pPr>
              <w:jc w:val="center"/>
              <w:rPr>
                <w:rFonts w:hint="eastAsia" w:ascii="宋体" w:hAnsi="宋体" w:eastAsia="宋体" w:cs="宋体"/>
                <w:sz w:val="24"/>
                <w:szCs w:val="24"/>
                <w:lang w:val="en-US" w:eastAsia="zh-CN"/>
              </w:rPr>
            </w:pPr>
          </w:p>
        </w:tc>
        <w:tc>
          <w:tcPr>
            <w:tcW w:w="456" w:type="pct"/>
            <w:vMerge w:val="restart"/>
            <w:noWrap w:val="0"/>
            <w:vAlign w:val="center"/>
          </w:tcPr>
          <w:p w14:paraId="08D3A946">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人行道</w:t>
            </w:r>
          </w:p>
        </w:tc>
        <w:tc>
          <w:tcPr>
            <w:tcW w:w="2400" w:type="pct"/>
            <w:noWrap w:val="0"/>
            <w:vAlign w:val="center"/>
          </w:tcPr>
          <w:p w14:paraId="34B08BBF">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人行道而层砌块铺装前应确保基底平整、无杂物</w:t>
            </w:r>
          </w:p>
        </w:tc>
        <w:tc>
          <w:tcPr>
            <w:tcW w:w="486" w:type="pct"/>
            <w:noWrap w:val="0"/>
            <w:vAlign w:val="center"/>
          </w:tcPr>
          <w:p w14:paraId="4175BDC0">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1FFE82F6">
            <w:pPr>
              <w:jc w:val="center"/>
              <w:rPr>
                <w:rFonts w:hint="eastAsia" w:ascii="宋体" w:hAnsi="宋体" w:eastAsia="宋体" w:cs="宋体"/>
                <w:sz w:val="24"/>
                <w:szCs w:val="24"/>
                <w:lang w:val="en-US" w:eastAsia="zh-CN"/>
              </w:rPr>
            </w:pPr>
          </w:p>
        </w:tc>
        <w:tc>
          <w:tcPr>
            <w:tcW w:w="486" w:type="pct"/>
            <w:noWrap w:val="0"/>
            <w:vAlign w:val="center"/>
          </w:tcPr>
          <w:p w14:paraId="68D305A3">
            <w:pPr>
              <w:jc w:val="center"/>
              <w:rPr>
                <w:rFonts w:hint="eastAsia" w:ascii="宋体" w:hAnsi="宋体" w:eastAsia="宋体" w:cs="宋体"/>
                <w:sz w:val="24"/>
                <w:szCs w:val="24"/>
                <w:lang w:val="en-US" w:eastAsia="zh-CN"/>
              </w:rPr>
            </w:pPr>
          </w:p>
        </w:tc>
      </w:tr>
      <w:tr w14:paraId="6D69F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2B55A9E9">
            <w:pPr>
              <w:jc w:val="center"/>
              <w:rPr>
                <w:rFonts w:hint="eastAsia" w:ascii="宋体" w:hAnsi="宋体" w:eastAsia="宋体" w:cs="宋体"/>
                <w:sz w:val="24"/>
                <w:szCs w:val="24"/>
                <w:lang w:val="en-US" w:eastAsia="zh-CN"/>
              </w:rPr>
            </w:pPr>
          </w:p>
        </w:tc>
        <w:tc>
          <w:tcPr>
            <w:tcW w:w="456" w:type="pct"/>
            <w:vMerge w:val="continue"/>
            <w:noWrap w:val="0"/>
            <w:vAlign w:val="center"/>
          </w:tcPr>
          <w:p w14:paraId="3A09A108">
            <w:pPr>
              <w:jc w:val="center"/>
              <w:rPr>
                <w:rFonts w:hint="eastAsia" w:ascii="宋体" w:hAnsi="宋体" w:eastAsia="宋体" w:cs="宋体"/>
                <w:sz w:val="24"/>
                <w:szCs w:val="24"/>
                <w:lang w:val="en-US" w:eastAsia="zh-CN"/>
              </w:rPr>
            </w:pPr>
          </w:p>
        </w:tc>
        <w:tc>
          <w:tcPr>
            <w:tcW w:w="2400" w:type="pct"/>
            <w:noWrap w:val="0"/>
            <w:vAlign w:val="center"/>
          </w:tcPr>
          <w:p w14:paraId="46669D31">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铺装时，应确保砂浆饱满、砌块底部无脱空现象</w:t>
            </w:r>
          </w:p>
        </w:tc>
        <w:tc>
          <w:tcPr>
            <w:tcW w:w="486" w:type="pct"/>
            <w:noWrap w:val="0"/>
            <w:vAlign w:val="center"/>
          </w:tcPr>
          <w:p w14:paraId="1CE88E37">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24D15084">
            <w:pPr>
              <w:jc w:val="center"/>
              <w:rPr>
                <w:rFonts w:hint="eastAsia" w:ascii="宋体" w:hAnsi="宋体" w:eastAsia="宋体" w:cs="宋体"/>
                <w:sz w:val="24"/>
                <w:szCs w:val="24"/>
                <w:lang w:val="en-US" w:eastAsia="zh-CN"/>
              </w:rPr>
            </w:pPr>
          </w:p>
        </w:tc>
        <w:tc>
          <w:tcPr>
            <w:tcW w:w="486" w:type="pct"/>
            <w:noWrap w:val="0"/>
            <w:vAlign w:val="center"/>
          </w:tcPr>
          <w:p w14:paraId="686D7694">
            <w:pPr>
              <w:jc w:val="center"/>
              <w:rPr>
                <w:rFonts w:hint="eastAsia" w:ascii="宋体" w:hAnsi="宋体" w:eastAsia="宋体" w:cs="宋体"/>
                <w:sz w:val="24"/>
                <w:szCs w:val="24"/>
                <w:lang w:val="en-US" w:eastAsia="zh-CN"/>
              </w:rPr>
            </w:pPr>
          </w:p>
        </w:tc>
      </w:tr>
      <w:tr w14:paraId="5C663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5051B77C">
            <w:pPr>
              <w:jc w:val="center"/>
              <w:rPr>
                <w:rFonts w:hint="eastAsia" w:ascii="宋体" w:hAnsi="宋体" w:eastAsia="宋体" w:cs="宋体"/>
                <w:sz w:val="24"/>
                <w:szCs w:val="24"/>
                <w:lang w:val="en-US" w:eastAsia="zh-CN"/>
              </w:rPr>
            </w:pPr>
          </w:p>
        </w:tc>
        <w:tc>
          <w:tcPr>
            <w:tcW w:w="456" w:type="pct"/>
            <w:vMerge w:val="continue"/>
            <w:noWrap w:val="0"/>
            <w:vAlign w:val="center"/>
          </w:tcPr>
          <w:p w14:paraId="0901B9C8">
            <w:pPr>
              <w:jc w:val="center"/>
              <w:rPr>
                <w:rFonts w:hint="eastAsia" w:ascii="宋体" w:hAnsi="宋体" w:eastAsia="宋体" w:cs="宋体"/>
                <w:sz w:val="24"/>
                <w:szCs w:val="24"/>
                <w:lang w:val="en-US" w:eastAsia="zh-CN"/>
              </w:rPr>
            </w:pPr>
          </w:p>
        </w:tc>
        <w:tc>
          <w:tcPr>
            <w:tcW w:w="2400" w:type="pct"/>
            <w:noWrap w:val="0"/>
            <w:vAlign w:val="center"/>
          </w:tcPr>
          <w:p w14:paraId="2212502E">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铺装平整度满足要求，砌块间高差不大于5m</w:t>
            </w:r>
          </w:p>
        </w:tc>
        <w:tc>
          <w:tcPr>
            <w:tcW w:w="486" w:type="pct"/>
            <w:noWrap w:val="0"/>
            <w:vAlign w:val="center"/>
          </w:tcPr>
          <w:p w14:paraId="3B565FB8">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7E99AC68">
            <w:pPr>
              <w:jc w:val="center"/>
              <w:rPr>
                <w:rFonts w:hint="eastAsia" w:ascii="宋体" w:hAnsi="宋体" w:eastAsia="宋体" w:cs="宋体"/>
                <w:sz w:val="24"/>
                <w:szCs w:val="24"/>
                <w:lang w:val="en-US" w:eastAsia="zh-CN"/>
              </w:rPr>
            </w:pPr>
          </w:p>
        </w:tc>
        <w:tc>
          <w:tcPr>
            <w:tcW w:w="486" w:type="pct"/>
            <w:noWrap w:val="0"/>
            <w:vAlign w:val="center"/>
          </w:tcPr>
          <w:p w14:paraId="558AEA0A">
            <w:pPr>
              <w:jc w:val="center"/>
              <w:rPr>
                <w:rFonts w:hint="eastAsia" w:ascii="宋体" w:hAnsi="宋体" w:eastAsia="宋体" w:cs="宋体"/>
                <w:sz w:val="24"/>
                <w:szCs w:val="24"/>
                <w:lang w:val="en-US" w:eastAsia="zh-CN"/>
              </w:rPr>
            </w:pPr>
          </w:p>
        </w:tc>
      </w:tr>
      <w:tr w14:paraId="1A4B8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4184CF8F">
            <w:pPr>
              <w:jc w:val="center"/>
              <w:rPr>
                <w:rFonts w:hint="eastAsia" w:ascii="宋体" w:hAnsi="宋体" w:eastAsia="宋体" w:cs="宋体"/>
                <w:sz w:val="24"/>
                <w:szCs w:val="24"/>
                <w:lang w:val="en-US" w:eastAsia="zh-CN"/>
              </w:rPr>
            </w:pPr>
          </w:p>
        </w:tc>
        <w:tc>
          <w:tcPr>
            <w:tcW w:w="456" w:type="pct"/>
            <w:vMerge w:val="continue"/>
            <w:noWrap w:val="0"/>
            <w:vAlign w:val="center"/>
          </w:tcPr>
          <w:p w14:paraId="7DE536BA">
            <w:pPr>
              <w:jc w:val="center"/>
              <w:rPr>
                <w:rFonts w:hint="eastAsia" w:ascii="宋体" w:hAnsi="宋体" w:eastAsia="宋体" w:cs="宋体"/>
                <w:sz w:val="24"/>
                <w:szCs w:val="24"/>
                <w:lang w:val="en-US" w:eastAsia="zh-CN"/>
              </w:rPr>
            </w:pPr>
          </w:p>
        </w:tc>
        <w:tc>
          <w:tcPr>
            <w:tcW w:w="2400" w:type="pct"/>
            <w:noWrap w:val="0"/>
            <w:vAlign w:val="center"/>
          </w:tcPr>
          <w:p w14:paraId="651354BE">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与井框或其他构筑物高差不大于5mm</w:t>
            </w:r>
          </w:p>
        </w:tc>
        <w:tc>
          <w:tcPr>
            <w:tcW w:w="486" w:type="pct"/>
            <w:noWrap w:val="0"/>
            <w:vAlign w:val="center"/>
          </w:tcPr>
          <w:p w14:paraId="1BD2284D">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68BF8FA2">
            <w:pPr>
              <w:jc w:val="center"/>
              <w:rPr>
                <w:rFonts w:hint="eastAsia" w:ascii="宋体" w:hAnsi="宋体" w:eastAsia="宋体" w:cs="宋体"/>
                <w:sz w:val="24"/>
                <w:szCs w:val="24"/>
                <w:lang w:val="en-US" w:eastAsia="zh-CN"/>
              </w:rPr>
            </w:pPr>
          </w:p>
        </w:tc>
        <w:tc>
          <w:tcPr>
            <w:tcW w:w="486" w:type="pct"/>
            <w:noWrap w:val="0"/>
            <w:vAlign w:val="center"/>
          </w:tcPr>
          <w:p w14:paraId="0B2287D3">
            <w:pPr>
              <w:jc w:val="center"/>
              <w:rPr>
                <w:rFonts w:hint="eastAsia" w:ascii="宋体" w:hAnsi="宋体" w:eastAsia="宋体" w:cs="宋体"/>
                <w:sz w:val="24"/>
                <w:szCs w:val="24"/>
                <w:lang w:val="en-US" w:eastAsia="zh-CN"/>
              </w:rPr>
            </w:pPr>
          </w:p>
        </w:tc>
      </w:tr>
      <w:tr w14:paraId="79F22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06616323">
            <w:pPr>
              <w:jc w:val="center"/>
              <w:rPr>
                <w:rFonts w:hint="eastAsia" w:ascii="宋体" w:hAnsi="宋体" w:eastAsia="宋体" w:cs="宋体"/>
                <w:sz w:val="24"/>
                <w:szCs w:val="24"/>
                <w:lang w:val="en-US" w:eastAsia="zh-CN"/>
              </w:rPr>
            </w:pPr>
          </w:p>
        </w:tc>
        <w:tc>
          <w:tcPr>
            <w:tcW w:w="456" w:type="pct"/>
            <w:vMerge w:val="continue"/>
            <w:noWrap w:val="0"/>
            <w:vAlign w:val="center"/>
          </w:tcPr>
          <w:p w14:paraId="3149613C">
            <w:pPr>
              <w:jc w:val="center"/>
              <w:rPr>
                <w:rFonts w:hint="eastAsia" w:ascii="宋体" w:hAnsi="宋体" w:eastAsia="宋体" w:cs="宋体"/>
                <w:sz w:val="24"/>
                <w:szCs w:val="24"/>
                <w:lang w:val="en-US" w:eastAsia="zh-CN"/>
              </w:rPr>
            </w:pPr>
          </w:p>
        </w:tc>
        <w:tc>
          <w:tcPr>
            <w:tcW w:w="2400" w:type="pct"/>
            <w:noWrap w:val="0"/>
            <w:vAlign w:val="center"/>
          </w:tcPr>
          <w:p w14:paraId="53634298">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人行道砌块间填充饱满</w:t>
            </w:r>
          </w:p>
        </w:tc>
        <w:tc>
          <w:tcPr>
            <w:tcW w:w="486" w:type="pct"/>
            <w:noWrap w:val="0"/>
            <w:vAlign w:val="center"/>
          </w:tcPr>
          <w:p w14:paraId="59CB2F6E">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5F9468E2">
            <w:pPr>
              <w:jc w:val="center"/>
              <w:rPr>
                <w:rFonts w:hint="eastAsia" w:ascii="宋体" w:hAnsi="宋体" w:eastAsia="宋体" w:cs="宋体"/>
                <w:sz w:val="24"/>
                <w:szCs w:val="24"/>
                <w:lang w:val="en-US" w:eastAsia="zh-CN"/>
              </w:rPr>
            </w:pPr>
          </w:p>
        </w:tc>
        <w:tc>
          <w:tcPr>
            <w:tcW w:w="486" w:type="pct"/>
            <w:noWrap w:val="0"/>
            <w:vAlign w:val="center"/>
          </w:tcPr>
          <w:p w14:paraId="470D067B">
            <w:pPr>
              <w:jc w:val="center"/>
              <w:rPr>
                <w:rFonts w:hint="eastAsia" w:ascii="宋体" w:hAnsi="宋体" w:eastAsia="宋体" w:cs="宋体"/>
                <w:sz w:val="24"/>
                <w:szCs w:val="24"/>
                <w:lang w:val="en-US" w:eastAsia="zh-CN"/>
              </w:rPr>
            </w:pPr>
          </w:p>
        </w:tc>
      </w:tr>
      <w:tr w14:paraId="1686F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19420AB6">
            <w:pPr>
              <w:jc w:val="center"/>
              <w:rPr>
                <w:rFonts w:hint="eastAsia" w:ascii="宋体" w:hAnsi="宋体" w:eastAsia="宋体" w:cs="宋体"/>
                <w:sz w:val="24"/>
                <w:szCs w:val="24"/>
                <w:lang w:val="en-US" w:eastAsia="zh-CN"/>
              </w:rPr>
            </w:pPr>
          </w:p>
        </w:tc>
        <w:tc>
          <w:tcPr>
            <w:tcW w:w="456" w:type="pct"/>
            <w:vMerge w:val="continue"/>
            <w:noWrap w:val="0"/>
            <w:vAlign w:val="center"/>
          </w:tcPr>
          <w:p w14:paraId="2A71F2E2">
            <w:pPr>
              <w:jc w:val="center"/>
              <w:rPr>
                <w:rFonts w:hint="eastAsia" w:ascii="宋体" w:hAnsi="宋体" w:eastAsia="宋体" w:cs="宋体"/>
                <w:sz w:val="24"/>
                <w:szCs w:val="24"/>
                <w:lang w:val="en-US" w:eastAsia="zh-CN"/>
              </w:rPr>
            </w:pPr>
          </w:p>
        </w:tc>
        <w:tc>
          <w:tcPr>
            <w:tcW w:w="2400" w:type="pct"/>
            <w:noWrap w:val="0"/>
            <w:vAlign w:val="center"/>
          </w:tcPr>
          <w:p w14:paraId="22F6A2F8">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砌块材料、尺寸与原路面一致</w:t>
            </w:r>
          </w:p>
        </w:tc>
        <w:tc>
          <w:tcPr>
            <w:tcW w:w="486" w:type="pct"/>
            <w:noWrap w:val="0"/>
            <w:vAlign w:val="center"/>
          </w:tcPr>
          <w:p w14:paraId="59B756E3">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5A51076F">
            <w:pPr>
              <w:jc w:val="center"/>
              <w:rPr>
                <w:rFonts w:hint="eastAsia" w:ascii="宋体" w:hAnsi="宋体" w:eastAsia="宋体" w:cs="宋体"/>
                <w:sz w:val="24"/>
                <w:szCs w:val="24"/>
                <w:lang w:val="en-US" w:eastAsia="zh-CN"/>
              </w:rPr>
            </w:pPr>
          </w:p>
        </w:tc>
        <w:tc>
          <w:tcPr>
            <w:tcW w:w="486" w:type="pct"/>
            <w:noWrap w:val="0"/>
            <w:vAlign w:val="center"/>
          </w:tcPr>
          <w:p w14:paraId="622A1A1F">
            <w:pPr>
              <w:jc w:val="center"/>
              <w:rPr>
                <w:rFonts w:hint="eastAsia" w:ascii="宋体" w:hAnsi="宋体" w:eastAsia="宋体" w:cs="宋体"/>
                <w:sz w:val="24"/>
                <w:szCs w:val="24"/>
                <w:lang w:val="en-US" w:eastAsia="zh-CN"/>
              </w:rPr>
            </w:pPr>
          </w:p>
        </w:tc>
      </w:tr>
      <w:tr w14:paraId="007CD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37F616E3">
            <w:pPr>
              <w:jc w:val="center"/>
              <w:rPr>
                <w:rFonts w:hint="eastAsia" w:ascii="宋体" w:hAnsi="宋体" w:eastAsia="宋体" w:cs="宋体"/>
                <w:sz w:val="24"/>
                <w:szCs w:val="24"/>
                <w:lang w:val="en-US" w:eastAsia="zh-CN"/>
              </w:rPr>
            </w:pPr>
          </w:p>
        </w:tc>
        <w:tc>
          <w:tcPr>
            <w:tcW w:w="456" w:type="pct"/>
            <w:vMerge w:val="continue"/>
            <w:noWrap w:val="0"/>
            <w:vAlign w:val="center"/>
          </w:tcPr>
          <w:p w14:paraId="08208E55">
            <w:pPr>
              <w:jc w:val="center"/>
              <w:rPr>
                <w:rFonts w:hint="eastAsia" w:ascii="宋体" w:hAnsi="宋体" w:eastAsia="宋体" w:cs="宋体"/>
                <w:sz w:val="24"/>
                <w:szCs w:val="24"/>
                <w:lang w:val="en-US" w:eastAsia="zh-CN"/>
              </w:rPr>
            </w:pPr>
          </w:p>
        </w:tc>
        <w:tc>
          <w:tcPr>
            <w:tcW w:w="2400" w:type="pct"/>
            <w:noWrap w:val="0"/>
            <w:vAlign w:val="center"/>
          </w:tcPr>
          <w:p w14:paraId="2F42DDD9">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盲道、坡道铺装时严格按照无障碍建设指南进行施工</w:t>
            </w:r>
          </w:p>
        </w:tc>
        <w:tc>
          <w:tcPr>
            <w:tcW w:w="486" w:type="pct"/>
            <w:noWrap w:val="0"/>
            <w:vAlign w:val="center"/>
          </w:tcPr>
          <w:p w14:paraId="6CD34312">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20A9B9B9">
            <w:pPr>
              <w:jc w:val="center"/>
              <w:rPr>
                <w:rFonts w:hint="eastAsia" w:ascii="宋体" w:hAnsi="宋体" w:eastAsia="宋体" w:cs="宋体"/>
                <w:sz w:val="24"/>
                <w:szCs w:val="24"/>
                <w:lang w:val="en-US" w:eastAsia="zh-CN"/>
              </w:rPr>
            </w:pPr>
          </w:p>
        </w:tc>
        <w:tc>
          <w:tcPr>
            <w:tcW w:w="486" w:type="pct"/>
            <w:noWrap w:val="0"/>
            <w:vAlign w:val="center"/>
          </w:tcPr>
          <w:p w14:paraId="4D4A5E50">
            <w:pPr>
              <w:jc w:val="center"/>
              <w:rPr>
                <w:rFonts w:hint="eastAsia" w:ascii="宋体" w:hAnsi="宋体" w:eastAsia="宋体" w:cs="宋体"/>
                <w:sz w:val="24"/>
                <w:szCs w:val="24"/>
                <w:lang w:val="en-US" w:eastAsia="zh-CN"/>
              </w:rPr>
            </w:pPr>
          </w:p>
        </w:tc>
      </w:tr>
      <w:tr w14:paraId="73111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2AB51FBA">
            <w:pPr>
              <w:jc w:val="center"/>
              <w:rPr>
                <w:rFonts w:hint="eastAsia" w:ascii="宋体" w:hAnsi="宋体" w:eastAsia="宋体" w:cs="宋体"/>
                <w:sz w:val="24"/>
                <w:szCs w:val="24"/>
                <w:lang w:val="en-US" w:eastAsia="zh-CN"/>
              </w:rPr>
            </w:pPr>
          </w:p>
        </w:tc>
        <w:tc>
          <w:tcPr>
            <w:tcW w:w="456" w:type="pct"/>
            <w:vMerge w:val="continue"/>
            <w:noWrap w:val="0"/>
            <w:vAlign w:val="center"/>
          </w:tcPr>
          <w:p w14:paraId="285E7749">
            <w:pPr>
              <w:jc w:val="center"/>
              <w:rPr>
                <w:rFonts w:hint="eastAsia" w:ascii="宋体" w:hAnsi="宋体" w:eastAsia="宋体" w:cs="宋体"/>
                <w:sz w:val="24"/>
                <w:szCs w:val="24"/>
                <w:lang w:val="en-US" w:eastAsia="zh-CN"/>
              </w:rPr>
            </w:pPr>
          </w:p>
        </w:tc>
        <w:tc>
          <w:tcPr>
            <w:tcW w:w="2400" w:type="pct"/>
            <w:noWrap w:val="0"/>
            <w:vAlign w:val="center"/>
          </w:tcPr>
          <w:p w14:paraId="36761CA3">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侧平石安放顺直，灌浆饱满</w:t>
            </w:r>
          </w:p>
        </w:tc>
        <w:tc>
          <w:tcPr>
            <w:tcW w:w="486" w:type="pct"/>
            <w:noWrap w:val="0"/>
            <w:vAlign w:val="center"/>
          </w:tcPr>
          <w:p w14:paraId="4B08D881">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0.5分/次</w:t>
            </w:r>
          </w:p>
        </w:tc>
        <w:tc>
          <w:tcPr>
            <w:tcW w:w="486" w:type="pct"/>
            <w:gridSpan w:val="2"/>
            <w:noWrap w:val="0"/>
            <w:vAlign w:val="center"/>
          </w:tcPr>
          <w:p w14:paraId="7B05F1A7">
            <w:pPr>
              <w:jc w:val="center"/>
              <w:rPr>
                <w:rFonts w:hint="eastAsia" w:ascii="宋体" w:hAnsi="宋体" w:eastAsia="宋体" w:cs="宋体"/>
                <w:sz w:val="24"/>
                <w:szCs w:val="24"/>
                <w:lang w:val="en-US" w:eastAsia="zh-CN"/>
              </w:rPr>
            </w:pPr>
          </w:p>
        </w:tc>
        <w:tc>
          <w:tcPr>
            <w:tcW w:w="486" w:type="pct"/>
            <w:noWrap w:val="0"/>
            <w:vAlign w:val="center"/>
          </w:tcPr>
          <w:p w14:paraId="58608521">
            <w:pPr>
              <w:jc w:val="center"/>
              <w:rPr>
                <w:rFonts w:hint="eastAsia" w:ascii="宋体" w:hAnsi="宋体" w:eastAsia="宋体" w:cs="宋体"/>
                <w:sz w:val="24"/>
                <w:szCs w:val="24"/>
                <w:lang w:val="en-US" w:eastAsia="zh-CN"/>
              </w:rPr>
            </w:pPr>
          </w:p>
        </w:tc>
      </w:tr>
      <w:tr w14:paraId="28427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47FA56E4">
            <w:pPr>
              <w:jc w:val="center"/>
              <w:rPr>
                <w:rFonts w:hint="eastAsia" w:ascii="宋体" w:hAnsi="宋体" w:eastAsia="宋体" w:cs="宋体"/>
                <w:sz w:val="24"/>
                <w:szCs w:val="24"/>
                <w:lang w:val="en-US" w:eastAsia="zh-CN"/>
              </w:rPr>
            </w:pPr>
          </w:p>
        </w:tc>
        <w:tc>
          <w:tcPr>
            <w:tcW w:w="456" w:type="pct"/>
            <w:noWrap w:val="0"/>
            <w:vAlign w:val="center"/>
          </w:tcPr>
          <w:p w14:paraId="1C5CE32E">
            <w:pPr>
              <w:jc w:val="center"/>
              <w:rPr>
                <w:rFonts w:hint="eastAsia" w:ascii="宋体" w:hAnsi="宋体" w:eastAsia="宋体" w:cs="宋体"/>
                <w:sz w:val="24"/>
                <w:szCs w:val="24"/>
                <w:lang w:val="en-US" w:eastAsia="zh-CN"/>
              </w:rPr>
            </w:pPr>
          </w:p>
        </w:tc>
        <w:tc>
          <w:tcPr>
            <w:tcW w:w="2400" w:type="pct"/>
            <w:noWrap w:val="0"/>
            <w:vAlign w:val="center"/>
          </w:tcPr>
          <w:p w14:paraId="5D20A5F4">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因施工质量导致返工</w:t>
            </w:r>
          </w:p>
        </w:tc>
        <w:tc>
          <w:tcPr>
            <w:tcW w:w="486" w:type="pct"/>
            <w:noWrap w:val="0"/>
            <w:vAlign w:val="center"/>
          </w:tcPr>
          <w:p w14:paraId="23EFC88F">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5分/次</w:t>
            </w:r>
          </w:p>
        </w:tc>
        <w:tc>
          <w:tcPr>
            <w:tcW w:w="486" w:type="pct"/>
            <w:gridSpan w:val="2"/>
            <w:noWrap w:val="0"/>
            <w:vAlign w:val="center"/>
          </w:tcPr>
          <w:p w14:paraId="32940AF3">
            <w:pPr>
              <w:jc w:val="center"/>
              <w:rPr>
                <w:rFonts w:hint="eastAsia" w:ascii="宋体" w:hAnsi="宋体" w:eastAsia="宋体" w:cs="宋体"/>
                <w:sz w:val="24"/>
                <w:szCs w:val="24"/>
                <w:lang w:val="en-US" w:eastAsia="zh-CN"/>
              </w:rPr>
            </w:pPr>
          </w:p>
        </w:tc>
        <w:tc>
          <w:tcPr>
            <w:tcW w:w="486" w:type="pct"/>
            <w:noWrap w:val="0"/>
            <w:vAlign w:val="center"/>
          </w:tcPr>
          <w:p w14:paraId="2A8EADE4">
            <w:pPr>
              <w:jc w:val="center"/>
              <w:rPr>
                <w:rFonts w:hint="eastAsia" w:ascii="宋体" w:hAnsi="宋体" w:eastAsia="宋体" w:cs="宋体"/>
                <w:sz w:val="24"/>
                <w:szCs w:val="24"/>
                <w:lang w:val="en-US" w:eastAsia="zh-CN"/>
              </w:rPr>
            </w:pPr>
          </w:p>
        </w:tc>
      </w:tr>
      <w:tr w14:paraId="2F54D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restart"/>
            <w:noWrap w:val="0"/>
            <w:vAlign w:val="center"/>
          </w:tcPr>
          <w:p w14:paraId="6EA0DF5B">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计量</w:t>
            </w:r>
          </w:p>
        </w:tc>
        <w:tc>
          <w:tcPr>
            <w:tcW w:w="456" w:type="pct"/>
            <w:vMerge w:val="restart"/>
            <w:noWrap w:val="0"/>
            <w:vAlign w:val="center"/>
          </w:tcPr>
          <w:p w14:paraId="2B7771EA">
            <w:pPr>
              <w:jc w:val="center"/>
              <w:rPr>
                <w:rFonts w:hint="eastAsia" w:ascii="宋体" w:hAnsi="宋体" w:eastAsia="宋体" w:cs="宋体"/>
                <w:sz w:val="24"/>
                <w:szCs w:val="24"/>
                <w:lang w:val="en-US" w:eastAsia="zh-CN"/>
              </w:rPr>
            </w:pPr>
          </w:p>
        </w:tc>
        <w:tc>
          <w:tcPr>
            <w:tcW w:w="2400" w:type="pct"/>
            <w:noWrap w:val="0"/>
            <w:vAlign w:val="center"/>
          </w:tcPr>
          <w:p w14:paraId="7EE0616C">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按实进行计量申报</w:t>
            </w:r>
          </w:p>
        </w:tc>
        <w:tc>
          <w:tcPr>
            <w:tcW w:w="486" w:type="pct"/>
            <w:noWrap w:val="0"/>
            <w:vAlign w:val="center"/>
          </w:tcPr>
          <w:p w14:paraId="1F099D22">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5分/次</w:t>
            </w:r>
          </w:p>
        </w:tc>
        <w:tc>
          <w:tcPr>
            <w:tcW w:w="486" w:type="pct"/>
            <w:gridSpan w:val="2"/>
            <w:noWrap w:val="0"/>
            <w:vAlign w:val="center"/>
          </w:tcPr>
          <w:p w14:paraId="4BBADD91">
            <w:pPr>
              <w:jc w:val="center"/>
              <w:rPr>
                <w:rFonts w:hint="eastAsia" w:ascii="宋体" w:hAnsi="宋体" w:eastAsia="宋体" w:cs="宋体"/>
                <w:sz w:val="24"/>
                <w:szCs w:val="24"/>
                <w:lang w:val="en-US" w:eastAsia="zh-CN"/>
              </w:rPr>
            </w:pPr>
          </w:p>
        </w:tc>
        <w:tc>
          <w:tcPr>
            <w:tcW w:w="486" w:type="pct"/>
            <w:noWrap w:val="0"/>
            <w:vAlign w:val="center"/>
          </w:tcPr>
          <w:p w14:paraId="6FDB21D2">
            <w:pPr>
              <w:jc w:val="center"/>
              <w:rPr>
                <w:rFonts w:hint="eastAsia" w:ascii="宋体" w:hAnsi="宋体" w:eastAsia="宋体" w:cs="宋体"/>
                <w:sz w:val="24"/>
                <w:szCs w:val="24"/>
                <w:lang w:val="en-US" w:eastAsia="zh-CN"/>
              </w:rPr>
            </w:pPr>
          </w:p>
        </w:tc>
      </w:tr>
      <w:tr w14:paraId="5B66B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1EB00051">
            <w:pPr>
              <w:jc w:val="center"/>
              <w:rPr>
                <w:rFonts w:hint="eastAsia" w:ascii="宋体" w:hAnsi="宋体" w:eastAsia="宋体" w:cs="宋体"/>
                <w:sz w:val="24"/>
                <w:szCs w:val="24"/>
                <w:lang w:val="en-US" w:eastAsia="zh-CN"/>
              </w:rPr>
            </w:pPr>
          </w:p>
        </w:tc>
        <w:tc>
          <w:tcPr>
            <w:tcW w:w="456" w:type="pct"/>
            <w:vMerge w:val="continue"/>
            <w:noWrap w:val="0"/>
            <w:vAlign w:val="center"/>
          </w:tcPr>
          <w:p w14:paraId="40C29A37">
            <w:pPr>
              <w:jc w:val="center"/>
              <w:rPr>
                <w:rFonts w:hint="eastAsia" w:ascii="宋体" w:hAnsi="宋体" w:eastAsia="宋体" w:cs="宋体"/>
                <w:sz w:val="24"/>
                <w:szCs w:val="24"/>
                <w:lang w:val="en-US" w:eastAsia="zh-CN"/>
              </w:rPr>
            </w:pPr>
          </w:p>
        </w:tc>
        <w:tc>
          <w:tcPr>
            <w:tcW w:w="2400" w:type="pct"/>
            <w:noWrap w:val="0"/>
            <w:vAlign w:val="center"/>
          </w:tcPr>
          <w:p w14:paraId="09F2C07F">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按时进行计量申报</w:t>
            </w:r>
          </w:p>
        </w:tc>
        <w:tc>
          <w:tcPr>
            <w:tcW w:w="486" w:type="pct"/>
            <w:noWrap w:val="0"/>
            <w:vAlign w:val="center"/>
          </w:tcPr>
          <w:p w14:paraId="11B13534">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0.5分/天</w:t>
            </w:r>
          </w:p>
        </w:tc>
        <w:tc>
          <w:tcPr>
            <w:tcW w:w="486" w:type="pct"/>
            <w:gridSpan w:val="2"/>
            <w:noWrap w:val="0"/>
            <w:vAlign w:val="center"/>
          </w:tcPr>
          <w:p w14:paraId="10D5DDF0">
            <w:pPr>
              <w:jc w:val="center"/>
              <w:rPr>
                <w:rFonts w:hint="eastAsia" w:ascii="宋体" w:hAnsi="宋体" w:eastAsia="宋体" w:cs="宋体"/>
                <w:sz w:val="24"/>
                <w:szCs w:val="24"/>
                <w:lang w:val="en-US" w:eastAsia="zh-CN"/>
              </w:rPr>
            </w:pPr>
          </w:p>
        </w:tc>
        <w:tc>
          <w:tcPr>
            <w:tcW w:w="486" w:type="pct"/>
            <w:noWrap w:val="0"/>
            <w:vAlign w:val="center"/>
          </w:tcPr>
          <w:p w14:paraId="0CF7131F">
            <w:pPr>
              <w:jc w:val="center"/>
              <w:rPr>
                <w:rFonts w:hint="eastAsia" w:ascii="宋体" w:hAnsi="宋体" w:eastAsia="宋体" w:cs="宋体"/>
                <w:sz w:val="24"/>
                <w:szCs w:val="24"/>
                <w:lang w:val="en-US" w:eastAsia="zh-CN"/>
              </w:rPr>
            </w:pPr>
          </w:p>
        </w:tc>
      </w:tr>
      <w:tr w14:paraId="0844E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0146C94F">
            <w:pPr>
              <w:jc w:val="center"/>
              <w:rPr>
                <w:rFonts w:hint="eastAsia" w:ascii="宋体" w:hAnsi="宋体" w:eastAsia="宋体" w:cs="宋体"/>
                <w:sz w:val="24"/>
                <w:szCs w:val="24"/>
                <w:lang w:val="en-US" w:eastAsia="zh-CN"/>
              </w:rPr>
            </w:pPr>
          </w:p>
        </w:tc>
        <w:tc>
          <w:tcPr>
            <w:tcW w:w="456" w:type="pct"/>
            <w:vMerge w:val="continue"/>
            <w:noWrap w:val="0"/>
            <w:vAlign w:val="center"/>
          </w:tcPr>
          <w:p w14:paraId="0D452C6E">
            <w:pPr>
              <w:jc w:val="center"/>
              <w:rPr>
                <w:rFonts w:hint="eastAsia" w:ascii="宋体" w:hAnsi="宋体" w:eastAsia="宋体" w:cs="宋体"/>
                <w:sz w:val="24"/>
                <w:szCs w:val="24"/>
                <w:lang w:val="en-US" w:eastAsia="zh-CN"/>
              </w:rPr>
            </w:pPr>
          </w:p>
        </w:tc>
        <w:tc>
          <w:tcPr>
            <w:tcW w:w="2400" w:type="pct"/>
            <w:noWrap w:val="0"/>
            <w:vAlign w:val="center"/>
          </w:tcPr>
          <w:p w14:paraId="014A2388">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每月5日前时上报上月维修和开挖恢复结算</w:t>
            </w:r>
          </w:p>
        </w:tc>
        <w:tc>
          <w:tcPr>
            <w:tcW w:w="486" w:type="pct"/>
            <w:noWrap w:val="0"/>
            <w:vAlign w:val="center"/>
          </w:tcPr>
          <w:p w14:paraId="6B1EC253">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1分/月</w:t>
            </w:r>
          </w:p>
        </w:tc>
        <w:tc>
          <w:tcPr>
            <w:tcW w:w="486" w:type="pct"/>
            <w:gridSpan w:val="2"/>
            <w:noWrap w:val="0"/>
            <w:vAlign w:val="center"/>
          </w:tcPr>
          <w:p w14:paraId="0513C19F">
            <w:pPr>
              <w:jc w:val="center"/>
              <w:rPr>
                <w:rFonts w:hint="eastAsia" w:ascii="宋体" w:hAnsi="宋体" w:eastAsia="宋体" w:cs="宋体"/>
                <w:sz w:val="24"/>
                <w:szCs w:val="24"/>
                <w:lang w:val="en-US" w:eastAsia="zh-CN"/>
              </w:rPr>
            </w:pPr>
          </w:p>
        </w:tc>
        <w:tc>
          <w:tcPr>
            <w:tcW w:w="486" w:type="pct"/>
            <w:noWrap w:val="0"/>
            <w:vAlign w:val="center"/>
          </w:tcPr>
          <w:p w14:paraId="7D744672">
            <w:pPr>
              <w:jc w:val="center"/>
              <w:rPr>
                <w:rFonts w:hint="eastAsia" w:ascii="宋体" w:hAnsi="宋体" w:eastAsia="宋体" w:cs="宋体"/>
                <w:sz w:val="24"/>
                <w:szCs w:val="24"/>
                <w:lang w:val="en-US" w:eastAsia="zh-CN"/>
              </w:rPr>
            </w:pPr>
          </w:p>
        </w:tc>
      </w:tr>
      <w:tr w14:paraId="1C0ED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noWrap w:val="0"/>
            <w:vAlign w:val="center"/>
          </w:tcPr>
          <w:p w14:paraId="78AC68BB">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其他</w:t>
            </w:r>
          </w:p>
        </w:tc>
        <w:tc>
          <w:tcPr>
            <w:tcW w:w="456" w:type="pct"/>
            <w:noWrap w:val="0"/>
            <w:vAlign w:val="center"/>
          </w:tcPr>
          <w:p w14:paraId="2BE599B5">
            <w:pPr>
              <w:jc w:val="center"/>
              <w:rPr>
                <w:rFonts w:hint="eastAsia" w:ascii="宋体" w:hAnsi="宋体" w:eastAsia="宋体" w:cs="宋体"/>
                <w:sz w:val="24"/>
                <w:szCs w:val="24"/>
                <w:lang w:val="en-US" w:eastAsia="zh-CN"/>
              </w:rPr>
            </w:pPr>
          </w:p>
        </w:tc>
        <w:tc>
          <w:tcPr>
            <w:tcW w:w="2400" w:type="pct"/>
            <w:noWrap w:val="0"/>
            <w:vAlign w:val="center"/>
          </w:tcPr>
          <w:p w14:paraId="22846005">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由于施工原因被群众投诉或媒体曝光</w:t>
            </w:r>
          </w:p>
        </w:tc>
        <w:tc>
          <w:tcPr>
            <w:tcW w:w="486" w:type="pct"/>
            <w:noWrap w:val="0"/>
            <w:vAlign w:val="center"/>
          </w:tcPr>
          <w:p w14:paraId="74FE8895">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5分/次</w:t>
            </w:r>
          </w:p>
        </w:tc>
        <w:tc>
          <w:tcPr>
            <w:tcW w:w="486" w:type="pct"/>
            <w:gridSpan w:val="2"/>
            <w:noWrap w:val="0"/>
            <w:vAlign w:val="center"/>
          </w:tcPr>
          <w:p w14:paraId="055FE8C6">
            <w:pPr>
              <w:jc w:val="center"/>
              <w:rPr>
                <w:rFonts w:hint="eastAsia" w:ascii="宋体" w:hAnsi="宋体" w:eastAsia="宋体" w:cs="宋体"/>
                <w:sz w:val="24"/>
                <w:szCs w:val="24"/>
                <w:lang w:val="en-US" w:eastAsia="zh-CN"/>
              </w:rPr>
            </w:pPr>
          </w:p>
        </w:tc>
        <w:tc>
          <w:tcPr>
            <w:tcW w:w="486" w:type="pct"/>
            <w:noWrap w:val="0"/>
            <w:vAlign w:val="center"/>
          </w:tcPr>
          <w:p w14:paraId="190C0D2E">
            <w:pPr>
              <w:jc w:val="center"/>
              <w:rPr>
                <w:rFonts w:hint="eastAsia" w:ascii="宋体" w:hAnsi="宋体" w:eastAsia="宋体" w:cs="宋体"/>
                <w:sz w:val="24"/>
                <w:szCs w:val="24"/>
                <w:lang w:val="en-US" w:eastAsia="zh-CN"/>
              </w:rPr>
            </w:pPr>
          </w:p>
        </w:tc>
      </w:tr>
      <w:tr w14:paraId="76048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restart"/>
            <w:noWrap w:val="0"/>
            <w:vAlign w:val="center"/>
          </w:tcPr>
          <w:p w14:paraId="6A47F01D">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加分项</w:t>
            </w:r>
          </w:p>
        </w:tc>
        <w:tc>
          <w:tcPr>
            <w:tcW w:w="456" w:type="pct"/>
            <w:vMerge w:val="restart"/>
            <w:noWrap w:val="0"/>
            <w:vAlign w:val="center"/>
          </w:tcPr>
          <w:p w14:paraId="3FAAF369">
            <w:pPr>
              <w:jc w:val="center"/>
              <w:rPr>
                <w:rFonts w:hint="eastAsia" w:ascii="宋体" w:hAnsi="宋体" w:eastAsia="宋体" w:cs="宋体"/>
                <w:sz w:val="24"/>
                <w:szCs w:val="24"/>
                <w:lang w:val="en-US" w:eastAsia="zh-CN"/>
              </w:rPr>
            </w:pPr>
          </w:p>
        </w:tc>
        <w:tc>
          <w:tcPr>
            <w:tcW w:w="2400" w:type="pct"/>
            <w:noWrap w:val="0"/>
            <w:vAlign w:val="center"/>
          </w:tcPr>
          <w:p w14:paraId="61B4DF07">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发现安全隐忠并及时消除</w:t>
            </w:r>
          </w:p>
        </w:tc>
        <w:tc>
          <w:tcPr>
            <w:tcW w:w="486" w:type="pct"/>
            <w:noWrap w:val="0"/>
            <w:vAlign w:val="center"/>
          </w:tcPr>
          <w:p w14:paraId="5497FE0A">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1分/次</w:t>
            </w:r>
          </w:p>
        </w:tc>
        <w:tc>
          <w:tcPr>
            <w:tcW w:w="486" w:type="pct"/>
            <w:gridSpan w:val="2"/>
            <w:noWrap w:val="0"/>
            <w:vAlign w:val="center"/>
          </w:tcPr>
          <w:p w14:paraId="7C699801">
            <w:pPr>
              <w:jc w:val="center"/>
              <w:rPr>
                <w:rFonts w:hint="eastAsia" w:ascii="宋体" w:hAnsi="宋体" w:eastAsia="宋体" w:cs="宋体"/>
                <w:sz w:val="24"/>
                <w:szCs w:val="24"/>
                <w:lang w:val="en-US" w:eastAsia="zh-CN"/>
              </w:rPr>
            </w:pPr>
          </w:p>
        </w:tc>
        <w:tc>
          <w:tcPr>
            <w:tcW w:w="486" w:type="pct"/>
            <w:noWrap w:val="0"/>
            <w:vAlign w:val="center"/>
          </w:tcPr>
          <w:p w14:paraId="26E03A7B">
            <w:pPr>
              <w:jc w:val="center"/>
              <w:rPr>
                <w:rFonts w:hint="eastAsia" w:ascii="宋体" w:hAnsi="宋体" w:eastAsia="宋体" w:cs="宋体"/>
                <w:sz w:val="24"/>
                <w:szCs w:val="24"/>
                <w:lang w:val="en-US" w:eastAsia="zh-CN"/>
              </w:rPr>
            </w:pPr>
          </w:p>
        </w:tc>
      </w:tr>
      <w:tr w14:paraId="7D01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3303150F">
            <w:pPr>
              <w:jc w:val="center"/>
              <w:rPr>
                <w:rFonts w:hint="eastAsia" w:ascii="宋体" w:hAnsi="宋体" w:eastAsia="宋体" w:cs="宋体"/>
                <w:sz w:val="24"/>
                <w:szCs w:val="24"/>
                <w:lang w:val="en-US" w:eastAsia="zh-CN"/>
              </w:rPr>
            </w:pPr>
          </w:p>
        </w:tc>
        <w:tc>
          <w:tcPr>
            <w:tcW w:w="456" w:type="pct"/>
            <w:vMerge w:val="continue"/>
            <w:noWrap w:val="0"/>
            <w:vAlign w:val="center"/>
          </w:tcPr>
          <w:p w14:paraId="5723F3B4">
            <w:pPr>
              <w:jc w:val="center"/>
              <w:rPr>
                <w:rFonts w:hint="eastAsia" w:ascii="宋体" w:hAnsi="宋体" w:eastAsia="宋体" w:cs="宋体"/>
                <w:sz w:val="24"/>
                <w:szCs w:val="24"/>
                <w:lang w:val="en-US" w:eastAsia="zh-CN"/>
              </w:rPr>
            </w:pPr>
          </w:p>
        </w:tc>
        <w:tc>
          <w:tcPr>
            <w:tcW w:w="2400" w:type="pct"/>
            <w:noWrap w:val="0"/>
            <w:vAlign w:val="center"/>
          </w:tcPr>
          <w:p w14:paraId="6AB05192">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区级及以上新闻媒体表扬</w:t>
            </w:r>
          </w:p>
        </w:tc>
        <w:tc>
          <w:tcPr>
            <w:tcW w:w="486" w:type="pct"/>
            <w:noWrap w:val="0"/>
            <w:vAlign w:val="center"/>
          </w:tcPr>
          <w:p w14:paraId="1292FAC5">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2分/次</w:t>
            </w:r>
          </w:p>
        </w:tc>
        <w:tc>
          <w:tcPr>
            <w:tcW w:w="486" w:type="pct"/>
            <w:gridSpan w:val="2"/>
            <w:noWrap w:val="0"/>
            <w:vAlign w:val="center"/>
          </w:tcPr>
          <w:p w14:paraId="27A9BBCB">
            <w:pPr>
              <w:jc w:val="center"/>
              <w:rPr>
                <w:rFonts w:hint="eastAsia" w:ascii="宋体" w:hAnsi="宋体" w:eastAsia="宋体" w:cs="宋体"/>
                <w:sz w:val="24"/>
                <w:szCs w:val="24"/>
                <w:lang w:val="en-US" w:eastAsia="zh-CN"/>
              </w:rPr>
            </w:pPr>
          </w:p>
        </w:tc>
        <w:tc>
          <w:tcPr>
            <w:tcW w:w="486" w:type="pct"/>
            <w:noWrap w:val="0"/>
            <w:vAlign w:val="center"/>
          </w:tcPr>
          <w:p w14:paraId="53613A9B">
            <w:pPr>
              <w:jc w:val="center"/>
              <w:rPr>
                <w:rFonts w:hint="eastAsia" w:ascii="宋体" w:hAnsi="宋体" w:eastAsia="宋体" w:cs="宋体"/>
                <w:sz w:val="24"/>
                <w:szCs w:val="24"/>
                <w:lang w:val="en-US" w:eastAsia="zh-CN"/>
              </w:rPr>
            </w:pPr>
          </w:p>
        </w:tc>
      </w:tr>
      <w:tr w14:paraId="6E239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1BB64DAC">
            <w:pPr>
              <w:jc w:val="center"/>
              <w:rPr>
                <w:rFonts w:hint="eastAsia" w:ascii="宋体" w:hAnsi="宋体" w:eastAsia="宋体" w:cs="宋体"/>
                <w:sz w:val="24"/>
                <w:szCs w:val="24"/>
                <w:lang w:val="en-US" w:eastAsia="zh-CN"/>
              </w:rPr>
            </w:pPr>
          </w:p>
        </w:tc>
        <w:tc>
          <w:tcPr>
            <w:tcW w:w="456" w:type="pct"/>
            <w:vMerge w:val="continue"/>
            <w:noWrap w:val="0"/>
            <w:vAlign w:val="center"/>
          </w:tcPr>
          <w:p w14:paraId="30B03629">
            <w:pPr>
              <w:jc w:val="center"/>
              <w:rPr>
                <w:rFonts w:hint="eastAsia" w:ascii="宋体" w:hAnsi="宋体" w:eastAsia="宋体" w:cs="宋体"/>
                <w:sz w:val="24"/>
                <w:szCs w:val="24"/>
                <w:lang w:val="en-US" w:eastAsia="zh-CN"/>
              </w:rPr>
            </w:pPr>
          </w:p>
        </w:tc>
        <w:tc>
          <w:tcPr>
            <w:tcW w:w="2400" w:type="pct"/>
            <w:noWrap w:val="0"/>
            <w:vAlign w:val="center"/>
          </w:tcPr>
          <w:p w14:paraId="72C2B9BE">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区级及以上奖励或表彰等</w:t>
            </w:r>
          </w:p>
        </w:tc>
        <w:tc>
          <w:tcPr>
            <w:tcW w:w="486" w:type="pct"/>
            <w:noWrap w:val="0"/>
            <w:vAlign w:val="center"/>
          </w:tcPr>
          <w:p w14:paraId="6A60C950">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2分/次</w:t>
            </w:r>
          </w:p>
        </w:tc>
        <w:tc>
          <w:tcPr>
            <w:tcW w:w="486" w:type="pct"/>
            <w:gridSpan w:val="2"/>
            <w:noWrap w:val="0"/>
            <w:vAlign w:val="center"/>
          </w:tcPr>
          <w:p w14:paraId="07F2FC2E">
            <w:pPr>
              <w:jc w:val="center"/>
              <w:rPr>
                <w:rFonts w:hint="eastAsia" w:ascii="宋体" w:hAnsi="宋体" w:eastAsia="宋体" w:cs="宋体"/>
                <w:sz w:val="24"/>
                <w:szCs w:val="24"/>
                <w:lang w:val="en-US" w:eastAsia="zh-CN"/>
              </w:rPr>
            </w:pPr>
          </w:p>
        </w:tc>
        <w:tc>
          <w:tcPr>
            <w:tcW w:w="486" w:type="pct"/>
            <w:noWrap w:val="0"/>
            <w:vAlign w:val="center"/>
          </w:tcPr>
          <w:p w14:paraId="626DC5BA">
            <w:pPr>
              <w:jc w:val="center"/>
              <w:rPr>
                <w:rFonts w:hint="eastAsia" w:ascii="宋体" w:hAnsi="宋体" w:eastAsia="宋体" w:cs="宋体"/>
                <w:sz w:val="24"/>
                <w:szCs w:val="24"/>
                <w:lang w:val="en-US" w:eastAsia="zh-CN"/>
              </w:rPr>
            </w:pPr>
          </w:p>
        </w:tc>
      </w:tr>
      <w:tr w14:paraId="5B5CA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5" w:type="pct"/>
            <w:vMerge w:val="continue"/>
            <w:noWrap w:val="0"/>
            <w:vAlign w:val="center"/>
          </w:tcPr>
          <w:p w14:paraId="1DDB626B">
            <w:pPr>
              <w:jc w:val="center"/>
              <w:rPr>
                <w:rFonts w:hint="eastAsia" w:ascii="宋体" w:hAnsi="宋体" w:eastAsia="宋体" w:cs="宋体"/>
                <w:sz w:val="24"/>
                <w:szCs w:val="24"/>
                <w:lang w:val="en-US" w:eastAsia="zh-CN"/>
              </w:rPr>
            </w:pPr>
          </w:p>
        </w:tc>
        <w:tc>
          <w:tcPr>
            <w:tcW w:w="456" w:type="pct"/>
            <w:vMerge w:val="continue"/>
            <w:noWrap w:val="0"/>
            <w:vAlign w:val="center"/>
          </w:tcPr>
          <w:p w14:paraId="11E184ED">
            <w:pPr>
              <w:jc w:val="center"/>
              <w:rPr>
                <w:rFonts w:hint="eastAsia" w:ascii="宋体" w:hAnsi="宋体" w:eastAsia="宋体" w:cs="宋体"/>
                <w:sz w:val="24"/>
                <w:szCs w:val="24"/>
                <w:lang w:val="en-US" w:eastAsia="zh-CN"/>
              </w:rPr>
            </w:pPr>
          </w:p>
        </w:tc>
        <w:tc>
          <w:tcPr>
            <w:tcW w:w="2400" w:type="pct"/>
            <w:noWrap w:val="0"/>
            <w:vAlign w:val="center"/>
          </w:tcPr>
          <w:p w14:paraId="20F99505">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省部级奖励或表彰等</w:t>
            </w:r>
          </w:p>
        </w:tc>
        <w:tc>
          <w:tcPr>
            <w:tcW w:w="486" w:type="pct"/>
            <w:noWrap w:val="0"/>
            <w:vAlign w:val="center"/>
          </w:tcPr>
          <w:p w14:paraId="0A0AF48E">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10分/次</w:t>
            </w:r>
          </w:p>
        </w:tc>
        <w:tc>
          <w:tcPr>
            <w:tcW w:w="486" w:type="pct"/>
            <w:gridSpan w:val="2"/>
            <w:noWrap w:val="0"/>
            <w:vAlign w:val="center"/>
          </w:tcPr>
          <w:p w14:paraId="49CF7809">
            <w:pPr>
              <w:jc w:val="center"/>
              <w:rPr>
                <w:rFonts w:hint="eastAsia" w:ascii="宋体" w:hAnsi="宋体" w:eastAsia="宋体" w:cs="宋体"/>
                <w:sz w:val="24"/>
                <w:szCs w:val="24"/>
                <w:lang w:val="en-US" w:eastAsia="zh-CN"/>
              </w:rPr>
            </w:pPr>
          </w:p>
        </w:tc>
        <w:tc>
          <w:tcPr>
            <w:tcW w:w="486" w:type="pct"/>
            <w:noWrap w:val="0"/>
            <w:vAlign w:val="center"/>
          </w:tcPr>
          <w:p w14:paraId="58CF55FB">
            <w:pPr>
              <w:jc w:val="center"/>
              <w:rPr>
                <w:rFonts w:hint="eastAsia" w:ascii="宋体" w:hAnsi="宋体" w:eastAsia="宋体" w:cs="宋体"/>
                <w:sz w:val="24"/>
                <w:szCs w:val="24"/>
                <w:lang w:val="en-US" w:eastAsia="zh-CN"/>
              </w:rPr>
            </w:pPr>
          </w:p>
        </w:tc>
      </w:tr>
      <w:tr w14:paraId="1D6B2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541" w:type="pct"/>
            <w:gridSpan w:val="3"/>
            <w:noWrap w:val="0"/>
            <w:vAlign w:val="center"/>
          </w:tcPr>
          <w:p w14:paraId="000F54E6">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累计扣分</w:t>
            </w:r>
          </w:p>
        </w:tc>
        <w:tc>
          <w:tcPr>
            <w:tcW w:w="1458" w:type="pct"/>
            <w:gridSpan w:val="4"/>
            <w:noWrap w:val="0"/>
            <w:vAlign w:val="center"/>
          </w:tcPr>
          <w:p w14:paraId="28CCDE00">
            <w:pPr>
              <w:jc w:val="center"/>
              <w:rPr>
                <w:rFonts w:hint="eastAsia" w:ascii="宋体" w:hAnsi="宋体" w:eastAsia="宋体" w:cs="宋体"/>
                <w:sz w:val="24"/>
                <w:szCs w:val="24"/>
                <w:lang w:val="en-US" w:eastAsia="zh-CN"/>
              </w:rPr>
            </w:pPr>
          </w:p>
        </w:tc>
      </w:tr>
    </w:tbl>
    <w:p w14:paraId="123FE11F">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其他说明：①95分(含)以上   不做处理；</w:t>
      </w:r>
    </w:p>
    <w:p w14:paraId="2F70E9BC">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②90(含)-95分每分扣100元；</w:t>
      </w:r>
    </w:p>
    <w:p w14:paraId="0082B39C">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③80(含)-90分每分扣200元；</w:t>
      </w:r>
    </w:p>
    <w:p w14:paraId="26CAC0E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④70(含)-80分每分扣500元；</w:t>
      </w:r>
    </w:p>
    <w:p w14:paraId="428991B6">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⑤60(含)-70分每分扣1000元；</w:t>
      </w:r>
    </w:p>
    <w:p w14:paraId="499E5957">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⑥60分以下      中止合同；</w:t>
      </w:r>
    </w:p>
    <w:p w14:paraId="4AB69B3C">
      <w:pPr>
        <w:keepNext w:val="0"/>
        <w:keepLines w:val="0"/>
        <w:pageBreakBefore w:val="0"/>
        <w:widowControl w:val="0"/>
        <w:spacing w:line="360" w:lineRule="auto"/>
        <w:outlineLvl w:val="9"/>
        <w:rPr>
          <w:rFonts w:hint="eastAsia" w:ascii="宋体" w:hAnsi="宋体" w:eastAsia="宋体" w:cs="宋体"/>
          <w:b w:val="0"/>
          <w:bCs/>
          <w:sz w:val="24"/>
          <w:szCs w:val="24"/>
          <w:lang w:val="en-US" w:eastAsia="zh-CN"/>
        </w:rPr>
        <w:sectPr>
          <w:pgSz w:w="16840" w:h="11907" w:orient="landscape"/>
          <w:pgMar w:top="1701" w:right="1418" w:bottom="1134" w:left="1418" w:header="851" w:footer="851" w:gutter="0"/>
          <w:pgNumType w:fmt="decimal"/>
          <w:cols w:space="720" w:num="1"/>
          <w:docGrid w:linePitch="462" w:charSpace="0"/>
        </w:sectPr>
      </w:pPr>
      <w:r>
        <w:rPr>
          <w:rFonts w:hint="eastAsia" w:ascii="宋体" w:hAnsi="宋体" w:eastAsia="宋体" w:cs="宋体"/>
          <w:b w:val="0"/>
          <w:bCs/>
          <w:sz w:val="24"/>
          <w:szCs w:val="24"/>
          <w:lang w:val="en-US" w:eastAsia="zh-CN"/>
        </w:rPr>
        <w:t xml:space="preserve">          ⑦2次低于70分  中止合同；</w:t>
      </w:r>
    </w:p>
    <w:p w14:paraId="70217801">
      <w:pPr>
        <w:keepNext w:val="0"/>
        <w:keepLines w:val="0"/>
        <w:pageBreakBefore w:val="0"/>
        <w:widowControl w:val="0"/>
        <w:spacing w:line="360" w:lineRule="auto"/>
        <w:ind w:firstLine="488"/>
        <w:outlineLvl w:val="9"/>
        <w:rPr>
          <w:b/>
          <w:color w:val="auto"/>
          <w:sz w:val="36"/>
          <w:szCs w:val="36"/>
          <w:highlight w:val="none"/>
        </w:rPr>
      </w:pPr>
    </w:p>
    <w:p w14:paraId="244B58E3">
      <w:pPr>
        <w:spacing w:line="360" w:lineRule="auto"/>
        <w:jc w:val="center"/>
        <w:outlineLvl w:val="0"/>
        <w:rPr>
          <w:b/>
          <w:color w:val="auto"/>
          <w:sz w:val="36"/>
          <w:szCs w:val="36"/>
          <w:highlight w:val="none"/>
        </w:rPr>
      </w:pPr>
      <w:r>
        <w:rPr>
          <w:b/>
          <w:color w:val="auto"/>
          <w:sz w:val="36"/>
          <w:szCs w:val="36"/>
          <w:highlight w:val="none"/>
        </w:rPr>
        <w:t>第六章   拟签订的合同文本</w:t>
      </w:r>
      <w:bookmarkEnd w:id="813"/>
      <w:bookmarkEnd w:id="814"/>
    </w:p>
    <w:p w14:paraId="22F4E2FE">
      <w:pPr>
        <w:widowControl/>
        <w:spacing w:before="240" w:after="240" w:line="240" w:lineRule="auto"/>
        <w:jc w:val="center"/>
        <w:rPr>
          <w:rFonts w:hint="eastAsia" w:ascii="宋体" w:hAnsi="宋体" w:eastAsia="宋体" w:cs="宋体"/>
          <w:b/>
          <w:kern w:val="0"/>
          <w:sz w:val="24"/>
          <w:szCs w:val="24"/>
        </w:rPr>
      </w:pPr>
      <w:bookmarkStart w:id="815" w:name="_Toc18832"/>
      <w:bookmarkStart w:id="816" w:name="_Toc99301426"/>
    </w:p>
    <w:p w14:paraId="71B009DE">
      <w:pPr>
        <w:widowControl/>
        <w:spacing w:before="240" w:after="240" w:line="240" w:lineRule="auto"/>
        <w:jc w:val="center"/>
        <w:rPr>
          <w:rFonts w:hint="eastAsia" w:ascii="宋体" w:hAnsi="宋体" w:eastAsia="宋体" w:cs="宋体"/>
          <w:b/>
          <w:kern w:val="0"/>
          <w:sz w:val="24"/>
          <w:szCs w:val="24"/>
        </w:rPr>
      </w:pPr>
    </w:p>
    <w:p w14:paraId="56F8C5B1">
      <w:pPr>
        <w:widowControl/>
        <w:spacing w:before="240" w:after="240" w:line="240" w:lineRule="auto"/>
        <w:jc w:val="center"/>
        <w:rPr>
          <w:rFonts w:hint="eastAsia" w:ascii="宋体" w:hAnsi="宋体" w:eastAsia="宋体" w:cs="宋体"/>
          <w:b/>
          <w:kern w:val="0"/>
          <w:sz w:val="24"/>
          <w:szCs w:val="24"/>
        </w:rPr>
      </w:pPr>
    </w:p>
    <w:p w14:paraId="3A2163D5">
      <w:pPr>
        <w:widowControl/>
        <w:spacing w:before="240" w:after="240" w:line="240" w:lineRule="auto"/>
        <w:jc w:val="center"/>
        <w:rPr>
          <w:rFonts w:hint="eastAsia" w:ascii="宋体" w:hAnsi="宋体" w:eastAsia="宋体" w:cs="宋体"/>
          <w:b/>
          <w:kern w:val="0"/>
          <w:sz w:val="24"/>
          <w:szCs w:val="24"/>
        </w:rPr>
      </w:pPr>
    </w:p>
    <w:p w14:paraId="5C60EE66">
      <w:pPr>
        <w:widowControl/>
        <w:spacing w:before="240" w:after="240" w:line="240" w:lineRule="auto"/>
        <w:jc w:val="center"/>
        <w:rPr>
          <w:rFonts w:hint="eastAsia" w:ascii="宋体" w:hAnsi="宋体" w:eastAsia="宋体" w:cs="宋体"/>
          <w:b/>
          <w:kern w:val="0"/>
          <w:sz w:val="24"/>
          <w:szCs w:val="24"/>
        </w:rPr>
      </w:pPr>
    </w:p>
    <w:p w14:paraId="203C4D91">
      <w:pPr>
        <w:widowControl/>
        <w:spacing w:before="240" w:after="240" w:line="240" w:lineRule="auto"/>
        <w:jc w:val="center"/>
        <w:rPr>
          <w:rFonts w:ascii="宋体" w:hAnsi="宋体" w:eastAsia="宋体" w:cs="宋体"/>
          <w:kern w:val="0"/>
          <w:sz w:val="32"/>
          <w:szCs w:val="32"/>
        </w:rPr>
      </w:pPr>
      <w:r>
        <w:rPr>
          <w:rFonts w:hint="eastAsia" w:ascii="宋体" w:hAnsi="宋体" w:eastAsia="宋体" w:cs="宋体"/>
          <w:b/>
          <w:kern w:val="0"/>
          <w:sz w:val="32"/>
          <w:szCs w:val="32"/>
        </w:rPr>
        <w:t>第一部分 合同书</w:t>
      </w:r>
    </w:p>
    <w:p w14:paraId="452FCB15">
      <w:pPr>
        <w:tabs>
          <w:tab w:val="left" w:pos="3240"/>
          <w:tab w:val="left" w:pos="3420"/>
        </w:tabs>
        <w:spacing w:line="240" w:lineRule="auto"/>
        <w:ind w:left="0" w:leftChars="0" w:firstLine="0" w:firstLineChars="0"/>
        <w:rPr>
          <w:rFonts w:hint="eastAsia" w:ascii="宋体" w:hAnsi="宋体" w:eastAsia="宋体" w:cs="宋体"/>
          <w:kern w:val="0"/>
          <w:sz w:val="24"/>
          <w:szCs w:val="24"/>
        </w:rPr>
      </w:pPr>
    </w:p>
    <w:p w14:paraId="459E1A18">
      <w:pPr>
        <w:tabs>
          <w:tab w:val="left" w:pos="3240"/>
          <w:tab w:val="left" w:pos="3420"/>
        </w:tabs>
        <w:spacing w:line="240" w:lineRule="auto"/>
        <w:ind w:left="0" w:leftChars="0" w:firstLine="0" w:firstLineChars="0"/>
        <w:rPr>
          <w:rFonts w:hint="eastAsia" w:ascii="宋体" w:hAnsi="宋体" w:eastAsia="宋体" w:cs="宋体"/>
          <w:kern w:val="0"/>
          <w:sz w:val="24"/>
          <w:szCs w:val="24"/>
        </w:rPr>
      </w:pPr>
    </w:p>
    <w:p w14:paraId="7C769010">
      <w:pPr>
        <w:tabs>
          <w:tab w:val="left" w:pos="3240"/>
          <w:tab w:val="left" w:pos="3420"/>
        </w:tabs>
        <w:spacing w:line="240" w:lineRule="auto"/>
        <w:jc w:val="center"/>
      </w:pPr>
      <w:r>
        <w:rPr>
          <w:rFonts w:hint="eastAsia" w:ascii="宋体" w:hAnsi="宋体" w:eastAsia="宋体" w:cs="宋体"/>
          <w:kern w:val="0"/>
          <w:sz w:val="24"/>
          <w:szCs w:val="24"/>
        </w:rPr>
        <w:t>项目名称：</w:t>
      </w:r>
      <w:r>
        <w:rPr>
          <w:rFonts w:hint="eastAsia" w:ascii="宋体" w:hAnsi="宋体" w:eastAsia="宋体" w:cs="宋体"/>
          <w:kern w:val="0"/>
          <w:sz w:val="24"/>
          <w:szCs w:val="24"/>
          <w:u w:val="single"/>
          <w:lang w:eastAsia="zh-CN"/>
        </w:rPr>
        <w:t>常州市钟楼区五星街道市政道路养护维修作业服务项目</w:t>
      </w:r>
    </w:p>
    <w:p w14:paraId="06F12E80">
      <w:pPr>
        <w:tabs>
          <w:tab w:val="left" w:pos="3240"/>
          <w:tab w:val="left" w:pos="3420"/>
        </w:tabs>
        <w:spacing w:line="240" w:lineRule="auto"/>
        <w:ind w:left="0" w:leftChars="0" w:firstLine="0" w:firstLineChars="0"/>
        <w:jc w:val="left"/>
        <w:rPr>
          <w:rFonts w:hint="eastAsia" w:ascii="宋体" w:hAnsi="宋体" w:eastAsia="宋体" w:cs="宋体"/>
          <w:kern w:val="0"/>
          <w:sz w:val="24"/>
          <w:szCs w:val="24"/>
        </w:rPr>
      </w:pPr>
    </w:p>
    <w:p w14:paraId="15913757">
      <w:pPr>
        <w:tabs>
          <w:tab w:val="left" w:pos="3240"/>
          <w:tab w:val="left" w:pos="3420"/>
        </w:tabs>
        <w:spacing w:line="240" w:lineRule="auto"/>
        <w:ind w:left="0" w:leftChars="0" w:firstLine="720" w:firstLineChars="300"/>
        <w:jc w:val="left"/>
        <w:rPr>
          <w:rFonts w:ascii="宋体" w:hAnsi="宋体" w:eastAsia="宋体" w:cs="宋体"/>
          <w:kern w:val="0"/>
          <w:sz w:val="24"/>
          <w:szCs w:val="24"/>
        </w:rPr>
      </w:pPr>
      <w:r>
        <w:rPr>
          <w:rFonts w:hint="eastAsia" w:ascii="宋体" w:hAnsi="宋体" w:eastAsia="宋体" w:cs="宋体"/>
          <w:kern w:val="0"/>
          <w:sz w:val="24"/>
          <w:szCs w:val="24"/>
        </w:rPr>
        <w:t>甲方：</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eastAsia="zh-CN"/>
        </w:rPr>
        <w:t>常州市钟楼区五星街道办事处</w:t>
      </w:r>
      <w:r>
        <w:rPr>
          <w:rFonts w:hint="eastAsia" w:ascii="宋体" w:hAnsi="宋体" w:eastAsia="宋体" w:cs="宋体"/>
          <w:kern w:val="0"/>
          <w:sz w:val="24"/>
          <w:szCs w:val="24"/>
          <w:u w:val="single"/>
        </w:rPr>
        <w:t xml:space="preserve">                   </w:t>
      </w:r>
    </w:p>
    <w:p w14:paraId="0532A652">
      <w:pPr>
        <w:widowControl/>
        <w:spacing w:before="120" w:line="240" w:lineRule="auto"/>
        <w:ind w:left="0" w:firstLine="720" w:firstLineChars="300"/>
        <w:jc w:val="left"/>
        <w:rPr>
          <w:rFonts w:hint="eastAsia" w:ascii="宋体" w:hAnsi="宋体" w:eastAsia="宋体" w:cs="宋体"/>
          <w:kern w:val="0"/>
          <w:sz w:val="24"/>
          <w:szCs w:val="24"/>
        </w:rPr>
      </w:pPr>
    </w:p>
    <w:p w14:paraId="770AF855">
      <w:pPr>
        <w:widowControl/>
        <w:spacing w:before="120" w:line="240" w:lineRule="auto"/>
        <w:ind w:left="0" w:firstLine="720" w:firstLineChars="300"/>
        <w:jc w:val="left"/>
        <w:rPr>
          <w:rFonts w:ascii="宋体" w:hAnsi="宋体" w:eastAsia="宋体" w:cs="宋体"/>
          <w:kern w:val="0"/>
          <w:sz w:val="24"/>
          <w:szCs w:val="24"/>
        </w:rPr>
      </w:pPr>
      <w:r>
        <w:rPr>
          <w:rFonts w:hint="eastAsia" w:ascii="宋体" w:hAnsi="宋体" w:eastAsia="宋体" w:cs="宋体"/>
          <w:kern w:val="0"/>
          <w:sz w:val="24"/>
          <w:szCs w:val="24"/>
        </w:rPr>
        <w:t>乙方：</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 xml:space="preserve">                    </w:t>
      </w:r>
    </w:p>
    <w:p w14:paraId="047936DC">
      <w:pPr>
        <w:widowControl/>
        <w:spacing w:before="120" w:line="240" w:lineRule="auto"/>
        <w:ind w:firstLine="720" w:firstLineChars="300"/>
        <w:jc w:val="left"/>
        <w:rPr>
          <w:rFonts w:hint="eastAsia" w:ascii="宋体" w:hAnsi="宋体" w:eastAsia="宋体" w:cs="宋体"/>
          <w:kern w:val="0"/>
          <w:sz w:val="24"/>
          <w:szCs w:val="24"/>
        </w:rPr>
      </w:pPr>
    </w:p>
    <w:p w14:paraId="31E13F0F">
      <w:pPr>
        <w:widowControl/>
        <w:spacing w:before="120" w:line="240" w:lineRule="auto"/>
        <w:ind w:firstLine="720" w:firstLineChars="300"/>
        <w:jc w:val="left"/>
        <w:rPr>
          <w:rFonts w:ascii="宋体" w:hAnsi="宋体" w:eastAsia="宋体" w:cs="宋体"/>
          <w:kern w:val="0"/>
          <w:sz w:val="24"/>
          <w:szCs w:val="24"/>
        </w:rPr>
      </w:pPr>
      <w:r>
        <w:rPr>
          <w:rFonts w:hint="eastAsia" w:ascii="宋体" w:hAnsi="宋体" w:eastAsia="宋体" w:cs="宋体"/>
          <w:kern w:val="0"/>
          <w:sz w:val="24"/>
          <w:szCs w:val="24"/>
        </w:rPr>
        <w:t>签订地：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 xml:space="preserve">    </w:t>
      </w:r>
    </w:p>
    <w:p w14:paraId="1FBB12DE">
      <w:pPr>
        <w:widowControl/>
        <w:spacing w:before="120" w:line="240" w:lineRule="auto"/>
        <w:ind w:firstLine="720" w:firstLineChars="300"/>
        <w:jc w:val="left"/>
        <w:rPr>
          <w:rFonts w:hint="eastAsia" w:ascii="宋体" w:hAnsi="宋体" w:eastAsia="宋体" w:cs="宋体"/>
          <w:kern w:val="0"/>
          <w:sz w:val="24"/>
          <w:szCs w:val="24"/>
        </w:rPr>
      </w:pPr>
    </w:p>
    <w:p w14:paraId="63297402">
      <w:pPr>
        <w:widowControl/>
        <w:spacing w:before="120" w:line="240" w:lineRule="auto"/>
        <w:ind w:firstLine="720" w:firstLineChars="300"/>
        <w:jc w:val="left"/>
        <w:rPr>
          <w:rFonts w:ascii="宋体" w:hAnsi="宋体" w:eastAsia="宋体" w:cs="宋体"/>
          <w:kern w:val="0"/>
          <w:sz w:val="24"/>
          <w:szCs w:val="24"/>
        </w:rPr>
      </w:pPr>
      <w:r>
        <w:rPr>
          <w:rFonts w:hint="eastAsia" w:ascii="宋体" w:hAnsi="宋体" w:eastAsia="宋体" w:cs="宋体"/>
          <w:kern w:val="0"/>
          <w:sz w:val="24"/>
          <w:szCs w:val="24"/>
        </w:rPr>
        <w:t>签订日期：</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年</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月</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日</w:t>
      </w:r>
    </w:p>
    <w:p w14:paraId="64A07652">
      <w:pPr>
        <w:widowControl/>
        <w:spacing w:before="100" w:beforeAutospacing="1" w:after="100" w:afterAutospacing="1" w:line="240" w:lineRule="auto"/>
        <w:jc w:val="left"/>
        <w:rPr>
          <w:rFonts w:ascii="宋体" w:hAnsi="宋体" w:eastAsia="宋体"/>
          <w:sz w:val="24"/>
          <w:szCs w:val="24"/>
        </w:rPr>
        <w:sectPr>
          <w:pgSz w:w="11906" w:h="16838"/>
          <w:pgMar w:top="1440" w:right="1800" w:bottom="1440" w:left="1800" w:header="851" w:footer="992" w:gutter="0"/>
          <w:cols w:space="720" w:num="1"/>
          <w:docGrid w:type="lines" w:linePitch="312" w:charSpace="0"/>
        </w:sectPr>
      </w:pPr>
    </w:p>
    <w:p w14:paraId="2B5A44E9">
      <w:pPr>
        <w:spacing w:line="360" w:lineRule="auto"/>
        <w:ind w:firstLine="480" w:firstLineChars="200"/>
        <w:jc w:val="both"/>
        <w:rPr>
          <w:rFonts w:hint="eastAsia" w:ascii="宋体" w:hAnsi="宋体" w:eastAsia="宋体" w:cs="宋体"/>
          <w:kern w:val="0"/>
          <w:sz w:val="24"/>
          <w:szCs w:val="24"/>
        </w:rPr>
      </w:pPr>
      <w:bookmarkStart w:id="817" w:name="_Toc331685784"/>
      <w:bookmarkEnd w:id="817"/>
      <w:bookmarkStart w:id="818" w:name="_Ref467379657"/>
      <w:bookmarkEnd w:id="818"/>
      <w:r>
        <w:rPr>
          <w:rFonts w:hint="eastAsia" w:ascii="宋体" w:hAnsi="宋体" w:eastAsia="宋体" w:cs="宋体"/>
          <w:kern w:val="0"/>
          <w:sz w:val="24"/>
          <w:szCs w:val="24"/>
          <w:u w:val="single"/>
          <w:lang w:val="zh-CN"/>
        </w:rPr>
        <w:t xml:space="preserve">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zh-CN"/>
        </w:rPr>
        <w:t>年</w:t>
      </w:r>
      <w:r>
        <w:rPr>
          <w:rFonts w:hint="eastAsia" w:ascii="宋体" w:hAnsi="宋体" w:eastAsia="宋体" w:cs="宋体"/>
          <w:kern w:val="0"/>
          <w:sz w:val="24"/>
          <w:szCs w:val="24"/>
          <w:u w:val="single"/>
          <w:lang w:val="zh-CN"/>
        </w:rPr>
        <w:t xml:space="preserve">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zh-CN"/>
        </w:rPr>
        <w:t>月</w:t>
      </w:r>
      <w:r>
        <w:rPr>
          <w:rFonts w:hint="eastAsia" w:ascii="宋体" w:hAnsi="宋体" w:eastAsia="宋体" w:cs="宋体"/>
          <w:kern w:val="0"/>
          <w:sz w:val="24"/>
          <w:szCs w:val="24"/>
          <w:u w:val="single"/>
          <w:lang w:val="zh-CN"/>
        </w:rPr>
        <w:t xml:space="preserve">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zh-CN"/>
        </w:rPr>
        <w:t>日</w:t>
      </w:r>
      <w:r>
        <w:rPr>
          <w:rFonts w:hint="eastAsia" w:ascii="宋体" w:hAnsi="宋体" w:eastAsia="宋体" w:cs="宋体"/>
          <w:kern w:val="0"/>
          <w:sz w:val="24"/>
          <w:szCs w:val="24"/>
        </w:rPr>
        <w:t>，</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eastAsia="zh-CN"/>
        </w:rPr>
        <w:t>常州市钟楼区五星街道办事处</w:t>
      </w:r>
      <w:r>
        <w:rPr>
          <w:rFonts w:hint="eastAsia" w:ascii="宋体" w:hAnsi="宋体" w:eastAsia="宋体" w:cs="宋体"/>
          <w:kern w:val="0"/>
          <w:sz w:val="24"/>
          <w:szCs w:val="24"/>
          <w:u w:val="single"/>
        </w:rPr>
        <w:t xml:space="preserve">  （采购人名称）   </w:t>
      </w:r>
      <w:r>
        <w:rPr>
          <w:rFonts w:hint="eastAsia" w:ascii="宋体" w:hAnsi="宋体" w:eastAsia="宋体" w:cs="宋体"/>
          <w:kern w:val="0"/>
          <w:sz w:val="24"/>
          <w:szCs w:val="24"/>
        </w:rPr>
        <w:t>以</w:t>
      </w:r>
      <w:r>
        <w:rPr>
          <w:rFonts w:hint="eastAsia" w:ascii="宋体" w:hAnsi="宋体" w:eastAsia="宋体" w:cs="宋体"/>
          <w:kern w:val="0"/>
          <w:sz w:val="24"/>
          <w:szCs w:val="24"/>
          <w:u w:val="single"/>
        </w:rPr>
        <w:t xml:space="preserve">   公开招标形式（政府采购方式）  </w:t>
      </w:r>
      <w:r>
        <w:rPr>
          <w:rFonts w:hint="eastAsia" w:ascii="宋体" w:hAnsi="宋体" w:eastAsia="宋体" w:cs="宋体"/>
          <w:kern w:val="0"/>
          <w:sz w:val="24"/>
          <w:szCs w:val="24"/>
        </w:rPr>
        <w:t>对</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eastAsia="zh-CN"/>
        </w:rPr>
        <w:t>常州市钟楼区五星街道市政道路养护维修作业服务项目</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项目进行了采购。经</w:t>
      </w:r>
      <w:r>
        <w:rPr>
          <w:rFonts w:hint="eastAsia" w:ascii="宋体" w:hAnsi="宋体" w:eastAsia="宋体" w:cs="宋体"/>
          <w:kern w:val="0"/>
          <w:sz w:val="24"/>
          <w:szCs w:val="24"/>
          <w:u w:val="single"/>
        </w:rPr>
        <w:t xml:space="preserve"> 评标委员会</w:t>
      </w:r>
      <w:r>
        <w:rPr>
          <w:rFonts w:hint="eastAsia" w:ascii="宋体" w:hAnsi="宋体" w:eastAsia="宋体" w:cs="宋体"/>
          <w:kern w:val="0"/>
          <w:sz w:val="24"/>
          <w:szCs w:val="24"/>
        </w:rPr>
        <w:t>评定，</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为该项目中标供应商。现于中标通知书发出之日起三十日内，按照采购文件确定的事项签订本合同。</w:t>
      </w:r>
    </w:p>
    <w:p w14:paraId="05F1B44F">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lang w:val="zh-CN"/>
        </w:rPr>
        <w:t>根据《中华人民共和国民法典》、《中华人民共和国政府采购法》等相关法律法规之规定，按照平等、自愿、公平和诚实信用的原则，经</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eastAsia="zh-CN"/>
        </w:rPr>
        <w:t>常州市钟楼区五星街道办事处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lang w:val="zh-CN"/>
        </w:rPr>
        <w:t>(以下简称：甲方)和</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zh-CN"/>
        </w:rPr>
        <w:t>(以下简称：乙方)协商一致，约定以下合同</w:t>
      </w:r>
      <w:r>
        <w:rPr>
          <w:rFonts w:hint="eastAsia" w:ascii="宋体" w:hAnsi="宋体" w:eastAsia="宋体" w:cs="宋体"/>
          <w:kern w:val="0"/>
          <w:sz w:val="24"/>
          <w:szCs w:val="24"/>
        </w:rPr>
        <w:t>条款，以兹共同遵守、全面履行。</w:t>
      </w:r>
    </w:p>
    <w:p w14:paraId="04A337A0">
      <w:pPr>
        <w:widowControl/>
        <w:spacing w:line="360" w:lineRule="auto"/>
        <w:ind w:firstLine="482" w:firstLineChars="200"/>
        <w:jc w:val="both"/>
        <w:outlineLvl w:val="0"/>
        <w:rPr>
          <w:rFonts w:hint="eastAsia" w:ascii="宋体" w:hAnsi="宋体" w:eastAsia="宋体" w:cs="宋体"/>
          <w:kern w:val="0"/>
          <w:sz w:val="24"/>
          <w:szCs w:val="24"/>
        </w:rPr>
      </w:pPr>
      <w:bookmarkStart w:id="819" w:name="_Toc15367"/>
      <w:bookmarkStart w:id="820" w:name="_Toc20421"/>
      <w:bookmarkStart w:id="821" w:name="_Toc19273"/>
      <w:bookmarkStart w:id="822" w:name="_Toc28855"/>
      <w:bookmarkStart w:id="823" w:name="_Toc22967"/>
      <w:r>
        <w:rPr>
          <w:rFonts w:hint="eastAsia" w:ascii="宋体" w:hAnsi="宋体" w:eastAsia="宋体" w:cs="宋体"/>
          <w:b/>
          <w:kern w:val="0"/>
          <w:sz w:val="24"/>
          <w:szCs w:val="24"/>
        </w:rPr>
        <w:t>1.1 合同组成部分</w:t>
      </w:r>
      <w:bookmarkEnd w:id="819"/>
      <w:bookmarkEnd w:id="820"/>
      <w:bookmarkEnd w:id="821"/>
      <w:bookmarkEnd w:id="822"/>
      <w:bookmarkEnd w:id="823"/>
    </w:p>
    <w:p w14:paraId="0D6AEC06">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287970EC">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1.1.1 本合同及其补充合同、变更协议；</w:t>
      </w:r>
    </w:p>
    <w:p w14:paraId="27912EDC">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1.1.2 中标通知书；</w:t>
      </w:r>
    </w:p>
    <w:p w14:paraId="6A2AD6D6">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1.1.3 投标文件（含澄清或者说明文件）；</w:t>
      </w:r>
    </w:p>
    <w:p w14:paraId="410DD02F">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1.1.4 招标文件（含澄清或者修改文件）；</w:t>
      </w:r>
    </w:p>
    <w:p w14:paraId="341313B7">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1.1.5 其他相关采购文件。</w:t>
      </w:r>
    </w:p>
    <w:p w14:paraId="6B88A746">
      <w:pPr>
        <w:widowControl/>
        <w:spacing w:line="360" w:lineRule="auto"/>
        <w:ind w:firstLine="482" w:firstLineChars="200"/>
        <w:jc w:val="both"/>
        <w:outlineLvl w:val="0"/>
        <w:rPr>
          <w:rFonts w:hint="eastAsia" w:ascii="宋体" w:hAnsi="宋体" w:eastAsia="宋体" w:cs="宋体"/>
          <w:kern w:val="0"/>
          <w:sz w:val="24"/>
          <w:szCs w:val="24"/>
        </w:rPr>
      </w:pPr>
      <w:bookmarkStart w:id="824" w:name="_Toc2918"/>
      <w:bookmarkStart w:id="825" w:name="_Toc6773"/>
      <w:bookmarkStart w:id="826" w:name="_Toc18585"/>
      <w:bookmarkStart w:id="827" w:name="_Toc6311"/>
      <w:bookmarkStart w:id="828" w:name="_Toc22185"/>
      <w:r>
        <w:rPr>
          <w:rFonts w:hint="eastAsia" w:ascii="宋体" w:hAnsi="宋体" w:eastAsia="宋体" w:cs="宋体"/>
          <w:b/>
          <w:kern w:val="0"/>
          <w:sz w:val="24"/>
          <w:szCs w:val="24"/>
        </w:rPr>
        <w:t>1.2 标的</w:t>
      </w:r>
      <w:bookmarkEnd w:id="824"/>
      <w:bookmarkEnd w:id="825"/>
      <w:bookmarkEnd w:id="826"/>
      <w:bookmarkEnd w:id="827"/>
      <w:bookmarkEnd w:id="828"/>
    </w:p>
    <w:p w14:paraId="4202BD81">
      <w:pPr>
        <w:widowControl/>
        <w:tabs>
          <w:tab w:val="left" w:pos="2694"/>
        </w:tabs>
        <w:spacing w:line="360" w:lineRule="auto"/>
        <w:ind w:left="2399" w:leftChars="228" w:right="-197" w:rightChars="-94" w:hanging="1920" w:hangingChars="800"/>
        <w:jc w:val="both"/>
        <w:rPr>
          <w:rFonts w:hint="eastAsia" w:ascii="宋体" w:hAnsi="宋体" w:eastAsia="宋体" w:cs="宋体"/>
          <w:kern w:val="0"/>
          <w:sz w:val="24"/>
          <w:szCs w:val="24"/>
          <w:u w:val="single"/>
        </w:rPr>
      </w:pPr>
      <w:r>
        <w:rPr>
          <w:rFonts w:hint="eastAsia" w:ascii="宋体" w:hAnsi="宋体" w:eastAsia="宋体" w:cs="宋体"/>
          <w:kern w:val="0"/>
          <w:sz w:val="24"/>
          <w:szCs w:val="24"/>
        </w:rPr>
        <w:t>1.2.1 标的名称：</w:t>
      </w:r>
      <w:r>
        <w:rPr>
          <w:rFonts w:hint="eastAsia" w:ascii="宋体" w:hAnsi="宋体" w:eastAsia="宋体" w:cs="宋体"/>
          <w:kern w:val="0"/>
          <w:sz w:val="24"/>
          <w:szCs w:val="24"/>
          <w:u w:val="single"/>
          <w:lang w:eastAsia="zh-CN"/>
        </w:rPr>
        <w:t>常州市钟楼区五星街道市政道路养护维修作业服务项目；</w:t>
      </w:r>
    </w:p>
    <w:p w14:paraId="0D809D5B">
      <w:pPr>
        <w:widowControl/>
        <w:spacing w:line="360" w:lineRule="auto"/>
        <w:ind w:right="-483" w:rightChars="-23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1.2.2 标的数量：</w:t>
      </w:r>
      <w:r>
        <w:rPr>
          <w:rFonts w:hint="eastAsia" w:ascii="宋体" w:hAnsi="宋体" w:eastAsia="宋体" w:cs="宋体"/>
          <w:kern w:val="0"/>
          <w:sz w:val="24"/>
          <w:szCs w:val="24"/>
          <w:u w:val="single"/>
        </w:rPr>
        <w:t>　</w:t>
      </w:r>
      <w:r>
        <w:rPr>
          <w:rFonts w:hint="eastAsia" w:ascii="宋体" w:hAnsi="宋体" w:eastAsia="宋体" w:cs="宋体"/>
          <w:kern w:val="0"/>
          <w:sz w:val="24"/>
          <w:szCs w:val="24"/>
          <w:u w:val="single"/>
          <w:lang w:val="en-US" w:eastAsia="zh-CN"/>
        </w:rPr>
        <w:t xml:space="preserve"> 1</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p>
    <w:p w14:paraId="7346C79D">
      <w:pPr>
        <w:widowControl/>
        <w:spacing w:line="360" w:lineRule="auto"/>
        <w:ind w:right="-197" w:rightChars="-94"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1.2.3 标的质量：</w:t>
      </w:r>
      <w:r>
        <w:rPr>
          <w:rFonts w:hint="eastAsia" w:ascii="宋体" w:hAnsi="宋体" w:eastAsia="宋体" w:cs="宋体"/>
          <w:kern w:val="0"/>
          <w:sz w:val="24"/>
          <w:szCs w:val="24"/>
          <w:u w:val="single"/>
        </w:rPr>
        <w:t xml:space="preserve">　合格                 </w:t>
      </w:r>
      <w:r>
        <w:rPr>
          <w:rFonts w:hint="eastAsia" w:ascii="宋体" w:hAnsi="宋体" w:eastAsia="宋体" w:cs="宋体"/>
          <w:kern w:val="0"/>
          <w:sz w:val="24"/>
          <w:szCs w:val="24"/>
        </w:rPr>
        <w:t>。</w:t>
      </w:r>
    </w:p>
    <w:p w14:paraId="13573413">
      <w:pPr>
        <w:widowControl/>
        <w:spacing w:line="360" w:lineRule="auto"/>
        <w:ind w:right="-197" w:rightChars="-94"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1.2.</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 xml:space="preserve"> 标的</w:t>
      </w:r>
      <w:r>
        <w:rPr>
          <w:rFonts w:hint="eastAsia" w:ascii="宋体" w:hAnsi="宋体" w:eastAsia="宋体" w:cs="宋体"/>
          <w:kern w:val="0"/>
          <w:sz w:val="24"/>
          <w:szCs w:val="24"/>
          <w:lang w:val="en-US" w:eastAsia="zh-CN"/>
        </w:rPr>
        <w:t>项目负责人</w:t>
      </w:r>
      <w:r>
        <w:rPr>
          <w:rFonts w:hint="eastAsia" w:ascii="宋体" w:hAnsi="宋体" w:eastAsia="宋体" w:cs="宋体"/>
          <w:kern w:val="0"/>
          <w:sz w:val="24"/>
          <w:szCs w:val="24"/>
        </w:rPr>
        <w:t>：</w:t>
      </w:r>
      <w:r>
        <w:rPr>
          <w:rFonts w:hint="eastAsia" w:ascii="宋体" w:hAnsi="宋体" w:eastAsia="宋体" w:cs="宋体"/>
          <w:kern w:val="0"/>
          <w:sz w:val="24"/>
          <w:szCs w:val="24"/>
          <w:u w:val="single"/>
        </w:rPr>
        <w:t>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p>
    <w:p w14:paraId="7DB88973">
      <w:pPr>
        <w:widowControl/>
        <w:spacing w:line="360" w:lineRule="auto"/>
        <w:ind w:firstLine="482" w:firstLineChars="200"/>
        <w:jc w:val="both"/>
        <w:outlineLvl w:val="0"/>
        <w:rPr>
          <w:rFonts w:hint="eastAsia" w:ascii="宋体" w:hAnsi="宋体" w:eastAsia="宋体" w:cs="宋体"/>
          <w:kern w:val="0"/>
          <w:sz w:val="24"/>
          <w:szCs w:val="24"/>
        </w:rPr>
      </w:pPr>
      <w:bookmarkStart w:id="829" w:name="_Toc1386"/>
      <w:bookmarkStart w:id="830" w:name="_Toc13918"/>
      <w:bookmarkStart w:id="831" w:name="_Toc4929"/>
      <w:bookmarkStart w:id="832" w:name="_Toc21124"/>
      <w:bookmarkStart w:id="833" w:name="_Toc5635"/>
      <w:r>
        <w:rPr>
          <w:rFonts w:hint="eastAsia" w:ascii="宋体" w:hAnsi="宋体" w:eastAsia="宋体" w:cs="宋体"/>
          <w:b/>
          <w:kern w:val="0"/>
          <w:sz w:val="24"/>
          <w:szCs w:val="24"/>
        </w:rPr>
        <w:t>1.3 价款</w:t>
      </w:r>
      <w:bookmarkEnd w:id="829"/>
      <w:bookmarkEnd w:id="830"/>
      <w:bookmarkEnd w:id="831"/>
      <w:bookmarkEnd w:id="832"/>
      <w:bookmarkEnd w:id="833"/>
    </w:p>
    <w:p w14:paraId="0274B0FD">
      <w:pPr>
        <w:widowControl/>
        <w:spacing w:line="360" w:lineRule="auto"/>
        <w:ind w:right="-197" w:rightChars="-94" w:firstLine="480" w:firstLineChars="200"/>
        <w:jc w:val="both"/>
        <w:rPr>
          <w:rFonts w:hint="eastAsia" w:ascii="宋体" w:hAnsi="宋体" w:eastAsia="宋体" w:cs="宋体"/>
          <w:kern w:val="0"/>
          <w:sz w:val="24"/>
          <w:szCs w:val="24"/>
          <w:u w:val="none"/>
          <w:lang w:val="en-US" w:eastAsia="zh-CN"/>
        </w:rPr>
      </w:pPr>
      <w:r>
        <w:rPr>
          <w:rFonts w:hint="eastAsia" w:ascii="宋体" w:hAnsi="宋体" w:eastAsia="宋体" w:cs="宋体"/>
          <w:kern w:val="0"/>
          <w:sz w:val="24"/>
          <w:szCs w:val="24"/>
        </w:rPr>
        <w:t>本合同</w:t>
      </w:r>
      <w:r>
        <w:rPr>
          <w:rFonts w:hint="eastAsia" w:ascii="宋体" w:hAnsi="宋体" w:eastAsia="宋体" w:cs="宋体"/>
          <w:kern w:val="0"/>
          <w:sz w:val="24"/>
          <w:szCs w:val="24"/>
          <w:lang w:val="en-US" w:eastAsia="zh-CN"/>
        </w:rPr>
        <w:t>结算采用</w:t>
      </w:r>
      <w:r>
        <w:rPr>
          <w:rFonts w:hint="eastAsia" w:ascii="宋体" w:hAnsi="宋体" w:eastAsia="宋体" w:cs="宋体"/>
          <w:kern w:val="0"/>
          <w:sz w:val="24"/>
          <w:szCs w:val="24"/>
          <w:u w:val="single"/>
          <w:lang w:val="en-US" w:eastAsia="zh-CN"/>
        </w:rPr>
        <w:t>固定优惠率合同</w:t>
      </w:r>
      <w:r>
        <w:rPr>
          <w:rFonts w:hint="eastAsia" w:ascii="宋体" w:hAnsi="宋体" w:eastAsia="宋体" w:cs="宋体"/>
          <w:kern w:val="0"/>
          <w:sz w:val="24"/>
          <w:szCs w:val="24"/>
          <w:u w:val="none"/>
          <w:lang w:val="en-US" w:eastAsia="zh-CN"/>
        </w:rPr>
        <w:t>。合同优惠率为</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none"/>
          <w:lang w:val="en-US" w:eastAsia="zh-CN"/>
        </w:rPr>
        <w:t>。合同实施期间，费率不调整。</w:t>
      </w:r>
    </w:p>
    <w:p w14:paraId="5F27AF7E">
      <w:pPr>
        <w:widowControl/>
        <w:spacing w:line="360" w:lineRule="auto"/>
        <w:ind w:firstLine="480" w:firstLineChars="200"/>
        <w:jc w:val="both"/>
        <w:rPr>
          <w:rFonts w:hint="eastAsia" w:ascii="宋体" w:hAnsi="宋体" w:eastAsia="宋体" w:cs="宋体"/>
          <w:kern w:val="0"/>
          <w:sz w:val="24"/>
          <w:szCs w:val="24"/>
          <w:lang w:val="en-US" w:eastAsia="zh-CN"/>
        </w:rPr>
      </w:pPr>
      <w:bookmarkStart w:id="834" w:name="_Toc3654"/>
      <w:bookmarkStart w:id="835" w:name="_Toc30158"/>
      <w:bookmarkStart w:id="836" w:name="_Toc14993"/>
      <w:bookmarkStart w:id="837" w:name="_Toc30506"/>
      <w:bookmarkStart w:id="838" w:name="_Toc26916"/>
      <w:r>
        <w:rPr>
          <w:rFonts w:hint="eastAsia" w:ascii="宋体" w:hAnsi="宋体" w:eastAsia="宋体" w:cs="宋体"/>
          <w:kern w:val="0"/>
          <w:sz w:val="24"/>
          <w:szCs w:val="24"/>
          <w:lang w:val="en-US" w:eastAsia="zh-CN"/>
        </w:rPr>
        <w:t>合同暂估总价</w:t>
      </w:r>
      <w:r>
        <w:rPr>
          <w:rFonts w:hint="eastAsia" w:ascii="宋体" w:hAnsi="宋体" w:eastAsia="宋体" w:cs="宋体"/>
          <w:kern w:val="0"/>
          <w:sz w:val="24"/>
          <w:szCs w:val="24"/>
          <w:u w:val="single"/>
          <w:lang w:val="en-US" w:eastAsia="zh-CN"/>
        </w:rPr>
        <w:t>210.00</w:t>
      </w:r>
      <w:r>
        <w:rPr>
          <w:rFonts w:hint="eastAsia" w:ascii="宋体" w:hAnsi="宋体" w:eastAsia="宋体" w:cs="宋体"/>
          <w:kern w:val="0"/>
          <w:sz w:val="24"/>
          <w:szCs w:val="24"/>
          <w:lang w:val="en-US" w:eastAsia="zh-CN"/>
        </w:rPr>
        <w:t>万元，最终以审计审定金额结算，原则上合同累计结算金额不得超过</w:t>
      </w:r>
      <w:r>
        <w:rPr>
          <w:rFonts w:hint="eastAsia" w:ascii="宋体" w:hAnsi="宋体" w:eastAsia="宋体" w:cs="宋体"/>
          <w:kern w:val="0"/>
          <w:sz w:val="24"/>
          <w:szCs w:val="24"/>
          <w:u w:val="single"/>
          <w:lang w:val="en-US" w:eastAsia="zh-CN"/>
        </w:rPr>
        <w:t>210.00</w:t>
      </w:r>
      <w:r>
        <w:rPr>
          <w:rFonts w:hint="eastAsia" w:ascii="宋体" w:hAnsi="宋体" w:eastAsia="宋体" w:cs="宋体"/>
          <w:kern w:val="0"/>
          <w:sz w:val="24"/>
          <w:szCs w:val="24"/>
          <w:lang w:val="en-US" w:eastAsia="zh-CN"/>
        </w:rPr>
        <w:t>万元。</w:t>
      </w:r>
    </w:p>
    <w:p w14:paraId="7464963B">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养护期：</w:t>
      </w:r>
      <w:r>
        <w:rPr>
          <w:rFonts w:hint="eastAsia" w:ascii="宋体" w:hAnsi="宋体" w:eastAsia="宋体" w:cs="宋体"/>
          <w:kern w:val="0"/>
          <w:sz w:val="24"/>
          <w:szCs w:val="24"/>
          <w:lang w:val="en-US" w:eastAsia="zh-CN"/>
        </w:rPr>
        <w:t>一年，自</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年</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月</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日起至</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年</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月</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日止。</w:t>
      </w:r>
    </w:p>
    <w:p w14:paraId="63087EF3">
      <w:pPr>
        <w:widowControl/>
        <w:spacing w:line="360" w:lineRule="auto"/>
        <w:ind w:firstLine="482" w:firstLineChars="200"/>
        <w:jc w:val="both"/>
        <w:outlineLvl w:val="0"/>
        <w:rPr>
          <w:rFonts w:hint="eastAsia" w:ascii="宋体" w:hAnsi="宋体" w:eastAsia="宋体" w:cs="宋体"/>
          <w:kern w:val="0"/>
          <w:sz w:val="24"/>
          <w:szCs w:val="24"/>
        </w:rPr>
      </w:pPr>
      <w:r>
        <w:rPr>
          <w:rFonts w:hint="eastAsia" w:ascii="宋体" w:hAnsi="宋体" w:eastAsia="宋体" w:cs="宋体"/>
          <w:b/>
          <w:kern w:val="0"/>
          <w:sz w:val="24"/>
          <w:szCs w:val="24"/>
        </w:rPr>
        <w:t>1.4 付款方式和发票开具方式</w:t>
      </w:r>
      <w:bookmarkEnd w:id="834"/>
      <w:bookmarkEnd w:id="835"/>
      <w:bookmarkEnd w:id="836"/>
      <w:bookmarkEnd w:id="837"/>
      <w:bookmarkEnd w:id="838"/>
    </w:p>
    <w:p w14:paraId="5DA10877">
      <w:pPr>
        <w:widowControl/>
        <w:spacing w:line="360" w:lineRule="auto"/>
        <w:ind w:right="-340" w:rightChars="-162" w:firstLine="480" w:firstLineChars="200"/>
        <w:jc w:val="both"/>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1.4.1付款方式：</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乙方应于每季度末向甲方提供本季度已完成项目清单，在确定结算金额（该费用为扣除考核扣款后的金额）后按要求开具发票，凭票及相关付款材料向甲方申请付款，甲方收到发票及相关付款材料齐全后30日内向乙方支付本季度经审定的全部维修金额。因乙方未及时提供发票及相关付款材料或所提供发票金额等信息不正确导致相应后果的，甲方不承担任何责任。</w:t>
      </w:r>
    </w:p>
    <w:p w14:paraId="6C3D9F92">
      <w:pPr>
        <w:widowControl/>
        <w:spacing w:line="360" w:lineRule="auto"/>
        <w:ind w:right="-340" w:rightChars="-162" w:firstLine="480" w:firstLineChars="200"/>
        <w:jc w:val="both"/>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1.4.2 发票开具方式：</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增值税普通发票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55DFEC6">
      <w:pPr>
        <w:widowControl/>
        <w:spacing w:line="360" w:lineRule="auto"/>
        <w:ind w:right="-340" w:rightChars="-162" w:firstLine="480" w:firstLineChars="200"/>
        <w:jc w:val="both"/>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1.4.3 履约保函：</w:t>
      </w:r>
    </w:p>
    <w:p w14:paraId="1628FFEF">
      <w:pPr>
        <w:widowControl/>
        <w:spacing w:line="360" w:lineRule="auto"/>
        <w:ind w:right="-340" w:rightChars="-162" w:firstLine="480" w:firstLineChars="200"/>
        <w:jc w:val="both"/>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1.4.3.1乙方应在合同签订之日起5日内，向甲方提交金额为合同暂估总价*10%的履约保函。</w:t>
      </w:r>
    </w:p>
    <w:p w14:paraId="52C14BF7">
      <w:pPr>
        <w:widowControl/>
        <w:spacing w:line="360" w:lineRule="auto"/>
        <w:ind w:right="-340" w:rightChars="-162" w:firstLine="480" w:firstLineChars="200"/>
        <w:jc w:val="both"/>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1.4.3.2如乙方违约、出现被扣罚情况或因过失导致甲方或第三方损失时，甲方可依据保函条款向保函出具机构索赔，也有权随时对履约保函项下权益进行处置。如履约保函担保金额不足以赔偿甲方或第三方损失时，甲方还有权继续对乙方进行追讨。</w:t>
      </w:r>
    </w:p>
    <w:p w14:paraId="247533B2">
      <w:pPr>
        <w:widowControl/>
        <w:spacing w:line="360" w:lineRule="auto"/>
        <w:ind w:right="-340" w:rightChars="-162" w:firstLine="480" w:firstLineChars="200"/>
        <w:jc w:val="both"/>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1.4.3.3因处置导致履约保函担保额度未达到本项目要求时，甲方有权要求乙方重新出具或补足保函。乙方须在接到甲方通知之日起的 5 个工作日内完成保函补足。乙方未按时补足的，甲方有权解除合同，并按保函约定主张权利。</w:t>
      </w:r>
    </w:p>
    <w:p w14:paraId="4A4A8A34">
      <w:pPr>
        <w:widowControl/>
        <w:spacing w:line="360" w:lineRule="auto"/>
        <w:ind w:right="-340" w:rightChars="-162" w:firstLine="480" w:firstLineChars="200"/>
        <w:jc w:val="both"/>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1.4.3.4合同期满，乙方全部合同义务履行完毕，无违约责任或违约责任已处理完成，甲方在 30 日内办理履约保函的退还 / 解除手续，无息退回。</w:t>
      </w:r>
    </w:p>
    <w:p w14:paraId="3C875DBB">
      <w:pPr>
        <w:widowControl/>
        <w:spacing w:line="360" w:lineRule="auto"/>
        <w:ind w:firstLine="482" w:firstLineChars="200"/>
        <w:jc w:val="both"/>
        <w:outlineLvl w:val="0"/>
        <w:rPr>
          <w:rFonts w:hint="eastAsia" w:ascii="宋体" w:hAnsi="宋体" w:eastAsia="宋体" w:cs="宋体"/>
          <w:kern w:val="0"/>
          <w:sz w:val="24"/>
          <w:szCs w:val="24"/>
        </w:rPr>
      </w:pPr>
      <w:bookmarkStart w:id="839" w:name="_Toc4760"/>
      <w:bookmarkStart w:id="840" w:name="_Toc31421"/>
      <w:bookmarkStart w:id="841" w:name="_Toc11108"/>
      <w:bookmarkStart w:id="842" w:name="_Toc8772"/>
      <w:bookmarkStart w:id="843" w:name="_Toc3625"/>
      <w:r>
        <w:rPr>
          <w:rFonts w:hint="eastAsia" w:ascii="宋体" w:hAnsi="宋体" w:eastAsia="宋体" w:cs="宋体"/>
          <w:b/>
          <w:kern w:val="0"/>
          <w:sz w:val="24"/>
          <w:szCs w:val="24"/>
        </w:rPr>
        <w:t>1.5 履行期限、地点和方式</w:t>
      </w:r>
      <w:bookmarkEnd w:id="839"/>
      <w:bookmarkEnd w:id="840"/>
      <w:bookmarkEnd w:id="841"/>
      <w:bookmarkEnd w:id="842"/>
      <w:bookmarkEnd w:id="843"/>
    </w:p>
    <w:p w14:paraId="4A1A3903">
      <w:pPr>
        <w:widowControl/>
        <w:spacing w:line="360" w:lineRule="auto"/>
        <w:ind w:right="-340" w:rightChars="-162"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1.5.1 履行期限：</w:t>
      </w:r>
      <w:r>
        <w:rPr>
          <w:rFonts w:hint="eastAsia" w:ascii="宋体" w:hAnsi="宋体" w:eastAsia="宋体" w:cs="宋体"/>
          <w:kern w:val="0"/>
          <w:sz w:val="24"/>
          <w:szCs w:val="24"/>
          <w:u w:val="single"/>
        </w:rPr>
        <w:t xml:space="preserve"> </w:t>
      </w:r>
      <w:bookmarkStart w:id="844" w:name="OLE_LINK31"/>
      <w:bookmarkStart w:id="845" w:name="OLE_LINK32"/>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val="en-US" w:eastAsia="zh-CN"/>
        </w:rPr>
        <w:t>一</w:t>
      </w:r>
      <w:r>
        <w:rPr>
          <w:rFonts w:hint="eastAsia" w:ascii="宋体" w:hAnsi="宋体" w:eastAsia="宋体" w:cs="宋体"/>
          <w:kern w:val="0"/>
          <w:sz w:val="24"/>
          <w:szCs w:val="24"/>
          <w:u w:val="single"/>
        </w:rPr>
        <w:t>年（</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年</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月</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日至</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年</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月</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 xml:space="preserve">日）         </w:t>
      </w:r>
      <w:bookmarkEnd w:id="844"/>
      <w:bookmarkEnd w:id="845"/>
      <w:r>
        <w:rPr>
          <w:rFonts w:hint="eastAsia" w:ascii="宋体" w:hAnsi="宋体" w:eastAsia="宋体" w:cs="宋体"/>
          <w:kern w:val="0"/>
          <w:sz w:val="24"/>
          <w:szCs w:val="24"/>
        </w:rPr>
        <w:t>；</w:t>
      </w:r>
    </w:p>
    <w:p w14:paraId="6E054993">
      <w:pPr>
        <w:widowControl/>
        <w:spacing w:line="360" w:lineRule="auto"/>
        <w:ind w:left="2399" w:leftChars="228" w:right="-340" w:rightChars="-162" w:hanging="1920" w:hangingChars="800"/>
        <w:jc w:val="both"/>
        <w:rPr>
          <w:rFonts w:hint="eastAsia" w:ascii="宋体" w:hAnsi="宋体" w:eastAsia="宋体" w:cs="宋体"/>
          <w:kern w:val="0"/>
          <w:sz w:val="24"/>
          <w:szCs w:val="24"/>
        </w:rPr>
      </w:pPr>
      <w:r>
        <w:rPr>
          <w:rFonts w:hint="eastAsia" w:ascii="宋体" w:hAnsi="宋体" w:eastAsia="宋体" w:cs="宋体"/>
          <w:kern w:val="0"/>
          <w:sz w:val="24"/>
          <w:szCs w:val="24"/>
        </w:rPr>
        <w:t>1.5.2 履行地点：</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none"/>
          <w:lang w:val="en-US" w:eastAsia="zh-CN"/>
        </w:rPr>
        <w:t>。</w:t>
      </w:r>
    </w:p>
    <w:p w14:paraId="4424726F">
      <w:pPr>
        <w:widowControl/>
        <w:spacing w:line="360" w:lineRule="auto"/>
        <w:ind w:right="-340" w:rightChars="-162"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1.5.3 履行方式：</w:t>
      </w:r>
      <w:r>
        <w:rPr>
          <w:rFonts w:hint="eastAsia" w:ascii="宋体" w:hAnsi="宋体" w:eastAsia="宋体" w:cs="宋体"/>
          <w:kern w:val="0"/>
          <w:sz w:val="24"/>
          <w:szCs w:val="24"/>
          <w:u w:val="single"/>
        </w:rPr>
        <w:t>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p>
    <w:p w14:paraId="4618E9B2">
      <w:pPr>
        <w:widowControl/>
        <w:spacing w:line="360" w:lineRule="auto"/>
        <w:ind w:firstLine="482" w:firstLineChars="200"/>
        <w:jc w:val="both"/>
        <w:outlineLvl w:val="0"/>
        <w:rPr>
          <w:rFonts w:hint="eastAsia" w:ascii="宋体" w:hAnsi="宋体" w:eastAsia="宋体" w:cs="宋体"/>
          <w:kern w:val="0"/>
          <w:sz w:val="24"/>
          <w:szCs w:val="24"/>
        </w:rPr>
      </w:pPr>
      <w:bookmarkStart w:id="846" w:name="_Toc8586"/>
      <w:bookmarkStart w:id="847" w:name="_Toc5698"/>
      <w:bookmarkStart w:id="848" w:name="_Toc3079"/>
      <w:bookmarkStart w:id="849" w:name="_Toc2375"/>
      <w:bookmarkStart w:id="850" w:name="_Toc24662"/>
      <w:r>
        <w:rPr>
          <w:rFonts w:hint="eastAsia" w:ascii="宋体" w:hAnsi="宋体" w:eastAsia="宋体" w:cs="宋体"/>
          <w:b/>
          <w:kern w:val="0"/>
          <w:sz w:val="24"/>
          <w:szCs w:val="24"/>
        </w:rPr>
        <w:t>1.6 违约责任</w:t>
      </w:r>
      <w:bookmarkEnd w:id="846"/>
      <w:bookmarkEnd w:id="847"/>
      <w:bookmarkEnd w:id="848"/>
      <w:bookmarkEnd w:id="849"/>
      <w:bookmarkEnd w:id="850"/>
    </w:p>
    <w:p w14:paraId="06D57B0A">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1.6.1 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%计算，最高限额为本合同总价的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%；迟延履行的违约金计算数额达到前述最高限额之日起，甲方有权在要求乙方支付违约金的同时，书面通知乙方解除本合同；</w:t>
      </w:r>
    </w:p>
    <w:p w14:paraId="66D3F6ED">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1.6.2 除不可抗力外，如果甲方没有按照本合同约定的付款方式付款，那么乙方可要求甲方支付违约金，违约金按每迟延付款一日的应付而未付款的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%计算，最高限额为本合同总价的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%；迟延付款的违约金计算数额达到前述最高限额之日起，乙方有权在要求甲方支付违约金的同时，书面通知甲方解除本合同；</w:t>
      </w:r>
    </w:p>
    <w:p w14:paraId="7EF430BA">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5B5E35DE">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6CF0EF18">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472BE6A">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1.6.6 如果出现政府采购监督管理部门在处理投诉事项期间，书面通知甲方暂停采购活动的情形，或者询问或质疑事项可能影响中标结果的，导致甲方中止履行合同的情形，均不视为甲方违约。</w:t>
      </w:r>
    </w:p>
    <w:p w14:paraId="4FC1595E">
      <w:pPr>
        <w:widowControl/>
        <w:spacing w:line="360" w:lineRule="auto"/>
        <w:ind w:firstLine="482" w:firstLineChars="200"/>
        <w:jc w:val="both"/>
        <w:outlineLvl w:val="0"/>
        <w:rPr>
          <w:rFonts w:hint="eastAsia" w:ascii="宋体" w:hAnsi="宋体" w:eastAsia="宋体" w:cs="宋体"/>
          <w:kern w:val="0"/>
          <w:sz w:val="24"/>
          <w:szCs w:val="24"/>
        </w:rPr>
      </w:pPr>
      <w:bookmarkStart w:id="851" w:name="_Toc32454"/>
      <w:bookmarkStart w:id="852" w:name="_Toc30329"/>
      <w:bookmarkStart w:id="853" w:name="_Toc9497"/>
      <w:bookmarkStart w:id="854" w:name="_Toc26807"/>
      <w:bookmarkStart w:id="855" w:name="_Toc18683"/>
      <w:r>
        <w:rPr>
          <w:rFonts w:hint="eastAsia" w:ascii="宋体" w:hAnsi="宋体" w:eastAsia="宋体" w:cs="宋体"/>
          <w:b/>
          <w:kern w:val="0"/>
          <w:sz w:val="24"/>
          <w:szCs w:val="24"/>
        </w:rPr>
        <w:t>1.7 合同争议的解决</w:t>
      </w:r>
      <w:bookmarkEnd w:id="851"/>
      <w:bookmarkEnd w:id="852"/>
      <w:bookmarkEnd w:id="853"/>
      <w:bookmarkEnd w:id="854"/>
      <w:bookmarkEnd w:id="855"/>
    </w:p>
    <w:p w14:paraId="2CB5BE47">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本合同履行过程中发生的任何争议，双方当事人均可通过和解或者调解解决；不愿和解、调解或者和解、调解不成的，可以选择下列第</w:t>
      </w:r>
      <w:r>
        <w:rPr>
          <w:rFonts w:hint="eastAsia" w:ascii="宋体" w:hAnsi="宋体" w:eastAsia="宋体" w:cs="宋体"/>
          <w:kern w:val="0"/>
          <w:sz w:val="24"/>
          <w:szCs w:val="24"/>
          <w:u w:val="single"/>
        </w:rPr>
        <w:t xml:space="preserve"> 1 </w:t>
      </w:r>
      <w:r>
        <w:rPr>
          <w:rFonts w:hint="eastAsia" w:ascii="宋体" w:hAnsi="宋体" w:eastAsia="宋体" w:cs="宋体"/>
          <w:kern w:val="0"/>
          <w:sz w:val="24"/>
          <w:szCs w:val="24"/>
        </w:rPr>
        <w:t>种方式解决：</w:t>
      </w:r>
    </w:p>
    <w:p w14:paraId="7CAD126C">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1.7.1 将争议提交</w:t>
      </w:r>
      <w:r>
        <w:rPr>
          <w:rFonts w:hint="eastAsia" w:ascii="宋体" w:hAnsi="宋体" w:eastAsia="宋体" w:cs="宋体"/>
          <w:kern w:val="0"/>
          <w:sz w:val="24"/>
          <w:szCs w:val="24"/>
          <w:u w:val="single"/>
        </w:rPr>
        <w:t xml:space="preserve">   常州    </w:t>
      </w:r>
      <w:r>
        <w:rPr>
          <w:rFonts w:hint="eastAsia" w:ascii="宋体" w:hAnsi="宋体" w:eastAsia="宋体" w:cs="宋体"/>
          <w:kern w:val="0"/>
          <w:sz w:val="24"/>
          <w:szCs w:val="24"/>
        </w:rPr>
        <w:t>仲裁委员会依申请仲裁时其现行有效的仲裁规则裁决；</w:t>
      </w:r>
    </w:p>
    <w:p w14:paraId="7D927961">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1.7.2 向</w:t>
      </w:r>
      <w:r>
        <w:rPr>
          <w:rFonts w:hint="eastAsia" w:ascii="宋体" w:hAnsi="宋体" w:eastAsia="宋体" w:cs="宋体"/>
          <w:kern w:val="0"/>
          <w:sz w:val="24"/>
          <w:szCs w:val="24"/>
          <w:u w:val="single"/>
        </w:rPr>
        <w:t xml:space="preserve">   （被告住所地、合同履行地、合同签订地、原告住所地、标的物所在地等与争议有实际联系的地点中选出的人民法院名称）    </w:t>
      </w:r>
      <w:r>
        <w:rPr>
          <w:rFonts w:hint="eastAsia" w:ascii="宋体" w:hAnsi="宋体" w:eastAsia="宋体" w:cs="宋体"/>
          <w:kern w:val="0"/>
          <w:sz w:val="24"/>
          <w:szCs w:val="24"/>
        </w:rPr>
        <w:t>人民法院起诉。</w:t>
      </w:r>
    </w:p>
    <w:p w14:paraId="114BF6B1">
      <w:pPr>
        <w:widowControl/>
        <w:spacing w:line="360" w:lineRule="auto"/>
        <w:ind w:firstLine="482" w:firstLineChars="200"/>
        <w:jc w:val="both"/>
        <w:outlineLvl w:val="0"/>
        <w:rPr>
          <w:rFonts w:hint="eastAsia" w:ascii="宋体" w:hAnsi="宋体" w:eastAsia="宋体" w:cs="宋体"/>
          <w:kern w:val="0"/>
          <w:sz w:val="24"/>
          <w:szCs w:val="24"/>
        </w:rPr>
      </w:pPr>
      <w:bookmarkStart w:id="856" w:name="_Toc12273"/>
      <w:bookmarkStart w:id="857" w:name="_Toc15827"/>
      <w:bookmarkStart w:id="858" w:name="_Toc16417"/>
      <w:bookmarkStart w:id="859" w:name="_Toc23784"/>
      <w:bookmarkStart w:id="860" w:name="_Toc26227"/>
      <w:r>
        <w:rPr>
          <w:rFonts w:hint="eastAsia" w:ascii="宋体" w:hAnsi="宋体" w:eastAsia="宋体" w:cs="宋体"/>
          <w:b/>
          <w:kern w:val="0"/>
          <w:sz w:val="24"/>
          <w:szCs w:val="24"/>
        </w:rPr>
        <w:t>1.8 合同生效</w:t>
      </w:r>
      <w:bookmarkEnd w:id="856"/>
      <w:bookmarkEnd w:id="857"/>
      <w:bookmarkEnd w:id="858"/>
      <w:bookmarkEnd w:id="859"/>
      <w:bookmarkEnd w:id="860"/>
    </w:p>
    <w:p w14:paraId="61F7F354">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本合同自双方当事人盖章或者签字时生效。</w:t>
      </w:r>
      <w:r>
        <w:rPr>
          <w:rFonts w:hint="eastAsia" w:ascii="宋体" w:hAnsi="宋体" w:eastAsia="宋体" w:cs="宋体"/>
          <w:kern w:val="0"/>
          <w:sz w:val="24"/>
          <w:szCs w:val="24"/>
          <w:lang w:val="zh-CN"/>
        </w:rPr>
        <w:t> </w:t>
      </w:r>
    </w:p>
    <w:p w14:paraId="57F97788">
      <w:pPr>
        <w:widowControl/>
        <w:adjustRightInd w:val="0"/>
        <w:spacing w:line="360" w:lineRule="auto"/>
        <w:jc w:val="both"/>
        <w:rPr>
          <w:rFonts w:hint="eastAsia" w:ascii="宋体" w:hAnsi="宋体" w:eastAsia="宋体" w:cs="宋体"/>
          <w:b/>
          <w:kern w:val="0"/>
          <w:sz w:val="24"/>
          <w:szCs w:val="24"/>
          <w:lang w:val="zh-CN"/>
        </w:rPr>
      </w:pPr>
    </w:p>
    <w:p w14:paraId="4649B188">
      <w:pPr>
        <w:widowControl/>
        <w:adjustRightInd w:val="0"/>
        <w:spacing w:line="360" w:lineRule="auto"/>
        <w:ind w:firstLine="482" w:firstLineChars="200"/>
        <w:jc w:val="both"/>
        <w:rPr>
          <w:rFonts w:hint="eastAsia" w:ascii="宋体" w:hAnsi="宋体" w:eastAsia="宋体" w:cs="宋体"/>
          <w:b/>
          <w:kern w:val="0"/>
          <w:sz w:val="24"/>
          <w:szCs w:val="24"/>
          <w:lang w:val="zh-CN"/>
        </w:rPr>
      </w:pPr>
    </w:p>
    <w:p w14:paraId="581A7A7C">
      <w:pPr>
        <w:widowControl/>
        <w:adjustRightInd w:val="0"/>
        <w:spacing w:line="360" w:lineRule="auto"/>
        <w:ind w:firstLine="482" w:firstLineChars="200"/>
        <w:jc w:val="both"/>
        <w:rPr>
          <w:rFonts w:hint="eastAsia" w:ascii="宋体" w:hAnsi="宋体" w:eastAsia="宋体" w:cs="宋体"/>
          <w:b/>
          <w:kern w:val="0"/>
          <w:sz w:val="24"/>
          <w:szCs w:val="24"/>
          <w:lang w:val="zh-CN"/>
        </w:rPr>
      </w:pPr>
    </w:p>
    <w:p w14:paraId="403404C2">
      <w:pPr>
        <w:widowControl/>
        <w:adjustRightInd w:val="0"/>
        <w:spacing w:line="360" w:lineRule="auto"/>
        <w:ind w:firstLine="482" w:firstLineChars="200"/>
        <w:jc w:val="both"/>
        <w:rPr>
          <w:rFonts w:hint="eastAsia" w:ascii="宋体" w:hAnsi="宋体" w:eastAsia="宋体" w:cs="宋体"/>
          <w:b/>
          <w:kern w:val="0"/>
          <w:sz w:val="24"/>
          <w:szCs w:val="24"/>
          <w:lang w:val="zh-CN"/>
        </w:rPr>
      </w:pPr>
    </w:p>
    <w:p w14:paraId="2D7047AF">
      <w:pPr>
        <w:widowControl/>
        <w:adjustRightInd w:val="0"/>
        <w:spacing w:line="360" w:lineRule="auto"/>
        <w:ind w:firstLine="482" w:firstLineChars="200"/>
        <w:jc w:val="both"/>
        <w:rPr>
          <w:rFonts w:hint="eastAsia" w:ascii="宋体" w:hAnsi="宋体" w:eastAsia="宋体" w:cs="宋体"/>
          <w:kern w:val="0"/>
          <w:sz w:val="24"/>
          <w:szCs w:val="24"/>
        </w:rPr>
      </w:pPr>
      <w:r>
        <w:rPr>
          <w:rFonts w:hint="eastAsia" w:ascii="宋体" w:hAnsi="宋体" w:eastAsia="宋体" w:cs="宋体"/>
          <w:b/>
          <w:kern w:val="0"/>
          <w:sz w:val="24"/>
          <w:szCs w:val="24"/>
          <w:lang w:val="zh-CN"/>
        </w:rPr>
        <w:t>甲方</w:t>
      </w:r>
      <w:r>
        <w:rPr>
          <w:rFonts w:hint="eastAsia" w:ascii="宋体" w:hAnsi="宋体" w:eastAsia="宋体" w:cs="宋体"/>
          <w:kern w:val="0"/>
          <w:sz w:val="24"/>
          <w:szCs w:val="24"/>
          <w:lang w:val="zh-CN"/>
        </w:rPr>
        <w:t>：</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lang w:val="zh-CN"/>
        </w:rPr>
        <w:t xml:space="preserve">  </w:t>
      </w:r>
      <w:r>
        <w:rPr>
          <w:rFonts w:hint="eastAsia" w:ascii="宋体" w:hAnsi="宋体" w:eastAsia="宋体" w:cs="宋体"/>
          <w:b/>
          <w:kern w:val="0"/>
          <w:sz w:val="24"/>
          <w:szCs w:val="24"/>
          <w:lang w:val="zh-CN"/>
        </w:rPr>
        <w:t>乙方</w:t>
      </w:r>
      <w:r>
        <w:rPr>
          <w:rFonts w:hint="eastAsia" w:ascii="宋体" w:hAnsi="宋体" w:eastAsia="宋体" w:cs="宋体"/>
          <w:kern w:val="0"/>
          <w:sz w:val="24"/>
          <w:szCs w:val="24"/>
          <w:lang w:val="zh-CN"/>
        </w:rPr>
        <w:t>：</w:t>
      </w:r>
    </w:p>
    <w:p w14:paraId="0FA514FB">
      <w:pPr>
        <w:widowControl/>
        <w:adjustRightInd w:val="0"/>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lang w:val="zh-CN"/>
        </w:rPr>
        <w:t>统一社会信用代码：                统一社会信用代码：</w:t>
      </w:r>
    </w:p>
    <w:p w14:paraId="3583B598">
      <w:pPr>
        <w:widowControl/>
        <w:adjustRightInd w:val="0"/>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lang w:val="zh-CN"/>
        </w:rPr>
        <w:t>住所</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住所</w:t>
      </w:r>
      <w:r>
        <w:rPr>
          <w:rFonts w:hint="eastAsia" w:ascii="宋体" w:hAnsi="宋体" w:eastAsia="宋体" w:cs="宋体"/>
          <w:kern w:val="0"/>
          <w:sz w:val="24"/>
          <w:szCs w:val="24"/>
        </w:rPr>
        <w:t>：</w:t>
      </w:r>
    </w:p>
    <w:p w14:paraId="25D9EDF4">
      <w:pPr>
        <w:widowControl/>
        <w:adjustRightInd w:val="0"/>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lang w:val="zh-CN"/>
        </w:rPr>
        <w:t>法定代表人或</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法定代表人</w:t>
      </w:r>
    </w:p>
    <w:p w14:paraId="319D262C">
      <w:pPr>
        <w:widowControl/>
        <w:adjustRightInd w:val="0"/>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lang w:val="zh-CN"/>
        </w:rPr>
        <w:t xml:space="preserve">授权代表（签字）：                或授权代表（签字）: </w:t>
      </w:r>
    </w:p>
    <w:p w14:paraId="4A39D4D1">
      <w:pPr>
        <w:widowControl/>
        <w:adjustRightInd w:val="0"/>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lang w:val="zh-CN"/>
        </w:rPr>
        <w:t>联系人：                          联系人：</w:t>
      </w:r>
    </w:p>
    <w:p w14:paraId="0DB0D012">
      <w:pPr>
        <w:widowControl/>
        <w:adjustRightInd w:val="0"/>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lang w:val="zh-CN"/>
        </w:rPr>
        <w:t>约定送达地址：                    约定送达地址：</w:t>
      </w:r>
    </w:p>
    <w:p w14:paraId="7CFC37CC">
      <w:pPr>
        <w:widowControl/>
        <w:adjustRightInd w:val="0"/>
        <w:spacing w:line="360" w:lineRule="auto"/>
        <w:ind w:firstLine="480" w:firstLineChars="200"/>
        <w:jc w:val="both"/>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邮政编码：                        邮政编码：</w:t>
      </w:r>
    </w:p>
    <w:p w14:paraId="5F50711C">
      <w:pPr>
        <w:widowControl/>
        <w:adjustRightInd w:val="0"/>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lang w:val="zh-CN"/>
        </w:rPr>
        <w:t xml:space="preserve">电话:                             电话: </w:t>
      </w:r>
    </w:p>
    <w:p w14:paraId="7D2B1AC1">
      <w:pPr>
        <w:widowControl/>
        <w:adjustRightInd w:val="0"/>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lang w:val="zh-CN"/>
        </w:rPr>
        <w:t>传真:                             传真:</w:t>
      </w:r>
    </w:p>
    <w:p w14:paraId="7EDEC3CB">
      <w:pPr>
        <w:widowControl/>
        <w:adjustRightInd w:val="0"/>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lang w:val="zh-CN"/>
        </w:rPr>
        <w:t>电子邮箱：                        电子邮箱：</w:t>
      </w:r>
    </w:p>
    <w:p w14:paraId="512F4B30">
      <w:pPr>
        <w:widowControl/>
        <w:adjustRightInd w:val="0"/>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 xml:space="preserve">开户银行：                        开户银行： </w:t>
      </w:r>
    </w:p>
    <w:p w14:paraId="1B9A2044">
      <w:pPr>
        <w:widowControl/>
        <w:adjustRightInd w:val="0"/>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 xml:space="preserve">开户名称：                        开户名称： </w:t>
      </w:r>
    </w:p>
    <w:p w14:paraId="3EC3EA6D">
      <w:pPr>
        <w:widowControl/>
        <w:adjustRightInd w:val="0"/>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开户账号：</w:t>
      </w:r>
      <w:r>
        <w:rPr>
          <w:rFonts w:hint="eastAsia" w:ascii="宋体" w:hAnsi="宋体" w:eastAsia="宋体" w:cs="宋体"/>
          <w:kern w:val="0"/>
          <w:sz w:val="24"/>
          <w:szCs w:val="24"/>
          <w:lang w:val="zh-CN"/>
        </w:rPr>
        <w:t xml:space="preserve">                        </w:t>
      </w:r>
      <w:r>
        <w:rPr>
          <w:rFonts w:hint="eastAsia" w:ascii="宋体" w:hAnsi="宋体" w:eastAsia="宋体" w:cs="宋体"/>
          <w:kern w:val="0"/>
          <w:sz w:val="24"/>
          <w:szCs w:val="24"/>
        </w:rPr>
        <w:t>开户账号：</w:t>
      </w:r>
    </w:p>
    <w:p w14:paraId="075A3ABD">
      <w:pPr>
        <w:widowControl/>
        <w:spacing w:line="360" w:lineRule="auto"/>
        <w:jc w:val="both"/>
        <w:rPr>
          <w:rFonts w:hint="eastAsia" w:ascii="宋体" w:hAnsi="宋体" w:eastAsia="宋体" w:cs="宋体"/>
          <w:kern w:val="0"/>
          <w:sz w:val="24"/>
          <w:szCs w:val="24"/>
          <w:lang w:val="zh-CN"/>
        </w:rPr>
      </w:pPr>
      <w:bookmarkStart w:id="861" w:name="_Toc331685783"/>
      <w:r>
        <w:rPr>
          <w:rFonts w:hint="eastAsia" w:ascii="宋体" w:hAnsi="宋体" w:eastAsia="宋体" w:cs="宋体"/>
          <w:b/>
          <w:kern w:val="0"/>
          <w:sz w:val="24"/>
          <w:szCs w:val="24"/>
        </w:rPr>
        <w:t> </w:t>
      </w:r>
      <w:r>
        <w:rPr>
          <w:rFonts w:hint="eastAsia" w:ascii="宋体" w:hAnsi="宋体" w:eastAsia="宋体" w:cs="宋体"/>
          <w:kern w:val="0"/>
          <w:sz w:val="24"/>
          <w:szCs w:val="24"/>
          <w:lang w:val="zh-CN"/>
        </w:rPr>
        <w:t xml:space="preserve">               </w:t>
      </w:r>
    </w:p>
    <w:p w14:paraId="72CBF6BB">
      <w:pPr>
        <w:widowControl/>
        <w:spacing w:line="360" w:lineRule="auto"/>
        <w:jc w:val="both"/>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br w:type="page"/>
      </w:r>
    </w:p>
    <w:p w14:paraId="687AB0D5">
      <w:pPr>
        <w:widowControl/>
        <w:adjustRightInd w:val="0"/>
        <w:spacing w:line="360" w:lineRule="auto"/>
        <w:jc w:val="center"/>
        <w:rPr>
          <w:rFonts w:hint="eastAsia" w:ascii="宋体" w:hAnsi="宋体" w:eastAsia="宋体" w:cs="宋体"/>
          <w:kern w:val="0"/>
          <w:sz w:val="24"/>
          <w:szCs w:val="24"/>
        </w:rPr>
      </w:pPr>
      <w:r>
        <w:rPr>
          <w:rFonts w:hint="eastAsia" w:ascii="宋体" w:hAnsi="宋体" w:eastAsia="宋体" w:cs="宋体"/>
          <w:b/>
          <w:kern w:val="0"/>
          <w:sz w:val="24"/>
          <w:szCs w:val="24"/>
        </w:rPr>
        <w:t>第二部分 合同一般条款</w:t>
      </w:r>
      <w:bookmarkEnd w:id="861"/>
    </w:p>
    <w:p w14:paraId="52D7746A">
      <w:pPr>
        <w:widowControl/>
        <w:spacing w:line="360" w:lineRule="auto"/>
        <w:ind w:firstLine="482" w:firstLineChars="200"/>
        <w:jc w:val="both"/>
        <w:outlineLvl w:val="0"/>
        <w:rPr>
          <w:rFonts w:hint="eastAsia" w:ascii="宋体" w:hAnsi="宋体" w:eastAsia="宋体" w:cs="宋体"/>
          <w:kern w:val="0"/>
          <w:sz w:val="24"/>
          <w:szCs w:val="24"/>
        </w:rPr>
      </w:pPr>
      <w:bookmarkStart w:id="862" w:name="_Toc259093669"/>
      <w:bookmarkStart w:id="863" w:name="_Toc25079"/>
      <w:bookmarkStart w:id="864" w:name="_Ref467378404"/>
      <w:bookmarkStart w:id="865" w:name="_Ref467379205"/>
      <w:bookmarkStart w:id="866" w:name="_Ref467379195"/>
      <w:bookmarkStart w:id="867" w:name="_Ref467379214"/>
      <w:bookmarkStart w:id="868" w:name="_Ref467379101"/>
      <w:bookmarkStart w:id="869" w:name="_Ref467378463"/>
      <w:bookmarkStart w:id="870" w:name="_Ref467379094"/>
      <w:bookmarkStart w:id="871" w:name="_Toc279701240"/>
      <w:bookmarkStart w:id="872" w:name="_Ref467378499"/>
      <w:bookmarkStart w:id="873" w:name="_Toc19680"/>
      <w:bookmarkStart w:id="874" w:name="_Toc31297"/>
      <w:bookmarkStart w:id="875" w:name="_Toc14021"/>
      <w:bookmarkStart w:id="876" w:name="_Toc487900349"/>
      <w:bookmarkStart w:id="877" w:name="_Toc5228"/>
      <w:bookmarkStart w:id="878" w:name="_Ref467379225"/>
      <w:bookmarkStart w:id="879" w:name="_Ref467379109"/>
      <w:r>
        <w:rPr>
          <w:rFonts w:hint="eastAsia" w:ascii="宋体" w:hAnsi="宋体" w:eastAsia="宋体" w:cs="宋体"/>
          <w:b/>
          <w:kern w:val="0"/>
          <w:sz w:val="24"/>
          <w:szCs w:val="24"/>
        </w:rPr>
        <w:t>2.1 定义</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3EF5B5CF">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本合同中的下列词语应按以下内容进行解释：</w:t>
      </w:r>
    </w:p>
    <w:p w14:paraId="6A62AF05">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2.1.1 “合同”系指采购人和中标供应商签订的载明双方当事人所达成的协议，并包括所有的附件、附录和构成合同的其他文件。</w:t>
      </w:r>
    </w:p>
    <w:p w14:paraId="79DA507B">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2.1.2 “合同价”系指根据合同约定，中标供应商在完全履行合同义务后，采购人应支付给中标供应商的价格。</w:t>
      </w:r>
    </w:p>
    <w:p w14:paraId="692AEBE0">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2.1.3 “服务”系指中标供应商根据合同约定应向采购人履行的除货物和工程以外的其他政府采购对象，包括采购人自身需要的服务和向社会公众提供的公共服务。</w:t>
      </w:r>
    </w:p>
    <w:p w14:paraId="5F876AF7">
      <w:pPr>
        <w:widowControl/>
        <w:spacing w:line="360" w:lineRule="auto"/>
        <w:ind w:firstLine="480" w:firstLineChars="200"/>
        <w:jc w:val="both"/>
        <w:rPr>
          <w:rFonts w:hint="eastAsia" w:ascii="宋体" w:hAnsi="宋体" w:eastAsia="宋体" w:cs="宋体"/>
          <w:kern w:val="0"/>
          <w:sz w:val="24"/>
          <w:szCs w:val="24"/>
        </w:rPr>
      </w:pPr>
      <w:bookmarkStart w:id="880" w:name="_Ref467378840"/>
      <w:r>
        <w:rPr>
          <w:rFonts w:hint="eastAsia" w:ascii="宋体" w:hAnsi="宋体" w:eastAsia="宋体" w:cs="宋体"/>
          <w:kern w:val="0"/>
          <w:sz w:val="24"/>
          <w:szCs w:val="24"/>
        </w:rPr>
        <w:t>2.1.4 “甲方”系指与中标供应商签署合同的采购人</w:t>
      </w:r>
      <w:bookmarkEnd w:id="880"/>
      <w:r>
        <w:rPr>
          <w:rFonts w:hint="eastAsia" w:ascii="宋体" w:hAnsi="宋体" w:eastAsia="宋体" w:cs="宋体"/>
          <w:kern w:val="0"/>
          <w:sz w:val="24"/>
          <w:szCs w:val="24"/>
        </w:rPr>
        <w:t>；采购人委托采购代理机构代表其与乙方签订合同的，采购人的授权委托书作为合同附件。</w:t>
      </w:r>
    </w:p>
    <w:p w14:paraId="68A8299C">
      <w:pPr>
        <w:widowControl/>
        <w:spacing w:line="360" w:lineRule="auto"/>
        <w:ind w:firstLine="480" w:firstLineChars="200"/>
        <w:jc w:val="both"/>
        <w:rPr>
          <w:rFonts w:hint="eastAsia" w:ascii="宋体" w:hAnsi="宋体" w:eastAsia="宋体" w:cs="宋体"/>
          <w:kern w:val="0"/>
          <w:sz w:val="24"/>
          <w:szCs w:val="24"/>
        </w:rPr>
      </w:pPr>
      <w:bookmarkStart w:id="881" w:name="_Ref467379400"/>
      <w:r>
        <w:rPr>
          <w:rFonts w:hint="eastAsia" w:ascii="宋体" w:hAnsi="宋体" w:eastAsia="宋体" w:cs="宋体"/>
          <w:kern w:val="0"/>
          <w:sz w:val="24"/>
          <w:szCs w:val="24"/>
        </w:rPr>
        <w:t>2.1.5 “乙方”系指根据合同约定提供服务的中标供应商</w:t>
      </w:r>
      <w:bookmarkEnd w:id="881"/>
      <w:r>
        <w:rPr>
          <w:rFonts w:hint="eastAsia" w:ascii="宋体" w:hAnsi="宋体" w:eastAsia="宋体" w:cs="宋体"/>
          <w:kern w:val="0"/>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030DBBC7">
      <w:pPr>
        <w:widowControl/>
        <w:spacing w:line="360" w:lineRule="auto"/>
        <w:ind w:firstLine="480" w:firstLineChars="200"/>
        <w:jc w:val="both"/>
        <w:rPr>
          <w:rFonts w:hint="eastAsia" w:ascii="宋体" w:hAnsi="宋体" w:eastAsia="宋体" w:cs="宋体"/>
          <w:kern w:val="0"/>
          <w:sz w:val="24"/>
          <w:szCs w:val="24"/>
        </w:rPr>
      </w:pPr>
      <w:bookmarkStart w:id="882" w:name="_Ref467379436"/>
      <w:r>
        <w:rPr>
          <w:rFonts w:hint="eastAsia" w:ascii="宋体" w:hAnsi="宋体" w:eastAsia="宋体" w:cs="宋体"/>
          <w:kern w:val="0"/>
          <w:sz w:val="24"/>
          <w:szCs w:val="24"/>
        </w:rPr>
        <w:t>2.1.6 “现场”系指合同约定提供服务的地点。</w:t>
      </w:r>
      <w:bookmarkEnd w:id="882"/>
    </w:p>
    <w:p w14:paraId="300022BB">
      <w:pPr>
        <w:widowControl/>
        <w:spacing w:line="360" w:lineRule="auto"/>
        <w:ind w:firstLine="482" w:firstLineChars="200"/>
        <w:jc w:val="both"/>
        <w:outlineLvl w:val="0"/>
        <w:rPr>
          <w:rFonts w:hint="eastAsia" w:ascii="宋体" w:hAnsi="宋体" w:eastAsia="宋体" w:cs="宋体"/>
          <w:kern w:val="0"/>
          <w:sz w:val="24"/>
          <w:szCs w:val="24"/>
        </w:rPr>
      </w:pPr>
      <w:bookmarkStart w:id="883" w:name="_Toc23289"/>
      <w:bookmarkStart w:id="884" w:name="_Toc3769"/>
      <w:bookmarkStart w:id="885" w:name="_Toc31402"/>
      <w:bookmarkStart w:id="886" w:name="_Toc259093670"/>
      <w:bookmarkStart w:id="887" w:name="_Toc19539"/>
      <w:bookmarkStart w:id="888" w:name="_Toc487900350"/>
      <w:bookmarkStart w:id="889" w:name="_Toc16752"/>
      <w:bookmarkStart w:id="890" w:name="_Toc279701241"/>
      <w:r>
        <w:rPr>
          <w:rFonts w:hint="eastAsia" w:ascii="宋体" w:hAnsi="宋体" w:eastAsia="宋体" w:cs="宋体"/>
          <w:b/>
          <w:kern w:val="0"/>
          <w:sz w:val="24"/>
          <w:szCs w:val="24"/>
        </w:rPr>
        <w:t>2.2 技术规范</w:t>
      </w:r>
      <w:bookmarkEnd w:id="883"/>
      <w:bookmarkEnd w:id="884"/>
      <w:bookmarkEnd w:id="885"/>
      <w:bookmarkEnd w:id="886"/>
      <w:bookmarkEnd w:id="887"/>
      <w:bookmarkEnd w:id="888"/>
      <w:bookmarkEnd w:id="889"/>
      <w:bookmarkEnd w:id="890"/>
    </w:p>
    <w:p w14:paraId="3C8C0A88">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6C670B81">
      <w:pPr>
        <w:widowControl/>
        <w:spacing w:line="360" w:lineRule="auto"/>
        <w:ind w:firstLine="482" w:firstLineChars="200"/>
        <w:jc w:val="both"/>
        <w:outlineLvl w:val="0"/>
        <w:rPr>
          <w:rFonts w:hint="eastAsia" w:ascii="宋体" w:hAnsi="宋体" w:eastAsia="宋体" w:cs="宋体"/>
          <w:kern w:val="0"/>
          <w:sz w:val="24"/>
          <w:szCs w:val="24"/>
        </w:rPr>
      </w:pPr>
      <w:bookmarkStart w:id="891" w:name="_Toc279701242"/>
      <w:bookmarkStart w:id="892" w:name="_Toc27945"/>
      <w:bookmarkStart w:id="893" w:name="_Toc9161"/>
      <w:bookmarkStart w:id="894" w:name="_Toc12412"/>
      <w:bookmarkStart w:id="895" w:name="_Toc13673"/>
      <w:bookmarkStart w:id="896" w:name="_Toc259093671"/>
      <w:bookmarkStart w:id="897" w:name="_Toc4133"/>
      <w:bookmarkStart w:id="898" w:name="_Toc487900351"/>
      <w:r>
        <w:rPr>
          <w:rFonts w:hint="eastAsia" w:ascii="宋体" w:hAnsi="宋体" w:eastAsia="宋体" w:cs="宋体"/>
          <w:b/>
          <w:kern w:val="0"/>
          <w:sz w:val="24"/>
          <w:szCs w:val="24"/>
        </w:rPr>
        <w:t>2.3 知识产权</w:t>
      </w:r>
      <w:bookmarkEnd w:id="891"/>
      <w:bookmarkEnd w:id="892"/>
      <w:bookmarkEnd w:id="893"/>
      <w:bookmarkEnd w:id="894"/>
      <w:bookmarkEnd w:id="895"/>
      <w:bookmarkEnd w:id="896"/>
      <w:bookmarkEnd w:id="897"/>
      <w:bookmarkEnd w:id="898"/>
    </w:p>
    <w:p w14:paraId="22B91DBC">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5C2C3838">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2.3.2 合同涉及技术成果的归属和收益的分成办法的，详见</w:t>
      </w:r>
      <w:r>
        <w:rPr>
          <w:rFonts w:hint="eastAsia" w:ascii="宋体" w:hAnsi="宋体" w:eastAsia="宋体" w:cs="宋体"/>
          <w:b/>
          <w:i/>
          <w:kern w:val="0"/>
          <w:sz w:val="24"/>
          <w:szCs w:val="24"/>
          <w:u w:val="single"/>
        </w:rPr>
        <w:t>合同专用条款</w:t>
      </w:r>
      <w:r>
        <w:rPr>
          <w:rFonts w:hint="eastAsia" w:ascii="宋体" w:hAnsi="宋体" w:eastAsia="宋体" w:cs="宋体"/>
          <w:kern w:val="0"/>
          <w:sz w:val="24"/>
          <w:szCs w:val="24"/>
        </w:rPr>
        <w:t>。</w:t>
      </w:r>
    </w:p>
    <w:p w14:paraId="6D8E4FB3">
      <w:pPr>
        <w:widowControl/>
        <w:spacing w:line="360" w:lineRule="auto"/>
        <w:ind w:firstLine="482" w:firstLineChars="200"/>
        <w:jc w:val="both"/>
        <w:rPr>
          <w:rFonts w:hint="eastAsia" w:ascii="宋体" w:hAnsi="宋体" w:eastAsia="宋体" w:cs="宋体"/>
          <w:kern w:val="0"/>
          <w:sz w:val="24"/>
          <w:szCs w:val="24"/>
        </w:rPr>
      </w:pPr>
      <w:r>
        <w:rPr>
          <w:rFonts w:hint="eastAsia" w:ascii="宋体" w:hAnsi="宋体" w:eastAsia="宋体" w:cs="宋体"/>
          <w:b/>
          <w:kern w:val="0"/>
          <w:sz w:val="24"/>
          <w:szCs w:val="24"/>
        </w:rPr>
        <w:t>2.4 履约检查和问题反馈</w:t>
      </w:r>
    </w:p>
    <w:p w14:paraId="257820B7">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2.4.1</w:t>
      </w:r>
      <w:bookmarkStart w:id="899" w:name="_Toc186431854"/>
      <w:bookmarkStart w:id="900" w:name="_Ref467379807"/>
      <w:bookmarkStart w:id="901" w:name="_Ref467379793"/>
      <w:bookmarkStart w:id="902" w:name="_Toc279701247"/>
      <w:bookmarkStart w:id="903" w:name="_Toc259093676"/>
      <w:bookmarkStart w:id="904" w:name="_Toc487900357"/>
      <w:r>
        <w:rPr>
          <w:rFonts w:hint="eastAsia" w:ascii="宋体" w:hAnsi="宋体" w:eastAsia="宋体" w:cs="宋体"/>
          <w:kern w:val="0"/>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145906AA">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2.4.2 合同履行期间，甲方有权将履行过程中出现的问题反馈给乙方，双方当事人应以书面形式约定需要完善和改进的内容</w:t>
      </w:r>
      <w:bookmarkEnd w:id="899"/>
      <w:bookmarkStart w:id="905" w:name="_Toc186431855"/>
      <w:r>
        <w:rPr>
          <w:rFonts w:hint="eastAsia" w:ascii="宋体" w:hAnsi="宋体" w:eastAsia="宋体" w:cs="宋体"/>
          <w:kern w:val="0"/>
          <w:sz w:val="24"/>
          <w:szCs w:val="24"/>
        </w:rPr>
        <w:t>。</w:t>
      </w:r>
      <w:bookmarkEnd w:id="905"/>
    </w:p>
    <w:p w14:paraId="1E08114B">
      <w:pPr>
        <w:widowControl/>
        <w:spacing w:line="360" w:lineRule="auto"/>
        <w:ind w:firstLine="482" w:firstLineChars="200"/>
        <w:jc w:val="both"/>
        <w:outlineLvl w:val="0"/>
        <w:rPr>
          <w:rFonts w:hint="eastAsia" w:ascii="宋体" w:hAnsi="宋体" w:eastAsia="宋体" w:cs="宋体"/>
          <w:kern w:val="0"/>
          <w:sz w:val="24"/>
          <w:szCs w:val="24"/>
        </w:rPr>
      </w:pPr>
      <w:bookmarkStart w:id="906" w:name="_Toc32670"/>
      <w:bookmarkStart w:id="907" w:name="_Toc15447"/>
      <w:bookmarkStart w:id="908" w:name="_Toc31233"/>
      <w:bookmarkStart w:id="909" w:name="_Toc26555"/>
      <w:bookmarkStart w:id="910" w:name="_Toc22011"/>
      <w:r>
        <w:rPr>
          <w:rFonts w:hint="eastAsia" w:ascii="宋体" w:hAnsi="宋体" w:eastAsia="宋体" w:cs="宋体"/>
          <w:b/>
          <w:kern w:val="0"/>
          <w:sz w:val="24"/>
          <w:szCs w:val="24"/>
        </w:rPr>
        <w:t>2.5 结算方式和付款条件</w:t>
      </w:r>
      <w:bookmarkEnd w:id="900"/>
      <w:bookmarkEnd w:id="901"/>
      <w:bookmarkEnd w:id="902"/>
      <w:bookmarkEnd w:id="903"/>
      <w:bookmarkEnd w:id="904"/>
      <w:bookmarkEnd w:id="906"/>
      <w:bookmarkEnd w:id="907"/>
      <w:bookmarkEnd w:id="908"/>
      <w:bookmarkEnd w:id="909"/>
      <w:bookmarkEnd w:id="910"/>
    </w:p>
    <w:p w14:paraId="443867A8">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详见</w:t>
      </w:r>
      <w:r>
        <w:rPr>
          <w:rFonts w:hint="eastAsia" w:ascii="宋体" w:hAnsi="宋体" w:eastAsia="宋体" w:cs="宋体"/>
          <w:b/>
          <w:i/>
          <w:kern w:val="0"/>
          <w:sz w:val="24"/>
          <w:szCs w:val="24"/>
          <w:u w:val="single"/>
        </w:rPr>
        <w:t>合同专用条款</w:t>
      </w:r>
      <w:r>
        <w:rPr>
          <w:rFonts w:hint="eastAsia" w:ascii="宋体" w:hAnsi="宋体" w:eastAsia="宋体" w:cs="宋体"/>
          <w:kern w:val="0"/>
          <w:sz w:val="24"/>
          <w:szCs w:val="24"/>
        </w:rPr>
        <w:t>。</w:t>
      </w:r>
    </w:p>
    <w:p w14:paraId="5A40C50F">
      <w:pPr>
        <w:widowControl/>
        <w:spacing w:line="360" w:lineRule="auto"/>
        <w:ind w:firstLine="482" w:firstLineChars="200"/>
        <w:jc w:val="both"/>
        <w:outlineLvl w:val="0"/>
        <w:rPr>
          <w:rFonts w:hint="eastAsia" w:ascii="宋体" w:hAnsi="宋体" w:eastAsia="宋体" w:cs="宋体"/>
          <w:kern w:val="0"/>
          <w:sz w:val="24"/>
          <w:szCs w:val="24"/>
        </w:rPr>
      </w:pPr>
      <w:bookmarkStart w:id="911" w:name="_Ref467379923"/>
      <w:bookmarkStart w:id="912" w:name="_Ref467379863"/>
      <w:bookmarkStart w:id="913" w:name="_Toc259093677"/>
      <w:bookmarkStart w:id="914" w:name="_Ref467379852"/>
      <w:bookmarkStart w:id="915" w:name="_Toc279701248"/>
      <w:bookmarkStart w:id="916" w:name="_Toc487900358"/>
      <w:bookmarkStart w:id="917" w:name="_Toc18990"/>
      <w:bookmarkStart w:id="918" w:name="_Toc13154"/>
      <w:bookmarkStart w:id="919" w:name="_Toc16163"/>
      <w:bookmarkStart w:id="920" w:name="_Toc13467"/>
      <w:bookmarkStart w:id="921" w:name="_Toc30507"/>
      <w:r>
        <w:rPr>
          <w:rFonts w:hint="eastAsia" w:ascii="宋体" w:hAnsi="宋体" w:eastAsia="宋体" w:cs="宋体"/>
          <w:b/>
          <w:kern w:val="0"/>
          <w:sz w:val="24"/>
          <w:szCs w:val="24"/>
        </w:rPr>
        <w:t>2.6 技术资料</w:t>
      </w:r>
      <w:bookmarkEnd w:id="911"/>
      <w:bookmarkEnd w:id="912"/>
      <w:bookmarkEnd w:id="913"/>
      <w:bookmarkEnd w:id="914"/>
      <w:bookmarkEnd w:id="915"/>
      <w:bookmarkEnd w:id="916"/>
      <w:r>
        <w:rPr>
          <w:rFonts w:hint="eastAsia" w:ascii="宋体" w:hAnsi="宋体" w:eastAsia="宋体" w:cs="宋体"/>
          <w:b/>
          <w:kern w:val="0"/>
          <w:sz w:val="24"/>
          <w:szCs w:val="24"/>
        </w:rPr>
        <w:t>和保密义务</w:t>
      </w:r>
      <w:bookmarkEnd w:id="917"/>
      <w:bookmarkEnd w:id="918"/>
      <w:bookmarkEnd w:id="919"/>
      <w:bookmarkEnd w:id="920"/>
      <w:bookmarkEnd w:id="921"/>
    </w:p>
    <w:p w14:paraId="774247BD">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2.6.1 乙方有权依据合同约定和项目需要，向甲方了解有关情况，调阅有关资料等，甲方应予积极配合；</w:t>
      </w:r>
    </w:p>
    <w:p w14:paraId="6F4586F0">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2.6.2 乙方有义务妥善保管和保护由甲方提供的前款信息和资料等；</w:t>
      </w:r>
    </w:p>
    <w:p w14:paraId="7E7C2ADF">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19CF54CF">
      <w:pPr>
        <w:widowControl/>
        <w:spacing w:line="360" w:lineRule="auto"/>
        <w:ind w:firstLine="482" w:firstLineChars="200"/>
        <w:jc w:val="both"/>
        <w:outlineLvl w:val="0"/>
        <w:rPr>
          <w:rFonts w:hint="eastAsia" w:ascii="宋体" w:hAnsi="宋体" w:eastAsia="宋体" w:cs="宋体"/>
          <w:kern w:val="0"/>
          <w:sz w:val="24"/>
          <w:szCs w:val="24"/>
        </w:rPr>
      </w:pPr>
      <w:bookmarkStart w:id="922" w:name="_Toc19069"/>
      <w:bookmarkStart w:id="923" w:name="_Toc259093681"/>
      <w:bookmarkStart w:id="924" w:name="_Toc487900362"/>
      <w:bookmarkStart w:id="925" w:name="_Toc279701252"/>
      <w:r>
        <w:rPr>
          <w:rFonts w:hint="eastAsia" w:ascii="宋体" w:hAnsi="宋体" w:eastAsia="宋体" w:cs="宋体"/>
          <w:b/>
          <w:kern w:val="0"/>
          <w:sz w:val="24"/>
          <w:szCs w:val="24"/>
        </w:rPr>
        <w:t>2.7 质量保证</w:t>
      </w:r>
      <w:bookmarkEnd w:id="922"/>
    </w:p>
    <w:p w14:paraId="52F513DF">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2.7.1 乙方应建立和完善履行合同的内部质量保证体系，并提供相关内部规章制度给甲方，以便甲方进行监督检查；</w:t>
      </w:r>
    </w:p>
    <w:p w14:paraId="7146224B">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2.7.2 乙方应保证履行合同的人员数量和素质、软件和硬件设备的配置、场地、环境和设施等满足全面履行合同的要求，并应接受甲方的监督检查。</w:t>
      </w:r>
    </w:p>
    <w:p w14:paraId="1B676112">
      <w:pPr>
        <w:widowControl/>
        <w:spacing w:line="360" w:lineRule="auto"/>
        <w:ind w:firstLine="482" w:firstLineChars="200"/>
        <w:jc w:val="both"/>
        <w:outlineLvl w:val="0"/>
        <w:rPr>
          <w:rFonts w:hint="eastAsia" w:ascii="宋体" w:hAnsi="宋体" w:eastAsia="宋体" w:cs="宋体"/>
          <w:kern w:val="0"/>
          <w:sz w:val="24"/>
          <w:szCs w:val="24"/>
        </w:rPr>
      </w:pPr>
      <w:bookmarkStart w:id="926" w:name="_Toc22267"/>
      <w:r>
        <w:rPr>
          <w:rFonts w:hint="eastAsia" w:ascii="宋体" w:hAnsi="宋体" w:eastAsia="宋体" w:cs="宋体"/>
          <w:b/>
          <w:kern w:val="0"/>
          <w:sz w:val="24"/>
          <w:szCs w:val="24"/>
        </w:rPr>
        <w:t>2.8 延迟</w:t>
      </w:r>
      <w:bookmarkEnd w:id="923"/>
      <w:bookmarkEnd w:id="924"/>
      <w:bookmarkEnd w:id="925"/>
      <w:r>
        <w:rPr>
          <w:rFonts w:hint="eastAsia" w:ascii="宋体" w:hAnsi="宋体" w:eastAsia="宋体" w:cs="宋体"/>
          <w:b/>
          <w:kern w:val="0"/>
          <w:sz w:val="24"/>
          <w:szCs w:val="24"/>
        </w:rPr>
        <w:t>履行</w:t>
      </w:r>
      <w:bookmarkEnd w:id="926"/>
    </w:p>
    <w:p w14:paraId="0C166C87">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57B53702">
      <w:pPr>
        <w:widowControl/>
        <w:spacing w:line="360" w:lineRule="auto"/>
        <w:ind w:firstLine="482" w:firstLineChars="200"/>
        <w:jc w:val="both"/>
        <w:outlineLvl w:val="0"/>
        <w:rPr>
          <w:rFonts w:hint="eastAsia" w:ascii="宋体" w:hAnsi="宋体" w:eastAsia="宋体" w:cs="宋体"/>
          <w:kern w:val="0"/>
          <w:sz w:val="24"/>
          <w:szCs w:val="24"/>
        </w:rPr>
      </w:pPr>
      <w:bookmarkStart w:id="927" w:name="_Toc10611"/>
      <w:bookmarkStart w:id="928" w:name="_Toc487900364"/>
      <w:bookmarkStart w:id="929" w:name="_Toc279701254"/>
      <w:bookmarkStart w:id="930" w:name="_Toc259093683"/>
      <w:bookmarkStart w:id="931" w:name="_Ref467378121"/>
      <w:r>
        <w:rPr>
          <w:rFonts w:hint="eastAsia" w:ascii="宋体" w:hAnsi="宋体" w:eastAsia="宋体" w:cs="宋体"/>
          <w:b/>
          <w:kern w:val="0"/>
          <w:sz w:val="24"/>
          <w:szCs w:val="24"/>
        </w:rPr>
        <w:t>2.9 合同变更</w:t>
      </w:r>
      <w:bookmarkEnd w:id="927"/>
    </w:p>
    <w:p w14:paraId="3E6CA10A">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2.9.1 双方当事人协商一致，可以签订书面补充合同的形式变更合同，但不得违背采购文件确定的事项，且如果系追加与合同标的相同的服务的，那么所有补充合同的采购金额不得超过原合同价的10%；</w:t>
      </w:r>
    </w:p>
    <w:p w14:paraId="18A3D4EA">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2.9.2 合同继续履行将损害国家利益和社会公共利益的，双方当事人应当以书面形式变更合同。有过错的一方应当承担赔偿责任，双方当事人都有过错的，各自承担相应的责任。</w:t>
      </w:r>
      <w:bookmarkStart w:id="932" w:name="_Toc259093688"/>
      <w:bookmarkStart w:id="933" w:name="_Toc279701259"/>
      <w:bookmarkStart w:id="934" w:name="_Toc487900369"/>
    </w:p>
    <w:p w14:paraId="7B0F77A6">
      <w:pPr>
        <w:widowControl/>
        <w:spacing w:line="360" w:lineRule="auto"/>
        <w:ind w:firstLine="482" w:firstLineChars="200"/>
        <w:jc w:val="both"/>
        <w:outlineLvl w:val="0"/>
        <w:rPr>
          <w:rFonts w:hint="eastAsia" w:ascii="宋体" w:hAnsi="宋体" w:eastAsia="宋体" w:cs="宋体"/>
          <w:kern w:val="0"/>
          <w:sz w:val="24"/>
          <w:szCs w:val="24"/>
        </w:rPr>
      </w:pPr>
      <w:bookmarkStart w:id="935" w:name="_Toc10663"/>
      <w:bookmarkStart w:id="936" w:name="_Toc26689"/>
      <w:bookmarkStart w:id="937" w:name="_Toc23368"/>
      <w:bookmarkStart w:id="938" w:name="_Toc42"/>
      <w:bookmarkStart w:id="939" w:name="_Toc21830"/>
      <w:r>
        <w:rPr>
          <w:rFonts w:hint="eastAsia" w:ascii="宋体" w:hAnsi="宋体" w:eastAsia="宋体" w:cs="宋体"/>
          <w:b/>
          <w:kern w:val="0"/>
          <w:sz w:val="24"/>
          <w:szCs w:val="24"/>
        </w:rPr>
        <w:t>2.10 合同转让</w:t>
      </w:r>
      <w:bookmarkEnd w:id="932"/>
      <w:bookmarkEnd w:id="933"/>
      <w:bookmarkEnd w:id="934"/>
      <w:r>
        <w:rPr>
          <w:rFonts w:hint="eastAsia" w:ascii="宋体" w:hAnsi="宋体" w:eastAsia="宋体" w:cs="宋体"/>
          <w:b/>
          <w:kern w:val="0"/>
          <w:sz w:val="24"/>
          <w:szCs w:val="24"/>
        </w:rPr>
        <w:t>和分包</w:t>
      </w:r>
      <w:bookmarkEnd w:id="935"/>
      <w:bookmarkEnd w:id="936"/>
      <w:bookmarkEnd w:id="937"/>
      <w:bookmarkEnd w:id="938"/>
      <w:bookmarkEnd w:id="939"/>
    </w:p>
    <w:p w14:paraId="2909D3A2">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57586F20">
      <w:pPr>
        <w:widowControl/>
        <w:spacing w:line="360" w:lineRule="auto"/>
        <w:ind w:firstLine="482" w:firstLineChars="200"/>
        <w:jc w:val="both"/>
        <w:outlineLvl w:val="0"/>
        <w:rPr>
          <w:rFonts w:hint="eastAsia" w:ascii="宋体" w:hAnsi="宋体" w:eastAsia="宋体" w:cs="宋体"/>
          <w:kern w:val="0"/>
          <w:sz w:val="24"/>
          <w:szCs w:val="24"/>
        </w:rPr>
      </w:pPr>
      <w:bookmarkStart w:id="940" w:name="_Toc32494"/>
      <w:bookmarkStart w:id="941" w:name="_Toc4720"/>
      <w:bookmarkStart w:id="942" w:name="_Toc25571"/>
      <w:bookmarkStart w:id="943" w:name="_Toc14371"/>
      <w:bookmarkStart w:id="944" w:name="_Toc26633"/>
      <w:r>
        <w:rPr>
          <w:rFonts w:hint="eastAsia" w:ascii="宋体" w:hAnsi="宋体" w:eastAsia="宋体" w:cs="宋体"/>
          <w:b/>
          <w:kern w:val="0"/>
          <w:sz w:val="24"/>
          <w:szCs w:val="24"/>
        </w:rPr>
        <w:t>2.11 不可抗力</w:t>
      </w:r>
      <w:bookmarkEnd w:id="940"/>
      <w:bookmarkEnd w:id="941"/>
      <w:bookmarkEnd w:id="942"/>
      <w:bookmarkEnd w:id="943"/>
      <w:bookmarkEnd w:id="944"/>
    </w:p>
    <w:p w14:paraId="04208987">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2.11.1如果任何一方遭遇法律规定的不可抗力，致使合同履行受阻时，履行合同的期限应予延长，延长的期限应相当于不可抗力所影响的时间；</w:t>
      </w:r>
    </w:p>
    <w:p w14:paraId="3AD4AC68">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2.11.2 因不可抗力致使不能实现合同目的的，当事人可以解除合同；</w:t>
      </w:r>
    </w:p>
    <w:p w14:paraId="7FE9FEE3">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2.11.3 因不可抗力致使合同有变更必要的，双方当事人应在</w:t>
      </w:r>
      <w:r>
        <w:rPr>
          <w:rFonts w:hint="eastAsia" w:ascii="宋体" w:hAnsi="宋体" w:eastAsia="宋体" w:cs="宋体"/>
          <w:b/>
          <w:i/>
          <w:kern w:val="0"/>
          <w:sz w:val="24"/>
          <w:szCs w:val="24"/>
          <w:u w:val="single"/>
        </w:rPr>
        <w:t>合同专用条款</w:t>
      </w:r>
      <w:r>
        <w:rPr>
          <w:rFonts w:hint="eastAsia" w:ascii="宋体" w:hAnsi="宋体" w:eastAsia="宋体" w:cs="宋体"/>
          <w:kern w:val="0"/>
          <w:sz w:val="24"/>
          <w:szCs w:val="24"/>
        </w:rPr>
        <w:t>约定时间内以书面形式变更合同；</w:t>
      </w:r>
    </w:p>
    <w:p w14:paraId="79B7E1C0">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2.11.4受不可抗力影响的一方在不可抗力发生后，应在</w:t>
      </w:r>
      <w:r>
        <w:rPr>
          <w:rFonts w:hint="eastAsia" w:ascii="宋体" w:hAnsi="宋体" w:eastAsia="宋体" w:cs="宋体"/>
          <w:b/>
          <w:i/>
          <w:kern w:val="0"/>
          <w:sz w:val="24"/>
          <w:szCs w:val="24"/>
          <w:u w:val="single"/>
        </w:rPr>
        <w:t>合同专用条款</w:t>
      </w:r>
      <w:r>
        <w:rPr>
          <w:rFonts w:hint="eastAsia" w:ascii="宋体" w:hAnsi="宋体" w:eastAsia="宋体" w:cs="宋体"/>
          <w:kern w:val="0"/>
          <w:sz w:val="24"/>
          <w:szCs w:val="24"/>
        </w:rPr>
        <w:t>约定时间内以书面形式通知对方当事人，并在</w:t>
      </w:r>
      <w:r>
        <w:rPr>
          <w:rFonts w:hint="eastAsia" w:ascii="宋体" w:hAnsi="宋体" w:eastAsia="宋体" w:cs="宋体"/>
          <w:b/>
          <w:i/>
          <w:kern w:val="0"/>
          <w:sz w:val="24"/>
          <w:szCs w:val="24"/>
          <w:u w:val="single"/>
        </w:rPr>
        <w:t>合同专用条款</w:t>
      </w:r>
      <w:r>
        <w:rPr>
          <w:rFonts w:hint="eastAsia" w:ascii="宋体" w:hAnsi="宋体" w:eastAsia="宋体" w:cs="宋体"/>
          <w:kern w:val="0"/>
          <w:sz w:val="24"/>
          <w:szCs w:val="24"/>
        </w:rPr>
        <w:t>约定时间内，将有关部门出具的证明文件送达对方当事人。</w:t>
      </w:r>
    </w:p>
    <w:p w14:paraId="7CB12118">
      <w:pPr>
        <w:widowControl/>
        <w:spacing w:line="360" w:lineRule="auto"/>
        <w:ind w:firstLine="482" w:firstLineChars="200"/>
        <w:jc w:val="both"/>
        <w:outlineLvl w:val="0"/>
        <w:rPr>
          <w:rFonts w:hint="eastAsia" w:ascii="宋体" w:hAnsi="宋体" w:eastAsia="宋体" w:cs="宋体"/>
          <w:kern w:val="0"/>
          <w:sz w:val="24"/>
          <w:szCs w:val="24"/>
        </w:rPr>
      </w:pPr>
      <w:bookmarkStart w:id="945" w:name="_Toc14115"/>
      <w:bookmarkStart w:id="946" w:name="_Toc3638"/>
      <w:bookmarkStart w:id="947" w:name="_Toc25783"/>
      <w:bookmarkStart w:id="948" w:name="_Toc23854"/>
      <w:bookmarkStart w:id="949" w:name="_Toc259093684"/>
      <w:bookmarkStart w:id="950" w:name="_Toc24465"/>
      <w:bookmarkStart w:id="951" w:name="_Toc279701255"/>
      <w:bookmarkStart w:id="952" w:name="_Toc487900365"/>
      <w:r>
        <w:rPr>
          <w:rFonts w:hint="eastAsia" w:ascii="宋体" w:hAnsi="宋体" w:eastAsia="宋体" w:cs="宋体"/>
          <w:b/>
          <w:kern w:val="0"/>
          <w:sz w:val="24"/>
          <w:szCs w:val="24"/>
        </w:rPr>
        <w:t>2.12 税费</w:t>
      </w:r>
      <w:bookmarkEnd w:id="945"/>
      <w:bookmarkEnd w:id="946"/>
      <w:bookmarkEnd w:id="947"/>
      <w:bookmarkEnd w:id="948"/>
      <w:bookmarkEnd w:id="949"/>
      <w:bookmarkEnd w:id="950"/>
      <w:bookmarkEnd w:id="951"/>
      <w:bookmarkEnd w:id="952"/>
    </w:p>
    <w:p w14:paraId="585AE9BD">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与合同有关的一切税费，均按照中华人民共和国法律的相关规定缴纳。</w:t>
      </w:r>
    </w:p>
    <w:p w14:paraId="30F960D5">
      <w:pPr>
        <w:widowControl/>
        <w:spacing w:line="360" w:lineRule="auto"/>
        <w:ind w:firstLine="482" w:firstLineChars="200"/>
        <w:jc w:val="both"/>
        <w:outlineLvl w:val="0"/>
        <w:rPr>
          <w:rFonts w:hint="eastAsia" w:ascii="宋体" w:hAnsi="宋体" w:eastAsia="宋体" w:cs="宋体"/>
          <w:kern w:val="0"/>
          <w:sz w:val="24"/>
          <w:szCs w:val="24"/>
        </w:rPr>
      </w:pPr>
      <w:bookmarkStart w:id="953" w:name="_Toc259093687"/>
      <w:bookmarkStart w:id="954" w:name="_Toc25525"/>
      <w:bookmarkStart w:id="955" w:name="_Toc30105"/>
      <w:bookmarkStart w:id="956" w:name="_Toc487900368"/>
      <w:bookmarkStart w:id="957" w:name="_Toc7315"/>
      <w:bookmarkStart w:id="958" w:name="_Toc26883"/>
      <w:bookmarkStart w:id="959" w:name="_Toc14814"/>
      <w:bookmarkStart w:id="960" w:name="_Toc279701258"/>
      <w:r>
        <w:rPr>
          <w:rFonts w:hint="eastAsia" w:ascii="宋体" w:hAnsi="宋体" w:eastAsia="宋体" w:cs="宋体"/>
          <w:b/>
          <w:kern w:val="0"/>
          <w:sz w:val="24"/>
          <w:szCs w:val="24"/>
        </w:rPr>
        <w:t>2.13 乙方破产</w:t>
      </w:r>
      <w:bookmarkEnd w:id="953"/>
      <w:bookmarkEnd w:id="954"/>
      <w:bookmarkEnd w:id="955"/>
      <w:bookmarkEnd w:id="956"/>
      <w:bookmarkEnd w:id="957"/>
      <w:bookmarkEnd w:id="958"/>
      <w:bookmarkEnd w:id="959"/>
      <w:bookmarkEnd w:id="960"/>
    </w:p>
    <w:p w14:paraId="3D2C6009">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2147C910">
      <w:pPr>
        <w:widowControl/>
        <w:spacing w:line="360" w:lineRule="auto"/>
        <w:ind w:firstLine="482" w:firstLineChars="200"/>
        <w:jc w:val="both"/>
        <w:outlineLvl w:val="0"/>
        <w:rPr>
          <w:rFonts w:hint="eastAsia" w:ascii="宋体" w:hAnsi="宋体" w:eastAsia="宋体" w:cs="宋体"/>
          <w:kern w:val="0"/>
          <w:sz w:val="24"/>
          <w:szCs w:val="24"/>
        </w:rPr>
      </w:pPr>
      <w:bookmarkStart w:id="961" w:name="_Toc2016"/>
      <w:bookmarkStart w:id="962" w:name="_Toc1123"/>
      <w:bookmarkStart w:id="963" w:name="_Toc23323"/>
      <w:r>
        <w:rPr>
          <w:rFonts w:hint="eastAsia" w:ascii="宋体" w:hAnsi="宋体" w:eastAsia="宋体" w:cs="宋体"/>
          <w:b/>
          <w:kern w:val="0"/>
          <w:sz w:val="24"/>
          <w:szCs w:val="24"/>
        </w:rPr>
        <w:t>2.14 合同中止、终止</w:t>
      </w:r>
      <w:bookmarkEnd w:id="961"/>
      <w:bookmarkEnd w:id="962"/>
      <w:bookmarkEnd w:id="963"/>
    </w:p>
    <w:p w14:paraId="6B208579">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2.14.1 双方当事人不得擅自中止或者终止合同；</w:t>
      </w:r>
    </w:p>
    <w:p w14:paraId="22911F12">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2.14.2合同继续履行将损害国家利益和社会公共利益的，双方当事人应当中止或者终止合同。有过错的一方应当承担赔偿责任，双方当事人都有过错的，各自承担相应的责任。</w:t>
      </w:r>
    </w:p>
    <w:p w14:paraId="77CE8F06">
      <w:pPr>
        <w:widowControl/>
        <w:spacing w:line="360" w:lineRule="auto"/>
        <w:ind w:firstLine="482" w:firstLineChars="200"/>
        <w:jc w:val="both"/>
        <w:outlineLvl w:val="0"/>
        <w:rPr>
          <w:rFonts w:hint="eastAsia" w:ascii="宋体" w:hAnsi="宋体" w:eastAsia="宋体" w:cs="宋体"/>
          <w:kern w:val="0"/>
          <w:sz w:val="24"/>
          <w:szCs w:val="24"/>
        </w:rPr>
      </w:pPr>
      <w:bookmarkStart w:id="964" w:name="_Toc17363"/>
      <w:bookmarkStart w:id="965" w:name="_Toc1969"/>
      <w:bookmarkStart w:id="966" w:name="_Toc14525"/>
      <w:r>
        <w:rPr>
          <w:rFonts w:hint="eastAsia" w:ascii="宋体" w:hAnsi="宋体" w:eastAsia="宋体" w:cs="宋体"/>
          <w:b/>
          <w:kern w:val="0"/>
          <w:sz w:val="24"/>
          <w:szCs w:val="24"/>
        </w:rPr>
        <w:t>2.15 检验和验收</w:t>
      </w:r>
      <w:bookmarkEnd w:id="964"/>
      <w:bookmarkEnd w:id="965"/>
      <w:bookmarkEnd w:id="966"/>
    </w:p>
    <w:p w14:paraId="166D4595">
      <w:pPr>
        <w:widowControl/>
        <w:tabs>
          <w:tab w:val="left" w:pos="360"/>
          <w:tab w:val="left" w:pos="540"/>
          <w:tab w:val="left" w:pos="1080"/>
        </w:tabs>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2.15.1 乙方按照</w:t>
      </w:r>
      <w:r>
        <w:rPr>
          <w:rFonts w:hint="eastAsia" w:ascii="宋体" w:hAnsi="宋体" w:eastAsia="宋体" w:cs="宋体"/>
          <w:b/>
          <w:i/>
          <w:kern w:val="0"/>
          <w:sz w:val="24"/>
          <w:szCs w:val="24"/>
          <w:u w:val="single"/>
        </w:rPr>
        <w:t>合同专用条款</w:t>
      </w:r>
      <w:r>
        <w:rPr>
          <w:rFonts w:hint="eastAsia" w:ascii="宋体" w:hAnsi="宋体" w:eastAsia="宋体" w:cs="宋体"/>
          <w:kern w:val="0"/>
          <w:sz w:val="24"/>
          <w:szCs w:val="24"/>
        </w:rPr>
        <w:t>的约定，定期提交服务报告，甲方按照</w:t>
      </w:r>
      <w:r>
        <w:rPr>
          <w:rFonts w:hint="eastAsia" w:ascii="宋体" w:hAnsi="宋体" w:eastAsia="宋体" w:cs="宋体"/>
          <w:b/>
          <w:i/>
          <w:kern w:val="0"/>
          <w:sz w:val="24"/>
          <w:szCs w:val="24"/>
          <w:u w:val="single"/>
        </w:rPr>
        <w:t>合同专用条款</w:t>
      </w:r>
      <w:r>
        <w:rPr>
          <w:rFonts w:hint="eastAsia" w:ascii="宋体" w:hAnsi="宋体" w:eastAsia="宋体" w:cs="宋体"/>
          <w:kern w:val="0"/>
          <w:sz w:val="24"/>
          <w:szCs w:val="24"/>
        </w:rPr>
        <w:t>的约定进行定期验收；</w:t>
      </w:r>
    </w:p>
    <w:p w14:paraId="62B226BC">
      <w:pPr>
        <w:widowControl/>
        <w:tabs>
          <w:tab w:val="left" w:pos="360"/>
          <w:tab w:val="left" w:pos="540"/>
          <w:tab w:val="left" w:pos="1080"/>
        </w:tabs>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5E18F2B7">
      <w:pPr>
        <w:widowControl/>
        <w:tabs>
          <w:tab w:val="left" w:pos="360"/>
          <w:tab w:val="left" w:pos="540"/>
          <w:tab w:val="left" w:pos="1080"/>
        </w:tabs>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2.15.3 检验和验收标准、程序等具体内容以及前述验收书的效力详见</w:t>
      </w:r>
      <w:r>
        <w:rPr>
          <w:rFonts w:hint="eastAsia" w:ascii="宋体" w:hAnsi="宋体" w:eastAsia="宋体" w:cs="宋体"/>
          <w:b/>
          <w:i/>
          <w:kern w:val="0"/>
          <w:sz w:val="24"/>
          <w:szCs w:val="24"/>
          <w:u w:val="single"/>
        </w:rPr>
        <w:t>合同专用条款</w:t>
      </w:r>
      <w:r>
        <w:rPr>
          <w:rFonts w:hint="eastAsia" w:ascii="宋体" w:hAnsi="宋体" w:eastAsia="宋体" w:cs="宋体"/>
          <w:i/>
          <w:kern w:val="0"/>
          <w:sz w:val="24"/>
          <w:szCs w:val="24"/>
        </w:rPr>
        <w:t>。</w:t>
      </w:r>
      <w:bookmarkEnd w:id="928"/>
      <w:bookmarkEnd w:id="929"/>
      <w:bookmarkEnd w:id="930"/>
      <w:bookmarkEnd w:id="931"/>
    </w:p>
    <w:p w14:paraId="6872D2AF">
      <w:pPr>
        <w:widowControl/>
        <w:spacing w:line="360" w:lineRule="auto"/>
        <w:ind w:firstLine="482" w:firstLineChars="200"/>
        <w:jc w:val="both"/>
        <w:outlineLvl w:val="0"/>
        <w:rPr>
          <w:rFonts w:hint="eastAsia" w:ascii="宋体" w:hAnsi="宋体" w:eastAsia="宋体" w:cs="宋体"/>
          <w:kern w:val="0"/>
          <w:sz w:val="24"/>
          <w:szCs w:val="24"/>
        </w:rPr>
      </w:pPr>
      <w:bookmarkStart w:id="967" w:name="_Toc487900371"/>
      <w:bookmarkStart w:id="968" w:name="_Toc259093690"/>
      <w:bookmarkStart w:id="969" w:name="_Toc279701261"/>
      <w:bookmarkStart w:id="970" w:name="_Toc31892"/>
      <w:bookmarkStart w:id="971" w:name="_Toc9808"/>
      <w:bookmarkStart w:id="972" w:name="_Toc25198"/>
      <w:bookmarkStart w:id="973" w:name="_Toc12666"/>
      <w:bookmarkStart w:id="974" w:name="_Toc2308"/>
      <w:r>
        <w:rPr>
          <w:rFonts w:hint="eastAsia" w:ascii="宋体" w:hAnsi="宋体" w:eastAsia="宋体" w:cs="宋体"/>
          <w:b/>
          <w:kern w:val="0"/>
          <w:sz w:val="24"/>
          <w:szCs w:val="24"/>
        </w:rPr>
        <w:t>2.16 通知</w:t>
      </w:r>
      <w:bookmarkEnd w:id="967"/>
      <w:bookmarkEnd w:id="968"/>
      <w:bookmarkEnd w:id="969"/>
      <w:r>
        <w:rPr>
          <w:rFonts w:hint="eastAsia" w:ascii="宋体" w:hAnsi="宋体" w:eastAsia="宋体" w:cs="宋体"/>
          <w:b/>
          <w:kern w:val="0"/>
          <w:sz w:val="24"/>
          <w:szCs w:val="24"/>
        </w:rPr>
        <w:t>和送达</w:t>
      </w:r>
      <w:bookmarkEnd w:id="970"/>
      <w:bookmarkEnd w:id="971"/>
      <w:bookmarkEnd w:id="972"/>
      <w:bookmarkEnd w:id="973"/>
      <w:bookmarkEnd w:id="974"/>
    </w:p>
    <w:p w14:paraId="46FDE859">
      <w:pPr>
        <w:widowControl/>
        <w:spacing w:line="360" w:lineRule="auto"/>
        <w:ind w:firstLine="480" w:firstLineChars="200"/>
        <w:jc w:val="both"/>
        <w:rPr>
          <w:rFonts w:hint="eastAsia" w:ascii="宋体" w:hAnsi="宋体" w:eastAsia="宋体" w:cs="宋体"/>
          <w:kern w:val="0"/>
          <w:sz w:val="24"/>
          <w:szCs w:val="24"/>
        </w:rPr>
      </w:pPr>
      <w:bookmarkStart w:id="975" w:name="_Toc29220"/>
      <w:bookmarkStart w:id="976" w:name="_Toc7073"/>
      <w:bookmarkStart w:id="977" w:name="_Toc259093691"/>
      <w:bookmarkStart w:id="978" w:name="_Toc279701262"/>
      <w:bookmarkStart w:id="979" w:name="_Toc487900372"/>
      <w:r>
        <w:rPr>
          <w:rFonts w:hint="eastAsia" w:ascii="宋体" w:hAnsi="宋体" w:eastAsia="宋体" w:cs="宋体"/>
          <w:kern w:val="0"/>
          <w:sz w:val="24"/>
          <w:szCs w:val="24"/>
        </w:rPr>
        <w:t>2.16.1 任何一方因履行合同而以合同第一部分尾部所列明的</w:t>
      </w:r>
      <w:r>
        <w:rPr>
          <w:rFonts w:hint="eastAsia" w:ascii="宋体" w:hAnsi="宋体" w:eastAsia="宋体" w:cs="宋体"/>
          <w:kern w:val="0"/>
          <w:sz w:val="24"/>
          <w:szCs w:val="24"/>
          <w:u w:val="single"/>
        </w:rPr>
        <w:t xml:space="preserve">     /     </w:t>
      </w:r>
      <w:r>
        <w:rPr>
          <w:rFonts w:hint="eastAsia" w:ascii="宋体" w:hAnsi="宋体" w:eastAsia="宋体" w:cs="宋体"/>
          <w:kern w:val="0"/>
          <w:sz w:val="24"/>
          <w:szCs w:val="24"/>
        </w:rPr>
        <w:t>发出的所有通知、文件、材料，均视为已向对方当事人送达；任何一方变更上述送达方式或者地址的，应于</w:t>
      </w:r>
      <w:r>
        <w:rPr>
          <w:rFonts w:hint="eastAsia" w:ascii="宋体" w:hAnsi="宋体" w:eastAsia="宋体" w:cs="宋体"/>
          <w:kern w:val="0"/>
          <w:sz w:val="24"/>
          <w:szCs w:val="24"/>
          <w:u w:val="single"/>
        </w:rPr>
        <w:t xml:space="preserve"> /  </w:t>
      </w:r>
      <w:r>
        <w:rPr>
          <w:rFonts w:hint="eastAsia" w:ascii="宋体" w:hAnsi="宋体" w:eastAsia="宋体" w:cs="宋体"/>
          <w:kern w:val="0"/>
          <w:sz w:val="24"/>
          <w:szCs w:val="24"/>
        </w:rPr>
        <w:t>个工作日内书面通知对方当事人，在对方当事人收到有关变更通知之前，变更前的约定送达方式或者地址仍视为有效。</w:t>
      </w:r>
      <w:bookmarkEnd w:id="975"/>
      <w:bookmarkEnd w:id="976"/>
    </w:p>
    <w:p w14:paraId="2AE4641F">
      <w:pPr>
        <w:widowControl/>
        <w:spacing w:line="360" w:lineRule="auto"/>
        <w:ind w:firstLine="480" w:firstLineChars="200"/>
        <w:jc w:val="both"/>
        <w:rPr>
          <w:rFonts w:hint="eastAsia" w:ascii="宋体" w:hAnsi="宋体" w:eastAsia="宋体" w:cs="宋体"/>
          <w:kern w:val="0"/>
          <w:sz w:val="24"/>
          <w:szCs w:val="24"/>
        </w:rPr>
      </w:pPr>
      <w:bookmarkStart w:id="980" w:name="_Toc18401"/>
      <w:bookmarkStart w:id="981" w:name="_Toc27674"/>
      <w:r>
        <w:rPr>
          <w:rFonts w:hint="eastAsia" w:ascii="宋体" w:hAnsi="宋体" w:eastAsia="宋体" w:cs="宋体"/>
          <w:kern w:val="0"/>
          <w:sz w:val="24"/>
          <w:szCs w:val="24"/>
        </w:rPr>
        <w:t>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977"/>
      <w:bookmarkEnd w:id="978"/>
      <w:bookmarkEnd w:id="979"/>
      <w:bookmarkEnd w:id="980"/>
      <w:bookmarkEnd w:id="981"/>
    </w:p>
    <w:p w14:paraId="6D50EFB6">
      <w:pPr>
        <w:widowControl/>
        <w:spacing w:line="360" w:lineRule="auto"/>
        <w:ind w:firstLine="482" w:firstLineChars="200"/>
        <w:jc w:val="both"/>
        <w:outlineLvl w:val="0"/>
        <w:rPr>
          <w:rFonts w:hint="eastAsia" w:ascii="宋体" w:hAnsi="宋体" w:eastAsia="宋体" w:cs="宋体"/>
          <w:kern w:val="0"/>
          <w:sz w:val="24"/>
          <w:szCs w:val="24"/>
        </w:rPr>
      </w:pPr>
      <w:bookmarkStart w:id="982" w:name="_Toc28906"/>
      <w:bookmarkStart w:id="983" w:name="_Toc279701263"/>
      <w:bookmarkStart w:id="984" w:name="_Toc487900373"/>
      <w:bookmarkStart w:id="985" w:name="_Toc27644"/>
      <w:bookmarkStart w:id="986" w:name="_Toc259093692"/>
      <w:bookmarkStart w:id="987" w:name="_Toc20808"/>
      <w:bookmarkStart w:id="988" w:name="_Toc5063"/>
      <w:bookmarkStart w:id="989" w:name="_Toc12254"/>
      <w:r>
        <w:rPr>
          <w:rFonts w:hint="eastAsia" w:ascii="宋体" w:hAnsi="宋体" w:eastAsia="宋体" w:cs="宋体"/>
          <w:b/>
          <w:kern w:val="0"/>
          <w:sz w:val="24"/>
          <w:szCs w:val="24"/>
        </w:rPr>
        <w:t>2.17 合同使用的文字和适用的法律</w:t>
      </w:r>
      <w:bookmarkEnd w:id="982"/>
      <w:bookmarkEnd w:id="983"/>
      <w:bookmarkEnd w:id="984"/>
      <w:bookmarkEnd w:id="985"/>
      <w:bookmarkEnd w:id="986"/>
      <w:bookmarkEnd w:id="987"/>
      <w:bookmarkEnd w:id="988"/>
      <w:bookmarkEnd w:id="989"/>
    </w:p>
    <w:p w14:paraId="04C0CAF0">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2.17.1 合同使用汉语书就、变更和解释；</w:t>
      </w:r>
    </w:p>
    <w:p w14:paraId="1B61591D">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2.17.2 合同适用中华人民共和国法律。</w:t>
      </w:r>
    </w:p>
    <w:p w14:paraId="78208EF7">
      <w:pPr>
        <w:widowControl/>
        <w:spacing w:line="360" w:lineRule="auto"/>
        <w:ind w:firstLine="482" w:firstLineChars="200"/>
        <w:jc w:val="both"/>
        <w:outlineLvl w:val="0"/>
        <w:rPr>
          <w:rFonts w:hint="eastAsia" w:ascii="宋体" w:hAnsi="宋体" w:eastAsia="宋体" w:cs="宋体"/>
          <w:kern w:val="0"/>
          <w:sz w:val="24"/>
          <w:szCs w:val="24"/>
        </w:rPr>
      </w:pPr>
      <w:bookmarkStart w:id="990" w:name="_Toc27403"/>
      <w:bookmarkStart w:id="991" w:name="_Toc259093693"/>
      <w:bookmarkStart w:id="992" w:name="_Toc22266"/>
      <w:bookmarkStart w:id="993" w:name="_Toc279701264"/>
      <w:bookmarkStart w:id="994" w:name="_Toc1492"/>
      <w:bookmarkStart w:id="995" w:name="_Toc27127"/>
      <w:bookmarkStart w:id="996" w:name="_Toc30096"/>
      <w:bookmarkStart w:id="997" w:name="_Toc487900374"/>
      <w:r>
        <w:rPr>
          <w:rFonts w:hint="eastAsia" w:ascii="宋体" w:hAnsi="宋体" w:eastAsia="宋体" w:cs="宋体"/>
          <w:b/>
          <w:kern w:val="0"/>
          <w:sz w:val="24"/>
          <w:szCs w:val="24"/>
        </w:rPr>
        <w:t>2.18 履约保证金</w:t>
      </w:r>
      <w:bookmarkEnd w:id="990"/>
      <w:bookmarkEnd w:id="991"/>
      <w:bookmarkEnd w:id="992"/>
      <w:bookmarkEnd w:id="993"/>
      <w:bookmarkEnd w:id="994"/>
      <w:bookmarkEnd w:id="995"/>
      <w:bookmarkEnd w:id="996"/>
    </w:p>
    <w:p w14:paraId="305548EF">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2.18.1 采购文件要求乙方提交履约保证金的，乙方应按</w:t>
      </w:r>
      <w:r>
        <w:rPr>
          <w:rFonts w:hint="eastAsia" w:ascii="宋体" w:hAnsi="宋体" w:eastAsia="宋体" w:cs="宋体"/>
          <w:b/>
          <w:i/>
          <w:kern w:val="0"/>
          <w:sz w:val="24"/>
          <w:szCs w:val="24"/>
          <w:u w:val="single"/>
        </w:rPr>
        <w:t>合同专用条款</w:t>
      </w:r>
      <w:r>
        <w:rPr>
          <w:rFonts w:hint="eastAsia" w:ascii="宋体" w:hAnsi="宋体" w:eastAsia="宋体" w:cs="宋体"/>
          <w:kern w:val="0"/>
          <w:sz w:val="24"/>
          <w:szCs w:val="24"/>
        </w:rPr>
        <w:t>约定的方式，以支票、汇票、本票或者金融机构、担保机构出具的保函等非现金形式，提交不超过合同价10%的履约保证金；</w:t>
      </w:r>
    </w:p>
    <w:p w14:paraId="406B6B10">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2.18.2 履约保证金在</w:t>
      </w:r>
      <w:r>
        <w:rPr>
          <w:rFonts w:hint="eastAsia" w:ascii="宋体" w:hAnsi="宋体" w:eastAsia="宋体" w:cs="宋体"/>
          <w:b/>
          <w:i/>
          <w:kern w:val="0"/>
          <w:sz w:val="24"/>
          <w:szCs w:val="24"/>
          <w:u w:val="single"/>
        </w:rPr>
        <w:t>合同专用条款</w:t>
      </w:r>
      <w:r>
        <w:rPr>
          <w:rFonts w:hint="eastAsia" w:ascii="宋体" w:hAnsi="宋体" w:eastAsia="宋体" w:cs="宋体"/>
          <w:kern w:val="0"/>
          <w:sz w:val="24"/>
          <w:szCs w:val="24"/>
        </w:rPr>
        <w:t>约定期间内不予退还或者应完全有效，前述约定期间届满之日起</w:t>
      </w:r>
      <w:r>
        <w:rPr>
          <w:rFonts w:hint="eastAsia" w:ascii="宋体" w:hAnsi="宋体" w:eastAsia="宋体" w:cs="宋体"/>
          <w:kern w:val="0"/>
          <w:sz w:val="24"/>
          <w:szCs w:val="24"/>
          <w:u w:val="single"/>
        </w:rPr>
        <w:t xml:space="preserve">  /  </w:t>
      </w:r>
      <w:r>
        <w:rPr>
          <w:rFonts w:hint="eastAsia" w:ascii="宋体" w:hAnsi="宋体" w:eastAsia="宋体" w:cs="宋体"/>
          <w:kern w:val="0"/>
          <w:sz w:val="24"/>
          <w:szCs w:val="24"/>
        </w:rPr>
        <w:t>个工作日内，甲方应将履约保证金退还乙方；</w:t>
      </w:r>
    </w:p>
    <w:p w14:paraId="73B31D49">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997"/>
    </w:p>
    <w:p w14:paraId="5B9E9AD6">
      <w:pPr>
        <w:widowControl/>
        <w:spacing w:line="360" w:lineRule="auto"/>
        <w:ind w:firstLine="482" w:firstLineChars="200"/>
        <w:jc w:val="both"/>
        <w:rPr>
          <w:rFonts w:hint="eastAsia" w:ascii="宋体" w:hAnsi="宋体" w:eastAsia="宋体" w:cs="宋体"/>
          <w:kern w:val="0"/>
          <w:sz w:val="24"/>
          <w:szCs w:val="24"/>
        </w:rPr>
      </w:pPr>
      <w:r>
        <w:rPr>
          <w:rFonts w:hint="eastAsia" w:ascii="宋体" w:hAnsi="宋体" w:eastAsia="宋体" w:cs="宋体"/>
          <w:b/>
          <w:kern w:val="0"/>
          <w:sz w:val="24"/>
          <w:szCs w:val="24"/>
        </w:rPr>
        <w:t>2.19 合同份数</w:t>
      </w:r>
    </w:p>
    <w:p w14:paraId="72CEAD05">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合同份数按</w:t>
      </w:r>
      <w:r>
        <w:rPr>
          <w:rFonts w:hint="eastAsia" w:ascii="宋体" w:hAnsi="宋体" w:eastAsia="宋体" w:cs="宋体"/>
          <w:b/>
          <w:i/>
          <w:kern w:val="0"/>
          <w:sz w:val="24"/>
          <w:szCs w:val="24"/>
          <w:u w:val="single"/>
        </w:rPr>
        <w:t>合同专用条款</w:t>
      </w:r>
      <w:r>
        <w:rPr>
          <w:rFonts w:hint="eastAsia" w:ascii="宋体" w:hAnsi="宋体" w:eastAsia="宋体" w:cs="宋体"/>
          <w:kern w:val="0"/>
          <w:sz w:val="24"/>
          <w:szCs w:val="24"/>
        </w:rPr>
        <w:t>规定，每份均具有同等法律效力。</w:t>
      </w:r>
    </w:p>
    <w:p w14:paraId="1935C49B">
      <w:pPr>
        <w:widowControl/>
        <w:spacing w:before="240" w:after="240" w:line="360" w:lineRule="auto"/>
        <w:jc w:val="center"/>
        <w:rPr>
          <w:rFonts w:hint="eastAsia" w:ascii="宋体" w:hAnsi="宋体" w:eastAsia="宋体" w:cs="宋体"/>
          <w:b/>
          <w:kern w:val="0"/>
          <w:sz w:val="24"/>
          <w:szCs w:val="24"/>
        </w:rPr>
      </w:pPr>
    </w:p>
    <w:p w14:paraId="68430571">
      <w:pPr>
        <w:widowControl/>
        <w:spacing w:before="240" w:after="240" w:line="360" w:lineRule="auto"/>
        <w:jc w:val="center"/>
        <w:rPr>
          <w:rFonts w:hint="eastAsia" w:ascii="宋体" w:hAnsi="宋体" w:eastAsia="宋体" w:cs="宋体"/>
          <w:b/>
          <w:kern w:val="0"/>
          <w:sz w:val="24"/>
          <w:szCs w:val="24"/>
        </w:rPr>
      </w:pPr>
    </w:p>
    <w:p w14:paraId="2870E74A">
      <w:pPr>
        <w:widowControl/>
        <w:spacing w:before="240" w:after="240" w:line="360" w:lineRule="auto"/>
        <w:jc w:val="center"/>
        <w:rPr>
          <w:rFonts w:hint="eastAsia" w:ascii="宋体" w:hAnsi="宋体" w:eastAsia="宋体" w:cs="宋体"/>
          <w:kern w:val="0"/>
          <w:sz w:val="24"/>
          <w:szCs w:val="24"/>
        </w:rPr>
      </w:pPr>
      <w:r>
        <w:rPr>
          <w:rFonts w:hint="eastAsia" w:ascii="宋体" w:hAnsi="宋体" w:eastAsia="宋体" w:cs="宋体"/>
          <w:b/>
          <w:kern w:val="0"/>
          <w:sz w:val="24"/>
          <w:szCs w:val="24"/>
        </w:rPr>
        <w:t>第三部分  合同专用条款</w:t>
      </w:r>
    </w:p>
    <w:p w14:paraId="5C3C7123">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附件：本部分是对前款合同部分的补充和修改，如果前款部分和本部分的约定不一致，应以本部分的约定为准。本部分的条款号应与前两部分的条款号保持对应；与前两部分无对应关系的内容可另行编制条款号。</w:t>
      </w:r>
    </w:p>
    <w:p w14:paraId="435742FE">
      <w:pPr>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一、项目要求：</w:t>
      </w:r>
    </w:p>
    <w:p w14:paraId="287DFC1B">
      <w:pPr>
        <w:spacing w:line="360" w:lineRule="auto"/>
        <w:ind w:firstLine="480" w:firstLineChars="200"/>
        <w:jc w:val="both"/>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（一）巡查要求</w:t>
      </w:r>
    </w:p>
    <w:p w14:paraId="39909DD3">
      <w:pPr>
        <w:spacing w:line="360" w:lineRule="auto"/>
        <w:ind w:firstLine="480" w:firstLineChars="200"/>
        <w:jc w:val="both"/>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1.巡查</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要求</w:t>
      </w:r>
    </w:p>
    <w:p w14:paraId="0B2A1ACA">
      <w:pPr>
        <w:spacing w:line="360" w:lineRule="auto"/>
        <w:ind w:firstLine="480" w:firstLineChars="200"/>
        <w:jc w:val="both"/>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1.1市政道路日常巡查工作，每月上报巡查记录，发现道路、人行道板损坏及时上报甲方。</w:t>
      </w:r>
    </w:p>
    <w:p w14:paraId="5D3D5020">
      <w:pPr>
        <w:spacing w:line="360" w:lineRule="auto"/>
        <w:ind w:firstLine="480" w:firstLineChars="200"/>
        <w:jc w:val="both"/>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1.2沥青路面出现泛油、拥包、裂缝、坑槽、坑塘、沉陷、局部网裂、松散、车辙、麻面、啃边要及时上报甲方，经审批后按规范修补，保证路面平整度良好，行车舒适。</w:t>
      </w:r>
    </w:p>
    <w:p w14:paraId="78EC5B76">
      <w:pPr>
        <w:spacing w:line="360" w:lineRule="auto"/>
        <w:ind w:firstLine="480" w:firstLineChars="200"/>
        <w:jc w:val="both"/>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1.3水泥混凝土路面行车道上无杂物，对路面各种接缝的填料出现缺损或溢出应及时填补或清除，并防止泥土、砂石及其他杂物挤压进入缝内。</w:t>
      </w:r>
    </w:p>
    <w:p w14:paraId="6E5BCDF1">
      <w:pPr>
        <w:spacing w:line="360" w:lineRule="auto"/>
        <w:ind w:firstLine="480" w:firstLineChars="200"/>
        <w:jc w:val="both"/>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1.4水泥混凝土路面行车道上无杂物，对路面各种接缝的填料出现缺损或溢出应及时填补或清除，并防止泥土、砂石及其他杂物挤压进入缝内。</w:t>
      </w:r>
    </w:p>
    <w:p w14:paraId="485F7C45">
      <w:pPr>
        <w:spacing w:line="360" w:lineRule="auto"/>
        <w:ind w:firstLine="480" w:firstLineChars="200"/>
        <w:jc w:val="both"/>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1.5水泥混凝土路面出现的裂缝、板角断裂、边角剥落、错台、唧泥、拱起、表面裂纹与层状剥落、坑洞等病害要及时上报甲方，经审批后按规范修补。</w:t>
      </w:r>
    </w:p>
    <w:p w14:paraId="750B13AF">
      <w:pPr>
        <w:spacing w:line="360" w:lineRule="auto"/>
        <w:ind w:firstLine="480" w:firstLineChars="200"/>
        <w:jc w:val="both"/>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1.6对损坏的人行道板、侧石要及时更换或修复，修复前要采取安全防范措施。</w:t>
      </w:r>
    </w:p>
    <w:p w14:paraId="5E297DFD">
      <w:pPr>
        <w:spacing w:line="360" w:lineRule="auto"/>
        <w:ind w:firstLine="480" w:firstLineChars="200"/>
        <w:jc w:val="both"/>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（二）</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实施</w:t>
      </w:r>
      <w:r>
        <w:rPr>
          <w:rFonts w:hint="eastAsia" w:ascii="宋体" w:hAnsi="宋体" w:eastAsia="宋体" w:cs="宋体"/>
          <w:color w:val="000000" w:themeColor="text1"/>
          <w:kern w:val="0"/>
          <w:sz w:val="24"/>
          <w:szCs w:val="24"/>
          <w:highlight w:val="none"/>
          <w14:textFill>
            <w14:solidFill>
              <w14:schemeClr w14:val="tx1"/>
            </w14:solidFill>
          </w14:textFill>
        </w:rPr>
        <w:t>要求</w:t>
      </w:r>
    </w:p>
    <w:p w14:paraId="622BF155">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2.1严格执行施工规范、安全操作规程、防火安全规定。严格按照图纸或做法说明进行施工，做好各项质量检查记录。</w:t>
      </w:r>
    </w:p>
    <w:p w14:paraId="7A0178CF">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2.2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p>
    <w:p w14:paraId="04BAF9BB">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2.3施工过程中引起的绿化损失应及时修复并承担其费用，费用需含在报价中。</w:t>
      </w:r>
    </w:p>
    <w:p w14:paraId="0A7F03FA">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2.4负责做好现场保卫、消防、垃圾处理等工作，并承担相应费用，费用需含在报价中。</w:t>
      </w:r>
    </w:p>
    <w:p w14:paraId="6437D7D4">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2.5施工中未经甲方同意或有关部门批准，不得随便拆改原建筑物结构及各种设备管线。</w:t>
      </w:r>
    </w:p>
    <w:p w14:paraId="7F702AC1">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2.6工程</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完工未</w:t>
      </w:r>
      <w:r>
        <w:rPr>
          <w:rFonts w:hint="eastAsia" w:ascii="宋体" w:hAnsi="宋体" w:eastAsia="宋体" w:cs="宋体"/>
          <w:kern w:val="0"/>
          <w:sz w:val="24"/>
          <w:szCs w:val="24"/>
          <w:lang w:val="en-US" w:eastAsia="zh-CN"/>
        </w:rPr>
        <w:t>移交甲方之前，负责对现场的一切设施和工程成品进行保护。</w:t>
      </w:r>
    </w:p>
    <w:p w14:paraId="63D93034">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2.7甲方有权对现场不称职或不合格的技术负责人、其他人员提出更换，乙方应无条件接受。</w:t>
      </w:r>
    </w:p>
    <w:p w14:paraId="07C37971">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2.8工地内不安排民工宿舍及办公室。异地搭设临建需租地，其租地费用、交通费用等一切费用及所需承担的责任由乙方负责。现场的材料及设备、工具由乙方自行保管。</w:t>
      </w:r>
    </w:p>
    <w:p w14:paraId="715F0714">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2.9乙方应及时办理隐蔽工程和中间工程的检查与验收手续。任一项隐蔽工程的验收未通过甲方的验收，甲方可对乙方处以1000元/次的罚款；乙方修复直至通过验收，罚款不返还。若乙方拒缴罚款，甲方有权不支付工程款并要求乙方暂停下步节点的施工。</w:t>
      </w:r>
    </w:p>
    <w:p w14:paraId="2BF5C922">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2.10乙方在施工过程中，甲方有权要求对乙方的施工进行适当调整安排，对甲方提出的安排，乙方应积极服从。如乙方拒服从甲方的调整安排，甲方有权对乙方进行相应的经济处罚。</w:t>
      </w:r>
    </w:p>
    <w:p w14:paraId="37BA1AE3">
      <w:pPr>
        <w:spacing w:line="360" w:lineRule="auto"/>
        <w:ind w:firstLine="480" w:firstLineChars="200"/>
        <w:jc w:val="both"/>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2.11项目维修完成后，乙方应通知甲方验收，甲方自接到验收通知10日内组织验收，并办理完工手续。</w:t>
      </w:r>
    </w:p>
    <w:p w14:paraId="343DF265">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2.12乙方负责完工工程移交甲方之前的维护及保管工作。</w:t>
      </w:r>
    </w:p>
    <w:p w14:paraId="58059C06">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2.13材料堆放及现场施工应服从甲方管理，做到材料堆放整齐、规范，施工现场保证工完场地清；保持施工现场整洁、通畅。施工现场严禁打架、斗殴，工作前严禁喝酒，一经发现，甲方有权处以500元/次罚款，罚款直接在工程款中扣除。</w:t>
      </w:r>
    </w:p>
    <w:p w14:paraId="1B264563">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2.14做好现场垃圾处理与清运等工作，并承担费用。</w:t>
      </w:r>
    </w:p>
    <w:p w14:paraId="1C2684BD">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2.15在施工区域设置必要的危险警示牌、灯等，采取警示措施，避免发生伤亡事故，工程施工期间所发生伤亡等一切事故，均由乙方承担，所发生的一切费用均由乙方全部支付。</w:t>
      </w:r>
    </w:p>
    <w:p w14:paraId="3FD452B8">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2.16在项目施工期间，乙方应根据江苏省相关文件规定、现行标准和合同文件关于农民工工伤保险的约定，负责购买农民工工伤保险。如甲方核查后发现其未购买的，则有权终止合同。</w:t>
      </w:r>
    </w:p>
    <w:p w14:paraId="66FCD7E7">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2.17乙方应随时接受甲方对工程的监督和检查，对不符合规范的施工项目无条件组织返工或整改，所产生的返工或整改的一切费用（含设备、材料、人工、搬运及保管费等），由乙方自行承担。若未按期整改，甲方有权立即解除合同，且一切损失均由乙方承担。</w:t>
      </w:r>
    </w:p>
    <w:p w14:paraId="0BEE5B56">
      <w:pPr>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三</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关于材料供应的要求</w:t>
      </w:r>
    </w:p>
    <w:p w14:paraId="3559C75F">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3.1凡由乙方采购的材料、设备，如不符合质量要求或规格差异，应禁止使用。若已使用，对工程造成的损失由乙方负责。</w:t>
      </w:r>
    </w:p>
    <w:p w14:paraId="6CEB22AA">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3.2材料、设备进场前应接受甲方组织的验收，不合格材料及与封样不符的材料标识后，三天内运出场外。场内严禁堆放不合格材料和不符材料，过期不处理的不合格材料和不符材料，甲方有权自行处理，由此造成乙方异议或损失的，甲方不予赔偿。</w:t>
      </w:r>
    </w:p>
    <w:p w14:paraId="2EF4566D">
      <w:pPr>
        <w:spacing w:line="360" w:lineRule="auto"/>
        <w:ind w:firstLine="480" w:firstLineChars="200"/>
        <w:jc w:val="both"/>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四</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有关安全生产的要求</w:t>
      </w:r>
    </w:p>
    <w:p w14:paraId="66EAB968">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4.1乙方在施工期间应严格遵守《建设工程安全生产管理条例》、《建筑施工安全检查标准》、《中华人民共和国消防法》和其他相关的法规、规范。</w:t>
      </w:r>
    </w:p>
    <w:p w14:paraId="4E2A0F7F">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4.2由于乙方在施工生产过程中发生人员伤亡或安全事故或火灾事故或交通事故，乙方应承担由此引发的一切经济损失及法律责任。</w:t>
      </w:r>
    </w:p>
    <w:p w14:paraId="35814D46">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五</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有关维修进度工期的要求</w:t>
      </w:r>
    </w:p>
    <w:p w14:paraId="1EFA673B">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5.1井盖破损、缺失，修复时间为4个工作日；</w:t>
      </w:r>
    </w:p>
    <w:p w14:paraId="5B0527ED">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5.2道路破损、坑洼，修复时间为3个工作日；</w:t>
      </w:r>
    </w:p>
    <w:p w14:paraId="173DD8E2">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修复时间按收到甲方维修要求时开始算起。其他维修项目具体时间按甲方要求实施，乙方在接到甲方的维修要求时，需在2小时内安排人员到场查看，并及时进行修复工作。</w:t>
      </w:r>
    </w:p>
    <w:p w14:paraId="76E46D08">
      <w:pPr>
        <w:spacing w:line="360" w:lineRule="auto"/>
        <w:ind w:firstLine="480" w:firstLineChars="200"/>
        <w:jc w:val="both"/>
        <w:rPr>
          <w:rFonts w:hint="eastAsia" w:ascii="宋体" w:hAnsi="宋体" w:eastAsia="宋体" w:cs="宋体"/>
          <w:i w:val="0"/>
          <w:i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重要说明</w:t>
      </w:r>
    </w:p>
    <w:p w14:paraId="26C7C8EE">
      <w:pPr>
        <w:spacing w:line="360" w:lineRule="auto"/>
        <w:ind w:firstLine="480" w:firstLineChars="200"/>
        <w:jc w:val="both"/>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6.1</w:t>
      </w: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乙方必须为进场施工人员购买建筑工程团体意外险或针对该项目的个人人身意外伤害保险以及建筑工程第三者责任险，如甲方核查后发现其未给施工人员购买意外险及第三者责任险的，则有权终止合同。</w:t>
      </w:r>
    </w:p>
    <w:p w14:paraId="7FED115B">
      <w:pPr>
        <w:spacing w:line="360" w:lineRule="auto"/>
        <w:ind w:firstLine="480" w:firstLineChars="200"/>
        <w:jc w:val="both"/>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6.2如遇市区级相关部门进行大气管控、扬尘管控及裸土需进行绿网覆盖等施工要求，导致停工及增加的绿网覆盖费用均由乙方自行承担，甲方不另行增加此类费用。</w:t>
      </w:r>
    </w:p>
    <w:p w14:paraId="7FF721F9">
      <w:pPr>
        <w:spacing w:line="360" w:lineRule="auto"/>
        <w:ind w:firstLine="480" w:firstLineChars="200"/>
        <w:jc w:val="both"/>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6.3乙方有义务配合甲方做好相关单位的协调工作。</w:t>
      </w:r>
    </w:p>
    <w:p w14:paraId="7FA8BF7C">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二、</w:t>
      </w:r>
      <w:r>
        <w:rPr>
          <w:rFonts w:hint="eastAsia" w:ascii="宋体" w:hAnsi="宋体" w:eastAsia="宋体" w:cs="宋体"/>
          <w:kern w:val="0"/>
          <w:sz w:val="24"/>
          <w:szCs w:val="24"/>
          <w:lang w:val="en-US" w:eastAsia="zh-CN"/>
        </w:rPr>
        <w:t>项目工程价格</w:t>
      </w:r>
    </w:p>
    <w:p w14:paraId="374F1FD1">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b/>
          <w:bCs/>
          <w:color w:val="auto"/>
          <w:sz w:val="24"/>
          <w:szCs w:val="24"/>
          <w:highlight w:val="none"/>
        </w:rPr>
        <w:t>计价原则</w:t>
      </w:r>
      <w:r>
        <w:rPr>
          <w:rFonts w:hint="eastAsia" w:ascii="宋体" w:hAnsi="宋体" w:eastAsia="宋体" w:cs="宋体"/>
          <w:kern w:val="0"/>
          <w:sz w:val="24"/>
          <w:szCs w:val="24"/>
        </w:rPr>
        <w:t>：</w:t>
      </w:r>
    </w:p>
    <w:p w14:paraId="11288293">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1.1乙方承担的工程项目施工任务，由甲方根据工程性质和特点与乙方约定，报价的计价方法按下列规则计算：</w:t>
      </w:r>
    </w:p>
    <w:p w14:paraId="21B573AF">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1.1.1按现行建设工程工程量清单计价规范执行</w:t>
      </w:r>
    </w:p>
    <w:p w14:paraId="3EC8B5E6">
      <w:pPr>
        <w:spacing w:line="360" w:lineRule="auto"/>
        <w:ind w:firstLine="480" w:firstLineChars="200"/>
        <w:jc w:val="both"/>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1.1.2可参考的工程计价表和有关文件按现行计价规范及相关规定执行。《建设工程工程量清单计价规范》（GB50500-2013）、《江苏省建设工程费用定额》2014版、《江苏省建筑与装饰工程计价定额》2014版、《江苏省市政工程计价定额》2014版等相关文件、法律法规及规范要求的工程量清单计价规范执行。</w:t>
      </w:r>
    </w:p>
    <w:p w14:paraId="73CA52F1">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1.1.3 材料、设备价格：以常州工程造价信息发布的施</w:t>
      </w:r>
      <w:r>
        <w:rPr>
          <w:rFonts w:hint="eastAsia" w:ascii="宋体" w:hAnsi="宋体" w:eastAsia="宋体" w:cs="宋体"/>
          <w:color w:val="000000" w:themeColor="text1"/>
          <w:kern w:val="0"/>
          <w:sz w:val="24"/>
          <w:szCs w:val="24"/>
          <w:lang w:val="en-US" w:eastAsia="zh-CN"/>
          <w14:textFill>
            <w14:solidFill>
              <w14:schemeClr w14:val="tx1"/>
            </w14:solidFill>
          </w14:textFill>
        </w:rPr>
        <w:t>工当季度除税平均价为</w:t>
      </w:r>
      <w:r>
        <w:rPr>
          <w:rFonts w:hint="eastAsia" w:ascii="宋体" w:hAnsi="宋体" w:eastAsia="宋体" w:cs="宋体"/>
          <w:kern w:val="0"/>
          <w:sz w:val="24"/>
          <w:szCs w:val="24"/>
          <w:lang w:val="en-US" w:eastAsia="zh-CN"/>
        </w:rPr>
        <w:t>基础；若当期没有的，参照上一季度除税平均指导价，以此类推；常州工程造价信息中未发布的材料、设备价格以市场价为基础，办理相关签证手续对价格予以确认；材料消耗量和辅材单价按相关定额计算。</w:t>
      </w:r>
    </w:p>
    <w:p w14:paraId="6C560619">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1.1.4 人工费单价：以项目实际施工期中正在实行的江苏省政策性文件确定。</w:t>
      </w:r>
    </w:p>
    <w:p w14:paraId="4B5D42B7">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1.1.5措施费和不可竞争费用：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9268636">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1.2项目实施期内如遇国家、江苏省、常州市政策调整，则双方须按最新政策规定执行。</w:t>
      </w:r>
    </w:p>
    <w:p w14:paraId="01BFB092">
      <w:pPr>
        <w:spacing w:line="360" w:lineRule="auto"/>
        <w:ind w:firstLine="480" w:firstLineChars="200"/>
        <w:jc w:val="both"/>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kern w:val="0"/>
          <w:sz w:val="24"/>
          <w:szCs w:val="24"/>
          <w:lang w:val="en-US" w:eastAsia="zh-CN"/>
        </w:rPr>
        <w:t>1.3结算价格的确定：乙方依照上述要求以及合同中有关价格调整的规定计算工程造价（包括但不限于人工费、材料费、机械费、管理费（含企业和现场管理费）、措施费、规费、保险费用、利润、税金</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等），并由甲方委托的审计机构进行结算审计。最终工程结算价格按照经审计后的工程审定价。（工程结算以甲方与乙方签订的合同中确定的优惠率计算，其中：政策明文规定不予优惠的项目（如税金等）不作下浮、无信息指导价而经甲方确认的材料价格不作优惠下浮。其他由审计机构、编标机构等第三方机构市场询价的价格按本项目合同签订的优惠率计算规则进行计算。</w:t>
      </w:r>
      <w:r>
        <w:rPr>
          <w:rFonts w:hint="eastAsia" w:ascii="宋体" w:hAnsi="宋体" w:eastAsia="宋体" w:cs="宋体"/>
          <w:color w:val="000000" w:themeColor="text1"/>
          <w:kern w:val="0"/>
          <w:sz w:val="24"/>
          <w:szCs w:val="24"/>
          <w:highlight w:val="none"/>
          <w:u w:val="none"/>
          <w:lang w:val="en-US" w:eastAsia="zh-CN"/>
          <w14:textFill>
            <w14:solidFill>
              <w14:schemeClr w14:val="tx1"/>
            </w14:solidFill>
          </w14:textFill>
        </w:rPr>
        <w:t>最终工程结算价格应扣除考核扣款。</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w:t>
      </w:r>
    </w:p>
    <w:p w14:paraId="0A60C486">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2调整工程价格的范围及方法</w:t>
      </w:r>
    </w:p>
    <w:p w14:paraId="7F7E7B5C">
      <w:pPr>
        <w:spacing w:line="360" w:lineRule="auto"/>
        <w:ind w:firstLine="480" w:firstLineChars="20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2.l暂估材料、设备价格按照甲方书面确认的实际价格调整。对于暂估价材料、设备只调整材料、设备价差和计取税金，不计取其它费用。</w:t>
      </w:r>
    </w:p>
    <w:p w14:paraId="668E9E30">
      <w:pPr>
        <w:spacing w:line="360" w:lineRule="auto"/>
        <w:ind w:firstLine="480" w:firstLineChars="200"/>
        <w:jc w:val="both"/>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kern w:val="0"/>
          <w:sz w:val="24"/>
          <w:szCs w:val="24"/>
          <w:lang w:val="en-US" w:eastAsia="zh-CN"/>
        </w:rPr>
        <w:t>2.2 结算说明：</w:t>
      </w:r>
      <w:r>
        <w:rPr>
          <w:rFonts w:hint="eastAsia" w:ascii="宋体" w:hAnsi="宋体" w:eastAsia="宋体" w:cs="宋体"/>
          <w:color w:val="000000" w:themeColor="text1"/>
          <w:kern w:val="0"/>
          <w:sz w:val="24"/>
          <w:szCs w:val="24"/>
          <w:lang w:val="en-US" w:eastAsia="zh-CN"/>
          <w14:textFill>
            <w14:solidFill>
              <w14:schemeClr w14:val="tx1"/>
            </w14:solidFill>
          </w14:textFill>
        </w:rPr>
        <w:t>工程结算须经甲方委托的审计机构审计，最终工程结算以经甲方委托的审计机构审计后的工程审定价为准。</w:t>
      </w:r>
    </w:p>
    <w:p w14:paraId="6BC3BD56">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三、分包与转包：本项目除招标文件规定外，未经建设单位同意，严禁分包、二次转包，一经发现，即中止合同，并赔偿由此造成的一切损失。</w:t>
      </w:r>
    </w:p>
    <w:p w14:paraId="28A7F4DE">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四、不可抗力，因不可抗力不能履行合同的，根据不可抗力的影响，部分或者全部免除责任。但合同一方迟延履行后发生严重后果的，不能免除责任。合同一方因不可抗力不能履行合同的，应当及时通知对方，以减轻可能给对方造成的损失，并应当在合理期限内提供证明。</w:t>
      </w:r>
    </w:p>
    <w:p w14:paraId="2AE99ED1">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五 、合同的解除</w:t>
      </w:r>
    </w:p>
    <w:p w14:paraId="22FF94CA">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1.甲方和乙方协商一致，可以解除合同。并报政府采购监管部门审查备案。</w:t>
      </w:r>
    </w:p>
    <w:p w14:paraId="32C72C18">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2.有下列情形之一，合同一方可以解除合同：</w:t>
      </w:r>
    </w:p>
    <w:p w14:paraId="4539EBB1">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a、因不可抗力致使不能实现合同目的，未受不可抗力影响的一方有权解除合同。</w:t>
      </w:r>
    </w:p>
    <w:p w14:paraId="13CE6179">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b、因合同一方违约导致合同不能履行，另一方有权解除合同。</w:t>
      </w:r>
    </w:p>
    <w:p w14:paraId="17FA7090">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 xml:space="preserve">c、有权解除合同的一方，应当在违约事实或不可抗力发生之后三十天内书面通知对方以主张解除合同，合同在书面通知到达对方时解除。 </w:t>
      </w:r>
    </w:p>
    <w:p w14:paraId="4DC1583E">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3.有下列情形之一，甲方可以解除合同：</w:t>
      </w:r>
    </w:p>
    <w:p w14:paraId="62370E78">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a、施工单位在承担巡查、养护期</w:t>
      </w:r>
      <w:r>
        <w:rPr>
          <w:rFonts w:hint="eastAsia" w:ascii="宋体" w:hAnsi="宋体" w:eastAsia="宋体" w:cs="宋体"/>
          <w:color w:val="000000" w:themeColor="text1"/>
          <w:kern w:val="0"/>
          <w:sz w:val="24"/>
          <w:szCs w:val="24"/>
          <w:highlight w:val="none"/>
          <w14:textFill>
            <w14:solidFill>
              <w14:schemeClr w14:val="tx1"/>
            </w14:solidFill>
          </w14:textFill>
        </w:rPr>
        <w:t>间，</w:t>
      </w:r>
      <w:bookmarkStart w:id="998" w:name="OLE_LINK15"/>
      <w:bookmarkStart w:id="999" w:name="OLE_LINK16"/>
      <w:r>
        <w:rPr>
          <w:rFonts w:hint="eastAsia" w:ascii="宋体" w:hAnsi="宋体" w:eastAsia="宋体" w:cs="宋体"/>
          <w:color w:val="000000" w:themeColor="text1"/>
          <w:kern w:val="0"/>
          <w:sz w:val="24"/>
          <w:szCs w:val="24"/>
          <w:highlight w:val="none"/>
          <w:lang w:eastAsia="zh-CN"/>
          <w14:textFill>
            <w14:solidFill>
              <w14:schemeClr w14:val="tx1"/>
            </w14:solidFill>
          </w14:textFill>
        </w:rPr>
        <w:t>月度考核结果在</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60</w:t>
      </w:r>
      <w:r>
        <w:rPr>
          <w:rFonts w:hint="eastAsia" w:ascii="宋体" w:hAnsi="宋体" w:eastAsia="宋体" w:cs="宋体"/>
          <w:color w:val="000000" w:themeColor="text1"/>
          <w:kern w:val="0"/>
          <w:sz w:val="24"/>
          <w:szCs w:val="24"/>
          <w:highlight w:val="none"/>
          <w:lang w:eastAsia="zh-CN"/>
          <w14:textFill>
            <w14:solidFill>
              <w14:schemeClr w14:val="tx1"/>
            </w14:solidFill>
          </w14:textFill>
        </w:rPr>
        <w:t>分以下的，</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或年度内</w:t>
      </w:r>
      <w:r>
        <w:rPr>
          <w:rFonts w:hint="eastAsia" w:ascii="宋体" w:hAnsi="宋体" w:eastAsia="宋体" w:cs="宋体"/>
          <w:color w:val="000000" w:themeColor="text1"/>
          <w:kern w:val="0"/>
          <w:sz w:val="24"/>
          <w:szCs w:val="24"/>
          <w:highlight w:val="none"/>
          <w:lang w:eastAsia="zh-CN"/>
          <w14:textFill>
            <w14:solidFill>
              <w14:schemeClr w14:val="tx1"/>
            </w14:solidFill>
          </w14:textFill>
        </w:rPr>
        <w:t>累计</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次考核结果在</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70</w:t>
      </w:r>
      <w:r>
        <w:rPr>
          <w:rFonts w:hint="eastAsia" w:ascii="宋体" w:hAnsi="宋体" w:eastAsia="宋体" w:cs="宋体"/>
          <w:color w:val="000000" w:themeColor="text1"/>
          <w:kern w:val="0"/>
          <w:sz w:val="24"/>
          <w:szCs w:val="24"/>
          <w:highlight w:val="none"/>
          <w:lang w:eastAsia="zh-CN"/>
          <w14:textFill>
            <w14:solidFill>
              <w14:schemeClr w14:val="tx1"/>
            </w14:solidFill>
          </w14:textFill>
        </w:rPr>
        <w:t>分以下的，</w:t>
      </w:r>
      <w:r>
        <w:rPr>
          <w:rFonts w:hint="eastAsia" w:ascii="宋体" w:hAnsi="宋体" w:eastAsia="宋体" w:cs="宋体"/>
          <w:color w:val="000000" w:themeColor="text1"/>
          <w:kern w:val="0"/>
          <w:sz w:val="24"/>
          <w:szCs w:val="24"/>
          <w:highlight w:val="none"/>
          <w14:textFill>
            <w14:solidFill>
              <w14:schemeClr w14:val="tx1"/>
            </w14:solidFill>
          </w14:textFill>
        </w:rPr>
        <w:t>建设单位认</w:t>
      </w:r>
      <w:r>
        <w:rPr>
          <w:rFonts w:hint="eastAsia" w:ascii="宋体" w:hAnsi="宋体" w:eastAsia="宋体" w:cs="宋体"/>
          <w:kern w:val="0"/>
          <w:sz w:val="24"/>
          <w:szCs w:val="24"/>
        </w:rPr>
        <w:t>为施工单位达不到本合同或招标文件规定的养护标准，建设单位有权单方面通知施工单位解除本合同，因解除本合同给建设单位造成的经济损失由施工单位承担。</w:t>
      </w:r>
    </w:p>
    <w:bookmarkEnd w:id="998"/>
    <w:bookmarkEnd w:id="999"/>
    <w:p w14:paraId="3634ABFE">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b、未按招标文件的要求（如管养期间固定经营场所、养护机械等）组织养护工作的。</w:t>
      </w:r>
    </w:p>
    <w:p w14:paraId="6C9844FC">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c、管养合同进行转包的。</w:t>
      </w:r>
    </w:p>
    <w:p w14:paraId="5DB14BBB">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d、由于政策调整或管理权属发生变化，甲方有权解除合同。</w:t>
      </w:r>
    </w:p>
    <w:p w14:paraId="776C95A5">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六、违约责任</w:t>
      </w:r>
    </w:p>
    <w:p w14:paraId="080A2D5A">
      <w:pPr>
        <w:widowControl/>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1.按《中华人民共和国民法典》有关规定执行或双方协商解决。</w:t>
      </w:r>
    </w:p>
    <w:p w14:paraId="5F1B09C0">
      <w:pPr>
        <w:widowControl/>
        <w:tabs>
          <w:tab w:val="left" w:pos="900"/>
          <w:tab w:val="left" w:pos="1080"/>
        </w:tabs>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七、合同份数</w:t>
      </w:r>
    </w:p>
    <w:p w14:paraId="5472EA60">
      <w:pPr>
        <w:pStyle w:val="24"/>
        <w:spacing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color w:val="auto"/>
          <w:sz w:val="24"/>
          <w:szCs w:val="24"/>
          <w:highlight w:val="none"/>
          <w:lang w:val="en-US" w:eastAsia="zh-CN"/>
        </w:rPr>
        <w:t>本合同一式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份，甲方执</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份，乙方执</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份。</w:t>
      </w:r>
      <w:r>
        <w:rPr>
          <w:rFonts w:hint="eastAsia" w:ascii="宋体" w:hAnsi="宋体" w:eastAsia="宋体" w:cs="宋体"/>
          <w:kern w:val="0"/>
          <w:sz w:val="24"/>
          <w:szCs w:val="24"/>
        </w:rPr>
        <w:t>每份均具有同等法律效力。</w:t>
      </w:r>
    </w:p>
    <w:p w14:paraId="79A652F0">
      <w:pPr>
        <w:pStyle w:val="24"/>
        <w:spacing w:line="360" w:lineRule="auto"/>
        <w:rPr>
          <w:rFonts w:hint="eastAsia" w:ascii="宋体" w:hAnsi="宋体" w:eastAsia="宋体" w:cs="宋体"/>
          <w:b/>
          <w:color w:val="auto"/>
          <w:sz w:val="24"/>
          <w:szCs w:val="24"/>
          <w:highlight w:val="none"/>
          <w:lang w:val="en-US" w:eastAsia="zh-CN"/>
        </w:rPr>
      </w:pPr>
    </w:p>
    <w:p w14:paraId="22840261">
      <w:pPr>
        <w:pStyle w:val="24"/>
        <w:spacing w:line="360" w:lineRule="auto"/>
        <w:rPr>
          <w:rFonts w:hint="eastAsia" w:ascii="宋体" w:hAnsi="宋体" w:eastAsia="宋体" w:cs="宋体"/>
          <w:b/>
          <w:color w:val="auto"/>
          <w:sz w:val="24"/>
          <w:szCs w:val="24"/>
          <w:highlight w:val="none"/>
          <w:lang w:val="en-US" w:eastAsia="zh-CN"/>
        </w:rPr>
      </w:pPr>
    </w:p>
    <w:p w14:paraId="710811B7">
      <w:pPr>
        <w:pStyle w:val="24"/>
        <w:spacing w:line="360" w:lineRule="auto"/>
        <w:rPr>
          <w:rFonts w:hint="eastAsia" w:ascii="宋体" w:hAnsi="宋体" w:eastAsia="宋体" w:cs="宋体"/>
          <w:b/>
          <w:color w:val="auto"/>
          <w:sz w:val="24"/>
          <w:szCs w:val="24"/>
          <w:highlight w:val="none"/>
          <w:lang w:val="en-US" w:eastAsia="zh-CN"/>
        </w:rPr>
      </w:pPr>
    </w:p>
    <w:p w14:paraId="21B62C65">
      <w:pPr>
        <w:pStyle w:val="24"/>
        <w:spacing w:line="360" w:lineRule="auto"/>
        <w:rPr>
          <w:rFonts w:hint="eastAsia" w:ascii="宋体" w:hAnsi="宋体" w:eastAsia="宋体" w:cs="宋体"/>
          <w:b/>
          <w:color w:val="auto"/>
          <w:sz w:val="24"/>
          <w:szCs w:val="24"/>
          <w:highlight w:val="none"/>
          <w:lang w:val="en-US" w:eastAsia="zh-CN"/>
        </w:rPr>
      </w:pPr>
    </w:p>
    <w:p w14:paraId="38BA0652">
      <w:pPr>
        <w:pStyle w:val="24"/>
        <w:spacing w:line="360" w:lineRule="auto"/>
        <w:rPr>
          <w:rFonts w:hint="eastAsia" w:ascii="宋体" w:hAnsi="宋体" w:eastAsia="宋体" w:cs="宋体"/>
          <w:b/>
          <w:color w:val="auto"/>
          <w:sz w:val="24"/>
          <w:szCs w:val="24"/>
          <w:highlight w:val="none"/>
          <w:lang w:val="en-US" w:eastAsia="zh-CN"/>
        </w:rPr>
      </w:pPr>
    </w:p>
    <w:p w14:paraId="698083EA">
      <w:pPr>
        <w:pStyle w:val="24"/>
        <w:spacing w:line="360" w:lineRule="auto"/>
        <w:rPr>
          <w:rFonts w:hint="eastAsia" w:ascii="宋体" w:hAnsi="宋体" w:eastAsia="宋体" w:cs="宋体"/>
          <w:b/>
          <w:color w:val="auto"/>
          <w:sz w:val="24"/>
          <w:szCs w:val="24"/>
          <w:highlight w:val="none"/>
          <w:lang w:val="en-US" w:eastAsia="zh-CN"/>
        </w:rPr>
      </w:pPr>
    </w:p>
    <w:p w14:paraId="6C5EF5BE">
      <w:pPr>
        <w:pStyle w:val="24"/>
        <w:spacing w:line="360" w:lineRule="auto"/>
        <w:rPr>
          <w:rFonts w:hint="eastAsia" w:ascii="宋体" w:hAnsi="宋体" w:eastAsia="宋体" w:cs="宋体"/>
          <w:b/>
          <w:color w:val="auto"/>
          <w:sz w:val="24"/>
          <w:szCs w:val="24"/>
          <w:highlight w:val="none"/>
          <w:lang w:val="en-US" w:eastAsia="zh-CN"/>
        </w:rPr>
      </w:pPr>
    </w:p>
    <w:p w14:paraId="2A35F16F">
      <w:pPr>
        <w:pStyle w:val="24"/>
        <w:spacing w:line="360" w:lineRule="auto"/>
        <w:rPr>
          <w:rFonts w:hint="eastAsia" w:ascii="宋体" w:hAnsi="宋体" w:eastAsia="宋体" w:cs="宋体"/>
          <w:b/>
          <w:color w:val="auto"/>
          <w:sz w:val="24"/>
          <w:szCs w:val="24"/>
          <w:highlight w:val="none"/>
          <w:lang w:val="en-US" w:eastAsia="zh-CN"/>
        </w:rPr>
      </w:pPr>
    </w:p>
    <w:p w14:paraId="4B5E6033">
      <w:pPr>
        <w:pStyle w:val="24"/>
        <w:spacing w:line="360" w:lineRule="auto"/>
        <w:rPr>
          <w:rFonts w:hint="eastAsia" w:ascii="宋体" w:hAnsi="宋体" w:eastAsia="宋体" w:cs="宋体"/>
          <w:b/>
          <w:color w:val="auto"/>
          <w:sz w:val="24"/>
          <w:szCs w:val="24"/>
          <w:highlight w:val="none"/>
          <w:lang w:val="en-US" w:eastAsia="zh-CN"/>
        </w:rPr>
      </w:pPr>
    </w:p>
    <w:p w14:paraId="48ED6CFA">
      <w:pPr>
        <w:pStyle w:val="6"/>
        <w:rPr>
          <w:rFonts w:hint="eastAsia" w:ascii="宋体" w:hAnsi="宋体" w:eastAsia="宋体" w:cs="宋体"/>
          <w:color w:val="auto"/>
          <w:sz w:val="24"/>
          <w:szCs w:val="24"/>
          <w:highlight w:val="none"/>
        </w:rPr>
      </w:pPr>
    </w:p>
    <w:p w14:paraId="5221596F">
      <w:pPr>
        <w:rPr>
          <w:rFonts w:hint="eastAsia" w:ascii="宋体" w:hAnsi="宋体" w:eastAsia="宋体" w:cs="宋体"/>
          <w:color w:val="auto"/>
          <w:sz w:val="24"/>
          <w:szCs w:val="24"/>
          <w:highlight w:val="none"/>
        </w:rPr>
      </w:pPr>
    </w:p>
    <w:p w14:paraId="5C45BFCD">
      <w:pPr>
        <w:spacing w:line="360" w:lineRule="auto"/>
        <w:contextualSpacing/>
        <w:jc w:val="both"/>
        <w:outlineLvl w:val="0"/>
        <w:rPr>
          <w:b/>
          <w:color w:val="auto"/>
          <w:sz w:val="36"/>
          <w:szCs w:val="36"/>
          <w:highlight w:val="none"/>
        </w:rPr>
      </w:pPr>
    </w:p>
    <w:p w14:paraId="33E5EB8D">
      <w:pPr>
        <w:spacing w:line="360" w:lineRule="auto"/>
        <w:contextualSpacing/>
        <w:jc w:val="center"/>
        <w:outlineLvl w:val="0"/>
        <w:rPr>
          <w:b/>
          <w:color w:val="auto"/>
          <w:sz w:val="36"/>
          <w:szCs w:val="36"/>
          <w:highlight w:val="none"/>
        </w:rPr>
      </w:pPr>
      <w:r>
        <w:rPr>
          <w:b/>
          <w:color w:val="auto"/>
          <w:sz w:val="36"/>
          <w:szCs w:val="36"/>
          <w:highlight w:val="none"/>
        </w:rPr>
        <w:t>第七章   投标文件格式</w:t>
      </w:r>
      <w:bookmarkEnd w:id="815"/>
      <w:bookmarkEnd w:id="816"/>
    </w:p>
    <w:p w14:paraId="04F7B549">
      <w:pPr>
        <w:tabs>
          <w:tab w:val="left" w:pos="900"/>
          <w:tab w:val="left" w:pos="1980"/>
        </w:tabs>
        <w:snapToGrid w:val="0"/>
        <w:spacing w:line="360" w:lineRule="auto"/>
        <w:ind w:left="142"/>
        <w:rPr>
          <w:b/>
          <w:color w:val="auto"/>
          <w:sz w:val="24"/>
          <w:highlight w:val="none"/>
        </w:rPr>
      </w:pPr>
    </w:p>
    <w:p w14:paraId="15E7B11D">
      <w:pPr>
        <w:tabs>
          <w:tab w:val="left" w:pos="900"/>
          <w:tab w:val="left" w:pos="1980"/>
        </w:tabs>
        <w:snapToGrid w:val="0"/>
        <w:spacing w:line="360" w:lineRule="auto"/>
        <w:ind w:left="142"/>
        <w:rPr>
          <w:b/>
          <w:color w:val="auto"/>
          <w:sz w:val="24"/>
          <w:highlight w:val="none"/>
        </w:rPr>
      </w:pPr>
    </w:p>
    <w:p w14:paraId="09F0DAA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47D0CAD7">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FFCC01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4BE892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B923E89">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27F4A472">
      <w:pPr>
        <w:widowControl/>
        <w:jc w:val="left"/>
        <w:rPr>
          <w:b/>
          <w:color w:val="auto"/>
          <w:kern w:val="0"/>
          <w:sz w:val="30"/>
          <w:szCs w:val="20"/>
          <w:highlight w:val="none"/>
        </w:rPr>
      </w:pPr>
      <w:r>
        <w:rPr>
          <w:color w:val="auto"/>
          <w:sz w:val="24"/>
          <w:highlight w:val="none"/>
        </w:rPr>
        <w:br w:type="page"/>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b/>
          <w:color w:val="auto"/>
          <w:spacing w:val="20"/>
          <w:sz w:val="24"/>
          <w:highlight w:val="none"/>
        </w:rPr>
        <w:t>一、资格证明文件格式</w:t>
      </w:r>
    </w:p>
    <w:p w14:paraId="7AAA5CFA">
      <w:pPr>
        <w:rPr>
          <w:b/>
          <w:color w:val="auto"/>
          <w:spacing w:val="20"/>
          <w:szCs w:val="21"/>
          <w:highlight w:val="none"/>
        </w:rPr>
      </w:pPr>
    </w:p>
    <w:p w14:paraId="6A446CD6">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5E61B919">
      <w:pPr>
        <w:jc w:val="center"/>
        <w:rPr>
          <w:color w:val="auto"/>
          <w:szCs w:val="21"/>
          <w:highlight w:val="none"/>
        </w:rPr>
      </w:pPr>
    </w:p>
    <w:p w14:paraId="5EBD9864">
      <w:pPr>
        <w:jc w:val="center"/>
        <w:rPr>
          <w:b/>
          <w:color w:val="auto"/>
          <w:spacing w:val="60"/>
          <w:sz w:val="84"/>
          <w:szCs w:val="84"/>
          <w:highlight w:val="none"/>
        </w:rPr>
      </w:pPr>
      <w:r>
        <w:rPr>
          <w:b/>
          <w:color w:val="auto"/>
          <w:spacing w:val="60"/>
          <w:sz w:val="84"/>
          <w:szCs w:val="84"/>
          <w:highlight w:val="none"/>
        </w:rPr>
        <w:t>投 标 文 件</w:t>
      </w:r>
    </w:p>
    <w:p w14:paraId="751840A8">
      <w:pPr>
        <w:ind w:firstLine="963" w:firstLineChars="150"/>
        <w:rPr>
          <w:b/>
          <w:color w:val="auto"/>
          <w:spacing w:val="60"/>
          <w:sz w:val="52"/>
          <w:szCs w:val="52"/>
          <w:highlight w:val="none"/>
        </w:rPr>
      </w:pPr>
    </w:p>
    <w:p w14:paraId="7D7FA5A8">
      <w:pPr>
        <w:ind w:firstLine="963" w:firstLineChars="150"/>
        <w:rPr>
          <w:b/>
          <w:color w:val="auto"/>
          <w:spacing w:val="60"/>
          <w:sz w:val="52"/>
          <w:szCs w:val="52"/>
          <w:highlight w:val="none"/>
        </w:rPr>
      </w:pPr>
    </w:p>
    <w:p w14:paraId="748EE160">
      <w:pPr>
        <w:ind w:firstLine="542" w:firstLineChars="150"/>
        <w:rPr>
          <w:b/>
          <w:color w:val="auto"/>
          <w:spacing w:val="20"/>
          <w:sz w:val="32"/>
          <w:szCs w:val="32"/>
          <w:highlight w:val="none"/>
        </w:rPr>
      </w:pPr>
    </w:p>
    <w:p w14:paraId="6BDB4536">
      <w:pPr>
        <w:ind w:firstLine="542" w:firstLineChars="150"/>
        <w:rPr>
          <w:b/>
          <w:color w:val="auto"/>
          <w:spacing w:val="20"/>
          <w:sz w:val="32"/>
          <w:szCs w:val="32"/>
          <w:highlight w:val="none"/>
        </w:rPr>
      </w:pPr>
    </w:p>
    <w:p w14:paraId="1873DF29">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683E680">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2CFF21D">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85D9D71">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1586DDF3">
      <w:pPr>
        <w:jc w:val="center"/>
        <w:rPr>
          <w:b/>
          <w:color w:val="auto"/>
          <w:sz w:val="32"/>
          <w:szCs w:val="32"/>
          <w:highlight w:val="none"/>
        </w:rPr>
      </w:pPr>
    </w:p>
    <w:p w14:paraId="6959682E">
      <w:pPr>
        <w:jc w:val="center"/>
        <w:rPr>
          <w:rFonts w:ascii="宋体" w:hAnsi="宋体"/>
          <w:b/>
          <w:color w:val="auto"/>
          <w:sz w:val="32"/>
          <w:szCs w:val="32"/>
          <w:highlight w:val="none"/>
        </w:rPr>
      </w:pPr>
      <w:r>
        <w:rPr>
          <w:b/>
          <w:color w:val="auto"/>
          <w:spacing w:val="20"/>
          <w:sz w:val="32"/>
          <w:szCs w:val="32"/>
          <w:highlight w:val="none"/>
        </w:rPr>
        <w:br w:type="page"/>
      </w:r>
      <w:r>
        <w:rPr>
          <w:rFonts w:hint="eastAsia" w:ascii="宋体" w:hAnsi="宋体"/>
          <w:b/>
          <w:color w:val="auto"/>
          <w:sz w:val="32"/>
          <w:szCs w:val="32"/>
          <w:highlight w:val="none"/>
        </w:rPr>
        <w:t>一、资格证明文件</w:t>
      </w:r>
    </w:p>
    <w:p w14:paraId="48529D19">
      <w:pPr>
        <w:rPr>
          <w:b/>
          <w:color w:val="auto"/>
          <w:highlight w:val="none"/>
        </w:rPr>
      </w:pPr>
    </w:p>
    <w:p w14:paraId="3EF6BA1E">
      <w:pPr>
        <w:spacing w:line="360" w:lineRule="auto"/>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02504B48">
      <w:pPr>
        <w:rPr>
          <w:rFonts w:hint="eastAsia" w:ascii="Times New Roman" w:hAnsi="Times New Roman" w:eastAsia="宋体" w:cs="Times New Roman"/>
          <w:b/>
          <w:color w:val="auto"/>
          <w:highlight w:val="none"/>
        </w:rPr>
      </w:pPr>
      <w:r>
        <w:rPr>
          <w:rFonts w:ascii="Times New Roman" w:hAnsi="Times New Roman" w:eastAsia="宋体" w:cs="Times New Roman"/>
          <w:b/>
          <w:color w:val="auto"/>
          <w:highlight w:val="none"/>
        </w:rPr>
        <w:t>1-</w:t>
      </w:r>
      <w:r>
        <w:rPr>
          <w:rFonts w:hint="eastAsia" w:ascii="Times New Roman" w:hAnsi="Times New Roman" w:eastAsia="宋体" w:cs="Times New Roman"/>
          <w:b/>
          <w:color w:val="auto"/>
          <w:highlight w:val="none"/>
        </w:rPr>
        <w:t>1供应商营业执照</w:t>
      </w:r>
    </w:p>
    <w:p w14:paraId="4D2370B5">
      <w:pPr>
        <w:rPr>
          <w:b/>
          <w:bCs/>
          <w:color w:val="auto"/>
          <w:highlight w:val="none"/>
        </w:rPr>
      </w:pPr>
      <w:r>
        <w:rPr>
          <w:b/>
          <w:color w:val="auto"/>
          <w:highlight w:val="none"/>
        </w:rPr>
        <w:t>1-</w:t>
      </w:r>
      <w:r>
        <w:rPr>
          <w:rFonts w:hint="eastAsia"/>
          <w:b/>
          <w:color w:val="auto"/>
          <w:highlight w:val="none"/>
          <w:lang w:val="en-US" w:eastAsia="zh-CN"/>
        </w:rPr>
        <w:t>2</w:t>
      </w:r>
      <w:r>
        <w:rPr>
          <w:b/>
          <w:color w:val="auto"/>
          <w:highlight w:val="none"/>
        </w:rPr>
        <w:t xml:space="preserve"> 投标人资格声明</w:t>
      </w:r>
      <w:r>
        <w:rPr>
          <w:rFonts w:hint="eastAsia"/>
          <w:b/>
          <w:color w:val="auto"/>
          <w:highlight w:val="none"/>
        </w:rPr>
        <w:t xml:space="preserve">函 </w:t>
      </w:r>
    </w:p>
    <w:p w14:paraId="27658819">
      <w:pPr>
        <w:widowControl/>
        <w:adjustRightInd w:val="0"/>
        <w:snapToGrid w:val="0"/>
        <w:spacing w:before="120" w:beforeLines="50" w:line="360" w:lineRule="auto"/>
        <w:jc w:val="center"/>
        <w:rPr>
          <w:rFonts w:ascii="宋体" w:hAnsi="宋体" w:cs="宋体"/>
          <w:b/>
          <w:color w:val="auto"/>
          <w:sz w:val="28"/>
          <w:szCs w:val="28"/>
          <w:highlight w:val="none"/>
        </w:rPr>
      </w:pPr>
    </w:p>
    <w:p w14:paraId="102607FC">
      <w:pPr>
        <w:widowControl/>
        <w:adjustRightInd w:val="0"/>
        <w:snapToGrid w:val="0"/>
        <w:spacing w:before="120"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5DBDC7CB">
      <w:pPr>
        <w:pStyle w:val="4"/>
        <w:spacing w:line="460" w:lineRule="exact"/>
        <w:ind w:firstLine="480"/>
        <w:rPr>
          <w:color w:val="auto"/>
          <w:highlight w:val="none"/>
        </w:rPr>
      </w:pPr>
    </w:p>
    <w:p w14:paraId="1B839D5D">
      <w:pPr>
        <w:pStyle w:val="4"/>
        <w:spacing w:line="460" w:lineRule="exact"/>
        <w:ind w:firstLine="480"/>
        <w:rPr>
          <w:rFonts w:hint="eastAsia" w:eastAsia="宋体"/>
          <w:color w:val="auto"/>
          <w:highlight w:val="none"/>
          <w:lang w:eastAsia="zh-CN"/>
        </w:rPr>
      </w:pPr>
      <w:r>
        <w:rPr>
          <w:rFonts w:hint="eastAsia"/>
          <w:color w:val="auto"/>
          <w:highlight w:val="none"/>
        </w:rPr>
        <w:t>致：</w:t>
      </w:r>
      <w:r>
        <w:rPr>
          <w:rFonts w:hint="eastAsia"/>
          <w:color w:val="auto"/>
          <w:highlight w:val="none"/>
          <w:lang w:eastAsia="zh-CN"/>
        </w:rPr>
        <w:t>江苏建安造价师事务所有限公司</w:t>
      </w:r>
    </w:p>
    <w:p w14:paraId="1AD75FEC">
      <w:pPr>
        <w:pStyle w:val="4"/>
        <w:spacing w:line="460" w:lineRule="exact"/>
        <w:ind w:firstLine="960" w:firstLineChars="400"/>
        <w:rPr>
          <w:color w:val="auto"/>
          <w:highlight w:val="none"/>
          <w:u w:val="single"/>
        </w:rPr>
      </w:pPr>
      <w:r>
        <w:rPr>
          <w:rFonts w:hint="eastAsia"/>
          <w:color w:val="auto"/>
          <w:highlight w:val="none"/>
          <w:u w:val="single"/>
        </w:rPr>
        <w:t>（采购人名称）</w:t>
      </w:r>
    </w:p>
    <w:p w14:paraId="2EA8766E">
      <w:pPr>
        <w:pStyle w:val="4"/>
        <w:spacing w:line="460" w:lineRule="exact"/>
        <w:ind w:firstLine="480"/>
        <w:rPr>
          <w:color w:val="auto"/>
          <w:highlight w:val="none"/>
        </w:rPr>
      </w:pPr>
    </w:p>
    <w:p w14:paraId="00C65AF4">
      <w:pPr>
        <w:pStyle w:val="4"/>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725B7AD2">
      <w:pPr>
        <w:pStyle w:val="4"/>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71C87178">
      <w:pPr>
        <w:pStyle w:val="4"/>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1564B7D9">
      <w:pPr>
        <w:pStyle w:val="4"/>
        <w:spacing w:line="460" w:lineRule="exact"/>
        <w:ind w:firstLine="480"/>
        <w:rPr>
          <w:color w:val="auto"/>
          <w:highlight w:val="none"/>
        </w:rPr>
      </w:pPr>
      <w:r>
        <w:rPr>
          <w:rFonts w:hint="eastAsia"/>
          <w:color w:val="auto"/>
          <w:highlight w:val="none"/>
        </w:rPr>
        <w:t>三、我单位依法进行纳税和社会保险申报并实际履行了义务。</w:t>
      </w:r>
    </w:p>
    <w:p w14:paraId="5C55DB26">
      <w:pPr>
        <w:pStyle w:val="4"/>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5D59E8AC">
      <w:pPr>
        <w:pStyle w:val="4"/>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04D511AA">
      <w:pPr>
        <w:pStyle w:val="4"/>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68212A50">
      <w:pPr>
        <w:pStyle w:val="4"/>
        <w:spacing w:line="460" w:lineRule="exact"/>
        <w:ind w:firstLine="480"/>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w:t>
      </w:r>
      <w:r>
        <w:rPr>
          <w:rFonts w:hint="eastAsia"/>
          <w:color w:val="auto"/>
          <w:highlight w:val="none"/>
          <w:lang w:val="en-US" w:eastAsia="zh-CN"/>
        </w:rPr>
        <w:t>国务院</w:t>
      </w:r>
      <w:r>
        <w:rPr>
          <w:rFonts w:hint="eastAsia"/>
          <w:color w:val="auto"/>
          <w:highlight w:val="none"/>
        </w:rPr>
        <w:t>有关行政主管部门对“较大数额罚款”标准另有规定的，从其规定。（供应商如在参加政府采购活动前3年内因违法经营被禁止在一定期限内参加政府采购活动，期限届满的，可以参加政府采购活动。）</w:t>
      </w:r>
    </w:p>
    <w:p w14:paraId="68F40EAF">
      <w:pPr>
        <w:pStyle w:val="4"/>
        <w:spacing w:line="460" w:lineRule="exact"/>
        <w:ind w:firstLine="480"/>
        <w:rPr>
          <w:color w:val="auto"/>
          <w:highlight w:val="none"/>
        </w:rPr>
      </w:pPr>
      <w:r>
        <w:rPr>
          <w:rFonts w:hint="eastAsia"/>
          <w:color w:val="auto"/>
          <w:highlight w:val="none"/>
        </w:rPr>
        <w:t>六、我单位具备法律、行政法规规定的其他条件。</w:t>
      </w:r>
    </w:p>
    <w:p w14:paraId="46D45B47">
      <w:pPr>
        <w:pStyle w:val="4"/>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04259AFE">
      <w:pPr>
        <w:pStyle w:val="4"/>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5FF14DC5">
      <w:pPr>
        <w:pStyle w:val="4"/>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0BF5A14">
      <w:pPr>
        <w:pStyle w:val="4"/>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7575DE86">
      <w:pPr>
        <w:pStyle w:val="4"/>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55FCA8B3">
      <w:pPr>
        <w:pStyle w:val="4"/>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5F4FC6C6">
      <w:pPr>
        <w:pStyle w:val="4"/>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45F2137B">
      <w:pPr>
        <w:pStyle w:val="4"/>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78BCC2A">
      <w:pPr>
        <w:pStyle w:val="4"/>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3941EB02">
      <w:pPr>
        <w:pStyle w:val="4"/>
        <w:spacing w:line="460" w:lineRule="exact"/>
        <w:ind w:firstLine="480"/>
        <w:rPr>
          <w:color w:val="auto"/>
          <w:highlight w:val="none"/>
        </w:rPr>
      </w:pPr>
    </w:p>
    <w:p w14:paraId="38F69CC5">
      <w:pPr>
        <w:pStyle w:val="4"/>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73592013">
      <w:pPr>
        <w:pStyle w:val="4"/>
        <w:spacing w:line="460" w:lineRule="exact"/>
        <w:ind w:firstLine="480"/>
        <w:rPr>
          <w:color w:val="auto"/>
          <w:highlight w:val="none"/>
        </w:rPr>
      </w:pPr>
    </w:p>
    <w:p w14:paraId="716EE503">
      <w:pPr>
        <w:pStyle w:val="4"/>
        <w:spacing w:line="460" w:lineRule="exact"/>
        <w:ind w:firstLine="480"/>
        <w:rPr>
          <w:color w:val="auto"/>
          <w:highlight w:val="none"/>
        </w:rPr>
      </w:pPr>
    </w:p>
    <w:p w14:paraId="65C2E09D">
      <w:pPr>
        <w:pStyle w:val="4"/>
        <w:spacing w:line="460" w:lineRule="exact"/>
        <w:ind w:firstLine="480"/>
        <w:rPr>
          <w:color w:val="auto"/>
          <w:highlight w:val="none"/>
        </w:rPr>
      </w:pPr>
      <w:r>
        <w:rPr>
          <w:rFonts w:hint="eastAsia"/>
          <w:color w:val="auto"/>
          <w:highlight w:val="none"/>
        </w:rPr>
        <w:t>                                            投标人：（加盖公章）</w:t>
      </w:r>
    </w:p>
    <w:p w14:paraId="2A13F222">
      <w:pPr>
        <w:pStyle w:val="4"/>
        <w:spacing w:line="460" w:lineRule="exact"/>
        <w:ind w:firstLine="480"/>
        <w:rPr>
          <w:color w:val="auto"/>
          <w:highlight w:val="none"/>
        </w:rPr>
      </w:pPr>
      <w:r>
        <w:rPr>
          <w:rFonts w:hint="eastAsia"/>
          <w:color w:val="auto"/>
          <w:highlight w:val="none"/>
        </w:rPr>
        <w:t>                                           法定代表人（或单位负责人）签字或盖章：</w:t>
      </w:r>
    </w:p>
    <w:p w14:paraId="067CA634">
      <w:pPr>
        <w:pStyle w:val="4"/>
        <w:spacing w:line="460" w:lineRule="exact"/>
        <w:ind w:firstLine="4920" w:firstLineChars="2050"/>
        <w:rPr>
          <w:color w:val="auto"/>
          <w:highlight w:val="none"/>
        </w:rPr>
      </w:pPr>
      <w:r>
        <w:rPr>
          <w:rFonts w:hint="eastAsia"/>
          <w:color w:val="auto"/>
          <w:highlight w:val="none"/>
        </w:rPr>
        <w:t>日期：    年    月    日</w:t>
      </w:r>
    </w:p>
    <w:p w14:paraId="3EAF7BDF">
      <w:pPr>
        <w:spacing w:line="360" w:lineRule="auto"/>
        <w:rPr>
          <w:color w:val="auto"/>
          <w:sz w:val="24"/>
          <w:highlight w:val="none"/>
        </w:rPr>
      </w:pPr>
    </w:p>
    <w:p w14:paraId="335BE5D5">
      <w:pPr>
        <w:spacing w:line="360" w:lineRule="auto"/>
        <w:rPr>
          <w:color w:val="auto"/>
          <w:sz w:val="24"/>
          <w:highlight w:val="none"/>
        </w:rPr>
      </w:pPr>
    </w:p>
    <w:p w14:paraId="4DA706B0">
      <w:pPr>
        <w:spacing w:line="360" w:lineRule="auto"/>
        <w:rPr>
          <w:color w:val="auto"/>
          <w:sz w:val="24"/>
          <w:highlight w:val="none"/>
        </w:rPr>
      </w:pPr>
    </w:p>
    <w:p w14:paraId="2C598C77">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投标人承诺不实的，依据《政府采购法》第七十七条“提供虚假材料谋取中标的”有关规定予以处理</w:t>
      </w:r>
      <w:r>
        <w:rPr>
          <w:color w:val="auto"/>
          <w:sz w:val="24"/>
          <w:highlight w:val="none"/>
        </w:rPr>
        <w:t>。</w:t>
      </w:r>
    </w:p>
    <w:p w14:paraId="1453CADC">
      <w:pPr>
        <w:tabs>
          <w:tab w:val="left" w:pos="5580"/>
        </w:tabs>
        <w:spacing w:line="360" w:lineRule="auto"/>
        <w:rPr>
          <w:color w:val="auto"/>
          <w:sz w:val="24"/>
          <w:highlight w:val="none"/>
        </w:rPr>
        <w:sectPr>
          <w:pgSz w:w="11907" w:h="16840"/>
          <w:pgMar w:top="1418" w:right="1134" w:bottom="1418" w:left="1701" w:header="851" w:footer="851" w:gutter="0"/>
          <w:pgNumType w:fmt="decimal"/>
          <w:cols w:space="720" w:num="1"/>
          <w:docGrid w:linePitch="462" w:charSpace="0"/>
        </w:sectPr>
      </w:pPr>
    </w:p>
    <w:p w14:paraId="4C964B7E">
      <w:pPr>
        <w:spacing w:line="360" w:lineRule="auto"/>
        <w:outlineLvl w:val="2"/>
        <w:rPr>
          <w:rFonts w:hint="default" w:eastAsia="宋体"/>
          <w:color w:val="auto"/>
          <w:sz w:val="24"/>
          <w:szCs w:val="20"/>
          <w:highlight w:val="none"/>
          <w:lang w:val="en-US" w:eastAsia="zh-CN"/>
        </w:rPr>
      </w:pPr>
      <w:r>
        <w:rPr>
          <w:rFonts w:hint="eastAsia"/>
          <w:color w:val="auto"/>
          <w:sz w:val="24"/>
          <w:szCs w:val="20"/>
          <w:highlight w:val="none"/>
          <w:lang w:val="en-US" w:eastAsia="zh-CN"/>
        </w:rPr>
        <w:t>2 落实政府采购政策需满足的资格要求</w:t>
      </w:r>
    </w:p>
    <w:p w14:paraId="3183CB9A">
      <w:pPr>
        <w:spacing w:line="360" w:lineRule="auto"/>
        <w:outlineLvl w:val="2"/>
        <w:rPr>
          <w:color w:val="auto"/>
          <w:sz w:val="24"/>
          <w:szCs w:val="20"/>
          <w:highlight w:val="none"/>
        </w:rPr>
      </w:pPr>
      <w:r>
        <w:rPr>
          <w:rFonts w:hint="eastAsia"/>
          <w:color w:val="auto"/>
          <w:sz w:val="24"/>
          <w:szCs w:val="20"/>
          <w:highlight w:val="none"/>
        </w:rPr>
        <w:t>2</w:t>
      </w:r>
      <w:r>
        <w:rPr>
          <w:rFonts w:hint="eastAsia"/>
          <w:color w:val="auto"/>
          <w:sz w:val="24"/>
          <w:szCs w:val="20"/>
          <w:highlight w:val="none"/>
          <w:lang w:val="en-US" w:eastAsia="zh-CN"/>
        </w:rPr>
        <w:t>-1</w:t>
      </w:r>
      <w:r>
        <w:rPr>
          <w:color w:val="auto"/>
          <w:sz w:val="24"/>
          <w:szCs w:val="20"/>
          <w:highlight w:val="none"/>
        </w:rPr>
        <w:t xml:space="preserve">  中小企业声明函</w:t>
      </w:r>
    </w:p>
    <w:p w14:paraId="7AE50A22">
      <w:pPr>
        <w:tabs>
          <w:tab w:val="left" w:pos="5580"/>
        </w:tabs>
        <w:spacing w:line="360" w:lineRule="auto"/>
        <w:rPr>
          <w:color w:val="auto"/>
          <w:sz w:val="24"/>
          <w:highlight w:val="none"/>
        </w:rPr>
      </w:pPr>
      <w:r>
        <w:rPr>
          <w:rFonts w:hint="eastAsia"/>
          <w:color w:val="auto"/>
          <w:sz w:val="24"/>
          <w:highlight w:val="none"/>
        </w:rPr>
        <w:t>说明：</w:t>
      </w:r>
    </w:p>
    <w:p w14:paraId="2C463953">
      <w:pPr>
        <w:tabs>
          <w:tab w:val="left" w:pos="5580"/>
        </w:tabs>
        <w:spacing w:line="360" w:lineRule="auto"/>
        <w:rPr>
          <w:color w:val="auto"/>
          <w:sz w:val="24"/>
          <w:highlight w:val="none"/>
        </w:rPr>
      </w:pPr>
      <w:r>
        <w:rPr>
          <w:rFonts w:hint="eastAsia"/>
          <w:color w:val="auto"/>
          <w:sz w:val="24"/>
          <w:highlight w:val="none"/>
          <w:lang w:eastAsia="zh-CN"/>
        </w:rPr>
        <w:t>（</w:t>
      </w:r>
      <w:r>
        <w:rPr>
          <w:rFonts w:hint="eastAsia"/>
          <w:color w:val="auto"/>
          <w:sz w:val="24"/>
          <w:highlight w:val="none"/>
        </w:rPr>
        <w:t>1）本项目</w:t>
      </w:r>
      <w:r>
        <w:rPr>
          <w:rFonts w:hint="eastAsia"/>
          <w:color w:val="auto"/>
          <w:sz w:val="24"/>
          <w:highlight w:val="none"/>
          <w:lang w:val="en-US" w:eastAsia="zh-CN"/>
        </w:rPr>
        <w:t>专门面向中小企业采购，须提供《中小企业声明函》（实质性格式）</w:t>
      </w:r>
      <w:r>
        <w:rPr>
          <w:rFonts w:hint="eastAsia"/>
          <w:color w:val="auto"/>
          <w:sz w:val="24"/>
          <w:highlight w:val="none"/>
        </w:rPr>
        <w:t>。</w:t>
      </w:r>
    </w:p>
    <w:p w14:paraId="06B9E6AC">
      <w:pPr>
        <w:tabs>
          <w:tab w:val="left" w:pos="5580"/>
        </w:tabs>
        <w:spacing w:line="360" w:lineRule="auto"/>
        <w:rPr>
          <w:rFonts w:hint="default"/>
          <w:color w:val="auto"/>
          <w:sz w:val="24"/>
          <w:highlight w:val="none"/>
          <w:lang w:val="en-US" w:eastAsia="zh-CN"/>
        </w:rPr>
      </w:pPr>
      <w:r>
        <w:rPr>
          <w:rFonts w:hint="eastAsia"/>
          <w:color w:val="auto"/>
          <w:sz w:val="24"/>
          <w:highlight w:val="none"/>
          <w:lang w:eastAsia="zh-CN"/>
        </w:rPr>
        <w:t>（</w:t>
      </w:r>
      <w:r>
        <w:rPr>
          <w:rFonts w:hint="eastAsia"/>
          <w:color w:val="auto"/>
          <w:sz w:val="24"/>
          <w:highlight w:val="none"/>
        </w:rPr>
        <w:t>2）</w:t>
      </w:r>
      <w:r>
        <w:rPr>
          <w:rFonts w:hint="eastAsia"/>
          <w:color w:val="auto"/>
          <w:sz w:val="24"/>
          <w:highlight w:val="none"/>
          <w:lang w:val="en-US" w:eastAsia="zh-CN"/>
        </w:rPr>
        <w:t>中小企业参加政府采购活动，应当出具此格式文件。《中小企业声明函》由参加政府采购活动的供应商出具。</w:t>
      </w:r>
    </w:p>
    <w:p w14:paraId="5EFD9DDF">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rPr>
        <w:t>）中小企业认定标准以《关于印发中小企业划型标准规定的通知》（工信部联企业〔2011〕300号）文件规定为准。</w:t>
      </w:r>
    </w:p>
    <w:p w14:paraId="464B58A0">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rPr>
        <w:t>）温馨提示：为方便广大中小企业识别企业规模类型，工业和信息化部组织开发了中小企业规模类型自测小程序，在国务院客户端和工业和信息化部网站上均有链接，</w:t>
      </w:r>
      <w:r>
        <w:rPr>
          <w:rFonts w:hint="eastAsia"/>
          <w:color w:val="auto"/>
          <w:sz w:val="24"/>
          <w:highlight w:val="none"/>
          <w:lang w:val="en-US" w:eastAsia="zh-CN"/>
        </w:rPr>
        <w:t>投标人</w:t>
      </w:r>
      <w:r>
        <w:rPr>
          <w:rFonts w:hint="eastAsia"/>
          <w:color w:val="auto"/>
          <w:sz w:val="24"/>
          <w:highlight w:val="none"/>
        </w:rPr>
        <w:t>填写所属的行业和指标数据可自动生成企业规模类型测试结果。（工信部网址：https://baosong.miit.gov.cn/ScaleTest）</w:t>
      </w:r>
    </w:p>
    <w:p w14:paraId="5D5E8D02">
      <w:pPr>
        <w:widowControl/>
        <w:jc w:val="left"/>
        <w:rPr>
          <w:b/>
          <w:bCs/>
          <w:color w:val="auto"/>
          <w:sz w:val="24"/>
          <w:highlight w:val="none"/>
        </w:rPr>
      </w:pPr>
      <w:r>
        <w:rPr>
          <w:color w:val="auto"/>
          <w:sz w:val="24"/>
          <w:szCs w:val="20"/>
          <w:highlight w:val="none"/>
        </w:rPr>
        <w:br w:type="page"/>
      </w:r>
    </w:p>
    <w:p w14:paraId="1D5BFA7A">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w:t>
      </w:r>
    </w:p>
    <w:p w14:paraId="7B76EAD8">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江苏建安造价师事务所有限公司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30892BD3">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4584FE64">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DB960AA">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C3E13AB">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67D81E40">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5D407B76">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70F924E1">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7DF2163D">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C7F2903">
      <w:pPr>
        <w:adjustRightInd w:val="0"/>
        <w:snapToGrid w:val="0"/>
        <w:spacing w:line="570" w:lineRule="exact"/>
        <w:rPr>
          <w:rFonts w:hint="eastAsia" w:ascii="宋体" w:hAnsi="宋体" w:eastAsia="宋体" w:cs="宋体"/>
          <w:color w:val="auto"/>
          <w:sz w:val="24"/>
          <w:szCs w:val="24"/>
          <w:highlight w:val="none"/>
        </w:rPr>
      </w:pPr>
    </w:p>
    <w:p w14:paraId="66708F22">
      <w:pPr>
        <w:adjustRightInd w:val="0"/>
        <w:snapToGrid w:val="0"/>
        <w:spacing w:line="570" w:lineRule="exact"/>
        <w:rPr>
          <w:rFonts w:hint="eastAsia" w:ascii="宋体" w:hAnsi="宋体" w:eastAsia="宋体" w:cs="宋体"/>
          <w:b/>
          <w:color w:val="auto"/>
          <w:sz w:val="24"/>
          <w:szCs w:val="24"/>
          <w:highlight w:val="none"/>
        </w:rPr>
      </w:pPr>
    </w:p>
    <w:p w14:paraId="4B4BE6A3">
      <w:pPr>
        <w:adjustRightInd w:val="0"/>
        <w:snapToGrid w:val="0"/>
        <w:spacing w:line="570" w:lineRule="exact"/>
        <w:rPr>
          <w:rFonts w:hint="eastAsia" w:ascii="宋体" w:hAnsi="宋体" w:eastAsia="宋体" w:cs="宋体"/>
          <w:color w:val="auto"/>
          <w:sz w:val="24"/>
          <w:szCs w:val="24"/>
          <w:highlight w:val="none"/>
        </w:rPr>
      </w:pPr>
    </w:p>
    <w:p w14:paraId="3F3EE8AF">
      <w:pPr>
        <w:adjustRightInd w:val="0"/>
        <w:snapToGrid w:val="0"/>
        <w:spacing w:line="570" w:lineRule="exact"/>
        <w:rPr>
          <w:rFonts w:hint="eastAsia" w:ascii="宋体" w:hAnsi="宋体" w:eastAsia="宋体" w:cs="宋体"/>
          <w:color w:val="auto"/>
          <w:sz w:val="24"/>
          <w:szCs w:val="24"/>
          <w:highlight w:val="none"/>
        </w:rPr>
      </w:pPr>
    </w:p>
    <w:p w14:paraId="28855BE0">
      <w:pPr>
        <w:adjustRightInd w:val="0"/>
        <w:snapToGrid w:val="0"/>
        <w:spacing w:line="570" w:lineRule="exact"/>
        <w:rPr>
          <w:rFonts w:hint="eastAsia" w:ascii="宋体" w:hAnsi="宋体" w:eastAsia="宋体" w:cs="宋体"/>
          <w:color w:val="auto"/>
          <w:sz w:val="24"/>
          <w:szCs w:val="24"/>
          <w:highlight w:val="none"/>
        </w:rPr>
      </w:pPr>
    </w:p>
    <w:p w14:paraId="459AFBAE">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30E485E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79C9C0D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w:t>
      </w:r>
      <w:r>
        <w:rPr>
          <w:rFonts w:hint="eastAsia" w:ascii="宋体" w:hAnsi="宋体" w:eastAsia="宋体" w:cs="宋体"/>
          <w:color w:val="auto"/>
          <w:sz w:val="24"/>
          <w:szCs w:val="24"/>
          <w:highlight w:val="none"/>
          <w:lang w:eastAsia="zh-CN"/>
        </w:rPr>
        <w:t>CZJA</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G</w:t>
      </w:r>
      <w:r>
        <w:rPr>
          <w:rFonts w:hint="eastAsia" w:ascii="宋体" w:hAnsi="宋体" w:eastAsia="宋体" w:cs="宋体"/>
          <w:color w:val="auto"/>
          <w:sz w:val="24"/>
          <w:szCs w:val="24"/>
          <w:highlight w:val="none"/>
        </w:rPr>
        <w:t>20XX-XX。</w:t>
      </w:r>
    </w:p>
    <w:p w14:paraId="12DA916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14CD8347">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7A2C30FB">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如XX服务</w:t>
      </w:r>
      <w:r>
        <w:rPr>
          <w:rFonts w:hint="eastAsia" w:ascii="宋体" w:hAnsi="宋体" w:eastAsia="宋体" w:cs="宋体"/>
          <w:color w:val="auto"/>
          <w:sz w:val="24"/>
          <w:szCs w:val="24"/>
          <w:highlight w:val="none"/>
        </w:rPr>
        <w:t>。</w:t>
      </w:r>
    </w:p>
    <w:p w14:paraId="34E33F8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建筑业</w:t>
      </w:r>
      <w:r>
        <w:rPr>
          <w:rFonts w:hint="eastAsia" w:ascii="宋体" w:hAnsi="宋体" w:eastAsia="宋体" w:cs="宋体"/>
          <w:color w:val="auto"/>
          <w:sz w:val="24"/>
          <w:szCs w:val="24"/>
          <w:highlight w:val="none"/>
        </w:rPr>
        <w:t>。</w:t>
      </w:r>
    </w:p>
    <w:p w14:paraId="091A06E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投标人的名称</w:t>
      </w:r>
      <w:r>
        <w:rPr>
          <w:rFonts w:hint="eastAsia" w:ascii="宋体" w:hAnsi="宋体" w:eastAsia="宋体" w:cs="宋体"/>
          <w:color w:val="auto"/>
          <w:sz w:val="24"/>
          <w:szCs w:val="24"/>
          <w:highlight w:val="none"/>
        </w:rPr>
        <w:t>，如XXX公司。</w:t>
      </w:r>
    </w:p>
    <w:p w14:paraId="60ADC15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0AD61C61">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6750E6B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CA电子公章。</w:t>
      </w:r>
    </w:p>
    <w:p w14:paraId="6CABEC4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p>
    <w:p w14:paraId="227D789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215C9E0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412BB6B9">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4AFB8D6F">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281EAC8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3BFF9774">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559E30B6">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72D5BB3">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DEF9EFC">
      <w:pPr>
        <w:spacing w:line="360" w:lineRule="auto"/>
        <w:outlineLvl w:val="2"/>
        <w:rPr>
          <w:color w:val="auto"/>
          <w:sz w:val="24"/>
          <w:szCs w:val="20"/>
          <w:highlight w:val="none"/>
        </w:rPr>
      </w:pPr>
      <w:r>
        <w:rPr>
          <w:color w:val="auto"/>
          <w:sz w:val="24"/>
          <w:szCs w:val="20"/>
          <w:highlight w:val="none"/>
        </w:rPr>
        <w:br w:type="page"/>
      </w:r>
    </w:p>
    <w:p w14:paraId="5D9C1EDD">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15EEE87E">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3B058447">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0C85B448">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rPr>
        <w:t>，</w:t>
      </w:r>
      <w:r>
        <w:rPr>
          <w:color w:val="auto"/>
          <w:spacing w:val="6"/>
          <w:sz w:val="24"/>
          <w:highlight w:val="none"/>
        </w:rPr>
        <w:t>由本单位提供服务。</w:t>
      </w:r>
    </w:p>
    <w:p w14:paraId="11FAA69D">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D2579A3">
      <w:pPr>
        <w:spacing w:line="588" w:lineRule="exact"/>
        <w:ind w:firstLine="504" w:firstLineChars="200"/>
        <w:rPr>
          <w:color w:val="auto"/>
          <w:spacing w:val="6"/>
          <w:sz w:val="24"/>
          <w:highlight w:val="none"/>
        </w:rPr>
      </w:pPr>
    </w:p>
    <w:p w14:paraId="3D36505B">
      <w:pPr>
        <w:spacing w:line="588" w:lineRule="exact"/>
        <w:ind w:firstLine="504" w:firstLineChars="200"/>
        <w:rPr>
          <w:color w:val="auto"/>
          <w:spacing w:val="6"/>
          <w:sz w:val="24"/>
          <w:highlight w:val="none"/>
        </w:rPr>
      </w:pPr>
    </w:p>
    <w:p w14:paraId="02CC598A">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单位名称（加盖公章）：</w:t>
      </w:r>
    </w:p>
    <w:p w14:paraId="13A0F91B">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日  期：</w:t>
      </w:r>
    </w:p>
    <w:p w14:paraId="0E46F4F6">
      <w:pPr>
        <w:spacing w:line="360" w:lineRule="auto"/>
        <w:rPr>
          <w:rFonts w:hint="eastAsia" w:ascii="Times New Roman" w:hAnsi="Times New Roman" w:eastAsia="宋体" w:cs="Times New Roman"/>
          <w:color w:val="auto"/>
          <w:sz w:val="24"/>
          <w:highlight w:val="none"/>
        </w:rPr>
      </w:pPr>
      <w:r>
        <w:rPr>
          <w:rFonts w:ascii="Times New Roman" w:hAnsi="Times New Roman" w:eastAsia="宋体" w:cs="Times New Roman"/>
          <w:color w:val="auto"/>
          <w:spacing w:val="6"/>
          <w:sz w:val="24"/>
          <w:highlight w:val="none"/>
        </w:rPr>
        <w:br w:type="page"/>
      </w:r>
      <w:r>
        <w:rPr>
          <w:rFonts w:hint="eastAsia" w:cs="Times New Roman"/>
          <w:color w:val="auto"/>
          <w:sz w:val="24"/>
          <w:highlight w:val="none"/>
          <w:lang w:val="en-US" w:eastAsia="zh-CN"/>
        </w:rPr>
        <w:t>3</w:t>
      </w:r>
      <w:r>
        <w:rPr>
          <w:rFonts w:hint="eastAsia" w:ascii="Times New Roman" w:hAnsi="Times New Roman" w:eastAsia="宋体" w:cs="Times New Roman"/>
          <w:color w:val="auto"/>
          <w:sz w:val="24"/>
          <w:highlight w:val="none"/>
        </w:rPr>
        <w:t xml:space="preserve"> 本项目的特定资格要求</w:t>
      </w:r>
    </w:p>
    <w:p w14:paraId="01236F86">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3.3.1具备市政公用工程施工总承包叁级及以上资质，同时具有安全生产许可证；</w:t>
      </w:r>
    </w:p>
    <w:p w14:paraId="3C93C65C">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3.3.2项目经理要求具有市政公用工程专业贰级及以上注册建造师资格，同时具有安全生产考核合格证书（B 证）。</w:t>
      </w:r>
    </w:p>
    <w:p w14:paraId="77606766">
      <w:pPr>
        <w:spacing w:line="360" w:lineRule="auto"/>
        <w:jc w:val="center"/>
        <w:rPr>
          <w:rFonts w:ascii="宋体" w:hAnsi="宋体"/>
          <w:b/>
          <w:color w:val="auto"/>
          <w:sz w:val="32"/>
          <w:szCs w:val="32"/>
          <w:highlight w:val="none"/>
        </w:rPr>
      </w:pPr>
      <w:r>
        <w:rPr>
          <w:rFonts w:hint="eastAsia" w:cs="Times New Roman"/>
          <w:color w:val="auto"/>
          <w:sz w:val="24"/>
          <w:highlight w:val="none"/>
          <w:lang w:val="en-US" w:eastAsia="zh-CN"/>
        </w:rPr>
        <w:br w:type="page"/>
      </w:r>
      <w:r>
        <w:rPr>
          <w:rFonts w:ascii="宋体" w:hAnsi="宋体"/>
          <w:b/>
          <w:color w:val="auto"/>
          <w:sz w:val="32"/>
          <w:szCs w:val="32"/>
          <w:highlight w:val="none"/>
        </w:rPr>
        <w:t>二、商务技术文件格式</w:t>
      </w:r>
      <w:bookmarkStart w:id="1000" w:name="_Toc480942349"/>
      <w:bookmarkStart w:id="1001" w:name="_Toc150774761"/>
      <w:bookmarkStart w:id="1002" w:name="_Toc127151556"/>
      <w:bookmarkStart w:id="1003" w:name="_Toc226309800"/>
      <w:bookmarkStart w:id="1004" w:name="_Ref467988698"/>
      <w:bookmarkStart w:id="1005" w:name="_Toc150480794"/>
      <w:bookmarkStart w:id="1006" w:name="_Toc195842921"/>
      <w:bookmarkStart w:id="1007" w:name="_Toc142311058"/>
      <w:bookmarkStart w:id="1008" w:name="_Toc226337252"/>
      <w:bookmarkStart w:id="1009" w:name="_Toc520356217"/>
      <w:bookmarkStart w:id="1010" w:name="_Toc226965746"/>
      <w:bookmarkStart w:id="1011" w:name="_Toc226965829"/>
    </w:p>
    <w:p w14:paraId="6B2F5A51">
      <w:pPr>
        <w:widowControl/>
        <w:jc w:val="center"/>
        <w:rPr>
          <w:rFonts w:ascii="宋体" w:hAnsi="宋体"/>
          <w:b/>
          <w:color w:val="auto"/>
          <w:sz w:val="32"/>
          <w:szCs w:val="32"/>
          <w:highlight w:val="none"/>
        </w:rPr>
      </w:pPr>
    </w:p>
    <w:p w14:paraId="6EF0BF4D">
      <w:pPr>
        <w:spacing w:line="360" w:lineRule="auto"/>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1000"/>
      <w:bookmarkEnd w:id="1001"/>
      <w:bookmarkEnd w:id="1002"/>
      <w:bookmarkEnd w:id="1003"/>
      <w:bookmarkEnd w:id="1004"/>
      <w:bookmarkEnd w:id="1005"/>
      <w:bookmarkEnd w:id="1006"/>
      <w:bookmarkEnd w:id="1007"/>
      <w:bookmarkEnd w:id="1008"/>
      <w:bookmarkEnd w:id="1009"/>
      <w:bookmarkEnd w:id="1010"/>
      <w:bookmarkEnd w:id="1011"/>
      <w:r>
        <w:rPr>
          <w:rFonts w:hint="eastAsia"/>
          <w:color w:val="auto"/>
          <w:sz w:val="24"/>
          <w:highlight w:val="none"/>
        </w:rPr>
        <w:t>函</w:t>
      </w:r>
      <w:r>
        <w:rPr>
          <w:rFonts w:hint="eastAsia"/>
          <w:color w:val="auto"/>
          <w:sz w:val="24"/>
          <w:szCs w:val="20"/>
          <w:highlight w:val="none"/>
        </w:rPr>
        <w:t xml:space="preserve"> </w:t>
      </w:r>
    </w:p>
    <w:p w14:paraId="036EB88E">
      <w:pPr>
        <w:tabs>
          <w:tab w:val="left" w:pos="5580"/>
        </w:tabs>
        <w:spacing w:line="360" w:lineRule="auto"/>
        <w:rPr>
          <w:color w:val="auto"/>
          <w:sz w:val="24"/>
          <w:highlight w:val="none"/>
        </w:rPr>
      </w:pPr>
    </w:p>
    <w:p w14:paraId="46448592">
      <w:pPr>
        <w:spacing w:line="360" w:lineRule="auto"/>
        <w:jc w:val="center"/>
        <w:rPr>
          <w:b/>
          <w:color w:val="auto"/>
          <w:sz w:val="36"/>
          <w:szCs w:val="36"/>
          <w:highlight w:val="none"/>
        </w:rPr>
      </w:pPr>
      <w:r>
        <w:rPr>
          <w:rFonts w:hint="eastAsia"/>
          <w:b/>
          <w:color w:val="auto"/>
          <w:sz w:val="36"/>
          <w:szCs w:val="36"/>
          <w:highlight w:val="none"/>
        </w:rPr>
        <w:t>投标函</w:t>
      </w:r>
    </w:p>
    <w:p w14:paraId="27AEC88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AF8ECC5">
      <w:pPr>
        <w:tabs>
          <w:tab w:val="left" w:pos="5580"/>
        </w:tabs>
        <w:spacing w:line="360" w:lineRule="auto"/>
        <w:rPr>
          <w:color w:val="auto"/>
          <w:sz w:val="24"/>
          <w:szCs w:val="20"/>
          <w:highlight w:val="none"/>
        </w:rPr>
      </w:pPr>
    </w:p>
    <w:p w14:paraId="3A1287DE">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我方参加你方就___________（项目名称，项目编号）组织的招标活动，并对此项目进行投标。</w:t>
      </w:r>
    </w:p>
    <w:p w14:paraId="4EF723B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6A6005A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13D61787">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778DD78">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08404B87">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75BCC8BB">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55791531">
      <w:pPr>
        <w:spacing w:line="360" w:lineRule="auto"/>
        <w:ind w:firstLine="480" w:firstLineChars="200"/>
        <w:rPr>
          <w:color w:val="auto"/>
          <w:sz w:val="24"/>
          <w:highlight w:val="none"/>
        </w:rPr>
      </w:pPr>
      <w:r>
        <w:rPr>
          <w:color w:val="auto"/>
          <w:sz w:val="24"/>
          <w:highlight w:val="none"/>
        </w:rPr>
        <w:t>与本投标有关的一切正式往来信函请寄：</w:t>
      </w:r>
    </w:p>
    <w:p w14:paraId="3531943C">
      <w:pPr>
        <w:tabs>
          <w:tab w:val="left" w:pos="5580"/>
        </w:tabs>
        <w:spacing w:line="360" w:lineRule="auto"/>
        <w:ind w:left="420"/>
        <w:rPr>
          <w:color w:val="auto"/>
          <w:sz w:val="24"/>
          <w:szCs w:val="20"/>
          <w:highlight w:val="none"/>
        </w:rPr>
      </w:pPr>
    </w:p>
    <w:p w14:paraId="1809F394">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BC8BCB4">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0C4D547C">
      <w:pPr>
        <w:tabs>
          <w:tab w:val="left" w:pos="5580"/>
        </w:tabs>
        <w:spacing w:line="360" w:lineRule="auto"/>
        <w:ind w:left="420"/>
        <w:rPr>
          <w:color w:val="auto"/>
          <w:sz w:val="24"/>
          <w:szCs w:val="20"/>
          <w:highlight w:val="none"/>
        </w:rPr>
      </w:pPr>
    </w:p>
    <w:p w14:paraId="31791231">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773DDCEB">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C9551E2">
      <w:pPr>
        <w:tabs>
          <w:tab w:val="left" w:pos="5580"/>
        </w:tabs>
        <w:spacing w:line="360" w:lineRule="auto"/>
        <w:ind w:left="420"/>
        <w:rPr>
          <w:color w:val="auto"/>
          <w:sz w:val="24"/>
          <w:szCs w:val="20"/>
          <w:highlight w:val="none"/>
          <w:u w:val="single"/>
        </w:rPr>
      </w:pPr>
    </w:p>
    <w:p w14:paraId="44D3E43C">
      <w:pPr>
        <w:widowControl/>
        <w:jc w:val="left"/>
        <w:rPr>
          <w:color w:val="auto"/>
          <w:sz w:val="24"/>
          <w:highlight w:val="none"/>
        </w:rPr>
      </w:pPr>
      <w:bookmarkStart w:id="1012" w:name="_Hlt520356243"/>
      <w:bookmarkEnd w:id="1012"/>
      <w:bookmarkStart w:id="1013" w:name="_Hlt520355938"/>
      <w:bookmarkEnd w:id="1013"/>
      <w:r>
        <w:rPr>
          <w:color w:val="auto"/>
          <w:sz w:val="24"/>
          <w:highlight w:val="none"/>
        </w:rPr>
        <w:br w:type="page"/>
      </w: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rFonts w:hint="eastAsia"/>
          <w:color w:val="auto"/>
          <w:sz w:val="24"/>
          <w:szCs w:val="20"/>
          <w:highlight w:val="none"/>
        </w:rPr>
        <w:t xml:space="preserve"> </w:t>
      </w:r>
    </w:p>
    <w:p w14:paraId="164888F5">
      <w:pPr>
        <w:spacing w:line="360" w:lineRule="auto"/>
        <w:jc w:val="center"/>
        <w:rPr>
          <w:rFonts w:ascii="宋体" w:hAnsi="宋体"/>
          <w:b/>
          <w:color w:val="auto"/>
          <w:sz w:val="32"/>
          <w:szCs w:val="32"/>
          <w:highlight w:val="none"/>
        </w:rPr>
      </w:pPr>
    </w:p>
    <w:p w14:paraId="73588609">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369C819">
      <w:pPr>
        <w:spacing w:line="560" w:lineRule="exact"/>
        <w:rPr>
          <w:rFonts w:ascii="宋体" w:hAnsi="宋体"/>
          <w:color w:val="auto"/>
          <w:sz w:val="24"/>
          <w:highlight w:val="none"/>
        </w:rPr>
      </w:pPr>
      <w:r>
        <w:rPr>
          <w:rFonts w:hint="eastAsia" w:ascii="宋体" w:hAnsi="宋体"/>
          <w:color w:val="auto"/>
          <w:sz w:val="24"/>
          <w:highlight w:val="none"/>
        </w:rPr>
        <w:t>单位名称:</w:t>
      </w:r>
    </w:p>
    <w:p w14:paraId="6965BA39">
      <w:pPr>
        <w:spacing w:line="560" w:lineRule="exact"/>
        <w:rPr>
          <w:rFonts w:ascii="宋体" w:hAnsi="宋体"/>
          <w:color w:val="auto"/>
          <w:sz w:val="24"/>
          <w:highlight w:val="none"/>
        </w:rPr>
      </w:pPr>
      <w:r>
        <w:rPr>
          <w:rFonts w:hint="eastAsia" w:ascii="宋体" w:hAnsi="宋体"/>
          <w:color w:val="auto"/>
          <w:sz w:val="24"/>
          <w:highlight w:val="none"/>
        </w:rPr>
        <w:t>地址:</w:t>
      </w:r>
    </w:p>
    <w:p w14:paraId="0EE69B87">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59C4E0E1">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w:t>
      </w:r>
      <w:r>
        <w:rPr>
          <w:rFonts w:hint="eastAsia" w:ascii="宋体" w:hAnsi="宋体"/>
          <w:color w:val="auto"/>
          <w:sz w:val="24"/>
          <w:highlight w:val="none"/>
          <w:u w:val="single"/>
          <w:lang w:eastAsia="zh-CN"/>
        </w:rPr>
        <w:t>投标人</w:t>
      </w:r>
      <w:r>
        <w:rPr>
          <w:rFonts w:hint="eastAsia" w:ascii="宋体" w:hAnsi="宋体"/>
          <w:color w:val="auto"/>
          <w:sz w:val="24"/>
          <w:highlight w:val="none"/>
          <w:u w:val="single"/>
        </w:rPr>
        <w:t>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1179018D">
      <w:pPr>
        <w:spacing w:line="560" w:lineRule="exact"/>
        <w:rPr>
          <w:rFonts w:ascii="宋体" w:hAnsi="宋体"/>
          <w:color w:val="auto"/>
          <w:sz w:val="24"/>
          <w:highlight w:val="none"/>
        </w:rPr>
      </w:pPr>
      <w:r>
        <w:rPr>
          <w:rFonts w:hint="eastAsia" w:ascii="宋体" w:hAnsi="宋体"/>
          <w:color w:val="auto"/>
          <w:sz w:val="24"/>
          <w:highlight w:val="none"/>
        </w:rPr>
        <w:t>特此证明。</w:t>
      </w:r>
    </w:p>
    <w:p w14:paraId="6B99F182">
      <w:pPr>
        <w:spacing w:line="560" w:lineRule="exact"/>
        <w:rPr>
          <w:rFonts w:ascii="宋体" w:hAnsi="宋体"/>
          <w:color w:val="auto"/>
          <w:sz w:val="24"/>
          <w:highlight w:val="none"/>
        </w:rPr>
      </w:pPr>
    </w:p>
    <w:p w14:paraId="18B971E7">
      <w:pPr>
        <w:pStyle w:val="18"/>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835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D89F533">
            <w:pPr>
              <w:tabs>
                <w:tab w:val="left" w:pos="5580"/>
              </w:tabs>
              <w:spacing w:line="360" w:lineRule="auto"/>
              <w:jc w:val="left"/>
              <w:rPr>
                <w:rFonts w:ascii="宋体" w:hAnsi="宋体"/>
                <w:color w:val="auto"/>
                <w:sz w:val="24"/>
                <w:szCs w:val="20"/>
                <w:highlight w:val="none"/>
              </w:rPr>
            </w:pPr>
          </w:p>
          <w:p w14:paraId="5E5743D0">
            <w:pPr>
              <w:tabs>
                <w:tab w:val="left" w:pos="5580"/>
              </w:tabs>
              <w:spacing w:line="360" w:lineRule="auto"/>
              <w:jc w:val="left"/>
              <w:rPr>
                <w:rFonts w:ascii="宋体" w:hAnsi="宋体"/>
                <w:color w:val="auto"/>
                <w:sz w:val="24"/>
                <w:szCs w:val="20"/>
                <w:highlight w:val="none"/>
              </w:rPr>
            </w:pPr>
          </w:p>
          <w:p w14:paraId="02C73745">
            <w:pPr>
              <w:tabs>
                <w:tab w:val="left" w:pos="5580"/>
              </w:tabs>
              <w:spacing w:line="360" w:lineRule="auto"/>
              <w:jc w:val="left"/>
              <w:rPr>
                <w:rFonts w:ascii="宋体" w:hAnsi="宋体"/>
                <w:color w:val="auto"/>
                <w:sz w:val="24"/>
                <w:szCs w:val="20"/>
                <w:highlight w:val="none"/>
              </w:rPr>
            </w:pPr>
          </w:p>
        </w:tc>
        <w:tc>
          <w:tcPr>
            <w:tcW w:w="4536" w:type="dxa"/>
          </w:tcPr>
          <w:p w14:paraId="0B310889">
            <w:pPr>
              <w:tabs>
                <w:tab w:val="left" w:pos="5580"/>
              </w:tabs>
              <w:spacing w:line="360" w:lineRule="auto"/>
              <w:jc w:val="left"/>
              <w:rPr>
                <w:rFonts w:ascii="宋体" w:hAnsi="宋体"/>
                <w:color w:val="auto"/>
                <w:sz w:val="24"/>
                <w:szCs w:val="20"/>
                <w:highlight w:val="none"/>
              </w:rPr>
            </w:pPr>
          </w:p>
          <w:p w14:paraId="5EFA2A48">
            <w:pPr>
              <w:tabs>
                <w:tab w:val="left" w:pos="5580"/>
              </w:tabs>
              <w:spacing w:line="360" w:lineRule="auto"/>
              <w:jc w:val="left"/>
              <w:rPr>
                <w:rFonts w:ascii="宋体" w:hAnsi="宋体"/>
                <w:color w:val="auto"/>
                <w:sz w:val="24"/>
                <w:szCs w:val="20"/>
                <w:highlight w:val="none"/>
              </w:rPr>
            </w:pPr>
          </w:p>
          <w:p w14:paraId="7DA49423">
            <w:pPr>
              <w:tabs>
                <w:tab w:val="left" w:pos="5580"/>
              </w:tabs>
              <w:spacing w:line="360" w:lineRule="auto"/>
              <w:jc w:val="left"/>
              <w:rPr>
                <w:rFonts w:ascii="宋体" w:hAnsi="宋体"/>
                <w:color w:val="auto"/>
                <w:sz w:val="24"/>
                <w:szCs w:val="20"/>
                <w:highlight w:val="none"/>
              </w:rPr>
            </w:pPr>
          </w:p>
        </w:tc>
      </w:tr>
    </w:tbl>
    <w:p w14:paraId="45F09916">
      <w:pPr>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投标人</w:t>
      </w:r>
      <w:r>
        <w:rPr>
          <w:rFonts w:hint="eastAsia" w:ascii="宋体" w:hAnsi="宋体"/>
          <w:color w:val="auto"/>
          <w:sz w:val="24"/>
          <w:highlight w:val="none"/>
        </w:rPr>
        <w:t>：（加盖公章）</w:t>
      </w:r>
    </w:p>
    <w:p w14:paraId="614133FE">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543A32C">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33385414">
      <w:pPr>
        <w:widowControl/>
        <w:jc w:val="left"/>
        <w:rPr>
          <w:color w:val="auto"/>
          <w:sz w:val="24"/>
          <w:highlight w:val="none"/>
        </w:rPr>
      </w:pPr>
    </w:p>
    <w:p w14:paraId="0E07C15E">
      <w:pPr>
        <w:rPr>
          <w:color w:val="auto"/>
          <w:highlight w:val="none"/>
        </w:rPr>
      </w:pPr>
    </w:p>
    <w:p w14:paraId="6234EA72">
      <w:pPr>
        <w:widowControl/>
        <w:jc w:val="lef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p>
    <w:p w14:paraId="75CF5760">
      <w:pPr>
        <w:widowControl/>
        <w:jc w:val="left"/>
        <w:rPr>
          <w:color w:val="auto"/>
          <w:sz w:val="24"/>
          <w:highlight w:val="none"/>
        </w:rPr>
      </w:pPr>
    </w:p>
    <w:p w14:paraId="583C1211">
      <w:pPr>
        <w:widowControl/>
        <w:jc w:val="left"/>
        <w:rPr>
          <w:color w:val="auto"/>
          <w:sz w:val="24"/>
          <w:highlight w:val="none"/>
        </w:rPr>
      </w:pPr>
    </w:p>
    <w:p w14:paraId="4ECE0FC9">
      <w:pPr>
        <w:widowControl/>
        <w:jc w:val="left"/>
        <w:rPr>
          <w:color w:val="auto"/>
          <w:sz w:val="24"/>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pgNumType w:fmt="decimal"/>
          <w:cols w:space="720" w:num="1"/>
          <w:docGrid w:linePitch="462" w:charSpace="0"/>
        </w:sectPr>
      </w:pPr>
    </w:p>
    <w:p w14:paraId="0FD1B561">
      <w:pPr>
        <w:widowControl/>
        <w:jc w:val="left"/>
        <w:rPr>
          <w:color w:val="auto"/>
          <w:sz w:val="24"/>
          <w:highlight w:val="none"/>
        </w:rPr>
      </w:pPr>
      <w:r>
        <w:rPr>
          <w:rFonts w:hint="eastAsia"/>
          <w:color w:val="auto"/>
          <w:sz w:val="24"/>
          <w:highlight w:val="none"/>
        </w:rPr>
        <w:t>3  政府采购供应商信用承诺书</w:t>
      </w:r>
      <w:r>
        <w:rPr>
          <w:rFonts w:hint="eastAsia"/>
          <w:color w:val="auto"/>
          <w:sz w:val="24"/>
          <w:szCs w:val="20"/>
          <w:highlight w:val="none"/>
        </w:rPr>
        <w:t xml:space="preserve"> </w:t>
      </w:r>
    </w:p>
    <w:p w14:paraId="7B2BC261">
      <w:pPr>
        <w:spacing w:line="560" w:lineRule="exact"/>
        <w:ind w:firstLine="321" w:firstLineChars="100"/>
        <w:jc w:val="center"/>
        <w:rPr>
          <w:rFonts w:ascii="黑体" w:hAnsi="黑体" w:eastAsia="黑体"/>
          <w:b/>
          <w:color w:val="auto"/>
          <w:sz w:val="32"/>
          <w:szCs w:val="32"/>
          <w:highlight w:val="none"/>
        </w:rPr>
      </w:pPr>
    </w:p>
    <w:p w14:paraId="1F4F7327">
      <w:pPr>
        <w:spacing w:line="560" w:lineRule="exact"/>
        <w:ind w:firstLine="321" w:firstLineChars="100"/>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3DCEDF92">
      <w:pPr>
        <w:ind w:firstLine="640"/>
        <w:rPr>
          <w:snapToGrid w:val="0"/>
          <w:color w:val="auto"/>
          <w:kern w:val="0"/>
          <w:highlight w:val="none"/>
        </w:rPr>
      </w:pPr>
    </w:p>
    <w:p w14:paraId="455C6223">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95E7F49">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58B6B49C">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EEB2FB0">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6C953958">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67AE003D">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4180CAF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D4BCAB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27E7D5DB">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C3B2ED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04AB6977">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2E8E2308">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D513280">
      <w:pPr>
        <w:pStyle w:val="127"/>
        <w:spacing w:line="276" w:lineRule="auto"/>
        <w:ind w:right="1050" w:rightChars="500" w:firstLine="2880" w:firstLineChars="1200"/>
        <w:jc w:val="both"/>
        <w:rPr>
          <w:rFonts w:ascii="宋体" w:hAnsi="宋体" w:eastAsia="宋体"/>
          <w:color w:val="auto"/>
          <w:sz w:val="24"/>
          <w:szCs w:val="22"/>
          <w:highlight w:val="none"/>
        </w:rPr>
      </w:pPr>
    </w:p>
    <w:p w14:paraId="0D33181A">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4679821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739B826">
      <w:pPr>
        <w:widowControl/>
        <w:jc w:val="left"/>
        <w:rPr>
          <w:color w:val="auto"/>
          <w:sz w:val="24"/>
          <w:szCs w:val="20"/>
          <w:highlight w:val="none"/>
        </w:rPr>
      </w:pPr>
      <w:bookmarkStart w:id="1014" w:name="_Hlt520350918"/>
      <w:bookmarkEnd w:id="1014"/>
      <w:bookmarkStart w:id="1015" w:name="_Hlt520355504"/>
      <w:bookmarkEnd w:id="1015"/>
      <w:bookmarkStart w:id="1016" w:name="_Hlt520274407"/>
      <w:bookmarkEnd w:id="1016"/>
      <w:bookmarkStart w:id="1017" w:name="_Hlt520343000"/>
      <w:bookmarkEnd w:id="1017"/>
      <w:bookmarkStart w:id="1018" w:name="_Hlt520274121"/>
      <w:bookmarkEnd w:id="1018"/>
      <w:bookmarkStart w:id="1019" w:name="_Hlt520273711"/>
      <w:bookmarkEnd w:id="1019"/>
      <w:bookmarkStart w:id="1020" w:name="_Hlt520271212"/>
      <w:bookmarkEnd w:id="1020"/>
      <w:bookmarkStart w:id="1021" w:name="_Hlt520343392"/>
      <w:bookmarkEnd w:id="1021"/>
      <w:bookmarkStart w:id="1022" w:name="_Hlt520274065"/>
      <w:bookmarkEnd w:id="1022"/>
      <w:bookmarkStart w:id="1023" w:name="_Hlt520274393"/>
      <w:bookmarkEnd w:id="1023"/>
      <w:bookmarkStart w:id="1024" w:name="_Ref467988705"/>
      <w:bookmarkStart w:id="1025" w:name="_Toc195842922"/>
      <w:bookmarkStart w:id="1026" w:name="_Toc226965830"/>
      <w:bookmarkStart w:id="1027" w:name="_Toc226309801"/>
      <w:bookmarkStart w:id="1028" w:name="_Toc142311059"/>
      <w:bookmarkStart w:id="1029" w:name="_Toc150774762"/>
      <w:bookmarkStart w:id="1030" w:name="_Toc127151557"/>
      <w:bookmarkStart w:id="1031" w:name="_Toc480942350"/>
      <w:bookmarkStart w:id="1032" w:name="_Toc265228395"/>
      <w:bookmarkStart w:id="1033" w:name="_Toc226965747"/>
      <w:bookmarkStart w:id="1034" w:name="_Toc226337253"/>
      <w:bookmarkStart w:id="1035" w:name="_Toc150480795"/>
      <w:bookmarkStart w:id="1036" w:name="_Toc264969247"/>
      <w:bookmarkStart w:id="1037" w:name="_Toc305158825"/>
      <w:bookmarkStart w:id="1038" w:name="_Toc305158899"/>
      <w:bookmarkStart w:id="1039" w:name="_Toc520356218"/>
      <w:r>
        <w:rPr>
          <w:color w:val="auto"/>
          <w:sz w:val="24"/>
          <w:szCs w:val="20"/>
          <w:highlight w:val="none"/>
        </w:rPr>
        <w:br w:type="page"/>
      </w:r>
      <w:r>
        <w:rPr>
          <w:rFonts w:hint="eastAsia"/>
          <w:color w:val="auto"/>
          <w:sz w:val="24"/>
          <w:szCs w:val="20"/>
          <w:highlight w:val="none"/>
        </w:rPr>
        <w:t>4</w:t>
      </w:r>
      <w:r>
        <w:rPr>
          <w:color w:val="auto"/>
          <w:sz w:val="24"/>
          <w:szCs w:val="20"/>
          <w:highlight w:val="none"/>
        </w:rPr>
        <w:t xml:space="preserve"> 开标一览表</w:t>
      </w:r>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p>
    <w:p w14:paraId="0C59F181">
      <w:pPr>
        <w:spacing w:line="360" w:lineRule="exact"/>
        <w:jc w:val="center"/>
        <w:rPr>
          <w:b/>
          <w:color w:val="auto"/>
          <w:sz w:val="36"/>
          <w:szCs w:val="36"/>
          <w:highlight w:val="none"/>
        </w:rPr>
      </w:pPr>
      <w:bookmarkStart w:id="1040" w:name="_Toc226337254"/>
      <w:bookmarkStart w:id="1041" w:name="_Toc305158900"/>
      <w:bookmarkStart w:id="1042" w:name="_Toc226309802"/>
      <w:bookmarkStart w:id="1043" w:name="_Toc226965748"/>
      <w:bookmarkStart w:id="1044" w:name="_Toc164608827"/>
      <w:bookmarkStart w:id="1045" w:name="_Toc305158826"/>
      <w:bookmarkStart w:id="1046" w:name="_Toc226965831"/>
      <w:bookmarkStart w:id="1047" w:name="_Toc195842923"/>
      <w:bookmarkStart w:id="1048" w:name="_Toc164608672"/>
      <w:bookmarkStart w:id="1049" w:name="_Toc264969248"/>
      <w:bookmarkStart w:id="1050" w:name="_Toc265228396"/>
      <w:r>
        <w:rPr>
          <w:rFonts w:hint="eastAsia"/>
          <w:b/>
          <w:color w:val="auto"/>
          <w:sz w:val="36"/>
          <w:szCs w:val="36"/>
          <w:highlight w:val="none"/>
        </w:rPr>
        <w:t>开标一览表</w:t>
      </w:r>
      <w:bookmarkEnd w:id="1040"/>
      <w:bookmarkEnd w:id="1041"/>
      <w:bookmarkEnd w:id="1042"/>
      <w:bookmarkEnd w:id="1043"/>
      <w:bookmarkEnd w:id="1044"/>
      <w:bookmarkEnd w:id="1045"/>
      <w:bookmarkEnd w:id="1046"/>
      <w:bookmarkEnd w:id="1047"/>
      <w:bookmarkEnd w:id="1048"/>
      <w:bookmarkEnd w:id="1049"/>
      <w:bookmarkEnd w:id="1050"/>
    </w:p>
    <w:p w14:paraId="6F0960B9">
      <w:pPr>
        <w:tabs>
          <w:tab w:val="left" w:pos="1800"/>
          <w:tab w:val="left" w:pos="5580"/>
        </w:tabs>
        <w:spacing w:line="360" w:lineRule="auto"/>
        <w:jc w:val="left"/>
        <w:rPr>
          <w:i/>
          <w:color w:val="auto"/>
          <w:sz w:val="24"/>
          <w:highlight w:val="none"/>
        </w:rPr>
      </w:pPr>
    </w:p>
    <w:p w14:paraId="746ED29B">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78"/>
        <w:gridCol w:w="3993"/>
        <w:gridCol w:w="3807"/>
      </w:tblGrid>
      <w:tr w14:paraId="358D8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704" w:type="pct"/>
            <w:tcBorders>
              <w:top w:val="single" w:color="auto" w:sz="4" w:space="0"/>
              <w:left w:val="single" w:color="auto" w:sz="4" w:space="0"/>
              <w:bottom w:val="single" w:color="auto" w:sz="4" w:space="0"/>
              <w:right w:val="single" w:color="auto" w:sz="4" w:space="0"/>
            </w:tcBorders>
            <w:noWrap w:val="0"/>
            <w:vAlign w:val="center"/>
          </w:tcPr>
          <w:p w14:paraId="13C183F3">
            <w:pPr>
              <w:tabs>
                <w:tab w:val="left" w:pos="5580"/>
              </w:tabs>
              <w:jc w:val="center"/>
              <w:outlineLvl w:val="9"/>
              <w:rPr>
                <w:b/>
                <w:color w:val="auto"/>
                <w:sz w:val="24"/>
                <w:highlight w:val="none"/>
              </w:rPr>
            </w:pPr>
            <w:r>
              <w:rPr>
                <w:rFonts w:hint="eastAsia"/>
                <w:b/>
                <w:color w:val="auto"/>
                <w:sz w:val="24"/>
                <w:highlight w:val="none"/>
              </w:rPr>
              <w:t>序号</w:t>
            </w:r>
          </w:p>
        </w:tc>
        <w:tc>
          <w:tcPr>
            <w:tcW w:w="2199" w:type="pct"/>
            <w:tcBorders>
              <w:top w:val="single" w:color="auto" w:sz="4" w:space="0"/>
              <w:left w:val="single" w:color="auto" w:sz="4" w:space="0"/>
              <w:bottom w:val="single" w:color="auto" w:sz="4" w:space="0"/>
              <w:right w:val="single" w:color="auto" w:sz="4" w:space="0"/>
            </w:tcBorders>
            <w:noWrap w:val="0"/>
            <w:vAlign w:val="center"/>
          </w:tcPr>
          <w:p w14:paraId="7363CD6C">
            <w:pPr>
              <w:tabs>
                <w:tab w:val="left" w:pos="5580"/>
              </w:tabs>
              <w:jc w:val="center"/>
              <w:outlineLvl w:val="9"/>
              <w:rPr>
                <w:b/>
                <w:color w:val="auto"/>
                <w:sz w:val="24"/>
                <w:highlight w:val="none"/>
              </w:rPr>
            </w:pPr>
            <w:r>
              <w:rPr>
                <w:rFonts w:hint="eastAsia"/>
                <w:b/>
                <w:color w:val="auto"/>
                <w:sz w:val="24"/>
                <w:highlight w:val="none"/>
                <w:lang w:val="en-US" w:eastAsia="zh-CN"/>
              </w:rPr>
              <w:t>投标人</w:t>
            </w:r>
            <w:r>
              <w:rPr>
                <w:rFonts w:hint="eastAsia"/>
                <w:b/>
                <w:color w:val="auto"/>
                <w:sz w:val="24"/>
                <w:highlight w:val="none"/>
              </w:rPr>
              <w:t>名称</w:t>
            </w:r>
          </w:p>
        </w:tc>
        <w:tc>
          <w:tcPr>
            <w:tcW w:w="2096" w:type="pct"/>
            <w:tcBorders>
              <w:top w:val="single" w:color="auto" w:sz="4" w:space="0"/>
              <w:left w:val="single" w:color="auto" w:sz="4" w:space="0"/>
              <w:bottom w:val="single" w:color="auto" w:sz="4" w:space="0"/>
              <w:right w:val="single" w:color="auto" w:sz="4" w:space="0"/>
            </w:tcBorders>
            <w:noWrap w:val="0"/>
            <w:vAlign w:val="center"/>
          </w:tcPr>
          <w:p w14:paraId="328AFB77">
            <w:pPr>
              <w:tabs>
                <w:tab w:val="left" w:pos="5580"/>
              </w:tabs>
              <w:jc w:val="center"/>
              <w:outlineLvl w:val="9"/>
              <w:rPr>
                <w:rFonts w:hint="eastAsia" w:eastAsia="宋体"/>
                <w:b/>
                <w:color w:val="auto"/>
                <w:sz w:val="24"/>
                <w:highlight w:val="none"/>
                <w:lang w:eastAsia="zh-CN"/>
              </w:rPr>
            </w:pPr>
            <w:r>
              <w:rPr>
                <w:rFonts w:hint="eastAsia"/>
                <w:b/>
                <w:color w:val="auto"/>
                <w:sz w:val="24"/>
                <w:highlight w:val="none"/>
                <w:lang w:eastAsia="zh-CN"/>
              </w:rPr>
              <w:t>优惠率</w:t>
            </w:r>
            <w:r>
              <w:rPr>
                <w:rFonts w:hint="eastAsia"/>
                <w:b/>
                <w:color w:val="auto"/>
                <w:sz w:val="24"/>
                <w:highlight w:val="none"/>
              </w:rPr>
              <w:t>（%）</w:t>
            </w:r>
          </w:p>
        </w:tc>
      </w:tr>
      <w:tr w14:paraId="5CF20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50" w:hRule="atLeast"/>
          <w:jc w:val="center"/>
        </w:trPr>
        <w:tc>
          <w:tcPr>
            <w:tcW w:w="704" w:type="pct"/>
            <w:tcBorders>
              <w:top w:val="single" w:color="auto" w:sz="4" w:space="0"/>
              <w:left w:val="single" w:color="auto" w:sz="4" w:space="0"/>
              <w:bottom w:val="single" w:color="auto" w:sz="4" w:space="0"/>
              <w:right w:val="single" w:color="auto" w:sz="4" w:space="0"/>
            </w:tcBorders>
            <w:noWrap w:val="0"/>
            <w:vAlign w:val="center"/>
          </w:tcPr>
          <w:p w14:paraId="668C32AB">
            <w:pPr>
              <w:tabs>
                <w:tab w:val="left" w:pos="5580"/>
              </w:tabs>
              <w:jc w:val="center"/>
              <w:outlineLvl w:val="9"/>
              <w:rPr>
                <w:color w:val="auto"/>
                <w:sz w:val="24"/>
                <w:highlight w:val="none"/>
              </w:rPr>
            </w:pPr>
          </w:p>
        </w:tc>
        <w:tc>
          <w:tcPr>
            <w:tcW w:w="2199" w:type="pct"/>
            <w:tcBorders>
              <w:top w:val="single" w:color="auto" w:sz="4" w:space="0"/>
              <w:left w:val="single" w:color="auto" w:sz="4" w:space="0"/>
              <w:bottom w:val="single" w:color="auto" w:sz="4" w:space="0"/>
              <w:right w:val="single" w:color="auto" w:sz="4" w:space="0"/>
            </w:tcBorders>
            <w:noWrap w:val="0"/>
            <w:vAlign w:val="center"/>
          </w:tcPr>
          <w:p w14:paraId="5C37BC13">
            <w:pPr>
              <w:tabs>
                <w:tab w:val="left" w:pos="5580"/>
              </w:tabs>
              <w:jc w:val="center"/>
              <w:outlineLvl w:val="9"/>
              <w:rPr>
                <w:color w:val="auto"/>
                <w:sz w:val="24"/>
                <w:highlight w:val="none"/>
              </w:rPr>
            </w:pPr>
          </w:p>
        </w:tc>
        <w:tc>
          <w:tcPr>
            <w:tcW w:w="2096" w:type="pct"/>
            <w:tcBorders>
              <w:top w:val="single" w:color="auto" w:sz="4" w:space="0"/>
              <w:left w:val="single" w:color="auto" w:sz="4" w:space="0"/>
              <w:bottom w:val="single" w:color="auto" w:sz="4" w:space="0"/>
              <w:right w:val="single" w:color="auto" w:sz="4" w:space="0"/>
            </w:tcBorders>
            <w:noWrap w:val="0"/>
            <w:vAlign w:val="center"/>
          </w:tcPr>
          <w:p w14:paraId="4C13BE44">
            <w:pPr>
              <w:tabs>
                <w:tab w:val="left" w:pos="5580"/>
              </w:tabs>
              <w:jc w:val="left"/>
              <w:outlineLvl w:val="9"/>
              <w:rPr>
                <w:rFonts w:hint="default"/>
                <w:color w:val="auto"/>
                <w:sz w:val="24"/>
                <w:highlight w:val="none"/>
                <w:lang w:val="en-US"/>
              </w:rPr>
            </w:pPr>
          </w:p>
        </w:tc>
      </w:tr>
    </w:tbl>
    <w:p w14:paraId="6EBCF79C">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73A7CFD4">
      <w:pPr>
        <w:autoSpaceDE w:val="0"/>
        <w:autoSpaceDN w:val="0"/>
        <w:adjustRightInd w:val="0"/>
        <w:snapToGrid w:val="0"/>
        <w:spacing w:before="25" w:after="25" w:line="360" w:lineRule="auto"/>
        <w:rPr>
          <w:color w:val="auto"/>
          <w:sz w:val="24"/>
          <w:highlight w:val="none"/>
          <w:lang w:val="zh-CN"/>
        </w:rPr>
      </w:pPr>
      <w:r>
        <w:rPr>
          <w:rFonts w:hint="eastAsia"/>
          <w:color w:val="auto"/>
          <w:sz w:val="24"/>
          <w:highlight w:val="none"/>
          <w:lang w:eastAsia="zh-CN"/>
        </w:rPr>
        <w:t>投标人</w:t>
      </w:r>
      <w:r>
        <w:rPr>
          <w:color w:val="auto"/>
          <w:sz w:val="24"/>
          <w:highlight w:val="none"/>
        </w:rPr>
        <w:t>名称（加盖公章）</w:t>
      </w:r>
      <w:r>
        <w:rPr>
          <w:color w:val="auto"/>
          <w:sz w:val="24"/>
          <w:highlight w:val="none"/>
          <w:lang w:val="zh-CN"/>
        </w:rPr>
        <w:t>：____________</w:t>
      </w:r>
    </w:p>
    <w:p w14:paraId="4711732F">
      <w:pPr>
        <w:autoSpaceDE w:val="0"/>
        <w:autoSpaceDN w:val="0"/>
        <w:adjustRightInd w:val="0"/>
        <w:snapToGrid w:val="0"/>
        <w:spacing w:before="25" w:after="25" w:line="360" w:lineRule="auto"/>
        <w:rPr>
          <w:color w:val="auto"/>
          <w:sz w:val="36"/>
          <w:szCs w:val="36"/>
          <w:highlight w:val="none"/>
        </w:rPr>
      </w:pPr>
      <w:r>
        <w:rPr>
          <w:color w:val="auto"/>
          <w:sz w:val="24"/>
          <w:szCs w:val="20"/>
          <w:highlight w:val="none"/>
        </w:rPr>
        <w:t xml:space="preserve">日期：_____年______月______日   </w:t>
      </w:r>
      <w:bookmarkStart w:id="1051" w:name="_Toc226309803"/>
      <w:bookmarkStart w:id="1052" w:name="_Toc150774763"/>
      <w:bookmarkStart w:id="1053" w:name="_Toc264969249"/>
      <w:bookmarkStart w:id="1054" w:name="_Toc142311060"/>
      <w:bookmarkStart w:id="1055" w:name="_Toc226337255"/>
      <w:bookmarkStart w:id="1056" w:name="_Toc127151558"/>
      <w:bookmarkStart w:id="1057" w:name="_Toc195842924"/>
      <w:bookmarkStart w:id="1058" w:name="_Toc150480796"/>
      <w:bookmarkStart w:id="1059" w:name="_Toc305158827"/>
      <w:bookmarkStart w:id="1060" w:name="_Toc226965832"/>
      <w:bookmarkStart w:id="1061" w:name="_Toc226965749"/>
      <w:bookmarkStart w:id="1062" w:name="_Toc305158901"/>
      <w:bookmarkStart w:id="1063" w:name="_Toc265228397"/>
      <w:r>
        <w:rPr>
          <w:color w:val="auto"/>
          <w:sz w:val="24"/>
          <w:szCs w:val="20"/>
          <w:highlight w:val="none"/>
        </w:rPr>
        <w:br w:type="page"/>
      </w:r>
    </w:p>
    <w:bookmarkEnd w:id="1051"/>
    <w:bookmarkEnd w:id="1052"/>
    <w:bookmarkEnd w:id="1053"/>
    <w:bookmarkEnd w:id="1054"/>
    <w:bookmarkEnd w:id="1055"/>
    <w:bookmarkEnd w:id="1056"/>
    <w:bookmarkEnd w:id="1057"/>
    <w:bookmarkEnd w:id="1058"/>
    <w:bookmarkEnd w:id="1059"/>
    <w:bookmarkEnd w:id="1060"/>
    <w:bookmarkEnd w:id="1061"/>
    <w:bookmarkEnd w:id="1062"/>
    <w:bookmarkEnd w:id="1063"/>
    <w:p w14:paraId="7B61BB0B">
      <w:pPr>
        <w:autoSpaceDE w:val="0"/>
        <w:autoSpaceDN w:val="0"/>
        <w:adjustRightInd w:val="0"/>
        <w:snapToGrid w:val="0"/>
        <w:spacing w:before="25" w:after="25" w:line="360" w:lineRule="auto"/>
        <w:rPr>
          <w:color w:val="auto"/>
          <w:sz w:val="24"/>
          <w:szCs w:val="20"/>
          <w:highlight w:val="none"/>
        </w:rPr>
      </w:pPr>
      <w:bookmarkStart w:id="1064" w:name="_Toc195842927"/>
      <w:bookmarkStart w:id="1065" w:name="_Toc226965752"/>
      <w:bookmarkStart w:id="1066" w:name="_Toc150774765"/>
      <w:bookmarkStart w:id="1067" w:name="_Toc226965835"/>
      <w:bookmarkStart w:id="1068" w:name="_Toc150480798"/>
      <w:bookmarkStart w:id="1069" w:name="_Toc226309806"/>
      <w:bookmarkStart w:id="1070" w:name="_Toc305158904"/>
      <w:bookmarkStart w:id="1071" w:name="_Toc127151562"/>
      <w:bookmarkStart w:id="1072" w:name="_Toc142311062"/>
      <w:bookmarkStart w:id="1073" w:name="_Toc264969252"/>
      <w:bookmarkStart w:id="1074" w:name="_Toc226337258"/>
      <w:bookmarkStart w:id="1075" w:name="_Toc265228400"/>
      <w:bookmarkStart w:id="1076" w:name="_Toc305158830"/>
      <w:bookmarkStart w:id="1077" w:name="_Toc226965751"/>
      <w:bookmarkStart w:id="1078" w:name="_Toc226965834"/>
      <w:bookmarkStart w:id="1079" w:name="_Toc305158903"/>
      <w:bookmarkStart w:id="1080" w:name="_Toc305158829"/>
      <w:bookmarkStart w:id="1081" w:name="_Toc150480797"/>
      <w:bookmarkStart w:id="1082" w:name="_Toc264969251"/>
      <w:bookmarkStart w:id="1083" w:name="_Toc265228399"/>
      <w:bookmarkStart w:id="1084" w:name="_Toc150774764"/>
      <w:bookmarkStart w:id="1085" w:name="_Toc195842926"/>
      <w:bookmarkStart w:id="1086" w:name="_Toc226337257"/>
      <w:bookmarkStart w:id="1087" w:name="_Toc127151561"/>
      <w:bookmarkStart w:id="1088" w:name="_Toc142311061"/>
      <w:bookmarkStart w:id="1089" w:name="_Toc226309805"/>
      <w:r>
        <w:rPr>
          <w:rFonts w:hint="eastAsia"/>
          <w:color w:val="auto"/>
          <w:sz w:val="24"/>
          <w:szCs w:val="20"/>
          <w:highlight w:val="none"/>
          <w:lang w:val="en-US" w:eastAsia="zh-CN"/>
        </w:rPr>
        <w:t>5</w:t>
      </w:r>
      <w:r>
        <w:rPr>
          <w:color w:val="auto"/>
          <w:sz w:val="24"/>
          <w:szCs w:val="20"/>
          <w:highlight w:val="none"/>
        </w:rPr>
        <w:t xml:space="preserve">  合同条款偏离表</w:t>
      </w:r>
      <w:bookmarkEnd w:id="1064"/>
      <w:bookmarkEnd w:id="1065"/>
      <w:bookmarkEnd w:id="1066"/>
      <w:bookmarkEnd w:id="1067"/>
      <w:bookmarkEnd w:id="1068"/>
      <w:bookmarkEnd w:id="1069"/>
      <w:bookmarkEnd w:id="1070"/>
      <w:bookmarkEnd w:id="1071"/>
      <w:bookmarkEnd w:id="1072"/>
      <w:bookmarkEnd w:id="1073"/>
      <w:bookmarkEnd w:id="1074"/>
      <w:bookmarkEnd w:id="1075"/>
      <w:bookmarkEnd w:id="1076"/>
      <w:r>
        <w:rPr>
          <w:rFonts w:hint="eastAsia"/>
          <w:color w:val="auto"/>
          <w:sz w:val="24"/>
          <w:szCs w:val="20"/>
          <w:highlight w:val="none"/>
        </w:rPr>
        <w:t xml:space="preserve"> </w:t>
      </w:r>
    </w:p>
    <w:p w14:paraId="5751C167">
      <w:pPr>
        <w:spacing w:line="360" w:lineRule="auto"/>
        <w:rPr>
          <w:color w:val="auto"/>
          <w:sz w:val="24"/>
          <w:szCs w:val="20"/>
          <w:highlight w:val="none"/>
        </w:rPr>
      </w:pPr>
    </w:p>
    <w:p w14:paraId="0AB1BDBE">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4CE83F96">
      <w:pPr>
        <w:spacing w:line="360" w:lineRule="auto"/>
        <w:rPr>
          <w:color w:val="auto"/>
          <w:sz w:val="24"/>
          <w:szCs w:val="20"/>
          <w:highlight w:val="none"/>
        </w:rPr>
      </w:pPr>
    </w:p>
    <w:p w14:paraId="142AFCD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1E06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68A21E98">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3ECEDBC8">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0EAAD16">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539B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1E70337">
            <w:pPr>
              <w:adjustRightInd w:val="0"/>
              <w:snapToGrid w:val="0"/>
              <w:jc w:val="center"/>
              <w:rPr>
                <w:color w:val="auto"/>
                <w:sz w:val="24"/>
                <w:highlight w:val="none"/>
              </w:rPr>
            </w:pPr>
            <w:r>
              <w:rPr>
                <w:color w:val="auto"/>
                <w:sz w:val="24"/>
                <w:highlight w:val="none"/>
              </w:rPr>
              <w:t>序号</w:t>
            </w:r>
          </w:p>
        </w:tc>
        <w:tc>
          <w:tcPr>
            <w:tcW w:w="1290" w:type="dxa"/>
            <w:vAlign w:val="center"/>
          </w:tcPr>
          <w:p w14:paraId="2635E7FD">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0" w:type="dxa"/>
            <w:vAlign w:val="center"/>
          </w:tcPr>
          <w:p w14:paraId="75B9761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1" w:type="dxa"/>
            <w:vAlign w:val="center"/>
          </w:tcPr>
          <w:p w14:paraId="3F9635FE">
            <w:pPr>
              <w:adjustRightInd w:val="0"/>
              <w:snapToGrid w:val="0"/>
              <w:jc w:val="center"/>
              <w:rPr>
                <w:color w:val="auto"/>
                <w:sz w:val="24"/>
                <w:highlight w:val="none"/>
              </w:rPr>
            </w:pPr>
            <w:r>
              <w:rPr>
                <w:color w:val="auto"/>
                <w:sz w:val="24"/>
                <w:highlight w:val="none"/>
              </w:rPr>
              <w:t>投标文件内容</w:t>
            </w:r>
          </w:p>
        </w:tc>
        <w:tc>
          <w:tcPr>
            <w:tcW w:w="2423" w:type="dxa"/>
            <w:vAlign w:val="center"/>
          </w:tcPr>
          <w:p w14:paraId="728C7529">
            <w:pPr>
              <w:adjustRightInd w:val="0"/>
              <w:snapToGrid w:val="0"/>
              <w:jc w:val="center"/>
              <w:rPr>
                <w:color w:val="auto"/>
                <w:sz w:val="24"/>
                <w:highlight w:val="none"/>
              </w:rPr>
            </w:pPr>
            <w:r>
              <w:rPr>
                <w:color w:val="auto"/>
                <w:sz w:val="24"/>
                <w:highlight w:val="none"/>
              </w:rPr>
              <w:t>偏离情况</w:t>
            </w:r>
          </w:p>
        </w:tc>
        <w:tc>
          <w:tcPr>
            <w:tcW w:w="782" w:type="dxa"/>
            <w:vAlign w:val="center"/>
          </w:tcPr>
          <w:p w14:paraId="2612E1D2">
            <w:pPr>
              <w:adjustRightInd w:val="0"/>
              <w:snapToGrid w:val="0"/>
              <w:jc w:val="center"/>
              <w:rPr>
                <w:color w:val="auto"/>
                <w:sz w:val="24"/>
                <w:highlight w:val="none"/>
              </w:rPr>
            </w:pPr>
            <w:r>
              <w:rPr>
                <w:color w:val="auto"/>
                <w:sz w:val="24"/>
                <w:highlight w:val="none"/>
              </w:rPr>
              <w:t>说明</w:t>
            </w:r>
          </w:p>
        </w:tc>
      </w:tr>
      <w:tr w14:paraId="2C07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02B5D978">
            <w:pPr>
              <w:adjustRightInd w:val="0"/>
              <w:snapToGrid w:val="0"/>
              <w:jc w:val="center"/>
              <w:rPr>
                <w:color w:val="auto"/>
                <w:sz w:val="24"/>
                <w:highlight w:val="none"/>
              </w:rPr>
            </w:pPr>
          </w:p>
        </w:tc>
        <w:tc>
          <w:tcPr>
            <w:tcW w:w="1290" w:type="dxa"/>
            <w:vAlign w:val="center"/>
          </w:tcPr>
          <w:p w14:paraId="58254325">
            <w:pPr>
              <w:adjustRightInd w:val="0"/>
              <w:snapToGrid w:val="0"/>
              <w:jc w:val="center"/>
              <w:rPr>
                <w:color w:val="auto"/>
                <w:sz w:val="24"/>
                <w:highlight w:val="none"/>
              </w:rPr>
            </w:pPr>
          </w:p>
        </w:tc>
        <w:tc>
          <w:tcPr>
            <w:tcW w:w="1980" w:type="dxa"/>
            <w:vAlign w:val="center"/>
          </w:tcPr>
          <w:p w14:paraId="47D45413">
            <w:pPr>
              <w:adjustRightInd w:val="0"/>
              <w:snapToGrid w:val="0"/>
              <w:jc w:val="center"/>
              <w:rPr>
                <w:color w:val="auto"/>
                <w:sz w:val="24"/>
                <w:highlight w:val="none"/>
              </w:rPr>
            </w:pPr>
          </w:p>
        </w:tc>
        <w:tc>
          <w:tcPr>
            <w:tcW w:w="1981" w:type="dxa"/>
            <w:vAlign w:val="center"/>
          </w:tcPr>
          <w:p w14:paraId="7AA74CFC">
            <w:pPr>
              <w:adjustRightInd w:val="0"/>
              <w:snapToGrid w:val="0"/>
              <w:jc w:val="center"/>
              <w:rPr>
                <w:color w:val="auto"/>
                <w:sz w:val="24"/>
                <w:highlight w:val="none"/>
              </w:rPr>
            </w:pPr>
          </w:p>
        </w:tc>
        <w:tc>
          <w:tcPr>
            <w:tcW w:w="2423" w:type="dxa"/>
            <w:vAlign w:val="center"/>
          </w:tcPr>
          <w:p w14:paraId="2AEDC231">
            <w:pPr>
              <w:adjustRightInd w:val="0"/>
              <w:snapToGrid w:val="0"/>
              <w:jc w:val="center"/>
              <w:rPr>
                <w:color w:val="auto"/>
                <w:sz w:val="24"/>
                <w:highlight w:val="none"/>
              </w:rPr>
            </w:pPr>
          </w:p>
        </w:tc>
        <w:tc>
          <w:tcPr>
            <w:tcW w:w="782" w:type="dxa"/>
            <w:vAlign w:val="center"/>
          </w:tcPr>
          <w:p w14:paraId="015C61A1">
            <w:pPr>
              <w:adjustRightInd w:val="0"/>
              <w:snapToGrid w:val="0"/>
              <w:jc w:val="center"/>
              <w:rPr>
                <w:color w:val="auto"/>
                <w:sz w:val="24"/>
                <w:highlight w:val="none"/>
              </w:rPr>
            </w:pPr>
          </w:p>
        </w:tc>
      </w:tr>
      <w:tr w14:paraId="5475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45B0E824">
            <w:pPr>
              <w:adjustRightInd w:val="0"/>
              <w:snapToGrid w:val="0"/>
              <w:jc w:val="center"/>
              <w:rPr>
                <w:color w:val="auto"/>
                <w:sz w:val="24"/>
                <w:highlight w:val="none"/>
              </w:rPr>
            </w:pPr>
          </w:p>
        </w:tc>
        <w:tc>
          <w:tcPr>
            <w:tcW w:w="1290" w:type="dxa"/>
            <w:vAlign w:val="center"/>
          </w:tcPr>
          <w:p w14:paraId="3558609D">
            <w:pPr>
              <w:adjustRightInd w:val="0"/>
              <w:snapToGrid w:val="0"/>
              <w:jc w:val="center"/>
              <w:rPr>
                <w:color w:val="auto"/>
                <w:sz w:val="24"/>
                <w:highlight w:val="none"/>
              </w:rPr>
            </w:pPr>
          </w:p>
        </w:tc>
        <w:tc>
          <w:tcPr>
            <w:tcW w:w="1980" w:type="dxa"/>
            <w:vAlign w:val="center"/>
          </w:tcPr>
          <w:p w14:paraId="195520E4">
            <w:pPr>
              <w:adjustRightInd w:val="0"/>
              <w:snapToGrid w:val="0"/>
              <w:jc w:val="center"/>
              <w:rPr>
                <w:color w:val="auto"/>
                <w:sz w:val="24"/>
                <w:highlight w:val="none"/>
              </w:rPr>
            </w:pPr>
          </w:p>
        </w:tc>
        <w:tc>
          <w:tcPr>
            <w:tcW w:w="1981" w:type="dxa"/>
            <w:vAlign w:val="center"/>
          </w:tcPr>
          <w:p w14:paraId="16EF188B">
            <w:pPr>
              <w:adjustRightInd w:val="0"/>
              <w:snapToGrid w:val="0"/>
              <w:jc w:val="center"/>
              <w:rPr>
                <w:color w:val="auto"/>
                <w:sz w:val="24"/>
                <w:highlight w:val="none"/>
              </w:rPr>
            </w:pPr>
          </w:p>
        </w:tc>
        <w:tc>
          <w:tcPr>
            <w:tcW w:w="2423" w:type="dxa"/>
            <w:vAlign w:val="center"/>
          </w:tcPr>
          <w:p w14:paraId="26D014B3">
            <w:pPr>
              <w:adjustRightInd w:val="0"/>
              <w:snapToGrid w:val="0"/>
              <w:jc w:val="center"/>
              <w:rPr>
                <w:color w:val="auto"/>
                <w:sz w:val="24"/>
                <w:highlight w:val="none"/>
              </w:rPr>
            </w:pPr>
          </w:p>
        </w:tc>
        <w:tc>
          <w:tcPr>
            <w:tcW w:w="782" w:type="dxa"/>
            <w:vAlign w:val="center"/>
          </w:tcPr>
          <w:p w14:paraId="0AE1555B">
            <w:pPr>
              <w:adjustRightInd w:val="0"/>
              <w:snapToGrid w:val="0"/>
              <w:jc w:val="center"/>
              <w:rPr>
                <w:color w:val="auto"/>
                <w:sz w:val="24"/>
                <w:highlight w:val="none"/>
              </w:rPr>
            </w:pPr>
          </w:p>
        </w:tc>
      </w:tr>
      <w:tr w14:paraId="09D2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95ECE54">
            <w:pPr>
              <w:adjustRightInd w:val="0"/>
              <w:snapToGrid w:val="0"/>
              <w:jc w:val="center"/>
              <w:rPr>
                <w:color w:val="auto"/>
                <w:sz w:val="24"/>
                <w:highlight w:val="none"/>
              </w:rPr>
            </w:pPr>
          </w:p>
        </w:tc>
        <w:tc>
          <w:tcPr>
            <w:tcW w:w="1290" w:type="dxa"/>
            <w:vAlign w:val="center"/>
          </w:tcPr>
          <w:p w14:paraId="57D5E354">
            <w:pPr>
              <w:adjustRightInd w:val="0"/>
              <w:snapToGrid w:val="0"/>
              <w:jc w:val="center"/>
              <w:rPr>
                <w:color w:val="auto"/>
                <w:sz w:val="24"/>
                <w:highlight w:val="none"/>
              </w:rPr>
            </w:pPr>
          </w:p>
        </w:tc>
        <w:tc>
          <w:tcPr>
            <w:tcW w:w="1980" w:type="dxa"/>
            <w:vAlign w:val="center"/>
          </w:tcPr>
          <w:p w14:paraId="1F059990">
            <w:pPr>
              <w:adjustRightInd w:val="0"/>
              <w:snapToGrid w:val="0"/>
              <w:jc w:val="center"/>
              <w:rPr>
                <w:color w:val="auto"/>
                <w:sz w:val="24"/>
                <w:highlight w:val="none"/>
              </w:rPr>
            </w:pPr>
          </w:p>
        </w:tc>
        <w:tc>
          <w:tcPr>
            <w:tcW w:w="1981" w:type="dxa"/>
            <w:vAlign w:val="center"/>
          </w:tcPr>
          <w:p w14:paraId="7E4F7530">
            <w:pPr>
              <w:adjustRightInd w:val="0"/>
              <w:snapToGrid w:val="0"/>
              <w:jc w:val="center"/>
              <w:rPr>
                <w:color w:val="auto"/>
                <w:sz w:val="24"/>
                <w:highlight w:val="none"/>
              </w:rPr>
            </w:pPr>
          </w:p>
        </w:tc>
        <w:tc>
          <w:tcPr>
            <w:tcW w:w="2423" w:type="dxa"/>
            <w:vAlign w:val="center"/>
          </w:tcPr>
          <w:p w14:paraId="04D0E06F">
            <w:pPr>
              <w:adjustRightInd w:val="0"/>
              <w:snapToGrid w:val="0"/>
              <w:jc w:val="center"/>
              <w:rPr>
                <w:color w:val="auto"/>
                <w:sz w:val="24"/>
                <w:highlight w:val="none"/>
              </w:rPr>
            </w:pPr>
          </w:p>
        </w:tc>
        <w:tc>
          <w:tcPr>
            <w:tcW w:w="782" w:type="dxa"/>
            <w:vAlign w:val="center"/>
          </w:tcPr>
          <w:p w14:paraId="74A878ED">
            <w:pPr>
              <w:adjustRightInd w:val="0"/>
              <w:snapToGrid w:val="0"/>
              <w:jc w:val="center"/>
              <w:rPr>
                <w:color w:val="auto"/>
                <w:sz w:val="24"/>
                <w:highlight w:val="none"/>
              </w:rPr>
            </w:pPr>
          </w:p>
        </w:tc>
      </w:tr>
      <w:tr w14:paraId="7691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2292240">
            <w:pPr>
              <w:adjustRightInd w:val="0"/>
              <w:snapToGrid w:val="0"/>
              <w:jc w:val="center"/>
              <w:rPr>
                <w:color w:val="auto"/>
                <w:sz w:val="24"/>
                <w:highlight w:val="none"/>
              </w:rPr>
            </w:pPr>
            <w:r>
              <w:rPr>
                <w:color w:val="auto"/>
                <w:sz w:val="24"/>
                <w:highlight w:val="none"/>
              </w:rPr>
              <w:t>……</w:t>
            </w:r>
          </w:p>
        </w:tc>
        <w:tc>
          <w:tcPr>
            <w:tcW w:w="1290" w:type="dxa"/>
            <w:vAlign w:val="center"/>
          </w:tcPr>
          <w:p w14:paraId="34ACCB88">
            <w:pPr>
              <w:adjustRightInd w:val="0"/>
              <w:snapToGrid w:val="0"/>
              <w:jc w:val="center"/>
              <w:rPr>
                <w:color w:val="auto"/>
                <w:sz w:val="24"/>
                <w:highlight w:val="none"/>
              </w:rPr>
            </w:pPr>
          </w:p>
        </w:tc>
        <w:tc>
          <w:tcPr>
            <w:tcW w:w="1980" w:type="dxa"/>
            <w:vAlign w:val="center"/>
          </w:tcPr>
          <w:p w14:paraId="35C74916">
            <w:pPr>
              <w:adjustRightInd w:val="0"/>
              <w:snapToGrid w:val="0"/>
              <w:jc w:val="center"/>
              <w:rPr>
                <w:color w:val="auto"/>
                <w:sz w:val="24"/>
                <w:highlight w:val="none"/>
              </w:rPr>
            </w:pPr>
          </w:p>
        </w:tc>
        <w:tc>
          <w:tcPr>
            <w:tcW w:w="1981" w:type="dxa"/>
            <w:vAlign w:val="center"/>
          </w:tcPr>
          <w:p w14:paraId="77C93415">
            <w:pPr>
              <w:adjustRightInd w:val="0"/>
              <w:snapToGrid w:val="0"/>
              <w:jc w:val="center"/>
              <w:rPr>
                <w:color w:val="auto"/>
                <w:sz w:val="24"/>
                <w:highlight w:val="none"/>
              </w:rPr>
            </w:pPr>
          </w:p>
        </w:tc>
        <w:tc>
          <w:tcPr>
            <w:tcW w:w="2423" w:type="dxa"/>
            <w:vAlign w:val="center"/>
          </w:tcPr>
          <w:p w14:paraId="0ACDE4E0">
            <w:pPr>
              <w:adjustRightInd w:val="0"/>
              <w:snapToGrid w:val="0"/>
              <w:jc w:val="center"/>
              <w:rPr>
                <w:color w:val="auto"/>
                <w:sz w:val="24"/>
                <w:highlight w:val="none"/>
              </w:rPr>
            </w:pPr>
          </w:p>
        </w:tc>
        <w:tc>
          <w:tcPr>
            <w:tcW w:w="782" w:type="dxa"/>
            <w:vAlign w:val="center"/>
          </w:tcPr>
          <w:p w14:paraId="6FDFD40C">
            <w:pPr>
              <w:adjustRightInd w:val="0"/>
              <w:snapToGrid w:val="0"/>
              <w:jc w:val="center"/>
              <w:rPr>
                <w:color w:val="auto"/>
                <w:sz w:val="24"/>
                <w:highlight w:val="none"/>
              </w:rPr>
            </w:pPr>
          </w:p>
        </w:tc>
      </w:tr>
    </w:tbl>
    <w:p w14:paraId="2373865C">
      <w:pPr>
        <w:tabs>
          <w:tab w:val="left" w:pos="1800"/>
          <w:tab w:val="left" w:pos="5580"/>
        </w:tabs>
        <w:jc w:val="left"/>
        <w:rPr>
          <w:color w:val="auto"/>
          <w:sz w:val="24"/>
          <w:highlight w:val="none"/>
        </w:rPr>
      </w:pPr>
    </w:p>
    <w:p w14:paraId="1615D23E">
      <w:pPr>
        <w:tabs>
          <w:tab w:val="left" w:pos="1800"/>
          <w:tab w:val="left" w:pos="5580"/>
        </w:tabs>
        <w:jc w:val="left"/>
        <w:rPr>
          <w:color w:val="auto"/>
          <w:sz w:val="24"/>
          <w:highlight w:val="none"/>
        </w:rPr>
      </w:pPr>
      <w:r>
        <w:rPr>
          <w:color w:val="auto"/>
          <w:sz w:val="24"/>
          <w:highlight w:val="none"/>
        </w:rPr>
        <w:t>注：</w:t>
      </w:r>
    </w:p>
    <w:p w14:paraId="33D87C3D">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rPr>
        <w:t>投标</w:t>
      </w:r>
      <w:r>
        <w:rPr>
          <w:rFonts w:hint="eastAsia"/>
          <w:color w:val="auto"/>
          <w:sz w:val="24"/>
          <w:highlight w:val="none"/>
          <w:lang w:val="en-US" w:eastAsia="zh-CN"/>
        </w:rPr>
        <w:t>人</w:t>
      </w:r>
      <w:r>
        <w:rPr>
          <w:color w:val="auto"/>
          <w:sz w:val="24"/>
          <w:highlight w:val="none"/>
        </w:rPr>
        <w:t>已对之理解和</w:t>
      </w:r>
      <w:r>
        <w:rPr>
          <w:rFonts w:hint="eastAsia"/>
          <w:color w:val="auto"/>
          <w:sz w:val="24"/>
          <w:highlight w:val="none"/>
        </w:rPr>
        <w:t>响应</w:t>
      </w:r>
      <w:r>
        <w:rPr>
          <w:color w:val="auto"/>
          <w:sz w:val="24"/>
          <w:highlight w:val="none"/>
        </w:rPr>
        <w:t>。</w:t>
      </w:r>
    </w:p>
    <w:p w14:paraId="174DE94D">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10438DB2">
      <w:pPr>
        <w:spacing w:line="360" w:lineRule="auto"/>
        <w:rPr>
          <w:color w:val="auto"/>
          <w:sz w:val="24"/>
          <w:szCs w:val="20"/>
          <w:highlight w:val="none"/>
        </w:rPr>
      </w:pPr>
    </w:p>
    <w:p w14:paraId="6B5E43F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19A778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AAE1DB6">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4761F27">
      <w:pPr>
        <w:spacing w:line="360" w:lineRule="auto"/>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6</w:t>
      </w:r>
      <w:r>
        <w:rPr>
          <w:color w:val="auto"/>
          <w:sz w:val="24"/>
          <w:szCs w:val="20"/>
          <w:highlight w:val="none"/>
        </w:rPr>
        <w:t xml:space="preserve"> </w:t>
      </w:r>
      <w:bookmarkEnd w:id="1077"/>
      <w:bookmarkEnd w:id="1078"/>
      <w:bookmarkEnd w:id="1079"/>
      <w:bookmarkEnd w:id="1080"/>
      <w:bookmarkEnd w:id="1081"/>
      <w:bookmarkEnd w:id="1082"/>
      <w:bookmarkEnd w:id="1083"/>
      <w:bookmarkEnd w:id="1084"/>
      <w:bookmarkEnd w:id="1085"/>
      <w:bookmarkEnd w:id="1086"/>
      <w:bookmarkEnd w:id="1087"/>
      <w:bookmarkEnd w:id="1088"/>
      <w:bookmarkEnd w:id="1089"/>
      <w:r>
        <w:rPr>
          <w:color w:val="auto"/>
          <w:sz w:val="24"/>
          <w:szCs w:val="20"/>
          <w:highlight w:val="none"/>
        </w:rPr>
        <w:t>采购需求偏离表</w:t>
      </w:r>
      <w:r>
        <w:rPr>
          <w:rFonts w:hint="eastAsia"/>
          <w:color w:val="auto"/>
          <w:sz w:val="24"/>
          <w:szCs w:val="20"/>
          <w:highlight w:val="none"/>
        </w:rPr>
        <w:t xml:space="preserve"> </w:t>
      </w:r>
    </w:p>
    <w:p w14:paraId="5615123C">
      <w:pPr>
        <w:autoSpaceDE w:val="0"/>
        <w:autoSpaceDN w:val="0"/>
        <w:adjustRightInd w:val="0"/>
        <w:spacing w:line="360" w:lineRule="auto"/>
        <w:jc w:val="center"/>
        <w:rPr>
          <w:b/>
          <w:color w:val="auto"/>
          <w:sz w:val="36"/>
          <w:szCs w:val="36"/>
          <w:highlight w:val="none"/>
        </w:rPr>
      </w:pPr>
    </w:p>
    <w:p w14:paraId="66BF9EC5">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0EC665F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7CB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1077FA4">
            <w:pPr>
              <w:adjustRightInd w:val="0"/>
              <w:snapToGrid w:val="0"/>
              <w:jc w:val="center"/>
              <w:rPr>
                <w:color w:val="auto"/>
                <w:sz w:val="24"/>
                <w:highlight w:val="none"/>
              </w:rPr>
            </w:pPr>
            <w:r>
              <w:rPr>
                <w:color w:val="auto"/>
                <w:sz w:val="24"/>
                <w:highlight w:val="none"/>
              </w:rPr>
              <w:t>序号</w:t>
            </w:r>
          </w:p>
        </w:tc>
        <w:tc>
          <w:tcPr>
            <w:tcW w:w="1482" w:type="dxa"/>
            <w:vAlign w:val="center"/>
          </w:tcPr>
          <w:p w14:paraId="41135FDC">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5CFBEFD3">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10C14650">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591D36C">
            <w:pPr>
              <w:adjustRightInd w:val="0"/>
              <w:snapToGrid w:val="0"/>
              <w:jc w:val="center"/>
              <w:rPr>
                <w:color w:val="auto"/>
                <w:sz w:val="24"/>
                <w:highlight w:val="none"/>
              </w:rPr>
            </w:pPr>
            <w:r>
              <w:rPr>
                <w:color w:val="auto"/>
                <w:sz w:val="24"/>
                <w:highlight w:val="none"/>
              </w:rPr>
              <w:t>偏离情况</w:t>
            </w:r>
          </w:p>
        </w:tc>
        <w:tc>
          <w:tcPr>
            <w:tcW w:w="1009" w:type="dxa"/>
            <w:vAlign w:val="center"/>
          </w:tcPr>
          <w:p w14:paraId="415CCE99">
            <w:pPr>
              <w:adjustRightInd w:val="0"/>
              <w:snapToGrid w:val="0"/>
              <w:jc w:val="center"/>
              <w:rPr>
                <w:color w:val="auto"/>
                <w:sz w:val="24"/>
                <w:highlight w:val="none"/>
              </w:rPr>
            </w:pPr>
            <w:r>
              <w:rPr>
                <w:color w:val="auto"/>
                <w:sz w:val="24"/>
                <w:highlight w:val="none"/>
              </w:rPr>
              <w:t>说明</w:t>
            </w:r>
          </w:p>
        </w:tc>
      </w:tr>
      <w:tr w14:paraId="389E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20C50C">
            <w:pPr>
              <w:adjustRightInd w:val="0"/>
              <w:snapToGrid w:val="0"/>
              <w:jc w:val="center"/>
              <w:rPr>
                <w:color w:val="auto"/>
                <w:sz w:val="24"/>
                <w:highlight w:val="none"/>
              </w:rPr>
            </w:pPr>
          </w:p>
        </w:tc>
        <w:tc>
          <w:tcPr>
            <w:tcW w:w="1482" w:type="dxa"/>
            <w:vAlign w:val="center"/>
          </w:tcPr>
          <w:p w14:paraId="10CF4DB1">
            <w:pPr>
              <w:adjustRightInd w:val="0"/>
              <w:snapToGrid w:val="0"/>
              <w:jc w:val="center"/>
              <w:rPr>
                <w:color w:val="auto"/>
                <w:sz w:val="24"/>
                <w:highlight w:val="none"/>
              </w:rPr>
            </w:pPr>
          </w:p>
        </w:tc>
        <w:tc>
          <w:tcPr>
            <w:tcW w:w="2384" w:type="dxa"/>
            <w:vAlign w:val="center"/>
          </w:tcPr>
          <w:p w14:paraId="2B918D96">
            <w:pPr>
              <w:adjustRightInd w:val="0"/>
              <w:snapToGrid w:val="0"/>
              <w:jc w:val="center"/>
              <w:rPr>
                <w:color w:val="auto"/>
                <w:sz w:val="24"/>
                <w:highlight w:val="none"/>
              </w:rPr>
            </w:pPr>
          </w:p>
        </w:tc>
        <w:tc>
          <w:tcPr>
            <w:tcW w:w="2126" w:type="dxa"/>
            <w:vAlign w:val="center"/>
          </w:tcPr>
          <w:p w14:paraId="4EF21DF7">
            <w:pPr>
              <w:adjustRightInd w:val="0"/>
              <w:snapToGrid w:val="0"/>
              <w:jc w:val="center"/>
              <w:rPr>
                <w:color w:val="auto"/>
                <w:sz w:val="24"/>
                <w:highlight w:val="none"/>
              </w:rPr>
            </w:pPr>
          </w:p>
        </w:tc>
        <w:tc>
          <w:tcPr>
            <w:tcW w:w="1875" w:type="dxa"/>
            <w:vAlign w:val="center"/>
          </w:tcPr>
          <w:p w14:paraId="6860008D">
            <w:pPr>
              <w:adjustRightInd w:val="0"/>
              <w:snapToGrid w:val="0"/>
              <w:jc w:val="center"/>
              <w:rPr>
                <w:color w:val="auto"/>
                <w:sz w:val="24"/>
                <w:highlight w:val="none"/>
              </w:rPr>
            </w:pPr>
          </w:p>
        </w:tc>
        <w:tc>
          <w:tcPr>
            <w:tcW w:w="1009" w:type="dxa"/>
            <w:vAlign w:val="center"/>
          </w:tcPr>
          <w:p w14:paraId="28B331CE">
            <w:pPr>
              <w:adjustRightInd w:val="0"/>
              <w:snapToGrid w:val="0"/>
              <w:jc w:val="center"/>
              <w:rPr>
                <w:color w:val="auto"/>
                <w:sz w:val="24"/>
                <w:highlight w:val="none"/>
              </w:rPr>
            </w:pPr>
          </w:p>
        </w:tc>
      </w:tr>
      <w:tr w14:paraId="0174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D9D7C07">
            <w:pPr>
              <w:adjustRightInd w:val="0"/>
              <w:snapToGrid w:val="0"/>
              <w:jc w:val="center"/>
              <w:rPr>
                <w:color w:val="auto"/>
                <w:sz w:val="24"/>
                <w:highlight w:val="none"/>
              </w:rPr>
            </w:pPr>
          </w:p>
        </w:tc>
        <w:tc>
          <w:tcPr>
            <w:tcW w:w="1482" w:type="dxa"/>
            <w:vAlign w:val="center"/>
          </w:tcPr>
          <w:p w14:paraId="5C4F935B">
            <w:pPr>
              <w:adjustRightInd w:val="0"/>
              <w:snapToGrid w:val="0"/>
              <w:jc w:val="center"/>
              <w:rPr>
                <w:color w:val="auto"/>
                <w:sz w:val="24"/>
                <w:highlight w:val="none"/>
              </w:rPr>
            </w:pPr>
          </w:p>
        </w:tc>
        <w:tc>
          <w:tcPr>
            <w:tcW w:w="2384" w:type="dxa"/>
            <w:vAlign w:val="center"/>
          </w:tcPr>
          <w:p w14:paraId="58D371CC">
            <w:pPr>
              <w:adjustRightInd w:val="0"/>
              <w:snapToGrid w:val="0"/>
              <w:jc w:val="center"/>
              <w:rPr>
                <w:color w:val="auto"/>
                <w:sz w:val="24"/>
                <w:highlight w:val="none"/>
              </w:rPr>
            </w:pPr>
          </w:p>
        </w:tc>
        <w:tc>
          <w:tcPr>
            <w:tcW w:w="2126" w:type="dxa"/>
            <w:vAlign w:val="center"/>
          </w:tcPr>
          <w:p w14:paraId="2DE2B2A0">
            <w:pPr>
              <w:adjustRightInd w:val="0"/>
              <w:snapToGrid w:val="0"/>
              <w:jc w:val="center"/>
              <w:rPr>
                <w:color w:val="auto"/>
                <w:sz w:val="24"/>
                <w:highlight w:val="none"/>
              </w:rPr>
            </w:pPr>
          </w:p>
        </w:tc>
        <w:tc>
          <w:tcPr>
            <w:tcW w:w="1875" w:type="dxa"/>
            <w:vAlign w:val="center"/>
          </w:tcPr>
          <w:p w14:paraId="3864088F">
            <w:pPr>
              <w:adjustRightInd w:val="0"/>
              <w:snapToGrid w:val="0"/>
              <w:jc w:val="center"/>
              <w:rPr>
                <w:color w:val="auto"/>
                <w:sz w:val="24"/>
                <w:highlight w:val="none"/>
              </w:rPr>
            </w:pPr>
          </w:p>
        </w:tc>
        <w:tc>
          <w:tcPr>
            <w:tcW w:w="1009" w:type="dxa"/>
            <w:vAlign w:val="center"/>
          </w:tcPr>
          <w:p w14:paraId="42B4163B">
            <w:pPr>
              <w:adjustRightInd w:val="0"/>
              <w:snapToGrid w:val="0"/>
              <w:jc w:val="center"/>
              <w:rPr>
                <w:color w:val="auto"/>
                <w:sz w:val="24"/>
                <w:highlight w:val="none"/>
              </w:rPr>
            </w:pPr>
          </w:p>
        </w:tc>
      </w:tr>
      <w:tr w14:paraId="4E31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89D518">
            <w:pPr>
              <w:adjustRightInd w:val="0"/>
              <w:snapToGrid w:val="0"/>
              <w:jc w:val="center"/>
              <w:rPr>
                <w:color w:val="auto"/>
                <w:sz w:val="24"/>
                <w:highlight w:val="none"/>
              </w:rPr>
            </w:pPr>
          </w:p>
        </w:tc>
        <w:tc>
          <w:tcPr>
            <w:tcW w:w="1482" w:type="dxa"/>
            <w:vAlign w:val="center"/>
          </w:tcPr>
          <w:p w14:paraId="5F3A6095">
            <w:pPr>
              <w:adjustRightInd w:val="0"/>
              <w:snapToGrid w:val="0"/>
              <w:jc w:val="center"/>
              <w:rPr>
                <w:color w:val="auto"/>
                <w:sz w:val="24"/>
                <w:highlight w:val="none"/>
              </w:rPr>
            </w:pPr>
          </w:p>
        </w:tc>
        <w:tc>
          <w:tcPr>
            <w:tcW w:w="2384" w:type="dxa"/>
            <w:vAlign w:val="center"/>
          </w:tcPr>
          <w:p w14:paraId="288A1815">
            <w:pPr>
              <w:adjustRightInd w:val="0"/>
              <w:snapToGrid w:val="0"/>
              <w:jc w:val="center"/>
              <w:rPr>
                <w:color w:val="auto"/>
                <w:sz w:val="24"/>
                <w:highlight w:val="none"/>
              </w:rPr>
            </w:pPr>
          </w:p>
        </w:tc>
        <w:tc>
          <w:tcPr>
            <w:tcW w:w="2126" w:type="dxa"/>
            <w:vAlign w:val="center"/>
          </w:tcPr>
          <w:p w14:paraId="7C44FD04">
            <w:pPr>
              <w:adjustRightInd w:val="0"/>
              <w:snapToGrid w:val="0"/>
              <w:jc w:val="center"/>
              <w:rPr>
                <w:color w:val="auto"/>
                <w:sz w:val="24"/>
                <w:highlight w:val="none"/>
              </w:rPr>
            </w:pPr>
          </w:p>
        </w:tc>
        <w:tc>
          <w:tcPr>
            <w:tcW w:w="1875" w:type="dxa"/>
            <w:vAlign w:val="center"/>
          </w:tcPr>
          <w:p w14:paraId="31F09449">
            <w:pPr>
              <w:adjustRightInd w:val="0"/>
              <w:snapToGrid w:val="0"/>
              <w:jc w:val="center"/>
              <w:rPr>
                <w:color w:val="auto"/>
                <w:sz w:val="24"/>
                <w:highlight w:val="none"/>
              </w:rPr>
            </w:pPr>
          </w:p>
        </w:tc>
        <w:tc>
          <w:tcPr>
            <w:tcW w:w="1009" w:type="dxa"/>
            <w:vAlign w:val="center"/>
          </w:tcPr>
          <w:p w14:paraId="75676995">
            <w:pPr>
              <w:adjustRightInd w:val="0"/>
              <w:snapToGrid w:val="0"/>
              <w:jc w:val="center"/>
              <w:rPr>
                <w:color w:val="auto"/>
                <w:sz w:val="24"/>
                <w:highlight w:val="none"/>
              </w:rPr>
            </w:pPr>
          </w:p>
        </w:tc>
      </w:tr>
      <w:tr w14:paraId="7002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21E706">
            <w:pPr>
              <w:adjustRightInd w:val="0"/>
              <w:snapToGrid w:val="0"/>
              <w:jc w:val="center"/>
              <w:rPr>
                <w:color w:val="auto"/>
                <w:sz w:val="24"/>
                <w:highlight w:val="none"/>
              </w:rPr>
            </w:pPr>
          </w:p>
        </w:tc>
        <w:tc>
          <w:tcPr>
            <w:tcW w:w="1482" w:type="dxa"/>
            <w:vAlign w:val="center"/>
          </w:tcPr>
          <w:p w14:paraId="0718D93B">
            <w:pPr>
              <w:adjustRightInd w:val="0"/>
              <w:snapToGrid w:val="0"/>
              <w:jc w:val="center"/>
              <w:rPr>
                <w:color w:val="auto"/>
                <w:sz w:val="24"/>
                <w:highlight w:val="none"/>
              </w:rPr>
            </w:pPr>
          </w:p>
        </w:tc>
        <w:tc>
          <w:tcPr>
            <w:tcW w:w="2384" w:type="dxa"/>
            <w:vAlign w:val="center"/>
          </w:tcPr>
          <w:p w14:paraId="19B70422">
            <w:pPr>
              <w:adjustRightInd w:val="0"/>
              <w:snapToGrid w:val="0"/>
              <w:jc w:val="center"/>
              <w:rPr>
                <w:color w:val="auto"/>
                <w:sz w:val="24"/>
                <w:highlight w:val="none"/>
              </w:rPr>
            </w:pPr>
          </w:p>
        </w:tc>
        <w:tc>
          <w:tcPr>
            <w:tcW w:w="2126" w:type="dxa"/>
            <w:vAlign w:val="center"/>
          </w:tcPr>
          <w:p w14:paraId="42FDA2DB">
            <w:pPr>
              <w:adjustRightInd w:val="0"/>
              <w:snapToGrid w:val="0"/>
              <w:jc w:val="center"/>
              <w:rPr>
                <w:color w:val="auto"/>
                <w:sz w:val="24"/>
                <w:highlight w:val="none"/>
              </w:rPr>
            </w:pPr>
          </w:p>
        </w:tc>
        <w:tc>
          <w:tcPr>
            <w:tcW w:w="1875" w:type="dxa"/>
            <w:vAlign w:val="center"/>
          </w:tcPr>
          <w:p w14:paraId="7B7AD98B">
            <w:pPr>
              <w:adjustRightInd w:val="0"/>
              <w:snapToGrid w:val="0"/>
              <w:jc w:val="center"/>
              <w:rPr>
                <w:color w:val="auto"/>
                <w:sz w:val="24"/>
                <w:highlight w:val="none"/>
              </w:rPr>
            </w:pPr>
          </w:p>
        </w:tc>
        <w:tc>
          <w:tcPr>
            <w:tcW w:w="1009" w:type="dxa"/>
            <w:vAlign w:val="center"/>
          </w:tcPr>
          <w:p w14:paraId="54B28E4D">
            <w:pPr>
              <w:adjustRightInd w:val="0"/>
              <w:snapToGrid w:val="0"/>
              <w:jc w:val="center"/>
              <w:rPr>
                <w:color w:val="auto"/>
                <w:sz w:val="24"/>
                <w:highlight w:val="none"/>
              </w:rPr>
            </w:pPr>
          </w:p>
        </w:tc>
      </w:tr>
      <w:tr w14:paraId="4E19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EBB2199">
            <w:pPr>
              <w:adjustRightInd w:val="0"/>
              <w:snapToGrid w:val="0"/>
              <w:jc w:val="center"/>
              <w:rPr>
                <w:color w:val="auto"/>
                <w:sz w:val="24"/>
                <w:highlight w:val="none"/>
              </w:rPr>
            </w:pPr>
          </w:p>
        </w:tc>
        <w:tc>
          <w:tcPr>
            <w:tcW w:w="1482" w:type="dxa"/>
            <w:vAlign w:val="center"/>
          </w:tcPr>
          <w:p w14:paraId="11EE7864">
            <w:pPr>
              <w:adjustRightInd w:val="0"/>
              <w:snapToGrid w:val="0"/>
              <w:jc w:val="center"/>
              <w:rPr>
                <w:color w:val="auto"/>
                <w:sz w:val="24"/>
                <w:highlight w:val="none"/>
              </w:rPr>
            </w:pPr>
          </w:p>
        </w:tc>
        <w:tc>
          <w:tcPr>
            <w:tcW w:w="2384" w:type="dxa"/>
            <w:vAlign w:val="center"/>
          </w:tcPr>
          <w:p w14:paraId="34EF9558">
            <w:pPr>
              <w:adjustRightInd w:val="0"/>
              <w:snapToGrid w:val="0"/>
              <w:jc w:val="center"/>
              <w:rPr>
                <w:color w:val="auto"/>
                <w:sz w:val="24"/>
                <w:highlight w:val="none"/>
              </w:rPr>
            </w:pPr>
          </w:p>
        </w:tc>
        <w:tc>
          <w:tcPr>
            <w:tcW w:w="2126" w:type="dxa"/>
            <w:vAlign w:val="center"/>
          </w:tcPr>
          <w:p w14:paraId="054833FE">
            <w:pPr>
              <w:adjustRightInd w:val="0"/>
              <w:snapToGrid w:val="0"/>
              <w:jc w:val="center"/>
              <w:rPr>
                <w:color w:val="auto"/>
                <w:sz w:val="24"/>
                <w:highlight w:val="none"/>
              </w:rPr>
            </w:pPr>
          </w:p>
        </w:tc>
        <w:tc>
          <w:tcPr>
            <w:tcW w:w="1875" w:type="dxa"/>
            <w:vAlign w:val="center"/>
          </w:tcPr>
          <w:p w14:paraId="68835974">
            <w:pPr>
              <w:adjustRightInd w:val="0"/>
              <w:snapToGrid w:val="0"/>
              <w:jc w:val="center"/>
              <w:rPr>
                <w:color w:val="auto"/>
                <w:sz w:val="24"/>
                <w:highlight w:val="none"/>
              </w:rPr>
            </w:pPr>
          </w:p>
        </w:tc>
        <w:tc>
          <w:tcPr>
            <w:tcW w:w="1009" w:type="dxa"/>
            <w:vAlign w:val="center"/>
          </w:tcPr>
          <w:p w14:paraId="27DABBA6">
            <w:pPr>
              <w:adjustRightInd w:val="0"/>
              <w:snapToGrid w:val="0"/>
              <w:jc w:val="center"/>
              <w:rPr>
                <w:color w:val="auto"/>
                <w:sz w:val="24"/>
                <w:highlight w:val="none"/>
              </w:rPr>
            </w:pPr>
          </w:p>
        </w:tc>
      </w:tr>
      <w:tr w14:paraId="5B33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D758C8">
            <w:pPr>
              <w:adjustRightInd w:val="0"/>
              <w:snapToGrid w:val="0"/>
              <w:jc w:val="center"/>
              <w:rPr>
                <w:color w:val="auto"/>
                <w:sz w:val="24"/>
                <w:highlight w:val="none"/>
              </w:rPr>
            </w:pPr>
            <w:r>
              <w:rPr>
                <w:color w:val="auto"/>
                <w:sz w:val="24"/>
                <w:highlight w:val="none"/>
              </w:rPr>
              <w:t>……</w:t>
            </w:r>
          </w:p>
        </w:tc>
        <w:tc>
          <w:tcPr>
            <w:tcW w:w="1482" w:type="dxa"/>
            <w:vAlign w:val="center"/>
          </w:tcPr>
          <w:p w14:paraId="37C04D4A">
            <w:pPr>
              <w:adjustRightInd w:val="0"/>
              <w:snapToGrid w:val="0"/>
              <w:jc w:val="center"/>
              <w:rPr>
                <w:color w:val="auto"/>
                <w:sz w:val="24"/>
                <w:highlight w:val="none"/>
              </w:rPr>
            </w:pPr>
          </w:p>
        </w:tc>
        <w:tc>
          <w:tcPr>
            <w:tcW w:w="2384" w:type="dxa"/>
            <w:vAlign w:val="center"/>
          </w:tcPr>
          <w:p w14:paraId="266F620C">
            <w:pPr>
              <w:adjustRightInd w:val="0"/>
              <w:snapToGrid w:val="0"/>
              <w:jc w:val="center"/>
              <w:rPr>
                <w:color w:val="auto"/>
                <w:sz w:val="24"/>
                <w:highlight w:val="none"/>
              </w:rPr>
            </w:pPr>
          </w:p>
        </w:tc>
        <w:tc>
          <w:tcPr>
            <w:tcW w:w="2126" w:type="dxa"/>
            <w:vAlign w:val="center"/>
          </w:tcPr>
          <w:p w14:paraId="12C3E1CD">
            <w:pPr>
              <w:adjustRightInd w:val="0"/>
              <w:snapToGrid w:val="0"/>
              <w:jc w:val="center"/>
              <w:rPr>
                <w:color w:val="auto"/>
                <w:sz w:val="24"/>
                <w:highlight w:val="none"/>
              </w:rPr>
            </w:pPr>
          </w:p>
        </w:tc>
        <w:tc>
          <w:tcPr>
            <w:tcW w:w="1875" w:type="dxa"/>
            <w:vAlign w:val="center"/>
          </w:tcPr>
          <w:p w14:paraId="6CB3BF87">
            <w:pPr>
              <w:adjustRightInd w:val="0"/>
              <w:snapToGrid w:val="0"/>
              <w:jc w:val="center"/>
              <w:rPr>
                <w:color w:val="auto"/>
                <w:sz w:val="24"/>
                <w:highlight w:val="none"/>
              </w:rPr>
            </w:pPr>
          </w:p>
        </w:tc>
        <w:tc>
          <w:tcPr>
            <w:tcW w:w="1009" w:type="dxa"/>
            <w:vAlign w:val="center"/>
          </w:tcPr>
          <w:p w14:paraId="21381133">
            <w:pPr>
              <w:adjustRightInd w:val="0"/>
              <w:snapToGrid w:val="0"/>
              <w:jc w:val="center"/>
              <w:rPr>
                <w:color w:val="auto"/>
                <w:sz w:val="24"/>
                <w:highlight w:val="none"/>
              </w:rPr>
            </w:pPr>
          </w:p>
        </w:tc>
      </w:tr>
    </w:tbl>
    <w:p w14:paraId="138C9B4C">
      <w:pPr>
        <w:tabs>
          <w:tab w:val="left" w:pos="1800"/>
          <w:tab w:val="left" w:pos="5580"/>
        </w:tabs>
        <w:spacing w:line="360" w:lineRule="auto"/>
        <w:ind w:firstLine="360" w:firstLineChars="150"/>
        <w:jc w:val="left"/>
        <w:rPr>
          <w:color w:val="auto"/>
          <w:sz w:val="24"/>
          <w:highlight w:val="none"/>
          <w:u w:val="single"/>
        </w:rPr>
      </w:pPr>
    </w:p>
    <w:p w14:paraId="5FB80F5A">
      <w:pPr>
        <w:tabs>
          <w:tab w:val="left" w:pos="1800"/>
          <w:tab w:val="left" w:pos="5580"/>
        </w:tabs>
        <w:jc w:val="left"/>
        <w:rPr>
          <w:color w:val="auto"/>
          <w:sz w:val="24"/>
          <w:highlight w:val="none"/>
        </w:rPr>
      </w:pPr>
      <w:r>
        <w:rPr>
          <w:color w:val="auto"/>
          <w:sz w:val="24"/>
          <w:highlight w:val="none"/>
        </w:rPr>
        <w:t>注：</w:t>
      </w:r>
    </w:p>
    <w:p w14:paraId="29BB9065">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286E72E5">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085DCF47">
      <w:pPr>
        <w:tabs>
          <w:tab w:val="left" w:pos="1800"/>
          <w:tab w:val="left" w:pos="5580"/>
        </w:tabs>
        <w:jc w:val="left"/>
        <w:rPr>
          <w:color w:val="auto"/>
          <w:sz w:val="24"/>
          <w:highlight w:val="none"/>
        </w:rPr>
      </w:pPr>
    </w:p>
    <w:p w14:paraId="2E82B08A">
      <w:pPr>
        <w:tabs>
          <w:tab w:val="left" w:pos="1800"/>
          <w:tab w:val="left" w:pos="5580"/>
        </w:tabs>
        <w:jc w:val="left"/>
        <w:rPr>
          <w:color w:val="auto"/>
          <w:sz w:val="24"/>
          <w:highlight w:val="none"/>
        </w:rPr>
      </w:pPr>
    </w:p>
    <w:p w14:paraId="766BC5FD">
      <w:pPr>
        <w:rPr>
          <w:color w:val="auto"/>
          <w:sz w:val="24"/>
          <w:szCs w:val="20"/>
          <w:highlight w:val="none"/>
        </w:rPr>
      </w:pPr>
    </w:p>
    <w:p w14:paraId="24F90B0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EFFBBC7">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0ACFE9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97068AB">
      <w:pPr>
        <w:spacing w:line="588" w:lineRule="exact"/>
        <w:ind w:firstLine="480" w:firstLineChars="200"/>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w:t>
      </w:r>
      <w:r>
        <w:rPr>
          <w:rFonts w:hint="eastAsia"/>
          <w:color w:val="auto"/>
          <w:sz w:val="24"/>
          <w:szCs w:val="20"/>
          <w:highlight w:val="none"/>
        </w:rPr>
        <w:t>项目实施方案等，包括但不限于如下主题：</w:t>
      </w:r>
    </w:p>
    <w:p w14:paraId="2AD624CF">
      <w:pPr>
        <w:spacing w:line="588" w:lineRule="exact"/>
        <w:ind w:firstLine="480" w:firstLineChars="20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（1）实施方案</w:t>
      </w:r>
    </w:p>
    <w:p w14:paraId="650EFA3F">
      <w:pPr>
        <w:spacing w:line="588" w:lineRule="exact"/>
        <w:ind w:firstLine="480" w:firstLineChars="20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2</w:t>
      </w:r>
      <w:r>
        <w:rPr>
          <w:rFonts w:hint="eastAsia" w:ascii="Times New Roman" w:hAnsi="Times New Roman" w:eastAsia="宋体" w:cs="Times New Roman"/>
          <w:color w:val="auto"/>
          <w:sz w:val="24"/>
          <w:szCs w:val="20"/>
          <w:highlight w:val="none"/>
          <w:lang w:eastAsia="zh-CN"/>
        </w:rPr>
        <w:t>）管理措施</w:t>
      </w:r>
    </w:p>
    <w:p w14:paraId="2826B02C">
      <w:pPr>
        <w:spacing w:line="588" w:lineRule="exact"/>
        <w:ind w:firstLine="480" w:firstLineChars="20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3</w:t>
      </w:r>
      <w:r>
        <w:rPr>
          <w:rFonts w:hint="eastAsia" w:ascii="Times New Roman" w:hAnsi="Times New Roman" w:eastAsia="宋体" w:cs="Times New Roman"/>
          <w:color w:val="auto"/>
          <w:sz w:val="24"/>
          <w:szCs w:val="20"/>
          <w:highlight w:val="none"/>
          <w:lang w:eastAsia="zh-CN"/>
        </w:rPr>
        <w:t>）设施设备</w:t>
      </w:r>
    </w:p>
    <w:p w14:paraId="59EE89A0">
      <w:pPr>
        <w:spacing w:line="588" w:lineRule="exact"/>
        <w:ind w:firstLine="480" w:firstLineChars="20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4</w:t>
      </w:r>
      <w:r>
        <w:rPr>
          <w:rFonts w:hint="eastAsia" w:ascii="Times New Roman" w:hAnsi="Times New Roman" w:eastAsia="宋体" w:cs="Times New Roman"/>
          <w:color w:val="auto"/>
          <w:sz w:val="24"/>
          <w:szCs w:val="20"/>
          <w:highlight w:val="none"/>
          <w:lang w:eastAsia="zh-CN"/>
        </w:rPr>
        <w:t>）进场计划</w:t>
      </w:r>
    </w:p>
    <w:p w14:paraId="6BED0518">
      <w:pPr>
        <w:spacing w:line="588" w:lineRule="exact"/>
        <w:ind w:firstLine="480" w:firstLineChars="20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5</w:t>
      </w:r>
      <w:r>
        <w:rPr>
          <w:rFonts w:hint="eastAsia" w:ascii="Times New Roman" w:hAnsi="Times New Roman" w:eastAsia="宋体" w:cs="Times New Roman"/>
          <w:color w:val="auto"/>
          <w:sz w:val="24"/>
          <w:szCs w:val="20"/>
          <w:highlight w:val="none"/>
          <w:lang w:eastAsia="zh-CN"/>
        </w:rPr>
        <w:t>）关键技术、施工工艺</w:t>
      </w:r>
    </w:p>
    <w:p w14:paraId="55655686">
      <w:pPr>
        <w:spacing w:line="588" w:lineRule="exact"/>
        <w:ind w:firstLine="480" w:firstLineChars="20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6</w:t>
      </w:r>
      <w:r>
        <w:rPr>
          <w:rFonts w:hint="eastAsia" w:ascii="Times New Roman" w:hAnsi="Times New Roman" w:eastAsia="宋体" w:cs="Times New Roman"/>
          <w:color w:val="auto"/>
          <w:sz w:val="24"/>
          <w:szCs w:val="20"/>
          <w:highlight w:val="none"/>
          <w:lang w:eastAsia="zh-CN"/>
        </w:rPr>
        <w:t>）安全施工、文明施工、环境保护</w:t>
      </w:r>
      <w:r>
        <w:rPr>
          <w:rFonts w:hint="eastAsia" w:ascii="Times New Roman" w:hAnsi="Times New Roman" w:eastAsia="宋体" w:cs="Times New Roman"/>
          <w:color w:val="auto"/>
          <w:sz w:val="24"/>
          <w:szCs w:val="20"/>
          <w:highlight w:val="none"/>
          <w:lang w:val="en-US" w:eastAsia="zh-CN"/>
        </w:rPr>
        <w:t>及消防</w:t>
      </w:r>
      <w:r>
        <w:rPr>
          <w:rFonts w:hint="eastAsia" w:ascii="Times New Roman" w:hAnsi="Times New Roman" w:eastAsia="宋体" w:cs="Times New Roman"/>
          <w:color w:val="auto"/>
          <w:sz w:val="24"/>
          <w:szCs w:val="20"/>
          <w:highlight w:val="none"/>
          <w:lang w:eastAsia="zh-CN"/>
        </w:rPr>
        <w:t>措施</w:t>
      </w:r>
    </w:p>
    <w:p w14:paraId="124FBA78">
      <w:pPr>
        <w:spacing w:line="588" w:lineRule="exact"/>
        <w:ind w:firstLine="480" w:firstLineChars="20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7</w:t>
      </w:r>
      <w:r>
        <w:rPr>
          <w:rFonts w:hint="eastAsia" w:ascii="Times New Roman" w:hAnsi="Times New Roman" w:eastAsia="宋体" w:cs="Times New Roman"/>
          <w:color w:val="auto"/>
          <w:sz w:val="24"/>
          <w:szCs w:val="20"/>
          <w:highlight w:val="none"/>
          <w:lang w:eastAsia="zh-CN"/>
        </w:rPr>
        <w:t>）后期服务方案</w:t>
      </w:r>
    </w:p>
    <w:p w14:paraId="331C7F19">
      <w:pPr>
        <w:spacing w:line="588" w:lineRule="exact"/>
        <w:ind w:firstLine="480" w:firstLineChars="200"/>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8</w:t>
      </w:r>
      <w:r>
        <w:rPr>
          <w:rFonts w:hint="eastAsia" w:ascii="Times New Roman" w:hAnsi="Times New Roman" w:eastAsia="宋体" w:cs="Times New Roman"/>
          <w:color w:val="auto"/>
          <w:sz w:val="24"/>
          <w:szCs w:val="20"/>
          <w:highlight w:val="none"/>
          <w:lang w:eastAsia="zh-CN"/>
        </w:rPr>
        <w:t>）服务响应及时性</w:t>
      </w:r>
    </w:p>
    <w:p w14:paraId="3BDAEE0B">
      <w:pPr>
        <w:spacing w:line="560" w:lineRule="exact"/>
        <w:ind w:firstLine="480"/>
        <w:rPr>
          <w:rFonts w:hint="eastAsia"/>
          <w:color w:val="auto"/>
          <w:sz w:val="24"/>
          <w:szCs w:val="20"/>
          <w:highlight w:val="none"/>
        </w:rPr>
      </w:pPr>
    </w:p>
    <w:p w14:paraId="005046E6">
      <w:pPr>
        <w:snapToGrid w:val="0"/>
        <w:spacing w:line="560" w:lineRule="exact"/>
        <w:ind w:firstLine="480" w:firstLineChars="200"/>
        <w:outlineLvl w:val="9"/>
        <w:rPr>
          <w:rFonts w:hint="eastAsia"/>
          <w:color w:val="auto"/>
          <w:sz w:val="24"/>
          <w:szCs w:val="20"/>
          <w:highlight w:val="none"/>
          <w:lang w:eastAsia="zh-CN"/>
        </w:rPr>
      </w:pPr>
    </w:p>
    <w:p w14:paraId="04BA7150">
      <w:pPr>
        <w:snapToGrid w:val="0"/>
        <w:spacing w:line="560" w:lineRule="exact"/>
        <w:ind w:firstLine="480" w:firstLineChars="200"/>
        <w:rPr>
          <w:rFonts w:hint="eastAsia" w:eastAsia="宋体"/>
          <w:color w:val="auto"/>
          <w:sz w:val="24"/>
          <w:szCs w:val="20"/>
          <w:highlight w:val="none"/>
          <w:lang w:val="en-US" w:eastAsia="zh-CN"/>
        </w:rPr>
        <w:sectPr>
          <w:headerReference r:id="rId18" w:type="first"/>
          <w:footerReference r:id="rId20" w:type="first"/>
          <w:headerReference r:id="rId17" w:type="even"/>
          <w:footerReference r:id="rId19" w:type="even"/>
          <w:pgSz w:w="11907" w:h="16840"/>
          <w:pgMar w:top="1418" w:right="1134" w:bottom="1418" w:left="1701" w:header="851" w:footer="851" w:gutter="0"/>
          <w:pgNumType w:fmt="decimal"/>
          <w:cols w:space="720" w:num="1"/>
          <w:docGrid w:linePitch="462" w:charSpace="0"/>
        </w:sectPr>
      </w:pPr>
    </w:p>
    <w:p w14:paraId="4E892211">
      <w:pPr>
        <w:rPr>
          <w:color w:val="auto"/>
          <w:sz w:val="24"/>
          <w:szCs w:val="20"/>
          <w:highlight w:val="none"/>
        </w:rPr>
      </w:pPr>
      <w:r>
        <w:rPr>
          <w:rFonts w:hint="eastAsia"/>
          <w:color w:val="auto"/>
          <w:sz w:val="24"/>
          <w:szCs w:val="20"/>
          <w:highlight w:val="none"/>
          <w:lang w:val="en-US" w:eastAsia="zh-CN"/>
        </w:rPr>
        <w:t>8</w:t>
      </w:r>
      <w:r>
        <w:rPr>
          <w:rFonts w:hint="eastAsia"/>
          <w:color w:val="auto"/>
          <w:sz w:val="24"/>
          <w:szCs w:val="20"/>
          <w:highlight w:val="none"/>
        </w:rPr>
        <w:t xml:space="preserve">  参加本项目人员一览表</w:t>
      </w:r>
    </w:p>
    <w:p w14:paraId="31A13B62">
      <w:pPr>
        <w:spacing w:line="360" w:lineRule="auto"/>
        <w:jc w:val="center"/>
        <w:rPr>
          <w:rFonts w:ascii="宋体" w:hAnsi="宋体"/>
          <w:b/>
          <w:color w:val="auto"/>
          <w:sz w:val="32"/>
          <w:szCs w:val="32"/>
          <w:highlight w:val="none"/>
        </w:rPr>
      </w:pPr>
    </w:p>
    <w:p w14:paraId="400E86CD">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107ABC73">
      <w:pPr>
        <w:snapToGrid w:val="0"/>
        <w:spacing w:line="360" w:lineRule="auto"/>
        <w:rPr>
          <w:rFonts w:ascii="宋体" w:hAnsi="宋体"/>
          <w:color w:val="auto"/>
          <w:sz w:val="22"/>
          <w:highlight w:val="none"/>
        </w:rPr>
      </w:pPr>
    </w:p>
    <w:p w14:paraId="1E71002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0FF0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1792627">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E2467C5">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3BF11BF">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475C1A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66AD643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BBA574C">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43EEAD5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391102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DDE89D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34ED381A">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CFA6B8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1507CAF6">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47390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995D65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44465C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3A63FA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DB0BA9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1BEB41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E3BA24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F1F2C4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B6099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06C57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D5864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B2BA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546BC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2E070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D3956C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20E76F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3401A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F298D3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66379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D036AF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8CAC0F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CF086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3E24A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4B3268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25C04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F415E7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F91228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3E6A26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D8375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8F0CD7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C9896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12839F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25094D">
            <w:pPr>
              <w:tabs>
                <w:tab w:val="left" w:pos="9765"/>
              </w:tabs>
              <w:snapToGrid w:val="0"/>
              <w:spacing w:line="360" w:lineRule="auto"/>
              <w:rPr>
                <w:rFonts w:ascii="宋体" w:hAnsi="宋体" w:cs="宋体"/>
                <w:color w:val="auto"/>
                <w:sz w:val="24"/>
                <w:highlight w:val="none"/>
              </w:rPr>
            </w:pPr>
          </w:p>
        </w:tc>
      </w:tr>
      <w:tr w14:paraId="7069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3B3459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00AC40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D2C27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F1E15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216014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1F8330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595B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3EC7C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EF0761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70456B4">
            <w:pPr>
              <w:tabs>
                <w:tab w:val="left" w:pos="9765"/>
              </w:tabs>
              <w:snapToGrid w:val="0"/>
              <w:spacing w:line="360" w:lineRule="auto"/>
              <w:rPr>
                <w:rFonts w:ascii="宋体" w:hAnsi="宋体" w:cs="宋体"/>
                <w:color w:val="auto"/>
                <w:sz w:val="24"/>
                <w:highlight w:val="none"/>
              </w:rPr>
            </w:pPr>
          </w:p>
        </w:tc>
      </w:tr>
      <w:tr w14:paraId="79F1E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BCC9F0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ACD74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CB9DD47">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212E01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740FBB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ED3E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34C287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6B1A3C4">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E49EB6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978D058">
            <w:pPr>
              <w:tabs>
                <w:tab w:val="left" w:pos="9765"/>
              </w:tabs>
              <w:snapToGrid w:val="0"/>
              <w:spacing w:line="360" w:lineRule="auto"/>
              <w:rPr>
                <w:rFonts w:ascii="宋体" w:hAnsi="宋体" w:cs="宋体"/>
                <w:color w:val="auto"/>
                <w:sz w:val="24"/>
                <w:highlight w:val="none"/>
              </w:rPr>
            </w:pPr>
          </w:p>
        </w:tc>
      </w:tr>
      <w:tr w14:paraId="05BED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1A18D4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F3186A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AB777F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238B9E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80856E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971EBE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4D1C1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94C50E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1EC26D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9B4620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26F08637">
      <w:pPr>
        <w:tabs>
          <w:tab w:val="left" w:pos="9765"/>
        </w:tabs>
        <w:autoSpaceDE w:val="0"/>
        <w:autoSpaceDN w:val="0"/>
        <w:adjustRightInd w:val="0"/>
        <w:snapToGrid w:val="0"/>
        <w:rPr>
          <w:rFonts w:ascii="宋体" w:hAnsi="宋体" w:cs="宋体"/>
          <w:b/>
          <w:color w:val="auto"/>
          <w:sz w:val="24"/>
          <w:highlight w:val="none"/>
          <w:lang w:val="zh-CN"/>
        </w:rPr>
      </w:pPr>
    </w:p>
    <w:p w14:paraId="2A17F479">
      <w:pPr>
        <w:tabs>
          <w:tab w:val="left" w:pos="9765"/>
        </w:tabs>
        <w:autoSpaceDE w:val="0"/>
        <w:autoSpaceDN w:val="0"/>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4507400B">
      <w:pPr>
        <w:snapToGrid w:val="0"/>
        <w:spacing w:line="360" w:lineRule="auto"/>
        <w:rPr>
          <w:rFonts w:ascii="宋体" w:hAnsi="宋体"/>
          <w:color w:val="auto"/>
          <w:sz w:val="24"/>
          <w:highlight w:val="none"/>
        </w:rPr>
      </w:pPr>
    </w:p>
    <w:p w14:paraId="328CC10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8C561B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DBF6C45">
      <w:pPr>
        <w:rPr>
          <w:color w:val="auto"/>
          <w:sz w:val="24"/>
          <w:szCs w:val="20"/>
          <w:highlight w:val="none"/>
        </w:rPr>
      </w:pPr>
      <w:r>
        <w:rPr>
          <w:color w:val="auto"/>
          <w:kern w:val="0"/>
          <w:sz w:val="22"/>
          <w:highlight w:val="none"/>
        </w:rPr>
        <w:br w:type="page"/>
      </w:r>
      <w:bookmarkStart w:id="1090" w:name="_Toc288738397"/>
      <w:bookmarkStart w:id="1091" w:name="_Toc288738839"/>
      <w:r>
        <w:rPr>
          <w:rFonts w:hint="eastAsia"/>
          <w:color w:val="auto"/>
          <w:sz w:val="24"/>
          <w:szCs w:val="20"/>
          <w:highlight w:val="none"/>
          <w:lang w:val="en-US" w:eastAsia="zh-CN"/>
        </w:rPr>
        <w:t>9</w:t>
      </w:r>
      <w:r>
        <w:rPr>
          <w:rFonts w:hint="eastAsia"/>
          <w:color w:val="auto"/>
          <w:sz w:val="24"/>
          <w:szCs w:val="20"/>
          <w:highlight w:val="none"/>
        </w:rPr>
        <w:t xml:space="preserve">  相关业绩案例一览表</w:t>
      </w:r>
    </w:p>
    <w:p w14:paraId="2F18E870">
      <w:pPr>
        <w:rPr>
          <w:color w:val="auto"/>
          <w:sz w:val="24"/>
          <w:szCs w:val="20"/>
          <w:highlight w:val="none"/>
        </w:rPr>
      </w:pPr>
    </w:p>
    <w:p w14:paraId="67A0632F">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1090"/>
      <w:bookmarkEnd w:id="1091"/>
    </w:p>
    <w:p w14:paraId="52BF0665">
      <w:pPr>
        <w:snapToGrid w:val="0"/>
        <w:spacing w:line="360" w:lineRule="auto"/>
        <w:jc w:val="center"/>
        <w:rPr>
          <w:rFonts w:ascii="宋体" w:hAnsi="宋体"/>
          <w:b/>
          <w:color w:val="auto"/>
          <w:sz w:val="28"/>
          <w:szCs w:val="30"/>
          <w:highlight w:val="none"/>
        </w:rPr>
      </w:pPr>
    </w:p>
    <w:p w14:paraId="3D3997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97D6965">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A887BD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085BD5C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D0B21FF">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306A301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57BE7357">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3640C32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29EC22F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34C43DAE">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F35A09F">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045EB29">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2449102">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80C4FEB">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13015C4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1C6F43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00917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A5DAE0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EAF6BE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6629FF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438B18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B64406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343259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DAB0F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F5647E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D220A6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0D12C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5AAFB7B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2D6E05E">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4258109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A7373A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4F22ACA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43682D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D6C250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4AE89E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4485979">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6E51A0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EECCB4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ACF90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0D1FDA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5F2742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188A0F0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73D771B">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7E0D98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9FC4C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DEB53D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8BFC61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8EA723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015154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25D8F51">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6BC19DE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314AE7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8936B6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FF5E6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38FBEB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DD7C7D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F34ACD0">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3EC666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D05452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B9D9AB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62BDB5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886177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24FACB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4084325">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70828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7E288C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C9FFD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58FAE4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1D7367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B39B59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9FF5125">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74D03F63">
      <w:pPr>
        <w:tabs>
          <w:tab w:val="left" w:pos="9765"/>
        </w:tabs>
        <w:autoSpaceDE w:val="0"/>
        <w:autoSpaceDN w:val="0"/>
        <w:adjustRightInd w:val="0"/>
        <w:snapToGrid w:val="0"/>
        <w:rPr>
          <w:rFonts w:ascii="宋体" w:hAnsi="宋体" w:cs="宋体"/>
          <w:color w:val="auto"/>
          <w:sz w:val="24"/>
          <w:highlight w:val="none"/>
          <w:lang w:val="zh-CN"/>
        </w:rPr>
      </w:pPr>
    </w:p>
    <w:p w14:paraId="7D7FA61A">
      <w:pPr>
        <w:snapToGrid w:val="0"/>
        <w:spacing w:line="360" w:lineRule="auto"/>
        <w:rPr>
          <w:rFonts w:ascii="宋体" w:hAnsi="宋体" w:cs="宋体"/>
          <w:color w:val="auto"/>
          <w:sz w:val="24"/>
          <w:highlight w:val="none"/>
        </w:rPr>
      </w:pPr>
    </w:p>
    <w:p w14:paraId="042347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AB176F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E333E9D">
      <w:pPr>
        <w:rPr>
          <w:color w:val="auto"/>
          <w:highlight w:val="none"/>
        </w:rPr>
      </w:pPr>
    </w:p>
    <w:p w14:paraId="0A01A068">
      <w:pPr>
        <w:rPr>
          <w:color w:val="auto"/>
          <w:highlight w:val="none"/>
        </w:rPr>
      </w:pPr>
    </w:p>
    <w:p w14:paraId="3E9D7F28">
      <w:pPr>
        <w:rPr>
          <w:color w:val="auto"/>
          <w:highlight w:val="none"/>
        </w:rPr>
      </w:pPr>
    </w:p>
    <w:p w14:paraId="098A94B0">
      <w:pPr>
        <w:rPr>
          <w:color w:val="auto"/>
          <w:highlight w:val="none"/>
        </w:rPr>
      </w:pPr>
    </w:p>
    <w:p w14:paraId="06AA5935">
      <w:pPr>
        <w:rPr>
          <w:color w:val="auto"/>
          <w:highlight w:val="none"/>
        </w:rPr>
      </w:pPr>
    </w:p>
    <w:p w14:paraId="23B89769">
      <w:pPr>
        <w:spacing w:line="360" w:lineRule="auto"/>
        <w:rPr>
          <w:color w:val="auto"/>
          <w:sz w:val="24"/>
          <w:szCs w:val="20"/>
          <w:highlight w:val="none"/>
        </w:rPr>
      </w:pPr>
    </w:p>
    <w:p w14:paraId="28039302">
      <w:pPr>
        <w:spacing w:line="360" w:lineRule="auto"/>
        <w:rPr>
          <w:color w:val="auto"/>
          <w:sz w:val="24"/>
          <w:szCs w:val="20"/>
          <w:highlight w:val="none"/>
        </w:rPr>
      </w:pPr>
    </w:p>
    <w:p w14:paraId="2776B532">
      <w:pPr>
        <w:spacing w:line="360" w:lineRule="auto"/>
        <w:rPr>
          <w:color w:val="auto"/>
          <w:sz w:val="24"/>
          <w:szCs w:val="20"/>
          <w:highlight w:val="none"/>
        </w:rPr>
      </w:pPr>
    </w:p>
    <w:p w14:paraId="5E6D6583">
      <w:pPr>
        <w:spacing w:line="360" w:lineRule="auto"/>
        <w:rPr>
          <w:color w:val="auto"/>
          <w:sz w:val="24"/>
          <w:szCs w:val="20"/>
          <w:highlight w:val="none"/>
        </w:rPr>
      </w:pPr>
    </w:p>
    <w:p w14:paraId="0F44EC2A">
      <w:pPr>
        <w:spacing w:line="360" w:lineRule="auto"/>
        <w:rPr>
          <w:color w:val="auto"/>
          <w:sz w:val="24"/>
          <w:szCs w:val="20"/>
          <w:highlight w:val="none"/>
        </w:rPr>
      </w:pPr>
    </w:p>
    <w:p w14:paraId="36BB831F">
      <w:pPr>
        <w:spacing w:line="360" w:lineRule="auto"/>
        <w:rPr>
          <w:color w:val="auto"/>
          <w:sz w:val="24"/>
          <w:szCs w:val="20"/>
          <w:highlight w:val="none"/>
        </w:rPr>
      </w:pPr>
    </w:p>
    <w:p w14:paraId="6978236B">
      <w:pPr>
        <w:spacing w:line="360" w:lineRule="auto"/>
        <w:rPr>
          <w:color w:val="auto"/>
          <w:sz w:val="24"/>
          <w:szCs w:val="20"/>
          <w:highlight w:val="none"/>
        </w:rPr>
      </w:pPr>
    </w:p>
    <w:p w14:paraId="08E800D6">
      <w:pPr>
        <w:spacing w:line="360" w:lineRule="auto"/>
        <w:rPr>
          <w:color w:val="auto"/>
          <w:sz w:val="24"/>
          <w:szCs w:val="20"/>
          <w:highlight w:val="none"/>
        </w:rPr>
      </w:pPr>
    </w:p>
    <w:p w14:paraId="0AEF1789">
      <w:pPr>
        <w:spacing w:line="360" w:lineRule="auto"/>
        <w:rPr>
          <w:color w:val="auto"/>
          <w:sz w:val="24"/>
          <w:szCs w:val="20"/>
          <w:highlight w:val="none"/>
        </w:rPr>
      </w:pPr>
    </w:p>
    <w:p w14:paraId="20807644">
      <w:pPr>
        <w:spacing w:line="360" w:lineRule="auto"/>
        <w:rPr>
          <w:color w:val="auto"/>
          <w:sz w:val="24"/>
          <w:szCs w:val="20"/>
          <w:highlight w:val="none"/>
        </w:rPr>
      </w:pPr>
    </w:p>
    <w:p w14:paraId="08044D3B">
      <w:pPr>
        <w:spacing w:line="360" w:lineRule="auto"/>
        <w:rPr>
          <w:color w:val="auto"/>
          <w:sz w:val="24"/>
          <w:szCs w:val="20"/>
          <w:highlight w:val="none"/>
        </w:rPr>
      </w:pPr>
      <w:r>
        <w:rPr>
          <w:rFonts w:hint="eastAsia"/>
          <w:color w:val="auto"/>
          <w:sz w:val="24"/>
          <w:szCs w:val="20"/>
          <w:highlight w:val="none"/>
          <w:lang w:val="en-US" w:eastAsia="zh-CN"/>
        </w:rPr>
        <w:t>10</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336A95E4">
      <w:pPr>
        <w:widowControl/>
        <w:jc w:val="left"/>
        <w:rPr>
          <w:b/>
          <w:color w:val="auto"/>
          <w:sz w:val="36"/>
          <w:szCs w:val="36"/>
          <w:highlight w:val="none"/>
        </w:rPr>
      </w:pPr>
    </w:p>
    <w:p w14:paraId="6488CBDC">
      <w:pPr>
        <w:widowControl/>
        <w:jc w:val="left"/>
        <w:rPr>
          <w:b/>
          <w:color w:val="auto"/>
          <w:sz w:val="36"/>
          <w:szCs w:val="36"/>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方正仿宋_GB2312">
    <w:altName w:val="仿宋"/>
    <w:panose1 w:val="02000000000000000000"/>
    <w:charset w:val="86"/>
    <w:family w:val="auto"/>
    <w:pitch w:val="default"/>
    <w:sig w:usb0="00000000" w:usb1="00000000" w:usb2="00000012" w:usb3="00000000" w:csb0="00040001" w:csb1="00000000"/>
  </w:font>
  <w:font w:name="CESI黑体-GB2312">
    <w:altName w:val="黑体"/>
    <w:panose1 w:val="00000000000000000000"/>
    <w:charset w:val="86"/>
    <w:family w:val="auto"/>
    <w:pitch w:val="default"/>
    <w:sig w:usb0="00000000" w:usb1="00000000" w:usb2="00000012"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6A778">
    <w:pPr>
      <w:pStyle w:val="29"/>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CBAA3E">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CBAA3E">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53A88">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AE8772">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CAE8772">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9E1E1">
    <w:pPr>
      <w:pStyle w:val="2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B4D596">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3B4D596">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001E">
    <w:pPr>
      <w:pStyle w:val="29"/>
      <w:rPr>
        <w:rStyle w:val="51"/>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1F35BE">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A1F35BE">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7898B6B8">
    <w:pPr>
      <w:pStyle w:val="29"/>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38C1D">
    <w:pPr>
      <w:pStyle w:val="2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743B54">
                          <w:pPr>
                            <w:pStyle w:val="29"/>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A743B54">
                    <w:pPr>
                      <w:pStyle w:val="29"/>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08584F23">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2E615">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0BC9C047">
    <w:pPr>
      <w:pStyle w:val="29"/>
      <w:ind w:right="360"/>
    </w:pPr>
  </w:p>
  <w:p w14:paraId="5E817E18"/>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FC190">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85451">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0FC425C5">
    <w:pPr>
      <w:pStyle w:val="29"/>
      <w:ind w:right="360"/>
    </w:pPr>
  </w:p>
  <w:p w14:paraId="48C23BC7"/>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E636C">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21312">
    <w:pPr>
      <w:pStyle w:val="31"/>
      <w:pBdr>
        <w:bottom w:val="single" w:color="auto" w:sz="4" w:space="1"/>
      </w:pBdr>
      <w:jc w:val="right"/>
    </w:pPr>
    <w:r>
      <w:rPr>
        <w:rFonts w:hint="eastAsia"/>
        <w:lang w:eastAsia="zh-CN"/>
      </w:rPr>
      <w:t>常州市钟楼区五星街道市政道路养护维修作业服务项目</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914C9">
    <w:pPr>
      <w:pStyle w:val="31"/>
      <w:pBdr>
        <w:bottom w:val="single" w:color="auto" w:sz="4" w:space="1"/>
      </w:pBdr>
      <w:jc w:val="right"/>
    </w:pPr>
    <w:r>
      <w:rPr>
        <w:rFonts w:hint="eastAsia"/>
        <w:lang w:eastAsia="zh-CN"/>
      </w:rPr>
      <w:t>常州市钟楼区五星街道市政道路养护维修作业服务项目</w:t>
    </w:r>
    <w:r>
      <w:rPr>
        <w:rFonts w:hint="eastAsia"/>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43179">
    <w:pPr>
      <w:pStyle w:val="31"/>
      <w:jc w:val="right"/>
    </w:pPr>
    <w:r>
      <w:rPr>
        <w:rFonts w:hint="eastAsia"/>
        <w:lang w:eastAsia="zh-CN"/>
      </w:rPr>
      <w:t>常州市钟楼区五星街道市政道路养护维修作业服务项目</w:t>
    </w:r>
    <w:r>
      <w:rPr>
        <w:rFonts w:hint="eastAsia"/>
      </w:rPr>
      <w:t>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B0BAF">
    <w:pPr>
      <w:pStyle w:val="31"/>
      <w:jc w:val="right"/>
    </w:pPr>
    <w:r>
      <w:rPr>
        <w:rFonts w:hint="eastAsia"/>
        <w:lang w:eastAsia="zh-CN"/>
      </w:rPr>
      <w:t>常州市钟楼区五星街道市政道路养护维修作业服务项目</w:t>
    </w:r>
    <w:r>
      <w:rPr>
        <w:rFonts w:hint="eastAsia"/>
      </w:rPr>
      <w:t>公开招标文件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3AD4">
    <w:pPr>
      <w:pStyle w:val="3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639D4">
    <w:pPr>
      <w:pStyle w:val="31"/>
    </w:pPr>
  </w:p>
  <w:p w14:paraId="719BF930"/>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703A5">
    <w:pPr>
      <w:pStyle w:val="3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F9D76">
    <w:pPr>
      <w:pStyle w:val="31"/>
    </w:pPr>
  </w:p>
  <w:p w14:paraId="31BF35D1"/>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F89CF">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6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3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7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4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3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4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8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9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36"/>
      <w:lvlText w:val="%1"/>
      <w:lvlJc w:val="left"/>
      <w:pPr>
        <w:ind w:left="680" w:hanging="680"/>
      </w:pPr>
      <w:rPr>
        <w:rFonts w:hint="eastAsia" w:ascii="宋体" w:hAnsi="宋体" w:eastAsia="宋体"/>
      </w:rPr>
    </w:lvl>
    <w:lvl w:ilvl="1" w:tentative="0">
      <w:start w:val="1"/>
      <w:numFmt w:val="decimal"/>
      <w:pStyle w:val="200"/>
      <w:lvlText w:val="%1.%2"/>
      <w:lvlJc w:val="left"/>
      <w:pPr>
        <w:ind w:left="851" w:hanging="851"/>
      </w:pPr>
      <w:rPr>
        <w:rFonts w:hint="eastAsia" w:ascii="宋体" w:hAnsi="宋体" w:eastAsia="宋体"/>
        <w:color w:val="auto"/>
      </w:rPr>
    </w:lvl>
    <w:lvl w:ilvl="2" w:tentative="0">
      <w:start w:val="1"/>
      <w:numFmt w:val="decimal"/>
      <w:pStyle w:val="16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2B7AB356"/>
    <w:multiLevelType w:val="singleLevel"/>
    <w:tmpl w:val="2B7AB356"/>
    <w:lvl w:ilvl="0" w:tentative="0">
      <w:start w:val="2"/>
      <w:numFmt w:val="chineseCounting"/>
      <w:suff w:val="nothing"/>
      <w:lvlText w:val="%1、"/>
      <w:lvlJc w:val="left"/>
      <w:rPr>
        <w:rFonts w:hint="eastAsia"/>
      </w:r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5A3E30BE"/>
    <w:multiLevelType w:val="singleLevel"/>
    <w:tmpl w:val="5A3E30BE"/>
    <w:lvl w:ilvl="0" w:tentative="0">
      <w:start w:val="2"/>
      <w:numFmt w:val="decimal"/>
      <w:lvlText w:val="%1."/>
      <w:lvlJc w:val="left"/>
      <w:pPr>
        <w:tabs>
          <w:tab w:val="left" w:pos="312"/>
        </w:tabs>
      </w:p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EzMmFhMDA3ZTkyMWVkZDI1Mzg5Y2U4ZGMzM2IxNjkifQ=="/>
    <w:docVar w:name="KSO_WPS_MARK_KEY" w:val="2075dbdc-ff12-4fd1-9b80-13c6a3729006"/>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2A"/>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CB4"/>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6F"/>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28"/>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5B"/>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0C9"/>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D87"/>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46A"/>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BEF"/>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E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8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131"/>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623"/>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1"/>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AC2"/>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222"/>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689"/>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3BD"/>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701"/>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62758"/>
    <w:rsid w:val="013E77C3"/>
    <w:rsid w:val="014E797E"/>
    <w:rsid w:val="01906633"/>
    <w:rsid w:val="01BE7F1C"/>
    <w:rsid w:val="01C81F50"/>
    <w:rsid w:val="01F01BD2"/>
    <w:rsid w:val="02761617"/>
    <w:rsid w:val="027C457E"/>
    <w:rsid w:val="028077D7"/>
    <w:rsid w:val="03123F9D"/>
    <w:rsid w:val="033A0998"/>
    <w:rsid w:val="033B6E7D"/>
    <w:rsid w:val="03594149"/>
    <w:rsid w:val="035B0268"/>
    <w:rsid w:val="03741BF7"/>
    <w:rsid w:val="037C2718"/>
    <w:rsid w:val="03AF7A80"/>
    <w:rsid w:val="03D96696"/>
    <w:rsid w:val="042C2BE0"/>
    <w:rsid w:val="044F484E"/>
    <w:rsid w:val="046F5C3F"/>
    <w:rsid w:val="047F2D99"/>
    <w:rsid w:val="048F1A9B"/>
    <w:rsid w:val="04F80D9E"/>
    <w:rsid w:val="050A5F99"/>
    <w:rsid w:val="05275EAA"/>
    <w:rsid w:val="05421EFD"/>
    <w:rsid w:val="054757C2"/>
    <w:rsid w:val="056D3D17"/>
    <w:rsid w:val="05C574CF"/>
    <w:rsid w:val="05CA69C2"/>
    <w:rsid w:val="05D435B9"/>
    <w:rsid w:val="05E953A0"/>
    <w:rsid w:val="067B7666"/>
    <w:rsid w:val="07004D9A"/>
    <w:rsid w:val="07251BF4"/>
    <w:rsid w:val="072A06D6"/>
    <w:rsid w:val="07375B39"/>
    <w:rsid w:val="07486125"/>
    <w:rsid w:val="074931CF"/>
    <w:rsid w:val="076C055B"/>
    <w:rsid w:val="078111D3"/>
    <w:rsid w:val="07AD2313"/>
    <w:rsid w:val="08044557"/>
    <w:rsid w:val="080D6DA9"/>
    <w:rsid w:val="08146F71"/>
    <w:rsid w:val="084542FA"/>
    <w:rsid w:val="08614263"/>
    <w:rsid w:val="08716E9D"/>
    <w:rsid w:val="08BB636A"/>
    <w:rsid w:val="08E92ED7"/>
    <w:rsid w:val="08EE7F45"/>
    <w:rsid w:val="091E1A28"/>
    <w:rsid w:val="093C3886"/>
    <w:rsid w:val="093F332C"/>
    <w:rsid w:val="09912903"/>
    <w:rsid w:val="09C555AA"/>
    <w:rsid w:val="09F14739"/>
    <w:rsid w:val="0A0A31C0"/>
    <w:rsid w:val="0A0D3022"/>
    <w:rsid w:val="0A2F1DB7"/>
    <w:rsid w:val="0A603399"/>
    <w:rsid w:val="0A782765"/>
    <w:rsid w:val="0A8E3FFB"/>
    <w:rsid w:val="0AC27289"/>
    <w:rsid w:val="0B302536"/>
    <w:rsid w:val="0B571845"/>
    <w:rsid w:val="0B660C1A"/>
    <w:rsid w:val="0BB407B3"/>
    <w:rsid w:val="0BB84D66"/>
    <w:rsid w:val="0BE72312"/>
    <w:rsid w:val="0C1459AC"/>
    <w:rsid w:val="0C5114BF"/>
    <w:rsid w:val="0C5F24C0"/>
    <w:rsid w:val="0CB03D2F"/>
    <w:rsid w:val="0CB820FC"/>
    <w:rsid w:val="0CC90B9E"/>
    <w:rsid w:val="0CCB058F"/>
    <w:rsid w:val="0D2D431B"/>
    <w:rsid w:val="0D597A12"/>
    <w:rsid w:val="0D5D26C8"/>
    <w:rsid w:val="0D5E3DDF"/>
    <w:rsid w:val="0D7D607D"/>
    <w:rsid w:val="0D7F0920"/>
    <w:rsid w:val="0D8C4D7D"/>
    <w:rsid w:val="0D9775C1"/>
    <w:rsid w:val="0D9C0677"/>
    <w:rsid w:val="0DAD00CC"/>
    <w:rsid w:val="0DD759F4"/>
    <w:rsid w:val="0DFC2E62"/>
    <w:rsid w:val="0E05748E"/>
    <w:rsid w:val="0E540297"/>
    <w:rsid w:val="0E8B5269"/>
    <w:rsid w:val="0E9E53ED"/>
    <w:rsid w:val="0ED1350D"/>
    <w:rsid w:val="0ED1569A"/>
    <w:rsid w:val="0F292A9D"/>
    <w:rsid w:val="0F3708F0"/>
    <w:rsid w:val="0F380715"/>
    <w:rsid w:val="0F3B1B8F"/>
    <w:rsid w:val="0FA77AC3"/>
    <w:rsid w:val="0FAC4FDD"/>
    <w:rsid w:val="0FE85F90"/>
    <w:rsid w:val="1013670F"/>
    <w:rsid w:val="1041184B"/>
    <w:rsid w:val="104C1533"/>
    <w:rsid w:val="106E2498"/>
    <w:rsid w:val="108A0980"/>
    <w:rsid w:val="11276C93"/>
    <w:rsid w:val="11301BE1"/>
    <w:rsid w:val="1138046C"/>
    <w:rsid w:val="113879FA"/>
    <w:rsid w:val="1172177E"/>
    <w:rsid w:val="117C423F"/>
    <w:rsid w:val="11966C2F"/>
    <w:rsid w:val="11D87F8D"/>
    <w:rsid w:val="122600A1"/>
    <w:rsid w:val="124B6EFE"/>
    <w:rsid w:val="127C4B20"/>
    <w:rsid w:val="12B17AB7"/>
    <w:rsid w:val="12C908D6"/>
    <w:rsid w:val="12D439DD"/>
    <w:rsid w:val="12F42BA4"/>
    <w:rsid w:val="13203999"/>
    <w:rsid w:val="13372CCF"/>
    <w:rsid w:val="134000FB"/>
    <w:rsid w:val="13520F3D"/>
    <w:rsid w:val="1364392F"/>
    <w:rsid w:val="137632D9"/>
    <w:rsid w:val="145D23C6"/>
    <w:rsid w:val="14BC7273"/>
    <w:rsid w:val="15270F29"/>
    <w:rsid w:val="15323E58"/>
    <w:rsid w:val="15387F8D"/>
    <w:rsid w:val="153E24C4"/>
    <w:rsid w:val="15985D92"/>
    <w:rsid w:val="15A64936"/>
    <w:rsid w:val="15AE34DE"/>
    <w:rsid w:val="15AE376F"/>
    <w:rsid w:val="15B504E1"/>
    <w:rsid w:val="16285FB7"/>
    <w:rsid w:val="163D11BB"/>
    <w:rsid w:val="16442095"/>
    <w:rsid w:val="165810F8"/>
    <w:rsid w:val="165E3157"/>
    <w:rsid w:val="16BB7EF6"/>
    <w:rsid w:val="17306175"/>
    <w:rsid w:val="17464EDF"/>
    <w:rsid w:val="174C429D"/>
    <w:rsid w:val="1756574D"/>
    <w:rsid w:val="175A7EC9"/>
    <w:rsid w:val="175D6982"/>
    <w:rsid w:val="17711974"/>
    <w:rsid w:val="17AB1930"/>
    <w:rsid w:val="17E8076F"/>
    <w:rsid w:val="17F93E0B"/>
    <w:rsid w:val="17FF2717"/>
    <w:rsid w:val="1866030F"/>
    <w:rsid w:val="188D727F"/>
    <w:rsid w:val="18976BAC"/>
    <w:rsid w:val="189A635D"/>
    <w:rsid w:val="18A64941"/>
    <w:rsid w:val="18A8170F"/>
    <w:rsid w:val="18D86AC4"/>
    <w:rsid w:val="18DB006D"/>
    <w:rsid w:val="18E84F59"/>
    <w:rsid w:val="18E91847"/>
    <w:rsid w:val="18F90F15"/>
    <w:rsid w:val="18FE29CF"/>
    <w:rsid w:val="197669C8"/>
    <w:rsid w:val="19965929"/>
    <w:rsid w:val="19F15250"/>
    <w:rsid w:val="1A053A20"/>
    <w:rsid w:val="1A221FCB"/>
    <w:rsid w:val="1A235A37"/>
    <w:rsid w:val="1A246465"/>
    <w:rsid w:val="1A693E78"/>
    <w:rsid w:val="1A9D1D74"/>
    <w:rsid w:val="1A9E670A"/>
    <w:rsid w:val="1AAE4048"/>
    <w:rsid w:val="1ABB2ACE"/>
    <w:rsid w:val="1B14771A"/>
    <w:rsid w:val="1B252B03"/>
    <w:rsid w:val="1B3A2DE8"/>
    <w:rsid w:val="1B670A02"/>
    <w:rsid w:val="1B8003C8"/>
    <w:rsid w:val="1C02080D"/>
    <w:rsid w:val="1C455CA5"/>
    <w:rsid w:val="1C4F731E"/>
    <w:rsid w:val="1C72291E"/>
    <w:rsid w:val="1C8D6AE1"/>
    <w:rsid w:val="1C9D42AD"/>
    <w:rsid w:val="1CB84DBF"/>
    <w:rsid w:val="1CBD6E94"/>
    <w:rsid w:val="1CBE61EC"/>
    <w:rsid w:val="1CCE79E9"/>
    <w:rsid w:val="1D214EDE"/>
    <w:rsid w:val="1D232A04"/>
    <w:rsid w:val="1D2C69D2"/>
    <w:rsid w:val="1D5F1562"/>
    <w:rsid w:val="1D68754A"/>
    <w:rsid w:val="1D6D2C92"/>
    <w:rsid w:val="1DA17DCD"/>
    <w:rsid w:val="1E4748F8"/>
    <w:rsid w:val="1E546F73"/>
    <w:rsid w:val="1EAA5345"/>
    <w:rsid w:val="1EB81AFB"/>
    <w:rsid w:val="1ED41ADC"/>
    <w:rsid w:val="1EDE2CAF"/>
    <w:rsid w:val="1F0D582F"/>
    <w:rsid w:val="1F325180"/>
    <w:rsid w:val="1F466F95"/>
    <w:rsid w:val="1F5C4F99"/>
    <w:rsid w:val="1F5F2643"/>
    <w:rsid w:val="1FBE5319"/>
    <w:rsid w:val="1FC11D29"/>
    <w:rsid w:val="1FCA128A"/>
    <w:rsid w:val="1FD062FA"/>
    <w:rsid w:val="1FDC6A71"/>
    <w:rsid w:val="200A700D"/>
    <w:rsid w:val="200C041C"/>
    <w:rsid w:val="20195183"/>
    <w:rsid w:val="20805C01"/>
    <w:rsid w:val="20DB0B4D"/>
    <w:rsid w:val="20FF6149"/>
    <w:rsid w:val="2121150A"/>
    <w:rsid w:val="2132348A"/>
    <w:rsid w:val="218B501C"/>
    <w:rsid w:val="21D75FA1"/>
    <w:rsid w:val="21FB262E"/>
    <w:rsid w:val="221E695F"/>
    <w:rsid w:val="2239193A"/>
    <w:rsid w:val="22506DDC"/>
    <w:rsid w:val="226A06FE"/>
    <w:rsid w:val="227040E3"/>
    <w:rsid w:val="229212D1"/>
    <w:rsid w:val="2298179E"/>
    <w:rsid w:val="22CF641B"/>
    <w:rsid w:val="23206C6F"/>
    <w:rsid w:val="23261F82"/>
    <w:rsid w:val="234636C5"/>
    <w:rsid w:val="235B437F"/>
    <w:rsid w:val="23803162"/>
    <w:rsid w:val="238E0C0F"/>
    <w:rsid w:val="23960D09"/>
    <w:rsid w:val="239E00B4"/>
    <w:rsid w:val="23D14071"/>
    <w:rsid w:val="23EF1D66"/>
    <w:rsid w:val="240A4467"/>
    <w:rsid w:val="240A715C"/>
    <w:rsid w:val="240B5D75"/>
    <w:rsid w:val="24207C9D"/>
    <w:rsid w:val="242B34A5"/>
    <w:rsid w:val="247E3EBA"/>
    <w:rsid w:val="24AC2D7E"/>
    <w:rsid w:val="24C50845"/>
    <w:rsid w:val="24E0203E"/>
    <w:rsid w:val="251E74A4"/>
    <w:rsid w:val="252D51EA"/>
    <w:rsid w:val="25D50209"/>
    <w:rsid w:val="25E53A11"/>
    <w:rsid w:val="26335498"/>
    <w:rsid w:val="26734128"/>
    <w:rsid w:val="2691688E"/>
    <w:rsid w:val="26BE7FBB"/>
    <w:rsid w:val="26C34DCC"/>
    <w:rsid w:val="26D74FA2"/>
    <w:rsid w:val="26FE003E"/>
    <w:rsid w:val="2700039E"/>
    <w:rsid w:val="27083FF7"/>
    <w:rsid w:val="273B6B9C"/>
    <w:rsid w:val="27427F2B"/>
    <w:rsid w:val="2760322B"/>
    <w:rsid w:val="276A122F"/>
    <w:rsid w:val="27843CE5"/>
    <w:rsid w:val="27952750"/>
    <w:rsid w:val="280254F9"/>
    <w:rsid w:val="281476ED"/>
    <w:rsid w:val="28520641"/>
    <w:rsid w:val="28861BF2"/>
    <w:rsid w:val="28893937"/>
    <w:rsid w:val="289035E9"/>
    <w:rsid w:val="28A55630"/>
    <w:rsid w:val="28BF4863"/>
    <w:rsid w:val="28F20E26"/>
    <w:rsid w:val="2927562A"/>
    <w:rsid w:val="292860AC"/>
    <w:rsid w:val="296F4668"/>
    <w:rsid w:val="29811B51"/>
    <w:rsid w:val="29E14C02"/>
    <w:rsid w:val="29F8164F"/>
    <w:rsid w:val="2A3C5105"/>
    <w:rsid w:val="2AB4113F"/>
    <w:rsid w:val="2B0E622B"/>
    <w:rsid w:val="2B147E30"/>
    <w:rsid w:val="2B21663D"/>
    <w:rsid w:val="2B4C65E4"/>
    <w:rsid w:val="2B4E2C5C"/>
    <w:rsid w:val="2B9D7E8C"/>
    <w:rsid w:val="2BD46058"/>
    <w:rsid w:val="2BF043F9"/>
    <w:rsid w:val="2C421158"/>
    <w:rsid w:val="2C444EE5"/>
    <w:rsid w:val="2C7D12B6"/>
    <w:rsid w:val="2C80255E"/>
    <w:rsid w:val="2CC54755"/>
    <w:rsid w:val="2CC557A9"/>
    <w:rsid w:val="2CCF2447"/>
    <w:rsid w:val="2CDB6C56"/>
    <w:rsid w:val="2D11433C"/>
    <w:rsid w:val="2D53381B"/>
    <w:rsid w:val="2DC021D7"/>
    <w:rsid w:val="2DC21DC5"/>
    <w:rsid w:val="2DCB03B2"/>
    <w:rsid w:val="2E290FE3"/>
    <w:rsid w:val="2E3E69B3"/>
    <w:rsid w:val="2E426A62"/>
    <w:rsid w:val="2E8531D0"/>
    <w:rsid w:val="2E861403"/>
    <w:rsid w:val="2EF610A0"/>
    <w:rsid w:val="2EFC4E63"/>
    <w:rsid w:val="2F0E55AC"/>
    <w:rsid w:val="2F3007FA"/>
    <w:rsid w:val="2F9B48B1"/>
    <w:rsid w:val="2FC16088"/>
    <w:rsid w:val="2FC7383A"/>
    <w:rsid w:val="2FED406A"/>
    <w:rsid w:val="2FFA3814"/>
    <w:rsid w:val="300B48FC"/>
    <w:rsid w:val="300D5278"/>
    <w:rsid w:val="30536E9C"/>
    <w:rsid w:val="306163DC"/>
    <w:rsid w:val="306925E3"/>
    <w:rsid w:val="309452F0"/>
    <w:rsid w:val="30B03C1E"/>
    <w:rsid w:val="30E12562"/>
    <w:rsid w:val="30E43823"/>
    <w:rsid w:val="30E6139A"/>
    <w:rsid w:val="30EB5711"/>
    <w:rsid w:val="31266676"/>
    <w:rsid w:val="313742BF"/>
    <w:rsid w:val="31945C90"/>
    <w:rsid w:val="31B0350F"/>
    <w:rsid w:val="31D200FD"/>
    <w:rsid w:val="321F31E7"/>
    <w:rsid w:val="32432D5F"/>
    <w:rsid w:val="32517538"/>
    <w:rsid w:val="32E17386"/>
    <w:rsid w:val="32E7797D"/>
    <w:rsid w:val="32EB653A"/>
    <w:rsid w:val="333077D1"/>
    <w:rsid w:val="333F550C"/>
    <w:rsid w:val="333F5C66"/>
    <w:rsid w:val="334A00AD"/>
    <w:rsid w:val="335041A4"/>
    <w:rsid w:val="33633703"/>
    <w:rsid w:val="33913D9A"/>
    <w:rsid w:val="33C577E5"/>
    <w:rsid w:val="3456735A"/>
    <w:rsid w:val="34732732"/>
    <w:rsid w:val="34880F47"/>
    <w:rsid w:val="34BB0952"/>
    <w:rsid w:val="34CD0057"/>
    <w:rsid w:val="34E02B31"/>
    <w:rsid w:val="34E11595"/>
    <w:rsid w:val="34E23788"/>
    <w:rsid w:val="35040F15"/>
    <w:rsid w:val="357E1B4C"/>
    <w:rsid w:val="35CB3858"/>
    <w:rsid w:val="35E131A4"/>
    <w:rsid w:val="360C6A24"/>
    <w:rsid w:val="3616733E"/>
    <w:rsid w:val="36172963"/>
    <w:rsid w:val="361A48B6"/>
    <w:rsid w:val="36214B73"/>
    <w:rsid w:val="363E63B2"/>
    <w:rsid w:val="367B6862"/>
    <w:rsid w:val="36B50780"/>
    <w:rsid w:val="36E6103A"/>
    <w:rsid w:val="37517D16"/>
    <w:rsid w:val="37535139"/>
    <w:rsid w:val="37840064"/>
    <w:rsid w:val="378C5511"/>
    <w:rsid w:val="37A367C3"/>
    <w:rsid w:val="37DF3665"/>
    <w:rsid w:val="38055562"/>
    <w:rsid w:val="3814146F"/>
    <w:rsid w:val="38855EC9"/>
    <w:rsid w:val="38AE1866"/>
    <w:rsid w:val="38F65DA8"/>
    <w:rsid w:val="392801F7"/>
    <w:rsid w:val="397651E3"/>
    <w:rsid w:val="398F42B0"/>
    <w:rsid w:val="39AB5E03"/>
    <w:rsid w:val="39C9502D"/>
    <w:rsid w:val="39E855FF"/>
    <w:rsid w:val="3A2A4F7A"/>
    <w:rsid w:val="3A2C09FC"/>
    <w:rsid w:val="3AD62A0C"/>
    <w:rsid w:val="3B2A7273"/>
    <w:rsid w:val="3B365BA1"/>
    <w:rsid w:val="3B3F2D9C"/>
    <w:rsid w:val="3B5E1AF9"/>
    <w:rsid w:val="3B7F1D55"/>
    <w:rsid w:val="3BCB6780"/>
    <w:rsid w:val="3BE61375"/>
    <w:rsid w:val="3C1F4887"/>
    <w:rsid w:val="3C2846F1"/>
    <w:rsid w:val="3C4A614C"/>
    <w:rsid w:val="3C5457A1"/>
    <w:rsid w:val="3C596398"/>
    <w:rsid w:val="3C5B0135"/>
    <w:rsid w:val="3C643C9E"/>
    <w:rsid w:val="3C6A3D54"/>
    <w:rsid w:val="3C97441D"/>
    <w:rsid w:val="3C9E5B32"/>
    <w:rsid w:val="3CA20495"/>
    <w:rsid w:val="3CCB7B67"/>
    <w:rsid w:val="3CD72BF9"/>
    <w:rsid w:val="3D506799"/>
    <w:rsid w:val="3D5D19FB"/>
    <w:rsid w:val="3D8A1F66"/>
    <w:rsid w:val="3DAC5616"/>
    <w:rsid w:val="3DD41A54"/>
    <w:rsid w:val="3DD735BC"/>
    <w:rsid w:val="3E09134A"/>
    <w:rsid w:val="3E2504E1"/>
    <w:rsid w:val="3E5E1ED1"/>
    <w:rsid w:val="3EA56DA8"/>
    <w:rsid w:val="3EAB71FE"/>
    <w:rsid w:val="3EC42C77"/>
    <w:rsid w:val="3EE53B65"/>
    <w:rsid w:val="3EEC4EF4"/>
    <w:rsid w:val="3EEE4396"/>
    <w:rsid w:val="3F2033DB"/>
    <w:rsid w:val="3F6F2A2B"/>
    <w:rsid w:val="3FB847FD"/>
    <w:rsid w:val="3FB94E44"/>
    <w:rsid w:val="3FDB2873"/>
    <w:rsid w:val="3FF07BB3"/>
    <w:rsid w:val="40240405"/>
    <w:rsid w:val="403854EB"/>
    <w:rsid w:val="404D6B1C"/>
    <w:rsid w:val="406867FC"/>
    <w:rsid w:val="40970437"/>
    <w:rsid w:val="40B76E3C"/>
    <w:rsid w:val="41033FEE"/>
    <w:rsid w:val="416F6D2C"/>
    <w:rsid w:val="41C5681F"/>
    <w:rsid w:val="41D41C6F"/>
    <w:rsid w:val="42234BB5"/>
    <w:rsid w:val="425912B6"/>
    <w:rsid w:val="42595D90"/>
    <w:rsid w:val="42645A07"/>
    <w:rsid w:val="42720799"/>
    <w:rsid w:val="42B37AD7"/>
    <w:rsid w:val="42CD0A98"/>
    <w:rsid w:val="42D2623B"/>
    <w:rsid w:val="430F736E"/>
    <w:rsid w:val="431A0C09"/>
    <w:rsid w:val="43210EE4"/>
    <w:rsid w:val="434A7747"/>
    <w:rsid w:val="437B7F20"/>
    <w:rsid w:val="43B104BA"/>
    <w:rsid w:val="43B86866"/>
    <w:rsid w:val="445643E2"/>
    <w:rsid w:val="44783E9F"/>
    <w:rsid w:val="4489508F"/>
    <w:rsid w:val="44B57B36"/>
    <w:rsid w:val="45173844"/>
    <w:rsid w:val="45B15221"/>
    <w:rsid w:val="45CC14CF"/>
    <w:rsid w:val="45EB6C16"/>
    <w:rsid w:val="46152922"/>
    <w:rsid w:val="46194489"/>
    <w:rsid w:val="46713095"/>
    <w:rsid w:val="4690085B"/>
    <w:rsid w:val="46BF2EEE"/>
    <w:rsid w:val="46CE3571"/>
    <w:rsid w:val="46D00C57"/>
    <w:rsid w:val="4729480B"/>
    <w:rsid w:val="473604B5"/>
    <w:rsid w:val="477F6295"/>
    <w:rsid w:val="479B2226"/>
    <w:rsid w:val="480E2158"/>
    <w:rsid w:val="481C5318"/>
    <w:rsid w:val="483879E2"/>
    <w:rsid w:val="4857637F"/>
    <w:rsid w:val="485C23FD"/>
    <w:rsid w:val="486F0BD4"/>
    <w:rsid w:val="48A02FEC"/>
    <w:rsid w:val="48BD520B"/>
    <w:rsid w:val="490B51D6"/>
    <w:rsid w:val="490C21FE"/>
    <w:rsid w:val="49171181"/>
    <w:rsid w:val="4929464F"/>
    <w:rsid w:val="493F79D7"/>
    <w:rsid w:val="496B7A53"/>
    <w:rsid w:val="49EC67F4"/>
    <w:rsid w:val="49F47B5D"/>
    <w:rsid w:val="4A1C322F"/>
    <w:rsid w:val="4A327B96"/>
    <w:rsid w:val="4A3B394B"/>
    <w:rsid w:val="4A450C78"/>
    <w:rsid w:val="4A6E2C61"/>
    <w:rsid w:val="4A840F83"/>
    <w:rsid w:val="4AF30332"/>
    <w:rsid w:val="4B050CA9"/>
    <w:rsid w:val="4B1074FD"/>
    <w:rsid w:val="4B17239B"/>
    <w:rsid w:val="4B3519D1"/>
    <w:rsid w:val="4B646309"/>
    <w:rsid w:val="4B65373A"/>
    <w:rsid w:val="4B6A35BC"/>
    <w:rsid w:val="4C026DB0"/>
    <w:rsid w:val="4C8A3367"/>
    <w:rsid w:val="4C930DA8"/>
    <w:rsid w:val="4CC654BF"/>
    <w:rsid w:val="4CF90A21"/>
    <w:rsid w:val="4D00163A"/>
    <w:rsid w:val="4D015F24"/>
    <w:rsid w:val="4D0B0C3B"/>
    <w:rsid w:val="4D0F1DAD"/>
    <w:rsid w:val="4D530E81"/>
    <w:rsid w:val="4D697710"/>
    <w:rsid w:val="4D6C0FAE"/>
    <w:rsid w:val="4D6D5069"/>
    <w:rsid w:val="4D783DF7"/>
    <w:rsid w:val="4D820FE4"/>
    <w:rsid w:val="4D84637D"/>
    <w:rsid w:val="4DAD6072"/>
    <w:rsid w:val="4DBB1907"/>
    <w:rsid w:val="4E0245DC"/>
    <w:rsid w:val="4E7B78F8"/>
    <w:rsid w:val="4E9F706E"/>
    <w:rsid w:val="4EA8070C"/>
    <w:rsid w:val="4EAA119F"/>
    <w:rsid w:val="4EFD52CE"/>
    <w:rsid w:val="4EFE1245"/>
    <w:rsid w:val="4F0F5BE3"/>
    <w:rsid w:val="4F2B262C"/>
    <w:rsid w:val="4F321701"/>
    <w:rsid w:val="4F566D5B"/>
    <w:rsid w:val="4F715FBE"/>
    <w:rsid w:val="4F9E06EF"/>
    <w:rsid w:val="500A0A51"/>
    <w:rsid w:val="502E6961"/>
    <w:rsid w:val="5035213F"/>
    <w:rsid w:val="50403400"/>
    <w:rsid w:val="505E5526"/>
    <w:rsid w:val="50814A2E"/>
    <w:rsid w:val="508F7112"/>
    <w:rsid w:val="50BC01A0"/>
    <w:rsid w:val="50C35389"/>
    <w:rsid w:val="50C92078"/>
    <w:rsid w:val="50D254CE"/>
    <w:rsid w:val="510C1AD5"/>
    <w:rsid w:val="510F4A72"/>
    <w:rsid w:val="51477E34"/>
    <w:rsid w:val="518A5EA7"/>
    <w:rsid w:val="51A943A5"/>
    <w:rsid w:val="51F1174E"/>
    <w:rsid w:val="52010488"/>
    <w:rsid w:val="521F0CE5"/>
    <w:rsid w:val="52422029"/>
    <w:rsid w:val="52616BAE"/>
    <w:rsid w:val="52814018"/>
    <w:rsid w:val="528F7C18"/>
    <w:rsid w:val="52923265"/>
    <w:rsid w:val="529C3721"/>
    <w:rsid w:val="52CF0C4F"/>
    <w:rsid w:val="52D37212"/>
    <w:rsid w:val="52F57B46"/>
    <w:rsid w:val="52FF3B12"/>
    <w:rsid w:val="5301404C"/>
    <w:rsid w:val="530F2B07"/>
    <w:rsid w:val="53230361"/>
    <w:rsid w:val="533267F6"/>
    <w:rsid w:val="534276DF"/>
    <w:rsid w:val="535B3F9E"/>
    <w:rsid w:val="53891AF7"/>
    <w:rsid w:val="539273CE"/>
    <w:rsid w:val="539B083F"/>
    <w:rsid w:val="53A438C3"/>
    <w:rsid w:val="53C17B7A"/>
    <w:rsid w:val="53EC4936"/>
    <w:rsid w:val="53F05258"/>
    <w:rsid w:val="53FA202D"/>
    <w:rsid w:val="540C23E1"/>
    <w:rsid w:val="540D2581"/>
    <w:rsid w:val="5479570C"/>
    <w:rsid w:val="54B3453A"/>
    <w:rsid w:val="54BB568B"/>
    <w:rsid w:val="54C15ACB"/>
    <w:rsid w:val="54D846ED"/>
    <w:rsid w:val="55040901"/>
    <w:rsid w:val="5541273A"/>
    <w:rsid w:val="558C3ECD"/>
    <w:rsid w:val="559351F5"/>
    <w:rsid w:val="55A62D87"/>
    <w:rsid w:val="563F3703"/>
    <w:rsid w:val="56475F07"/>
    <w:rsid w:val="567E0D90"/>
    <w:rsid w:val="5684679D"/>
    <w:rsid w:val="56CD73C9"/>
    <w:rsid w:val="56DF05DE"/>
    <w:rsid w:val="56F70118"/>
    <w:rsid w:val="56F72230"/>
    <w:rsid w:val="571C7F92"/>
    <w:rsid w:val="576C0528"/>
    <w:rsid w:val="579728A1"/>
    <w:rsid w:val="57AD03DC"/>
    <w:rsid w:val="57C727B0"/>
    <w:rsid w:val="57DE484E"/>
    <w:rsid w:val="57FC6189"/>
    <w:rsid w:val="580E39B4"/>
    <w:rsid w:val="5823259F"/>
    <w:rsid w:val="586C12F4"/>
    <w:rsid w:val="588658D3"/>
    <w:rsid w:val="58882378"/>
    <w:rsid w:val="5893237E"/>
    <w:rsid w:val="58CE139A"/>
    <w:rsid w:val="590826D8"/>
    <w:rsid w:val="590E38BE"/>
    <w:rsid w:val="592216BA"/>
    <w:rsid w:val="592340EB"/>
    <w:rsid w:val="59690A2E"/>
    <w:rsid w:val="597B0EDE"/>
    <w:rsid w:val="59AD61FD"/>
    <w:rsid w:val="59DC6CC2"/>
    <w:rsid w:val="5A056018"/>
    <w:rsid w:val="5A0A227A"/>
    <w:rsid w:val="5A4C63EF"/>
    <w:rsid w:val="5AEE73F8"/>
    <w:rsid w:val="5B2B06FA"/>
    <w:rsid w:val="5B532A0F"/>
    <w:rsid w:val="5B5A2123"/>
    <w:rsid w:val="5B8352C6"/>
    <w:rsid w:val="5B8B43D5"/>
    <w:rsid w:val="5BB46942"/>
    <w:rsid w:val="5BC26B5C"/>
    <w:rsid w:val="5BE9497A"/>
    <w:rsid w:val="5BED1419"/>
    <w:rsid w:val="5C25339C"/>
    <w:rsid w:val="5C50535F"/>
    <w:rsid w:val="5C844CCC"/>
    <w:rsid w:val="5C993C03"/>
    <w:rsid w:val="5CC93D27"/>
    <w:rsid w:val="5CCD707A"/>
    <w:rsid w:val="5D1859F9"/>
    <w:rsid w:val="5D1B53A8"/>
    <w:rsid w:val="5D423AD9"/>
    <w:rsid w:val="5D524382"/>
    <w:rsid w:val="5D536D5C"/>
    <w:rsid w:val="5D8C4BED"/>
    <w:rsid w:val="5D8C5540"/>
    <w:rsid w:val="5DB23CF1"/>
    <w:rsid w:val="5DF218C2"/>
    <w:rsid w:val="5DF721D2"/>
    <w:rsid w:val="5E0758E6"/>
    <w:rsid w:val="5E6264C9"/>
    <w:rsid w:val="5EFA5929"/>
    <w:rsid w:val="5F017575"/>
    <w:rsid w:val="5F073306"/>
    <w:rsid w:val="5F1119B5"/>
    <w:rsid w:val="5F5350D7"/>
    <w:rsid w:val="5F5F73B9"/>
    <w:rsid w:val="5F795ED8"/>
    <w:rsid w:val="5F802A46"/>
    <w:rsid w:val="5F804D6C"/>
    <w:rsid w:val="5FA21340"/>
    <w:rsid w:val="5FBA5715"/>
    <w:rsid w:val="5FC07F36"/>
    <w:rsid w:val="5FCD3B2E"/>
    <w:rsid w:val="5FE877C4"/>
    <w:rsid w:val="60091ECD"/>
    <w:rsid w:val="60114363"/>
    <w:rsid w:val="602B775D"/>
    <w:rsid w:val="603C74F4"/>
    <w:rsid w:val="603E5C2B"/>
    <w:rsid w:val="60400C91"/>
    <w:rsid w:val="605F2220"/>
    <w:rsid w:val="606C3347"/>
    <w:rsid w:val="608166B4"/>
    <w:rsid w:val="608A688B"/>
    <w:rsid w:val="608F34D9"/>
    <w:rsid w:val="60C44F74"/>
    <w:rsid w:val="60F23368"/>
    <w:rsid w:val="60FD0443"/>
    <w:rsid w:val="611E3173"/>
    <w:rsid w:val="617B1E5D"/>
    <w:rsid w:val="61895909"/>
    <w:rsid w:val="61AD5F8E"/>
    <w:rsid w:val="61B94A27"/>
    <w:rsid w:val="61F5665D"/>
    <w:rsid w:val="62016C74"/>
    <w:rsid w:val="623C31ED"/>
    <w:rsid w:val="62C10F53"/>
    <w:rsid w:val="62DE5968"/>
    <w:rsid w:val="62FE04A2"/>
    <w:rsid w:val="63C156E5"/>
    <w:rsid w:val="63E74D4D"/>
    <w:rsid w:val="640209CD"/>
    <w:rsid w:val="640B2E09"/>
    <w:rsid w:val="64231224"/>
    <w:rsid w:val="64234664"/>
    <w:rsid w:val="64384B33"/>
    <w:rsid w:val="64747A8A"/>
    <w:rsid w:val="64847010"/>
    <w:rsid w:val="649E7723"/>
    <w:rsid w:val="64A5210F"/>
    <w:rsid w:val="64B90B25"/>
    <w:rsid w:val="64D07417"/>
    <w:rsid w:val="658D79C4"/>
    <w:rsid w:val="65D75707"/>
    <w:rsid w:val="66304E17"/>
    <w:rsid w:val="664B39FF"/>
    <w:rsid w:val="66B772E6"/>
    <w:rsid w:val="66CA24B2"/>
    <w:rsid w:val="66E13E6B"/>
    <w:rsid w:val="67577A52"/>
    <w:rsid w:val="676F7BC1"/>
    <w:rsid w:val="67851192"/>
    <w:rsid w:val="67A47F2F"/>
    <w:rsid w:val="67C003E2"/>
    <w:rsid w:val="67C717AB"/>
    <w:rsid w:val="67D0452E"/>
    <w:rsid w:val="67F87268"/>
    <w:rsid w:val="6838144E"/>
    <w:rsid w:val="683B64F9"/>
    <w:rsid w:val="6848469A"/>
    <w:rsid w:val="68531405"/>
    <w:rsid w:val="68790CF7"/>
    <w:rsid w:val="687C100B"/>
    <w:rsid w:val="689254AB"/>
    <w:rsid w:val="68A336B9"/>
    <w:rsid w:val="68AA7398"/>
    <w:rsid w:val="69146C72"/>
    <w:rsid w:val="69272054"/>
    <w:rsid w:val="69283F28"/>
    <w:rsid w:val="692D388F"/>
    <w:rsid w:val="6942248C"/>
    <w:rsid w:val="6966319B"/>
    <w:rsid w:val="696D69A7"/>
    <w:rsid w:val="698C5584"/>
    <w:rsid w:val="69994DC0"/>
    <w:rsid w:val="699F653B"/>
    <w:rsid w:val="69BF1AAA"/>
    <w:rsid w:val="69D92156"/>
    <w:rsid w:val="6A6D2E0E"/>
    <w:rsid w:val="6A8F4802"/>
    <w:rsid w:val="6A946AB8"/>
    <w:rsid w:val="6AB4102B"/>
    <w:rsid w:val="6ACF541B"/>
    <w:rsid w:val="6AD62431"/>
    <w:rsid w:val="6B200D16"/>
    <w:rsid w:val="6B3E3371"/>
    <w:rsid w:val="6B524E15"/>
    <w:rsid w:val="6B640ADF"/>
    <w:rsid w:val="6BAE4605"/>
    <w:rsid w:val="6BB63E9E"/>
    <w:rsid w:val="6BFE053D"/>
    <w:rsid w:val="6C1A459F"/>
    <w:rsid w:val="6C3F1E8F"/>
    <w:rsid w:val="6C6E4D0A"/>
    <w:rsid w:val="6C8F3CA7"/>
    <w:rsid w:val="6C9500C9"/>
    <w:rsid w:val="6C9E3A9C"/>
    <w:rsid w:val="6CA93935"/>
    <w:rsid w:val="6CB63947"/>
    <w:rsid w:val="6CB85659"/>
    <w:rsid w:val="6CBA7B30"/>
    <w:rsid w:val="6CD419AC"/>
    <w:rsid w:val="6D0D4104"/>
    <w:rsid w:val="6D3C3B0C"/>
    <w:rsid w:val="6D595D89"/>
    <w:rsid w:val="6D64140D"/>
    <w:rsid w:val="6D773C65"/>
    <w:rsid w:val="6D8A5754"/>
    <w:rsid w:val="6D8F2035"/>
    <w:rsid w:val="6D946D06"/>
    <w:rsid w:val="6E0F3802"/>
    <w:rsid w:val="6E3614EB"/>
    <w:rsid w:val="6E542A9F"/>
    <w:rsid w:val="6E624923"/>
    <w:rsid w:val="6E87721D"/>
    <w:rsid w:val="6EAB14DE"/>
    <w:rsid w:val="6EB615C6"/>
    <w:rsid w:val="6EB96428"/>
    <w:rsid w:val="6EBC4276"/>
    <w:rsid w:val="6EC22B1B"/>
    <w:rsid w:val="6F35524C"/>
    <w:rsid w:val="6F3C1A06"/>
    <w:rsid w:val="6F97D24A"/>
    <w:rsid w:val="6F9F2183"/>
    <w:rsid w:val="6FB20B9F"/>
    <w:rsid w:val="6FC0050A"/>
    <w:rsid w:val="6FC96806"/>
    <w:rsid w:val="6FCA71E0"/>
    <w:rsid w:val="6FDE3B35"/>
    <w:rsid w:val="6FF10430"/>
    <w:rsid w:val="70625D85"/>
    <w:rsid w:val="70853504"/>
    <w:rsid w:val="70A616D1"/>
    <w:rsid w:val="70C11743"/>
    <w:rsid w:val="70F0185C"/>
    <w:rsid w:val="710E3FA6"/>
    <w:rsid w:val="71172818"/>
    <w:rsid w:val="718906DB"/>
    <w:rsid w:val="71A62D95"/>
    <w:rsid w:val="71E909FE"/>
    <w:rsid w:val="71F15DA2"/>
    <w:rsid w:val="722E4900"/>
    <w:rsid w:val="723D30E3"/>
    <w:rsid w:val="724953A1"/>
    <w:rsid w:val="724B52EC"/>
    <w:rsid w:val="725162FB"/>
    <w:rsid w:val="725F05A5"/>
    <w:rsid w:val="72640321"/>
    <w:rsid w:val="728D4703"/>
    <w:rsid w:val="72A53E47"/>
    <w:rsid w:val="72AC71C6"/>
    <w:rsid w:val="72C85A38"/>
    <w:rsid w:val="72CC236B"/>
    <w:rsid w:val="73016E15"/>
    <w:rsid w:val="731F1FB1"/>
    <w:rsid w:val="735250B0"/>
    <w:rsid w:val="735A5AEC"/>
    <w:rsid w:val="73660117"/>
    <w:rsid w:val="737C2A4C"/>
    <w:rsid w:val="73990F3E"/>
    <w:rsid w:val="73993FFB"/>
    <w:rsid w:val="739D114F"/>
    <w:rsid w:val="73B15F3E"/>
    <w:rsid w:val="73BD5740"/>
    <w:rsid w:val="73CE3DC7"/>
    <w:rsid w:val="740B06A5"/>
    <w:rsid w:val="74212243"/>
    <w:rsid w:val="742C597A"/>
    <w:rsid w:val="7459167A"/>
    <w:rsid w:val="74675EA7"/>
    <w:rsid w:val="746C3D16"/>
    <w:rsid w:val="749649DF"/>
    <w:rsid w:val="74A13052"/>
    <w:rsid w:val="74AD7F42"/>
    <w:rsid w:val="74EE1B48"/>
    <w:rsid w:val="74F17E67"/>
    <w:rsid w:val="7513602F"/>
    <w:rsid w:val="752915E7"/>
    <w:rsid w:val="75296EFD"/>
    <w:rsid w:val="753E0157"/>
    <w:rsid w:val="75566574"/>
    <w:rsid w:val="75B710B1"/>
    <w:rsid w:val="75D85012"/>
    <w:rsid w:val="76114C7B"/>
    <w:rsid w:val="76435FBC"/>
    <w:rsid w:val="764B5BBD"/>
    <w:rsid w:val="767E1BCE"/>
    <w:rsid w:val="76830F93"/>
    <w:rsid w:val="76AA10B0"/>
    <w:rsid w:val="76E13FE0"/>
    <w:rsid w:val="77442D99"/>
    <w:rsid w:val="778E33FA"/>
    <w:rsid w:val="77972F48"/>
    <w:rsid w:val="77BA41C7"/>
    <w:rsid w:val="77D706B7"/>
    <w:rsid w:val="77F26C6D"/>
    <w:rsid w:val="77F97408"/>
    <w:rsid w:val="783E63F5"/>
    <w:rsid w:val="785F7590"/>
    <w:rsid w:val="78654DF4"/>
    <w:rsid w:val="787E7481"/>
    <w:rsid w:val="78BC6FC0"/>
    <w:rsid w:val="78C338C8"/>
    <w:rsid w:val="79034140"/>
    <w:rsid w:val="7964353D"/>
    <w:rsid w:val="79A01DE7"/>
    <w:rsid w:val="79A12D07"/>
    <w:rsid w:val="79B7335B"/>
    <w:rsid w:val="79BE0C60"/>
    <w:rsid w:val="7A0E75C1"/>
    <w:rsid w:val="7A15284A"/>
    <w:rsid w:val="7A320D06"/>
    <w:rsid w:val="7A5C1F07"/>
    <w:rsid w:val="7A6B3551"/>
    <w:rsid w:val="7AEE30CB"/>
    <w:rsid w:val="7B006494"/>
    <w:rsid w:val="7BA93249"/>
    <w:rsid w:val="7BC506FF"/>
    <w:rsid w:val="7BE4597B"/>
    <w:rsid w:val="7C140C39"/>
    <w:rsid w:val="7C167908"/>
    <w:rsid w:val="7C513A51"/>
    <w:rsid w:val="7C5432CE"/>
    <w:rsid w:val="7CCD2F68"/>
    <w:rsid w:val="7CCD4D16"/>
    <w:rsid w:val="7D173AAB"/>
    <w:rsid w:val="7D3F693C"/>
    <w:rsid w:val="7D677171"/>
    <w:rsid w:val="7DB54128"/>
    <w:rsid w:val="7E490D14"/>
    <w:rsid w:val="7E5A6A7D"/>
    <w:rsid w:val="7E755665"/>
    <w:rsid w:val="7E8F05A6"/>
    <w:rsid w:val="7EAB1087"/>
    <w:rsid w:val="7EEB3B79"/>
    <w:rsid w:val="7EED5DB3"/>
    <w:rsid w:val="7F1301C5"/>
    <w:rsid w:val="7F330B17"/>
    <w:rsid w:val="7F4F1B59"/>
    <w:rsid w:val="7F726F86"/>
    <w:rsid w:val="7F8A2E72"/>
    <w:rsid w:val="7F97D7F2"/>
    <w:rsid w:val="7F9D1317"/>
    <w:rsid w:val="7FAB12E6"/>
    <w:rsid w:val="7FD34C20"/>
    <w:rsid w:val="7FD60385"/>
    <w:rsid w:val="7FD665D7"/>
    <w:rsid w:val="7FEC5B1A"/>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6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3"/>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5"/>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60"/>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index 5"/>
    <w:basedOn w:val="1"/>
    <w:next w:val="1"/>
    <w:unhideWhenUsed/>
    <w:qFormat/>
    <w:uiPriority w:val="99"/>
    <w:pPr>
      <w:ind w:left="800" w:leftChars="800"/>
    </w:pPr>
  </w:style>
  <w:style w:type="paragraph" w:styleId="15">
    <w:name w:val="Document Map"/>
    <w:basedOn w:val="1"/>
    <w:link w:val="68"/>
    <w:qFormat/>
    <w:uiPriority w:val="0"/>
    <w:pPr>
      <w:shd w:val="clear" w:color="auto" w:fill="000080"/>
    </w:pPr>
  </w:style>
  <w:style w:type="paragraph" w:styleId="16">
    <w:name w:val="annotation text"/>
    <w:basedOn w:val="1"/>
    <w:link w:val="69"/>
    <w:qFormat/>
    <w:uiPriority w:val="0"/>
    <w:pPr>
      <w:jc w:val="left"/>
    </w:pPr>
  </w:style>
  <w:style w:type="paragraph" w:styleId="17">
    <w:name w:val="Body Text 3"/>
    <w:basedOn w:val="1"/>
    <w:link w:val="70"/>
    <w:qFormat/>
    <w:uiPriority w:val="0"/>
    <w:pPr>
      <w:spacing w:after="120"/>
    </w:pPr>
    <w:rPr>
      <w:sz w:val="16"/>
      <w:szCs w:val="16"/>
    </w:rPr>
  </w:style>
  <w:style w:type="paragraph" w:styleId="18">
    <w:name w:val="Body Text"/>
    <w:basedOn w:val="1"/>
    <w:next w:val="1"/>
    <w:link w:val="71"/>
    <w:qFormat/>
    <w:uiPriority w:val="0"/>
    <w:pPr>
      <w:tabs>
        <w:tab w:val="left" w:pos="567"/>
      </w:tabs>
      <w:spacing w:before="120" w:line="22" w:lineRule="atLeast"/>
    </w:pPr>
    <w:rPr>
      <w:rFonts w:ascii="宋体" w:hAnsi="宋体"/>
      <w:sz w:val="24"/>
    </w:rPr>
  </w:style>
  <w:style w:type="paragraph" w:styleId="19">
    <w:name w:val="Body Text Indent"/>
    <w:basedOn w:val="1"/>
    <w:next w:val="1"/>
    <w:link w:val="72"/>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4"/>
    <w:link w:val="73"/>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4"/>
    <w:qFormat/>
    <w:uiPriority w:val="0"/>
    <w:pPr>
      <w:ind w:left="100" w:leftChars="2500"/>
    </w:pPr>
    <w:rPr>
      <w:rFonts w:ascii="仿宋_GB2312" w:hAnsi="宋体" w:eastAsia="仿宋_GB2312"/>
      <w:color w:val="000000"/>
      <w:sz w:val="24"/>
    </w:rPr>
  </w:style>
  <w:style w:type="paragraph" w:styleId="27">
    <w:name w:val="Body Text Indent 2"/>
    <w:basedOn w:val="1"/>
    <w:link w:val="75"/>
    <w:qFormat/>
    <w:uiPriority w:val="0"/>
    <w:pPr>
      <w:ind w:firstLine="480" w:firstLineChars="200"/>
    </w:pPr>
    <w:rPr>
      <w:rFonts w:ascii="仿宋_GB2312" w:eastAsia="仿宋_GB2312"/>
      <w:sz w:val="24"/>
    </w:rPr>
  </w:style>
  <w:style w:type="paragraph" w:styleId="28">
    <w:name w:val="Balloon Text"/>
    <w:basedOn w:val="1"/>
    <w:link w:val="76"/>
    <w:qFormat/>
    <w:uiPriority w:val="0"/>
    <w:rPr>
      <w:sz w:val="18"/>
      <w:szCs w:val="18"/>
    </w:rPr>
  </w:style>
  <w:style w:type="paragraph" w:styleId="29">
    <w:name w:val="footer"/>
    <w:basedOn w:val="1"/>
    <w:link w:val="7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qFormat/>
    <w:uiPriority w:val="0"/>
    <w:pPr>
      <w:snapToGrid w:val="0"/>
    </w:pPr>
    <w:rPr>
      <w:rFonts w:ascii="Arial" w:hAnsi="Arial"/>
    </w:rPr>
  </w:style>
  <w:style w:type="paragraph" w:styleId="31">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35">
    <w:name w:val="footnote text"/>
    <w:basedOn w:val="1"/>
    <w:next w:val="14"/>
    <w:qFormat/>
    <w:uiPriority w:val="0"/>
    <w:pPr>
      <w:snapToGrid w:val="0"/>
      <w:spacing w:before="120" w:line="360" w:lineRule="auto"/>
      <w:ind w:firstLine="425"/>
      <w:jc w:val="left"/>
    </w:pPr>
    <w:rPr>
      <w:kern w:val="0"/>
      <w:sz w:val="18"/>
      <w:szCs w:val="20"/>
    </w:rPr>
  </w:style>
  <w:style w:type="paragraph" w:styleId="36">
    <w:name w:val="toc 6"/>
    <w:basedOn w:val="1"/>
    <w:next w:val="1"/>
    <w:qFormat/>
    <w:uiPriority w:val="0"/>
    <w:pPr>
      <w:ind w:left="2100" w:leftChars="1000"/>
    </w:pPr>
  </w:style>
  <w:style w:type="paragraph" w:styleId="37">
    <w:name w:val="Body Text Indent 3"/>
    <w:basedOn w:val="1"/>
    <w:link w:val="79"/>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HTML Preformatted"/>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81"/>
    <w:qFormat/>
    <w:uiPriority w:val="0"/>
    <w:pPr>
      <w:jc w:val="center"/>
      <w:outlineLvl w:val="0"/>
    </w:pPr>
    <w:rPr>
      <w:b/>
      <w:sz w:val="32"/>
      <w:szCs w:val="20"/>
    </w:rPr>
  </w:style>
  <w:style w:type="paragraph" w:styleId="44">
    <w:name w:val="annotation subject"/>
    <w:basedOn w:val="16"/>
    <w:next w:val="16"/>
    <w:link w:val="82"/>
    <w:qFormat/>
    <w:uiPriority w:val="0"/>
    <w:rPr>
      <w:b/>
      <w:bCs/>
    </w:rPr>
  </w:style>
  <w:style w:type="paragraph" w:styleId="45">
    <w:name w:val="Body Text First Indent 2"/>
    <w:basedOn w:val="19"/>
    <w:next w:val="1"/>
    <w:link w:val="84"/>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paragraph" w:customStyle="1" w:styleId="5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8">
    <w:name w:val="标题 1 字符"/>
    <w:link w:val="2"/>
    <w:qFormat/>
    <w:uiPriority w:val="0"/>
    <w:rPr>
      <w:rFonts w:ascii="宋体"/>
      <w:b/>
      <w:kern w:val="44"/>
      <w:sz w:val="32"/>
    </w:rPr>
  </w:style>
  <w:style w:type="character" w:customStyle="1" w:styleId="59">
    <w:name w:val="标题 2 字符"/>
    <w:link w:val="3"/>
    <w:qFormat/>
    <w:uiPriority w:val="0"/>
    <w:rPr>
      <w:rFonts w:ascii="Arial" w:hAnsi="Arial" w:eastAsia="黑体"/>
      <w:b/>
      <w:sz w:val="30"/>
      <w:lang w:val="en-US" w:eastAsia="zh-CN" w:bidi="ar-SA"/>
    </w:rPr>
  </w:style>
  <w:style w:type="character" w:customStyle="1" w:styleId="60">
    <w:name w:val="正文缩进 字符"/>
    <w:link w:val="4"/>
    <w:qFormat/>
    <w:uiPriority w:val="0"/>
    <w:rPr>
      <w:rFonts w:ascii="宋体" w:eastAsia="宋体"/>
      <w:kern w:val="2"/>
      <w:sz w:val="24"/>
      <w:szCs w:val="24"/>
      <w:lang w:val="en-US" w:eastAsia="zh-CN" w:bidi="ar-SA"/>
    </w:rPr>
  </w:style>
  <w:style w:type="character" w:customStyle="1" w:styleId="61">
    <w:name w:val="标题 3 字符"/>
    <w:link w:val="5"/>
    <w:qFormat/>
    <w:uiPriority w:val="0"/>
    <w:rPr>
      <w:rFonts w:ascii="宋体" w:eastAsia="宋体"/>
      <w:b/>
      <w:sz w:val="24"/>
      <w:u w:val="single"/>
      <w:lang w:val="en-US" w:eastAsia="zh-CN" w:bidi="ar-SA"/>
    </w:rPr>
  </w:style>
  <w:style w:type="character" w:customStyle="1" w:styleId="62">
    <w:name w:val="标题 4 字符"/>
    <w:link w:val="6"/>
    <w:qFormat/>
    <w:uiPriority w:val="0"/>
    <w:rPr>
      <w:rFonts w:ascii="Arial" w:hAnsi="Arial" w:eastAsia="黑体"/>
      <w:b/>
      <w:sz w:val="28"/>
    </w:rPr>
  </w:style>
  <w:style w:type="character" w:customStyle="1" w:styleId="63">
    <w:name w:val="标题 5 字符"/>
    <w:link w:val="7"/>
    <w:qFormat/>
    <w:uiPriority w:val="0"/>
    <w:rPr>
      <w:b/>
      <w:sz w:val="28"/>
    </w:rPr>
  </w:style>
  <w:style w:type="character" w:customStyle="1" w:styleId="64">
    <w:name w:val="标题 6 字符"/>
    <w:link w:val="8"/>
    <w:qFormat/>
    <w:uiPriority w:val="0"/>
    <w:rPr>
      <w:rFonts w:ascii="Arial" w:hAnsi="Arial" w:eastAsia="黑体"/>
      <w:b/>
      <w:sz w:val="24"/>
    </w:rPr>
  </w:style>
  <w:style w:type="character" w:customStyle="1" w:styleId="65">
    <w:name w:val="标题 7 字符"/>
    <w:link w:val="9"/>
    <w:qFormat/>
    <w:uiPriority w:val="0"/>
    <w:rPr>
      <w:b/>
      <w:sz w:val="24"/>
    </w:rPr>
  </w:style>
  <w:style w:type="character" w:customStyle="1" w:styleId="66">
    <w:name w:val="标题 8 字符"/>
    <w:link w:val="10"/>
    <w:qFormat/>
    <w:uiPriority w:val="0"/>
    <w:rPr>
      <w:rFonts w:ascii="Arial" w:hAnsi="Arial" w:eastAsia="黑体"/>
      <w:sz w:val="24"/>
    </w:rPr>
  </w:style>
  <w:style w:type="character" w:customStyle="1" w:styleId="67">
    <w:name w:val="标题 9 字符"/>
    <w:link w:val="11"/>
    <w:qFormat/>
    <w:uiPriority w:val="0"/>
    <w:rPr>
      <w:rFonts w:ascii="Arial" w:hAnsi="Arial" w:eastAsia="黑体"/>
      <w:sz w:val="21"/>
    </w:rPr>
  </w:style>
  <w:style w:type="character" w:customStyle="1" w:styleId="68">
    <w:name w:val="文档结构图 字符"/>
    <w:link w:val="15"/>
    <w:qFormat/>
    <w:uiPriority w:val="0"/>
    <w:rPr>
      <w:kern w:val="2"/>
      <w:sz w:val="21"/>
      <w:szCs w:val="24"/>
      <w:shd w:val="clear" w:color="auto" w:fill="000080"/>
    </w:rPr>
  </w:style>
  <w:style w:type="character" w:customStyle="1" w:styleId="69">
    <w:name w:val="批注文字 字符1"/>
    <w:link w:val="16"/>
    <w:qFormat/>
    <w:uiPriority w:val="99"/>
    <w:rPr>
      <w:kern w:val="2"/>
      <w:sz w:val="21"/>
      <w:szCs w:val="24"/>
    </w:rPr>
  </w:style>
  <w:style w:type="character" w:customStyle="1" w:styleId="70">
    <w:name w:val="正文文本 3 字符"/>
    <w:link w:val="17"/>
    <w:qFormat/>
    <w:uiPriority w:val="0"/>
    <w:rPr>
      <w:kern w:val="2"/>
      <w:sz w:val="16"/>
      <w:szCs w:val="16"/>
    </w:rPr>
  </w:style>
  <w:style w:type="character" w:customStyle="1" w:styleId="71">
    <w:name w:val="正文文本 字符"/>
    <w:link w:val="18"/>
    <w:qFormat/>
    <w:uiPriority w:val="0"/>
    <w:rPr>
      <w:rFonts w:ascii="宋体" w:hAnsi="宋体"/>
      <w:kern w:val="2"/>
      <w:sz w:val="24"/>
      <w:szCs w:val="24"/>
    </w:rPr>
  </w:style>
  <w:style w:type="character" w:customStyle="1" w:styleId="72">
    <w:name w:val="正文文本缩进 字符"/>
    <w:link w:val="19"/>
    <w:qFormat/>
    <w:uiPriority w:val="0"/>
    <w:rPr>
      <w:rFonts w:eastAsia="宋体"/>
      <w:kern w:val="2"/>
      <w:sz w:val="24"/>
      <w:szCs w:val="24"/>
      <w:lang w:val="en-US" w:eastAsia="zh-CN" w:bidi="ar-SA"/>
    </w:rPr>
  </w:style>
  <w:style w:type="character" w:customStyle="1" w:styleId="73">
    <w:name w:val="纯文本 字符2"/>
    <w:link w:val="24"/>
    <w:qFormat/>
    <w:uiPriority w:val="0"/>
    <w:rPr>
      <w:rFonts w:hint="eastAsia" w:ascii="宋体" w:hAnsi="Courier New" w:eastAsia="宋体" w:cs="宋体"/>
      <w:kern w:val="2"/>
      <w:sz w:val="21"/>
    </w:rPr>
  </w:style>
  <w:style w:type="character" w:customStyle="1" w:styleId="74">
    <w:name w:val="日期 字符"/>
    <w:link w:val="26"/>
    <w:qFormat/>
    <w:uiPriority w:val="0"/>
    <w:rPr>
      <w:rFonts w:ascii="仿宋_GB2312" w:hAnsi="宋体" w:eastAsia="仿宋_GB2312"/>
      <w:color w:val="000000"/>
      <w:kern w:val="2"/>
      <w:sz w:val="24"/>
      <w:szCs w:val="24"/>
    </w:rPr>
  </w:style>
  <w:style w:type="character" w:customStyle="1" w:styleId="75">
    <w:name w:val="正文文本缩进 2 字符"/>
    <w:link w:val="27"/>
    <w:qFormat/>
    <w:uiPriority w:val="0"/>
    <w:rPr>
      <w:rFonts w:ascii="仿宋_GB2312" w:eastAsia="仿宋_GB2312"/>
      <w:kern w:val="2"/>
      <w:sz w:val="24"/>
      <w:szCs w:val="24"/>
    </w:rPr>
  </w:style>
  <w:style w:type="character" w:customStyle="1" w:styleId="76">
    <w:name w:val="批注框文本 字符"/>
    <w:link w:val="28"/>
    <w:qFormat/>
    <w:uiPriority w:val="0"/>
    <w:rPr>
      <w:kern w:val="2"/>
      <w:sz w:val="18"/>
      <w:szCs w:val="18"/>
    </w:rPr>
  </w:style>
  <w:style w:type="character" w:customStyle="1" w:styleId="77">
    <w:name w:val="页脚 字符"/>
    <w:link w:val="29"/>
    <w:qFormat/>
    <w:uiPriority w:val="99"/>
    <w:rPr>
      <w:rFonts w:ascii="宋体" w:eastAsia="宋体"/>
      <w:sz w:val="18"/>
      <w:lang w:val="en-US" w:eastAsia="zh-CN" w:bidi="ar-SA"/>
    </w:rPr>
  </w:style>
  <w:style w:type="character" w:customStyle="1" w:styleId="78">
    <w:name w:val="页眉 字符"/>
    <w:link w:val="31"/>
    <w:qFormat/>
    <w:uiPriority w:val="0"/>
    <w:rPr>
      <w:rFonts w:eastAsia="宋体"/>
      <w:kern w:val="2"/>
      <w:sz w:val="18"/>
      <w:szCs w:val="18"/>
      <w:lang w:val="en-US" w:eastAsia="zh-CN" w:bidi="ar-SA"/>
    </w:rPr>
  </w:style>
  <w:style w:type="character" w:customStyle="1" w:styleId="79">
    <w:name w:val="正文文本缩进 3 字符"/>
    <w:link w:val="37"/>
    <w:qFormat/>
    <w:uiPriority w:val="0"/>
    <w:rPr>
      <w:rFonts w:ascii="宋体"/>
      <w:sz w:val="24"/>
    </w:rPr>
  </w:style>
  <w:style w:type="character" w:customStyle="1" w:styleId="80">
    <w:name w:val="HTML 预设格式 字符"/>
    <w:link w:val="40"/>
    <w:qFormat/>
    <w:uiPriority w:val="0"/>
    <w:rPr>
      <w:rFonts w:ascii="宋体" w:hAnsi="宋体" w:cs="宋体"/>
      <w:sz w:val="24"/>
      <w:szCs w:val="24"/>
    </w:rPr>
  </w:style>
  <w:style w:type="character" w:customStyle="1" w:styleId="81">
    <w:name w:val="标题 字符"/>
    <w:link w:val="43"/>
    <w:qFormat/>
    <w:uiPriority w:val="0"/>
    <w:rPr>
      <w:b/>
      <w:kern w:val="2"/>
      <w:sz w:val="32"/>
    </w:rPr>
  </w:style>
  <w:style w:type="character" w:customStyle="1" w:styleId="82">
    <w:name w:val="批注主题 字符"/>
    <w:link w:val="44"/>
    <w:qFormat/>
    <w:uiPriority w:val="0"/>
    <w:rPr>
      <w:rFonts w:ascii="Times New Roman" w:hAnsi="Times New Roman" w:eastAsia="宋体" w:cs="Times New Roman"/>
      <w:b/>
      <w:bCs/>
      <w:kern w:val="2"/>
      <w:sz w:val="21"/>
      <w:szCs w:val="24"/>
      <w:lang w:val="en-US" w:eastAsia="zh-CN" w:bidi="ar-SA"/>
    </w:rPr>
  </w:style>
  <w:style w:type="character" w:customStyle="1" w:styleId="83">
    <w:name w:val="批注文字 字符"/>
    <w:qFormat/>
    <w:uiPriority w:val="99"/>
    <w:rPr>
      <w:rFonts w:ascii="Times New Roman" w:hAnsi="Times New Roman" w:eastAsia="宋体" w:cs="Times New Roman"/>
      <w:sz w:val="24"/>
      <w:lang w:val="en-US" w:eastAsia="zh-CN" w:bidi="ar-SA"/>
    </w:rPr>
  </w:style>
  <w:style w:type="character" w:customStyle="1" w:styleId="84">
    <w:name w:val="正文首行缩进 2 字符"/>
    <w:link w:val="45"/>
    <w:qFormat/>
    <w:uiPriority w:val="0"/>
    <w:rPr>
      <w:rFonts w:eastAsia="宋体"/>
      <w:kern w:val="2"/>
      <w:sz w:val="24"/>
      <w:szCs w:val="24"/>
      <w:lang w:val="en-US" w:eastAsia="zh-CN" w:bidi="ar-SA"/>
    </w:rPr>
  </w:style>
  <w:style w:type="character" w:customStyle="1" w:styleId="85">
    <w:name w:val="Char Char111"/>
    <w:qFormat/>
    <w:uiPriority w:val="0"/>
    <w:rPr>
      <w:rFonts w:ascii="宋体" w:eastAsia="宋体"/>
      <w:b/>
      <w:sz w:val="24"/>
      <w:u w:val="single"/>
      <w:lang w:val="en-US" w:eastAsia="zh-CN" w:bidi="ar-SA"/>
    </w:rPr>
  </w:style>
  <w:style w:type="character" w:customStyle="1" w:styleId="86">
    <w:name w:val="bjh-p"/>
    <w:qFormat/>
    <w:uiPriority w:val="0"/>
  </w:style>
  <w:style w:type="character" w:customStyle="1" w:styleId="87">
    <w:name w:val="纯文本 字符"/>
    <w:qFormat/>
    <w:uiPriority w:val="99"/>
    <w:rPr>
      <w:rFonts w:ascii="宋体" w:hAnsi="Courier New" w:eastAsia="宋体" w:cs="Times New Roman"/>
      <w:kern w:val="2"/>
      <w:sz w:val="21"/>
      <w:szCs w:val="21"/>
      <w:lang w:val="en-US" w:eastAsia="zh-CN" w:bidi="ar-SA"/>
    </w:rPr>
  </w:style>
  <w:style w:type="character" w:customStyle="1" w:styleId="88">
    <w:name w:val="正文重点 Char"/>
    <w:link w:val="89"/>
    <w:qFormat/>
    <w:uiPriority w:val="0"/>
    <w:rPr>
      <w:b/>
      <w:sz w:val="24"/>
    </w:rPr>
  </w:style>
  <w:style w:type="paragraph" w:customStyle="1" w:styleId="89">
    <w:name w:val="正文重点"/>
    <w:basedOn w:val="1"/>
    <w:link w:val="88"/>
    <w:qFormat/>
    <w:uiPriority w:val="0"/>
    <w:pPr>
      <w:adjustRightInd w:val="0"/>
      <w:spacing w:line="360" w:lineRule="auto"/>
      <w:ind w:firstLine="482" w:firstLineChars="200"/>
      <w:jc w:val="left"/>
      <w:textAlignment w:val="baseline"/>
    </w:pPr>
    <w:rPr>
      <w:b/>
      <w:kern w:val="0"/>
      <w:sz w:val="24"/>
      <w:szCs w:val="20"/>
    </w:rPr>
  </w:style>
  <w:style w:type="character" w:customStyle="1" w:styleId="90">
    <w:name w:val="Char Char11"/>
    <w:qFormat/>
    <w:uiPriority w:val="0"/>
    <w:rPr>
      <w:rFonts w:ascii="宋体" w:eastAsia="宋体"/>
      <w:b/>
      <w:sz w:val="24"/>
      <w:u w:val="single"/>
      <w:lang w:val="en-US" w:eastAsia="zh-CN" w:bidi="ar-SA"/>
    </w:rPr>
  </w:style>
  <w:style w:type="character" w:customStyle="1" w:styleId="91">
    <w:name w:val="chanpin1"/>
    <w:qFormat/>
    <w:uiPriority w:val="0"/>
    <w:rPr>
      <w:rFonts w:hint="default" w:ascii="ˎ̥" w:hAnsi="ˎ̥"/>
      <w:color w:val="000000"/>
      <w:sz w:val="20"/>
      <w:szCs w:val="20"/>
      <w:u w:val="none"/>
    </w:rPr>
  </w:style>
  <w:style w:type="character" w:customStyle="1" w:styleId="92">
    <w:name w:val="标题 Char"/>
    <w:qFormat/>
    <w:uiPriority w:val="0"/>
    <w:rPr>
      <w:b/>
      <w:kern w:val="2"/>
      <w:sz w:val="32"/>
    </w:rPr>
  </w:style>
  <w:style w:type="character" w:customStyle="1" w:styleId="93">
    <w:name w:val="段1 Char"/>
    <w:qFormat/>
    <w:uiPriority w:val="0"/>
    <w:rPr>
      <w:rFonts w:ascii="宋体" w:eastAsia="宋体"/>
      <w:sz w:val="24"/>
      <w:lang w:val="en-US" w:eastAsia="zh-CN" w:bidi="ar-SA"/>
    </w:rPr>
  </w:style>
  <w:style w:type="character" w:customStyle="1" w:styleId="94">
    <w:name w:val="页脚 Char"/>
    <w:qFormat/>
    <w:uiPriority w:val="0"/>
    <w:rPr>
      <w:rFonts w:ascii="宋体" w:eastAsia="宋体"/>
      <w:sz w:val="18"/>
      <w:lang w:val="en-US" w:eastAsia="zh-CN" w:bidi="ar-SA"/>
    </w:rPr>
  </w:style>
  <w:style w:type="character" w:customStyle="1" w:styleId="95">
    <w:name w:val="c21"/>
    <w:qFormat/>
    <w:uiPriority w:val="0"/>
    <w:rPr>
      <w:rFonts w:hint="default" w:ascii="ˎ̥" w:hAnsi="ˎ̥"/>
      <w:color w:val="000000"/>
      <w:sz w:val="20"/>
      <w:szCs w:val="20"/>
      <w:u w:val="none"/>
    </w:rPr>
  </w:style>
  <w:style w:type="character" w:customStyle="1" w:styleId="96">
    <w:name w:val="标题 3 Char"/>
    <w:qFormat/>
    <w:uiPriority w:val="0"/>
    <w:rPr>
      <w:rFonts w:ascii="宋体" w:eastAsia="宋体"/>
      <w:b/>
      <w:sz w:val="24"/>
      <w:u w:val="single"/>
      <w:lang w:val="en-US" w:eastAsia="zh-CN" w:bidi="ar-SA"/>
    </w:rPr>
  </w:style>
  <w:style w:type="character" w:customStyle="1" w:styleId="97">
    <w:name w:val="正文大标题 Char"/>
    <w:link w:val="98"/>
    <w:qFormat/>
    <w:uiPriority w:val="0"/>
    <w:rPr>
      <w:rFonts w:ascii="宋体" w:hAnsi="宋体"/>
      <w:b/>
      <w:color w:val="000000"/>
      <w:kern w:val="2"/>
      <w:sz w:val="28"/>
      <w:szCs w:val="21"/>
    </w:rPr>
  </w:style>
  <w:style w:type="paragraph" w:customStyle="1" w:styleId="98">
    <w:name w:val="正文大标题"/>
    <w:basedOn w:val="99"/>
    <w:next w:val="4"/>
    <w:link w:val="97"/>
    <w:qFormat/>
    <w:uiPriority w:val="0"/>
    <w:pPr>
      <w:jc w:val="center"/>
    </w:pPr>
    <w:rPr>
      <w:i w:val="0"/>
      <w:color w:val="000000"/>
      <w:sz w:val="28"/>
      <w:szCs w:val="21"/>
    </w:rPr>
  </w:style>
  <w:style w:type="paragraph" w:customStyle="1" w:styleId="99">
    <w:name w:val="正文小标题"/>
    <w:basedOn w:val="1"/>
    <w:next w:val="4"/>
    <w:link w:val="10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0">
    <w:name w:val="正文小标题 Char"/>
    <w:link w:val="99"/>
    <w:qFormat/>
    <w:uiPriority w:val="0"/>
    <w:rPr>
      <w:rFonts w:ascii="宋体" w:hAnsi="宋体"/>
      <w:b/>
      <w:i/>
      <w:color w:val="FF0000"/>
      <w:kern w:val="2"/>
      <w:sz w:val="24"/>
    </w:rPr>
  </w:style>
  <w:style w:type="character" w:customStyle="1" w:styleId="101">
    <w:name w:val="正文格式 Char"/>
    <w:link w:val="102"/>
    <w:qFormat/>
    <w:locked/>
    <w:uiPriority w:val="0"/>
    <w:rPr>
      <w:rFonts w:ascii="宋体" w:hAnsi="宋体"/>
      <w:sz w:val="24"/>
      <w:szCs w:val="24"/>
      <w:lang w:val="en-GB"/>
    </w:rPr>
  </w:style>
  <w:style w:type="paragraph" w:customStyle="1" w:styleId="102">
    <w:name w:val="正文格式"/>
    <w:basedOn w:val="1"/>
    <w:link w:val="101"/>
    <w:qFormat/>
    <w:uiPriority w:val="0"/>
    <w:pPr>
      <w:spacing w:beforeLines="50" w:line="360" w:lineRule="auto"/>
      <w:ind w:firstLine="480" w:firstLineChars="200"/>
    </w:pPr>
    <w:rPr>
      <w:rFonts w:ascii="宋体" w:hAnsi="宋体"/>
      <w:kern w:val="0"/>
      <w:sz w:val="24"/>
      <w:lang w:val="en-GB"/>
    </w:rPr>
  </w:style>
  <w:style w:type="character" w:customStyle="1" w:styleId="103">
    <w:name w:val="中等深浅网格 1 - 强调文字颜色 2 Char"/>
    <w:link w:val="104"/>
    <w:qFormat/>
    <w:uiPriority w:val="0"/>
    <w:rPr>
      <w:kern w:val="2"/>
      <w:sz w:val="21"/>
      <w:szCs w:val="24"/>
      <w:lang w:val="zh-CN" w:eastAsia="zh-CN" w:bidi="ar-SA"/>
    </w:rPr>
  </w:style>
  <w:style w:type="paragraph" w:customStyle="1" w:styleId="104">
    <w:name w:val="1"/>
    <w:link w:val="103"/>
    <w:qFormat/>
    <w:uiPriority w:val="0"/>
    <w:rPr>
      <w:rFonts w:ascii="Times New Roman" w:hAnsi="Times New Roman" w:eastAsia="宋体" w:cs="Times New Roman"/>
      <w:kern w:val="2"/>
      <w:sz w:val="21"/>
      <w:szCs w:val="24"/>
      <w:lang w:val="zh-CN" w:eastAsia="zh-CN" w:bidi="ar-SA"/>
    </w:rPr>
  </w:style>
  <w:style w:type="character" w:customStyle="1" w:styleId="105">
    <w:name w:val="locality"/>
    <w:qFormat/>
    <w:uiPriority w:val="0"/>
  </w:style>
  <w:style w:type="character" w:customStyle="1" w:styleId="106">
    <w:name w:val="批注文字 Char"/>
    <w:qFormat/>
    <w:uiPriority w:val="99"/>
    <w:rPr>
      <w:kern w:val="2"/>
      <w:sz w:val="21"/>
      <w:szCs w:val="24"/>
    </w:rPr>
  </w:style>
  <w:style w:type="character" w:customStyle="1" w:styleId="107">
    <w:name w:val="正文表格 Char"/>
    <w:link w:val="108"/>
    <w:qFormat/>
    <w:uiPriority w:val="0"/>
    <w:rPr>
      <w:rFonts w:ascii="宋体" w:hAnsi="宋体"/>
      <w:color w:val="000000"/>
      <w:kern w:val="2"/>
      <w:sz w:val="21"/>
      <w:szCs w:val="21"/>
    </w:rPr>
  </w:style>
  <w:style w:type="paragraph" w:customStyle="1" w:styleId="108">
    <w:name w:val="正文表格"/>
    <w:basedOn w:val="1"/>
    <w:link w:val="107"/>
    <w:qFormat/>
    <w:uiPriority w:val="0"/>
    <w:pPr>
      <w:adjustRightInd w:val="0"/>
      <w:snapToGrid w:val="0"/>
      <w:jc w:val="left"/>
    </w:pPr>
    <w:rPr>
      <w:rFonts w:ascii="宋体" w:hAnsi="宋体"/>
      <w:color w:val="000000"/>
      <w:szCs w:val="21"/>
    </w:rPr>
  </w:style>
  <w:style w:type="character" w:customStyle="1" w:styleId="109">
    <w:name w:val="纯文本 字符1"/>
    <w:qFormat/>
    <w:uiPriority w:val="0"/>
    <w:rPr>
      <w:rFonts w:ascii="宋体" w:hAnsi="Courier New"/>
    </w:rPr>
  </w:style>
  <w:style w:type="character" w:customStyle="1" w:styleId="110">
    <w:name w:val="纯文本 Char1"/>
    <w:qFormat/>
    <w:uiPriority w:val="0"/>
    <w:rPr>
      <w:rFonts w:ascii="宋体" w:hAnsi="Courier New" w:eastAsia="宋体"/>
      <w:kern w:val="2"/>
      <w:sz w:val="21"/>
      <w:lang w:val="en-US" w:eastAsia="zh-CN" w:bidi="ar-SA"/>
    </w:rPr>
  </w:style>
  <w:style w:type="character" w:customStyle="1" w:styleId="111">
    <w:name w:val="street-address"/>
    <w:qFormat/>
    <w:uiPriority w:val="0"/>
  </w:style>
  <w:style w:type="character" w:customStyle="1" w:styleId="112">
    <w:name w:val="列出段落 字符"/>
    <w:link w:val="113"/>
    <w:qFormat/>
    <w:uiPriority w:val="34"/>
    <w:rPr>
      <w:rFonts w:ascii="Calibri" w:hAnsi="Calibri" w:eastAsia="宋体"/>
      <w:kern w:val="2"/>
      <w:sz w:val="21"/>
      <w:szCs w:val="22"/>
      <w:lang w:val="en-US" w:eastAsia="zh-CN" w:bidi="ar-SA"/>
    </w:rPr>
  </w:style>
  <w:style w:type="paragraph" w:styleId="113">
    <w:name w:val="List Paragraph"/>
    <w:basedOn w:val="1"/>
    <w:link w:val="112"/>
    <w:qFormat/>
    <w:uiPriority w:val="34"/>
    <w:pPr>
      <w:ind w:firstLine="420" w:firstLineChars="200"/>
    </w:pPr>
    <w:rPr>
      <w:rFonts w:ascii="Calibri" w:hAnsi="Calibri"/>
      <w:szCs w:val="22"/>
    </w:rPr>
  </w:style>
  <w:style w:type="character" w:customStyle="1" w:styleId="114">
    <w:name w:val="txt"/>
    <w:qFormat/>
    <w:uiPriority w:val="0"/>
  </w:style>
  <w:style w:type="character" w:customStyle="1" w:styleId="115">
    <w:name w:val="列出段落 Char"/>
    <w:qFormat/>
    <w:uiPriority w:val="0"/>
    <w:rPr>
      <w:rFonts w:ascii="Calibri" w:hAnsi="Calibri" w:eastAsia="宋体"/>
      <w:kern w:val="2"/>
      <w:sz w:val="21"/>
      <w:szCs w:val="22"/>
      <w:lang w:val="en-US" w:eastAsia="zh-CN" w:bidi="ar-SA"/>
    </w:rPr>
  </w:style>
  <w:style w:type="character" w:customStyle="1" w:styleId="116">
    <w:name w:val="black1"/>
    <w:qFormat/>
    <w:uiPriority w:val="0"/>
    <w:rPr>
      <w:color w:val="000000"/>
    </w:rPr>
  </w:style>
  <w:style w:type="character" w:customStyle="1" w:styleId="117">
    <w:name w:val="正文文本缩进 Char"/>
    <w:qFormat/>
    <w:uiPriority w:val="0"/>
    <w:rPr>
      <w:rFonts w:eastAsia="宋体"/>
      <w:kern w:val="2"/>
      <w:sz w:val="24"/>
      <w:szCs w:val="24"/>
      <w:lang w:val="en-US" w:eastAsia="zh-CN" w:bidi="ar-SA"/>
    </w:rPr>
  </w:style>
  <w:style w:type="character" w:customStyle="1" w:styleId="118">
    <w:name w:val="正文缩进 Char Char"/>
    <w:link w:val="119"/>
    <w:qFormat/>
    <w:uiPriority w:val="0"/>
    <w:rPr>
      <w:rFonts w:ascii="宋体" w:eastAsia="宋体"/>
      <w:snapToGrid w:val="0"/>
      <w:color w:val="000000"/>
      <w:kern w:val="28"/>
      <w:sz w:val="28"/>
      <w:lang w:bidi="ar-SA"/>
    </w:rPr>
  </w:style>
  <w:style w:type="paragraph" w:customStyle="1" w:styleId="119">
    <w:name w:val="正文缩进1"/>
    <w:basedOn w:val="1"/>
    <w:link w:val="11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20">
    <w:name w:val="标题 2 Char Char"/>
    <w:qFormat/>
    <w:uiPriority w:val="0"/>
    <w:rPr>
      <w:rFonts w:ascii="Arial" w:hAnsi="Arial" w:eastAsia="黑体"/>
      <w:b/>
      <w:bCs/>
      <w:kern w:val="2"/>
      <w:sz w:val="32"/>
      <w:szCs w:val="32"/>
      <w:lang w:val="en-US" w:eastAsia="zh-CN" w:bidi="ar-SA"/>
    </w:rPr>
  </w:style>
  <w:style w:type="character" w:customStyle="1" w:styleId="121">
    <w:name w:val="正文缩进 Char"/>
    <w:qFormat/>
    <w:uiPriority w:val="0"/>
    <w:rPr>
      <w:rFonts w:ascii="宋体" w:eastAsia="宋体"/>
      <w:kern w:val="2"/>
      <w:sz w:val="24"/>
      <w:szCs w:val="24"/>
      <w:lang w:val="en-US" w:eastAsia="zh-CN" w:bidi="ar-SA"/>
    </w:rPr>
  </w:style>
  <w:style w:type="character" w:customStyle="1" w:styleId="122">
    <w:name w:val="普通文字1 Char1"/>
    <w:qFormat/>
    <w:uiPriority w:val="0"/>
    <w:rPr>
      <w:rFonts w:ascii="宋体" w:hAnsi="Courier New" w:eastAsia="宋体"/>
      <w:kern w:val="2"/>
      <w:sz w:val="21"/>
      <w:lang w:val="en-US" w:eastAsia="zh-CN" w:bidi="ar-SA"/>
    </w:rPr>
  </w:style>
  <w:style w:type="character" w:customStyle="1" w:styleId="123">
    <w:name w:val="页眉 Char"/>
    <w:qFormat/>
    <w:uiPriority w:val="0"/>
    <w:rPr>
      <w:rFonts w:eastAsia="宋体"/>
      <w:kern w:val="2"/>
      <w:sz w:val="18"/>
      <w:szCs w:val="18"/>
      <w:lang w:val="en-US" w:eastAsia="zh-CN" w:bidi="ar-SA"/>
    </w:rPr>
  </w:style>
  <w:style w:type="character" w:customStyle="1" w:styleId="124">
    <w:name w:val="注释 Char"/>
    <w:link w:val="125"/>
    <w:qFormat/>
    <w:uiPriority w:val="0"/>
    <w:rPr>
      <w:rFonts w:ascii="宋体" w:hAnsi="宋体"/>
      <w:kern w:val="2"/>
      <w:sz w:val="21"/>
      <w:szCs w:val="21"/>
    </w:rPr>
  </w:style>
  <w:style w:type="paragraph" w:customStyle="1" w:styleId="125">
    <w:name w:val="注释"/>
    <w:basedOn w:val="1"/>
    <w:link w:val="124"/>
    <w:qFormat/>
    <w:uiPriority w:val="0"/>
    <w:pPr>
      <w:adjustRightInd w:val="0"/>
      <w:snapToGrid w:val="0"/>
      <w:ind w:left="420" w:hanging="420" w:hangingChars="200"/>
      <w:jc w:val="left"/>
    </w:pPr>
    <w:rPr>
      <w:rFonts w:ascii="宋体" w:hAnsi="宋体"/>
      <w:szCs w:val="21"/>
    </w:rPr>
  </w:style>
  <w:style w:type="character" w:customStyle="1" w:styleId="126">
    <w:name w:val="成文日期 Char"/>
    <w:link w:val="127"/>
    <w:qFormat/>
    <w:uiPriority w:val="0"/>
    <w:rPr>
      <w:rFonts w:ascii="仿宋_GB2312" w:eastAsia="仿宋_GB2312"/>
      <w:kern w:val="2"/>
      <w:sz w:val="32"/>
    </w:rPr>
  </w:style>
  <w:style w:type="paragraph" w:customStyle="1" w:styleId="127">
    <w:name w:val="成文日期"/>
    <w:basedOn w:val="1"/>
    <w:link w:val="126"/>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128">
    <w:name w:val="apple-style-span"/>
    <w:qFormat/>
    <w:uiPriority w:val="0"/>
    <w:rPr>
      <w:rFonts w:cs="Times New Roman"/>
    </w:rPr>
  </w:style>
  <w:style w:type="character" w:customStyle="1" w:styleId="129">
    <w:name w:val="title4"/>
    <w:qFormat/>
    <w:uiPriority w:val="0"/>
    <w:rPr>
      <w:b/>
      <w:bCs/>
      <w:color w:val="1D87B3"/>
      <w:sz w:val="15"/>
      <w:szCs w:val="15"/>
    </w:rPr>
  </w:style>
  <w:style w:type="character" w:customStyle="1" w:styleId="130">
    <w:name w:val="标题 2 Char"/>
    <w:qFormat/>
    <w:uiPriority w:val="0"/>
    <w:rPr>
      <w:rFonts w:ascii="Arial" w:hAnsi="Arial" w:eastAsia="黑体"/>
      <w:b/>
      <w:sz w:val="30"/>
      <w:lang w:val="en-US" w:eastAsia="zh-CN" w:bidi="ar-SA"/>
    </w:rPr>
  </w:style>
  <w:style w:type="character" w:customStyle="1" w:styleId="131">
    <w:name w:val="标题 3 Char Char"/>
    <w:qFormat/>
    <w:uiPriority w:val="0"/>
    <w:rPr>
      <w:rFonts w:eastAsia="宋体"/>
      <w:b/>
      <w:bCs/>
      <w:kern w:val="2"/>
      <w:sz w:val="32"/>
      <w:szCs w:val="32"/>
      <w:lang w:val="en-US" w:eastAsia="zh-CN" w:bidi="ar-SA"/>
    </w:rPr>
  </w:style>
  <w:style w:type="character" w:customStyle="1" w:styleId="132">
    <w:name w:val="正文文本缩进 Char1"/>
    <w:link w:val="133"/>
    <w:qFormat/>
    <w:uiPriority w:val="0"/>
    <w:rPr>
      <w:rFonts w:ascii="宋体" w:hAnsi="宋体" w:eastAsia="宋体"/>
      <w:sz w:val="24"/>
      <w:szCs w:val="24"/>
      <w:lang w:bidi="ar-SA"/>
    </w:rPr>
  </w:style>
  <w:style w:type="paragraph" w:customStyle="1" w:styleId="133">
    <w:name w:val="正文文本缩进1"/>
    <w:basedOn w:val="1"/>
    <w:link w:val="132"/>
    <w:qFormat/>
    <w:uiPriority w:val="0"/>
    <w:pPr>
      <w:spacing w:line="480" w:lineRule="exact"/>
      <w:ind w:firstLine="480" w:firstLineChars="200"/>
    </w:pPr>
    <w:rPr>
      <w:rFonts w:ascii="宋体" w:hAnsi="宋体"/>
      <w:kern w:val="0"/>
      <w:sz w:val="24"/>
    </w:rPr>
  </w:style>
  <w:style w:type="character" w:customStyle="1" w:styleId="134">
    <w:name w:val="chanpin拷贝"/>
    <w:qFormat/>
    <w:uiPriority w:val="0"/>
  </w:style>
  <w:style w:type="paragraph" w:customStyle="1" w:styleId="135">
    <w:name w:val="样式 标题 2 + 宋体 五号 行距: 单倍行距"/>
    <w:basedOn w:val="3"/>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36">
    <w:name w:val="正文须知-1级"/>
    <w:basedOn w:val="1"/>
    <w:next w:val="1"/>
    <w:qFormat/>
    <w:uiPriority w:val="0"/>
    <w:pPr>
      <w:numPr>
        <w:ilvl w:val="0"/>
        <w:numId w:val="2"/>
      </w:numPr>
      <w:adjustRightInd w:val="0"/>
      <w:snapToGrid w:val="0"/>
      <w:spacing w:line="300" w:lineRule="auto"/>
    </w:pPr>
    <w:rPr>
      <w:rFonts w:ascii="宋体" w:hAnsi="Calibri"/>
      <w:sz w:val="24"/>
      <w:szCs w:val="21"/>
    </w:rPr>
  </w:style>
  <w:style w:type="paragraph" w:customStyle="1" w:styleId="13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纯文本1"/>
    <w:next w:val="33"/>
    <w:qFormat/>
    <w:uiPriority w:val="0"/>
    <w:pPr>
      <w:widowControl w:val="0"/>
      <w:adjustRightInd w:val="0"/>
      <w:jc w:val="both"/>
      <w:textAlignment w:val="baseline"/>
    </w:pPr>
    <w:rPr>
      <w:rFonts w:ascii="宋体" w:hAnsi="宋体" w:eastAsia="宋体" w:cs="Times New Roman"/>
      <w:kern w:val="2"/>
      <w:sz w:val="26"/>
      <w:lang w:val="en-US" w:eastAsia="zh-CN" w:bidi="ar-SA"/>
    </w:rPr>
  </w:style>
  <w:style w:type="paragraph" w:customStyle="1" w:styleId="140">
    <w:name w:val="修订1"/>
    <w:qFormat/>
    <w:uiPriority w:val="0"/>
    <w:rPr>
      <w:rFonts w:ascii="Times New Roman" w:hAnsi="Times New Roman" w:eastAsia="宋体" w:cs="Times New Roman"/>
      <w:kern w:val="2"/>
      <w:sz w:val="21"/>
      <w:szCs w:val="24"/>
      <w:lang w:val="en-US" w:eastAsia="zh-CN" w:bidi="ar-SA"/>
    </w:rPr>
  </w:style>
  <w:style w:type="paragraph" w:customStyle="1" w:styleId="141">
    <w:name w:val="二级条标题"/>
    <w:basedOn w:val="14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2">
    <w:name w:val="一级条标题"/>
    <w:basedOn w:val="143"/>
    <w:next w:val="1"/>
    <w:qFormat/>
    <w:uiPriority w:val="0"/>
    <w:pPr>
      <w:numPr>
        <w:ilvl w:val="1"/>
      </w:numPr>
      <w:tabs>
        <w:tab w:val="left" w:pos="360"/>
        <w:tab w:val="left" w:pos="840"/>
      </w:tabs>
      <w:ind w:left="0" w:hanging="840"/>
      <w:outlineLvl w:val="1"/>
    </w:pPr>
  </w:style>
  <w:style w:type="paragraph" w:customStyle="1" w:styleId="143">
    <w:name w:val="章标题"/>
    <w:next w:val="1"/>
    <w:qFormat/>
    <w:uiPriority w:val="0"/>
    <w:pPr>
      <w:numPr>
        <w:ilvl w:val="0"/>
        <w:numId w:val="3"/>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4">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5">
    <w:name w:val="Char Char Char1 Char"/>
    <w:basedOn w:val="1"/>
    <w:qFormat/>
    <w:uiPriority w:val="0"/>
    <w:rPr>
      <w:rFonts w:ascii="Tahoma" w:hAnsi="Tahoma"/>
      <w:sz w:val="24"/>
      <w:szCs w:val="20"/>
    </w:rPr>
  </w:style>
  <w:style w:type="paragraph" w:customStyle="1" w:styleId="1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8">
    <w:name w:val="Char2 Char Char Char Char Char Char"/>
    <w:basedOn w:val="1"/>
    <w:qFormat/>
    <w:uiPriority w:val="0"/>
    <w:pPr>
      <w:widowControl/>
      <w:spacing w:line="400" w:lineRule="exact"/>
      <w:jc w:val="center"/>
    </w:pPr>
  </w:style>
  <w:style w:type="paragraph" w:customStyle="1" w:styleId="14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1 Char Char Char Char"/>
    <w:basedOn w:val="1"/>
    <w:qFormat/>
    <w:uiPriority w:val="0"/>
    <w:rPr>
      <w:rFonts w:ascii="Tahoma" w:hAnsi="Tahoma"/>
      <w:sz w:val="24"/>
      <w:szCs w:val="20"/>
    </w:rPr>
  </w:style>
  <w:style w:type="paragraph" w:customStyle="1" w:styleId="1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2">
    <w:name w:val="字元 字元"/>
    <w:basedOn w:val="1"/>
    <w:qFormat/>
    <w:uiPriority w:val="0"/>
    <w:rPr>
      <w:rFonts w:ascii="Tahoma" w:hAnsi="Tahoma"/>
      <w:sz w:val="24"/>
      <w:szCs w:val="20"/>
    </w:rPr>
  </w:style>
  <w:style w:type="paragraph" w:customStyle="1" w:styleId="15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5">
    <w:name w:val="字元 字元1"/>
    <w:basedOn w:val="1"/>
    <w:qFormat/>
    <w:uiPriority w:val="0"/>
    <w:rPr>
      <w:rFonts w:ascii="Tahoma" w:hAnsi="Tahoma"/>
      <w:sz w:val="24"/>
      <w:szCs w:val="20"/>
    </w:rPr>
  </w:style>
  <w:style w:type="paragraph" w:customStyle="1" w:styleId="15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8">
    <w:name w:val="font8"/>
    <w:basedOn w:val="1"/>
    <w:qFormat/>
    <w:uiPriority w:val="0"/>
    <w:pPr>
      <w:widowControl/>
      <w:spacing w:before="100" w:beforeAutospacing="1" w:after="100" w:afterAutospacing="1"/>
      <w:jc w:val="left"/>
    </w:pPr>
    <w:rPr>
      <w:kern w:val="0"/>
      <w:sz w:val="36"/>
      <w:szCs w:val="36"/>
    </w:rPr>
  </w:style>
  <w:style w:type="paragraph" w:customStyle="1" w:styleId="159">
    <w:name w:val="Char Char41"/>
    <w:basedOn w:val="1"/>
    <w:qFormat/>
    <w:uiPriority w:val="0"/>
    <w:pPr>
      <w:widowControl/>
      <w:spacing w:line="400" w:lineRule="exact"/>
      <w:jc w:val="center"/>
    </w:pPr>
  </w:style>
  <w:style w:type="paragraph" w:customStyle="1" w:styleId="160">
    <w:name w:val="Char2"/>
    <w:basedOn w:val="1"/>
    <w:qFormat/>
    <w:uiPriority w:val="0"/>
    <w:rPr>
      <w:rFonts w:ascii="Tahoma" w:hAnsi="Tahoma"/>
      <w:sz w:val="24"/>
      <w:szCs w:val="20"/>
    </w:rPr>
  </w:style>
  <w:style w:type="paragraph" w:customStyle="1" w:styleId="161">
    <w:name w:val="正文文本样式 加粗"/>
    <w:basedOn w:val="162"/>
    <w:qFormat/>
    <w:uiPriority w:val="0"/>
    <w:rPr>
      <w:b/>
    </w:rPr>
  </w:style>
  <w:style w:type="paragraph" w:customStyle="1" w:styleId="162">
    <w:name w:val="正文文本样式"/>
    <w:basedOn w:val="1"/>
    <w:qFormat/>
    <w:uiPriority w:val="0"/>
    <w:pPr>
      <w:spacing w:line="360" w:lineRule="auto"/>
      <w:ind w:firstLine="482"/>
    </w:pPr>
    <w:rPr>
      <w:rFonts w:cs="宋体"/>
      <w:sz w:val="24"/>
      <w:szCs w:val="20"/>
    </w:rPr>
  </w:style>
  <w:style w:type="paragraph" w:customStyle="1" w:styleId="163">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64">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5">
    <w:name w:val="_Style 15"/>
    <w:basedOn w:val="1"/>
    <w:next w:val="1"/>
    <w:qFormat/>
    <w:uiPriority w:val="0"/>
    <w:pPr>
      <w:spacing w:after="120"/>
      <w:ind w:left="420" w:leftChars="200" w:firstLine="420" w:firstLineChars="200"/>
    </w:pPr>
    <w:rPr>
      <w:szCs w:val="22"/>
    </w:rPr>
  </w:style>
  <w:style w:type="paragraph" w:customStyle="1" w:styleId="16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7">
    <w:name w:val="正文须知-3级"/>
    <w:basedOn w:val="1"/>
    <w:qFormat/>
    <w:uiPriority w:val="0"/>
    <w:pPr>
      <w:numPr>
        <w:ilvl w:val="2"/>
        <w:numId w:val="2"/>
      </w:numPr>
      <w:adjustRightInd w:val="0"/>
      <w:snapToGrid w:val="0"/>
      <w:spacing w:line="300" w:lineRule="auto"/>
      <w:ind w:hanging="355" w:hangingChars="355"/>
    </w:pPr>
    <w:rPr>
      <w:rFonts w:ascii="宋体" w:hAnsi="Calibri"/>
      <w:sz w:val="24"/>
      <w:szCs w:val="21"/>
    </w:rPr>
  </w:style>
  <w:style w:type="paragraph" w:customStyle="1" w:styleId="168">
    <w:name w:val="标题1-附件"/>
    <w:basedOn w:val="2"/>
    <w:qFormat/>
    <w:uiPriority w:val="0"/>
    <w:pPr>
      <w:jc w:val="left"/>
    </w:pPr>
    <w:rPr>
      <w:sz w:val="24"/>
      <w:szCs w:val="24"/>
    </w:rPr>
  </w:style>
  <w:style w:type="paragraph" w:customStyle="1" w:styleId="169">
    <w:name w:val="Char3"/>
    <w:basedOn w:val="1"/>
    <w:qFormat/>
    <w:uiPriority w:val="0"/>
    <w:pPr>
      <w:tabs>
        <w:tab w:val="left" w:pos="360"/>
      </w:tabs>
    </w:pPr>
    <w:rPr>
      <w:sz w:val="24"/>
    </w:rPr>
  </w:style>
  <w:style w:type="paragraph" w:customStyle="1" w:styleId="17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4">
    <w:name w:val="Char Char Char1 Char2"/>
    <w:basedOn w:val="1"/>
    <w:qFormat/>
    <w:uiPriority w:val="0"/>
    <w:rPr>
      <w:rFonts w:ascii="Tahoma" w:hAnsi="Tahoma"/>
      <w:sz w:val="24"/>
      <w:szCs w:val="20"/>
    </w:rPr>
  </w:style>
  <w:style w:type="paragraph" w:customStyle="1" w:styleId="175">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6">
    <w:name w:val="1名"/>
    <w:basedOn w:val="1"/>
    <w:qFormat/>
    <w:uiPriority w:val="0"/>
    <w:pPr>
      <w:numPr>
        <w:ilvl w:val="0"/>
        <w:numId w:val="5"/>
      </w:numPr>
      <w:spacing w:before="120"/>
    </w:pPr>
    <w:rPr>
      <w:rFonts w:ascii="宋体"/>
      <w:sz w:val="28"/>
      <w:szCs w:val="20"/>
    </w:rPr>
  </w:style>
  <w:style w:type="paragraph" w:customStyle="1" w:styleId="1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78">
    <w:name w:val="表格1"/>
    <w:basedOn w:val="1"/>
    <w:qFormat/>
    <w:uiPriority w:val="0"/>
    <w:pPr>
      <w:ind w:firstLine="480" w:firstLineChars="200"/>
      <w:jc w:val="center"/>
    </w:pPr>
    <w:rPr>
      <w:sz w:val="24"/>
      <w:szCs w:val="20"/>
    </w:rPr>
  </w:style>
  <w:style w:type="paragraph" w:customStyle="1" w:styleId="179">
    <w:name w:val="字元 字元2"/>
    <w:basedOn w:val="1"/>
    <w:qFormat/>
    <w:uiPriority w:val="0"/>
    <w:rPr>
      <w:rFonts w:ascii="Tahoma" w:hAnsi="Tahoma"/>
      <w:sz w:val="24"/>
      <w:szCs w:val="20"/>
    </w:rPr>
  </w:style>
  <w:style w:type="paragraph" w:customStyle="1" w:styleId="180">
    <w:name w:val="文档正文"/>
    <w:basedOn w:val="1"/>
    <w:qFormat/>
    <w:uiPriority w:val="0"/>
    <w:pPr>
      <w:snapToGrid w:val="0"/>
      <w:spacing w:before="120" w:after="120" w:line="180" w:lineRule="auto"/>
    </w:pPr>
    <w:rPr>
      <w:rFonts w:ascii="Arial" w:hAnsi="Arial"/>
      <w:szCs w:val="20"/>
    </w:rPr>
  </w:style>
  <w:style w:type="paragraph" w:customStyle="1" w:styleId="18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4">
    <w:name w:val="Char1 Char Char Char1"/>
    <w:basedOn w:val="1"/>
    <w:qFormat/>
    <w:uiPriority w:val="0"/>
    <w:rPr>
      <w:rFonts w:ascii="Tahoma" w:hAnsi="Tahoma" w:cs="仿宋_GB2312"/>
      <w:sz w:val="24"/>
      <w:szCs w:val="28"/>
    </w:rPr>
  </w:style>
  <w:style w:type="paragraph" w:customStyle="1" w:styleId="185">
    <w:name w:val="图例"/>
    <w:basedOn w:val="1"/>
    <w:qFormat/>
    <w:uiPriority w:val="0"/>
    <w:pPr>
      <w:spacing w:before="120" w:after="120" w:line="360" w:lineRule="auto"/>
      <w:jc w:val="center"/>
    </w:pPr>
    <w:rPr>
      <w:rFonts w:eastAsia="仿宋_GB2312"/>
      <w:b/>
      <w:sz w:val="24"/>
      <w:szCs w:val="20"/>
    </w:rPr>
  </w:style>
  <w:style w:type="paragraph" w:customStyle="1" w:styleId="186">
    <w:name w:val="Char Char1"/>
    <w:basedOn w:val="15"/>
    <w:qFormat/>
    <w:uiPriority w:val="0"/>
    <w:rPr>
      <w:rFonts w:ascii="Tahoma" w:hAnsi="Tahoma"/>
      <w:sz w:val="24"/>
    </w:rPr>
  </w:style>
  <w:style w:type="paragraph" w:customStyle="1" w:styleId="18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89">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90">
    <w:name w:val="默认段落字体 Para Char Char Char Char"/>
    <w:basedOn w:val="1"/>
    <w:qFormat/>
    <w:uiPriority w:val="0"/>
    <w:rPr>
      <w:rFonts w:ascii="Arial" w:hAnsi="Arial" w:cs="Arial"/>
      <w:szCs w:val="21"/>
    </w:rPr>
  </w:style>
  <w:style w:type="paragraph" w:customStyle="1" w:styleId="19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9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5">
    <w:name w:val="Char Char4"/>
    <w:basedOn w:val="1"/>
    <w:qFormat/>
    <w:uiPriority w:val="0"/>
    <w:pPr>
      <w:widowControl/>
      <w:spacing w:line="400" w:lineRule="exact"/>
      <w:jc w:val="center"/>
    </w:pPr>
  </w:style>
  <w:style w:type="paragraph" w:customStyle="1" w:styleId="19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98">
    <w:name w:val="Char Char Char"/>
    <w:basedOn w:val="1"/>
    <w:qFormat/>
    <w:uiPriority w:val="0"/>
    <w:rPr>
      <w:rFonts w:ascii="Tahoma" w:hAnsi="Tahoma"/>
      <w:sz w:val="24"/>
      <w:szCs w:val="20"/>
    </w:rPr>
  </w:style>
  <w:style w:type="paragraph" w:customStyle="1" w:styleId="199">
    <w:name w:val="项目编号2"/>
    <w:basedOn w:val="163"/>
    <w:qFormat/>
    <w:uiPriority w:val="0"/>
    <w:pPr>
      <w:numPr>
        <w:numId w:val="6"/>
      </w:numPr>
    </w:pPr>
  </w:style>
  <w:style w:type="paragraph" w:customStyle="1" w:styleId="200">
    <w:name w:val="正文须知-2级"/>
    <w:basedOn w:val="1"/>
    <w:qFormat/>
    <w:uiPriority w:val="0"/>
    <w:pPr>
      <w:numPr>
        <w:ilvl w:val="1"/>
        <w:numId w:val="2"/>
      </w:numPr>
      <w:adjustRightInd w:val="0"/>
      <w:snapToGrid w:val="0"/>
      <w:spacing w:line="300" w:lineRule="auto"/>
    </w:pPr>
    <w:rPr>
      <w:rFonts w:ascii="宋体" w:hAnsi="Calibri"/>
      <w:sz w:val="24"/>
      <w:szCs w:val="21"/>
    </w:rPr>
  </w:style>
  <w:style w:type="paragraph" w:customStyle="1" w:styleId="20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0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03">
    <w:name w:val="Char Char Char2"/>
    <w:basedOn w:val="1"/>
    <w:qFormat/>
    <w:uiPriority w:val="0"/>
    <w:rPr>
      <w:rFonts w:ascii="Tahoma" w:hAnsi="Tahoma"/>
      <w:sz w:val="24"/>
      <w:szCs w:val="20"/>
    </w:rPr>
  </w:style>
  <w:style w:type="paragraph" w:customStyle="1" w:styleId="204">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205">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6">
    <w:name w:val="列出段落2"/>
    <w:basedOn w:val="1"/>
    <w:qFormat/>
    <w:uiPriority w:val="0"/>
    <w:pPr>
      <w:ind w:firstLine="420" w:firstLineChars="200"/>
    </w:pPr>
    <w:rPr>
      <w:rFonts w:ascii="Calibri" w:hAnsi="Calibri"/>
      <w:szCs w:val="22"/>
    </w:rPr>
  </w:style>
  <w:style w:type="paragraph" w:customStyle="1" w:styleId="20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8">
    <w:name w:val="图中文字"/>
    <w:basedOn w:val="1"/>
    <w:qFormat/>
    <w:uiPriority w:val="0"/>
    <w:pPr>
      <w:adjustRightInd w:val="0"/>
      <w:snapToGrid w:val="0"/>
      <w:spacing w:line="0" w:lineRule="atLeast"/>
      <w:jc w:val="center"/>
    </w:pPr>
    <w:rPr>
      <w:sz w:val="24"/>
      <w:szCs w:val="20"/>
    </w:rPr>
  </w:style>
  <w:style w:type="paragraph" w:customStyle="1" w:styleId="20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10">
    <w:name w:val="正文 + 楷体_GB2312"/>
    <w:basedOn w:val="1"/>
    <w:qFormat/>
    <w:uiPriority w:val="0"/>
    <w:pPr>
      <w:widowControl/>
      <w:jc w:val="left"/>
    </w:pPr>
    <w:rPr>
      <w:rFonts w:ascii="楷体_GB2312" w:eastAsia="楷体_GB2312" w:cs="Arial"/>
      <w:kern w:val="0"/>
      <w:sz w:val="24"/>
    </w:rPr>
  </w:style>
  <w:style w:type="paragraph" w:customStyle="1" w:styleId="211">
    <w:name w:val="缺省文本"/>
    <w:basedOn w:val="1"/>
    <w:qFormat/>
    <w:uiPriority w:val="0"/>
    <w:pPr>
      <w:autoSpaceDE w:val="0"/>
      <w:autoSpaceDN w:val="0"/>
      <w:adjustRightInd w:val="0"/>
      <w:jc w:val="left"/>
    </w:pPr>
    <w:rPr>
      <w:kern w:val="0"/>
      <w:sz w:val="24"/>
    </w:rPr>
  </w:style>
  <w:style w:type="paragraph" w:customStyle="1" w:styleId="212">
    <w:name w:val="样式2"/>
    <w:basedOn w:val="42"/>
    <w:qFormat/>
    <w:uiPriority w:val="0"/>
    <w:pPr>
      <w:spacing w:line="360" w:lineRule="auto"/>
      <w:jc w:val="center"/>
    </w:pPr>
    <w:rPr>
      <w:sz w:val="24"/>
    </w:rPr>
  </w:style>
  <w:style w:type="paragraph" w:customStyle="1" w:styleId="213">
    <w:name w:val="_Style 11"/>
    <w:basedOn w:val="1"/>
    <w:next w:val="1"/>
    <w:qFormat/>
    <w:uiPriority w:val="0"/>
    <w:pPr>
      <w:spacing w:after="120"/>
      <w:ind w:left="420" w:leftChars="200" w:firstLine="420" w:firstLineChars="200"/>
    </w:pPr>
  </w:style>
  <w:style w:type="paragraph" w:customStyle="1" w:styleId="214">
    <w:name w:val="图文"/>
    <w:basedOn w:val="1"/>
    <w:qFormat/>
    <w:uiPriority w:val="0"/>
    <w:pPr>
      <w:adjustRightInd w:val="0"/>
      <w:snapToGrid w:val="0"/>
      <w:spacing w:after="50" w:line="360" w:lineRule="auto"/>
    </w:pPr>
    <w:rPr>
      <w:sz w:val="24"/>
    </w:rPr>
  </w:style>
  <w:style w:type="paragraph" w:customStyle="1" w:styleId="215">
    <w:name w:val="Char2 Char Char Char Char Char Char1"/>
    <w:basedOn w:val="1"/>
    <w:qFormat/>
    <w:uiPriority w:val="0"/>
    <w:pPr>
      <w:widowControl/>
      <w:spacing w:line="400" w:lineRule="exact"/>
      <w:jc w:val="center"/>
    </w:pPr>
  </w:style>
  <w:style w:type="paragraph" w:customStyle="1" w:styleId="216">
    <w:name w:val="Char Char Char Char Char Char Char Char Char Char1"/>
    <w:basedOn w:val="1"/>
    <w:qFormat/>
    <w:uiPriority w:val="0"/>
    <w:rPr>
      <w:rFonts w:ascii="宋体" w:hAnsi="宋体" w:cs="Courier New"/>
      <w:sz w:val="32"/>
      <w:szCs w:val="32"/>
    </w:rPr>
  </w:style>
  <w:style w:type="paragraph" w:customStyle="1" w:styleId="217">
    <w:name w:val="Char3 Char Char Char2"/>
    <w:basedOn w:val="1"/>
    <w:qFormat/>
    <w:uiPriority w:val="0"/>
    <w:rPr>
      <w:rFonts w:ascii="Tahoma" w:hAnsi="Tahoma"/>
      <w:sz w:val="24"/>
      <w:szCs w:val="20"/>
    </w:rPr>
  </w:style>
  <w:style w:type="paragraph" w:customStyle="1" w:styleId="218">
    <w:name w:val="Char1"/>
    <w:basedOn w:val="1"/>
    <w:qFormat/>
    <w:uiPriority w:val="0"/>
    <w:pPr>
      <w:tabs>
        <w:tab w:val="left" w:pos="360"/>
      </w:tabs>
    </w:pPr>
    <w:rPr>
      <w:sz w:val="24"/>
    </w:rPr>
  </w:style>
  <w:style w:type="paragraph" w:customStyle="1" w:styleId="219">
    <w:name w:val="Char Char Char1"/>
    <w:basedOn w:val="1"/>
    <w:qFormat/>
    <w:uiPriority w:val="0"/>
    <w:rPr>
      <w:rFonts w:ascii="Tahoma" w:hAnsi="Tahoma"/>
      <w:sz w:val="24"/>
      <w:szCs w:val="20"/>
    </w:rPr>
  </w:style>
  <w:style w:type="paragraph" w:customStyle="1" w:styleId="22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1">
    <w:name w:val="_Style 160"/>
    <w:qFormat/>
    <w:uiPriority w:val="0"/>
    <w:rPr>
      <w:rFonts w:ascii="Times New Roman" w:hAnsi="Times New Roman" w:eastAsia="宋体" w:cs="Times New Roman"/>
      <w:kern w:val="2"/>
      <w:sz w:val="21"/>
      <w:szCs w:val="24"/>
      <w:lang w:val="en-US" w:eastAsia="zh-CN" w:bidi="ar-SA"/>
    </w:rPr>
  </w:style>
  <w:style w:type="paragraph" w:customStyle="1" w:styleId="22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3">
    <w:name w:val="Char Char Char Char Char Char Char Char Char Char"/>
    <w:basedOn w:val="1"/>
    <w:qFormat/>
    <w:uiPriority w:val="0"/>
  </w:style>
  <w:style w:type="paragraph" w:customStyle="1" w:styleId="224">
    <w:name w:val="列出段落1"/>
    <w:basedOn w:val="1"/>
    <w:qFormat/>
    <w:uiPriority w:val="0"/>
    <w:pPr>
      <w:ind w:firstLine="420" w:firstLineChars="200"/>
    </w:pPr>
    <w:rPr>
      <w:rFonts w:ascii="Calibri" w:hAnsi="Calibri"/>
      <w:szCs w:val="22"/>
    </w:rPr>
  </w:style>
  <w:style w:type="paragraph" w:customStyle="1" w:styleId="22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0">
    <w:name w:val="三级条标题"/>
    <w:basedOn w:val="141"/>
    <w:next w:val="1"/>
    <w:qFormat/>
    <w:uiPriority w:val="0"/>
    <w:pPr>
      <w:numPr>
        <w:ilvl w:val="3"/>
        <w:numId w:val="3"/>
      </w:numPr>
      <w:ind w:left="0" w:hanging="840"/>
      <w:outlineLvl w:val="3"/>
    </w:pPr>
  </w:style>
  <w:style w:type="paragraph" w:customStyle="1" w:styleId="23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33">
    <w:name w:val="项目编号3"/>
    <w:basedOn w:val="162"/>
    <w:qFormat/>
    <w:uiPriority w:val="0"/>
    <w:pPr>
      <w:numPr>
        <w:ilvl w:val="0"/>
        <w:numId w:val="7"/>
      </w:numPr>
    </w:pPr>
  </w:style>
  <w:style w:type="paragraph" w:customStyle="1" w:styleId="234">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23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3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7">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8">
    <w:name w:val="Char3 Char Char Char"/>
    <w:basedOn w:val="1"/>
    <w:qFormat/>
    <w:uiPriority w:val="0"/>
    <w:rPr>
      <w:rFonts w:ascii="Tahoma" w:hAnsi="Tahoma"/>
      <w:sz w:val="24"/>
      <w:szCs w:val="20"/>
    </w:rPr>
  </w:style>
  <w:style w:type="paragraph" w:customStyle="1" w:styleId="239">
    <w:name w:val="Char21"/>
    <w:basedOn w:val="1"/>
    <w:qFormat/>
    <w:uiPriority w:val="0"/>
    <w:rPr>
      <w:rFonts w:ascii="Tahoma" w:hAnsi="Tahoma"/>
      <w:sz w:val="24"/>
      <w:szCs w:val="20"/>
    </w:rPr>
  </w:style>
  <w:style w:type="paragraph" w:customStyle="1" w:styleId="240">
    <w:name w:val="List Paragraph1"/>
    <w:basedOn w:val="1"/>
    <w:qFormat/>
    <w:uiPriority w:val="0"/>
    <w:pPr>
      <w:ind w:firstLine="420" w:firstLineChars="200"/>
    </w:pPr>
    <w:rPr>
      <w:rFonts w:ascii="Calibri" w:hAnsi="Calibri"/>
      <w:szCs w:val="22"/>
    </w:rPr>
  </w:style>
  <w:style w:type="paragraph" w:customStyle="1" w:styleId="241">
    <w:name w:val="四级条标题"/>
    <w:basedOn w:val="230"/>
    <w:next w:val="1"/>
    <w:qFormat/>
    <w:uiPriority w:val="0"/>
    <w:pPr>
      <w:numPr>
        <w:ilvl w:val="4"/>
      </w:numPr>
      <w:ind w:left="0" w:hanging="840"/>
      <w:outlineLvl w:val="4"/>
    </w:pPr>
  </w:style>
  <w:style w:type="paragraph" w:styleId="24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Char Char Char1 Char1"/>
    <w:basedOn w:val="1"/>
    <w:qFormat/>
    <w:uiPriority w:val="0"/>
    <w:rPr>
      <w:rFonts w:ascii="Tahoma" w:hAnsi="Tahoma"/>
      <w:sz w:val="24"/>
      <w:szCs w:val="20"/>
    </w:rPr>
  </w:style>
  <w:style w:type="paragraph" w:customStyle="1" w:styleId="24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7">
    <w:name w:val="项目符号1"/>
    <w:basedOn w:val="162"/>
    <w:qFormat/>
    <w:uiPriority w:val="0"/>
    <w:pPr>
      <w:ind w:left="-25" w:firstLine="0"/>
    </w:pPr>
  </w:style>
  <w:style w:type="paragraph" w:customStyle="1" w:styleId="24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49">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5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51">
    <w:name w:val="Char22"/>
    <w:basedOn w:val="1"/>
    <w:qFormat/>
    <w:uiPriority w:val="0"/>
    <w:rPr>
      <w:rFonts w:ascii="Tahoma" w:hAnsi="Tahoma"/>
      <w:sz w:val="24"/>
      <w:szCs w:val="20"/>
    </w:rPr>
  </w:style>
  <w:style w:type="paragraph" w:customStyle="1" w:styleId="252">
    <w:name w:val="Char3 Char Char Char1"/>
    <w:basedOn w:val="1"/>
    <w:qFormat/>
    <w:uiPriority w:val="0"/>
    <w:rPr>
      <w:rFonts w:ascii="Tahoma" w:hAnsi="Tahoma"/>
      <w:sz w:val="24"/>
      <w:szCs w:val="20"/>
    </w:rPr>
  </w:style>
  <w:style w:type="paragraph" w:customStyle="1" w:styleId="253">
    <w:name w:val="五级条标题"/>
    <w:basedOn w:val="241"/>
    <w:next w:val="1"/>
    <w:qFormat/>
    <w:uiPriority w:val="0"/>
    <w:pPr>
      <w:numPr>
        <w:ilvl w:val="5"/>
      </w:numPr>
      <w:ind w:left="0" w:hanging="840"/>
      <w:outlineLvl w:val="5"/>
    </w:pPr>
  </w:style>
  <w:style w:type="paragraph" w:customStyle="1" w:styleId="254">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25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7">
    <w:name w:val="一级无"/>
    <w:basedOn w:val="1"/>
    <w:qFormat/>
    <w:uiPriority w:val="0"/>
    <w:pPr>
      <w:widowControl/>
      <w:jc w:val="left"/>
      <w:outlineLvl w:val="2"/>
    </w:pPr>
    <w:rPr>
      <w:rFonts w:ascii="宋体"/>
      <w:kern w:val="0"/>
      <w:szCs w:val="21"/>
    </w:rPr>
  </w:style>
  <w:style w:type="paragraph" w:customStyle="1" w:styleId="258">
    <w:name w:val="Char"/>
    <w:basedOn w:val="1"/>
    <w:qFormat/>
    <w:uiPriority w:val="0"/>
    <w:pPr>
      <w:tabs>
        <w:tab w:val="left" w:pos="360"/>
      </w:tabs>
    </w:pPr>
    <w:rPr>
      <w:sz w:val="24"/>
    </w:rPr>
  </w:style>
  <w:style w:type="paragraph" w:customStyle="1" w:styleId="25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table" w:customStyle="1" w:styleId="260">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1">
    <w:name w:val="NormalCharacter"/>
    <w:qFormat/>
    <w:uiPriority w:val="0"/>
    <w:rPr>
      <w:rFonts w:ascii="Calibri" w:hAnsi="Calibri" w:eastAsia="宋体" w:cs="Times New Roman"/>
      <w:kern w:val="2"/>
      <w:sz w:val="21"/>
      <w:szCs w:val="22"/>
      <w:lang w:val="en-US" w:eastAsia="zh-CN" w:bidi="ar-SA"/>
    </w:rPr>
  </w:style>
  <w:style w:type="character" w:customStyle="1" w:styleId="262">
    <w:name w:val="font11"/>
    <w:qFormat/>
    <w:uiPriority w:val="0"/>
    <w:rPr>
      <w:rFonts w:hint="eastAsia" w:ascii="仿宋_GB2312" w:eastAsia="仿宋_GB2312" w:cs="仿宋_GB2312"/>
      <w:color w:val="000000"/>
      <w:sz w:val="24"/>
      <w:szCs w:val="24"/>
      <w:u w:val="none"/>
    </w:rPr>
  </w:style>
  <w:style w:type="paragraph" w:customStyle="1" w:styleId="263">
    <w:name w:val="表"/>
    <w:basedOn w:val="1"/>
    <w:qFormat/>
    <w:uiPriority w:val="0"/>
    <w:pPr>
      <w:jc w:val="center"/>
    </w:pPr>
    <w:rPr>
      <w:rFonts w:hint="eastAsia" w:cs="方正仿宋_GB2312"/>
      <w:sz w:val="24"/>
      <w:szCs w:val="22"/>
      <w:lang w:val="zh-CN" w:bidi="zh-CN"/>
    </w:rPr>
  </w:style>
  <w:style w:type="paragraph" w:customStyle="1" w:styleId="264">
    <w:name w:val="Table Text"/>
    <w:basedOn w:val="1"/>
    <w:semiHidden/>
    <w:qFormat/>
    <w:uiPriority w:val="0"/>
    <w:rPr>
      <w:rFonts w:ascii="Times New Roman" w:hAnsi="Times New Roman" w:eastAsia="Times New Roman" w:cs="Times New Roman"/>
      <w:sz w:val="24"/>
      <w:szCs w:val="24"/>
      <w:lang w:eastAsia="en-US"/>
    </w:rPr>
  </w:style>
  <w:style w:type="paragraph" w:customStyle="1" w:styleId="265">
    <w:name w:val="null3"/>
    <w:qFormat/>
    <w:uiPriority w:val="0"/>
    <w:rPr>
      <w:rFonts w:hint="eastAsia" w:ascii="Calibri" w:hAnsi="Calibri" w:eastAsia="宋体" w:cs="Times New Roman"/>
      <w:lang w:val="en-US" w:eastAsia="zh-CN" w:bidi="ar-SA"/>
    </w:rPr>
  </w:style>
  <w:style w:type="paragraph" w:customStyle="1" w:styleId="266">
    <w:name w:val="标题 31"/>
    <w:basedOn w:val="1"/>
    <w:next w:val="1"/>
    <w:qFormat/>
    <w:uiPriority w:val="0"/>
    <w:pPr>
      <w:keepNext/>
      <w:keepLines/>
      <w:spacing w:before="360" w:after="120"/>
      <w:jc w:val="left"/>
      <w:outlineLvl w:val="2"/>
    </w:pPr>
    <w:rPr>
      <w:rFonts w:ascii="宋体"/>
      <w:b/>
      <w:sz w:val="24"/>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77</Pages>
  <Words>23894</Words>
  <Characters>24845</Characters>
  <Lines>238</Lines>
  <Paragraphs>67</Paragraphs>
  <TotalTime>2</TotalTime>
  <ScaleCrop>false</ScaleCrop>
  <LinksUpToDate>false</LinksUpToDate>
  <CharactersWithSpaces>25128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2024-07-24T04:09:00Z</dcterms:created>
  <dc:creator>尹皓</dc:creator>
  <cp:lastModifiedBy>钱锋</cp:lastModifiedBy>
  <cp:lastPrinted>2020-04-02T03:13:00Z</cp:lastPrinted>
  <dcterms:modified xsi:type="dcterms:W3CDTF">2026-03-25T05:09:32Z</dcterms:modified>
  <dc:title>02年杜范本稿</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3D2F5DD2B8BE4A80846859B10375ACE8_13</vt:lpwstr>
  </property>
  <property fmtid="{D5CDD505-2E9C-101B-9397-08002B2CF9AE}" pid="4" name="KSOTemplateDocerSaveRecord">
    <vt:lpwstr>eyJoZGlkIjoiMTk4NzJiNWJhZWRhMGRjZDVhMmYwMjVhY2ViOWQ4ZWYiLCJ1c2VySWQiOiIyMzk4NjkwNjAifQ==</vt:lpwstr>
  </property>
</Properties>
</file>