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4813">
      <w:pPr>
        <w:rPr>
          <w:rFonts w:hint="eastAsia" w:ascii="宋体" w:hAnsi="宋体" w:eastAsia="宋体" w:cs="宋体"/>
          <w:color w:val="auto"/>
          <w:sz w:val="24"/>
          <w:highlight w:val="none"/>
        </w:rPr>
      </w:pPr>
    </w:p>
    <w:p w14:paraId="432B1971">
      <w:pPr>
        <w:pStyle w:val="25"/>
        <w:rPr>
          <w:rFonts w:hint="eastAsia"/>
          <w:color w:val="auto"/>
          <w:highlight w:val="none"/>
        </w:rPr>
      </w:pPr>
    </w:p>
    <w:p w14:paraId="236064B5">
      <w:pPr>
        <w:spacing w:line="360" w:lineRule="auto"/>
        <w:rPr>
          <w:rFonts w:hint="eastAsia" w:ascii="宋体" w:hAnsi="宋体" w:eastAsia="宋体" w:cs="宋体"/>
          <w:color w:val="auto"/>
          <w:sz w:val="24"/>
          <w:highlight w:val="none"/>
        </w:rPr>
      </w:pPr>
    </w:p>
    <w:p w14:paraId="6E7447D5">
      <w:pPr>
        <w:pStyle w:val="17"/>
        <w:ind w:left="0" w:leftChars="0" w:firstLine="0" w:firstLineChars="0"/>
        <w:jc w:val="center"/>
        <w:rPr>
          <w:rFonts w:hint="eastAsia" w:ascii="楷体" w:hAnsi="楷体" w:eastAsia="楷体" w:cs="楷体"/>
          <w:b/>
          <w:color w:val="auto"/>
          <w:kern w:val="0"/>
          <w:sz w:val="72"/>
          <w:szCs w:val="72"/>
          <w:highlight w:val="none"/>
          <w:lang w:val="en-US" w:eastAsia="zh-CN"/>
        </w:rPr>
      </w:pPr>
      <w:r>
        <w:rPr>
          <w:rFonts w:hint="eastAsia" w:ascii="楷体" w:hAnsi="楷体" w:eastAsia="楷体" w:cs="楷体"/>
          <w:b/>
          <w:color w:val="auto"/>
          <w:kern w:val="0"/>
          <w:sz w:val="52"/>
          <w:szCs w:val="52"/>
          <w:highlight w:val="none"/>
          <w:lang w:val="en-US" w:eastAsia="zh-CN"/>
        </w:rPr>
        <w:t>前郭县2026年大豆根瘤菌剂接种工程</w:t>
      </w:r>
    </w:p>
    <w:p w14:paraId="62026815">
      <w:pPr>
        <w:rPr>
          <w:rFonts w:hint="eastAsia" w:ascii="楷体" w:hAnsi="楷体" w:eastAsia="楷体" w:cs="楷体"/>
          <w:b/>
          <w:color w:val="auto"/>
          <w:kern w:val="0"/>
          <w:sz w:val="72"/>
          <w:szCs w:val="72"/>
          <w:highlight w:val="none"/>
        </w:rPr>
      </w:pPr>
    </w:p>
    <w:p w14:paraId="64274C9F">
      <w:pPr>
        <w:pStyle w:val="17"/>
        <w:ind w:left="0" w:leftChars="0" w:firstLine="0" w:firstLineChars="0"/>
        <w:rPr>
          <w:rFonts w:hint="eastAsia" w:ascii="楷体" w:hAnsi="楷体" w:eastAsia="楷体" w:cs="楷体"/>
          <w:color w:val="auto"/>
          <w:highlight w:val="none"/>
        </w:rPr>
      </w:pPr>
    </w:p>
    <w:p w14:paraId="7D53D2D0">
      <w:pPr>
        <w:autoSpaceDE w:val="0"/>
        <w:autoSpaceDN w:val="0"/>
        <w:adjustRightInd w:val="0"/>
        <w:spacing w:line="360" w:lineRule="auto"/>
        <w:jc w:val="both"/>
        <w:rPr>
          <w:rFonts w:hint="eastAsia" w:ascii="楷体" w:hAnsi="楷体" w:eastAsia="楷体" w:cs="楷体"/>
          <w:b/>
          <w:color w:val="auto"/>
          <w:kern w:val="0"/>
          <w:sz w:val="48"/>
          <w:szCs w:val="48"/>
          <w:highlight w:val="none"/>
          <w:lang w:eastAsia="zh-CN"/>
        </w:rPr>
      </w:pPr>
    </w:p>
    <w:p w14:paraId="15FFF3A5">
      <w:pPr>
        <w:pStyle w:val="25"/>
        <w:rPr>
          <w:rFonts w:hint="eastAsia"/>
          <w:color w:val="auto"/>
          <w:highlight w:val="none"/>
          <w:lang w:eastAsia="zh-CN"/>
        </w:rPr>
      </w:pPr>
    </w:p>
    <w:p w14:paraId="0CE406E6">
      <w:pPr>
        <w:autoSpaceDE w:val="0"/>
        <w:autoSpaceDN w:val="0"/>
        <w:adjustRightInd w:val="0"/>
        <w:spacing w:line="360" w:lineRule="auto"/>
        <w:jc w:val="center"/>
        <w:rPr>
          <w:rFonts w:hint="eastAsia" w:ascii="楷体" w:hAnsi="楷体" w:eastAsia="楷体" w:cs="楷体"/>
          <w:b/>
          <w:color w:val="auto"/>
          <w:kern w:val="0"/>
          <w:sz w:val="56"/>
          <w:szCs w:val="56"/>
          <w:highlight w:val="none"/>
          <w:lang w:eastAsia="zh-CN"/>
        </w:rPr>
      </w:pPr>
      <w:r>
        <w:rPr>
          <w:rFonts w:hint="eastAsia" w:ascii="楷体" w:hAnsi="楷体" w:eastAsia="楷体" w:cs="楷体"/>
          <w:b/>
          <w:color w:val="auto"/>
          <w:kern w:val="0"/>
          <w:sz w:val="56"/>
          <w:szCs w:val="56"/>
          <w:highlight w:val="none"/>
          <w:lang w:eastAsia="zh-CN"/>
        </w:rPr>
        <w:t>竞争性谈判文件</w:t>
      </w:r>
    </w:p>
    <w:p w14:paraId="74DE06FE">
      <w:pPr>
        <w:autoSpaceDE w:val="0"/>
        <w:autoSpaceDN w:val="0"/>
        <w:adjustRightInd w:val="0"/>
        <w:jc w:val="center"/>
        <w:rPr>
          <w:rFonts w:hint="default" w:ascii="楷体" w:hAnsi="楷体" w:eastAsia="楷体" w:cs="楷体"/>
          <w:b/>
          <w:color w:val="auto"/>
          <w:kern w:val="0"/>
          <w:sz w:val="32"/>
          <w:szCs w:val="32"/>
          <w:highlight w:val="none"/>
          <w:lang w:val="en-US" w:eastAsia="zh-CN"/>
        </w:rPr>
      </w:pPr>
      <w:r>
        <w:rPr>
          <w:rFonts w:hint="eastAsia" w:ascii="楷体" w:hAnsi="楷体" w:eastAsia="楷体" w:cs="楷体"/>
          <w:b/>
          <w:color w:val="auto"/>
          <w:kern w:val="0"/>
          <w:sz w:val="32"/>
          <w:szCs w:val="32"/>
          <w:highlight w:val="none"/>
          <w:lang w:eastAsia="zh-CN"/>
        </w:rPr>
        <w:t>项目编号：采购计划-[2026]-00050号-SHZB26-03</w:t>
      </w:r>
    </w:p>
    <w:p w14:paraId="4CD9EB72">
      <w:pPr>
        <w:autoSpaceDE w:val="0"/>
        <w:autoSpaceDN w:val="0"/>
        <w:adjustRightInd w:val="0"/>
        <w:jc w:val="center"/>
        <w:rPr>
          <w:rFonts w:hint="eastAsia" w:ascii="楷体" w:hAnsi="楷体" w:eastAsia="楷体" w:cs="楷体"/>
          <w:b/>
          <w:color w:val="auto"/>
          <w:kern w:val="0"/>
          <w:sz w:val="32"/>
          <w:szCs w:val="32"/>
          <w:highlight w:val="none"/>
          <w:lang w:eastAsia="zh-CN"/>
        </w:rPr>
      </w:pPr>
    </w:p>
    <w:p w14:paraId="6E68C898">
      <w:pPr>
        <w:autoSpaceDE w:val="0"/>
        <w:autoSpaceDN w:val="0"/>
        <w:adjustRightInd w:val="0"/>
        <w:jc w:val="center"/>
        <w:rPr>
          <w:rFonts w:hint="eastAsia" w:ascii="楷体" w:hAnsi="楷体" w:eastAsia="楷体" w:cs="楷体"/>
          <w:b/>
          <w:color w:val="auto"/>
          <w:kern w:val="0"/>
          <w:sz w:val="32"/>
          <w:szCs w:val="32"/>
          <w:highlight w:val="none"/>
          <w:lang w:eastAsia="zh-CN"/>
        </w:rPr>
      </w:pPr>
      <w:r>
        <w:rPr>
          <w:rFonts w:hint="eastAsia" w:ascii="楷体" w:hAnsi="楷体" w:eastAsia="楷体" w:cs="楷体"/>
          <w:b/>
          <w:color w:val="auto"/>
          <w:kern w:val="0"/>
          <w:sz w:val="32"/>
          <w:szCs w:val="32"/>
          <w:highlight w:val="none"/>
          <w:lang w:eastAsia="zh-CN"/>
        </w:rPr>
        <w:t>（</w:t>
      </w:r>
      <w:r>
        <w:rPr>
          <w:rFonts w:hint="eastAsia" w:ascii="楷体" w:hAnsi="楷体" w:eastAsia="楷体" w:cs="楷体"/>
          <w:b/>
          <w:color w:val="auto"/>
          <w:kern w:val="0"/>
          <w:sz w:val="32"/>
          <w:szCs w:val="32"/>
          <w:highlight w:val="none"/>
          <w:lang w:val="en-US" w:eastAsia="zh-CN"/>
        </w:rPr>
        <w:t>正</w:t>
      </w:r>
      <w:r>
        <w:rPr>
          <w:rFonts w:hint="eastAsia" w:ascii="楷体" w:hAnsi="楷体" w:eastAsia="楷体" w:cs="楷体"/>
          <w:b/>
          <w:color w:val="auto"/>
          <w:kern w:val="0"/>
          <w:sz w:val="32"/>
          <w:szCs w:val="32"/>
          <w:highlight w:val="none"/>
          <w:lang w:eastAsia="zh-CN"/>
        </w:rPr>
        <w:t>本）</w:t>
      </w:r>
    </w:p>
    <w:p w14:paraId="065E13C8">
      <w:pPr>
        <w:autoSpaceDE w:val="0"/>
        <w:autoSpaceDN w:val="0"/>
        <w:adjustRightInd w:val="0"/>
        <w:rPr>
          <w:rFonts w:hint="eastAsia" w:ascii="楷体" w:hAnsi="楷体" w:eastAsia="楷体" w:cs="楷体"/>
          <w:b/>
          <w:color w:val="auto"/>
          <w:kern w:val="0"/>
          <w:sz w:val="28"/>
          <w:szCs w:val="28"/>
          <w:highlight w:val="none"/>
        </w:rPr>
      </w:pPr>
    </w:p>
    <w:p w14:paraId="5B112959">
      <w:pPr>
        <w:pStyle w:val="34"/>
        <w:rPr>
          <w:rFonts w:hint="eastAsia" w:ascii="楷体" w:hAnsi="楷体" w:eastAsia="楷体" w:cs="楷体"/>
          <w:b/>
          <w:color w:val="auto"/>
          <w:kern w:val="0"/>
          <w:sz w:val="28"/>
          <w:szCs w:val="28"/>
          <w:highlight w:val="none"/>
        </w:rPr>
      </w:pPr>
    </w:p>
    <w:p w14:paraId="78D85E9D">
      <w:pPr>
        <w:pStyle w:val="17"/>
        <w:rPr>
          <w:rFonts w:hint="eastAsia" w:ascii="楷体" w:hAnsi="楷体" w:eastAsia="楷体" w:cs="楷体"/>
          <w:color w:val="auto"/>
          <w:highlight w:val="none"/>
        </w:rPr>
      </w:pPr>
    </w:p>
    <w:p w14:paraId="3B671B51">
      <w:pPr>
        <w:pStyle w:val="34"/>
        <w:rPr>
          <w:rFonts w:hint="eastAsia" w:ascii="楷体" w:hAnsi="楷体" w:eastAsia="楷体" w:cs="楷体"/>
          <w:color w:val="auto"/>
          <w:highlight w:val="none"/>
        </w:rPr>
      </w:pPr>
    </w:p>
    <w:p w14:paraId="7E680D28">
      <w:pPr>
        <w:pStyle w:val="25"/>
        <w:rPr>
          <w:rFonts w:hint="eastAsia" w:ascii="楷体" w:hAnsi="楷体" w:eastAsia="楷体" w:cs="楷体"/>
          <w:color w:val="auto"/>
          <w:highlight w:val="none"/>
        </w:rPr>
      </w:pPr>
    </w:p>
    <w:p w14:paraId="0AB78121">
      <w:pPr>
        <w:pStyle w:val="25"/>
        <w:rPr>
          <w:rFonts w:hint="eastAsia" w:ascii="楷体" w:hAnsi="楷体" w:eastAsia="楷体" w:cs="楷体"/>
          <w:color w:val="auto"/>
          <w:highlight w:val="none"/>
        </w:rPr>
      </w:pPr>
    </w:p>
    <w:p w14:paraId="34CD65CD">
      <w:pPr>
        <w:pStyle w:val="25"/>
        <w:rPr>
          <w:rFonts w:hint="eastAsia" w:ascii="楷体" w:hAnsi="楷体" w:eastAsia="楷体" w:cs="楷体"/>
          <w:color w:val="auto"/>
          <w:highlight w:val="none"/>
        </w:rPr>
      </w:pPr>
    </w:p>
    <w:p w14:paraId="668749EA">
      <w:pPr>
        <w:pStyle w:val="25"/>
        <w:rPr>
          <w:rFonts w:hint="eastAsia" w:ascii="楷体" w:hAnsi="楷体" w:eastAsia="楷体" w:cs="楷体"/>
          <w:color w:val="auto"/>
          <w:highlight w:val="none"/>
        </w:rPr>
      </w:pPr>
    </w:p>
    <w:p w14:paraId="540386E9">
      <w:pPr>
        <w:rPr>
          <w:rFonts w:hint="eastAsia"/>
          <w:color w:val="auto"/>
          <w:highlight w:val="none"/>
        </w:rPr>
      </w:pPr>
    </w:p>
    <w:p w14:paraId="32FB60D7">
      <w:pPr>
        <w:pStyle w:val="25"/>
        <w:rPr>
          <w:rFonts w:hint="eastAsia" w:ascii="楷体" w:hAnsi="楷体" w:eastAsia="楷体" w:cs="楷体"/>
          <w:color w:val="auto"/>
          <w:highlight w:val="none"/>
        </w:rPr>
      </w:pPr>
    </w:p>
    <w:p w14:paraId="5582B71C">
      <w:pPr>
        <w:keepNext w:val="0"/>
        <w:keepLines w:val="0"/>
        <w:pageBreakBefore w:val="0"/>
        <w:widowControl w:val="0"/>
        <w:kinsoku/>
        <w:wordWrap/>
        <w:overflowPunct/>
        <w:topLinePunct w:val="0"/>
        <w:autoSpaceDE w:val="0"/>
        <w:autoSpaceDN w:val="0"/>
        <w:bidi w:val="0"/>
        <w:adjustRightInd w:val="0"/>
        <w:snapToGrid/>
        <w:ind w:left="840" w:leftChars="400"/>
        <w:jc w:val="both"/>
        <w:textAlignment w:val="auto"/>
        <w:rPr>
          <w:rFonts w:hint="eastAsia" w:ascii="楷体" w:hAnsi="楷体" w:eastAsia="楷体" w:cs="楷体"/>
          <w:b/>
          <w:color w:val="auto"/>
          <w:kern w:val="0"/>
          <w:sz w:val="32"/>
          <w:szCs w:val="32"/>
          <w:highlight w:val="none"/>
          <w:lang w:val="en-US" w:eastAsia="zh-CN"/>
        </w:rPr>
      </w:pPr>
      <w:r>
        <w:rPr>
          <w:rFonts w:hint="eastAsia" w:ascii="楷体" w:hAnsi="楷体" w:eastAsia="楷体" w:cs="楷体"/>
          <w:b/>
          <w:color w:val="auto"/>
          <w:kern w:val="0"/>
          <w:sz w:val="32"/>
          <w:szCs w:val="32"/>
          <w:highlight w:val="none"/>
        </w:rPr>
        <w:t>采购人：</w:t>
      </w:r>
      <w:r>
        <w:rPr>
          <w:rFonts w:hint="eastAsia" w:ascii="楷体" w:hAnsi="楷体" w:eastAsia="楷体" w:cs="楷体"/>
          <w:b/>
          <w:color w:val="auto"/>
          <w:kern w:val="0"/>
          <w:sz w:val="32"/>
          <w:szCs w:val="32"/>
          <w:highlight w:val="none"/>
          <w:lang w:val="en-US" w:eastAsia="zh-CN"/>
        </w:rPr>
        <w:t>前郭尔罗斯蒙古族自治县黑土地保护监测中心</w:t>
      </w:r>
    </w:p>
    <w:p w14:paraId="764FC302">
      <w:pPr>
        <w:keepNext w:val="0"/>
        <w:keepLines w:val="0"/>
        <w:pageBreakBefore w:val="0"/>
        <w:widowControl w:val="0"/>
        <w:kinsoku/>
        <w:wordWrap/>
        <w:overflowPunct/>
        <w:topLinePunct w:val="0"/>
        <w:autoSpaceDE w:val="0"/>
        <w:autoSpaceDN w:val="0"/>
        <w:bidi w:val="0"/>
        <w:adjustRightInd w:val="0"/>
        <w:snapToGrid/>
        <w:ind w:left="840" w:leftChars="400"/>
        <w:jc w:val="both"/>
        <w:textAlignment w:val="auto"/>
        <w:rPr>
          <w:rFonts w:hint="eastAsia" w:ascii="楷体" w:hAnsi="楷体" w:eastAsia="楷体" w:cs="楷体"/>
          <w:b/>
          <w:color w:val="auto"/>
          <w:kern w:val="0"/>
          <w:sz w:val="32"/>
          <w:szCs w:val="32"/>
          <w:highlight w:val="none"/>
        </w:rPr>
      </w:pPr>
    </w:p>
    <w:p w14:paraId="770C7C08">
      <w:pPr>
        <w:keepNext w:val="0"/>
        <w:keepLines w:val="0"/>
        <w:pageBreakBefore w:val="0"/>
        <w:widowControl w:val="0"/>
        <w:kinsoku/>
        <w:wordWrap/>
        <w:overflowPunct/>
        <w:topLinePunct w:val="0"/>
        <w:autoSpaceDE w:val="0"/>
        <w:autoSpaceDN w:val="0"/>
        <w:bidi w:val="0"/>
        <w:adjustRightInd w:val="0"/>
        <w:snapToGrid/>
        <w:ind w:left="840" w:leftChars="400"/>
        <w:jc w:val="both"/>
        <w:textAlignment w:val="auto"/>
        <w:rPr>
          <w:rFonts w:hint="eastAsia" w:ascii="楷体" w:hAnsi="楷体" w:eastAsia="楷体" w:cs="楷体"/>
          <w:b/>
          <w:color w:val="auto"/>
          <w:kern w:val="0"/>
          <w:sz w:val="32"/>
          <w:szCs w:val="32"/>
          <w:highlight w:val="none"/>
          <w:lang w:eastAsia="zh-CN"/>
        </w:rPr>
      </w:pPr>
      <w:r>
        <w:rPr>
          <w:rFonts w:hint="eastAsia" w:ascii="楷体" w:hAnsi="楷体" w:eastAsia="楷体" w:cs="楷体"/>
          <w:b/>
          <w:color w:val="auto"/>
          <w:kern w:val="0"/>
          <w:sz w:val="32"/>
          <w:szCs w:val="32"/>
          <w:highlight w:val="none"/>
        </w:rPr>
        <w:t>采购代理机构：</w:t>
      </w:r>
      <w:r>
        <w:rPr>
          <w:rFonts w:hint="eastAsia" w:ascii="楷体" w:hAnsi="楷体" w:eastAsia="楷体" w:cs="楷体"/>
          <w:b/>
          <w:color w:val="auto"/>
          <w:kern w:val="0"/>
          <w:sz w:val="32"/>
          <w:szCs w:val="32"/>
          <w:highlight w:val="none"/>
          <w:lang w:eastAsia="zh-CN"/>
        </w:rPr>
        <w:t>吉林省森宏项目管理有限公司</w:t>
      </w:r>
    </w:p>
    <w:p w14:paraId="3ECF9E27">
      <w:pPr>
        <w:autoSpaceDE w:val="0"/>
        <w:autoSpaceDN w:val="0"/>
        <w:adjustRightInd w:val="0"/>
        <w:jc w:val="center"/>
        <w:rPr>
          <w:rFonts w:hint="eastAsia" w:ascii="楷体" w:hAnsi="楷体" w:eastAsia="楷体" w:cs="楷体"/>
          <w:b/>
          <w:color w:val="auto"/>
          <w:kern w:val="0"/>
          <w:sz w:val="32"/>
          <w:szCs w:val="32"/>
          <w:highlight w:val="none"/>
        </w:rPr>
      </w:pPr>
    </w:p>
    <w:p w14:paraId="5FDBD57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highlight w:val="none"/>
        </w:rPr>
      </w:pPr>
      <w:r>
        <w:rPr>
          <w:rFonts w:hint="eastAsia" w:ascii="楷体" w:hAnsi="楷体" w:eastAsia="楷体" w:cs="楷体"/>
          <w:b/>
          <w:color w:val="auto"/>
          <w:kern w:val="0"/>
          <w:sz w:val="32"/>
          <w:szCs w:val="32"/>
          <w:highlight w:val="none"/>
        </w:rPr>
        <w:t>202</w:t>
      </w:r>
      <w:r>
        <w:rPr>
          <w:rFonts w:hint="eastAsia" w:ascii="楷体" w:hAnsi="楷体" w:eastAsia="楷体" w:cs="楷体"/>
          <w:b/>
          <w:color w:val="auto"/>
          <w:kern w:val="0"/>
          <w:sz w:val="32"/>
          <w:szCs w:val="32"/>
          <w:highlight w:val="none"/>
          <w:lang w:val="en-US" w:eastAsia="zh-CN"/>
        </w:rPr>
        <w:t>6</w:t>
      </w:r>
      <w:r>
        <w:rPr>
          <w:rFonts w:hint="eastAsia" w:ascii="楷体" w:hAnsi="楷体" w:eastAsia="楷体" w:cs="楷体"/>
          <w:b/>
          <w:color w:val="auto"/>
          <w:kern w:val="0"/>
          <w:sz w:val="32"/>
          <w:szCs w:val="32"/>
          <w:highlight w:val="none"/>
        </w:rPr>
        <w:t>年</w:t>
      </w:r>
      <w:r>
        <w:rPr>
          <w:rFonts w:hint="eastAsia" w:ascii="楷体" w:hAnsi="楷体" w:eastAsia="楷体" w:cs="楷体"/>
          <w:b/>
          <w:color w:val="auto"/>
          <w:kern w:val="0"/>
          <w:sz w:val="32"/>
          <w:szCs w:val="32"/>
          <w:highlight w:val="none"/>
          <w:lang w:val="en-US" w:eastAsia="zh-CN"/>
        </w:rPr>
        <w:t>4</w:t>
      </w:r>
      <w:r>
        <w:rPr>
          <w:rFonts w:hint="eastAsia" w:ascii="楷体" w:hAnsi="楷体" w:eastAsia="楷体" w:cs="楷体"/>
          <w:b/>
          <w:color w:val="auto"/>
          <w:kern w:val="0"/>
          <w:sz w:val="32"/>
          <w:szCs w:val="32"/>
          <w:highlight w:val="none"/>
        </w:rPr>
        <w:t>月</w:t>
      </w:r>
    </w:p>
    <w:p w14:paraId="1FE14144">
      <w:pPr>
        <w:jc w:val="center"/>
        <w:rPr>
          <w:rFonts w:hint="eastAsia" w:ascii="宋体" w:hAnsi="宋体" w:eastAsia="宋体" w:cs="宋体"/>
          <w:color w:val="auto"/>
          <w:sz w:val="36"/>
          <w:szCs w:val="36"/>
          <w:highlight w:val="none"/>
          <w:lang w:val="zh-CN"/>
        </w:rPr>
        <w:sectPr>
          <w:footnotePr>
            <w:numFmt w:val="decimalEnclosedCircleChinese"/>
            <w:numRestart w:val="eachPage"/>
          </w:footnotePr>
          <w:pgSz w:w="11906" w:h="16838"/>
          <w:pgMar w:top="1418" w:right="1165" w:bottom="1588" w:left="1701" w:header="851" w:footer="851" w:gutter="0"/>
          <w:pgBorders>
            <w:top w:val="none" w:sz="0" w:space="0"/>
            <w:left w:val="none" w:sz="0" w:space="0"/>
            <w:bottom w:val="none" w:sz="0" w:space="0"/>
            <w:right w:val="none" w:sz="0" w:space="0"/>
          </w:pgBorders>
          <w:pgNumType w:fmt="decimal" w:start="1"/>
          <w:cols w:space="720" w:num="1"/>
          <w:docGrid w:linePitch="312" w:charSpace="0"/>
        </w:sectPr>
      </w:pPr>
    </w:p>
    <w:p w14:paraId="63D321D3">
      <w:pPr>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lang w:val="zh-CN"/>
        </w:rPr>
        <w:t>目   录</w:t>
      </w:r>
    </w:p>
    <w:p w14:paraId="36BD46C7">
      <w:pPr>
        <w:pStyle w:val="20"/>
        <w:tabs>
          <w:tab w:val="right" w:leader="dot" w:pos="9072"/>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lang w:val="en-US" w:eastAsia="zh-CN"/>
        </w:rPr>
        <w:t>第一章  竞争性谈判公告（资格后审）</w:t>
      </w:r>
      <w:r>
        <w:rPr>
          <w:color w:val="auto"/>
          <w:highlight w:val="none"/>
        </w:rPr>
        <w:tab/>
      </w:r>
      <w:r>
        <w:rPr>
          <w:color w:val="auto"/>
          <w:highlight w:val="none"/>
        </w:rPr>
        <w:fldChar w:fldCharType="begin"/>
      </w:r>
      <w:r>
        <w:rPr>
          <w:color w:val="auto"/>
          <w:highlight w:val="none"/>
        </w:rPr>
        <w:instrText xml:space="preserve"> PAGEREF _Toc24898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14:paraId="1EE1C60A">
      <w:pPr>
        <w:pStyle w:val="20"/>
        <w:tabs>
          <w:tab w:val="right" w:leader="dot" w:pos="9072"/>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第二章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_Toc19220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highlight w:val="none"/>
        </w:rPr>
        <w:fldChar w:fldCharType="end"/>
      </w:r>
    </w:p>
    <w:p w14:paraId="79858131">
      <w:pPr>
        <w:pStyle w:val="20"/>
        <w:tabs>
          <w:tab w:val="right" w:leader="dot" w:pos="9072"/>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eastAsia="zh-CN"/>
        </w:rPr>
        <w:t>第三章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lang w:eastAsia="zh-CN"/>
        </w:rPr>
        <w:t>评审方法</w:t>
      </w:r>
      <w:r>
        <w:rPr>
          <w:color w:val="auto"/>
          <w:highlight w:val="none"/>
        </w:rPr>
        <w:tab/>
      </w:r>
      <w:r>
        <w:rPr>
          <w:color w:val="auto"/>
          <w:highlight w:val="none"/>
        </w:rPr>
        <w:fldChar w:fldCharType="begin"/>
      </w:r>
      <w:r>
        <w:rPr>
          <w:color w:val="auto"/>
          <w:highlight w:val="none"/>
        </w:rPr>
        <w:instrText xml:space="preserve"> PAGEREF _Toc11591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71D9098A">
      <w:pPr>
        <w:pStyle w:val="20"/>
        <w:tabs>
          <w:tab w:val="right" w:leader="dot" w:pos="9072"/>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val="en-US" w:eastAsia="zh-CN"/>
        </w:rPr>
        <w:t xml:space="preserve">第四章 </w:t>
      </w:r>
      <w:r>
        <w:rPr>
          <w:rFonts w:hint="eastAsia" w:ascii="宋体" w:hAnsi="宋体" w:cs="宋体"/>
          <w:color w:val="auto"/>
          <w:szCs w:val="32"/>
          <w:highlight w:val="none"/>
          <w:lang w:val="en-US" w:eastAsia="zh-CN"/>
        </w:rPr>
        <w:t xml:space="preserve"> </w:t>
      </w:r>
      <w:r>
        <w:rPr>
          <w:rFonts w:hint="eastAsia" w:ascii="宋体" w:hAnsi="宋体" w:eastAsia="宋体" w:cs="宋体"/>
          <w:color w:val="auto"/>
          <w:szCs w:val="32"/>
          <w:highlight w:val="none"/>
          <w:lang w:val="en-US" w:eastAsia="zh-CN"/>
        </w:rPr>
        <w:t>合同条款及格式</w:t>
      </w:r>
      <w:r>
        <w:rPr>
          <w:color w:val="auto"/>
          <w:highlight w:val="none"/>
        </w:rPr>
        <w:tab/>
      </w:r>
      <w:r>
        <w:rPr>
          <w:color w:val="auto"/>
          <w:highlight w:val="none"/>
        </w:rPr>
        <w:fldChar w:fldCharType="begin"/>
      </w:r>
      <w:r>
        <w:rPr>
          <w:color w:val="auto"/>
          <w:highlight w:val="none"/>
        </w:rPr>
        <w:instrText xml:space="preserve"> PAGEREF _Toc26717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highlight w:val="none"/>
        </w:rPr>
        <w:fldChar w:fldCharType="end"/>
      </w:r>
    </w:p>
    <w:p w14:paraId="57E96C02">
      <w:pPr>
        <w:pStyle w:val="20"/>
        <w:tabs>
          <w:tab w:val="right" w:leader="dot" w:pos="9072"/>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val="en-US" w:eastAsia="zh-CN"/>
        </w:rPr>
        <w:t>第</w:t>
      </w:r>
      <w:r>
        <w:rPr>
          <w:rFonts w:hint="eastAsia" w:ascii="宋体" w:hAnsi="宋体" w:cs="宋体"/>
          <w:color w:val="auto"/>
          <w:szCs w:val="32"/>
          <w:highlight w:val="none"/>
          <w:lang w:val="en-US" w:eastAsia="zh-CN"/>
        </w:rPr>
        <w:t>五</w:t>
      </w:r>
      <w:r>
        <w:rPr>
          <w:rFonts w:hint="eastAsia" w:ascii="宋体" w:hAnsi="宋体" w:eastAsia="宋体" w:cs="宋体"/>
          <w:color w:val="auto"/>
          <w:szCs w:val="32"/>
          <w:highlight w:val="none"/>
          <w:lang w:val="en-US" w:eastAsia="zh-CN"/>
        </w:rPr>
        <w:t xml:space="preserve">章  </w:t>
      </w:r>
      <w:r>
        <w:rPr>
          <w:rFonts w:hint="eastAsia" w:ascii="宋体" w:hAnsi="宋体" w:cs="宋体"/>
          <w:color w:val="auto"/>
          <w:szCs w:val="32"/>
          <w:highlight w:val="none"/>
          <w:lang w:val="en-US" w:eastAsia="zh-CN"/>
        </w:rPr>
        <w:t>供货要求</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highlight w:val="none"/>
        </w:rPr>
        <w:fldChar w:fldCharType="end"/>
      </w:r>
    </w:p>
    <w:p w14:paraId="4F97FB42">
      <w:pPr>
        <w:pStyle w:val="20"/>
        <w:tabs>
          <w:tab w:val="right" w:leader="dot" w:pos="9072"/>
        </w:tabs>
        <w:spacing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val="en-US" w:eastAsia="zh-CN"/>
        </w:rPr>
        <w:t>第</w:t>
      </w:r>
      <w:r>
        <w:rPr>
          <w:rFonts w:hint="eastAsia" w:ascii="宋体" w:hAnsi="宋体" w:cs="宋体"/>
          <w:color w:val="auto"/>
          <w:szCs w:val="32"/>
          <w:highlight w:val="none"/>
          <w:lang w:val="en-US" w:eastAsia="zh-CN"/>
        </w:rPr>
        <w:t>六</w:t>
      </w:r>
      <w:r>
        <w:rPr>
          <w:rFonts w:hint="eastAsia" w:ascii="宋体" w:hAnsi="宋体" w:eastAsia="宋体" w:cs="宋体"/>
          <w:color w:val="auto"/>
          <w:szCs w:val="32"/>
          <w:highlight w:val="none"/>
          <w:lang w:val="en-US" w:eastAsia="zh-CN"/>
        </w:rPr>
        <w:t>章  竞谈响应文件内容及格式要求</w:t>
      </w:r>
      <w:r>
        <w:rPr>
          <w:color w:val="auto"/>
          <w:highlight w:val="none"/>
        </w:rPr>
        <w:tab/>
      </w:r>
      <w:r>
        <w:rPr>
          <w:color w:val="auto"/>
          <w:highlight w:val="none"/>
        </w:rPr>
        <w:fldChar w:fldCharType="begin"/>
      </w:r>
      <w:r>
        <w:rPr>
          <w:color w:val="auto"/>
          <w:highlight w:val="none"/>
        </w:rPr>
        <w:instrText xml:space="preserve"> PAGEREF _Toc8246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highlight w:val="none"/>
        </w:rPr>
        <w:fldChar w:fldCharType="end"/>
      </w:r>
    </w:p>
    <w:p w14:paraId="44FEB79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08AA8B80">
      <w:pPr>
        <w:pStyle w:val="2"/>
        <w:bidi w:val="0"/>
        <w:spacing w:line="360" w:lineRule="auto"/>
        <w:jc w:val="center"/>
        <w:rPr>
          <w:rFonts w:hint="eastAsia" w:ascii="宋体" w:hAnsi="宋体" w:eastAsia="宋体" w:cs="宋体"/>
          <w:color w:val="auto"/>
          <w:highlight w:val="none"/>
        </w:rPr>
        <w:sectPr>
          <w:footerReference r:id="rId4" w:type="first"/>
          <w:footerReference r:id="rId3" w:type="default"/>
          <w:pgSz w:w="11906" w:h="16838"/>
          <w:pgMar w:top="1417" w:right="1417" w:bottom="1417" w:left="1417" w:header="851" w:footer="992" w:gutter="0"/>
          <w:pgNumType w:fmt="decimal"/>
          <w:cols w:space="720" w:num="1"/>
          <w:titlePg/>
          <w:docGrid w:type="linesAndChars" w:linePitch="312" w:charSpace="200"/>
        </w:sectPr>
      </w:pPr>
    </w:p>
    <w:p w14:paraId="24E0F010">
      <w:pPr>
        <w:pStyle w:val="2"/>
        <w:bidi w:val="0"/>
        <w:spacing w:line="240" w:lineRule="auto"/>
        <w:jc w:val="center"/>
        <w:rPr>
          <w:rFonts w:hint="eastAsia" w:ascii="宋体" w:hAnsi="宋体" w:eastAsia="宋体" w:cs="宋体"/>
          <w:color w:val="auto"/>
          <w:highlight w:val="none"/>
        </w:rPr>
      </w:pPr>
      <w:bookmarkStart w:id="0" w:name="_Toc24898"/>
      <w:r>
        <w:rPr>
          <w:rFonts w:hint="eastAsia" w:ascii="宋体" w:hAnsi="宋体" w:eastAsia="宋体" w:cs="宋体"/>
          <w:color w:val="auto"/>
          <w:sz w:val="36"/>
          <w:szCs w:val="36"/>
          <w:highlight w:val="none"/>
          <w:lang w:val="en-US" w:eastAsia="zh-CN"/>
        </w:rPr>
        <w:t>第一章</w:t>
      </w:r>
      <w:bookmarkStart w:id="1" w:name="_Toc28359011"/>
      <w:bookmarkStart w:id="2" w:name="_Toc35393797"/>
      <w:r>
        <w:rPr>
          <w:rFonts w:hint="eastAsia" w:ascii="宋体" w:hAnsi="宋体" w:eastAsia="宋体" w:cs="宋体"/>
          <w:color w:val="auto"/>
          <w:sz w:val="36"/>
          <w:szCs w:val="36"/>
          <w:highlight w:val="none"/>
          <w:lang w:val="en-US" w:eastAsia="zh-CN"/>
        </w:rPr>
        <w:t xml:space="preserve">  竞争性谈判公告</w:t>
      </w:r>
      <w:bookmarkEnd w:id="1"/>
      <w:bookmarkEnd w:id="2"/>
      <w:r>
        <w:rPr>
          <w:rFonts w:hint="eastAsia" w:ascii="宋体" w:hAnsi="宋体" w:eastAsia="宋体" w:cs="宋体"/>
          <w:color w:val="auto"/>
          <w:sz w:val="36"/>
          <w:szCs w:val="36"/>
          <w:highlight w:val="none"/>
          <w:lang w:val="en-US" w:eastAsia="zh-CN"/>
        </w:rPr>
        <w:t>（资格后审）</w:t>
      </w:r>
      <w:bookmarkEnd w:id="0"/>
    </w:p>
    <w:p w14:paraId="6E0E17C0">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01CF222">
      <w:pPr>
        <w:pBdr>
          <w:top w:val="single" w:color="auto" w:sz="4" w:space="1"/>
          <w:left w:val="single" w:color="auto" w:sz="4" w:space="4"/>
          <w:bottom w:val="single" w:color="auto" w:sz="4" w:space="1"/>
          <w:right w:val="single" w:color="auto" w:sz="4" w:space="4"/>
        </w:pBdr>
        <w:spacing w:line="312" w:lineRule="auto"/>
        <w:ind w:firstLine="420" w:firstLineChars="200"/>
        <w:rPr>
          <w:rFonts w:hint="eastAsia" w:ascii="宋体" w:hAnsi="宋体" w:cs="RLDHRH+å®ä½"/>
          <w:color w:val="auto"/>
          <w:szCs w:val="21"/>
          <w:highlight w:val="none"/>
        </w:rPr>
      </w:pPr>
      <w:bookmarkStart w:id="3" w:name="_Toc35393790"/>
      <w:bookmarkStart w:id="4" w:name="_Toc222"/>
      <w:bookmarkStart w:id="5" w:name="_Toc19508"/>
      <w:bookmarkStart w:id="6" w:name="_Toc28359002"/>
      <w:bookmarkStart w:id="7" w:name="_Toc1144"/>
      <w:bookmarkStart w:id="8" w:name="_Toc14807"/>
      <w:bookmarkStart w:id="9" w:name="_Toc35393621"/>
      <w:bookmarkStart w:id="10" w:name="_Toc28359079"/>
      <w:bookmarkStart w:id="11" w:name="_Hlk24379207"/>
      <w:r>
        <w:rPr>
          <w:rFonts w:hint="eastAsia" w:ascii="宋体" w:hAnsi="宋体" w:cs="RLDHRH+å®ä½"/>
          <w:color w:val="auto"/>
          <w:szCs w:val="21"/>
          <w:highlight w:val="none"/>
          <w:u w:val="single"/>
          <w:lang w:eastAsia="zh-CN"/>
        </w:rPr>
        <w:t>前郭县2026年大豆根瘤菌剂接种工程</w:t>
      </w:r>
      <w:r>
        <w:rPr>
          <w:rFonts w:hint="eastAsia" w:ascii="宋体" w:hAnsi="宋体" w:cs="RLDHRH+å®ä½"/>
          <w:color w:val="auto"/>
          <w:szCs w:val="21"/>
          <w:highlight w:val="none"/>
        </w:rPr>
        <w:t>的潜在</w:t>
      </w:r>
      <w:r>
        <w:rPr>
          <w:rFonts w:hint="eastAsia" w:ascii="宋体" w:hAnsi="宋体" w:cs="宋体"/>
          <w:color w:val="auto"/>
          <w:szCs w:val="21"/>
          <w:highlight w:val="none"/>
          <w:lang w:eastAsia="zh-CN"/>
        </w:rPr>
        <w:t>供应商</w:t>
      </w:r>
      <w:r>
        <w:rPr>
          <w:rFonts w:hint="eastAsia" w:ascii="宋体" w:hAnsi="宋体" w:cs="RLDHRH+å®ä½"/>
          <w:color w:val="auto"/>
          <w:szCs w:val="21"/>
          <w:highlight w:val="none"/>
        </w:rPr>
        <w:t>应在</w:t>
      </w:r>
      <w:r>
        <w:rPr>
          <w:rFonts w:hint="eastAsia" w:ascii="宋体" w:hAnsi="宋体" w:cs="宋体"/>
          <w:color w:val="auto"/>
          <w:szCs w:val="21"/>
          <w:highlight w:val="none"/>
        </w:rPr>
        <w:t>“政采云”平台（https://www.zcygov.cn/）</w:t>
      </w:r>
      <w:r>
        <w:rPr>
          <w:rFonts w:hint="eastAsia" w:ascii="宋体" w:hAnsi="宋体" w:cs="RLDHRH+å®ä½"/>
          <w:color w:val="auto"/>
          <w:szCs w:val="21"/>
          <w:highlight w:val="none"/>
        </w:rPr>
        <w:t>获取</w:t>
      </w:r>
      <w:r>
        <w:rPr>
          <w:rFonts w:hint="eastAsia" w:ascii="宋体" w:hAnsi="宋体" w:eastAsia="宋体" w:cs="宋体"/>
          <w:color w:val="auto"/>
          <w:szCs w:val="21"/>
          <w:highlight w:val="none"/>
          <w:u w:val="none"/>
          <w:lang w:eastAsia="zh-CN"/>
        </w:rPr>
        <w:t>竞争性谈判</w:t>
      </w:r>
      <w:r>
        <w:rPr>
          <w:rFonts w:hint="eastAsia" w:ascii="宋体" w:hAnsi="宋体" w:eastAsia="宋体" w:cs="宋体"/>
          <w:color w:val="auto"/>
          <w:szCs w:val="21"/>
          <w:highlight w:val="none"/>
          <w:u w:val="none"/>
        </w:rPr>
        <w:t>文</w:t>
      </w:r>
      <w:r>
        <w:rPr>
          <w:rFonts w:hint="eastAsia" w:ascii="宋体" w:hAnsi="宋体" w:cs="RLDHRH+å®ä½"/>
          <w:color w:val="auto"/>
          <w:szCs w:val="21"/>
          <w:highlight w:val="none"/>
        </w:rPr>
        <w:t>件，并于</w:t>
      </w:r>
      <w:r>
        <w:rPr>
          <w:rFonts w:hint="eastAsia" w:ascii="宋体" w:hAnsi="宋体" w:cs="RLDHRH+å®ä½"/>
          <w:bCs/>
          <w:color w:val="auto"/>
          <w:szCs w:val="21"/>
          <w:highlight w:val="none"/>
        </w:rPr>
        <w:t>202</w:t>
      </w:r>
      <w:r>
        <w:rPr>
          <w:rFonts w:hint="eastAsia" w:ascii="宋体" w:hAnsi="宋体" w:cs="RLDHRH+å®ä½"/>
          <w:bCs/>
          <w:color w:val="auto"/>
          <w:szCs w:val="21"/>
          <w:highlight w:val="none"/>
          <w:lang w:val="en-US" w:eastAsia="zh-CN"/>
        </w:rPr>
        <w:t>6</w:t>
      </w:r>
      <w:r>
        <w:rPr>
          <w:rFonts w:hint="eastAsia" w:ascii="宋体" w:hAnsi="宋体" w:cs="RLDHRH+å®ä½"/>
          <w:bCs/>
          <w:color w:val="auto"/>
          <w:szCs w:val="21"/>
          <w:highlight w:val="none"/>
          <w:lang w:val="zh-CN"/>
        </w:rPr>
        <w:t>年</w:t>
      </w:r>
      <w:r>
        <w:rPr>
          <w:rFonts w:hint="eastAsia" w:ascii="宋体" w:hAnsi="宋体" w:cs="RLDHRH+å®ä½"/>
          <w:bCs/>
          <w:color w:val="auto"/>
          <w:szCs w:val="21"/>
          <w:highlight w:val="none"/>
          <w:lang w:val="en-US" w:eastAsia="zh-CN"/>
        </w:rPr>
        <w:t>4</w:t>
      </w:r>
      <w:r>
        <w:rPr>
          <w:rFonts w:hint="eastAsia" w:ascii="宋体" w:hAnsi="宋体" w:cs="RLDHRH+å®ä½"/>
          <w:bCs/>
          <w:color w:val="auto"/>
          <w:szCs w:val="21"/>
          <w:highlight w:val="none"/>
          <w:lang w:val="zh-CN"/>
        </w:rPr>
        <w:t>月</w:t>
      </w:r>
      <w:r>
        <w:rPr>
          <w:rFonts w:hint="eastAsia" w:ascii="宋体" w:hAnsi="宋体" w:cs="RLDHRH+å®ä½"/>
          <w:bCs/>
          <w:color w:val="auto"/>
          <w:szCs w:val="21"/>
          <w:highlight w:val="none"/>
          <w:lang w:val="en-US" w:eastAsia="zh-CN"/>
        </w:rPr>
        <w:t>24日9</w:t>
      </w:r>
      <w:r>
        <w:rPr>
          <w:rFonts w:hint="eastAsia" w:ascii="宋体" w:hAnsi="宋体" w:cs="RLDHRH+å®ä½"/>
          <w:bCs/>
          <w:color w:val="auto"/>
          <w:szCs w:val="21"/>
          <w:highlight w:val="none"/>
          <w:lang w:val="zh-CN"/>
        </w:rPr>
        <w:t>时</w:t>
      </w:r>
      <w:r>
        <w:rPr>
          <w:rFonts w:hint="eastAsia" w:ascii="宋体" w:hAnsi="宋体" w:cs="RLDHRH+å®ä½"/>
          <w:bCs/>
          <w:color w:val="auto"/>
          <w:szCs w:val="21"/>
          <w:highlight w:val="none"/>
          <w:lang w:val="en-US" w:eastAsia="zh-CN"/>
        </w:rPr>
        <w:t>00</w:t>
      </w:r>
      <w:r>
        <w:rPr>
          <w:rFonts w:hint="eastAsia" w:ascii="宋体" w:hAnsi="宋体" w:cs="RLDHRH+å®ä½"/>
          <w:bCs/>
          <w:color w:val="auto"/>
          <w:szCs w:val="21"/>
          <w:highlight w:val="none"/>
          <w:lang w:val="zh-CN"/>
        </w:rPr>
        <w:t>分</w:t>
      </w:r>
      <w:r>
        <w:rPr>
          <w:rFonts w:hint="eastAsia" w:ascii="宋体" w:hAnsi="宋体" w:cs="RLDHRH+å®ä½"/>
          <w:bCs/>
          <w:color w:val="auto"/>
          <w:szCs w:val="21"/>
          <w:highlight w:val="none"/>
        </w:rPr>
        <w:t>（北京时间）前递交</w:t>
      </w:r>
      <w:r>
        <w:rPr>
          <w:rFonts w:hint="eastAsia" w:ascii="宋体" w:hAnsi="宋体" w:cs="RLDHRH+å®ä½"/>
          <w:bCs/>
          <w:color w:val="auto"/>
          <w:szCs w:val="21"/>
          <w:highlight w:val="none"/>
          <w:lang w:eastAsia="zh-CN"/>
        </w:rPr>
        <w:t>响应文件</w:t>
      </w:r>
      <w:r>
        <w:rPr>
          <w:rFonts w:hint="eastAsia" w:ascii="宋体" w:hAnsi="宋体" w:cs="RLDHRH+å®ä½"/>
          <w:color w:val="auto"/>
          <w:szCs w:val="21"/>
          <w:highlight w:val="none"/>
        </w:rPr>
        <w:t>。</w:t>
      </w:r>
    </w:p>
    <w:p w14:paraId="4E515CEE">
      <w:pPr>
        <w:pStyle w:val="3"/>
        <w:spacing w:before="200" w:after="200" w:line="240" w:lineRule="exact"/>
        <w:jc w:val="left"/>
        <w:rPr>
          <w:rFonts w:hint="eastAsia" w:ascii="宋体" w:hAnsi="宋体" w:eastAsia="宋体" w:cs="宋体"/>
          <w:bCs w:val="0"/>
          <w:color w:val="auto"/>
          <w:sz w:val="21"/>
          <w:szCs w:val="21"/>
          <w:highlight w:val="none"/>
        </w:rPr>
      </w:pPr>
      <w:bookmarkStart w:id="12" w:name="_Toc18761"/>
      <w:bookmarkStart w:id="13" w:name="_Toc8391"/>
      <w:r>
        <w:rPr>
          <w:rFonts w:hint="eastAsia" w:ascii="宋体" w:hAnsi="宋体" w:eastAsia="宋体" w:cs="宋体"/>
          <w:bCs w:val="0"/>
          <w:color w:val="auto"/>
          <w:sz w:val="21"/>
          <w:szCs w:val="21"/>
          <w:highlight w:val="none"/>
        </w:rPr>
        <w:t>一、项目基本情况</w:t>
      </w:r>
      <w:bookmarkEnd w:id="3"/>
      <w:bookmarkEnd w:id="4"/>
      <w:bookmarkEnd w:id="5"/>
      <w:bookmarkEnd w:id="6"/>
      <w:bookmarkEnd w:id="7"/>
      <w:bookmarkEnd w:id="8"/>
      <w:bookmarkEnd w:id="9"/>
      <w:bookmarkEnd w:id="10"/>
      <w:bookmarkEnd w:id="12"/>
      <w:bookmarkEnd w:id="13"/>
    </w:p>
    <w:bookmarkEnd w:id="11"/>
    <w:p w14:paraId="10675B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bookmarkStart w:id="14" w:name="_Toc2715"/>
      <w:bookmarkStart w:id="15" w:name="_Toc14386"/>
      <w:bookmarkStart w:id="16" w:name="_Toc8018"/>
      <w:bookmarkStart w:id="17" w:name="_Toc28359003"/>
      <w:bookmarkStart w:id="18" w:name="_Toc35393791"/>
      <w:bookmarkStart w:id="19" w:name="_Toc32201"/>
      <w:bookmarkStart w:id="20" w:name="_Toc35393622"/>
      <w:bookmarkStart w:id="21" w:name="_Toc28359080"/>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采购</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en-US" w:eastAsia="zh-CN"/>
        </w:rPr>
        <w:t>编号：采购计划-[2026]-00050号-SHZB26-03</w:t>
      </w:r>
      <w:r>
        <w:rPr>
          <w:rFonts w:hint="eastAsia" w:ascii="宋体" w:hAnsi="宋体" w:cs="宋体"/>
          <w:color w:val="auto"/>
          <w:szCs w:val="21"/>
          <w:highlight w:val="none"/>
          <w:lang w:val="en-US" w:eastAsia="zh-CN"/>
        </w:rPr>
        <w:t>；</w:t>
      </w:r>
    </w:p>
    <w:p w14:paraId="77AFDDB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val="en-US" w:eastAsia="zh-CN"/>
        </w:rPr>
        <w:t>前郭县2026年大豆根瘤菌剂接种工程</w:t>
      </w:r>
      <w:r>
        <w:rPr>
          <w:rFonts w:hint="eastAsia" w:ascii="宋体" w:hAnsi="宋体" w:eastAsia="宋体" w:cs="宋体"/>
          <w:color w:val="auto"/>
          <w:szCs w:val="21"/>
          <w:highlight w:val="none"/>
        </w:rPr>
        <w:t>；</w:t>
      </w:r>
    </w:p>
    <w:p w14:paraId="6F960B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金额</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54.00万</w:t>
      </w:r>
      <w:r>
        <w:rPr>
          <w:rFonts w:hint="eastAsia" w:ascii="宋体" w:hAnsi="宋体" w:eastAsia="宋体" w:cs="宋体"/>
          <w:color w:val="auto"/>
          <w:szCs w:val="21"/>
          <w:highlight w:val="none"/>
        </w:rPr>
        <w:t>元；</w:t>
      </w:r>
    </w:p>
    <w:p w14:paraId="5F8D2C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.采购需求：大豆根瘤菌剂</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产品形态：液体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有效成份及含量(有效活菌数)≥50亿/毫升</w:t>
      </w:r>
      <w:r>
        <w:rPr>
          <w:rFonts w:hint="eastAsia" w:ascii="宋体" w:hAnsi="宋体" w:cs="宋体"/>
          <w:color w:val="auto"/>
          <w:szCs w:val="21"/>
          <w:highlight w:val="none"/>
          <w:lang w:val="en-US" w:eastAsia="zh-CN"/>
        </w:rPr>
        <w:t>；接种面积9万亩</w:t>
      </w:r>
      <w:r>
        <w:rPr>
          <w:rFonts w:hint="eastAsia" w:ascii="宋体" w:hAnsi="宋体" w:eastAsia="宋体" w:cs="宋体"/>
          <w:color w:val="auto"/>
          <w:highlight w:val="none"/>
          <w:lang w:val="en-US" w:eastAsia="zh-CN"/>
        </w:rPr>
        <w:t>（详见</w:t>
      </w:r>
      <w:r>
        <w:rPr>
          <w:rFonts w:hint="eastAsia" w:ascii="宋体" w:hAnsi="宋体" w:cs="宋体"/>
          <w:color w:val="auto"/>
          <w:highlight w:val="none"/>
          <w:lang w:val="en-US" w:eastAsia="zh-CN"/>
        </w:rPr>
        <w:t>竞争性谈判文件</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p>
    <w:p w14:paraId="0F3532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5.项目地点：前郭县境内；</w:t>
      </w:r>
    </w:p>
    <w:p w14:paraId="1A3895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合同履行期限：</w:t>
      </w:r>
      <w:r>
        <w:rPr>
          <w:rFonts w:hint="eastAsia" w:ascii="宋体" w:hAnsi="宋体" w:cs="宋体"/>
          <w:color w:val="auto"/>
          <w:highlight w:val="none"/>
          <w:lang w:val="en-US" w:eastAsia="zh-CN"/>
        </w:rPr>
        <w:t>合同签订后3日内完成供货</w:t>
      </w:r>
      <w:r>
        <w:rPr>
          <w:rFonts w:hint="eastAsia" w:ascii="宋体" w:hAnsi="宋体" w:eastAsia="宋体" w:cs="宋体"/>
          <w:color w:val="auto"/>
          <w:szCs w:val="21"/>
          <w:highlight w:val="none"/>
        </w:rPr>
        <w:t>；</w:t>
      </w:r>
    </w:p>
    <w:p w14:paraId="7C4A29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质量标准：</w:t>
      </w:r>
      <w:r>
        <w:rPr>
          <w:rFonts w:hint="eastAsia" w:ascii="宋体" w:hAnsi="宋体" w:eastAsia="宋体" w:cs="宋体"/>
          <w:color w:val="auto"/>
          <w:szCs w:val="21"/>
          <w:highlight w:val="none"/>
          <w:lang w:val="en-US" w:eastAsia="zh-CN"/>
        </w:rPr>
        <w:t>符合国家标准《农用微生物菌剂》GB20287-2006</w:t>
      </w:r>
      <w:r>
        <w:rPr>
          <w:rFonts w:hint="eastAsia" w:ascii="宋体" w:hAnsi="宋体" w:eastAsia="宋体" w:cs="宋体"/>
          <w:color w:val="auto"/>
          <w:szCs w:val="21"/>
          <w:highlight w:val="none"/>
        </w:rPr>
        <w:t>；</w:t>
      </w:r>
    </w:p>
    <w:p w14:paraId="484050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.本项目不接受联合体投标</w:t>
      </w:r>
      <w:r>
        <w:rPr>
          <w:rFonts w:hint="eastAsia" w:ascii="宋体" w:hAnsi="宋体" w:eastAsia="宋体" w:cs="宋体"/>
          <w:color w:val="auto"/>
          <w:szCs w:val="21"/>
          <w:highlight w:val="none"/>
          <w:lang w:eastAsia="zh-CN"/>
        </w:rPr>
        <w:t>。</w:t>
      </w:r>
    </w:p>
    <w:p w14:paraId="29B4ED4E">
      <w:pPr>
        <w:pStyle w:val="3"/>
        <w:spacing w:before="200" w:after="200" w:line="240" w:lineRule="auto"/>
        <w:jc w:val="left"/>
        <w:rPr>
          <w:rFonts w:hint="eastAsia" w:ascii="宋体" w:hAnsi="宋体" w:eastAsia="宋体" w:cs="宋体"/>
          <w:bCs w:val="0"/>
          <w:color w:val="auto"/>
          <w:sz w:val="21"/>
          <w:szCs w:val="21"/>
          <w:highlight w:val="none"/>
        </w:rPr>
      </w:pPr>
      <w:bookmarkStart w:id="22" w:name="_Toc5215"/>
      <w:bookmarkStart w:id="23" w:name="_Toc30610"/>
      <w:r>
        <w:rPr>
          <w:rFonts w:hint="eastAsia" w:ascii="宋体" w:hAnsi="宋体" w:eastAsia="宋体" w:cs="宋体"/>
          <w:bCs w:val="0"/>
          <w:color w:val="auto"/>
          <w:sz w:val="21"/>
          <w:szCs w:val="21"/>
          <w:highlight w:val="none"/>
        </w:rPr>
        <w:t>二、申请人的资格要求</w:t>
      </w:r>
      <w:bookmarkEnd w:id="14"/>
      <w:bookmarkEnd w:id="15"/>
      <w:bookmarkEnd w:id="16"/>
      <w:bookmarkEnd w:id="17"/>
      <w:bookmarkEnd w:id="18"/>
      <w:bookmarkEnd w:id="19"/>
      <w:bookmarkEnd w:id="20"/>
      <w:bookmarkEnd w:id="21"/>
      <w:bookmarkEnd w:id="22"/>
      <w:bookmarkEnd w:id="23"/>
    </w:p>
    <w:p w14:paraId="082073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5809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RLDHRH+å®ä½"/>
          <w:color w:val="auto"/>
          <w:szCs w:val="21"/>
          <w:highlight w:val="none"/>
        </w:rPr>
        <w:t>本项目专门面向中小企业采购</w:t>
      </w:r>
      <w:r>
        <w:rPr>
          <w:rFonts w:hint="eastAsia"/>
          <w:color w:val="auto"/>
          <w:highlight w:val="none"/>
        </w:rPr>
        <w:t>本项目所属行业名称</w:t>
      </w:r>
      <w:r>
        <w:rPr>
          <w:rFonts w:hint="eastAsia" w:ascii="宋体" w:hAnsi="宋体" w:cs="宋体-18030"/>
          <w:color w:val="auto"/>
          <w:kern w:val="0"/>
          <w:szCs w:val="21"/>
          <w:highlight w:val="none"/>
        </w:rPr>
        <w:t>：</w:t>
      </w:r>
      <w:r>
        <w:rPr>
          <w:rFonts w:hint="eastAsia" w:ascii="宋体" w:hAnsi="宋体" w:cs="宋体-18030"/>
          <w:color w:val="auto"/>
          <w:kern w:val="0"/>
          <w:szCs w:val="21"/>
          <w:highlight w:val="none"/>
          <w:lang w:val="en-US" w:eastAsia="zh-CN"/>
        </w:rPr>
        <w:t>农业。</w:t>
      </w:r>
    </w:p>
    <w:p w14:paraId="5464A8F3">
      <w:pPr>
        <w:spacing w:line="360" w:lineRule="auto"/>
        <w:ind w:firstLine="420" w:firstLineChars="200"/>
        <w:rPr>
          <w:rFonts w:hint="eastAsia" w:ascii="宋体" w:hAnsi="宋体" w:eastAsia="宋体" w:cs="宋体"/>
          <w:color w:val="auto"/>
          <w:szCs w:val="21"/>
          <w:highlight w:val="none"/>
        </w:rPr>
      </w:pPr>
      <w:bookmarkStart w:id="24" w:name="_Toc28359004"/>
      <w:bookmarkStart w:id="25" w:name="_Toc28359081"/>
      <w:r>
        <w:rPr>
          <w:rFonts w:hint="eastAsia" w:ascii="宋体" w:hAnsi="宋体" w:eastAsia="宋体" w:cs="宋体"/>
          <w:color w:val="auto"/>
          <w:szCs w:val="21"/>
          <w:highlight w:val="none"/>
        </w:rPr>
        <w:t>3.本项目的特定资格要求：</w:t>
      </w:r>
    </w:p>
    <w:p w14:paraId="5CCA2CA8">
      <w:pPr>
        <w:spacing w:line="380" w:lineRule="exact"/>
        <w:ind w:firstLine="420" w:firstLineChars="200"/>
        <w:rPr>
          <w:rFonts w:hint="eastAsia" w:ascii="宋体" w:hAnsi="宋体" w:cs="宋体"/>
          <w:color w:val="auto"/>
          <w:szCs w:val="21"/>
          <w:highlight w:val="none"/>
          <w:lang w:val="en-US" w:eastAsia="zh-CN"/>
        </w:rPr>
      </w:pPr>
      <w:bookmarkStart w:id="26" w:name="_Toc12078"/>
      <w:bookmarkStart w:id="27" w:name="_Toc28094"/>
      <w:bookmarkStart w:id="28" w:name="_Toc35393623"/>
      <w:bookmarkStart w:id="29" w:name="_Toc13527"/>
      <w:bookmarkStart w:id="30" w:name="_Toc35393792"/>
      <w:bookmarkStart w:id="31" w:name="_Toc27113"/>
      <w:r>
        <w:rPr>
          <w:rFonts w:hint="eastAsia" w:ascii="宋体" w:hAnsi="宋体" w:cs="宋体"/>
          <w:color w:val="auto"/>
          <w:szCs w:val="21"/>
          <w:highlight w:val="none"/>
          <w:lang w:eastAsia="zh-CN"/>
        </w:rPr>
        <w:t>3.1 本次采购要求供应商须在中华人民共和国境内合法注册的</w:t>
      </w:r>
      <w:r>
        <w:rPr>
          <w:rFonts w:hint="eastAsia" w:ascii="宋体" w:hAnsi="宋体" w:cs="宋体"/>
          <w:color w:val="auto"/>
          <w:szCs w:val="21"/>
          <w:highlight w:val="none"/>
          <w:lang w:val="en-US" w:eastAsia="zh-CN"/>
        </w:rPr>
        <w:t>代理商或生厂商</w:t>
      </w:r>
      <w:r>
        <w:rPr>
          <w:rFonts w:hint="eastAsia" w:ascii="宋体" w:hAnsi="宋体" w:cs="宋体"/>
          <w:color w:val="auto"/>
          <w:szCs w:val="21"/>
          <w:highlight w:val="none"/>
          <w:lang w:eastAsia="zh-CN"/>
        </w:rPr>
        <w:t>，具有独立承担民事责任的能力，须提供有效的营业执照，且在人员、设备、资金等方面具有相应的供货能力；</w:t>
      </w:r>
    </w:p>
    <w:p w14:paraId="04DBE4A6">
      <w:pPr>
        <w:spacing w:line="3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3.2 供应商所投产品应</w:t>
      </w:r>
      <w:r>
        <w:rPr>
          <w:rFonts w:hint="eastAsia" w:ascii="宋体" w:hAnsi="宋体" w:cs="宋体"/>
          <w:color w:val="auto"/>
          <w:szCs w:val="21"/>
          <w:highlight w:val="none"/>
          <w:lang w:eastAsia="zh-CN"/>
        </w:rPr>
        <w:t>具有农业主管部门颁发的有效期内的肥料登记证（微生物肥料）；</w:t>
      </w:r>
    </w:p>
    <w:p w14:paraId="05ABEB46">
      <w:pPr>
        <w:spacing w:line="3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 xml:space="preserve"> 具有良好的商业信誉和健全的财务会计制度。供应商须具有经会计师事务所审计2024年财务审计报告或银行资信证明；具有投标截止时间前近一年内任意一个月的依法缴纳税收和依法缴纳社会保障资金的良好记录证明材料。</w:t>
      </w:r>
    </w:p>
    <w:p w14:paraId="03F9B8A4">
      <w:pPr>
        <w:spacing w:line="3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 xml:space="preserve"> 不接受被政府列入取消投标资格期限内的企业或个人参加投标。参加政府采购活动前3年内在经营活动中没有重大违法记录；</w:t>
      </w:r>
    </w:p>
    <w:p w14:paraId="1D8C5B3C">
      <w:pPr>
        <w:spacing w:line="3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 xml:space="preserve"> 与招标人存在利害关系可能影响招标公正性的法人、其他组织或者个人，不得参加投标。单位负责人为同一人或者存在控股、管理关系的不同单位，不得参加同一标段投标或者未划分标段的同一采购 项目投标。违反这两款规定的，相关投标均无效；</w:t>
      </w:r>
    </w:p>
    <w:p w14:paraId="7E5C7492">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 xml:space="preserve"> 本项目不接受被列入失信被执行人、重大税收违法案件当事人名单、政府采购严重违法失信行为记录名单的投标人参与投标（详见财库[2016]125号文件）。</w:t>
      </w:r>
    </w:p>
    <w:p w14:paraId="7EC5D865">
      <w:pPr>
        <w:pStyle w:val="3"/>
        <w:spacing w:before="200" w:after="200" w:line="240" w:lineRule="auto"/>
        <w:jc w:val="left"/>
        <w:rPr>
          <w:rFonts w:hint="eastAsia" w:ascii="宋体" w:hAnsi="宋体" w:eastAsia="宋体" w:cs="宋体"/>
          <w:bCs w:val="0"/>
          <w:color w:val="auto"/>
          <w:sz w:val="21"/>
          <w:szCs w:val="21"/>
          <w:highlight w:val="none"/>
        </w:rPr>
      </w:pPr>
      <w:bookmarkStart w:id="32" w:name="_Toc30093"/>
      <w:bookmarkStart w:id="33" w:name="_Toc23167"/>
      <w:r>
        <w:rPr>
          <w:rFonts w:hint="eastAsia" w:ascii="宋体" w:hAnsi="宋体" w:eastAsia="宋体" w:cs="宋体"/>
          <w:bCs w:val="0"/>
          <w:color w:val="auto"/>
          <w:sz w:val="21"/>
          <w:szCs w:val="21"/>
          <w:highlight w:val="none"/>
        </w:rPr>
        <w:t>三、获取</w:t>
      </w:r>
      <w:r>
        <w:rPr>
          <w:rFonts w:hint="eastAsia" w:ascii="宋体" w:hAnsi="宋体" w:eastAsia="宋体" w:cs="宋体"/>
          <w:bCs w:val="0"/>
          <w:color w:val="auto"/>
          <w:sz w:val="21"/>
          <w:szCs w:val="21"/>
          <w:highlight w:val="none"/>
          <w:lang w:eastAsia="zh-CN"/>
        </w:rPr>
        <w:t>谈判</w:t>
      </w:r>
      <w:r>
        <w:rPr>
          <w:rFonts w:hint="eastAsia" w:ascii="宋体" w:hAnsi="宋体" w:eastAsia="宋体" w:cs="宋体"/>
          <w:bCs w:val="0"/>
          <w:color w:val="auto"/>
          <w:sz w:val="21"/>
          <w:szCs w:val="21"/>
          <w:highlight w:val="none"/>
        </w:rPr>
        <w:t>文件</w:t>
      </w:r>
      <w:bookmarkEnd w:id="24"/>
      <w:bookmarkEnd w:id="25"/>
      <w:bookmarkEnd w:id="26"/>
      <w:bookmarkEnd w:id="27"/>
      <w:bookmarkEnd w:id="28"/>
      <w:bookmarkEnd w:id="29"/>
      <w:bookmarkEnd w:id="30"/>
      <w:bookmarkEnd w:id="31"/>
      <w:bookmarkEnd w:id="32"/>
      <w:bookmarkEnd w:id="33"/>
    </w:p>
    <w:p w14:paraId="72099663">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val="en-US" w:eastAsia="zh-CN"/>
        </w:rPr>
        <w:t>自公告发布之日起</w:t>
      </w:r>
      <w:r>
        <w:rPr>
          <w:rFonts w:hint="eastAsia" w:ascii="宋体" w:hAnsi="宋体" w:eastAsia="宋体" w:cs="宋体"/>
          <w:color w:val="auto"/>
          <w:szCs w:val="21"/>
          <w:highlight w:val="none"/>
        </w:rPr>
        <w:t>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w:t>
      </w:r>
    </w:p>
    <w:p w14:paraId="405B4A6B">
      <w:pPr>
        <w:spacing w:line="38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2.获取方式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网上下载，本项目不发放纸质版</w:t>
      </w:r>
      <w:r>
        <w:rPr>
          <w:rFonts w:hint="eastAsia" w:ascii="宋体" w:hAnsi="宋体" w:eastAsia="宋体" w:cs="宋体"/>
          <w:color w:val="auto"/>
          <w:szCs w:val="21"/>
          <w:highlight w:val="none"/>
          <w:lang w:val="en-US" w:eastAsia="zh-CN"/>
        </w:rPr>
        <w:t>竞争性谈判</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可自行在“政采云”平台（http：//www.zcygov.cn）下载</w:t>
      </w:r>
      <w:r>
        <w:rPr>
          <w:rFonts w:hint="eastAsia" w:ascii="宋体" w:hAnsi="宋体" w:eastAsia="宋体" w:cs="宋体"/>
          <w:color w:val="auto"/>
          <w:szCs w:val="21"/>
          <w:highlight w:val="none"/>
          <w:lang w:val="en-US" w:eastAsia="zh-CN"/>
        </w:rPr>
        <w:t>竞争性谈判</w:t>
      </w:r>
      <w:r>
        <w:rPr>
          <w:rFonts w:hint="eastAsia" w:ascii="宋体" w:hAnsi="宋体" w:eastAsia="宋体" w:cs="宋体"/>
          <w:color w:val="auto"/>
          <w:szCs w:val="21"/>
          <w:highlight w:val="none"/>
          <w:lang w:val="zh-CN"/>
        </w:rPr>
        <w:t>文件（操作路径：登录“政采云”平台-项目采购-获取采购文件-找到本项目-点击“申请获取采购文件”），电子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文件制作需要基于“政采云”平台获取的</w:t>
      </w:r>
      <w:r>
        <w:rPr>
          <w:rFonts w:hint="eastAsia" w:ascii="宋体" w:hAnsi="宋体" w:eastAsia="宋体" w:cs="宋体"/>
          <w:color w:val="auto"/>
          <w:szCs w:val="21"/>
          <w:highlight w:val="none"/>
          <w:lang w:val="en-US" w:eastAsia="zh-CN"/>
        </w:rPr>
        <w:t>竞争性谈判</w:t>
      </w:r>
      <w:r>
        <w:rPr>
          <w:rFonts w:hint="eastAsia" w:ascii="宋体" w:hAnsi="宋体" w:eastAsia="宋体" w:cs="宋体"/>
          <w:color w:val="auto"/>
          <w:szCs w:val="21"/>
          <w:highlight w:val="none"/>
          <w:lang w:val="zh-CN"/>
        </w:rPr>
        <w:t>文件编制。</w:t>
      </w:r>
    </w:p>
    <w:p w14:paraId="50B04516">
      <w:pPr>
        <w:spacing w:line="38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.未进行网上注册的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将无法参与本次招标活动。</w:t>
      </w:r>
    </w:p>
    <w:p w14:paraId="4A1C146A">
      <w:pPr>
        <w:spacing w:line="380" w:lineRule="exact"/>
        <w:ind w:firstLine="420" w:firstLineChars="200"/>
        <w:rPr>
          <w:rFonts w:hint="eastAsia"/>
          <w:b/>
          <w:bCs/>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不足三家时，采购人另行组织采购。</w:t>
      </w:r>
    </w:p>
    <w:p w14:paraId="5C2F53B4">
      <w:pPr>
        <w:pStyle w:val="3"/>
        <w:spacing w:before="200" w:after="200" w:line="240" w:lineRule="auto"/>
        <w:jc w:val="left"/>
        <w:rPr>
          <w:rFonts w:hint="eastAsia" w:ascii="宋体" w:hAnsi="宋体" w:eastAsia="宋体" w:cs="宋体"/>
          <w:bCs w:val="0"/>
          <w:color w:val="auto"/>
          <w:sz w:val="21"/>
          <w:szCs w:val="21"/>
          <w:highlight w:val="none"/>
        </w:rPr>
      </w:pPr>
      <w:bookmarkStart w:id="34" w:name="_Toc35393793"/>
      <w:bookmarkStart w:id="35" w:name="_Toc28359005"/>
      <w:bookmarkStart w:id="36" w:name="_Toc26009"/>
      <w:bookmarkStart w:id="37" w:name="_Toc13921"/>
      <w:bookmarkStart w:id="38" w:name="_Toc28359082"/>
      <w:bookmarkStart w:id="39" w:name="_Toc35393624"/>
      <w:bookmarkStart w:id="40" w:name="_Toc9902"/>
      <w:bookmarkStart w:id="41" w:name="_Toc11439"/>
      <w:bookmarkStart w:id="42" w:name="_Toc27980"/>
      <w:bookmarkStart w:id="43" w:name="_Toc23768"/>
      <w:r>
        <w:rPr>
          <w:rFonts w:hint="eastAsia" w:ascii="宋体" w:hAnsi="宋体" w:eastAsia="宋体" w:cs="宋体"/>
          <w:bCs w:val="0"/>
          <w:color w:val="auto"/>
          <w:sz w:val="21"/>
          <w:szCs w:val="21"/>
          <w:highlight w:val="none"/>
        </w:rPr>
        <w:t>四、</w:t>
      </w:r>
      <w:bookmarkEnd w:id="34"/>
      <w:bookmarkEnd w:id="35"/>
      <w:bookmarkEnd w:id="36"/>
      <w:bookmarkEnd w:id="37"/>
      <w:bookmarkEnd w:id="38"/>
      <w:bookmarkEnd w:id="39"/>
      <w:bookmarkEnd w:id="40"/>
      <w:bookmarkEnd w:id="41"/>
      <w:r>
        <w:rPr>
          <w:rFonts w:hint="eastAsia" w:ascii="宋体" w:hAnsi="宋体" w:eastAsia="宋体" w:cs="宋体"/>
          <w:bCs/>
          <w:color w:val="auto"/>
          <w:sz w:val="21"/>
          <w:szCs w:val="21"/>
          <w:highlight w:val="none"/>
        </w:rPr>
        <w:t>提交</w:t>
      </w:r>
      <w:r>
        <w:rPr>
          <w:rFonts w:hint="eastAsia" w:ascii="宋体" w:hAnsi="宋体" w:eastAsia="宋体" w:cs="宋体"/>
          <w:bCs/>
          <w:color w:val="auto"/>
          <w:sz w:val="21"/>
          <w:szCs w:val="21"/>
          <w:highlight w:val="none"/>
          <w:lang w:eastAsia="zh-CN"/>
        </w:rPr>
        <w:t>响应</w:t>
      </w:r>
      <w:r>
        <w:rPr>
          <w:rFonts w:hint="eastAsia" w:ascii="宋体" w:hAnsi="宋体" w:eastAsia="宋体" w:cs="宋体"/>
          <w:bCs/>
          <w:color w:val="auto"/>
          <w:sz w:val="21"/>
          <w:szCs w:val="21"/>
          <w:highlight w:val="none"/>
        </w:rPr>
        <w:t>文件截止时间、开标时间和地点</w:t>
      </w:r>
      <w:bookmarkEnd w:id="42"/>
      <w:bookmarkEnd w:id="43"/>
    </w:p>
    <w:p w14:paraId="4453B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bookmarkStart w:id="44" w:name="_Toc29590"/>
      <w:bookmarkStart w:id="45" w:name="_Toc9232"/>
      <w:bookmarkStart w:id="46" w:name="_Toc35393625"/>
      <w:bookmarkStart w:id="47" w:name="_Toc28359007"/>
      <w:bookmarkStart w:id="48" w:name="_Toc12787"/>
      <w:bookmarkStart w:id="49" w:name="_Toc28359084"/>
      <w:bookmarkStart w:id="50" w:name="_Toc35393794"/>
      <w:bookmarkStart w:id="51" w:name="_Toc15581"/>
      <w:r>
        <w:rPr>
          <w:rFonts w:hint="eastAsia" w:ascii="宋体" w:hAnsi="宋体" w:eastAsia="宋体" w:cs="宋体"/>
          <w:color w:val="auto"/>
          <w:szCs w:val="21"/>
          <w:highlight w:val="none"/>
        </w:rPr>
        <w:t>1.提交</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文件截止时间、开标时间：</w:t>
      </w:r>
      <w:r>
        <w:rPr>
          <w:rFonts w:hint="eastAsia" w:ascii="宋体" w:hAnsi="宋体" w:eastAsia="宋体" w:cs="宋体"/>
          <w:bCs/>
          <w:color w:val="auto"/>
          <w:sz w:val="21"/>
          <w:szCs w:val="21"/>
          <w:highlight w:val="none"/>
          <w:u w:val="single"/>
          <w:lang w:val="en-US" w:eastAsia="zh-CN"/>
        </w:rPr>
        <w:t>2026年</w:t>
      </w:r>
      <w:r>
        <w:rPr>
          <w:rFonts w:hint="eastAsia" w:ascii="宋体" w:hAnsi="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lang w:val="en-US" w:eastAsia="zh-CN"/>
        </w:rPr>
        <w:t>月</w:t>
      </w:r>
      <w:r>
        <w:rPr>
          <w:rFonts w:hint="eastAsia" w:ascii="宋体" w:hAnsi="宋体" w:cs="宋体"/>
          <w:bCs/>
          <w:color w:val="auto"/>
          <w:sz w:val="21"/>
          <w:szCs w:val="21"/>
          <w:highlight w:val="none"/>
          <w:u w:val="single"/>
          <w:lang w:val="en-US" w:eastAsia="zh-CN"/>
        </w:rPr>
        <w:t>24</w:t>
      </w:r>
      <w:r>
        <w:rPr>
          <w:rFonts w:hint="eastAsia" w:ascii="宋体" w:hAnsi="宋体" w:eastAsia="宋体" w:cs="宋体"/>
          <w:bCs/>
          <w:color w:val="auto"/>
          <w:sz w:val="21"/>
          <w:szCs w:val="21"/>
          <w:highlight w:val="none"/>
          <w:u w:val="single"/>
          <w:lang w:val="en-US" w:eastAsia="zh-CN"/>
        </w:rPr>
        <w:t>日</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en-US" w:eastAsia="zh-CN"/>
        </w:rPr>
        <w:t>时</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lang w:val="en-US" w:eastAsia="zh-CN"/>
        </w:rPr>
        <w:t>分</w:t>
      </w:r>
      <w:r>
        <w:rPr>
          <w:rFonts w:hint="eastAsia" w:ascii="宋体" w:hAnsi="宋体" w:eastAsia="宋体" w:cs="宋体"/>
          <w:bCs/>
          <w:color w:val="auto"/>
          <w:szCs w:val="21"/>
          <w:highlight w:val="none"/>
          <w:u w:val="single"/>
        </w:rPr>
        <w:t>（北京时间）</w:t>
      </w:r>
      <w:r>
        <w:rPr>
          <w:rFonts w:hint="eastAsia" w:ascii="宋体" w:hAnsi="宋体" w:eastAsia="宋体" w:cs="宋体"/>
          <w:bCs/>
          <w:color w:val="auto"/>
          <w:szCs w:val="21"/>
          <w:highlight w:val="none"/>
        </w:rPr>
        <w:t>；</w:t>
      </w:r>
    </w:p>
    <w:p w14:paraId="73ACA3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w:t>
      </w:r>
      <w:r>
        <w:rPr>
          <w:rFonts w:hint="eastAsia" w:ascii="宋体" w:hAnsi="宋体" w:eastAsia="宋体" w:cs="宋体"/>
          <w:bCs/>
          <w:color w:val="auto"/>
          <w:sz w:val="21"/>
          <w:szCs w:val="21"/>
          <w:highlight w:val="none"/>
          <w:u w:val="none"/>
          <w:lang w:val="en-US" w:eastAsia="zh-CN"/>
        </w:rPr>
        <w:t>前郭尔罗斯蒙古族自治县政务服务运行保障中心4楼第一开标室（松原市前郭县哈达大街与源江东路交汇金福名居综合楼）</w:t>
      </w:r>
      <w:r>
        <w:rPr>
          <w:rFonts w:hint="eastAsia" w:ascii="宋体" w:hAnsi="宋体" w:eastAsia="宋体" w:cs="宋体"/>
          <w:color w:val="auto"/>
          <w:szCs w:val="21"/>
          <w:highlight w:val="none"/>
        </w:rPr>
        <w:t>。</w:t>
      </w:r>
    </w:p>
    <w:p w14:paraId="1CE1A8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zh-CN"/>
        </w:rPr>
        <w:t>逾期上传的电子</w:t>
      </w:r>
      <w:r>
        <w:rPr>
          <w:rFonts w:hint="eastAsia" w:ascii="宋体" w:hAnsi="宋体" w:cs="宋体"/>
          <w:bCs/>
          <w:color w:val="auto"/>
          <w:szCs w:val="21"/>
          <w:highlight w:val="none"/>
          <w:lang w:val="en-US" w:eastAsia="zh-CN"/>
        </w:rPr>
        <w:t>响应</w:t>
      </w:r>
      <w:r>
        <w:rPr>
          <w:rFonts w:hint="eastAsia" w:ascii="宋体" w:hAnsi="宋体" w:cs="宋体"/>
          <w:bCs/>
          <w:color w:val="auto"/>
          <w:szCs w:val="21"/>
          <w:highlight w:val="none"/>
          <w:lang w:val="zh-CN"/>
        </w:rPr>
        <w:t>文件，</w:t>
      </w:r>
      <w:r>
        <w:rPr>
          <w:rFonts w:hint="eastAsia" w:ascii="宋体" w:hAnsi="宋体" w:cs="宋体"/>
          <w:bCs/>
          <w:color w:val="auto"/>
          <w:szCs w:val="21"/>
          <w:highlight w:val="none"/>
        </w:rPr>
        <w:t>政采云</w:t>
      </w:r>
      <w:r>
        <w:rPr>
          <w:rFonts w:hint="eastAsia" w:ascii="宋体" w:hAnsi="宋体" w:cs="宋体"/>
          <w:bCs/>
          <w:color w:val="auto"/>
          <w:szCs w:val="21"/>
          <w:highlight w:val="none"/>
          <w:lang w:val="zh-CN"/>
        </w:rPr>
        <w:t>平台将予以拒收</w:t>
      </w:r>
      <w:r>
        <w:rPr>
          <w:rFonts w:hint="eastAsia" w:ascii="宋体" w:hAnsi="宋体" w:cs="宋体"/>
          <w:bCs/>
          <w:color w:val="auto"/>
          <w:szCs w:val="21"/>
          <w:highlight w:val="none"/>
        </w:rPr>
        <w:t xml:space="preserve">。 </w:t>
      </w:r>
    </w:p>
    <w:p w14:paraId="61348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4.本项目采用全流程电子化采购，需通过政府采购云平台（http：//www.zcygov.cn）递交电子</w:t>
      </w:r>
      <w:r>
        <w:rPr>
          <w:rFonts w:hint="eastAsia" w:ascii="宋体" w:hAnsi="宋体" w:cs="宋体"/>
          <w:bCs/>
          <w:color w:val="auto"/>
          <w:szCs w:val="21"/>
          <w:highlight w:val="none"/>
          <w:lang w:val="en-US" w:eastAsia="zh-CN"/>
        </w:rPr>
        <w:t>响应</w:t>
      </w:r>
      <w:r>
        <w:rPr>
          <w:rFonts w:hint="eastAsia" w:ascii="宋体" w:hAnsi="宋体" w:cs="宋体"/>
          <w:bCs/>
          <w:color w:val="auto"/>
          <w:szCs w:val="21"/>
          <w:highlight w:val="none"/>
        </w:rPr>
        <w:t>文件。</w:t>
      </w:r>
    </w:p>
    <w:p w14:paraId="64C6E9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操作流程：供应商在政府采购云平台注册入库成为正式供应商后，在平台按《政府采购项目电子交易管理操作指南-供应商》进行操作。业务操作流程咨询电话：95763，由于供应商自身原因在递交</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截止时间前无法完成办理的，后果自负。</w:t>
      </w:r>
    </w:p>
    <w:bookmarkEnd w:id="44"/>
    <w:bookmarkEnd w:id="45"/>
    <w:bookmarkEnd w:id="46"/>
    <w:bookmarkEnd w:id="47"/>
    <w:bookmarkEnd w:id="48"/>
    <w:bookmarkEnd w:id="49"/>
    <w:bookmarkEnd w:id="50"/>
    <w:bookmarkEnd w:id="51"/>
    <w:p w14:paraId="4A3593CA">
      <w:pPr>
        <w:pStyle w:val="3"/>
        <w:spacing w:before="200" w:after="200" w:line="240" w:lineRule="auto"/>
        <w:jc w:val="left"/>
        <w:rPr>
          <w:rFonts w:hint="eastAsia" w:ascii="宋体" w:hAnsi="宋体" w:eastAsia="宋体" w:cs="宋体"/>
          <w:b/>
          <w:bCs/>
          <w:smallCaps/>
          <w:color w:val="auto"/>
          <w:sz w:val="21"/>
          <w:szCs w:val="21"/>
          <w:highlight w:val="none"/>
        </w:rPr>
      </w:pPr>
      <w:bookmarkStart w:id="52" w:name="_Toc35393802"/>
      <w:bookmarkStart w:id="53" w:name="_Toc35393633"/>
      <w:bookmarkStart w:id="54" w:name="_Toc28359093"/>
      <w:bookmarkStart w:id="55" w:name="_Toc19567"/>
      <w:bookmarkStart w:id="56" w:name="_Toc28359016"/>
      <w:bookmarkStart w:id="57" w:name="_Toc29006"/>
      <w:r>
        <w:rPr>
          <w:rFonts w:hint="eastAsia" w:ascii="宋体" w:hAnsi="宋体" w:eastAsia="宋体" w:cs="宋体"/>
          <w:b/>
          <w:bCs/>
          <w:smallCaps/>
          <w:color w:val="auto"/>
          <w:sz w:val="21"/>
          <w:szCs w:val="21"/>
          <w:highlight w:val="none"/>
        </w:rPr>
        <w:t>五、开启</w:t>
      </w:r>
      <w:bookmarkEnd w:id="52"/>
      <w:bookmarkEnd w:id="53"/>
      <w:bookmarkEnd w:id="54"/>
      <w:bookmarkEnd w:id="55"/>
      <w:bookmarkEnd w:id="56"/>
      <w:bookmarkEnd w:id="57"/>
    </w:p>
    <w:p w14:paraId="206C8250">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时间：</w:t>
      </w:r>
      <w:r>
        <w:rPr>
          <w:rFonts w:hint="eastAsia" w:ascii="宋体" w:hAnsi="宋体" w:eastAsia="宋体" w:cs="宋体"/>
          <w:bCs/>
          <w:color w:val="auto"/>
          <w:sz w:val="21"/>
          <w:szCs w:val="21"/>
          <w:highlight w:val="none"/>
          <w:u w:val="single"/>
          <w:lang w:val="en-US" w:eastAsia="zh-CN"/>
        </w:rPr>
        <w:t>2026年</w:t>
      </w:r>
      <w:r>
        <w:rPr>
          <w:rFonts w:hint="eastAsia" w:ascii="宋体" w:hAnsi="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lang w:val="en-US" w:eastAsia="zh-CN"/>
        </w:rPr>
        <w:t>月</w:t>
      </w:r>
      <w:r>
        <w:rPr>
          <w:rFonts w:hint="eastAsia" w:ascii="宋体" w:hAnsi="宋体" w:cs="宋体"/>
          <w:bCs/>
          <w:color w:val="auto"/>
          <w:sz w:val="21"/>
          <w:szCs w:val="21"/>
          <w:highlight w:val="none"/>
          <w:u w:val="single"/>
          <w:lang w:val="en-US" w:eastAsia="zh-CN"/>
        </w:rPr>
        <w:t>24</w:t>
      </w:r>
      <w:r>
        <w:rPr>
          <w:rFonts w:hint="eastAsia" w:ascii="宋体" w:hAnsi="宋体" w:eastAsia="宋体" w:cs="宋体"/>
          <w:bCs/>
          <w:color w:val="auto"/>
          <w:sz w:val="21"/>
          <w:szCs w:val="21"/>
          <w:highlight w:val="none"/>
          <w:u w:val="single"/>
          <w:lang w:val="en-US" w:eastAsia="zh-CN"/>
        </w:rPr>
        <w:t>日</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en-US" w:eastAsia="zh-CN"/>
        </w:rPr>
        <w:t>时</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lang w:val="en-US" w:eastAsia="zh-CN"/>
        </w:rPr>
        <w:t>分</w:t>
      </w:r>
      <w:r>
        <w:rPr>
          <w:rFonts w:hint="eastAsia" w:ascii="宋体" w:hAnsi="宋体" w:eastAsia="宋体" w:cs="宋体"/>
          <w:bCs/>
          <w:color w:val="auto"/>
          <w:szCs w:val="21"/>
          <w:highlight w:val="none"/>
          <w:u w:val="single"/>
        </w:rPr>
        <w:t>（北京时间）</w:t>
      </w:r>
      <w:r>
        <w:rPr>
          <w:rFonts w:hint="eastAsia" w:ascii="宋体" w:hAnsi="宋体" w:eastAsia="宋体" w:cs="宋体"/>
          <w:bCs/>
          <w:color w:val="auto"/>
          <w:szCs w:val="21"/>
          <w:highlight w:val="none"/>
        </w:rPr>
        <w:t>；</w:t>
      </w:r>
    </w:p>
    <w:p w14:paraId="56D5EB0E">
      <w:pPr>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2.地点：</w:t>
      </w:r>
      <w:r>
        <w:rPr>
          <w:rFonts w:hint="eastAsia" w:ascii="宋体" w:hAnsi="宋体" w:eastAsia="宋体" w:cs="宋体"/>
          <w:bCs/>
          <w:color w:val="auto"/>
          <w:sz w:val="21"/>
          <w:szCs w:val="21"/>
          <w:highlight w:val="none"/>
          <w:u w:val="none"/>
          <w:lang w:val="en-US" w:eastAsia="zh-CN"/>
        </w:rPr>
        <w:t>前郭尔罗斯蒙古族自治县政务服务运行保障中心4楼第一开标室（松原市前郭县哈达大街与源江东路交汇金福名居综合楼）</w:t>
      </w:r>
      <w:r>
        <w:rPr>
          <w:rFonts w:hint="eastAsia" w:ascii="宋体" w:hAnsi="宋体" w:eastAsia="宋体" w:cs="宋体"/>
          <w:color w:val="auto"/>
          <w:szCs w:val="21"/>
          <w:highlight w:val="none"/>
          <w:lang w:val="en-US" w:eastAsia="zh-CN"/>
        </w:rPr>
        <w:t>。</w:t>
      </w:r>
    </w:p>
    <w:p w14:paraId="2C7DC8F9">
      <w:pPr>
        <w:pStyle w:val="3"/>
        <w:spacing w:before="100" w:after="100" w:line="380" w:lineRule="exact"/>
        <w:jc w:val="left"/>
        <w:rPr>
          <w:rFonts w:hint="eastAsia" w:ascii="宋体" w:hAnsi="宋体" w:eastAsia="宋体" w:cs="宋体"/>
          <w:bCs w:val="0"/>
          <w:color w:val="auto"/>
          <w:sz w:val="21"/>
          <w:szCs w:val="21"/>
          <w:highlight w:val="none"/>
        </w:rPr>
      </w:pPr>
      <w:bookmarkStart w:id="58" w:name="_Toc21595"/>
      <w:bookmarkStart w:id="59" w:name="_Toc18838"/>
      <w:r>
        <w:rPr>
          <w:rFonts w:hint="eastAsia" w:ascii="宋体" w:hAnsi="宋体" w:eastAsia="宋体" w:cs="宋体"/>
          <w:bCs w:val="0"/>
          <w:color w:val="auto"/>
          <w:sz w:val="21"/>
          <w:szCs w:val="21"/>
          <w:highlight w:val="none"/>
          <w:lang w:val="en-US" w:eastAsia="zh-CN"/>
        </w:rPr>
        <w:t>六</w:t>
      </w:r>
      <w:r>
        <w:rPr>
          <w:rFonts w:hint="eastAsia" w:ascii="宋体" w:hAnsi="宋体" w:eastAsia="宋体" w:cs="宋体"/>
          <w:bCs w:val="0"/>
          <w:color w:val="auto"/>
          <w:sz w:val="21"/>
          <w:szCs w:val="21"/>
          <w:highlight w:val="none"/>
        </w:rPr>
        <w:t>、公告期限</w:t>
      </w:r>
      <w:bookmarkEnd w:id="58"/>
      <w:bookmarkEnd w:id="59"/>
    </w:p>
    <w:p w14:paraId="4735B9A2">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601C8B34">
      <w:pPr>
        <w:pStyle w:val="3"/>
        <w:numPr>
          <w:ilvl w:val="0"/>
          <w:numId w:val="0"/>
        </w:numPr>
        <w:spacing w:before="100" w:after="100" w:line="380" w:lineRule="exact"/>
        <w:jc w:val="left"/>
        <w:rPr>
          <w:rFonts w:hint="eastAsia" w:ascii="宋体" w:hAnsi="宋体" w:eastAsia="宋体" w:cs="宋体"/>
          <w:bCs w:val="0"/>
          <w:color w:val="auto"/>
          <w:sz w:val="21"/>
          <w:szCs w:val="21"/>
          <w:highlight w:val="none"/>
        </w:rPr>
      </w:pPr>
      <w:bookmarkStart w:id="60" w:name="_Toc35393795"/>
      <w:bookmarkStart w:id="61" w:name="_Toc35393626"/>
      <w:bookmarkStart w:id="62" w:name="_Toc12564"/>
      <w:bookmarkStart w:id="63" w:name="_Toc31068"/>
      <w:r>
        <w:rPr>
          <w:rFonts w:hint="eastAsia" w:ascii="宋体" w:hAnsi="宋体" w:eastAsia="宋体" w:cs="宋体"/>
          <w:bCs w:val="0"/>
          <w:color w:val="auto"/>
          <w:sz w:val="21"/>
          <w:szCs w:val="21"/>
          <w:highlight w:val="none"/>
          <w:lang w:val="en-US" w:eastAsia="zh-CN"/>
        </w:rPr>
        <w:t>七、</w:t>
      </w:r>
      <w:r>
        <w:rPr>
          <w:rFonts w:hint="eastAsia" w:ascii="宋体" w:hAnsi="宋体" w:eastAsia="宋体" w:cs="宋体"/>
          <w:bCs w:val="0"/>
          <w:color w:val="auto"/>
          <w:sz w:val="21"/>
          <w:szCs w:val="21"/>
          <w:highlight w:val="none"/>
        </w:rPr>
        <w:t>其他补充事宜</w:t>
      </w:r>
      <w:bookmarkEnd w:id="60"/>
      <w:bookmarkEnd w:id="61"/>
      <w:bookmarkEnd w:id="62"/>
      <w:bookmarkEnd w:id="63"/>
    </w:p>
    <w:p w14:paraId="6BF69B5C">
      <w:pPr>
        <w:spacing w:line="360" w:lineRule="auto"/>
        <w:ind w:firstLine="420" w:firstLineChars="200"/>
        <w:rPr>
          <w:rFonts w:hint="eastAsia" w:ascii="宋体" w:hAnsi="宋体" w:cs="RLDHRH+å®ä½"/>
          <w:color w:val="auto"/>
          <w:szCs w:val="21"/>
          <w:highlight w:val="none"/>
        </w:rPr>
      </w:pPr>
      <w:bookmarkStart w:id="64" w:name="_Toc35393627"/>
      <w:bookmarkStart w:id="65" w:name="_Toc28359085"/>
      <w:bookmarkStart w:id="66" w:name="_Toc35393796"/>
      <w:bookmarkStart w:id="67" w:name="_Toc28359008"/>
      <w:r>
        <w:rPr>
          <w:rFonts w:hint="eastAsia" w:ascii="宋体" w:hAnsi="宋体" w:cs="宋体"/>
          <w:color w:val="auto"/>
          <w:kern w:val="0"/>
          <w:szCs w:val="21"/>
          <w:highlight w:val="none"/>
        </w:rPr>
        <w:t>1.按照财政部财库[2014]68号、[2017]141号、国家统计局关于印发《统计上大中小微型企业划分办法（2017）》的通知、[2019]9号、[2020]46号、吉财采购〔2022〕478等文件要求，需要落实政府采购支持节能环保、中小企业发展等政策。</w:t>
      </w:r>
    </w:p>
    <w:p w14:paraId="659D5EA8">
      <w:pPr>
        <w:spacing w:line="360" w:lineRule="auto"/>
        <w:ind w:firstLine="420" w:firstLineChars="200"/>
        <w:rPr>
          <w:rFonts w:hint="eastAsia" w:ascii="宋体" w:hAnsi="宋体" w:cs="RLDHRH+å®ä½"/>
          <w:color w:val="auto"/>
          <w:szCs w:val="21"/>
          <w:highlight w:val="none"/>
        </w:rPr>
      </w:pPr>
      <w:r>
        <w:rPr>
          <w:rFonts w:hint="eastAsia" w:ascii="宋体" w:hAnsi="宋体" w:cs="RLDHRH+å®ä½"/>
          <w:color w:val="auto"/>
          <w:szCs w:val="21"/>
          <w:highlight w:val="none"/>
        </w:rPr>
        <w:t>2.本次</w:t>
      </w:r>
      <w:r>
        <w:rPr>
          <w:rFonts w:hint="eastAsia" w:ascii="宋体" w:hAnsi="宋体" w:cs="RLDHRH+å®ä½"/>
          <w:color w:val="auto"/>
          <w:szCs w:val="21"/>
          <w:highlight w:val="none"/>
          <w:lang w:val="en-US" w:eastAsia="zh-CN"/>
        </w:rPr>
        <w:t>竞争性磋商</w:t>
      </w:r>
      <w:r>
        <w:rPr>
          <w:rFonts w:hint="eastAsia" w:ascii="宋体" w:hAnsi="宋体" w:cs="RLDHRH+å®ä½"/>
          <w:color w:val="auto"/>
          <w:szCs w:val="21"/>
          <w:highlight w:val="none"/>
        </w:rPr>
        <w:t>公告在政采云平台发布，同步推送至</w:t>
      </w:r>
      <w:r>
        <w:rPr>
          <w:rFonts w:hint="eastAsia" w:ascii="宋体" w:hAnsi="宋体" w:cs="RLDHRH+å®ä½"/>
          <w:color w:val="auto"/>
          <w:szCs w:val="21"/>
          <w:highlight w:val="none"/>
          <w:u w:val="single"/>
        </w:rPr>
        <w:t>中国政府采购网、吉林省政府采购网、</w:t>
      </w:r>
      <w:r>
        <w:rPr>
          <w:rFonts w:hint="eastAsia" w:ascii="宋体" w:hAnsi="宋体" w:cs="RLDHRH+å®ä½"/>
          <w:color w:val="auto"/>
          <w:szCs w:val="21"/>
          <w:highlight w:val="none"/>
          <w:u w:val="single"/>
          <w:lang w:val="en-US" w:eastAsia="zh-CN"/>
        </w:rPr>
        <w:t>吉林省公共资源交易公共服务平台</w:t>
      </w:r>
      <w:r>
        <w:rPr>
          <w:rFonts w:hint="eastAsia" w:ascii="宋体" w:hAnsi="宋体" w:cs="RLDHRH+å®ä½"/>
          <w:color w:val="auto"/>
          <w:szCs w:val="21"/>
          <w:highlight w:val="none"/>
        </w:rPr>
        <w:t>。</w:t>
      </w:r>
    </w:p>
    <w:p w14:paraId="386690C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3.若对项目采购电子交易系统操作有疑问，可登录“政采云”平台（https://www.zcygov.cn/），点击右侧咨询小采，获取采小蜜智能服务管家帮助，或拨打政采云服务热线95763获取热线服务帮助。</w:t>
      </w:r>
    </w:p>
    <w:p w14:paraId="740387FF">
      <w:pPr>
        <w:pStyle w:val="3"/>
        <w:numPr>
          <w:ilvl w:val="0"/>
          <w:numId w:val="0"/>
        </w:numPr>
        <w:spacing w:before="100" w:after="100" w:line="380" w:lineRule="exact"/>
        <w:jc w:val="left"/>
        <w:rPr>
          <w:rFonts w:hint="eastAsia" w:ascii="宋体" w:hAnsi="宋体" w:eastAsia="宋体" w:cs="宋体"/>
          <w:bCs w:val="0"/>
          <w:color w:val="auto"/>
          <w:sz w:val="21"/>
          <w:szCs w:val="21"/>
          <w:highlight w:val="none"/>
        </w:rPr>
      </w:pPr>
      <w:bookmarkStart w:id="68" w:name="_Toc20355"/>
      <w:r>
        <w:rPr>
          <w:rFonts w:hint="eastAsia" w:ascii="宋体" w:hAnsi="宋体" w:eastAsia="宋体" w:cs="宋体"/>
          <w:bCs w:val="0"/>
          <w:color w:val="auto"/>
          <w:sz w:val="21"/>
          <w:szCs w:val="21"/>
          <w:highlight w:val="none"/>
          <w:lang w:val="en-US" w:eastAsia="zh-CN"/>
        </w:rPr>
        <w:t>八、对本次谈判提出询问，请按以下方式联系</w:t>
      </w:r>
      <w:bookmarkEnd w:id="64"/>
      <w:bookmarkEnd w:id="65"/>
      <w:bookmarkEnd w:id="66"/>
      <w:bookmarkEnd w:id="67"/>
      <w:bookmarkEnd w:id="68"/>
    </w:p>
    <w:p w14:paraId="0C3AE549">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1.采购人信息</w:t>
      </w:r>
    </w:p>
    <w:p w14:paraId="371A1DE3">
      <w:pPr>
        <w:pageBreakBefore w:val="0"/>
        <w:kinsoku/>
        <w:wordWrap/>
        <w:overflowPunct/>
        <w:topLinePunct w:val="0"/>
        <w:bidi w:val="0"/>
        <w:spacing w:line="312" w:lineRule="auto"/>
        <w:ind w:firstLine="420" w:firstLineChars="200"/>
        <w:rPr>
          <w:rFonts w:hint="default" w:ascii="宋体" w:hAnsi="宋体" w:eastAsia="宋体" w:cs="RLDHRH+å®ä½"/>
          <w:color w:val="auto"/>
          <w:szCs w:val="21"/>
          <w:highlight w:val="none"/>
          <w:lang w:val="en-US" w:eastAsia="zh-CN"/>
        </w:rPr>
      </w:pPr>
      <w:r>
        <w:rPr>
          <w:rFonts w:hint="eastAsia" w:ascii="宋体" w:hAnsi="宋体" w:eastAsia="宋体" w:cs="RLDHRH+å®ä½"/>
          <w:color w:val="auto"/>
          <w:szCs w:val="21"/>
          <w:highlight w:val="none"/>
        </w:rPr>
        <w:t>名称：</w:t>
      </w:r>
      <w:r>
        <w:rPr>
          <w:rFonts w:hint="eastAsia" w:ascii="宋体" w:hAnsi="宋体" w:eastAsia="宋体" w:cs="RLDHRH+å®ä½"/>
          <w:color w:val="auto"/>
          <w:szCs w:val="21"/>
          <w:highlight w:val="none"/>
          <w:lang w:val="en-US" w:eastAsia="zh-CN"/>
        </w:rPr>
        <w:t>前郭尔罗斯蒙古族自治县黑土地保护监测中心</w:t>
      </w:r>
    </w:p>
    <w:p w14:paraId="116DE46B">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lang w:val="zh-CN" w:eastAsia="zh-CN"/>
        </w:rPr>
      </w:pPr>
      <w:r>
        <w:rPr>
          <w:rFonts w:hint="eastAsia" w:ascii="宋体" w:hAnsi="宋体" w:eastAsia="宋体" w:cs="RLDHRH+å®ä½"/>
          <w:color w:val="auto"/>
          <w:szCs w:val="21"/>
          <w:highlight w:val="none"/>
        </w:rPr>
        <w:t>地址：</w:t>
      </w:r>
      <w:r>
        <w:rPr>
          <w:rFonts w:hint="eastAsia" w:ascii="宋体" w:hAnsi="宋体" w:eastAsia="宋体" w:cs="RLDHRH+å®ä½"/>
          <w:color w:val="auto"/>
          <w:szCs w:val="21"/>
          <w:highlight w:val="none"/>
          <w:lang w:eastAsia="zh-CN"/>
        </w:rPr>
        <w:t>前郭尔罗斯蒙古族自治县</w:t>
      </w:r>
    </w:p>
    <w:p w14:paraId="47EE8494">
      <w:pPr>
        <w:pageBreakBefore w:val="0"/>
        <w:kinsoku/>
        <w:wordWrap/>
        <w:overflowPunct/>
        <w:topLinePunct w:val="0"/>
        <w:bidi w:val="0"/>
        <w:spacing w:line="312" w:lineRule="auto"/>
        <w:ind w:firstLine="420" w:firstLineChars="200"/>
        <w:rPr>
          <w:rFonts w:hint="default" w:ascii="宋体" w:hAnsi="宋体" w:eastAsia="宋体" w:cs="RLDHRH+å®ä½"/>
          <w:color w:val="auto"/>
          <w:szCs w:val="21"/>
          <w:highlight w:val="none"/>
          <w:lang w:val="en-US" w:eastAsia="zh-CN"/>
        </w:rPr>
      </w:pPr>
      <w:r>
        <w:rPr>
          <w:rFonts w:hint="eastAsia" w:ascii="宋体" w:hAnsi="宋体" w:eastAsia="宋体" w:cs="RLDHRH+å®ä½"/>
          <w:color w:val="auto"/>
          <w:szCs w:val="21"/>
          <w:highlight w:val="none"/>
        </w:rPr>
        <w:t>联系方式：</w:t>
      </w:r>
      <w:bookmarkStart w:id="69" w:name="_Toc28359086"/>
      <w:bookmarkStart w:id="70" w:name="_Toc28359009"/>
      <w:r>
        <w:rPr>
          <w:rFonts w:hint="eastAsia" w:ascii="宋体" w:hAnsi="宋体" w:cs="宋体"/>
          <w:bCs/>
          <w:color w:val="auto"/>
          <w:szCs w:val="21"/>
          <w:highlight w:val="none"/>
          <w:lang w:val="zh-CN"/>
        </w:rPr>
        <w:t>0438-5057899</w:t>
      </w:r>
    </w:p>
    <w:p w14:paraId="09CF5A0D">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p>
    <w:p w14:paraId="7BD7CE71">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r>
        <w:rPr>
          <w:rFonts w:hint="eastAsia" w:ascii="宋体" w:hAnsi="宋体" w:eastAsia="宋体" w:cs="RLDHRH+å®ä½"/>
          <w:color w:val="auto"/>
          <w:szCs w:val="21"/>
          <w:highlight w:val="none"/>
        </w:rPr>
        <w:t>2.采购代理机构信息</w:t>
      </w:r>
      <w:bookmarkEnd w:id="69"/>
      <w:bookmarkEnd w:id="70"/>
    </w:p>
    <w:p w14:paraId="667A53FE">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r>
        <w:rPr>
          <w:rFonts w:hint="eastAsia" w:ascii="宋体" w:hAnsi="宋体" w:eastAsia="宋体" w:cs="RLDHRH+å®ä½"/>
          <w:color w:val="auto"/>
          <w:szCs w:val="21"/>
          <w:highlight w:val="none"/>
        </w:rPr>
        <w:t>名称：</w:t>
      </w:r>
      <w:r>
        <w:rPr>
          <w:rFonts w:hint="eastAsia" w:ascii="宋体" w:hAnsi="宋体" w:eastAsia="宋体" w:cs="RLDHRH+å®ä½"/>
          <w:color w:val="auto"/>
          <w:szCs w:val="21"/>
          <w:highlight w:val="none"/>
          <w:lang w:val="zh-CN"/>
        </w:rPr>
        <w:t>吉林省森宏项目管理有限公司</w:t>
      </w:r>
    </w:p>
    <w:p w14:paraId="4BFBD085">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r>
        <w:rPr>
          <w:rFonts w:hint="eastAsia" w:ascii="宋体" w:hAnsi="宋体" w:eastAsia="宋体" w:cs="RLDHRH+å®ä½"/>
          <w:color w:val="auto"/>
          <w:szCs w:val="21"/>
          <w:highlight w:val="none"/>
        </w:rPr>
        <w:t>地址：长春市二道区东逸美郡18栋</w:t>
      </w:r>
    </w:p>
    <w:p w14:paraId="128600AC">
      <w:pPr>
        <w:pageBreakBefore w:val="0"/>
        <w:kinsoku/>
        <w:wordWrap/>
        <w:overflowPunct/>
        <w:topLinePunct w:val="0"/>
        <w:bidi w:val="0"/>
        <w:spacing w:line="312" w:lineRule="auto"/>
        <w:ind w:firstLine="420" w:firstLineChars="200"/>
        <w:rPr>
          <w:rFonts w:ascii="宋体" w:hAnsi="宋体" w:eastAsia="宋体" w:cs="RLDHRH+å®ä½"/>
          <w:color w:val="auto"/>
          <w:szCs w:val="21"/>
          <w:highlight w:val="none"/>
        </w:rPr>
      </w:pPr>
      <w:r>
        <w:rPr>
          <w:rFonts w:hint="eastAsia" w:ascii="宋体" w:hAnsi="宋体" w:eastAsia="宋体" w:cs="RLDHRH+å®ä½"/>
          <w:color w:val="auto"/>
          <w:szCs w:val="21"/>
          <w:highlight w:val="none"/>
        </w:rPr>
        <w:t>联系方式：</w:t>
      </w:r>
      <w:bookmarkStart w:id="71" w:name="_Toc28359010"/>
      <w:bookmarkStart w:id="72" w:name="_Toc28359087"/>
      <w:r>
        <w:rPr>
          <w:rFonts w:hint="eastAsia" w:ascii="宋体" w:hAnsi="宋体" w:eastAsia="宋体" w:cs="RLDHRH+å®ä½"/>
          <w:color w:val="auto"/>
          <w:szCs w:val="21"/>
          <w:highlight w:val="none"/>
          <w:lang w:val="en-US" w:eastAsia="zh-CN"/>
        </w:rPr>
        <w:t>18943936011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办公电话</w:t>
      </w:r>
      <w:r>
        <w:rPr>
          <w:rFonts w:hint="eastAsia" w:ascii="宋体" w:hAnsi="宋体" w:eastAsia="宋体" w:cs="宋体"/>
          <w:bCs/>
          <w:color w:val="auto"/>
          <w:szCs w:val="21"/>
          <w:highlight w:val="none"/>
          <w:lang w:eastAsia="zh-CN"/>
        </w:rPr>
        <w:t>）</w:t>
      </w:r>
    </w:p>
    <w:p w14:paraId="1F90E6CC">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p>
    <w:p w14:paraId="7222E183">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r>
        <w:rPr>
          <w:rFonts w:hint="eastAsia" w:ascii="宋体" w:hAnsi="宋体" w:eastAsia="宋体" w:cs="RLDHRH+å®ä½"/>
          <w:color w:val="auto"/>
          <w:szCs w:val="21"/>
          <w:highlight w:val="none"/>
        </w:rPr>
        <w:t>3.项目联系方式</w:t>
      </w:r>
      <w:bookmarkEnd w:id="71"/>
      <w:bookmarkEnd w:id="72"/>
    </w:p>
    <w:p w14:paraId="33722FB6">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lang w:val="en-US" w:eastAsia="zh-CN"/>
        </w:rPr>
      </w:pPr>
      <w:r>
        <w:rPr>
          <w:rFonts w:hint="eastAsia" w:ascii="宋体" w:hAnsi="宋体" w:eastAsia="宋体" w:cs="RLDHRH+å®ä½"/>
          <w:color w:val="auto"/>
          <w:szCs w:val="21"/>
          <w:highlight w:val="none"/>
        </w:rPr>
        <w:t>项目联系人：</w:t>
      </w:r>
      <w:r>
        <w:rPr>
          <w:rFonts w:hint="eastAsia" w:ascii="宋体" w:hAnsi="宋体" w:eastAsia="宋体" w:cs="RLDHRH+å®ä½"/>
          <w:color w:val="auto"/>
          <w:szCs w:val="21"/>
          <w:highlight w:val="none"/>
          <w:lang w:val="en-US" w:eastAsia="zh-CN"/>
        </w:rPr>
        <w:t>郭成全</w:t>
      </w:r>
    </w:p>
    <w:p w14:paraId="413939DD">
      <w:pPr>
        <w:pageBreakBefore w:val="0"/>
        <w:kinsoku/>
        <w:wordWrap/>
        <w:overflowPunct/>
        <w:topLinePunct w:val="0"/>
        <w:bidi w:val="0"/>
        <w:spacing w:line="312" w:lineRule="auto"/>
        <w:ind w:firstLine="420" w:firstLineChars="200"/>
        <w:rPr>
          <w:rFonts w:hint="eastAsia" w:ascii="宋体" w:hAnsi="宋体" w:eastAsia="宋体" w:cs="RLDHRH+å®ä½"/>
          <w:color w:val="auto"/>
          <w:szCs w:val="21"/>
          <w:highlight w:val="none"/>
        </w:rPr>
      </w:pPr>
      <w:r>
        <w:rPr>
          <w:rFonts w:hint="eastAsia" w:ascii="宋体" w:hAnsi="宋体" w:eastAsia="宋体" w:cs="RLDHRH+å®ä½"/>
          <w:color w:val="auto"/>
          <w:szCs w:val="21"/>
          <w:highlight w:val="none"/>
        </w:rPr>
        <w:t>电话：</w:t>
      </w:r>
      <w:r>
        <w:rPr>
          <w:rFonts w:hint="eastAsia" w:ascii="宋体" w:hAnsi="宋体" w:eastAsia="宋体" w:cs="RLDHRH+å®ä½"/>
          <w:color w:val="auto"/>
          <w:szCs w:val="21"/>
          <w:highlight w:val="none"/>
          <w:lang w:val="en-US" w:eastAsia="zh-CN"/>
        </w:rPr>
        <w:t>18943936011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办公电话</w:t>
      </w:r>
      <w:r>
        <w:rPr>
          <w:rFonts w:hint="eastAsia" w:ascii="宋体" w:hAnsi="宋体" w:eastAsia="宋体" w:cs="宋体"/>
          <w:bCs/>
          <w:color w:val="auto"/>
          <w:szCs w:val="21"/>
          <w:highlight w:val="none"/>
          <w:lang w:eastAsia="zh-CN"/>
        </w:rPr>
        <w:t>）</w:t>
      </w:r>
    </w:p>
    <w:p w14:paraId="49C3105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p>
    <w:p w14:paraId="4E1DC87E">
      <w:pPr>
        <w:pStyle w:val="2"/>
        <w:numPr>
          <w:ilvl w:val="0"/>
          <w:numId w:val="2"/>
        </w:numPr>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73" w:name="_Toc19220"/>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bookmarkEnd w:id="73"/>
      <w:bookmarkStart w:id="74" w:name="_Toc8757"/>
      <w:bookmarkStart w:id="75" w:name="_Toc23607"/>
      <w:bookmarkStart w:id="76" w:name="_Toc23760"/>
    </w:p>
    <w:p w14:paraId="77912580">
      <w:pPr>
        <w:pStyle w:val="2"/>
        <w:numPr>
          <w:ilvl w:val="0"/>
          <w:numId w:val="0"/>
        </w:numPr>
        <w:bidi w:val="0"/>
        <w:spacing w:line="240" w:lineRule="auto"/>
        <w:jc w:val="center"/>
        <w:rPr>
          <w:rFonts w:hint="eastAsia" w:ascii="宋体" w:hAnsi="宋体" w:eastAsia="宋体" w:cs="宋体"/>
          <w:b w:val="0"/>
          <w:bCs/>
          <w:color w:val="auto"/>
          <w:sz w:val="28"/>
          <w:szCs w:val="28"/>
          <w:highlight w:val="none"/>
        </w:rPr>
      </w:pPr>
      <w:bookmarkStart w:id="77" w:name="_Toc4867"/>
      <w:bookmarkStart w:id="78" w:name="_Toc8714"/>
      <w:r>
        <w:rPr>
          <w:rFonts w:hint="eastAsia" w:ascii="宋体" w:hAnsi="宋体" w:eastAsia="宋体" w:cs="宋体"/>
          <w:b w:val="0"/>
          <w:bCs/>
          <w:color w:val="auto"/>
          <w:sz w:val="28"/>
          <w:szCs w:val="28"/>
          <w:highlight w:val="none"/>
        </w:rPr>
        <w:t>供应商须知前附表</w:t>
      </w:r>
      <w:bookmarkEnd w:id="77"/>
      <w:bookmarkEnd w:id="78"/>
    </w:p>
    <w:tbl>
      <w:tblPr>
        <w:tblStyle w:val="26"/>
        <w:tblW w:w="97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2"/>
        <w:gridCol w:w="1958"/>
        <w:gridCol w:w="6989"/>
      </w:tblGrid>
      <w:tr w14:paraId="1E7CA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tblHeader/>
          <w:jc w:val="center"/>
        </w:trPr>
        <w:tc>
          <w:tcPr>
            <w:tcW w:w="832" w:type="dxa"/>
            <w:tcBorders>
              <w:top w:val="single" w:color="auto" w:sz="6" w:space="0"/>
              <w:left w:val="single" w:color="auto" w:sz="6" w:space="0"/>
              <w:bottom w:val="single" w:color="auto" w:sz="6" w:space="0"/>
            </w:tcBorders>
            <w:tcMar>
              <w:left w:w="0" w:type="dxa"/>
              <w:right w:w="0" w:type="dxa"/>
            </w:tcMar>
          </w:tcPr>
          <w:p w14:paraId="7D277174">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58" w:type="dxa"/>
            <w:tcBorders>
              <w:top w:val="single" w:color="auto" w:sz="6" w:space="0"/>
              <w:bottom w:val="single" w:color="auto" w:sz="6" w:space="0"/>
            </w:tcBorders>
            <w:tcMar>
              <w:left w:w="0" w:type="dxa"/>
              <w:right w:w="0" w:type="dxa"/>
            </w:tcMar>
          </w:tcPr>
          <w:p w14:paraId="4784A01F">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6989" w:type="dxa"/>
            <w:tcBorders>
              <w:top w:val="single" w:color="auto" w:sz="6" w:space="0"/>
              <w:bottom w:val="single" w:color="auto" w:sz="6" w:space="0"/>
              <w:right w:val="single" w:color="auto" w:sz="6" w:space="0"/>
            </w:tcBorders>
            <w:tcMar>
              <w:left w:w="0" w:type="dxa"/>
              <w:right w:w="0" w:type="dxa"/>
            </w:tcMar>
          </w:tcPr>
          <w:p w14:paraId="50E44107">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758E8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2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7E887B10">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58" w:type="dxa"/>
            <w:tcBorders>
              <w:top w:val="single" w:color="auto" w:sz="6" w:space="0"/>
              <w:bottom w:val="single" w:color="auto" w:sz="6" w:space="0"/>
            </w:tcBorders>
            <w:tcMar>
              <w:left w:w="0" w:type="dxa"/>
              <w:right w:w="0" w:type="dxa"/>
            </w:tcMar>
            <w:vAlign w:val="center"/>
          </w:tcPr>
          <w:p w14:paraId="10D35AAD">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采购人</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7B1C4F4B">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采购人：前郭尔罗斯蒙古族自治县黑土地保护监测中心</w:t>
            </w:r>
          </w:p>
          <w:p w14:paraId="5E7ADBB4">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地址：前郭尔罗斯蒙古族自治县</w:t>
            </w:r>
          </w:p>
          <w:p w14:paraId="689F9FEB">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联系人：包冠</w:t>
            </w:r>
          </w:p>
          <w:p w14:paraId="485A3EB3">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lang w:val="zh-CN"/>
              </w:rPr>
              <w:t>电话：0438-5057899</w:t>
            </w:r>
          </w:p>
        </w:tc>
      </w:tr>
      <w:tr w14:paraId="378BB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2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253C012B">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58" w:type="dxa"/>
            <w:tcBorders>
              <w:top w:val="single" w:color="auto" w:sz="6" w:space="0"/>
              <w:bottom w:val="single" w:color="auto" w:sz="6" w:space="0"/>
            </w:tcBorders>
            <w:tcMar>
              <w:left w:w="0" w:type="dxa"/>
              <w:right w:w="0" w:type="dxa"/>
            </w:tcMar>
            <w:vAlign w:val="center"/>
          </w:tcPr>
          <w:p w14:paraId="1DCAF26D">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采购代理机构</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A962367">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采购代理机构：吉林省森宏项目管理有限公司</w:t>
            </w:r>
          </w:p>
          <w:p w14:paraId="5B9F62A8">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地址：长春市二道区东逸美郡18栋</w:t>
            </w:r>
          </w:p>
          <w:p w14:paraId="68AB4154">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联系人：郭成全</w:t>
            </w:r>
          </w:p>
          <w:p w14:paraId="59843E0E">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电话：18943936011（办公电话）</w:t>
            </w:r>
          </w:p>
        </w:tc>
      </w:tr>
      <w:tr w14:paraId="4D123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0C9C6A31">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58" w:type="dxa"/>
            <w:tcBorders>
              <w:top w:val="single" w:color="auto" w:sz="6" w:space="0"/>
              <w:bottom w:val="single" w:color="auto" w:sz="6" w:space="0"/>
            </w:tcBorders>
            <w:tcMar>
              <w:left w:w="0" w:type="dxa"/>
              <w:right w:w="0" w:type="dxa"/>
            </w:tcMar>
            <w:vAlign w:val="center"/>
          </w:tcPr>
          <w:p w14:paraId="4B78107C">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项目名称及项目编号</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78BE85A1">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项目名称：</w:t>
            </w:r>
            <w:r>
              <w:rPr>
                <w:rFonts w:hint="eastAsia" w:ascii="宋体" w:hAnsi="宋体" w:cs="宋体"/>
                <w:color w:val="auto"/>
                <w:szCs w:val="21"/>
                <w:highlight w:val="none"/>
                <w:lang w:val="en-US" w:eastAsia="zh-CN"/>
              </w:rPr>
              <w:t>前郭县2026年大豆根瘤菌剂接种工程</w:t>
            </w:r>
          </w:p>
          <w:p w14:paraId="63E6E1E5">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rPr>
              <w:t>项目编号：采购计划-[2026]-00050号-SHZB26-03</w:t>
            </w:r>
          </w:p>
        </w:tc>
      </w:tr>
      <w:tr w14:paraId="791FA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266A17AF">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58" w:type="dxa"/>
            <w:tcBorders>
              <w:top w:val="single" w:color="auto" w:sz="6" w:space="0"/>
              <w:bottom w:val="single" w:color="auto" w:sz="6" w:space="0"/>
            </w:tcBorders>
            <w:tcMar>
              <w:left w:w="0" w:type="dxa"/>
              <w:right w:w="0" w:type="dxa"/>
            </w:tcMar>
            <w:vAlign w:val="center"/>
          </w:tcPr>
          <w:p w14:paraId="1CBB7EEB">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项目地点</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203BC12C">
            <w:pPr>
              <w:keepNext w:val="0"/>
              <w:keepLines w:val="0"/>
              <w:pageBreakBefore w:val="0"/>
              <w:widowControl w:val="0"/>
              <w:kinsoku/>
              <w:wordWrap/>
              <w:overflowPunct/>
              <w:topLinePunct w:val="0"/>
              <w:autoSpaceDE w:val="0"/>
              <w:autoSpaceDN w:val="0"/>
              <w:bidi w:val="0"/>
              <w:adjustRightInd w:val="0"/>
              <w:spacing w:line="288" w:lineRule="auto"/>
              <w:ind w:left="105" w:leftChars="5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cs="宋体"/>
                <w:color w:val="auto"/>
                <w:szCs w:val="21"/>
                <w:highlight w:val="none"/>
                <w:lang w:val="en-US" w:eastAsia="zh-CN"/>
              </w:rPr>
              <w:t>前郭县境内</w:t>
            </w:r>
          </w:p>
        </w:tc>
      </w:tr>
      <w:tr w14:paraId="055F4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2CB48C65">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58" w:type="dxa"/>
            <w:tcBorders>
              <w:top w:val="single" w:color="auto" w:sz="6" w:space="0"/>
            </w:tcBorders>
            <w:tcMar>
              <w:left w:w="0" w:type="dxa"/>
              <w:right w:w="0" w:type="dxa"/>
            </w:tcMar>
            <w:vAlign w:val="center"/>
          </w:tcPr>
          <w:p w14:paraId="231098F5">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资金来源</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0547BBF">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财政</w:t>
            </w:r>
            <w:r>
              <w:rPr>
                <w:rFonts w:hint="eastAsia" w:ascii="宋体" w:hAnsi="宋体" w:eastAsia="宋体" w:cs="宋体"/>
                <w:color w:val="auto"/>
                <w:sz w:val="21"/>
                <w:szCs w:val="21"/>
                <w:highlight w:val="none"/>
              </w:rPr>
              <w:t>资金，已落实</w:t>
            </w:r>
          </w:p>
        </w:tc>
      </w:tr>
      <w:tr w14:paraId="76683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832" w:type="dxa"/>
            <w:tcBorders>
              <w:top w:val="single" w:color="auto" w:sz="6" w:space="0"/>
              <w:left w:val="single" w:color="auto" w:sz="6" w:space="0"/>
            </w:tcBorders>
            <w:tcMar>
              <w:left w:w="0" w:type="dxa"/>
              <w:right w:w="0" w:type="dxa"/>
            </w:tcMar>
            <w:vAlign w:val="center"/>
          </w:tcPr>
          <w:p w14:paraId="65ED710A">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58" w:type="dxa"/>
            <w:tcBorders>
              <w:top w:val="single" w:color="auto" w:sz="6" w:space="0"/>
              <w:bottom w:val="single" w:color="auto" w:sz="6" w:space="0"/>
            </w:tcBorders>
            <w:tcMar>
              <w:left w:w="0" w:type="dxa"/>
              <w:right w:w="0" w:type="dxa"/>
            </w:tcMar>
            <w:vAlign w:val="center"/>
          </w:tcPr>
          <w:p w14:paraId="37081CE9">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采购需求</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370A1BB">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大豆根瘤菌剂；产品形态：液体；有效成份及含量(有效活菌数)≥50亿/毫升；接种面积9万亩（详见竞争性谈判文件）</w:t>
            </w:r>
          </w:p>
        </w:tc>
      </w:tr>
      <w:tr w14:paraId="21A574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0FB34C00">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58" w:type="dxa"/>
            <w:tcBorders>
              <w:top w:val="single" w:color="auto" w:sz="6" w:space="0"/>
              <w:bottom w:val="single" w:color="auto" w:sz="6" w:space="0"/>
            </w:tcBorders>
            <w:tcMar>
              <w:left w:w="0" w:type="dxa"/>
              <w:right w:w="0" w:type="dxa"/>
            </w:tcMar>
            <w:vAlign w:val="center"/>
          </w:tcPr>
          <w:p w14:paraId="7E9396AC">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1"/>
                <w:szCs w:val="21"/>
                <w:highlight w:val="none"/>
              </w:rPr>
              <w:t>合同履行期限</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794C624B">
            <w:pPr>
              <w:keepNext w:val="0"/>
              <w:keepLines w:val="0"/>
              <w:pageBreakBefore w:val="0"/>
              <w:widowControl w:val="0"/>
              <w:kinsoku/>
              <w:wordWrap/>
              <w:overflowPunct/>
              <w:topLinePunct w:val="0"/>
              <w:bidi w:val="0"/>
              <w:spacing w:line="288" w:lineRule="auto"/>
              <w:ind w:left="105" w:leftChars="50"/>
              <w:textAlignment w:val="auto"/>
              <w:rPr>
                <w:rFonts w:hint="default" w:ascii="宋体" w:hAnsi="宋体" w:eastAsia="宋体" w:cs="宋体"/>
                <w:bCs/>
                <w:color w:val="auto"/>
                <w:sz w:val="21"/>
                <w:szCs w:val="21"/>
                <w:highlight w:val="none"/>
                <w:lang w:val="en-US" w:eastAsia="zh-CN"/>
              </w:rPr>
            </w:pPr>
            <w:r>
              <w:rPr>
                <w:rFonts w:hint="eastAsia" w:ascii="宋体" w:hAnsi="宋体" w:cs="宋体"/>
                <w:color w:val="auto"/>
                <w:highlight w:val="none"/>
                <w:lang w:val="en-US" w:eastAsia="zh-CN"/>
              </w:rPr>
              <w:t>合同签订后3日内完成供货</w:t>
            </w:r>
          </w:p>
        </w:tc>
      </w:tr>
      <w:tr w14:paraId="27620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56FECB79">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58" w:type="dxa"/>
            <w:tcBorders>
              <w:top w:val="single" w:color="auto" w:sz="6" w:space="0"/>
              <w:bottom w:val="single" w:color="auto" w:sz="6" w:space="0"/>
            </w:tcBorders>
            <w:tcMar>
              <w:left w:w="0" w:type="dxa"/>
              <w:right w:w="0" w:type="dxa"/>
            </w:tcMar>
            <w:vAlign w:val="center"/>
          </w:tcPr>
          <w:p w14:paraId="6EE78845">
            <w:pPr>
              <w:keepNext w:val="0"/>
              <w:keepLines w:val="0"/>
              <w:pageBreakBefore w:val="0"/>
              <w:widowControl w:val="0"/>
              <w:kinsoku/>
              <w:wordWrap/>
              <w:overflowPunct/>
              <w:topLinePunct w:val="0"/>
              <w:bidi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Cs w:val="21"/>
                <w:highlight w:val="none"/>
                <w:lang w:val="zh-CN"/>
              </w:rPr>
              <w:t>质量标准</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559D6BCE">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Cs w:val="21"/>
                <w:highlight w:val="none"/>
                <w:lang w:val="en-US" w:eastAsia="zh-CN"/>
              </w:rPr>
              <w:t>符合国家标准《农用微生物菌剂》GB20287-2006</w:t>
            </w:r>
          </w:p>
        </w:tc>
      </w:tr>
      <w:tr w14:paraId="743FB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6B9E71CD">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58" w:type="dxa"/>
            <w:tcBorders>
              <w:top w:val="single" w:color="auto" w:sz="6" w:space="0"/>
              <w:bottom w:val="single" w:color="auto" w:sz="6" w:space="0"/>
            </w:tcBorders>
            <w:tcMar>
              <w:left w:w="0" w:type="dxa"/>
              <w:right w:w="0" w:type="dxa"/>
            </w:tcMar>
            <w:vAlign w:val="center"/>
          </w:tcPr>
          <w:p w14:paraId="3A964511">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供应商资质条件、</w:t>
            </w:r>
          </w:p>
          <w:p w14:paraId="57714707">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能力和信誉</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40A5883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105" w:leftChars="50"/>
              <w:textAlignment w:val="auto"/>
              <w:rPr>
                <w:rFonts w:hint="eastAsia" w:ascii="宋体" w:hAnsi="宋体" w:eastAsia="宋体" w:cs="宋体"/>
                <w:color w:val="auto"/>
                <w:highlight w:val="none"/>
                <w:lang w:val="zh-CN" w:eastAsia="zh-CN"/>
              </w:rPr>
            </w:pPr>
            <w:r>
              <w:rPr>
                <w:rFonts w:hint="eastAsia" w:ascii="宋体" w:hAnsi="宋体" w:eastAsia="宋体" w:cs="宋体"/>
                <w:color w:val="auto"/>
                <w:kern w:val="2"/>
                <w:sz w:val="21"/>
                <w:szCs w:val="22"/>
                <w:lang w:val="zh-CN" w:eastAsia="zh-CN" w:bidi="ar-SA"/>
              </w:rPr>
              <w:t>一、</w:t>
            </w:r>
            <w:r>
              <w:rPr>
                <w:rFonts w:hint="eastAsia" w:ascii="宋体" w:hAnsi="宋体" w:cs="宋体"/>
                <w:color w:val="auto"/>
                <w:highlight w:val="none"/>
                <w:lang w:val="en-US" w:eastAsia="zh-CN"/>
              </w:rPr>
              <w:t>营业执照：</w:t>
            </w:r>
            <w:r>
              <w:rPr>
                <w:rFonts w:hint="eastAsia" w:ascii="宋体" w:hAnsi="宋体" w:cs="宋体"/>
                <w:color w:val="auto"/>
                <w:szCs w:val="21"/>
                <w:highlight w:val="none"/>
                <w:lang w:eastAsia="zh-CN"/>
              </w:rPr>
              <w:t>本次采购要求供应商须在中华人民共和国境内合法注册的</w:t>
            </w:r>
            <w:r>
              <w:rPr>
                <w:rFonts w:hint="eastAsia" w:ascii="宋体" w:hAnsi="宋体" w:cs="宋体"/>
                <w:color w:val="auto"/>
                <w:szCs w:val="21"/>
                <w:highlight w:val="none"/>
                <w:lang w:val="en-US" w:eastAsia="zh-CN"/>
              </w:rPr>
              <w:t>代理商或生厂商</w:t>
            </w:r>
            <w:r>
              <w:rPr>
                <w:rFonts w:hint="eastAsia" w:ascii="宋体" w:hAnsi="宋体" w:cs="宋体"/>
                <w:color w:val="auto"/>
                <w:szCs w:val="21"/>
                <w:highlight w:val="none"/>
                <w:lang w:eastAsia="zh-CN"/>
              </w:rPr>
              <w:t>，具有独立承担民事责任的能力，须提供有效的营业执照，且在人员、设备、资金等方面具有相应的供货能力</w:t>
            </w:r>
            <w:r>
              <w:rPr>
                <w:rFonts w:hint="eastAsia" w:ascii="宋体" w:hAnsi="宋体" w:eastAsia="宋体" w:cs="宋体"/>
                <w:color w:val="auto"/>
                <w:highlight w:val="none"/>
                <w:lang w:val="zh-CN" w:eastAsia="zh-CN"/>
              </w:rPr>
              <w:t>。</w:t>
            </w:r>
          </w:p>
          <w:p w14:paraId="6403825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105" w:leftChars="5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2"/>
                <w:lang w:val="en-US" w:eastAsia="zh-CN" w:bidi="ar-SA"/>
              </w:rPr>
              <w:t>二、</w:t>
            </w:r>
            <w:r>
              <w:rPr>
                <w:rFonts w:hint="eastAsia" w:ascii="宋体" w:hAnsi="宋体" w:cs="宋体"/>
                <w:color w:val="auto"/>
                <w:kern w:val="2"/>
                <w:sz w:val="21"/>
                <w:szCs w:val="22"/>
                <w:lang w:val="en-US" w:eastAsia="zh-CN" w:bidi="ar-SA"/>
              </w:rPr>
              <w:t>资格条件：</w:t>
            </w:r>
            <w:r>
              <w:rPr>
                <w:rFonts w:hint="eastAsia" w:ascii="宋体" w:hAnsi="宋体" w:eastAsia="宋体" w:cs="宋体"/>
                <w:color w:val="auto"/>
                <w:highlight w:val="none"/>
                <w:lang w:val="en-US" w:eastAsia="zh-CN"/>
              </w:rPr>
              <w:t>供应商所投产品应具有农业主管部门颁发的有效期内的肥料登记证（微生物肥料）</w:t>
            </w:r>
            <w:r>
              <w:rPr>
                <w:rFonts w:hint="eastAsia" w:ascii="宋体" w:hAnsi="宋体" w:cs="宋体"/>
                <w:color w:val="auto"/>
                <w:highlight w:val="none"/>
                <w:lang w:val="en-US" w:eastAsia="zh-CN"/>
              </w:rPr>
              <w:t>。</w:t>
            </w:r>
          </w:p>
          <w:p w14:paraId="4D2A292E">
            <w:pPr>
              <w:keepNext w:val="0"/>
              <w:keepLines w:val="0"/>
              <w:pageBreakBefore w:val="0"/>
              <w:widowControl w:val="0"/>
              <w:kinsoku/>
              <w:wordWrap/>
              <w:overflowPunct/>
              <w:topLinePunct w:val="0"/>
              <w:autoSpaceDE/>
              <w:autoSpaceDN/>
              <w:bidi w:val="0"/>
              <w:adjustRightInd w:val="0"/>
              <w:snapToGrid w:val="0"/>
              <w:spacing w:line="288" w:lineRule="auto"/>
              <w:ind w:left="105" w:leftChars="50"/>
              <w:textAlignment w:val="auto"/>
              <w:rPr>
                <w:rFonts w:hint="eastAsia" w:ascii="宋体" w:hAnsi="宋体" w:eastAsia="宋体" w:cs="宋体"/>
                <w:color w:val="auto"/>
                <w:highlight w:val="none"/>
                <w:lang w:val="zh-CN" w:eastAsia="zh-CN"/>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财务要求：具有良好的商业信誉和健全的财务会计制度。</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val="zh-CN" w:eastAsia="zh-CN"/>
              </w:rPr>
              <w:t>须具有经会计师事务所审计2024年财务审计报告或银行资信证明；具有投标截止时间前近一年内任意一个月的依法缴纳税收和依法缴纳社会保障资金的良好记录证明材料</w:t>
            </w:r>
            <w:r>
              <w:rPr>
                <w:rFonts w:hint="eastAsia" w:ascii="宋体" w:hAnsi="宋体" w:eastAsia="宋体" w:cs="宋体"/>
                <w:color w:val="auto"/>
                <w:highlight w:val="none"/>
                <w:lang w:val="en-US" w:eastAsia="zh-CN"/>
              </w:rPr>
              <w:t>。</w:t>
            </w:r>
          </w:p>
          <w:p w14:paraId="129B37D0">
            <w:pPr>
              <w:keepNext w:val="0"/>
              <w:keepLines w:val="0"/>
              <w:pageBreakBefore w:val="0"/>
              <w:widowControl w:val="0"/>
              <w:kinsoku/>
              <w:wordWrap/>
              <w:overflowPunct/>
              <w:topLinePunct w:val="0"/>
              <w:autoSpaceDE/>
              <w:autoSpaceDN/>
              <w:bidi w:val="0"/>
              <w:adjustRightInd w:val="0"/>
              <w:snapToGrid w:val="0"/>
              <w:spacing w:line="288" w:lineRule="auto"/>
              <w:ind w:left="105" w:leftChars="50"/>
              <w:textAlignment w:val="auto"/>
              <w:rPr>
                <w:rFonts w:hint="eastAsia" w:ascii="宋体" w:hAnsi="宋体" w:eastAsia="宋体" w:cs="宋体"/>
                <w:bCs/>
                <w:color w:val="auto"/>
                <w:sz w:val="21"/>
                <w:szCs w:val="21"/>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信誉要求：①不接受被政府列入取消投标资格期限内的企业或个人参加投标。参加政府采购活动前3年内在经营活动中没有重大违法记录；②与</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lang w:val="zh-CN" w:eastAsia="zh-CN"/>
              </w:rPr>
              <w:t>存在利害关系可能影响招标公正性的法人、其他组织或者个人，不得参加投标。单位负责人为同一人或者存在控股、管理关系的不同单位，不得参加同一标段投标或者未划分标段的同一采购项目投标。违反这两款规定的，相关投标均无效；③本项目不接受被列入失信被执行人、重大税收违法案件当事人名单、政府采购严重违法失信行为记录名单的</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val="zh-CN" w:eastAsia="zh-CN"/>
              </w:rPr>
              <w:t>参与投标（详见财库[2016]125号文件）。</w:t>
            </w:r>
          </w:p>
        </w:tc>
      </w:tr>
      <w:tr w14:paraId="51072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7BFDB4BF">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58" w:type="dxa"/>
            <w:tcBorders>
              <w:top w:val="single" w:color="auto" w:sz="6" w:space="0"/>
              <w:bottom w:val="single" w:color="auto" w:sz="6" w:space="0"/>
            </w:tcBorders>
            <w:tcMar>
              <w:left w:w="0" w:type="dxa"/>
              <w:right w:w="0" w:type="dxa"/>
            </w:tcMar>
            <w:vAlign w:val="center"/>
          </w:tcPr>
          <w:p w14:paraId="724A3627">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是否接受联合体投标</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D207F40">
            <w:pPr>
              <w:keepNext w:val="0"/>
              <w:keepLines w:val="0"/>
              <w:pageBreakBefore w:val="0"/>
              <w:widowControl w:val="0"/>
              <w:kinsoku/>
              <w:wordWrap/>
              <w:overflowPunct/>
              <w:topLinePunct w:val="0"/>
              <w:bidi w:val="0"/>
              <w:spacing w:line="288" w:lineRule="auto"/>
              <w:ind w:left="105" w:leftChars="50" w:right="11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0C00D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28864C6A">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w:t>
            </w:r>
          </w:p>
        </w:tc>
        <w:tc>
          <w:tcPr>
            <w:tcW w:w="1958" w:type="dxa"/>
            <w:tcBorders>
              <w:top w:val="single" w:color="auto" w:sz="6" w:space="0"/>
              <w:bottom w:val="single" w:color="auto" w:sz="6" w:space="0"/>
            </w:tcBorders>
            <w:tcMar>
              <w:left w:w="0" w:type="dxa"/>
              <w:right w:w="0" w:type="dxa"/>
            </w:tcMar>
            <w:vAlign w:val="center"/>
          </w:tcPr>
          <w:p w14:paraId="70807C4E">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供应商提出问题的</w:t>
            </w:r>
          </w:p>
          <w:p w14:paraId="79D55349">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截止时间</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6B1D2E1E">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疑问的提出：</w:t>
            </w:r>
          </w:p>
          <w:p w14:paraId="1A7F2A4A">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提交疑问截止时间：</w:t>
            </w:r>
            <w:r>
              <w:rPr>
                <w:rFonts w:hint="eastAsia" w:ascii="宋体" w:hAnsi="宋体" w:eastAsia="宋体" w:cs="宋体"/>
                <w:color w:val="auto"/>
                <w:kern w:val="0"/>
                <w:sz w:val="21"/>
                <w:szCs w:val="21"/>
                <w:highlight w:val="none"/>
                <w:u w:val="single"/>
                <w:lang w:val="en-US" w:eastAsia="zh-CN"/>
              </w:rPr>
              <w:t>投标截止时间前</w:t>
            </w:r>
          </w:p>
          <w:p w14:paraId="22A05466">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提交地址：</w:t>
            </w:r>
            <w:r>
              <w:rPr>
                <w:rFonts w:hint="eastAsia" w:ascii="宋体" w:hAnsi="宋体" w:cs="宋体"/>
                <w:color w:val="auto"/>
                <w:kern w:val="0"/>
                <w:sz w:val="21"/>
                <w:szCs w:val="21"/>
                <w:highlight w:val="none"/>
                <w:lang w:eastAsia="zh-CN"/>
              </w:rPr>
              <w:t>吉林省森宏项目管理有限公司</w:t>
            </w:r>
            <w:r>
              <w:rPr>
                <w:rFonts w:hint="eastAsia" w:ascii="宋体" w:hAnsi="宋体" w:eastAsia="宋体" w:cs="宋体"/>
                <w:color w:val="auto"/>
                <w:kern w:val="0"/>
                <w:sz w:val="21"/>
                <w:szCs w:val="21"/>
                <w:highlight w:val="none"/>
              </w:rPr>
              <w:t>，同时将电子版word版发送到招标代理公司邮箱（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"mailto:SYZB9986@163.COM"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"mailto:JLZS9986@163.com" </w:instrText>
            </w:r>
            <w:r>
              <w:rPr>
                <w:rFonts w:hint="eastAsia" w:ascii="宋体" w:hAnsi="宋体" w:eastAsia="宋体" w:cs="宋体"/>
                <w:color w:val="auto"/>
                <w:highlight w:val="none"/>
              </w:rPr>
              <w:fldChar w:fldCharType="separate"/>
            </w:r>
            <w:r>
              <w:rPr>
                <w:rFonts w:hint="eastAsia" w:ascii="宋体" w:hAnsi="宋体" w:cs="宋体"/>
                <w:color w:val="auto"/>
                <w:kern w:val="0"/>
                <w:sz w:val="21"/>
                <w:szCs w:val="21"/>
                <w:highlight w:val="none"/>
                <w:lang w:eastAsia="zh-CN"/>
              </w:rPr>
              <w:t>jlsh9122@163.com</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 xml:space="preserve">）  </w:t>
            </w:r>
          </w:p>
          <w:p w14:paraId="518E925E">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郭成全</w:t>
            </w:r>
          </w:p>
          <w:p w14:paraId="138079F3">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cs="宋体"/>
                <w:bCs/>
                <w:color w:val="auto"/>
                <w:sz w:val="21"/>
                <w:szCs w:val="21"/>
                <w:highlight w:val="none"/>
                <w:lang w:eastAsia="zh-CN"/>
              </w:rPr>
              <w:t>18943936011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办公电话</w:t>
            </w:r>
            <w:r>
              <w:rPr>
                <w:rFonts w:hint="eastAsia" w:ascii="宋体" w:hAnsi="宋体" w:eastAsia="宋体" w:cs="宋体"/>
                <w:bCs/>
                <w:color w:val="auto"/>
                <w:sz w:val="21"/>
                <w:szCs w:val="21"/>
                <w:highlight w:val="none"/>
                <w:lang w:eastAsia="zh-CN"/>
              </w:rPr>
              <w:t>）</w:t>
            </w:r>
          </w:p>
          <w:p w14:paraId="536CC0DC">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用A4纸打印，一式五份，并加盖公章，格式见附页。</w:t>
            </w:r>
          </w:p>
          <w:p w14:paraId="38417C06">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若供应商未按规定提交，则视为其无疑问。</w:t>
            </w:r>
          </w:p>
        </w:tc>
      </w:tr>
      <w:tr w14:paraId="617424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832" w:type="dxa"/>
            <w:tcBorders>
              <w:top w:val="single" w:color="auto" w:sz="6" w:space="0"/>
              <w:left w:val="single" w:color="auto" w:sz="6" w:space="0"/>
              <w:bottom w:val="single" w:color="auto" w:sz="4" w:space="0"/>
            </w:tcBorders>
            <w:tcMar>
              <w:left w:w="0" w:type="dxa"/>
              <w:right w:w="0" w:type="dxa"/>
            </w:tcMar>
            <w:vAlign w:val="center"/>
          </w:tcPr>
          <w:p w14:paraId="4C07D70C">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958" w:type="dxa"/>
            <w:tcBorders>
              <w:top w:val="single" w:color="auto" w:sz="6" w:space="0"/>
              <w:bottom w:val="single" w:color="auto" w:sz="6" w:space="0"/>
            </w:tcBorders>
            <w:tcMar>
              <w:left w:w="0" w:type="dxa"/>
              <w:right w:w="0" w:type="dxa"/>
            </w:tcMar>
            <w:vAlign w:val="center"/>
          </w:tcPr>
          <w:p w14:paraId="63E3CDD8">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采购人书面澄清的</w:t>
            </w:r>
          </w:p>
          <w:p w14:paraId="51CDE2CF">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6CE3A882">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u w:val="single"/>
              </w:rPr>
            </w:pPr>
            <w:r>
              <w:rPr>
                <w:rFonts w:hint="eastAsia" w:hAnsi="宋体" w:cs="Times New Roman"/>
                <w:color w:val="auto"/>
                <w:kern w:val="2"/>
                <w:sz w:val="21"/>
                <w:szCs w:val="21"/>
                <w:highlight w:val="none"/>
              </w:rPr>
              <w:t>投标截止时间前</w:t>
            </w:r>
          </w:p>
        </w:tc>
      </w:tr>
      <w:tr w14:paraId="3CA11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32" w:type="dxa"/>
            <w:tcBorders>
              <w:top w:val="single" w:color="auto" w:sz="6" w:space="0"/>
              <w:left w:val="single" w:color="auto" w:sz="6" w:space="0"/>
              <w:bottom w:val="single" w:color="auto" w:sz="4" w:space="0"/>
            </w:tcBorders>
            <w:tcMar>
              <w:left w:w="0" w:type="dxa"/>
              <w:right w:w="0" w:type="dxa"/>
            </w:tcMar>
            <w:vAlign w:val="center"/>
          </w:tcPr>
          <w:p w14:paraId="7B1E35B0">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958" w:type="dxa"/>
            <w:tcBorders>
              <w:top w:val="single" w:color="auto" w:sz="6" w:space="0"/>
              <w:bottom w:val="single" w:color="auto" w:sz="6" w:space="0"/>
            </w:tcBorders>
            <w:tcMar>
              <w:left w:w="0" w:type="dxa"/>
              <w:right w:w="0" w:type="dxa"/>
            </w:tcMar>
            <w:vAlign w:val="center"/>
          </w:tcPr>
          <w:p w14:paraId="7F36505C">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21D51853">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7B77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32" w:type="dxa"/>
            <w:tcBorders>
              <w:top w:val="single" w:color="auto" w:sz="6" w:space="0"/>
              <w:left w:val="single" w:color="auto" w:sz="6" w:space="0"/>
              <w:bottom w:val="single" w:color="auto" w:sz="4" w:space="0"/>
            </w:tcBorders>
            <w:tcMar>
              <w:left w:w="0" w:type="dxa"/>
              <w:right w:w="0" w:type="dxa"/>
            </w:tcMar>
            <w:vAlign w:val="center"/>
          </w:tcPr>
          <w:p w14:paraId="281EFDEE">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958" w:type="dxa"/>
            <w:tcBorders>
              <w:top w:val="single" w:color="auto" w:sz="6" w:space="0"/>
              <w:bottom w:val="single" w:color="auto" w:sz="6" w:space="0"/>
            </w:tcBorders>
            <w:tcMar>
              <w:left w:w="0" w:type="dxa"/>
              <w:right w:w="0" w:type="dxa"/>
            </w:tcMar>
            <w:vAlign w:val="center"/>
          </w:tcPr>
          <w:p w14:paraId="5297D9FE">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6EAD5F48">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8C77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832" w:type="dxa"/>
            <w:tcBorders>
              <w:top w:val="single" w:color="auto" w:sz="6" w:space="0"/>
              <w:left w:val="single" w:color="auto" w:sz="6" w:space="0"/>
              <w:bottom w:val="single" w:color="auto" w:sz="4" w:space="0"/>
            </w:tcBorders>
            <w:tcMar>
              <w:left w:w="0" w:type="dxa"/>
              <w:right w:w="0" w:type="dxa"/>
            </w:tcMar>
            <w:vAlign w:val="center"/>
          </w:tcPr>
          <w:p w14:paraId="2FF54095">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958" w:type="dxa"/>
            <w:tcBorders>
              <w:top w:val="single" w:color="auto" w:sz="6" w:space="0"/>
              <w:bottom w:val="single" w:color="auto" w:sz="6" w:space="0"/>
            </w:tcBorders>
            <w:tcMar>
              <w:left w:w="0" w:type="dxa"/>
              <w:right w:w="0" w:type="dxa"/>
            </w:tcMar>
            <w:vAlign w:val="center"/>
          </w:tcPr>
          <w:p w14:paraId="5F180625">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构成</w:t>
            </w:r>
            <w:r>
              <w:rPr>
                <w:rFonts w:hint="eastAsia" w:ascii="宋体" w:hAnsi="宋体" w:eastAsia="宋体" w:cs="宋体"/>
                <w:color w:val="auto"/>
                <w:kern w:val="0"/>
                <w:sz w:val="21"/>
                <w:szCs w:val="21"/>
                <w:highlight w:val="none"/>
                <w:lang w:eastAsia="zh-CN"/>
              </w:rPr>
              <w:t>竞争性谈判</w:t>
            </w:r>
            <w:r>
              <w:rPr>
                <w:rFonts w:hint="eastAsia" w:ascii="宋体" w:hAnsi="宋体" w:eastAsia="宋体" w:cs="宋体"/>
                <w:color w:val="auto"/>
                <w:kern w:val="0"/>
                <w:sz w:val="21"/>
                <w:szCs w:val="21"/>
                <w:highlight w:val="none"/>
              </w:rPr>
              <w:t>文件的其他材料</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1BFB51B0">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r>
      <w:tr w14:paraId="7DF3B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32" w:type="dxa"/>
            <w:tcBorders>
              <w:top w:val="single" w:color="auto" w:sz="4" w:space="0"/>
              <w:left w:val="single" w:color="auto" w:sz="6" w:space="0"/>
              <w:bottom w:val="single" w:color="auto" w:sz="4" w:space="0"/>
            </w:tcBorders>
            <w:tcMar>
              <w:left w:w="0" w:type="dxa"/>
              <w:right w:w="0" w:type="dxa"/>
            </w:tcMar>
            <w:vAlign w:val="center"/>
          </w:tcPr>
          <w:p w14:paraId="6D95A798">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58" w:type="dxa"/>
            <w:tcBorders>
              <w:top w:val="single" w:color="auto" w:sz="6" w:space="0"/>
              <w:bottom w:val="single" w:color="auto" w:sz="6" w:space="0"/>
            </w:tcBorders>
            <w:tcMar>
              <w:left w:w="0" w:type="dxa"/>
              <w:right w:w="0" w:type="dxa"/>
            </w:tcMar>
            <w:vAlign w:val="center"/>
          </w:tcPr>
          <w:p w14:paraId="47C58635">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供应商确认收到</w:t>
            </w:r>
            <w:r>
              <w:rPr>
                <w:rFonts w:hint="eastAsia" w:ascii="宋体" w:hAnsi="宋体" w:eastAsia="宋体" w:cs="宋体"/>
                <w:color w:val="auto"/>
                <w:kern w:val="0"/>
                <w:sz w:val="21"/>
                <w:szCs w:val="21"/>
                <w:highlight w:val="none"/>
                <w:lang w:eastAsia="zh-CN"/>
              </w:rPr>
              <w:t>竞争性谈判</w:t>
            </w:r>
            <w:r>
              <w:rPr>
                <w:rFonts w:hint="eastAsia" w:ascii="宋体" w:hAnsi="宋体" w:eastAsia="宋体" w:cs="宋体"/>
                <w:color w:val="auto"/>
                <w:kern w:val="0"/>
                <w:sz w:val="21"/>
                <w:szCs w:val="21"/>
                <w:highlight w:val="none"/>
              </w:rPr>
              <w:t>文件</w:t>
            </w:r>
            <w:r>
              <w:rPr>
                <w:rFonts w:hint="eastAsia" w:ascii="宋体" w:hAnsi="宋体" w:eastAsia="宋体" w:cs="宋体"/>
                <w:bCs/>
                <w:color w:val="auto"/>
                <w:sz w:val="21"/>
                <w:szCs w:val="21"/>
                <w:highlight w:val="none"/>
                <w:lang w:val="zh-CN"/>
              </w:rPr>
              <w:t>澄清的时间</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68D76882">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highlight w:val="none"/>
              </w:rPr>
              <w:t>在收到相应澄清文件后</w:t>
            </w:r>
            <w:r>
              <w:rPr>
                <w:rFonts w:hint="eastAsia" w:ascii="宋体" w:hAnsi="宋体" w:eastAsia="宋体" w:cs="宋体"/>
                <w:color w:val="auto"/>
                <w:sz w:val="21"/>
                <w:highlight w:val="none"/>
                <w:u w:val="single"/>
              </w:rPr>
              <w:t xml:space="preserve"> 24 </w:t>
            </w:r>
            <w:r>
              <w:rPr>
                <w:rFonts w:hint="eastAsia" w:ascii="宋体" w:hAnsi="宋体" w:eastAsia="宋体" w:cs="宋体"/>
                <w:color w:val="auto"/>
                <w:sz w:val="21"/>
                <w:highlight w:val="none"/>
              </w:rPr>
              <w:t>小时内</w:t>
            </w:r>
          </w:p>
        </w:tc>
      </w:tr>
      <w:tr w14:paraId="0BAD1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32" w:type="dxa"/>
            <w:tcBorders>
              <w:top w:val="single" w:color="auto" w:sz="4" w:space="0"/>
              <w:left w:val="single" w:color="auto" w:sz="6" w:space="0"/>
            </w:tcBorders>
            <w:tcMar>
              <w:left w:w="0" w:type="dxa"/>
              <w:right w:w="0" w:type="dxa"/>
            </w:tcMar>
            <w:vAlign w:val="center"/>
          </w:tcPr>
          <w:p w14:paraId="0BD3295C">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58" w:type="dxa"/>
            <w:tcBorders>
              <w:top w:val="single" w:color="auto" w:sz="6" w:space="0"/>
            </w:tcBorders>
            <w:tcMar>
              <w:left w:w="0" w:type="dxa"/>
              <w:right w:w="0" w:type="dxa"/>
            </w:tcMar>
            <w:vAlign w:val="center"/>
          </w:tcPr>
          <w:p w14:paraId="7FC52150">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供应商确认收到</w:t>
            </w:r>
            <w:r>
              <w:rPr>
                <w:rFonts w:hint="eastAsia" w:ascii="宋体" w:hAnsi="宋体" w:eastAsia="宋体" w:cs="宋体"/>
                <w:color w:val="auto"/>
                <w:kern w:val="0"/>
                <w:sz w:val="21"/>
                <w:szCs w:val="21"/>
                <w:highlight w:val="none"/>
                <w:lang w:eastAsia="zh-CN"/>
              </w:rPr>
              <w:t>竞争性谈判</w:t>
            </w:r>
            <w:r>
              <w:rPr>
                <w:rFonts w:hint="eastAsia" w:ascii="宋体" w:hAnsi="宋体" w:eastAsia="宋体" w:cs="宋体"/>
                <w:color w:val="auto"/>
                <w:kern w:val="0"/>
                <w:sz w:val="21"/>
                <w:szCs w:val="21"/>
                <w:highlight w:val="none"/>
              </w:rPr>
              <w:t>文件</w:t>
            </w:r>
            <w:r>
              <w:rPr>
                <w:rFonts w:hint="eastAsia" w:ascii="宋体" w:hAnsi="宋体" w:eastAsia="宋体" w:cs="宋体"/>
                <w:bCs/>
                <w:color w:val="auto"/>
                <w:sz w:val="21"/>
                <w:szCs w:val="21"/>
                <w:highlight w:val="none"/>
                <w:lang w:val="zh-CN"/>
              </w:rPr>
              <w:t>修改内容的时间</w:t>
            </w:r>
          </w:p>
        </w:tc>
        <w:tc>
          <w:tcPr>
            <w:tcW w:w="6989" w:type="dxa"/>
            <w:tcBorders>
              <w:top w:val="single" w:color="auto" w:sz="6" w:space="0"/>
              <w:right w:val="single" w:color="auto" w:sz="6" w:space="0"/>
            </w:tcBorders>
            <w:tcMar>
              <w:left w:w="0" w:type="dxa"/>
              <w:right w:w="0" w:type="dxa"/>
            </w:tcMar>
            <w:vAlign w:val="center"/>
          </w:tcPr>
          <w:p w14:paraId="1255F161">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highlight w:val="none"/>
              </w:rPr>
              <w:t>在收到相应修改文件后</w:t>
            </w:r>
            <w:r>
              <w:rPr>
                <w:rFonts w:hint="eastAsia" w:ascii="宋体" w:hAnsi="宋体" w:eastAsia="宋体" w:cs="宋体"/>
                <w:color w:val="auto"/>
                <w:sz w:val="21"/>
                <w:highlight w:val="none"/>
                <w:u w:val="single"/>
              </w:rPr>
              <w:t xml:space="preserve"> 24 </w:t>
            </w:r>
            <w:r>
              <w:rPr>
                <w:rFonts w:hint="eastAsia" w:ascii="宋体" w:hAnsi="宋体" w:eastAsia="宋体" w:cs="宋体"/>
                <w:color w:val="auto"/>
                <w:sz w:val="21"/>
                <w:highlight w:val="none"/>
              </w:rPr>
              <w:t>小时内</w:t>
            </w:r>
          </w:p>
        </w:tc>
      </w:tr>
      <w:tr w14:paraId="6F56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832" w:type="dxa"/>
            <w:tcBorders>
              <w:top w:val="single" w:color="auto" w:sz="4" w:space="0"/>
              <w:left w:val="single" w:color="auto" w:sz="6" w:space="0"/>
            </w:tcBorders>
            <w:tcMar>
              <w:left w:w="0" w:type="dxa"/>
              <w:right w:w="0" w:type="dxa"/>
            </w:tcMar>
            <w:vAlign w:val="center"/>
          </w:tcPr>
          <w:p w14:paraId="32F805E0">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58" w:type="dxa"/>
            <w:tcBorders>
              <w:top w:val="single" w:color="auto" w:sz="6" w:space="0"/>
            </w:tcBorders>
            <w:tcMar>
              <w:left w:w="0" w:type="dxa"/>
              <w:right w:w="0" w:type="dxa"/>
            </w:tcMar>
            <w:vAlign w:val="center"/>
          </w:tcPr>
          <w:p w14:paraId="5F21C136">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989" w:type="dxa"/>
            <w:tcBorders>
              <w:top w:val="single" w:color="auto" w:sz="6" w:space="0"/>
              <w:right w:val="single" w:color="auto" w:sz="6" w:space="0"/>
            </w:tcBorders>
            <w:tcMar>
              <w:left w:w="0" w:type="dxa"/>
              <w:right w:w="0" w:type="dxa"/>
            </w:tcMar>
            <w:vAlign w:val="center"/>
          </w:tcPr>
          <w:p w14:paraId="61CB67EE">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sz w:val="21"/>
                <w:szCs w:val="22"/>
                <w:highlight w:val="none"/>
                <w:lang w:eastAsia="zh-CN"/>
              </w:rPr>
            </w:pPr>
            <w:r>
              <w:rPr>
                <w:rFonts w:hint="eastAsia" w:ascii="宋体" w:hAnsi="宋体" w:eastAsia="宋体" w:cs="宋体"/>
                <w:color w:val="auto"/>
                <w:kern w:val="0"/>
                <w:sz w:val="21"/>
                <w:szCs w:val="21"/>
                <w:highlight w:val="none"/>
                <w:lang w:val="en-US" w:eastAsia="zh-CN"/>
              </w:rPr>
              <w:t>/</w:t>
            </w:r>
          </w:p>
        </w:tc>
      </w:tr>
      <w:tr w14:paraId="17DF2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832" w:type="dxa"/>
            <w:tcBorders>
              <w:top w:val="single" w:color="auto" w:sz="4" w:space="0"/>
              <w:left w:val="single" w:color="auto" w:sz="6" w:space="0"/>
            </w:tcBorders>
            <w:tcMar>
              <w:left w:w="0" w:type="dxa"/>
              <w:right w:w="0" w:type="dxa"/>
            </w:tcMar>
            <w:vAlign w:val="center"/>
          </w:tcPr>
          <w:p w14:paraId="115E71DF">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w:t>
            </w:r>
          </w:p>
        </w:tc>
        <w:tc>
          <w:tcPr>
            <w:tcW w:w="1958" w:type="dxa"/>
            <w:tcBorders>
              <w:top w:val="single" w:color="auto" w:sz="6" w:space="0"/>
            </w:tcBorders>
            <w:tcMar>
              <w:left w:w="0" w:type="dxa"/>
              <w:right w:w="0" w:type="dxa"/>
            </w:tcMar>
            <w:vAlign w:val="center"/>
          </w:tcPr>
          <w:p w14:paraId="197B2302">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预算金额</w:t>
            </w:r>
          </w:p>
        </w:tc>
        <w:tc>
          <w:tcPr>
            <w:tcW w:w="6989" w:type="dxa"/>
            <w:tcBorders>
              <w:top w:val="single" w:color="auto" w:sz="6" w:space="0"/>
              <w:right w:val="single" w:color="auto" w:sz="6" w:space="0"/>
            </w:tcBorders>
            <w:tcMar>
              <w:left w:w="0" w:type="dxa"/>
              <w:right w:w="0" w:type="dxa"/>
            </w:tcMar>
            <w:vAlign w:val="center"/>
          </w:tcPr>
          <w:p w14:paraId="70355274">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b w:val="0"/>
                <w:bCs w:val="0"/>
                <w:color w:val="auto"/>
                <w:sz w:val="21"/>
                <w:szCs w:val="16"/>
                <w:highlight w:val="none"/>
                <w:lang w:val="en-US" w:eastAsia="zh-CN"/>
              </w:rPr>
            </w:pPr>
            <w:r>
              <w:rPr>
                <w:rFonts w:hint="eastAsia" w:ascii="宋体" w:hAnsi="宋体" w:cs="宋体"/>
                <w:color w:val="auto"/>
                <w:szCs w:val="21"/>
                <w:highlight w:val="none"/>
                <w:lang w:val="en-US" w:eastAsia="zh-CN"/>
              </w:rPr>
              <w:t>54.00万</w:t>
            </w:r>
            <w:r>
              <w:rPr>
                <w:rFonts w:hint="eastAsia" w:ascii="宋体" w:hAnsi="宋体" w:eastAsia="宋体" w:cs="宋体"/>
                <w:b w:val="0"/>
                <w:bCs w:val="0"/>
                <w:color w:val="auto"/>
                <w:sz w:val="21"/>
                <w:szCs w:val="16"/>
                <w:highlight w:val="none"/>
                <w:lang w:val="en-US" w:eastAsia="zh-CN"/>
              </w:rPr>
              <w:t>元，</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b w:val="0"/>
                <w:bCs w:val="0"/>
                <w:color w:val="auto"/>
                <w:szCs w:val="21"/>
                <w:highlight w:val="none"/>
              </w:rPr>
              <w:t>报价不得超过</w:t>
            </w:r>
            <w:r>
              <w:rPr>
                <w:rFonts w:hint="eastAsia" w:ascii="宋体" w:hAnsi="宋体" w:eastAsia="宋体" w:cs="宋体"/>
                <w:b w:val="0"/>
                <w:bCs w:val="0"/>
                <w:color w:val="auto"/>
                <w:szCs w:val="21"/>
                <w:highlight w:val="none"/>
                <w:lang w:val="en-US" w:eastAsia="zh-CN"/>
              </w:rPr>
              <w:t>预算金额</w:t>
            </w:r>
            <w:r>
              <w:rPr>
                <w:rFonts w:hint="eastAsia" w:ascii="宋体" w:hAnsi="宋体" w:eastAsia="宋体" w:cs="宋体"/>
                <w:b w:val="0"/>
                <w:bCs w:val="0"/>
                <w:color w:val="auto"/>
                <w:sz w:val="21"/>
                <w:szCs w:val="16"/>
                <w:highlight w:val="none"/>
                <w:lang w:val="en-US" w:eastAsia="zh-CN"/>
              </w:rPr>
              <w:t>。</w:t>
            </w:r>
          </w:p>
          <w:p w14:paraId="351B3805">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b w:val="0"/>
                <w:bCs w:val="0"/>
                <w:color w:val="auto"/>
                <w:sz w:val="21"/>
                <w:szCs w:val="16"/>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kern w:val="0"/>
                <w:sz w:val="21"/>
                <w:szCs w:val="21"/>
                <w:highlight w:val="none"/>
                <w:shd w:val="clear" w:color="auto" w:fill="auto"/>
                <w:lang w:val="en-US" w:eastAsia="zh-CN"/>
              </w:rPr>
              <w:t>投标人的投标报价异常低价的，根据《关于推动解决政府采购异常低价问题的通知》财库〔2026〕2号规定，启动异常低价投标（响应）审查程序。</w:t>
            </w:r>
          </w:p>
        </w:tc>
      </w:tr>
      <w:tr w14:paraId="0297D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69DAA8E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958" w:type="dxa"/>
            <w:tcBorders>
              <w:top w:val="single" w:color="auto" w:sz="6" w:space="0"/>
              <w:bottom w:val="single" w:color="auto" w:sz="6" w:space="0"/>
            </w:tcBorders>
            <w:tcMar>
              <w:left w:w="0" w:type="dxa"/>
              <w:right w:w="0" w:type="dxa"/>
            </w:tcMar>
            <w:vAlign w:val="center"/>
          </w:tcPr>
          <w:p w14:paraId="791DB024">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报价有效期</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21138A77">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90</w:t>
            </w:r>
            <w:r>
              <w:rPr>
                <w:rFonts w:hint="eastAsia" w:ascii="宋体" w:hAnsi="宋体" w:eastAsia="宋体" w:cs="宋体"/>
                <w:bCs/>
                <w:color w:val="auto"/>
                <w:sz w:val="21"/>
                <w:szCs w:val="21"/>
                <w:highlight w:val="none"/>
                <w:lang w:val="zh-CN"/>
              </w:rPr>
              <w:t>日</w:t>
            </w:r>
          </w:p>
        </w:tc>
      </w:tr>
      <w:tr w14:paraId="73B85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5B4346B6">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1958" w:type="dxa"/>
            <w:tcBorders>
              <w:top w:val="single" w:color="auto" w:sz="6" w:space="0"/>
              <w:bottom w:val="single" w:color="auto" w:sz="6" w:space="0"/>
            </w:tcBorders>
            <w:tcMar>
              <w:left w:w="0" w:type="dxa"/>
              <w:right w:w="0" w:type="dxa"/>
            </w:tcMar>
            <w:vAlign w:val="center"/>
          </w:tcPr>
          <w:p w14:paraId="282189BA">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保证金</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092B9C8E">
            <w:pPr>
              <w:keepNext w:val="0"/>
              <w:keepLines w:val="0"/>
              <w:pageBreakBefore w:val="0"/>
              <w:widowControl w:val="0"/>
              <w:kinsoku/>
              <w:wordWrap/>
              <w:overflowPunct/>
              <w:topLinePunct w:val="0"/>
              <w:bidi w:val="0"/>
              <w:adjustRightInd w:val="0"/>
              <w:snapToGrid w:val="0"/>
              <w:spacing w:line="288" w:lineRule="auto"/>
              <w:ind w:left="105" w:leftChars="5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4B461D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17DD0977">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958" w:type="dxa"/>
            <w:tcBorders>
              <w:top w:val="single" w:color="auto" w:sz="6" w:space="0"/>
              <w:bottom w:val="single" w:color="auto" w:sz="6" w:space="0"/>
            </w:tcBorders>
            <w:tcMar>
              <w:left w:w="0" w:type="dxa"/>
              <w:right w:w="0" w:type="dxa"/>
            </w:tcMar>
            <w:vAlign w:val="center"/>
          </w:tcPr>
          <w:p w14:paraId="1B9B1386">
            <w:pPr>
              <w:keepNext w:val="0"/>
              <w:keepLines w:val="0"/>
              <w:pageBreakBefore w:val="0"/>
              <w:widowControl w:val="0"/>
              <w:kinsoku/>
              <w:wordWrap/>
              <w:overflowPunct/>
              <w:topLinePunct w:val="0"/>
              <w:bidi w:val="0"/>
              <w:spacing w:line="288" w:lineRule="auto"/>
              <w:ind w:left="105" w:left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近年财务状况的年份要求</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53092EAE">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highlight w:val="none"/>
                <w:u w:val="none"/>
              </w:rPr>
              <w:t>20</w:t>
            </w:r>
            <w:r>
              <w:rPr>
                <w:rFonts w:hint="eastAsia" w:ascii="宋体" w:hAnsi="宋体" w:cs="宋体"/>
                <w:color w:val="auto"/>
                <w:highlight w:val="none"/>
                <w:u w:val="none"/>
                <w:lang w:val="en-US" w:eastAsia="zh-CN"/>
              </w:rPr>
              <w:t>24</w:t>
            </w:r>
            <w:r>
              <w:rPr>
                <w:rFonts w:hint="eastAsia" w:ascii="宋体" w:hAnsi="宋体" w:eastAsia="宋体" w:cs="宋体"/>
                <w:color w:val="auto"/>
                <w:highlight w:val="none"/>
                <w:u w:val="none"/>
              </w:rPr>
              <w:t>年1月1日</w:t>
            </w:r>
            <w:r>
              <w:rPr>
                <w:rFonts w:hint="eastAsia" w:ascii="宋体" w:hAnsi="宋体" w:cs="宋体"/>
                <w:color w:val="auto"/>
                <w:highlight w:val="none"/>
                <w:u w:val="none"/>
                <w:lang w:val="en-US" w:eastAsia="zh-CN"/>
              </w:rPr>
              <w:t>至今</w:t>
            </w:r>
          </w:p>
        </w:tc>
      </w:tr>
      <w:tr w14:paraId="07CFF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832" w:type="dxa"/>
            <w:tcBorders>
              <w:top w:val="single" w:color="auto" w:sz="6" w:space="0"/>
              <w:left w:val="single" w:color="auto" w:sz="6" w:space="0"/>
              <w:bottom w:val="single" w:color="auto" w:sz="4" w:space="0"/>
            </w:tcBorders>
            <w:tcMar>
              <w:left w:w="0" w:type="dxa"/>
              <w:right w:w="0" w:type="dxa"/>
            </w:tcMar>
            <w:vAlign w:val="center"/>
          </w:tcPr>
          <w:p w14:paraId="6C54D9BB">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958" w:type="dxa"/>
            <w:tcBorders>
              <w:top w:val="single" w:color="auto" w:sz="6" w:space="0"/>
              <w:bottom w:val="single" w:color="auto" w:sz="6" w:space="0"/>
            </w:tcBorders>
            <w:tcMar>
              <w:left w:w="0" w:type="dxa"/>
              <w:right w:w="0" w:type="dxa"/>
            </w:tcMar>
            <w:vAlign w:val="center"/>
          </w:tcPr>
          <w:p w14:paraId="36FE504A">
            <w:pPr>
              <w:keepNext w:val="0"/>
              <w:keepLines w:val="0"/>
              <w:pageBreakBefore w:val="0"/>
              <w:widowControl w:val="0"/>
              <w:kinsoku/>
              <w:wordWrap/>
              <w:overflowPunct/>
              <w:topLinePunct w:val="0"/>
              <w:bidi w:val="0"/>
              <w:spacing w:line="288" w:lineRule="auto"/>
              <w:ind w:left="105" w:left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近年类似业绩的年份要求</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04EB7EE2">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u w:val="none"/>
              </w:rPr>
              <w:t>20</w:t>
            </w:r>
            <w:r>
              <w:rPr>
                <w:rFonts w:hint="eastAsia" w:ascii="宋体" w:hAnsi="宋体" w:cs="宋体"/>
                <w:color w:val="auto"/>
                <w:highlight w:val="none"/>
                <w:u w:val="none"/>
                <w:lang w:val="en-US" w:eastAsia="zh-CN"/>
              </w:rPr>
              <w:t>23</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4</w:t>
            </w:r>
            <w:r>
              <w:rPr>
                <w:rFonts w:hint="eastAsia" w:ascii="宋体" w:hAnsi="宋体" w:eastAsia="宋体" w:cs="宋体"/>
                <w:color w:val="auto"/>
                <w:highlight w:val="none"/>
                <w:u w:val="none"/>
              </w:rPr>
              <w:t>月1日</w:t>
            </w:r>
            <w:r>
              <w:rPr>
                <w:rFonts w:hint="eastAsia" w:ascii="宋体" w:hAnsi="宋体" w:cs="宋体"/>
                <w:color w:val="auto"/>
                <w:highlight w:val="none"/>
                <w:u w:val="none"/>
                <w:lang w:val="en-US" w:eastAsia="zh-CN"/>
              </w:rPr>
              <w:t>至今</w:t>
            </w:r>
          </w:p>
        </w:tc>
      </w:tr>
      <w:tr w14:paraId="078E44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832" w:type="dxa"/>
            <w:tcBorders>
              <w:top w:val="single" w:color="auto" w:sz="4" w:space="0"/>
              <w:left w:val="single" w:color="auto" w:sz="6" w:space="0"/>
              <w:bottom w:val="single" w:color="auto" w:sz="6" w:space="0"/>
            </w:tcBorders>
            <w:tcMar>
              <w:left w:w="0" w:type="dxa"/>
              <w:right w:w="0" w:type="dxa"/>
            </w:tcMar>
            <w:vAlign w:val="center"/>
          </w:tcPr>
          <w:p w14:paraId="73F91BDD">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958" w:type="dxa"/>
            <w:tcBorders>
              <w:top w:val="single" w:color="auto" w:sz="6" w:space="0"/>
              <w:bottom w:val="single" w:color="auto" w:sz="6" w:space="0"/>
            </w:tcBorders>
            <w:tcMar>
              <w:left w:w="0" w:type="dxa"/>
              <w:right w:w="0" w:type="dxa"/>
            </w:tcMar>
            <w:vAlign w:val="center"/>
          </w:tcPr>
          <w:p w14:paraId="15766B55">
            <w:pPr>
              <w:keepNext w:val="0"/>
              <w:keepLines w:val="0"/>
              <w:pageBreakBefore w:val="0"/>
              <w:widowControl w:val="0"/>
              <w:kinsoku/>
              <w:wordWrap/>
              <w:overflowPunct/>
              <w:topLinePunct w:val="0"/>
              <w:bidi w:val="0"/>
              <w:spacing w:line="288" w:lineRule="auto"/>
              <w:ind w:left="105" w:lef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p>
          <w:p w14:paraId="2F9340F2">
            <w:pPr>
              <w:keepNext w:val="0"/>
              <w:keepLines w:val="0"/>
              <w:pageBreakBefore w:val="0"/>
              <w:widowControl w:val="0"/>
              <w:kinsoku/>
              <w:wordWrap/>
              <w:overflowPunct/>
              <w:topLinePunct w:val="0"/>
              <w:bidi w:val="0"/>
              <w:spacing w:line="288" w:lineRule="auto"/>
              <w:ind w:left="105" w:left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投标方案</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65794B17">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w:t>
            </w:r>
          </w:p>
        </w:tc>
      </w:tr>
      <w:tr w14:paraId="23FC9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01586B77">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p>
        </w:tc>
        <w:tc>
          <w:tcPr>
            <w:tcW w:w="1958" w:type="dxa"/>
            <w:tcBorders>
              <w:top w:val="single" w:color="auto" w:sz="6" w:space="0"/>
              <w:bottom w:val="single" w:color="auto" w:sz="6" w:space="0"/>
            </w:tcBorders>
            <w:tcMar>
              <w:left w:w="0" w:type="dxa"/>
              <w:right w:w="0" w:type="dxa"/>
            </w:tcMar>
            <w:vAlign w:val="center"/>
          </w:tcPr>
          <w:p w14:paraId="1E1FE54A">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签字或盖章要求</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5F2E401F">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w:t>
            </w:r>
            <w:r>
              <w:rPr>
                <w:rFonts w:hint="eastAsia" w:ascii="宋体" w:hAnsi="宋体" w:eastAsia="宋体" w:cs="宋体"/>
                <w:color w:val="auto"/>
                <w:kern w:val="0"/>
                <w:sz w:val="21"/>
                <w:szCs w:val="21"/>
                <w:highlight w:val="none"/>
                <w:lang w:eastAsia="zh-CN"/>
              </w:rPr>
              <w:t>竞争性谈判</w:t>
            </w:r>
            <w:r>
              <w:rPr>
                <w:rFonts w:hint="eastAsia" w:ascii="宋体" w:hAnsi="宋体" w:eastAsia="宋体" w:cs="宋体"/>
                <w:color w:val="auto"/>
                <w:sz w:val="21"/>
                <w:szCs w:val="21"/>
                <w:highlight w:val="none"/>
              </w:rPr>
              <w:t>文件中提供的格式及要求填写</w:t>
            </w:r>
          </w:p>
        </w:tc>
      </w:tr>
      <w:tr w14:paraId="57F70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4523D0F5">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p>
        </w:tc>
        <w:tc>
          <w:tcPr>
            <w:tcW w:w="1958" w:type="dxa"/>
            <w:tcBorders>
              <w:top w:val="single" w:color="auto" w:sz="6" w:space="0"/>
              <w:bottom w:val="single" w:color="auto" w:sz="6" w:space="0"/>
            </w:tcBorders>
            <w:tcMar>
              <w:left w:w="0" w:type="dxa"/>
              <w:right w:w="0" w:type="dxa"/>
            </w:tcMar>
            <w:vAlign w:val="center"/>
          </w:tcPr>
          <w:p w14:paraId="3461BC92">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响应文件份数</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5A897BC0">
            <w:pPr>
              <w:keepNext w:val="0"/>
              <w:keepLines w:val="0"/>
              <w:pageBreakBefore w:val="0"/>
              <w:widowControl w:val="0"/>
              <w:kinsoku/>
              <w:wordWrap/>
              <w:overflowPunct/>
              <w:topLinePunct w:val="0"/>
              <w:bidi w:val="0"/>
              <w:spacing w:line="288" w:lineRule="auto"/>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lang w:val="zh-CN"/>
              </w:rPr>
              <w:t>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政采云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平台</w:t>
            </w:r>
            <w:r>
              <w:rPr>
                <w:rFonts w:hint="eastAsia" w:ascii="宋体" w:hAnsi="宋体" w:cs="宋体"/>
                <w:color w:val="auto"/>
                <w:kern w:val="0"/>
                <w:szCs w:val="21"/>
                <w:highlight w:val="none"/>
              </w:rPr>
              <w:t>（http：//www.zcygov.cn）</w:t>
            </w:r>
            <w:r>
              <w:rPr>
                <w:rFonts w:hint="eastAsia" w:ascii="宋体" w:hAnsi="宋体" w:cs="宋体"/>
                <w:color w:val="auto"/>
                <w:kern w:val="0"/>
                <w:szCs w:val="21"/>
                <w:highlight w:val="none"/>
                <w:lang w:val="zh-CN"/>
              </w:rPr>
              <w:t>上制作</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lang w:val="zh-CN"/>
              </w:rPr>
              <w:t>文件一份</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lang w:val="zh-CN"/>
              </w:rPr>
              <w:t>文件须上传至</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政采云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 xml:space="preserve"> </w:t>
            </w:r>
          </w:p>
        </w:tc>
      </w:tr>
      <w:tr w14:paraId="21437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07FC4EB3">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p>
        </w:tc>
        <w:tc>
          <w:tcPr>
            <w:tcW w:w="1958" w:type="dxa"/>
            <w:tcBorders>
              <w:top w:val="single" w:color="auto" w:sz="6" w:space="0"/>
              <w:bottom w:val="single" w:color="auto" w:sz="6" w:space="0"/>
            </w:tcBorders>
            <w:tcMar>
              <w:left w:w="0" w:type="dxa"/>
              <w:right w:w="0" w:type="dxa"/>
            </w:tcMar>
            <w:vAlign w:val="center"/>
          </w:tcPr>
          <w:p w14:paraId="2540DC97">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装订要求</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73062BC1">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w:t>
            </w:r>
          </w:p>
        </w:tc>
      </w:tr>
      <w:tr w14:paraId="73FB2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124B96EB">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p>
        </w:tc>
        <w:tc>
          <w:tcPr>
            <w:tcW w:w="1958" w:type="dxa"/>
            <w:tcBorders>
              <w:top w:val="single" w:color="auto" w:sz="6" w:space="0"/>
              <w:bottom w:val="single" w:color="auto" w:sz="6" w:space="0"/>
            </w:tcBorders>
            <w:tcMar>
              <w:left w:w="0" w:type="dxa"/>
              <w:right w:w="0" w:type="dxa"/>
            </w:tcMar>
            <w:vAlign w:val="center"/>
          </w:tcPr>
          <w:p w14:paraId="4754F2FA">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封套上写明</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2D3770C6">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bCs/>
                <w:color w:val="auto"/>
                <w:kern w:val="2"/>
                <w:sz w:val="21"/>
                <w:szCs w:val="21"/>
                <w:highlight w:val="none"/>
                <w:u w:val="single"/>
                <w:lang w:val="zh-CN" w:eastAsia="zh-CN" w:bidi="ar-SA"/>
              </w:rPr>
            </w:pPr>
            <w:r>
              <w:rPr>
                <w:rFonts w:hint="eastAsia" w:ascii="宋体" w:hAnsi="宋体" w:cs="宋体"/>
                <w:color w:val="auto"/>
                <w:kern w:val="0"/>
                <w:sz w:val="21"/>
                <w:szCs w:val="21"/>
                <w:highlight w:val="none"/>
                <w:lang w:val="en-US" w:eastAsia="zh-CN"/>
              </w:rPr>
              <w:t>/</w:t>
            </w:r>
          </w:p>
        </w:tc>
      </w:tr>
      <w:tr w14:paraId="71101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4B01E06B">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1958" w:type="dxa"/>
            <w:tcBorders>
              <w:top w:val="single" w:color="auto" w:sz="6" w:space="0"/>
              <w:bottom w:val="single" w:color="auto" w:sz="6" w:space="0"/>
            </w:tcBorders>
            <w:tcMar>
              <w:left w:w="0" w:type="dxa"/>
              <w:right w:w="0" w:type="dxa"/>
            </w:tcMar>
            <w:vAlign w:val="center"/>
          </w:tcPr>
          <w:p w14:paraId="5AEE1E38">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递交响应文件</w:t>
            </w:r>
          </w:p>
          <w:p w14:paraId="6628463B">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截止时间</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05A0A514">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2026年4月24日9时00分</w:t>
            </w:r>
          </w:p>
        </w:tc>
      </w:tr>
      <w:tr w14:paraId="18E22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5A6BE597">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p>
        </w:tc>
        <w:tc>
          <w:tcPr>
            <w:tcW w:w="1958" w:type="dxa"/>
            <w:tcBorders>
              <w:top w:val="single" w:color="auto" w:sz="6" w:space="0"/>
              <w:bottom w:val="single" w:color="auto" w:sz="6" w:space="0"/>
            </w:tcBorders>
            <w:tcMar>
              <w:left w:w="0" w:type="dxa"/>
              <w:right w:w="0" w:type="dxa"/>
            </w:tcMar>
            <w:vAlign w:val="center"/>
          </w:tcPr>
          <w:p w14:paraId="026B77F2">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递交响应文件地点</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54A63086">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zh-CN"/>
              </w:rPr>
              <w:t>“政采云”平台</w:t>
            </w:r>
          </w:p>
        </w:tc>
      </w:tr>
      <w:tr w14:paraId="37CA8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3DFF856D">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p>
        </w:tc>
        <w:tc>
          <w:tcPr>
            <w:tcW w:w="1958" w:type="dxa"/>
            <w:tcBorders>
              <w:top w:val="single" w:color="auto" w:sz="6" w:space="0"/>
              <w:bottom w:val="single" w:color="auto" w:sz="6" w:space="0"/>
            </w:tcBorders>
            <w:tcMar>
              <w:left w:w="0" w:type="dxa"/>
              <w:right w:w="0" w:type="dxa"/>
            </w:tcMar>
            <w:vAlign w:val="center"/>
          </w:tcPr>
          <w:p w14:paraId="4759DC9E">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是否退还响应文件</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698B7EC4">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否</w:t>
            </w:r>
          </w:p>
        </w:tc>
      </w:tr>
      <w:tr w14:paraId="3D163D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1A57FA0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958" w:type="dxa"/>
            <w:tcBorders>
              <w:top w:val="single" w:color="auto" w:sz="6" w:space="0"/>
              <w:bottom w:val="single" w:color="auto" w:sz="6" w:space="0"/>
            </w:tcBorders>
            <w:tcMar>
              <w:left w:w="0" w:type="dxa"/>
              <w:right w:w="0" w:type="dxa"/>
            </w:tcMar>
            <w:vAlign w:val="center"/>
          </w:tcPr>
          <w:p w14:paraId="10275F37">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开启时间和地点</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27C46816">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开标时间：</w:t>
            </w:r>
            <w:r>
              <w:rPr>
                <w:rFonts w:hint="eastAsia" w:ascii="宋体" w:hAnsi="宋体" w:cs="宋体"/>
                <w:bCs/>
                <w:color w:val="auto"/>
                <w:szCs w:val="21"/>
                <w:highlight w:val="none"/>
                <w:u w:val="single"/>
                <w:lang w:val="zh-CN"/>
              </w:rPr>
              <w:t>同投标截止时间</w:t>
            </w:r>
          </w:p>
          <w:p w14:paraId="5E27C759">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rPr>
              <w:t>开标地点：</w:t>
            </w:r>
            <w:r>
              <w:rPr>
                <w:rFonts w:hint="eastAsia" w:ascii="宋体" w:hAnsi="宋体" w:cs="宋体"/>
                <w:color w:val="auto"/>
                <w:kern w:val="0"/>
                <w:szCs w:val="21"/>
                <w:highlight w:val="none"/>
                <w:u w:val="single"/>
              </w:rPr>
              <w:t>前郭尔罗斯蒙古族自治县政务服务运行保障中心4楼第一开标室（松原市前郭县哈达大街与源江东路交汇金福名居综合楼）</w:t>
            </w:r>
          </w:p>
        </w:tc>
      </w:tr>
      <w:tr w14:paraId="4DE8A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12C25ACE">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33</w:t>
            </w:r>
          </w:p>
        </w:tc>
        <w:tc>
          <w:tcPr>
            <w:tcW w:w="1958" w:type="dxa"/>
            <w:tcBorders>
              <w:top w:val="single" w:color="auto" w:sz="6" w:space="0"/>
              <w:bottom w:val="single" w:color="auto" w:sz="6" w:space="0"/>
            </w:tcBorders>
            <w:tcMar>
              <w:left w:w="0" w:type="dxa"/>
              <w:right w:w="0" w:type="dxa"/>
            </w:tcMar>
            <w:vAlign w:val="center"/>
          </w:tcPr>
          <w:p w14:paraId="59B8AD4D">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程序</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580BB1AD">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1、本项目开标采用“政采云”平台进行远程开标，供应商无须到现场，供应商应提前自行准备设备及 CA 锁，准时参加开标会议，按主持人要求按时解密</w:t>
            </w:r>
            <w:r>
              <w:rPr>
                <w:rFonts w:hint="eastAsia" w:ascii="宋体" w:hAnsi="宋体"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eastAsia="zh-CN" w:bidi="ar-SA"/>
              </w:rPr>
              <w:t xml:space="preserve">。 </w:t>
            </w:r>
          </w:p>
          <w:p w14:paraId="3A643806">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2、进入会议人员应为本项目供应商被授权人。 </w:t>
            </w:r>
          </w:p>
          <w:p w14:paraId="3494228E">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3、供应商未参加开标会议的，或未完全参加开标会议全过程的，视为认同开标会议结果。</w:t>
            </w:r>
          </w:p>
        </w:tc>
      </w:tr>
      <w:tr w14:paraId="7C4DE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39ACD139">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34</w:t>
            </w:r>
          </w:p>
        </w:tc>
        <w:tc>
          <w:tcPr>
            <w:tcW w:w="1958" w:type="dxa"/>
            <w:tcBorders>
              <w:top w:val="single" w:color="auto" w:sz="6" w:space="0"/>
              <w:bottom w:val="single" w:color="auto" w:sz="6" w:space="0"/>
            </w:tcBorders>
            <w:tcMar>
              <w:left w:w="0" w:type="dxa"/>
              <w:right w:w="0" w:type="dxa"/>
            </w:tcMar>
            <w:vAlign w:val="center"/>
          </w:tcPr>
          <w:p w14:paraId="4DE5C1E0">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小组的组建</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00387879">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小组构成：专家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w:t>
            </w:r>
          </w:p>
          <w:p w14:paraId="33499EF4">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评标专家确定方式：从</w:t>
            </w:r>
            <w:r>
              <w:rPr>
                <w:rFonts w:hint="eastAsia" w:ascii="宋体" w:hAnsi="宋体" w:eastAsia="宋体" w:cs="宋体"/>
                <w:color w:val="auto"/>
                <w:kern w:val="0"/>
                <w:sz w:val="21"/>
                <w:szCs w:val="21"/>
                <w:highlight w:val="none"/>
                <w:lang w:eastAsia="zh-CN"/>
              </w:rPr>
              <w:t>依法设立的</w:t>
            </w:r>
            <w:r>
              <w:rPr>
                <w:rFonts w:hint="eastAsia" w:ascii="宋体" w:hAnsi="宋体" w:eastAsia="宋体" w:cs="宋体"/>
                <w:color w:val="auto"/>
                <w:kern w:val="0"/>
                <w:sz w:val="21"/>
                <w:szCs w:val="21"/>
                <w:highlight w:val="none"/>
              </w:rPr>
              <w:t>评标专家库中随机抽取</w:t>
            </w:r>
          </w:p>
        </w:tc>
      </w:tr>
      <w:tr w14:paraId="574AA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5"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20B520D7">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p>
        </w:tc>
        <w:tc>
          <w:tcPr>
            <w:tcW w:w="1958" w:type="dxa"/>
            <w:tcBorders>
              <w:top w:val="single" w:color="auto" w:sz="6" w:space="0"/>
              <w:bottom w:val="single" w:color="auto" w:sz="6" w:space="0"/>
            </w:tcBorders>
            <w:tcMar>
              <w:left w:w="0" w:type="dxa"/>
              <w:right w:w="0" w:type="dxa"/>
            </w:tcMar>
            <w:vAlign w:val="center"/>
          </w:tcPr>
          <w:p w14:paraId="4877046E">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结果公告</w:t>
            </w:r>
            <w:r>
              <w:rPr>
                <w:rFonts w:hint="eastAsia" w:ascii="宋体" w:hAnsi="宋体" w:eastAsia="宋体" w:cs="宋体"/>
                <w:color w:val="auto"/>
                <w:szCs w:val="21"/>
                <w:highlight w:val="none"/>
              </w:rPr>
              <w:t>媒介及期限</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0672761">
            <w:pPr>
              <w:keepNext w:val="0"/>
              <w:keepLines w:val="0"/>
              <w:pageBreakBefore w:val="0"/>
              <w:widowControl w:val="0"/>
              <w:kinsoku/>
              <w:wordWrap/>
              <w:overflowPunct/>
              <w:topLinePunct w:val="0"/>
              <w:bidi w:val="0"/>
              <w:spacing w:line="288" w:lineRule="auto"/>
              <w:ind w:left="105" w:leftChars="50" w:right="113"/>
              <w:textAlignment w:val="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在政采云平台发布，同步推送至中国政府采购网、吉林省政府采购网、</w:t>
            </w:r>
            <w:r>
              <w:rPr>
                <w:rFonts w:hint="eastAsia" w:ascii="宋体" w:hAnsi="宋体" w:eastAsia="宋体" w:cs="宋体"/>
                <w:color w:val="auto"/>
                <w:kern w:val="0"/>
                <w:szCs w:val="21"/>
                <w:highlight w:val="none"/>
                <w:u w:val="none"/>
                <w:lang w:val="en-US" w:eastAsia="zh-CN"/>
              </w:rPr>
              <w:t>吉林省公共资源交易公共服务平台</w:t>
            </w:r>
          </w:p>
          <w:p w14:paraId="746CEE5C">
            <w:pPr>
              <w:keepNext w:val="0"/>
              <w:keepLines w:val="0"/>
              <w:pageBreakBefore w:val="0"/>
              <w:widowControl w:val="0"/>
              <w:kinsoku/>
              <w:wordWrap/>
              <w:overflowPunct/>
              <w:topLinePunct w:val="0"/>
              <w:bidi w:val="0"/>
              <w:spacing w:line="288" w:lineRule="auto"/>
              <w:ind w:left="105" w:leftChars="50" w:right="113"/>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u w:val="none"/>
              </w:rPr>
              <w:t>公示期限：1个工作日</w:t>
            </w:r>
          </w:p>
        </w:tc>
      </w:tr>
      <w:tr w14:paraId="14118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21E34E64">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p>
        </w:tc>
        <w:tc>
          <w:tcPr>
            <w:tcW w:w="1958" w:type="dxa"/>
            <w:tcBorders>
              <w:top w:val="single" w:color="auto" w:sz="6" w:space="0"/>
              <w:bottom w:val="single" w:color="auto" w:sz="6" w:space="0"/>
            </w:tcBorders>
            <w:tcMar>
              <w:left w:w="0" w:type="dxa"/>
              <w:right w:w="0" w:type="dxa"/>
            </w:tcMar>
            <w:vAlign w:val="center"/>
          </w:tcPr>
          <w:p w14:paraId="4E12874E">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履约担保</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197D9E1B">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w:t>
            </w:r>
          </w:p>
        </w:tc>
      </w:tr>
      <w:tr w14:paraId="33BC3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6B7B4D71">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p>
        </w:tc>
        <w:tc>
          <w:tcPr>
            <w:tcW w:w="1958" w:type="dxa"/>
            <w:tcBorders>
              <w:top w:val="single" w:color="auto" w:sz="6" w:space="0"/>
              <w:bottom w:val="single" w:color="auto" w:sz="6" w:space="0"/>
            </w:tcBorders>
            <w:tcMar>
              <w:left w:w="0" w:type="dxa"/>
              <w:right w:w="0" w:type="dxa"/>
            </w:tcMar>
            <w:vAlign w:val="center"/>
          </w:tcPr>
          <w:p w14:paraId="0E3545FE">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合同方式</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EE942B4">
            <w:pPr>
              <w:keepNext w:val="0"/>
              <w:keepLines w:val="0"/>
              <w:pageBreakBefore w:val="0"/>
              <w:widowControl w:val="0"/>
              <w:kinsoku/>
              <w:wordWrap/>
              <w:overflowPunct/>
              <w:topLinePunct w:val="0"/>
              <w:bidi w:val="0"/>
              <w:adjustRightInd w:val="0"/>
              <w:snapToGrid w:val="0"/>
              <w:spacing w:line="288" w:lineRule="auto"/>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总价</w:t>
            </w:r>
            <w:r>
              <w:rPr>
                <w:rFonts w:hint="eastAsia" w:ascii="宋体" w:hAnsi="宋体" w:eastAsia="宋体" w:cs="宋体"/>
                <w:color w:val="auto"/>
                <w:kern w:val="0"/>
                <w:sz w:val="21"/>
                <w:szCs w:val="21"/>
                <w:highlight w:val="none"/>
                <w:lang w:val="en-US" w:eastAsia="zh-CN" w:bidi="ar-SA"/>
              </w:rPr>
              <w:t>合同</w:t>
            </w:r>
          </w:p>
        </w:tc>
      </w:tr>
      <w:tr w14:paraId="3E2EA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14E3AB01">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38</w:t>
            </w:r>
          </w:p>
        </w:tc>
        <w:tc>
          <w:tcPr>
            <w:tcW w:w="1958" w:type="dxa"/>
            <w:tcBorders>
              <w:top w:val="single" w:color="auto" w:sz="6" w:space="0"/>
              <w:bottom w:val="single" w:color="auto" w:sz="6" w:space="0"/>
            </w:tcBorders>
            <w:tcMar>
              <w:left w:w="0" w:type="dxa"/>
              <w:right w:w="0" w:type="dxa"/>
            </w:tcMar>
            <w:vAlign w:val="center"/>
          </w:tcPr>
          <w:p w14:paraId="23E13054">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是否授权</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w:t>
            </w:r>
          </w:p>
          <w:p w14:paraId="0A9F7905">
            <w:pPr>
              <w:keepNext w:val="0"/>
              <w:keepLines w:val="0"/>
              <w:pageBreakBefore w:val="0"/>
              <w:widowControl w:val="0"/>
              <w:kinsoku/>
              <w:wordWrap/>
              <w:overflowPunct/>
              <w:topLinePunct w:val="0"/>
              <w:bidi w:val="0"/>
              <w:adjustRightInd w:val="0"/>
              <w:snapToGrid w:val="0"/>
              <w:spacing w:line="288" w:lineRule="auto"/>
              <w:ind w:left="105" w:leftChars="5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确定成交供应商</w:t>
            </w:r>
          </w:p>
        </w:tc>
        <w:tc>
          <w:tcPr>
            <w:tcW w:w="6989" w:type="dxa"/>
            <w:tcBorders>
              <w:top w:val="single" w:color="auto" w:sz="6" w:space="0"/>
              <w:bottom w:val="single" w:color="auto" w:sz="6" w:space="0"/>
              <w:right w:val="single" w:color="auto" w:sz="6" w:space="0"/>
            </w:tcBorders>
            <w:tcMar>
              <w:left w:w="0" w:type="dxa"/>
              <w:right w:w="0" w:type="dxa"/>
            </w:tcMar>
            <w:vAlign w:val="center"/>
          </w:tcPr>
          <w:p w14:paraId="301F19F8">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sz w:val="21"/>
                <w:szCs w:val="21"/>
                <w:highlight w:val="none"/>
              </w:rPr>
              <w:t>是</w:t>
            </w:r>
          </w:p>
        </w:tc>
      </w:tr>
      <w:tr w14:paraId="01B90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4838FDAC">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39</w:t>
            </w:r>
          </w:p>
        </w:tc>
        <w:tc>
          <w:tcPr>
            <w:tcW w:w="8947" w:type="dxa"/>
            <w:gridSpan w:val="2"/>
            <w:tcBorders>
              <w:top w:val="single" w:color="auto" w:sz="6" w:space="0"/>
              <w:bottom w:val="single" w:color="auto" w:sz="6" w:space="0"/>
              <w:right w:val="single" w:color="auto" w:sz="6" w:space="0"/>
            </w:tcBorders>
            <w:tcMar>
              <w:left w:w="0" w:type="dxa"/>
              <w:right w:w="0" w:type="dxa"/>
            </w:tcMar>
            <w:vAlign w:val="center"/>
          </w:tcPr>
          <w:p w14:paraId="33D33EA1">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技术标是否采用暗标评审：不采用</w:t>
            </w:r>
          </w:p>
        </w:tc>
      </w:tr>
      <w:tr w14:paraId="60637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6DDDEAFF">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40</w:t>
            </w:r>
          </w:p>
        </w:tc>
        <w:tc>
          <w:tcPr>
            <w:tcW w:w="8947" w:type="dxa"/>
            <w:gridSpan w:val="2"/>
            <w:tcBorders>
              <w:top w:val="single" w:color="auto" w:sz="6" w:space="0"/>
              <w:bottom w:val="single" w:color="auto" w:sz="6" w:space="0"/>
              <w:right w:val="single" w:color="auto" w:sz="6" w:space="0"/>
            </w:tcBorders>
            <w:tcMar>
              <w:left w:w="0" w:type="dxa"/>
              <w:right w:w="0" w:type="dxa"/>
            </w:tcMar>
            <w:vAlign w:val="center"/>
          </w:tcPr>
          <w:p w14:paraId="21BEB429">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color w:val="auto"/>
                <w:kern w:val="0"/>
                <w:sz w:val="21"/>
                <w:szCs w:val="21"/>
                <w:highlight w:val="none"/>
              </w:rPr>
            </w:pPr>
            <w:r>
              <w:rPr>
                <w:rFonts w:hint="eastAsia" w:ascii="宋体" w:hAnsi="宋体" w:cs="仿宋_GB2312"/>
                <w:color w:val="auto"/>
                <w:kern w:val="0"/>
                <w:szCs w:val="21"/>
                <w:highlight w:val="none"/>
              </w:rPr>
              <w:t>招标代理服务费：</w:t>
            </w:r>
            <w:r>
              <w:rPr>
                <w:rFonts w:hint="eastAsia" w:ascii="宋体" w:hAnsi="宋体" w:cs="仿宋_GB2312"/>
                <w:color w:val="auto"/>
                <w:kern w:val="0"/>
                <w:szCs w:val="21"/>
                <w:highlight w:val="none"/>
                <w:lang w:val="en-US" w:eastAsia="zh-CN"/>
              </w:rPr>
              <w:t>按照</w:t>
            </w:r>
            <w:r>
              <w:rPr>
                <w:rFonts w:hint="eastAsia" w:ascii="宋体" w:hAnsi="宋体" w:eastAsia="宋体" w:cs="宋体"/>
                <w:color w:val="auto"/>
                <w:szCs w:val="21"/>
                <w:highlight w:val="none"/>
              </w:rPr>
              <w:t>国家发改委关于进一步放开建设项目专业服务价格的通知（发改价格【2015】299号）的收费标准。由</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成交结果</w:t>
            </w:r>
            <w:r>
              <w:rPr>
                <w:rFonts w:hint="eastAsia" w:ascii="宋体" w:hAnsi="宋体" w:eastAsia="宋体" w:cs="宋体"/>
                <w:color w:val="auto"/>
                <w:szCs w:val="21"/>
                <w:highlight w:val="none"/>
              </w:rPr>
              <w:t>公示结束后一次性支付</w:t>
            </w:r>
            <w:r>
              <w:rPr>
                <w:rFonts w:hint="eastAsia" w:ascii="宋体" w:hAnsi="宋体" w:eastAsia="宋体" w:cs="宋体"/>
                <w:color w:val="auto"/>
                <w:kern w:val="0"/>
                <w:szCs w:val="21"/>
                <w:highlight w:val="none"/>
              </w:rPr>
              <w:t>。</w:t>
            </w:r>
          </w:p>
        </w:tc>
      </w:tr>
      <w:tr w14:paraId="5628B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32" w:type="dxa"/>
            <w:tcBorders>
              <w:top w:val="single" w:color="auto" w:sz="6" w:space="0"/>
              <w:left w:val="single" w:color="auto" w:sz="6" w:space="0"/>
              <w:bottom w:val="single" w:color="auto" w:sz="6" w:space="0"/>
            </w:tcBorders>
            <w:tcMar>
              <w:left w:w="0" w:type="dxa"/>
              <w:right w:w="0" w:type="dxa"/>
            </w:tcMar>
            <w:vAlign w:val="center"/>
          </w:tcPr>
          <w:p w14:paraId="3A8615FB">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8947" w:type="dxa"/>
            <w:gridSpan w:val="2"/>
            <w:tcBorders>
              <w:top w:val="single" w:color="auto" w:sz="6" w:space="0"/>
              <w:bottom w:val="single" w:color="auto" w:sz="6" w:space="0"/>
              <w:right w:val="single" w:color="auto" w:sz="6" w:space="0"/>
            </w:tcBorders>
            <w:shd w:val="clear" w:color="auto" w:fill="auto"/>
            <w:tcMar>
              <w:left w:w="0" w:type="dxa"/>
              <w:right w:w="0" w:type="dxa"/>
            </w:tcMar>
            <w:vAlign w:val="center"/>
          </w:tcPr>
          <w:p w14:paraId="39FB58EB">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color w:val="auto"/>
                <w:sz w:val="21"/>
                <w:szCs w:val="21"/>
                <w:highlight w:val="none"/>
                <w:lang w:val="zh-CN"/>
              </w:rPr>
              <w:t>合同备案管理</w:t>
            </w:r>
            <w:r>
              <w:rPr>
                <w:rFonts w:hint="eastAsia" w:ascii="宋体" w:hAnsi="宋体" w:eastAsia="宋体" w:cs="宋体"/>
                <w:b/>
                <w:color w:val="auto"/>
                <w:kern w:val="0"/>
                <w:sz w:val="21"/>
                <w:szCs w:val="21"/>
                <w:highlight w:val="none"/>
              </w:rPr>
              <w:t>：</w:t>
            </w:r>
            <w:r>
              <w:rPr>
                <w:rStyle w:val="29"/>
                <w:rFonts w:hint="eastAsia" w:ascii="宋体" w:hAnsi="宋体" w:eastAsia="宋体" w:cs="宋体"/>
                <w:b/>
                <w:color w:val="auto"/>
                <w:sz w:val="21"/>
                <w:szCs w:val="21"/>
                <w:highlight w:val="none"/>
                <w:lang w:val="en-US" w:eastAsia="zh-CN"/>
              </w:rPr>
              <w:t>成交供应商</w:t>
            </w:r>
            <w:r>
              <w:rPr>
                <w:rStyle w:val="29"/>
                <w:rFonts w:hint="eastAsia" w:ascii="宋体" w:hAnsi="宋体" w:eastAsia="宋体" w:cs="宋体"/>
                <w:b/>
                <w:color w:val="auto"/>
                <w:sz w:val="21"/>
                <w:szCs w:val="21"/>
                <w:highlight w:val="none"/>
              </w:rPr>
              <w:t>与采购人签订合同后2日内，将扫描件交于采购代理机构，</w:t>
            </w:r>
            <w:r>
              <w:rPr>
                <w:rFonts w:hint="eastAsia" w:ascii="宋体" w:hAnsi="宋体" w:eastAsia="宋体" w:cs="宋体"/>
                <w:b/>
                <w:color w:val="auto"/>
                <w:kern w:val="0"/>
                <w:sz w:val="21"/>
                <w:szCs w:val="21"/>
                <w:highlight w:val="none"/>
              </w:rPr>
              <w:t>采购代理机构协助采购人，将政府采购合同在省级以上人民政府部门指定的媒体上公告（政府采购合同中涉及国家秘密、商业秘密的内容除外）</w:t>
            </w:r>
          </w:p>
        </w:tc>
      </w:tr>
      <w:tr w14:paraId="5388B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832" w:type="dxa"/>
            <w:tcBorders>
              <w:top w:val="single" w:color="auto" w:sz="6" w:space="0"/>
              <w:left w:val="single" w:color="auto" w:sz="6" w:space="0"/>
              <w:bottom w:val="single" w:color="auto" w:sz="6" w:space="0"/>
            </w:tcBorders>
            <w:shd w:val="clear" w:color="auto" w:fill="auto"/>
            <w:tcMar>
              <w:left w:w="0" w:type="dxa"/>
              <w:right w:w="0" w:type="dxa"/>
            </w:tcMar>
            <w:vAlign w:val="center"/>
          </w:tcPr>
          <w:p w14:paraId="6534BCD1">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w:t>
            </w:r>
          </w:p>
        </w:tc>
        <w:tc>
          <w:tcPr>
            <w:tcW w:w="8947" w:type="dxa"/>
            <w:gridSpan w:val="2"/>
            <w:tcBorders>
              <w:top w:val="single" w:color="auto" w:sz="6" w:space="0"/>
              <w:bottom w:val="single" w:color="auto" w:sz="6" w:space="0"/>
              <w:right w:val="single" w:color="auto" w:sz="6" w:space="0"/>
            </w:tcBorders>
            <w:shd w:val="clear" w:color="auto" w:fill="auto"/>
            <w:tcMar>
              <w:left w:w="0" w:type="dxa"/>
              <w:right w:w="0" w:type="dxa"/>
            </w:tcMar>
            <w:vAlign w:val="center"/>
          </w:tcPr>
          <w:p w14:paraId="6E8C2774">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对</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lang w:val="zh-CN"/>
              </w:rPr>
              <w:t>信用信息的查询：</w:t>
            </w:r>
          </w:p>
          <w:p w14:paraId="4DF801F0">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查询渠道：①“信用中国”网站（www.creditchina.gov.cn）：失信被执行人、企业经营异常名录、重大税收违法案件当事人名单、政府采购严重违法失信名单。</w:t>
            </w:r>
          </w:p>
          <w:p w14:paraId="1588F461">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②中国政府采购网(www.ccgp.gov.cn)：政府采购严重违法失信行为信息记录。</w:t>
            </w:r>
          </w:p>
          <w:p w14:paraId="38651C79">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查询截止时间：即</w:t>
            </w:r>
            <w:r>
              <w:rPr>
                <w:rFonts w:hint="eastAsia" w:ascii="宋体" w:hAnsi="宋体" w:cs="宋体"/>
                <w:bCs/>
                <w:color w:val="auto"/>
                <w:sz w:val="21"/>
                <w:szCs w:val="21"/>
                <w:highlight w:val="none"/>
                <w:lang w:val="en-US" w:eastAsia="zh-CN"/>
              </w:rPr>
              <w:t>递交响应</w:t>
            </w:r>
            <w:r>
              <w:rPr>
                <w:rFonts w:hint="eastAsia" w:ascii="宋体" w:hAnsi="宋体" w:eastAsia="宋体" w:cs="宋体"/>
                <w:bCs/>
                <w:color w:val="auto"/>
                <w:sz w:val="21"/>
                <w:szCs w:val="21"/>
                <w:highlight w:val="none"/>
                <w:lang w:val="zh-CN"/>
              </w:rPr>
              <w:t>文件截止时间</w:t>
            </w:r>
          </w:p>
          <w:p w14:paraId="79417D1C">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信用信息查询记录和证据留存的具体方式：</w:t>
            </w:r>
          </w:p>
          <w:p w14:paraId="1FD24EDF">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采购人或采购代理机构将按查询截止时间对所有</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lang w:val="zh-CN"/>
              </w:rPr>
              <w:t>的信用信息进行查询，网站查询记录作为招投标存档备案材料的组成部分进行留存。</w:t>
            </w:r>
          </w:p>
          <w:p w14:paraId="1EFCFA0C">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信用信息的使用规则：</w:t>
            </w:r>
          </w:p>
          <w:p w14:paraId="46C692EC">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lang w:val="zh-CN"/>
              </w:rPr>
              <w:t>采购人或采购代理机构将按查询截止时间对所有</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lang w:val="zh-CN"/>
              </w:rPr>
              <w:t>的信用信息进行查询，查询结果作为是否接受投标报名的依据之一，被列入失信被执行人、重大税收违法案件当事人名单、政府采购严重违法失信行为记录名单的</w:t>
            </w: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lang w:val="zh-CN"/>
              </w:rPr>
              <w:t>将不接受其投标报名。</w:t>
            </w:r>
          </w:p>
        </w:tc>
      </w:tr>
      <w:tr w14:paraId="177A29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7" w:hRule="atLeast"/>
          <w:jc w:val="center"/>
        </w:trPr>
        <w:tc>
          <w:tcPr>
            <w:tcW w:w="832" w:type="dxa"/>
            <w:tcBorders>
              <w:top w:val="single" w:color="auto" w:sz="6" w:space="0"/>
              <w:left w:val="single" w:color="auto" w:sz="6" w:space="0"/>
              <w:bottom w:val="single" w:color="auto" w:sz="6" w:space="0"/>
            </w:tcBorders>
            <w:shd w:val="clear" w:color="auto" w:fill="auto"/>
            <w:tcMar>
              <w:left w:w="0" w:type="dxa"/>
              <w:right w:w="0" w:type="dxa"/>
            </w:tcMar>
            <w:vAlign w:val="center"/>
          </w:tcPr>
          <w:p w14:paraId="13B5ECD9">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3</w:t>
            </w:r>
          </w:p>
        </w:tc>
        <w:tc>
          <w:tcPr>
            <w:tcW w:w="8947" w:type="dxa"/>
            <w:gridSpan w:val="2"/>
            <w:tcBorders>
              <w:top w:val="single" w:color="auto" w:sz="6" w:space="0"/>
              <w:bottom w:val="single" w:color="auto" w:sz="6" w:space="0"/>
              <w:right w:val="single" w:color="auto" w:sz="6" w:space="0"/>
            </w:tcBorders>
            <w:shd w:val="clear" w:color="auto" w:fill="auto"/>
            <w:tcMar>
              <w:left w:w="0" w:type="dxa"/>
              <w:right w:w="0" w:type="dxa"/>
            </w:tcMar>
            <w:vAlign w:val="center"/>
          </w:tcPr>
          <w:p w14:paraId="04BA6609">
            <w:pPr>
              <w:keepNext w:val="0"/>
              <w:keepLines w:val="0"/>
              <w:pageBreakBefore w:val="0"/>
              <w:widowControl w:val="0"/>
              <w:kinsoku/>
              <w:wordWrap/>
              <w:overflowPunct/>
              <w:topLinePunct w:val="0"/>
              <w:autoSpaceDE w:val="0"/>
              <w:autoSpaceDN w:val="0"/>
              <w:bidi w:val="0"/>
              <w:adjustRightInd w:val="0"/>
              <w:snapToGrid/>
              <w:spacing w:line="288" w:lineRule="auto"/>
              <w:ind w:left="105" w:leftChars="50"/>
              <w:jc w:val="left"/>
              <w:textAlignment w:val="auto"/>
              <w:rPr>
                <w:rFonts w:hint="eastAsia" w:ascii="宋体" w:hAnsi="宋体" w:cs="宋体"/>
                <w:color w:val="auto"/>
                <w:highlight w:val="none"/>
              </w:rPr>
            </w:pPr>
            <w:r>
              <w:rPr>
                <w:rFonts w:hint="eastAsia" w:ascii="宋体" w:hAnsi="宋体" w:cs="宋体"/>
                <w:color w:val="auto"/>
                <w:highlight w:val="none"/>
              </w:rPr>
              <w:t xml:space="preserve">说明： </w:t>
            </w:r>
          </w:p>
          <w:p w14:paraId="76D0A8D1">
            <w:pPr>
              <w:keepNext w:val="0"/>
              <w:keepLines w:val="0"/>
              <w:pageBreakBefore w:val="0"/>
              <w:widowControl w:val="0"/>
              <w:kinsoku/>
              <w:wordWrap/>
              <w:overflowPunct/>
              <w:topLinePunct w:val="0"/>
              <w:autoSpaceDE w:val="0"/>
              <w:autoSpaceDN w:val="0"/>
              <w:bidi w:val="0"/>
              <w:adjustRightInd w:val="0"/>
              <w:snapToGrid/>
              <w:spacing w:line="288" w:lineRule="auto"/>
              <w:ind w:left="105" w:leftChars="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响应文件</w:t>
            </w:r>
            <w:r>
              <w:rPr>
                <w:rFonts w:hint="eastAsia" w:ascii="宋体" w:hAnsi="宋体" w:cs="宋体"/>
                <w:color w:val="auto"/>
                <w:highlight w:val="none"/>
              </w:rPr>
              <w:t>提交方式：本项目为全流程电子化项目，通过“政采云”平台（http：//www.zcygov.cn）实行在线电子开、评标，供应商应先安装“政采云电子交易客户端”（请自行前往“政采云”平台进行下载），并按照本项目采购文件和“政采云”平台的要求编制、加密后在投标截止时间前通过网络上传至“政采云”平台，供应商在“政采云”平台提交电子版</w:t>
            </w:r>
            <w:r>
              <w:rPr>
                <w:rFonts w:hint="eastAsia" w:ascii="宋体" w:hAnsi="宋体" w:cs="宋体"/>
                <w:color w:val="auto"/>
                <w:highlight w:val="none"/>
                <w:lang w:eastAsia="zh-CN"/>
              </w:rPr>
              <w:t>响应文件</w:t>
            </w:r>
            <w:r>
              <w:rPr>
                <w:rFonts w:hint="eastAsia" w:ascii="宋体" w:hAnsi="宋体" w:cs="宋体"/>
                <w:color w:val="auto"/>
                <w:highlight w:val="none"/>
              </w:rPr>
              <w:t xml:space="preserve">时，请填写参加采购活动经办人联系方式。 </w:t>
            </w:r>
          </w:p>
          <w:p w14:paraId="0160BE67">
            <w:pPr>
              <w:keepNext w:val="0"/>
              <w:keepLines w:val="0"/>
              <w:pageBreakBefore w:val="0"/>
              <w:widowControl w:val="0"/>
              <w:kinsoku/>
              <w:wordWrap/>
              <w:overflowPunct/>
              <w:topLinePunct w:val="0"/>
              <w:autoSpaceDE w:val="0"/>
              <w:autoSpaceDN w:val="0"/>
              <w:bidi w:val="0"/>
              <w:adjustRightInd w:val="0"/>
              <w:snapToGrid/>
              <w:spacing w:line="288" w:lineRule="auto"/>
              <w:ind w:left="105" w:leftChars="50"/>
              <w:jc w:val="left"/>
              <w:textAlignment w:val="auto"/>
              <w:rPr>
                <w:rFonts w:hint="eastAsia" w:ascii="宋体" w:hAnsi="宋体" w:cs="宋体"/>
                <w:color w:val="auto"/>
                <w:highlight w:val="none"/>
              </w:rPr>
            </w:pPr>
            <w:r>
              <w:rPr>
                <w:rFonts w:hint="eastAsia" w:ascii="宋体" w:hAnsi="宋体" w:cs="宋体"/>
                <w:color w:val="auto"/>
                <w:highlight w:val="none"/>
              </w:rPr>
              <w:t xml:space="preserve">2、为确保网上操作合法、有效和安全，请供应商确保在电子投标过程中能够对相关数据电文进行加密和使用电子签章，妥善保管 CA 数字证书并使用有效的 CA 数字证书参与整个采购活动。 </w:t>
            </w:r>
          </w:p>
          <w:p w14:paraId="29E401D3">
            <w:pPr>
              <w:keepNext w:val="0"/>
              <w:keepLines w:val="0"/>
              <w:pageBreakBefore w:val="0"/>
              <w:widowControl w:val="0"/>
              <w:kinsoku/>
              <w:wordWrap/>
              <w:overflowPunct/>
              <w:topLinePunct w:val="0"/>
              <w:autoSpaceDE w:val="0"/>
              <w:autoSpaceDN w:val="0"/>
              <w:bidi w:val="0"/>
              <w:adjustRightInd w:val="0"/>
              <w:snapToGrid/>
              <w:spacing w:line="288" w:lineRule="auto"/>
              <w:ind w:left="105" w:leftChars="50"/>
              <w:jc w:val="left"/>
              <w:textAlignment w:val="auto"/>
              <w:rPr>
                <w:rFonts w:hint="eastAsia" w:ascii="宋体" w:hAnsi="宋体" w:cs="宋体"/>
                <w:color w:val="auto"/>
                <w:highlight w:val="none"/>
              </w:rPr>
            </w:pPr>
            <w:r>
              <w:rPr>
                <w:rFonts w:hint="eastAsia" w:ascii="宋体" w:hAnsi="宋体" w:cs="宋体"/>
                <w:color w:val="auto"/>
                <w:highlight w:val="none"/>
              </w:rPr>
              <w:t>3、CA 证书解密：供应商持制作该电子</w:t>
            </w:r>
            <w:r>
              <w:rPr>
                <w:rFonts w:hint="eastAsia" w:ascii="宋体" w:hAnsi="宋体" w:cs="宋体"/>
                <w:color w:val="auto"/>
                <w:highlight w:val="none"/>
                <w:lang w:eastAsia="zh-CN"/>
              </w:rPr>
              <w:t>响应文件</w:t>
            </w:r>
            <w:r>
              <w:rPr>
                <w:rFonts w:hint="eastAsia" w:ascii="宋体" w:hAnsi="宋体" w:cs="宋体"/>
                <w:color w:val="auto"/>
                <w:highlight w:val="none"/>
              </w:rPr>
              <w:t>的同一数字证书（CA 锁）及电脑进行远程解密（各供应商在递交</w:t>
            </w:r>
            <w:r>
              <w:rPr>
                <w:rFonts w:hint="eastAsia" w:ascii="宋体" w:hAnsi="宋体" w:cs="宋体"/>
                <w:color w:val="auto"/>
                <w:highlight w:val="none"/>
                <w:lang w:eastAsia="zh-CN"/>
              </w:rPr>
              <w:t>响应文件</w:t>
            </w:r>
            <w:r>
              <w:rPr>
                <w:rFonts w:hint="eastAsia" w:ascii="宋体" w:hAnsi="宋体" w:cs="宋体"/>
                <w:color w:val="auto"/>
                <w:highlight w:val="none"/>
              </w:rPr>
              <w:t>截止时间前及网上开评标系统公布供应商名单前，不要提前进行远程解密；具体解密时间在会议直播时采购代理机构工作人员会进行通知）</w:t>
            </w:r>
          </w:p>
          <w:p w14:paraId="3DE87C7E">
            <w:pPr>
              <w:keepNext w:val="0"/>
              <w:keepLines w:val="0"/>
              <w:pageBreakBefore w:val="0"/>
              <w:widowControl w:val="0"/>
              <w:kinsoku/>
              <w:wordWrap/>
              <w:overflowPunct/>
              <w:topLinePunct w:val="0"/>
              <w:autoSpaceDE w:val="0"/>
              <w:autoSpaceDN w:val="0"/>
              <w:bidi w:val="0"/>
              <w:adjustRightInd w:val="0"/>
              <w:snapToGrid/>
              <w:spacing w:line="288" w:lineRule="auto"/>
              <w:ind w:left="105" w:leftChars="50"/>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highlight w:val="none"/>
              </w:rPr>
              <w:t>4、供应商若对项目采购电子交易系统操作有疑问，如 CA 锁获取、使用、参与开标、</w:t>
            </w:r>
            <w:r>
              <w:rPr>
                <w:rFonts w:hint="eastAsia" w:ascii="宋体" w:hAnsi="宋体" w:cs="宋体"/>
                <w:color w:val="auto"/>
                <w:highlight w:val="none"/>
                <w:lang w:eastAsia="zh-CN"/>
              </w:rPr>
              <w:t>响应文件</w:t>
            </w:r>
            <w:r>
              <w:rPr>
                <w:rFonts w:hint="eastAsia" w:ascii="宋体" w:hAnsi="宋体" w:cs="宋体"/>
                <w:color w:val="auto"/>
                <w:highlight w:val="none"/>
              </w:rPr>
              <w:t>远程解密等问题，可在递交</w:t>
            </w:r>
            <w:r>
              <w:rPr>
                <w:rFonts w:hint="eastAsia" w:ascii="宋体" w:hAnsi="宋体" w:cs="宋体"/>
                <w:color w:val="auto"/>
                <w:highlight w:val="none"/>
                <w:lang w:eastAsia="zh-CN"/>
              </w:rPr>
              <w:t>响应文件</w:t>
            </w:r>
            <w:r>
              <w:rPr>
                <w:rFonts w:hint="eastAsia" w:ascii="宋体" w:hAnsi="宋体" w:cs="宋体"/>
                <w:color w:val="auto"/>
                <w:highlight w:val="none"/>
              </w:rPr>
              <w:t xml:space="preserve">截止时间前登录“政采云”平台（https://www.zcygov.cn/），点击右侧咨询小采，获取采小蜜智能服务管家帮助，或及时拨打政采云服务热线95763 获取热线服务帮助，以免影响其参与本次采购活动。 </w:t>
            </w:r>
          </w:p>
        </w:tc>
      </w:tr>
      <w:tr w14:paraId="3870C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832" w:type="dxa"/>
            <w:tcBorders>
              <w:top w:val="single" w:color="auto" w:sz="6" w:space="0"/>
              <w:left w:val="single" w:color="auto" w:sz="6" w:space="0"/>
              <w:bottom w:val="single" w:color="auto" w:sz="6" w:space="0"/>
            </w:tcBorders>
            <w:shd w:val="clear" w:color="auto" w:fill="auto"/>
            <w:tcMar>
              <w:left w:w="0" w:type="dxa"/>
              <w:right w:w="0" w:type="dxa"/>
            </w:tcMar>
            <w:vAlign w:val="center"/>
          </w:tcPr>
          <w:p w14:paraId="041607A2">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w:t>
            </w:r>
          </w:p>
        </w:tc>
        <w:tc>
          <w:tcPr>
            <w:tcW w:w="8947" w:type="dxa"/>
            <w:gridSpan w:val="2"/>
            <w:tcBorders>
              <w:top w:val="single" w:color="auto" w:sz="6" w:space="0"/>
              <w:left w:val="single" w:color="auto" w:sz="4" w:space="0"/>
              <w:bottom w:val="single" w:color="auto" w:sz="6" w:space="0"/>
              <w:right w:val="single" w:color="auto" w:sz="6" w:space="0"/>
            </w:tcBorders>
            <w:shd w:val="clear" w:color="auto" w:fill="auto"/>
            <w:tcMar>
              <w:left w:w="0" w:type="dxa"/>
              <w:right w:w="0" w:type="dxa"/>
            </w:tcMar>
            <w:vAlign w:val="center"/>
          </w:tcPr>
          <w:p w14:paraId="4C0B45E8">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谈判报价阶段的规定，按竞争性谈判公告、供应商须知、评审方法、</w:t>
            </w:r>
            <w:r>
              <w:rPr>
                <w:rFonts w:hint="eastAsia" w:ascii="宋体" w:hAnsi="宋体" w:eastAsia="宋体" w:cs="宋体"/>
                <w:color w:val="auto"/>
                <w:szCs w:val="21"/>
                <w:highlight w:val="none"/>
                <w:lang w:eastAsia="zh-CN"/>
              </w:rPr>
              <w:t>响应</w:t>
            </w:r>
            <w:r>
              <w:rPr>
                <w:rFonts w:hint="eastAsia" w:ascii="宋体" w:hAnsi="宋体" w:eastAsia="宋体" w:cs="宋体"/>
                <w:bCs/>
                <w:color w:val="auto"/>
                <w:sz w:val="21"/>
                <w:szCs w:val="21"/>
                <w:highlight w:val="none"/>
                <w:lang w:val="zh-CN"/>
              </w:rPr>
              <w:t>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B288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832" w:type="dxa"/>
            <w:tcBorders>
              <w:top w:val="single" w:color="auto" w:sz="6" w:space="0"/>
              <w:left w:val="single" w:color="auto" w:sz="6" w:space="0"/>
              <w:bottom w:val="single" w:color="auto" w:sz="6" w:space="0"/>
            </w:tcBorders>
            <w:shd w:val="clear" w:color="auto" w:fill="auto"/>
            <w:tcMar>
              <w:left w:w="0" w:type="dxa"/>
              <w:right w:w="0" w:type="dxa"/>
            </w:tcMar>
            <w:vAlign w:val="center"/>
          </w:tcPr>
          <w:p w14:paraId="757A292F">
            <w:pPr>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5</w:t>
            </w:r>
          </w:p>
        </w:tc>
        <w:tc>
          <w:tcPr>
            <w:tcW w:w="8947" w:type="dxa"/>
            <w:gridSpan w:val="2"/>
            <w:tcBorders>
              <w:top w:val="single" w:color="auto" w:sz="6" w:space="0"/>
              <w:left w:val="single" w:color="auto" w:sz="4" w:space="0"/>
              <w:bottom w:val="single" w:color="auto" w:sz="6" w:space="0"/>
              <w:right w:val="single" w:color="auto" w:sz="6" w:space="0"/>
            </w:tcBorders>
            <w:shd w:val="clear" w:color="auto" w:fill="auto"/>
            <w:tcMar>
              <w:left w:w="0" w:type="dxa"/>
              <w:right w:w="0" w:type="dxa"/>
            </w:tcMar>
            <w:vAlign w:val="center"/>
          </w:tcPr>
          <w:p w14:paraId="4022A0B7">
            <w:pPr>
              <w:keepNext w:val="0"/>
              <w:keepLines w:val="0"/>
              <w:pageBreakBefore w:val="0"/>
              <w:widowControl w:val="0"/>
              <w:kinsoku/>
              <w:wordWrap/>
              <w:overflowPunct/>
              <w:topLinePunct w:val="0"/>
              <w:bidi w:val="0"/>
              <w:adjustRightInd w:val="0"/>
              <w:snapToGrid w:val="0"/>
              <w:spacing w:line="288" w:lineRule="auto"/>
              <w:ind w:left="105" w:leftChars="50"/>
              <w:jc w:val="left"/>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本项目竞争性谈判公告与竞争性谈判文件供应商须知内容有不符之处，以本竞争性谈判文件供应商须知内容为准。竞争性谈判文件中的供应商须知总则部分是竞争性谈判文件标准文本通用条款，供应商须知前附表是采购人对总则相应条款重点表述的明示和补充，如条款有不一致，总则部分相应条款不适用本文件。</w:t>
            </w:r>
          </w:p>
        </w:tc>
      </w:tr>
      <w:bookmarkEnd w:id="74"/>
      <w:bookmarkEnd w:id="75"/>
      <w:bookmarkEnd w:id="76"/>
    </w:tbl>
    <w:p w14:paraId="7E5EC7C8">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p>
    <w:p w14:paraId="1BED4449">
      <w:pPr>
        <w:spacing w:after="120" w:after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14:paraId="04C14C91">
      <w:pPr>
        <w:spacing w:line="360" w:lineRule="auto"/>
        <w:ind w:firstLine="420" w:firstLineChars="200"/>
        <w:rPr>
          <w:rFonts w:hint="eastAsia" w:ascii="宋体" w:hAnsi="宋体" w:eastAsia="宋体" w:cs="宋体"/>
          <w:b/>
          <w:color w:val="auto"/>
          <w:sz w:val="21"/>
          <w:szCs w:val="21"/>
          <w:highlight w:val="none"/>
        </w:rPr>
      </w:pPr>
      <w:bookmarkStart w:id="79" w:name="_Toc179714294"/>
      <w:bookmarkStart w:id="80" w:name="_Toc102227314"/>
      <w:bookmarkStart w:id="81" w:name="_Toc382374841"/>
      <w:bookmarkStart w:id="82" w:name="_Toc518658823"/>
      <w:r>
        <w:rPr>
          <w:rFonts w:hint="eastAsia" w:ascii="宋体" w:hAnsi="宋体" w:eastAsia="宋体" w:cs="宋体"/>
          <w:b/>
          <w:color w:val="auto"/>
          <w:sz w:val="21"/>
          <w:szCs w:val="21"/>
          <w:highlight w:val="none"/>
        </w:rPr>
        <w:t>一、竞</w:t>
      </w:r>
      <w:r>
        <w:rPr>
          <w:rFonts w:hint="eastAsia" w:ascii="宋体" w:hAnsi="宋体" w:eastAsia="宋体" w:cs="宋体"/>
          <w:b/>
          <w:color w:val="auto"/>
          <w:sz w:val="21"/>
          <w:szCs w:val="21"/>
          <w:highlight w:val="none"/>
          <w:lang w:val="en-US" w:eastAsia="zh-CN"/>
        </w:rPr>
        <w:t>谈</w:t>
      </w:r>
      <w:r>
        <w:rPr>
          <w:rFonts w:hint="eastAsia" w:ascii="宋体" w:hAnsi="宋体" w:eastAsia="宋体" w:cs="宋体"/>
          <w:b/>
          <w:color w:val="auto"/>
          <w:sz w:val="21"/>
          <w:szCs w:val="21"/>
          <w:highlight w:val="none"/>
        </w:rPr>
        <w:t>费用</w:t>
      </w:r>
      <w:bookmarkEnd w:id="79"/>
      <w:bookmarkEnd w:id="80"/>
      <w:bookmarkEnd w:id="81"/>
      <w:bookmarkEnd w:id="82"/>
    </w:p>
    <w:p w14:paraId="5DFCF0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rPr>
        <w:t>的供应商应承担其编制竞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响应文件与递交竞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响应文件所涉及的一切费用，不论竞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结果如何，需方（采购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）在任何情况下无义务也无责任承担这些费用。</w:t>
      </w:r>
    </w:p>
    <w:p w14:paraId="7551AF27">
      <w:pPr>
        <w:spacing w:line="360" w:lineRule="auto"/>
        <w:ind w:firstLine="420" w:firstLineChars="200"/>
        <w:rPr>
          <w:rFonts w:hint="eastAsia" w:ascii="宋体" w:hAnsi="宋体" w:eastAsia="宋体" w:cs="宋体"/>
          <w:b/>
          <w:color w:val="auto"/>
          <w:sz w:val="21"/>
          <w:szCs w:val="21"/>
          <w:highlight w:val="none"/>
          <w:lang w:val="en-US" w:eastAsia="zh-CN"/>
        </w:rPr>
      </w:pPr>
      <w:bookmarkStart w:id="83" w:name="_Toc382374842"/>
      <w:bookmarkStart w:id="84" w:name="_Toc518658824"/>
      <w:bookmarkStart w:id="85" w:name="_Toc179714295"/>
      <w:bookmarkStart w:id="86" w:name="_Toc102227316"/>
      <w:r>
        <w:rPr>
          <w:rFonts w:hint="eastAsia" w:ascii="宋体" w:hAnsi="宋体" w:eastAsia="宋体" w:cs="宋体"/>
          <w:b/>
          <w:color w:val="auto"/>
          <w:sz w:val="21"/>
          <w:szCs w:val="21"/>
          <w:highlight w:val="none"/>
        </w:rPr>
        <w:t>二、</w:t>
      </w:r>
      <w:bookmarkEnd w:id="83"/>
      <w:bookmarkEnd w:id="84"/>
      <w:bookmarkEnd w:id="85"/>
      <w:bookmarkEnd w:id="86"/>
      <w:bookmarkStart w:id="87" w:name="_Toc179714296"/>
      <w:bookmarkStart w:id="88" w:name="_Toc382374843"/>
      <w:bookmarkStart w:id="89" w:name="_Toc518658825"/>
      <w:bookmarkStart w:id="90" w:name="_Toc102227317"/>
      <w:r>
        <w:rPr>
          <w:rFonts w:hint="eastAsia" w:ascii="宋体" w:hAnsi="宋体" w:eastAsia="宋体" w:cs="宋体"/>
          <w:b/>
          <w:color w:val="auto"/>
          <w:sz w:val="21"/>
          <w:szCs w:val="21"/>
          <w:highlight w:val="none"/>
        </w:rPr>
        <w:t>竞</w:t>
      </w:r>
      <w:bookmarkEnd w:id="87"/>
      <w:bookmarkEnd w:id="88"/>
      <w:bookmarkEnd w:id="89"/>
      <w:bookmarkEnd w:id="90"/>
      <w:r>
        <w:rPr>
          <w:rFonts w:hint="eastAsia" w:ascii="宋体" w:hAnsi="宋体" w:eastAsia="宋体" w:cs="宋体"/>
          <w:b/>
          <w:color w:val="auto"/>
          <w:sz w:val="21"/>
          <w:szCs w:val="21"/>
          <w:highlight w:val="none"/>
          <w:lang w:val="en-US" w:eastAsia="zh-CN"/>
        </w:rPr>
        <w:t>谈</w:t>
      </w:r>
    </w:p>
    <w:p w14:paraId="707874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文件由竞争性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公告、供应商须知、评审办法、合同条款及格式</w:t>
      </w:r>
      <w:r>
        <w:rPr>
          <w:rFonts w:hint="eastAsia" w:ascii="宋体" w:hAnsi="宋体" w:eastAsia="宋体" w:cs="宋体"/>
          <w:color w:val="auto"/>
          <w:sz w:val="21"/>
          <w:szCs w:val="21"/>
          <w:highlight w:val="none"/>
          <w:lang w:eastAsia="zh-CN"/>
        </w:rPr>
        <w:t>、技术标准及要求、竞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响应文件内容及格式要求</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部分组成。</w:t>
      </w:r>
    </w:p>
    <w:p w14:paraId="5450D9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2．供应商所作的一切有效的书面通知、修改及补充，都是竞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不可分割的部分。</w:t>
      </w:r>
    </w:p>
    <w:p w14:paraId="40A7B7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3．本项目不允许分包。</w:t>
      </w:r>
    </w:p>
    <w:p w14:paraId="731E30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本项目不允许偏离。</w:t>
      </w:r>
    </w:p>
    <w:p w14:paraId="0EF68ECA">
      <w:pPr>
        <w:spacing w:line="360" w:lineRule="auto"/>
        <w:ind w:firstLine="420" w:firstLineChars="200"/>
        <w:rPr>
          <w:rFonts w:hint="eastAsia" w:ascii="宋体" w:hAnsi="宋体" w:eastAsia="宋体" w:cs="宋体"/>
          <w:b/>
          <w:color w:val="auto"/>
          <w:sz w:val="21"/>
          <w:szCs w:val="21"/>
          <w:highlight w:val="none"/>
        </w:rPr>
      </w:pPr>
      <w:bookmarkStart w:id="91" w:name="_Toc518658826"/>
      <w:bookmarkStart w:id="92" w:name="_Toc102227318"/>
      <w:bookmarkStart w:id="93" w:name="_Toc179714297"/>
      <w:bookmarkStart w:id="94" w:name="_Toc382374844"/>
      <w:r>
        <w:rPr>
          <w:rFonts w:hint="eastAsia" w:ascii="宋体" w:hAnsi="宋体" w:eastAsia="宋体" w:cs="宋体"/>
          <w:b/>
          <w:color w:val="auto"/>
          <w:sz w:val="21"/>
          <w:szCs w:val="21"/>
          <w:highlight w:val="none"/>
        </w:rPr>
        <w:t>三、竞</w:t>
      </w:r>
      <w:r>
        <w:rPr>
          <w:rFonts w:hint="eastAsia" w:ascii="宋体" w:hAnsi="宋体" w:eastAsia="宋体" w:cs="宋体"/>
          <w:b/>
          <w:color w:val="auto"/>
          <w:sz w:val="21"/>
          <w:szCs w:val="21"/>
          <w:highlight w:val="none"/>
          <w:lang w:val="en-US" w:eastAsia="zh-CN"/>
        </w:rPr>
        <w:t>谈</w:t>
      </w:r>
      <w:r>
        <w:rPr>
          <w:rFonts w:hint="eastAsia" w:ascii="宋体" w:hAnsi="宋体" w:eastAsia="宋体" w:cs="宋体"/>
          <w:b/>
          <w:color w:val="auto"/>
          <w:sz w:val="21"/>
          <w:szCs w:val="21"/>
          <w:highlight w:val="none"/>
        </w:rPr>
        <w:t>要求</w:t>
      </w:r>
      <w:bookmarkEnd w:id="91"/>
      <w:bookmarkEnd w:id="92"/>
      <w:bookmarkEnd w:id="93"/>
      <w:bookmarkEnd w:id="94"/>
    </w:p>
    <w:p w14:paraId="407E8B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1．供应商提交的竞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响应文件由以下部分和供应商所作的一切有效补充、修改和承诺等文件组成，具体详见第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章“竞</w:t>
      </w:r>
      <w:r>
        <w:rPr>
          <w:rFonts w:hint="eastAsia" w:ascii="宋体" w:hAnsi="宋体" w:eastAsia="宋体" w:cs="宋体"/>
          <w:color w:val="auto"/>
          <w:sz w:val="21"/>
          <w:szCs w:val="21"/>
          <w:highlight w:val="none"/>
          <w:lang w:eastAsia="zh-CN"/>
        </w:rPr>
        <w:t>谈</w:t>
      </w:r>
      <w:r>
        <w:rPr>
          <w:rFonts w:hint="eastAsia" w:ascii="宋体" w:hAnsi="宋体" w:eastAsia="宋体" w:cs="宋体"/>
          <w:color w:val="auto"/>
          <w:sz w:val="21"/>
          <w:szCs w:val="21"/>
          <w:highlight w:val="none"/>
        </w:rPr>
        <w:t>响应文件内容及格式要求”，供应商也可在此基础上对文件进行扩展。未规定的内容及格式由供应商自定。</w:t>
      </w:r>
    </w:p>
    <w:p w14:paraId="7AE18C7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竞谈</w:t>
      </w:r>
      <w:r>
        <w:rPr>
          <w:rFonts w:hint="eastAsia" w:ascii="宋体" w:hAnsi="宋体" w:eastAsia="宋体" w:cs="宋体"/>
          <w:color w:val="auto"/>
          <w:sz w:val="21"/>
          <w:szCs w:val="21"/>
          <w:highlight w:val="none"/>
        </w:rPr>
        <w:t>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本项目不适用</w:t>
      </w:r>
      <w:r>
        <w:rPr>
          <w:rFonts w:hint="eastAsia" w:ascii="宋体" w:hAnsi="宋体" w:cs="宋体"/>
          <w:color w:val="auto"/>
          <w:sz w:val="21"/>
          <w:szCs w:val="21"/>
          <w:highlight w:val="none"/>
          <w:lang w:eastAsia="zh-CN"/>
        </w:rPr>
        <w:t>）</w:t>
      </w:r>
    </w:p>
    <w:p w14:paraId="3B846B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（1）供应商在递交响应文件的同时，应按供应商须知规定的金额、形式递交</w:t>
      </w:r>
      <w:r>
        <w:rPr>
          <w:rFonts w:hint="eastAsia" w:ascii="宋体" w:hAnsi="宋体" w:eastAsia="宋体" w:cs="宋体"/>
          <w:color w:val="auto"/>
          <w:sz w:val="21"/>
          <w:szCs w:val="21"/>
          <w:highlight w:val="none"/>
          <w:lang w:val="en-US" w:eastAsia="zh-CN"/>
        </w:rPr>
        <w:t>竞谈</w:t>
      </w:r>
      <w:r>
        <w:rPr>
          <w:rFonts w:hint="eastAsia" w:ascii="宋体" w:hAnsi="宋体" w:eastAsia="宋体" w:cs="宋体"/>
          <w:color w:val="auto"/>
          <w:sz w:val="21"/>
          <w:szCs w:val="21"/>
          <w:highlight w:val="none"/>
        </w:rPr>
        <w:t>保证金，并作为其响应文件的组成部分。</w:t>
      </w:r>
    </w:p>
    <w:p w14:paraId="697698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（2）供应商不按本项要求提交</w:t>
      </w:r>
      <w:r>
        <w:rPr>
          <w:rFonts w:hint="eastAsia" w:ascii="宋体" w:hAnsi="宋体" w:eastAsia="宋体" w:cs="宋体"/>
          <w:color w:val="auto"/>
          <w:sz w:val="21"/>
          <w:szCs w:val="21"/>
          <w:highlight w:val="none"/>
          <w:lang w:val="en-US" w:eastAsia="zh-CN"/>
        </w:rPr>
        <w:t>竞谈</w:t>
      </w:r>
      <w:r>
        <w:rPr>
          <w:rFonts w:hint="eastAsia" w:ascii="宋体" w:hAnsi="宋体" w:eastAsia="宋体" w:cs="宋体"/>
          <w:color w:val="auto"/>
          <w:sz w:val="21"/>
          <w:szCs w:val="21"/>
          <w:highlight w:val="none"/>
        </w:rPr>
        <w:t>保证金的，作废标处理。</w:t>
      </w:r>
    </w:p>
    <w:p w14:paraId="72C4E7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（3）在成交通知书发出后五个工作日内退还未成交供应商的</w:t>
      </w:r>
      <w:r>
        <w:rPr>
          <w:rFonts w:hint="eastAsia" w:ascii="宋体" w:hAnsi="宋体" w:eastAsia="宋体" w:cs="宋体"/>
          <w:color w:val="auto"/>
          <w:sz w:val="21"/>
          <w:szCs w:val="21"/>
          <w:highlight w:val="none"/>
          <w:lang w:val="en-US" w:eastAsia="zh-CN"/>
        </w:rPr>
        <w:t>竞谈</w:t>
      </w:r>
      <w:r>
        <w:rPr>
          <w:rFonts w:hint="eastAsia" w:ascii="宋体" w:hAnsi="宋体" w:eastAsia="宋体" w:cs="宋体"/>
          <w:color w:val="auto"/>
          <w:sz w:val="21"/>
          <w:szCs w:val="21"/>
          <w:highlight w:val="none"/>
        </w:rPr>
        <w:t>保证金，在签订合同后五个工作日内退还成交供应商的</w:t>
      </w:r>
      <w:r>
        <w:rPr>
          <w:rFonts w:hint="eastAsia" w:ascii="宋体" w:hAnsi="宋体" w:eastAsia="宋体" w:cs="宋体"/>
          <w:color w:val="auto"/>
          <w:sz w:val="21"/>
          <w:szCs w:val="21"/>
          <w:highlight w:val="none"/>
          <w:lang w:val="en-US" w:eastAsia="zh-CN"/>
        </w:rPr>
        <w:t>竞谈</w:t>
      </w:r>
      <w:r>
        <w:rPr>
          <w:rFonts w:hint="eastAsia" w:ascii="宋体" w:hAnsi="宋体" w:eastAsia="宋体" w:cs="宋体"/>
          <w:color w:val="auto"/>
          <w:sz w:val="21"/>
          <w:szCs w:val="21"/>
          <w:highlight w:val="none"/>
        </w:rPr>
        <w:t>保证金。</w:t>
      </w:r>
    </w:p>
    <w:p w14:paraId="3C3B32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（4）有下列情形之一的，</w:t>
      </w:r>
      <w:r>
        <w:rPr>
          <w:rFonts w:hint="eastAsia" w:ascii="宋体" w:hAnsi="宋体" w:eastAsia="宋体" w:cs="宋体"/>
          <w:color w:val="auto"/>
          <w:sz w:val="21"/>
          <w:szCs w:val="21"/>
          <w:highlight w:val="none"/>
          <w:lang w:val="en-US" w:eastAsia="zh-CN"/>
        </w:rPr>
        <w:t>竞谈</w:t>
      </w:r>
      <w:r>
        <w:rPr>
          <w:rFonts w:hint="eastAsia" w:ascii="宋体" w:hAnsi="宋体" w:eastAsia="宋体" w:cs="宋体"/>
          <w:color w:val="auto"/>
          <w:sz w:val="21"/>
          <w:szCs w:val="21"/>
          <w:highlight w:val="none"/>
        </w:rPr>
        <w:t>保证金将不予退还：</w:t>
      </w:r>
    </w:p>
    <w:p w14:paraId="28066F4A">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（一）供应商在提交响应文件截止时间后撤回响应文件的；</w:t>
      </w:r>
    </w:p>
    <w:p w14:paraId="554A975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（二）供应商在响应文件中提供虚假材料的；</w:t>
      </w:r>
    </w:p>
    <w:p w14:paraId="5043AF3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（三）除因不可抗力或</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文件认可的情形以外，成交供应商不与采购人签订合同的；</w:t>
      </w:r>
    </w:p>
    <w:p w14:paraId="07B89A1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（四）供应商与采购人、其他供应商或者采购代理机构恶意串通的；</w:t>
      </w:r>
    </w:p>
    <w:p w14:paraId="4F70710F">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文件规定的其他情形。</w:t>
      </w:r>
    </w:p>
    <w:p w14:paraId="6B597913">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报价</w:t>
      </w:r>
    </w:p>
    <w:p w14:paraId="6EB5664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报价为供应商在响应文件中提出的各项支付金额的总和。报价应包括承担本项目的全部费用，包括劳务、防护人员工资、福利、保险、成本、利润、税金及风险等全部费用。报价若有遗漏，视为免费提供，采购人不再另行支付。</w:t>
      </w:r>
    </w:p>
    <w:p w14:paraId="7953343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（2）采购人不接受任何有选择的报价。</w:t>
      </w:r>
    </w:p>
    <w:p w14:paraId="4E1EA5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（3）采购人设有采购预算的，供应商的报价不得超过采购预算金额，采购预算金额在供应商须知前附表中载明。</w:t>
      </w:r>
    </w:p>
    <w:p w14:paraId="2DFE1B87">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响应文件要求</w:t>
      </w:r>
    </w:p>
    <w:p w14:paraId="24B3FFE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（1）供应商必须在“供应商须知前附表”规定的响应文件接收时间和地点提交/上传响应文件，未在规定时间内提交或者未按照竞争性磋商文件要求密封或者标记的响应文件，“政采云”平台将拒收。 </w:t>
      </w:r>
    </w:p>
    <w:p w14:paraId="773D4E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（2）电子响应文件应在制作完成后，在递交响应文件截止时间前通过有效数字证书（CA认证锁）进行电子签章、加密，然后通过网络将加密的电子响应文件递交至“政采云”平台。 </w:t>
      </w:r>
    </w:p>
    <w:p w14:paraId="5BE777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（3）为确保网上操作合法、有效和安全，供应商应当在提交响应文件截止时间前完成在“政采云” 平台的身份认证，确保在参与本项目过程中能够对相关数据电文进行加密和使用电子签名。 </w:t>
      </w:r>
    </w:p>
    <w:p w14:paraId="052205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（4）电子响应文件提交方式见“竞争性谈判公告”中“四、提交响应文件截止时间、开标时间和地点”。</w:t>
      </w:r>
    </w:p>
    <w:p w14:paraId="064665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响应文件的递交</w:t>
      </w:r>
    </w:p>
    <w:p w14:paraId="30CBDCB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（1）供应商应在供应商须知前附表规定的响应截止时间前递交响应文件。 </w:t>
      </w:r>
    </w:p>
    <w:p w14:paraId="667123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（2）供应商通过下载竞争性谈判文件的电子招标投标交易平台递交电子响应文件。 </w:t>
      </w:r>
    </w:p>
    <w:p w14:paraId="128053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（3）除供应商须知前附表另有规定外，供应商所递交的响应文件不予退还。 </w:t>
      </w:r>
    </w:p>
    <w:p w14:paraId="2561E05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（4）逾期送达的响应文件，采购人将予以拒收。</w:t>
      </w:r>
    </w:p>
    <w:p w14:paraId="6968868B">
      <w:pPr>
        <w:spacing w:line="360" w:lineRule="auto"/>
        <w:ind w:firstLine="420" w:firstLineChars="200"/>
        <w:rPr>
          <w:rFonts w:hint="eastAsia"/>
          <w:color w:val="auto"/>
          <w:highlight w:val="none"/>
        </w:rPr>
      </w:pPr>
      <w:r>
        <w:rPr>
          <w:rFonts w:hint="eastAsia" w:ascii="宋体" w:hAnsi="宋体" w:eastAsia="宋体" w:cs="宋体"/>
          <w:color w:val="auto"/>
          <w:sz w:val="21"/>
          <w:szCs w:val="21"/>
          <w:highlight w:val="none"/>
          <w:lang w:val="en-US" w:eastAsia="zh-CN"/>
        </w:rPr>
        <w:t>注：供应商应当在递交响应文件截止时间前完成电子响应文件的上传、递交，递交响应文件截止时间前可以补充、修改或者撤回响应文件。补充或者修改响应文件的，应当先行撤回原文件，补充、修改后重新上传、递交。递交响应文件截止时间前未完成上传、递交的，视为撤回响应文件。递交响应文件截止时间以后上传递交的响应文件“政采云”平台将予以拒收。</w:t>
      </w:r>
    </w:p>
    <w:p w14:paraId="03B2D1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w:t>
      </w:r>
      <w:r>
        <w:rPr>
          <w:rFonts w:hint="eastAsia" w:ascii="宋体" w:hAnsi="宋体" w:eastAsia="宋体" w:cs="宋体"/>
          <w:color w:val="auto"/>
          <w:sz w:val="21"/>
          <w:szCs w:val="21"/>
          <w:highlight w:val="none"/>
          <w:lang w:val="en-US" w:eastAsia="zh-CN"/>
        </w:rPr>
        <w:t>谈</w:t>
      </w:r>
      <w:r>
        <w:rPr>
          <w:rFonts w:hint="eastAsia" w:ascii="宋体" w:hAnsi="宋体" w:eastAsia="宋体" w:cs="宋体"/>
          <w:color w:val="auto"/>
          <w:sz w:val="21"/>
          <w:szCs w:val="21"/>
          <w:highlight w:val="none"/>
        </w:rPr>
        <w:t>响应文件语言：简体中文。如有特殊情况需要外语支持的应在对应的栏目下有中文译释。</w:t>
      </w:r>
    </w:p>
    <w:p w14:paraId="6DFA6656">
      <w:pPr>
        <w:spacing w:line="360" w:lineRule="auto"/>
        <w:ind w:firstLine="420" w:firstLineChars="200"/>
        <w:rPr>
          <w:rFonts w:hint="eastAsia" w:ascii="宋体" w:hAnsi="宋体" w:eastAsia="宋体" w:cs="宋体"/>
          <w:b/>
          <w:color w:val="auto"/>
          <w:sz w:val="21"/>
          <w:szCs w:val="21"/>
          <w:highlight w:val="none"/>
        </w:rPr>
      </w:pPr>
      <w:bookmarkStart w:id="95" w:name="_Toc102227319"/>
      <w:bookmarkStart w:id="96" w:name="_Toc382374845"/>
      <w:bookmarkStart w:id="97" w:name="_Toc179714298"/>
      <w:bookmarkStart w:id="98" w:name="_Toc518658827"/>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eastAsia="zh-CN"/>
        </w:rPr>
        <w:t>竞谈</w:t>
      </w:r>
      <w:r>
        <w:rPr>
          <w:rFonts w:hint="eastAsia" w:ascii="宋体" w:hAnsi="宋体" w:eastAsia="宋体" w:cs="宋体"/>
          <w:b/>
          <w:color w:val="auto"/>
          <w:sz w:val="21"/>
          <w:szCs w:val="21"/>
          <w:highlight w:val="none"/>
        </w:rPr>
        <w:t>程序</w:t>
      </w:r>
      <w:bookmarkEnd w:id="95"/>
      <w:bookmarkEnd w:id="96"/>
      <w:bookmarkEnd w:id="97"/>
      <w:bookmarkEnd w:id="98"/>
    </w:p>
    <w:p w14:paraId="3A39D0FE">
      <w:pPr>
        <w:spacing w:line="360" w:lineRule="auto"/>
        <w:ind w:firstLine="420" w:firstLineChars="200"/>
        <w:rPr>
          <w:rFonts w:hint="eastAsia" w:ascii="宋体" w:hAnsi="宋体" w:eastAsia="宋体" w:cs="宋体"/>
          <w:b w:val="0"/>
          <w:bCs/>
          <w:color w:val="auto"/>
          <w:sz w:val="21"/>
          <w:szCs w:val="21"/>
          <w:highlight w:val="none"/>
          <w:lang w:val="en-US" w:eastAsia="zh-CN"/>
        </w:rPr>
      </w:pPr>
      <w:bookmarkStart w:id="99" w:name="_Toc102227320"/>
      <w:bookmarkStart w:id="100" w:name="_Toc382374846"/>
      <w:bookmarkStart w:id="101" w:name="_Toc518658828"/>
      <w:r>
        <w:rPr>
          <w:rFonts w:hint="eastAsia" w:ascii="宋体" w:hAnsi="宋体" w:eastAsia="宋体" w:cs="宋体"/>
          <w:b w:val="0"/>
          <w:bCs/>
          <w:color w:val="auto"/>
          <w:sz w:val="21"/>
          <w:szCs w:val="21"/>
          <w:highlight w:val="none"/>
          <w:lang w:val="en-US" w:eastAsia="zh-CN"/>
        </w:rPr>
        <w:t>1．供应商（法定代表人或委托代理人）须准时参加，逾期送达的竞谈响应文件将被拒收。供应商等待进行二次报价。</w:t>
      </w:r>
    </w:p>
    <w:p w14:paraId="529873F1">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596C9396">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3.谈判小组所有成员应当集中与单一供应商分别进行谈判，并给予所有参加谈判的供应商平等的谈判机会。</w:t>
      </w:r>
    </w:p>
    <w:p w14:paraId="71C09796">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4.在谈判过程中，谈判小组可以根据谈判文件和谈判情况实质性变动采购需求中的技术、服务要求以及合同草案条款，但不得变动谈判文件中的其他内容。实质性变动的内容，须经采购人代表确认。</w:t>
      </w:r>
    </w:p>
    <w:p w14:paraId="661C9113">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5.对谈判文件作出的实质性变动是谈判文件的有效组成部分，谈判小组应当及时以书面形式同时通知所有参加谈判的供应商。</w:t>
      </w:r>
    </w:p>
    <w:p w14:paraId="10856011">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7E4705B">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7.谈判文件能够详细列明采购标的的技术、服务要求的，谈判结束后，谈判小组应当要求所有继续参加谈判的供应商在规定时间内提交最后报价，提交最后报价的供应商不得少于3家。</w:t>
      </w:r>
    </w:p>
    <w:p w14:paraId="60E93CE4">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25E7470">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9.最后报价是供应商响应文件的有效组成部分。</w:t>
      </w:r>
    </w:p>
    <w:p w14:paraId="0CEC7F3B">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lang w:eastAsia="zh-CN"/>
        </w:rPr>
        <w:t>竞谈</w:t>
      </w:r>
      <w:r>
        <w:rPr>
          <w:rFonts w:hint="eastAsia" w:ascii="宋体" w:hAnsi="宋体" w:eastAsia="宋体" w:cs="宋体"/>
          <w:b w:val="0"/>
          <w:bCs/>
          <w:color w:val="auto"/>
          <w:sz w:val="21"/>
          <w:szCs w:val="21"/>
          <w:highlight w:val="none"/>
        </w:rPr>
        <w:t>过程中，</w:t>
      </w:r>
      <w:r>
        <w:rPr>
          <w:rFonts w:hint="eastAsia" w:ascii="宋体" w:hAnsi="宋体" w:eastAsia="宋体" w:cs="宋体"/>
          <w:b w:val="0"/>
          <w:bCs/>
          <w:color w:val="auto"/>
          <w:sz w:val="21"/>
          <w:szCs w:val="21"/>
          <w:highlight w:val="none"/>
          <w:lang w:eastAsia="zh-CN"/>
        </w:rPr>
        <w:t>竞谈</w:t>
      </w:r>
      <w:r>
        <w:rPr>
          <w:rFonts w:hint="eastAsia" w:ascii="宋体" w:hAnsi="宋体" w:eastAsia="宋体" w:cs="宋体"/>
          <w:b w:val="0"/>
          <w:bCs/>
          <w:color w:val="auto"/>
          <w:sz w:val="21"/>
          <w:szCs w:val="21"/>
          <w:highlight w:val="none"/>
        </w:rPr>
        <w:t>的任何一方不得向他人透露与</w:t>
      </w:r>
      <w:r>
        <w:rPr>
          <w:rFonts w:hint="eastAsia" w:ascii="宋体" w:hAnsi="宋体" w:eastAsia="宋体" w:cs="宋体"/>
          <w:b w:val="0"/>
          <w:bCs/>
          <w:color w:val="auto"/>
          <w:sz w:val="21"/>
          <w:szCs w:val="21"/>
          <w:highlight w:val="none"/>
          <w:lang w:eastAsia="zh-CN"/>
        </w:rPr>
        <w:t>竞谈</w:t>
      </w:r>
      <w:r>
        <w:rPr>
          <w:rFonts w:hint="eastAsia" w:ascii="宋体" w:hAnsi="宋体" w:eastAsia="宋体" w:cs="宋体"/>
          <w:b w:val="0"/>
          <w:bCs/>
          <w:color w:val="auto"/>
          <w:sz w:val="21"/>
          <w:szCs w:val="21"/>
          <w:highlight w:val="none"/>
        </w:rPr>
        <w:t>有关的技术资料或其他信息。</w:t>
      </w:r>
    </w:p>
    <w:p w14:paraId="062FBE6C">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特别说明：如遇“政采云”平台电子化评审程序调整的，按调整后执行。</w:t>
      </w:r>
    </w:p>
    <w:p w14:paraId="55F468CF">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六、成交</w:t>
      </w:r>
      <w:bookmarkEnd w:id="99"/>
      <w:r>
        <w:rPr>
          <w:rFonts w:hint="eastAsia" w:ascii="宋体" w:hAnsi="宋体" w:eastAsia="宋体" w:cs="宋体"/>
          <w:b/>
          <w:color w:val="auto"/>
          <w:sz w:val="21"/>
          <w:szCs w:val="21"/>
          <w:highlight w:val="none"/>
        </w:rPr>
        <w:t>原则</w:t>
      </w:r>
      <w:bookmarkEnd w:id="100"/>
      <w:bookmarkEnd w:id="101"/>
    </w:p>
    <w:p w14:paraId="53BD8CD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谈判</w:t>
      </w:r>
      <w:r>
        <w:rPr>
          <w:rFonts w:hint="eastAsia" w:ascii="宋体" w:hAnsi="宋体" w:eastAsia="宋体" w:cs="宋体"/>
          <w:color w:val="auto"/>
          <w:sz w:val="21"/>
          <w:szCs w:val="21"/>
          <w:highlight w:val="none"/>
        </w:rPr>
        <w:t>小组由专家库中随机抽取3名</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专家组成，</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小组将客观、公正地履行职务，遵守职业道德，对所提出的评审意见承担个人责任。</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小组成员在</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前将严格保密。</w:t>
      </w:r>
    </w:p>
    <w:p w14:paraId="460266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采用二次报价，最低评标价法（附后）。</w:t>
      </w:r>
    </w:p>
    <w:p w14:paraId="4E2285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谈判小组应当从质量和服务均能满足采购文件实质性响应要求的供应商中，按照最后报价由低到高的顺序提出3名以上成交候选人，并</w:t>
      </w:r>
      <w:r>
        <w:rPr>
          <w:rFonts w:hint="eastAsia" w:ascii="宋体" w:hAnsi="宋体" w:eastAsia="宋体" w:cs="宋体"/>
          <w:color w:val="auto"/>
          <w:sz w:val="21"/>
          <w:szCs w:val="21"/>
          <w:highlight w:val="none"/>
          <w:lang w:val="en-US" w:eastAsia="zh-CN"/>
        </w:rPr>
        <w:t>确定中标人</w:t>
      </w:r>
      <w:r>
        <w:rPr>
          <w:rFonts w:hint="eastAsia" w:ascii="宋体" w:hAnsi="宋体" w:eastAsia="宋体" w:cs="宋体"/>
          <w:color w:val="auto"/>
          <w:sz w:val="21"/>
          <w:szCs w:val="21"/>
          <w:highlight w:val="none"/>
        </w:rPr>
        <w:t>。</w:t>
      </w:r>
    </w:p>
    <w:p w14:paraId="70F97A53">
      <w:pPr>
        <w:spacing w:line="360" w:lineRule="auto"/>
        <w:ind w:firstLine="420" w:firstLineChars="200"/>
        <w:rPr>
          <w:rFonts w:hint="eastAsia" w:ascii="宋体" w:hAnsi="宋体" w:eastAsia="宋体" w:cs="宋体"/>
          <w:b/>
          <w:color w:val="auto"/>
          <w:sz w:val="21"/>
          <w:szCs w:val="21"/>
          <w:highlight w:val="none"/>
        </w:rPr>
      </w:pPr>
      <w:bookmarkStart w:id="102" w:name="_Toc382374847"/>
      <w:bookmarkStart w:id="103" w:name="_Toc518658829"/>
      <w:r>
        <w:rPr>
          <w:rFonts w:hint="eastAsia" w:ascii="宋体" w:hAnsi="宋体" w:eastAsia="宋体" w:cs="宋体"/>
          <w:b/>
          <w:color w:val="auto"/>
          <w:sz w:val="21"/>
          <w:szCs w:val="21"/>
          <w:highlight w:val="none"/>
        </w:rPr>
        <w:t>七、</w:t>
      </w:r>
      <w:bookmarkEnd w:id="102"/>
      <w:r>
        <w:rPr>
          <w:rFonts w:hint="eastAsia" w:ascii="宋体" w:hAnsi="宋体" w:eastAsia="宋体" w:cs="宋体"/>
          <w:b/>
          <w:color w:val="auto"/>
          <w:sz w:val="21"/>
          <w:szCs w:val="21"/>
          <w:highlight w:val="none"/>
        </w:rPr>
        <w:t>重新采购</w:t>
      </w:r>
      <w:bookmarkEnd w:id="103"/>
    </w:p>
    <w:p w14:paraId="68186BF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出现下列情形之一的，采购人或者采购代理机构应当终止竞争性谈判采购活动，发布项目终止公告并说明原因，重新开展采购活动</w:t>
      </w:r>
      <w:r>
        <w:rPr>
          <w:rFonts w:hint="eastAsia" w:ascii="宋体" w:hAnsi="宋体" w:eastAsia="宋体" w:cs="宋体"/>
          <w:color w:val="auto"/>
          <w:sz w:val="21"/>
          <w:szCs w:val="21"/>
          <w:highlight w:val="none"/>
          <w:lang w:eastAsia="zh-CN"/>
        </w:rPr>
        <w:t>：</w:t>
      </w:r>
    </w:p>
    <w:p w14:paraId="6B82474E">
      <w:pPr>
        <w:spacing w:line="360" w:lineRule="auto"/>
        <w:ind w:left="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1.因情况变化，不再符合规定的竞争性谈判采购方式适用情形的；</w:t>
      </w:r>
    </w:p>
    <w:p w14:paraId="0ADF52DF">
      <w:pPr>
        <w:spacing w:line="360" w:lineRule="auto"/>
        <w:ind w:left="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14:paraId="574E96B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3.在采购过程中符合竞争要求的供应商或者报价未超过采购预算的供应商不足3家的，但技术复杂或者性质特殊，不能确定详细规格或者具体要求的情形除外。</w:t>
      </w:r>
    </w:p>
    <w:p w14:paraId="7CF377A0">
      <w:pPr>
        <w:spacing w:line="360" w:lineRule="auto"/>
        <w:ind w:firstLine="420" w:firstLineChars="200"/>
        <w:rPr>
          <w:rFonts w:hint="eastAsia" w:ascii="宋体" w:hAnsi="宋体" w:eastAsia="宋体" w:cs="宋体"/>
          <w:b/>
          <w:color w:val="auto"/>
          <w:sz w:val="21"/>
          <w:szCs w:val="21"/>
          <w:highlight w:val="none"/>
        </w:rPr>
      </w:pPr>
      <w:bookmarkStart w:id="104" w:name="_Toc518658830"/>
      <w:bookmarkStart w:id="105" w:name="_Toc102227321"/>
      <w:bookmarkStart w:id="106" w:name="_Toc382374848"/>
      <w:r>
        <w:rPr>
          <w:rFonts w:hint="eastAsia" w:ascii="宋体" w:hAnsi="宋体" w:eastAsia="宋体" w:cs="宋体"/>
          <w:b/>
          <w:color w:val="auto"/>
          <w:sz w:val="21"/>
          <w:szCs w:val="21"/>
          <w:highlight w:val="none"/>
        </w:rPr>
        <w:t>八、成交通知</w:t>
      </w:r>
      <w:bookmarkEnd w:id="104"/>
      <w:bookmarkEnd w:id="105"/>
      <w:bookmarkEnd w:id="106"/>
    </w:p>
    <w:p w14:paraId="31FC758A">
      <w:pPr>
        <w:spacing w:line="360" w:lineRule="auto"/>
        <w:ind w:firstLine="420" w:firstLineChars="200"/>
        <w:rPr>
          <w:rFonts w:hint="eastAsia" w:ascii="宋体" w:hAnsi="宋体" w:eastAsia="宋体" w:cs="宋体"/>
          <w:color w:val="auto"/>
          <w:sz w:val="21"/>
          <w:szCs w:val="21"/>
          <w:highlight w:val="none"/>
        </w:rPr>
      </w:pPr>
      <w:bookmarkStart w:id="107" w:name="_Toc518658831"/>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后，在有效期内，采购人以书面形式向成交供应商发出成交通知书，同时将成交结果通知未成交的供应商，采购人与成交供应商签订合同。</w:t>
      </w:r>
    </w:p>
    <w:p w14:paraId="503E98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2.成交通知书将是合同的一个组成部分，逾期未办理作自动放弃处理。</w:t>
      </w:r>
    </w:p>
    <w:p w14:paraId="33CB59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3.成交供应商不得向他人转让成交项目，也不得将成交项目支解后分别向他人转让。</w:t>
      </w:r>
    </w:p>
    <w:p w14:paraId="0CC88B9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九、成交服务费</w:t>
      </w:r>
      <w:bookmarkEnd w:id="107"/>
    </w:p>
    <w:p w14:paraId="363BB9CF">
      <w:pPr>
        <w:spacing w:line="360" w:lineRule="auto"/>
        <w:ind w:firstLine="420" w:firstLineChars="200"/>
        <w:rPr>
          <w:rFonts w:hint="eastAsia" w:ascii="宋体" w:hAnsi="宋体" w:eastAsia="宋体" w:cs="宋体"/>
          <w:color w:val="auto"/>
          <w:kern w:val="0"/>
          <w:sz w:val="21"/>
          <w:szCs w:val="21"/>
          <w:highlight w:val="none"/>
        </w:rPr>
      </w:pPr>
      <w:bookmarkStart w:id="108" w:name="_Toc102227322"/>
      <w:bookmarkStart w:id="109" w:name="_Toc518658832"/>
      <w:r>
        <w:rPr>
          <w:rFonts w:hint="eastAsia" w:ascii="宋体" w:hAnsi="宋体" w:eastAsia="宋体" w:cs="宋体"/>
          <w:color w:val="auto"/>
          <w:kern w:val="0"/>
          <w:sz w:val="21"/>
          <w:szCs w:val="21"/>
          <w:highlight w:val="none"/>
          <w:lang w:eastAsia="zh-CN"/>
        </w:rPr>
        <w:t>见</w:t>
      </w:r>
      <w:r>
        <w:rPr>
          <w:rFonts w:hint="eastAsia" w:ascii="宋体" w:hAnsi="宋体" w:eastAsia="宋体" w:cs="宋体"/>
          <w:bCs/>
          <w:color w:val="auto"/>
          <w:sz w:val="21"/>
          <w:szCs w:val="21"/>
          <w:highlight w:val="none"/>
          <w:lang w:val="zh-CN"/>
        </w:rPr>
        <w:t>供应商须知前附表</w:t>
      </w:r>
      <w:r>
        <w:rPr>
          <w:rFonts w:hint="eastAsia" w:ascii="宋体" w:hAnsi="宋体" w:eastAsia="宋体" w:cs="宋体"/>
          <w:color w:val="auto"/>
          <w:kern w:val="0"/>
          <w:sz w:val="21"/>
          <w:szCs w:val="21"/>
          <w:highlight w:val="none"/>
        </w:rPr>
        <w:t>。</w:t>
      </w:r>
    </w:p>
    <w:p w14:paraId="63A3F2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十、签订</w:t>
      </w:r>
      <w:bookmarkEnd w:id="108"/>
      <w:r>
        <w:rPr>
          <w:rFonts w:hint="eastAsia" w:ascii="宋体" w:hAnsi="宋体" w:eastAsia="宋体" w:cs="宋体"/>
          <w:b/>
          <w:color w:val="auto"/>
          <w:sz w:val="21"/>
          <w:szCs w:val="21"/>
          <w:highlight w:val="none"/>
        </w:rPr>
        <w:t>合同</w:t>
      </w:r>
      <w:bookmarkEnd w:id="109"/>
    </w:p>
    <w:p w14:paraId="3F6237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采购人和成交供应商应当自成交通知书发出之日起30</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内，根据响应文件和成交供应商的响应文件订立书面合同。成交供应商无正当理由拒签合同的，采购人取消其成交资格，其</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保证金不予退还；给采购人造成的损失超过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保证金数额的，成交供应商还应当对超过部分予以赔偿。</w:t>
      </w:r>
    </w:p>
    <w:p w14:paraId="4AEA5D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发出成交通知书后，采购人无正当理由拒签合同的，采购人向成交供应商退还</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保证金；给成交供应商造成损失的，还应当赔偿损失。</w:t>
      </w:r>
    </w:p>
    <w:p w14:paraId="0AB425A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（含澄清补遗）、成交供应商的</w:t>
      </w: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响应文件及有效承诺文件等，均为签订合同的依据。</w:t>
      </w:r>
    </w:p>
    <w:p w14:paraId="675BE196">
      <w:pPr>
        <w:snapToGrid w:val="0"/>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1"/>
          <w:szCs w:val="21"/>
          <w:highlight w:val="none"/>
        </w:rPr>
        <w:t>十一、补充条款</w:t>
      </w:r>
    </w:p>
    <w:p w14:paraId="121582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投标人对中标结果提出质疑的，应当在质疑期间内将质疑事项一次性向采购人（采购代理机）提出。质疑书须提供纸质，并应当经法定代表人或委托代理人签字并加盖公章。</w:t>
      </w:r>
    </w:p>
    <w:p w14:paraId="19C5F1C1">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十二、电子采购流程 </w:t>
      </w:r>
    </w:p>
    <w:p w14:paraId="5CC0D1D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采用电子采购流程，对响应文件的编制、密封和标记、递交、会议、评审等的具体要求，见供应商须知前附表。 </w:t>
      </w:r>
    </w:p>
    <w:p w14:paraId="33EE931A">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请各供应商在参加与本项目采购活动期间时刻关注网站信息，所有有意愿的供应商有义务在网上自行查询本项目相关信息。 </w:t>
      </w:r>
    </w:p>
    <w:p w14:paraId="4E8CD69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 xml:space="preserve">电子交易活动的中止。 </w:t>
      </w:r>
    </w:p>
    <w:p w14:paraId="71031B9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采购过程中出现以下情形，导致电子交易平台无法正常运行，或者无法保证电子交易的公平、公正和安全时，采购代理机构可中止电子交易活动： </w:t>
      </w:r>
    </w:p>
    <w:p w14:paraId="6A602B7E">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（1）电子交易平台发生故障而无法登录访问的； </w:t>
      </w:r>
    </w:p>
    <w:p w14:paraId="5D05DA7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（2）电子交易平台应用或数据库出现错误，不能进行正常操作的； </w:t>
      </w:r>
    </w:p>
    <w:p w14:paraId="6C9C2D96">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（3）电子交易平台发现严重安全漏洞，有潜在泄密危险的； </w:t>
      </w:r>
    </w:p>
    <w:p w14:paraId="020DDC6D">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（4）病毒发作导致不能进行正常操作的； </w:t>
      </w:r>
    </w:p>
    <w:p w14:paraId="5C89EF9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（5）其他无法保证电子交易的公平、公正和安全的情况。 </w:t>
      </w:r>
    </w:p>
    <w:p w14:paraId="79DB2BE5">
      <w:pPr>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出现以上情形，不影响采购公平、公正性的，采购代理机构可以待上述情形消除后继续组织电子交易活动；影响或可能影响采购公平、公正性的，经采购代理机构确认后，采购代理机构必须对原有的资料及信息作出妥善保密处理，并报财政部门备案处理。</w:t>
      </w:r>
    </w:p>
    <w:p w14:paraId="31B8E8D1">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br w:type="page"/>
      </w:r>
    </w:p>
    <w:p w14:paraId="5CE860F9">
      <w:pPr>
        <w:pStyle w:val="2"/>
        <w:numPr>
          <w:ilvl w:val="0"/>
          <w:numId w:val="0"/>
        </w:numPr>
        <w:bidi w:val="0"/>
        <w:spacing w:line="240" w:lineRule="auto"/>
        <w:ind w:leftChars="0"/>
        <w:jc w:val="center"/>
        <w:rPr>
          <w:rStyle w:val="30"/>
          <w:rFonts w:hint="eastAsia" w:ascii="宋体" w:hAnsi="宋体" w:eastAsia="宋体" w:cs="宋体"/>
          <w:b w:val="0"/>
          <w:color w:val="auto"/>
          <w:highlight w:val="none"/>
        </w:rPr>
      </w:pPr>
      <w:bookmarkStart w:id="110" w:name="_Toc65762309"/>
      <w:bookmarkStart w:id="111" w:name="_Toc382374849"/>
      <w:bookmarkStart w:id="112" w:name="_Toc11591"/>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lang w:val="en-US" w:eastAsia="zh-CN"/>
        </w:rPr>
        <w:t xml:space="preserve">  </w:t>
      </w:r>
      <w:bookmarkEnd w:id="110"/>
      <w:bookmarkEnd w:id="111"/>
      <w:bookmarkStart w:id="113" w:name="_Toc12789058"/>
      <w:r>
        <w:rPr>
          <w:rFonts w:hint="eastAsia" w:ascii="宋体" w:hAnsi="宋体" w:eastAsia="宋体" w:cs="宋体"/>
          <w:color w:val="auto"/>
          <w:sz w:val="32"/>
          <w:szCs w:val="32"/>
          <w:highlight w:val="none"/>
          <w:lang w:eastAsia="zh-CN"/>
        </w:rPr>
        <w:t>评审方法</w:t>
      </w:r>
      <w:bookmarkEnd w:id="112"/>
    </w:p>
    <w:bookmarkEnd w:id="113"/>
    <w:p w14:paraId="42622E27">
      <w:pPr>
        <w:pStyle w:val="3"/>
        <w:spacing w:line="360" w:lineRule="exact"/>
        <w:rPr>
          <w:rFonts w:hint="eastAsia" w:ascii="宋体" w:hAnsi="宋体" w:eastAsia="宋体" w:cs="宋体"/>
          <w:color w:val="auto"/>
          <w:sz w:val="24"/>
          <w:szCs w:val="24"/>
          <w:highlight w:val="none"/>
          <w:lang w:eastAsia="zh-CN"/>
        </w:rPr>
      </w:pPr>
      <w:bookmarkStart w:id="114" w:name="_Toc411773155"/>
      <w:bookmarkStart w:id="115" w:name="_Toc29616"/>
      <w:bookmarkStart w:id="116" w:name="_Toc429345221"/>
      <w:bookmarkStart w:id="117" w:name="_Toc23293"/>
      <w:bookmarkStart w:id="118" w:name="_Toc364364576"/>
      <w:bookmarkStart w:id="119" w:name="_Toc30235"/>
      <w:bookmarkStart w:id="120" w:name="_Toc25208"/>
      <w:bookmarkStart w:id="121" w:name="_Toc26145"/>
      <w:bookmarkStart w:id="122" w:name="_Toc7034"/>
      <w:bookmarkStart w:id="123" w:name="_Toc354065989"/>
      <w:bookmarkStart w:id="124" w:name="_Toc471822577"/>
      <w:bookmarkStart w:id="125" w:name="_Toc449518915"/>
      <w:bookmarkStart w:id="126" w:name="_Toc18232"/>
      <w:bookmarkStart w:id="127" w:name="_Toc471822520"/>
      <w:bookmarkStart w:id="128" w:name="_Toc9137"/>
      <w:bookmarkStart w:id="129" w:name="_Toc449519127"/>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审方</w:t>
      </w:r>
      <w:r>
        <w:rPr>
          <w:rFonts w:hint="eastAsia" w:ascii="宋体" w:hAnsi="宋体" w:eastAsia="宋体" w:cs="宋体"/>
          <w:color w:val="auto"/>
          <w:sz w:val="24"/>
          <w:szCs w:val="24"/>
          <w:highlight w:val="none"/>
        </w:rPr>
        <w:t>法前附表</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bl>
      <w:tblPr>
        <w:tblStyle w:val="26"/>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73"/>
        <w:gridCol w:w="1727"/>
        <w:gridCol w:w="5646"/>
      </w:tblGrid>
      <w:tr w14:paraId="7E3E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839" w:type="dxa"/>
            <w:gridSpan w:val="2"/>
            <w:vAlign w:val="center"/>
          </w:tcPr>
          <w:p w14:paraId="3F86E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27" w:type="dxa"/>
            <w:vAlign w:val="center"/>
          </w:tcPr>
          <w:p w14:paraId="517EDB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5646" w:type="dxa"/>
            <w:vAlign w:val="center"/>
          </w:tcPr>
          <w:p w14:paraId="5432F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3E6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6" w:type="dxa"/>
            <w:vMerge w:val="restart"/>
            <w:vAlign w:val="center"/>
          </w:tcPr>
          <w:p w14:paraId="6BE1CC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1</w:t>
            </w:r>
          </w:p>
        </w:tc>
        <w:tc>
          <w:tcPr>
            <w:tcW w:w="1073" w:type="dxa"/>
            <w:vMerge w:val="restart"/>
            <w:vAlign w:val="center"/>
          </w:tcPr>
          <w:p w14:paraId="42B40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资质评审标准</w:t>
            </w:r>
          </w:p>
        </w:tc>
        <w:tc>
          <w:tcPr>
            <w:tcW w:w="1727" w:type="dxa"/>
            <w:vAlign w:val="center"/>
          </w:tcPr>
          <w:p w14:paraId="125F5E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营业执照</w:t>
            </w:r>
          </w:p>
        </w:tc>
        <w:tc>
          <w:tcPr>
            <w:tcW w:w="5646" w:type="dxa"/>
            <w:vAlign w:val="center"/>
          </w:tcPr>
          <w:p w14:paraId="6614A428">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eastAsia="zh-CN"/>
              </w:rPr>
              <w:t>本次采购要求供应商须在中华人民共和国境内合法注册的</w:t>
            </w:r>
            <w:r>
              <w:rPr>
                <w:rFonts w:hint="eastAsia" w:ascii="宋体" w:hAnsi="宋体" w:cs="宋体"/>
                <w:color w:val="auto"/>
                <w:szCs w:val="21"/>
                <w:highlight w:val="none"/>
                <w:lang w:val="en-US" w:eastAsia="zh-CN"/>
              </w:rPr>
              <w:t>代理商或生厂商</w:t>
            </w:r>
            <w:r>
              <w:rPr>
                <w:rFonts w:hint="eastAsia" w:ascii="宋体" w:hAnsi="宋体" w:cs="宋体"/>
                <w:color w:val="auto"/>
                <w:szCs w:val="21"/>
                <w:highlight w:val="none"/>
                <w:lang w:eastAsia="zh-CN"/>
              </w:rPr>
              <w:t>，具有独立承担民事责任的能力，须提供有效的营业执照，且在人员、设备、资金等方面具有相应的供货能力</w:t>
            </w:r>
            <w:r>
              <w:rPr>
                <w:rFonts w:hint="eastAsia" w:ascii="宋体" w:hAnsi="宋体" w:eastAsia="宋体" w:cs="宋体"/>
                <w:color w:val="auto"/>
                <w:sz w:val="21"/>
                <w:szCs w:val="21"/>
                <w:highlight w:val="none"/>
                <w:lang w:eastAsia="zh-CN"/>
              </w:rPr>
              <w:t>。</w:t>
            </w:r>
          </w:p>
          <w:p w14:paraId="22C4C6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Cs w:val="21"/>
                <w:highlight w:val="none"/>
                <w:lang w:val="zh-CN"/>
              </w:rPr>
            </w:pPr>
            <w:r>
              <w:rPr>
                <w:rFonts w:hint="eastAsia" w:ascii="宋体" w:hAnsi="宋体" w:eastAsia="宋体" w:cs="宋体"/>
                <w:b/>
                <w:bCs w:val="0"/>
                <w:color w:val="auto"/>
                <w:szCs w:val="21"/>
                <w:highlight w:val="none"/>
                <w:lang w:eastAsia="zh-CN"/>
              </w:rPr>
              <w:t>响应文件</w:t>
            </w:r>
            <w:r>
              <w:rPr>
                <w:rFonts w:hint="eastAsia" w:ascii="宋体" w:hAnsi="宋体" w:eastAsia="宋体" w:cs="宋体"/>
                <w:b/>
                <w:bCs w:val="0"/>
                <w:color w:val="auto"/>
                <w:szCs w:val="21"/>
                <w:highlight w:val="none"/>
              </w:rPr>
              <w:t>内附</w:t>
            </w:r>
            <w:r>
              <w:rPr>
                <w:rFonts w:hint="eastAsia" w:ascii="宋体" w:hAnsi="宋体" w:eastAsia="宋体" w:cs="宋体"/>
                <w:b/>
                <w:bCs w:val="0"/>
                <w:color w:val="auto"/>
                <w:szCs w:val="21"/>
                <w:highlight w:val="none"/>
                <w:lang w:val="zh-CN"/>
              </w:rPr>
              <w:t>营业执照（副本）</w:t>
            </w:r>
            <w:r>
              <w:rPr>
                <w:rFonts w:hint="eastAsia" w:ascii="宋体" w:hAnsi="宋体" w:eastAsia="宋体" w:cs="宋体"/>
                <w:b/>
                <w:bCs w:val="0"/>
                <w:color w:val="auto"/>
                <w:szCs w:val="21"/>
                <w:highlight w:val="none"/>
              </w:rPr>
              <w:t>复印件加盖公章。</w:t>
            </w:r>
          </w:p>
        </w:tc>
      </w:tr>
      <w:tr w14:paraId="231D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Merge w:val="continue"/>
            <w:vAlign w:val="center"/>
          </w:tcPr>
          <w:p w14:paraId="400FDB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11A21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2331F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资格要求</w:t>
            </w:r>
          </w:p>
        </w:tc>
        <w:tc>
          <w:tcPr>
            <w:tcW w:w="5646" w:type="dxa"/>
            <w:vAlign w:val="center"/>
          </w:tcPr>
          <w:p w14:paraId="23F1BE60">
            <w:pPr>
              <w:spacing w:line="240" w:lineRule="auto"/>
              <w:rPr>
                <w:rFonts w:hint="eastAsia" w:ascii="宋体" w:hAnsi="宋体" w:eastAsia="宋体"/>
                <w:b w:val="0"/>
                <w:bCs/>
                <w:color w:val="auto"/>
                <w:szCs w:val="21"/>
                <w:highlight w:val="none"/>
                <w:lang w:eastAsia="zh-CN"/>
              </w:rPr>
            </w:pPr>
            <w:r>
              <w:rPr>
                <w:rFonts w:hint="eastAsia" w:ascii="宋体" w:hAnsi="宋体" w:eastAsia="宋体" w:cs="宋体"/>
                <w:b w:val="0"/>
                <w:bCs/>
                <w:color w:val="auto"/>
                <w:sz w:val="21"/>
                <w:szCs w:val="21"/>
                <w:highlight w:val="none"/>
                <w:lang w:val="en-US" w:eastAsia="zh-CN"/>
              </w:rPr>
              <w:t>供应商须</w:t>
            </w:r>
            <w:r>
              <w:rPr>
                <w:rFonts w:hint="eastAsia" w:ascii="宋体" w:hAnsi="宋体" w:eastAsia="宋体"/>
                <w:b w:val="0"/>
                <w:bCs/>
                <w:color w:val="auto"/>
                <w:szCs w:val="21"/>
                <w:highlight w:val="none"/>
                <w:lang w:val="en-US" w:eastAsia="zh-CN"/>
              </w:rPr>
              <w:t>具有农业主管部门颁发的有效期内的肥料登记证</w:t>
            </w:r>
            <w:r>
              <w:rPr>
                <w:rFonts w:hint="eastAsia" w:ascii="宋体" w:hAnsi="宋体" w:cs="宋体"/>
                <w:color w:val="auto"/>
                <w:szCs w:val="21"/>
                <w:highlight w:val="none"/>
                <w:lang w:eastAsia="zh-CN"/>
              </w:rPr>
              <w:t>（微生物肥料）</w:t>
            </w:r>
            <w:r>
              <w:rPr>
                <w:rFonts w:hint="eastAsia" w:ascii="宋体" w:hAnsi="宋体" w:eastAsia="宋体"/>
                <w:b w:val="0"/>
                <w:bCs/>
                <w:color w:val="auto"/>
                <w:szCs w:val="21"/>
                <w:highlight w:val="none"/>
                <w:lang w:eastAsia="zh-CN"/>
              </w:rPr>
              <w:t>。</w:t>
            </w:r>
          </w:p>
          <w:p w14:paraId="5E82F367">
            <w:pPr>
              <w:spacing w:line="240" w:lineRule="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如供应商是制造商，响应</w:t>
            </w:r>
            <w:r>
              <w:rPr>
                <w:rFonts w:hint="eastAsia" w:ascii="宋体" w:hAnsi="宋体" w:eastAsia="宋体" w:cs="宋体"/>
                <w:b/>
                <w:bCs w:val="0"/>
                <w:color w:val="auto"/>
                <w:sz w:val="21"/>
                <w:szCs w:val="21"/>
                <w:highlight w:val="none"/>
                <w:lang w:eastAsia="zh-CN"/>
              </w:rPr>
              <w:t>文件</w:t>
            </w:r>
            <w:r>
              <w:rPr>
                <w:rFonts w:hint="eastAsia" w:ascii="宋体" w:hAnsi="宋体" w:eastAsia="宋体" w:cs="宋体"/>
                <w:b/>
                <w:bCs w:val="0"/>
                <w:color w:val="auto"/>
                <w:sz w:val="21"/>
                <w:szCs w:val="21"/>
                <w:highlight w:val="none"/>
              </w:rPr>
              <w:t>内附</w:t>
            </w:r>
            <w:r>
              <w:rPr>
                <w:rFonts w:hint="eastAsia" w:ascii="宋体" w:hAnsi="宋体" w:eastAsia="宋体" w:cs="宋体"/>
                <w:b/>
                <w:bCs w:val="0"/>
                <w:color w:val="auto"/>
                <w:sz w:val="21"/>
                <w:szCs w:val="21"/>
                <w:highlight w:val="none"/>
                <w:lang w:val="en-US" w:eastAsia="zh-CN"/>
              </w:rPr>
              <w:t>登记证书</w:t>
            </w:r>
            <w:r>
              <w:rPr>
                <w:rFonts w:hint="eastAsia" w:ascii="宋体" w:hAnsi="宋体" w:eastAsia="宋体" w:cs="宋体"/>
                <w:b/>
                <w:bCs w:val="0"/>
                <w:color w:val="auto"/>
                <w:sz w:val="21"/>
                <w:szCs w:val="21"/>
                <w:highlight w:val="none"/>
              </w:rPr>
              <w:t>复印件加盖</w:t>
            </w:r>
            <w:r>
              <w:rPr>
                <w:rFonts w:hint="eastAsia" w:ascii="宋体" w:hAnsi="宋体" w:eastAsia="宋体" w:cs="宋体"/>
                <w:b/>
                <w:bCs w:val="0"/>
                <w:color w:val="auto"/>
                <w:sz w:val="21"/>
                <w:szCs w:val="21"/>
                <w:highlight w:val="none"/>
                <w:lang w:val="en-US" w:eastAsia="zh-CN"/>
              </w:rPr>
              <w:t>单位</w:t>
            </w:r>
            <w:r>
              <w:rPr>
                <w:rFonts w:hint="eastAsia" w:ascii="宋体" w:hAnsi="宋体" w:eastAsia="宋体" w:cs="宋体"/>
                <w:b/>
                <w:bCs w:val="0"/>
                <w:color w:val="auto"/>
                <w:sz w:val="21"/>
                <w:szCs w:val="21"/>
                <w:highlight w:val="none"/>
              </w:rPr>
              <w:t>公章</w:t>
            </w:r>
            <w:r>
              <w:rPr>
                <w:rFonts w:hint="eastAsia" w:ascii="宋体" w:hAnsi="宋体" w:eastAsia="宋体" w:cs="宋体"/>
                <w:b/>
                <w:bCs w:val="0"/>
                <w:color w:val="auto"/>
                <w:sz w:val="21"/>
                <w:szCs w:val="21"/>
                <w:highlight w:val="none"/>
                <w:lang w:eastAsia="zh-CN"/>
              </w:rPr>
              <w:t>；</w:t>
            </w:r>
          </w:p>
          <w:p w14:paraId="290C3A88">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b/>
                <w:bCs w:val="0"/>
                <w:color w:val="auto"/>
                <w:sz w:val="21"/>
                <w:szCs w:val="21"/>
                <w:highlight w:val="none"/>
                <w:lang w:val="en-US" w:eastAsia="zh-CN"/>
              </w:rPr>
              <w:t>如供应商为代理商，则须提供本单位为代理商的声明函（格式自拟）加盖单位公章。</w:t>
            </w:r>
          </w:p>
        </w:tc>
      </w:tr>
      <w:tr w14:paraId="4764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66" w:type="dxa"/>
            <w:vMerge w:val="continue"/>
            <w:vAlign w:val="center"/>
          </w:tcPr>
          <w:p w14:paraId="373CB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7A90CB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7881D42B">
            <w:pPr>
              <w:spacing w:line="24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 w:val="21"/>
                <w:szCs w:val="21"/>
                <w:highlight w:val="none"/>
              </w:rPr>
              <w:t>财务要求</w:t>
            </w:r>
          </w:p>
        </w:tc>
        <w:tc>
          <w:tcPr>
            <w:tcW w:w="5646" w:type="dxa"/>
            <w:vAlign w:val="center"/>
          </w:tcPr>
          <w:p w14:paraId="2F06B7B1">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cs="RLDHRH+å®ä½"/>
                <w:color w:val="auto"/>
                <w:szCs w:val="21"/>
                <w:highlight w:val="none"/>
              </w:rPr>
            </w:pPr>
            <w:r>
              <w:rPr>
                <w:rFonts w:hint="eastAsia" w:ascii="宋体" w:hAnsi="宋体" w:cs="RLDHRH+å®ä½"/>
                <w:color w:val="auto"/>
                <w:szCs w:val="21"/>
                <w:highlight w:val="none"/>
              </w:rPr>
              <w:t>具有经会计师事务所审计</w:t>
            </w:r>
            <w:r>
              <w:rPr>
                <w:rFonts w:hint="eastAsia" w:ascii="宋体" w:hAnsi="宋体" w:cs="RLDHRH+å®ä½"/>
                <w:color w:val="auto"/>
                <w:szCs w:val="21"/>
                <w:highlight w:val="none"/>
                <w:lang w:val="en-US" w:eastAsia="zh-CN"/>
              </w:rPr>
              <w:t>2024年</w:t>
            </w:r>
            <w:r>
              <w:rPr>
                <w:rFonts w:hint="eastAsia" w:ascii="宋体" w:hAnsi="宋体" w:cs="RLDHRH+å®ä½"/>
                <w:color w:val="auto"/>
                <w:szCs w:val="21"/>
                <w:highlight w:val="none"/>
              </w:rPr>
              <w:t>财务审计报告</w:t>
            </w:r>
            <w:r>
              <w:rPr>
                <w:rFonts w:hint="eastAsia" w:ascii="宋体" w:hAnsi="宋体" w:cs="RLDHRH+å®ä½"/>
                <w:color w:val="auto"/>
                <w:szCs w:val="21"/>
                <w:highlight w:val="none"/>
                <w:lang w:val="en-US" w:eastAsia="zh-CN"/>
              </w:rPr>
              <w:t>或银行资信证明。</w:t>
            </w:r>
          </w:p>
          <w:p w14:paraId="04F25EE5">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cs="宋体"/>
                <w:color w:val="auto"/>
                <w:highlight w:val="none"/>
              </w:rPr>
            </w:pP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内附</w:t>
            </w:r>
            <w:r>
              <w:rPr>
                <w:rFonts w:hint="eastAsia" w:ascii="宋体" w:hAnsi="宋体" w:cs="宋体"/>
                <w:b/>
                <w:color w:val="auto"/>
                <w:szCs w:val="21"/>
                <w:highlight w:val="none"/>
                <w:lang w:val="en-US" w:eastAsia="zh-CN"/>
              </w:rPr>
              <w:t>2024</w:t>
            </w:r>
            <w:r>
              <w:rPr>
                <w:rFonts w:hint="eastAsia" w:ascii="宋体" w:hAnsi="宋体" w:cs="宋体"/>
                <w:b/>
                <w:bCs/>
                <w:color w:val="auto"/>
                <w:szCs w:val="21"/>
                <w:highlight w:val="none"/>
                <w:lang w:val="zh-CN"/>
              </w:rPr>
              <w:t>年财务审计报告</w:t>
            </w:r>
            <w:r>
              <w:rPr>
                <w:rFonts w:hint="eastAsia" w:ascii="宋体" w:hAnsi="宋体" w:cs="宋体"/>
                <w:b/>
                <w:bCs/>
                <w:color w:val="auto"/>
                <w:szCs w:val="21"/>
                <w:highlight w:val="none"/>
                <w:lang w:val="en-US" w:eastAsia="zh-CN"/>
              </w:rPr>
              <w:t>或银行资信证明</w:t>
            </w:r>
            <w:r>
              <w:rPr>
                <w:rFonts w:hint="eastAsia" w:ascii="宋体" w:hAnsi="宋体" w:cs="宋体"/>
                <w:b/>
                <w:color w:val="auto"/>
                <w:szCs w:val="21"/>
                <w:highlight w:val="none"/>
              </w:rPr>
              <w:t>复印件并加盖公章。</w:t>
            </w:r>
          </w:p>
          <w:p w14:paraId="5D36F3BE">
            <w:pPr>
              <w:keepNext w:val="0"/>
              <w:keepLines w:val="0"/>
              <w:pageBreakBefore w:val="0"/>
              <w:widowControl w:val="0"/>
              <w:kinsoku/>
              <w:wordWrap/>
              <w:overflowPunct/>
              <w:topLinePunct w:val="0"/>
              <w:bidi w:val="0"/>
              <w:snapToGrid w:val="0"/>
              <w:spacing w:line="288" w:lineRule="auto"/>
              <w:textAlignment w:val="auto"/>
              <w:rPr>
                <w:rFonts w:hint="eastAsia" w:ascii="宋体" w:hAnsi="宋体" w:cs="宋体"/>
                <w:color w:val="auto"/>
                <w:szCs w:val="21"/>
                <w:highlight w:val="none"/>
                <w:lang w:val="zh-CN"/>
              </w:rPr>
            </w:pPr>
            <w:r>
              <w:rPr>
                <w:rFonts w:hint="eastAsia" w:ascii="宋体" w:hAnsi="宋体" w:cs="RLDHRH+å®ä½"/>
                <w:color w:val="auto"/>
                <w:szCs w:val="21"/>
                <w:highlight w:val="none"/>
              </w:rPr>
              <w:t>具有</w:t>
            </w:r>
            <w:r>
              <w:rPr>
                <w:rFonts w:hint="eastAsia" w:ascii="宋体" w:hAnsi="宋体" w:cs="RLDHRH+å®ä½"/>
                <w:color w:val="auto"/>
                <w:szCs w:val="21"/>
                <w:highlight w:val="none"/>
                <w:lang w:val="en-US" w:eastAsia="zh-CN"/>
              </w:rPr>
              <w:t>投标截止时间前近一年内任意一个月的</w:t>
            </w:r>
            <w:r>
              <w:rPr>
                <w:rFonts w:hint="eastAsia" w:ascii="宋体" w:hAnsi="宋体" w:cs="RLDHRH+å®ä½"/>
                <w:color w:val="auto"/>
                <w:szCs w:val="21"/>
                <w:highlight w:val="none"/>
              </w:rPr>
              <w:t>依法缴纳税收和依法缴纳社会保障资金的良好记录证明材料</w:t>
            </w:r>
            <w:r>
              <w:rPr>
                <w:rFonts w:hint="eastAsia" w:ascii="宋体" w:hAnsi="宋体" w:cs="宋体"/>
                <w:color w:val="auto"/>
                <w:szCs w:val="21"/>
                <w:highlight w:val="none"/>
                <w:lang w:val="zh-CN"/>
              </w:rPr>
              <w:t>。</w:t>
            </w:r>
          </w:p>
          <w:p w14:paraId="03479595">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响应文件内附证明材料加盖公章。</w:t>
            </w:r>
          </w:p>
        </w:tc>
      </w:tr>
      <w:tr w14:paraId="36A0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66" w:type="dxa"/>
            <w:vMerge w:val="continue"/>
            <w:vAlign w:val="center"/>
          </w:tcPr>
          <w:p w14:paraId="591B83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4A75F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597254D0">
            <w:pPr>
              <w:autoSpaceDE w:val="0"/>
              <w:autoSpaceDN w:val="0"/>
              <w:adjustRightInd w:val="0"/>
              <w:snapToGrid w:val="0"/>
              <w:spacing w:line="24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 w:val="21"/>
                <w:szCs w:val="21"/>
                <w:highlight w:val="none"/>
                <w:lang w:val="zh-CN"/>
              </w:rPr>
              <w:t>法人授权委托书（如有）</w:t>
            </w:r>
          </w:p>
        </w:tc>
        <w:tc>
          <w:tcPr>
            <w:tcW w:w="5646" w:type="dxa"/>
            <w:vAlign w:val="center"/>
          </w:tcPr>
          <w:p w14:paraId="74225B17">
            <w:pPr>
              <w:autoSpaceDE w:val="0"/>
              <w:autoSpaceDN w:val="0"/>
              <w:adjustRightInd w:val="0"/>
              <w:snapToGrid w:val="0"/>
              <w:spacing w:line="24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 w:val="21"/>
                <w:szCs w:val="21"/>
                <w:highlight w:val="none"/>
                <w:lang w:val="zh-CN"/>
              </w:rPr>
              <w:t>由法定代表人及委托代理人签字并加盖公章。</w:t>
            </w:r>
          </w:p>
        </w:tc>
      </w:tr>
      <w:tr w14:paraId="5007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66" w:type="dxa"/>
            <w:vMerge w:val="continue"/>
            <w:vAlign w:val="center"/>
          </w:tcPr>
          <w:p w14:paraId="1EC27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70D74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shd w:val="clear" w:color="auto" w:fill="auto"/>
            <w:vAlign w:val="center"/>
          </w:tcPr>
          <w:p w14:paraId="6D5DA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信誉要求</w:t>
            </w:r>
          </w:p>
        </w:tc>
        <w:tc>
          <w:tcPr>
            <w:tcW w:w="5646" w:type="dxa"/>
            <w:shd w:val="clear" w:color="auto" w:fill="auto"/>
            <w:vAlign w:val="center"/>
          </w:tcPr>
          <w:p w14:paraId="3C3AD9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楷体"/>
                <w:bCs/>
                <w:color w:val="auto"/>
                <w:szCs w:val="21"/>
                <w:highlight w:val="none"/>
                <w:lang w:val="zh-CN"/>
              </w:rPr>
            </w:pPr>
            <w:r>
              <w:rPr>
                <w:rFonts w:hint="eastAsia" w:ascii="宋体" w:hAnsi="宋体" w:eastAsia="宋体" w:cs="楷体"/>
                <w:color w:val="auto"/>
                <w:kern w:val="0"/>
                <w:szCs w:val="21"/>
                <w:highlight w:val="none"/>
                <w:lang w:val="zh-CN"/>
              </w:rPr>
              <w:t>①不接受被政府列入取消投标资格期限内的企业或个人参加投标。参加政府采购活动前3年内在经营活动中没有重大违法记录；②与采购人存在利害关系可能影响招标公正性的法人、其他组织或者个人，不得参加投标。单位负责人为同一人或者存在控股、管理关系的不同单位，不得参加同一标段投标或者未划分标段的同一采购项目投标。违反这两款规定的，相关投标均无效；③本项目不接受被列入失信被执行人、重大税收违法案件当事人名单、政府采购严重违法失信行为记录名单的</w:t>
            </w:r>
            <w:r>
              <w:rPr>
                <w:rFonts w:hint="eastAsia" w:ascii="宋体" w:hAnsi="宋体" w:eastAsia="宋体" w:cs="宋体"/>
                <w:color w:val="auto"/>
                <w:spacing w:val="0"/>
                <w:w w:val="100"/>
                <w:sz w:val="21"/>
                <w:szCs w:val="21"/>
                <w:highlight w:val="none"/>
                <w:lang w:val="en-US" w:eastAsia="zh-CN"/>
              </w:rPr>
              <w:t>投标人</w:t>
            </w:r>
            <w:r>
              <w:rPr>
                <w:rFonts w:hint="eastAsia" w:ascii="宋体" w:hAnsi="宋体" w:eastAsia="宋体" w:cs="楷体"/>
                <w:color w:val="auto"/>
                <w:kern w:val="0"/>
                <w:szCs w:val="21"/>
                <w:highlight w:val="none"/>
                <w:lang w:val="zh-CN"/>
              </w:rPr>
              <w:t>参与投标（详见财库[2016]125号文件）</w:t>
            </w:r>
            <w:r>
              <w:rPr>
                <w:rFonts w:hint="eastAsia" w:ascii="宋体" w:hAnsi="宋体" w:eastAsia="宋体" w:cs="楷体"/>
                <w:bCs/>
                <w:color w:val="auto"/>
                <w:szCs w:val="21"/>
                <w:highlight w:val="none"/>
                <w:lang w:val="zh-CN"/>
              </w:rPr>
              <w:t>。</w:t>
            </w:r>
          </w:p>
          <w:p w14:paraId="70EFF8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楷体"/>
                <w:b/>
                <w:bCs w:val="0"/>
                <w:color w:val="auto"/>
                <w:szCs w:val="21"/>
                <w:highlight w:val="none"/>
                <w:lang w:val="en-US" w:eastAsia="zh-CN"/>
              </w:rPr>
              <w:t>响应文件</w:t>
            </w:r>
            <w:r>
              <w:rPr>
                <w:rFonts w:hint="eastAsia" w:ascii="宋体" w:hAnsi="宋体" w:eastAsia="宋体" w:cs="楷体"/>
                <w:b/>
                <w:bCs w:val="0"/>
                <w:color w:val="auto"/>
                <w:szCs w:val="21"/>
                <w:highlight w:val="none"/>
                <w:lang w:val="zh-CN"/>
              </w:rPr>
              <w:t>内提供由法定代表人签字或盖章并加盖公章的承诺书。</w:t>
            </w:r>
          </w:p>
        </w:tc>
      </w:tr>
      <w:tr w14:paraId="320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66" w:type="dxa"/>
            <w:vMerge w:val="continue"/>
            <w:vAlign w:val="center"/>
          </w:tcPr>
          <w:p w14:paraId="2E4986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011EC1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shd w:val="clear" w:color="auto" w:fill="auto"/>
            <w:vAlign w:val="center"/>
          </w:tcPr>
          <w:p w14:paraId="1556467F">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en-US" w:eastAsia="zh-CN"/>
              </w:rPr>
              <w:t>中小企业声明函</w:t>
            </w:r>
          </w:p>
        </w:tc>
        <w:tc>
          <w:tcPr>
            <w:tcW w:w="5646" w:type="dxa"/>
            <w:shd w:val="clear" w:color="auto" w:fill="auto"/>
            <w:vAlign w:val="center"/>
          </w:tcPr>
          <w:p w14:paraId="79848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楷体"/>
                <w:color w:val="auto"/>
                <w:kern w:val="0"/>
                <w:szCs w:val="21"/>
                <w:highlight w:val="none"/>
                <w:lang w:val="en-US" w:eastAsia="zh-CN"/>
              </w:rPr>
            </w:pPr>
            <w:r>
              <w:rPr>
                <w:rFonts w:hint="eastAsia" w:ascii="宋体" w:hAnsi="宋体" w:eastAsia="宋体" w:cs="楷体"/>
                <w:color w:val="auto"/>
                <w:kern w:val="0"/>
                <w:szCs w:val="21"/>
                <w:highlight w:val="none"/>
                <w:lang w:val="zh-CN"/>
              </w:rPr>
              <w:t>本项目专门面向中小企业采购</w:t>
            </w:r>
            <w:r>
              <w:rPr>
                <w:rFonts w:hint="eastAsia" w:ascii="宋体" w:hAnsi="宋体" w:eastAsia="宋体" w:cs="楷体"/>
                <w:color w:val="auto"/>
                <w:kern w:val="0"/>
                <w:szCs w:val="21"/>
                <w:highlight w:val="none"/>
                <w:lang w:val="en-US" w:eastAsia="zh-CN"/>
              </w:rPr>
              <w:t>。</w:t>
            </w:r>
          </w:p>
          <w:p w14:paraId="7329C9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4"/>
                <w:lang w:val="zh-CN" w:eastAsia="zh-CN" w:bidi="ar-SA"/>
              </w:rPr>
            </w:pPr>
            <w:r>
              <w:rPr>
                <w:rFonts w:hint="eastAsia" w:ascii="宋体" w:hAnsi="宋体" w:eastAsia="宋体" w:cs="楷体"/>
                <w:b/>
                <w:bCs/>
                <w:color w:val="auto"/>
                <w:kern w:val="0"/>
                <w:szCs w:val="21"/>
                <w:highlight w:val="none"/>
                <w:lang w:val="en-US" w:eastAsia="zh-CN"/>
              </w:rPr>
              <w:t>响应文件内</w:t>
            </w:r>
            <w:r>
              <w:rPr>
                <w:rFonts w:hint="eastAsia" w:ascii="宋体" w:hAnsi="宋体" w:eastAsia="宋体" w:cs="楷体"/>
                <w:b/>
                <w:bCs/>
                <w:color w:val="auto"/>
                <w:kern w:val="0"/>
                <w:szCs w:val="21"/>
                <w:highlight w:val="none"/>
                <w:lang w:val="zh-CN" w:eastAsia="zh-CN"/>
              </w:rPr>
              <w:t>提供《中小企业声明函》</w:t>
            </w:r>
          </w:p>
        </w:tc>
      </w:tr>
      <w:tr w14:paraId="6D94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6" w:type="dxa"/>
            <w:vMerge w:val="restart"/>
            <w:vAlign w:val="center"/>
          </w:tcPr>
          <w:p w14:paraId="7A237E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p w14:paraId="4D6C4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p w14:paraId="6CFF2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2</w:t>
            </w:r>
          </w:p>
          <w:p w14:paraId="02530C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p w14:paraId="0F2F0A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p w14:paraId="0EEECB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p w14:paraId="7779A0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restart"/>
            <w:vAlign w:val="center"/>
          </w:tcPr>
          <w:p w14:paraId="69100F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符合性评审标准</w:t>
            </w:r>
          </w:p>
        </w:tc>
        <w:tc>
          <w:tcPr>
            <w:tcW w:w="1727" w:type="dxa"/>
            <w:shd w:val="clear" w:color="auto" w:fill="auto"/>
            <w:vAlign w:val="center"/>
          </w:tcPr>
          <w:p w14:paraId="59482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供应商名称</w:t>
            </w:r>
          </w:p>
        </w:tc>
        <w:tc>
          <w:tcPr>
            <w:tcW w:w="5646" w:type="dxa"/>
            <w:shd w:val="clear" w:color="auto" w:fill="auto"/>
            <w:vAlign w:val="center"/>
          </w:tcPr>
          <w:p w14:paraId="7E07C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与营业执照一致。</w:t>
            </w:r>
          </w:p>
        </w:tc>
      </w:tr>
      <w:tr w14:paraId="4375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6" w:type="dxa"/>
            <w:vMerge w:val="continue"/>
            <w:vAlign w:val="center"/>
          </w:tcPr>
          <w:p w14:paraId="54BCE0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632BC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shd w:val="clear" w:color="auto" w:fill="auto"/>
            <w:vAlign w:val="center"/>
          </w:tcPr>
          <w:p w14:paraId="0F7E09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sz w:val="21"/>
                <w:szCs w:val="21"/>
                <w:highlight w:val="none"/>
              </w:rPr>
              <w:t>报价函签字盖章</w:t>
            </w:r>
          </w:p>
        </w:tc>
        <w:tc>
          <w:tcPr>
            <w:tcW w:w="5646" w:type="dxa"/>
            <w:shd w:val="clear" w:color="auto" w:fill="auto"/>
            <w:vAlign w:val="center"/>
          </w:tcPr>
          <w:p w14:paraId="3EE1C8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有法定代表人或其委托代理人签字并加盖单位</w:t>
            </w:r>
            <w:r>
              <w:rPr>
                <w:rFonts w:hint="eastAsia" w:ascii="宋体" w:hAnsi="宋体" w:eastAsia="宋体" w:cs="宋体"/>
                <w:color w:val="auto"/>
                <w:highlight w:val="none"/>
              </w:rPr>
              <w:t>公</w:t>
            </w:r>
            <w:r>
              <w:rPr>
                <w:rFonts w:hint="eastAsia" w:ascii="宋体" w:hAnsi="宋体" w:eastAsia="宋体" w:cs="宋体"/>
                <w:bCs/>
                <w:color w:val="auto"/>
                <w:szCs w:val="21"/>
                <w:highlight w:val="none"/>
                <w:lang w:val="zh-CN"/>
              </w:rPr>
              <w:t>章。</w:t>
            </w:r>
          </w:p>
        </w:tc>
      </w:tr>
      <w:tr w14:paraId="4C73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6" w:type="dxa"/>
            <w:vMerge w:val="continue"/>
            <w:vAlign w:val="center"/>
          </w:tcPr>
          <w:p w14:paraId="0F8A8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2F0C9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shd w:val="clear" w:color="auto" w:fill="auto"/>
            <w:vAlign w:val="center"/>
          </w:tcPr>
          <w:p w14:paraId="51A30C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响应文件格式</w:t>
            </w:r>
          </w:p>
        </w:tc>
        <w:tc>
          <w:tcPr>
            <w:tcW w:w="5646" w:type="dxa"/>
            <w:shd w:val="clear" w:color="auto" w:fill="auto"/>
            <w:vAlign w:val="center"/>
          </w:tcPr>
          <w:p w14:paraId="47F00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符合第</w:t>
            </w:r>
            <w:r>
              <w:rPr>
                <w:rFonts w:hint="eastAsia" w:ascii="宋体" w:hAnsi="宋体" w:cs="宋体"/>
                <w:bCs/>
                <w:color w:val="auto"/>
                <w:szCs w:val="21"/>
                <w:highlight w:val="none"/>
                <w:lang w:val="en-US" w:eastAsia="zh-CN"/>
              </w:rPr>
              <w:t>六</w:t>
            </w:r>
            <w:r>
              <w:rPr>
                <w:rFonts w:hint="eastAsia" w:ascii="宋体" w:hAnsi="宋体" w:eastAsia="宋体" w:cs="宋体"/>
                <w:bCs/>
                <w:color w:val="auto"/>
                <w:szCs w:val="21"/>
                <w:highlight w:val="none"/>
                <w:lang w:val="zh-CN"/>
              </w:rPr>
              <w:t>章“</w:t>
            </w:r>
            <w:r>
              <w:rPr>
                <w:rFonts w:hint="eastAsia" w:ascii="宋体" w:hAnsi="宋体" w:eastAsia="宋体" w:cs="宋体"/>
                <w:color w:val="auto"/>
                <w:sz w:val="21"/>
                <w:szCs w:val="21"/>
                <w:highlight w:val="none"/>
              </w:rPr>
              <w:t>竞</w:t>
            </w:r>
            <w:r>
              <w:rPr>
                <w:rFonts w:hint="eastAsia" w:ascii="宋体" w:hAnsi="宋体" w:eastAsia="宋体" w:cs="宋体"/>
                <w:color w:val="auto"/>
                <w:sz w:val="21"/>
                <w:szCs w:val="21"/>
                <w:highlight w:val="none"/>
                <w:lang w:eastAsia="zh-CN"/>
              </w:rPr>
              <w:t>谈</w:t>
            </w:r>
            <w:r>
              <w:rPr>
                <w:rFonts w:hint="eastAsia" w:ascii="宋体" w:hAnsi="宋体" w:eastAsia="宋体" w:cs="宋体"/>
                <w:color w:val="auto"/>
                <w:sz w:val="21"/>
                <w:szCs w:val="21"/>
                <w:highlight w:val="none"/>
              </w:rPr>
              <w:t>响应文件内容及格式要求</w:t>
            </w:r>
            <w:r>
              <w:rPr>
                <w:rFonts w:hint="eastAsia" w:ascii="宋体" w:hAnsi="宋体" w:eastAsia="宋体" w:cs="宋体"/>
                <w:bCs/>
                <w:color w:val="auto"/>
                <w:szCs w:val="21"/>
                <w:highlight w:val="none"/>
                <w:lang w:val="zh-CN"/>
              </w:rPr>
              <w:t>”的要求。</w:t>
            </w:r>
          </w:p>
        </w:tc>
      </w:tr>
      <w:tr w14:paraId="0030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6" w:type="dxa"/>
            <w:vMerge w:val="continue"/>
            <w:vAlign w:val="center"/>
          </w:tcPr>
          <w:p w14:paraId="05CD3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57C58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shd w:val="clear" w:color="auto" w:fill="auto"/>
            <w:vAlign w:val="center"/>
          </w:tcPr>
          <w:p w14:paraId="7BED82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竞谈</w:t>
            </w:r>
            <w:r>
              <w:rPr>
                <w:rFonts w:hint="eastAsia" w:ascii="宋体" w:hAnsi="宋体" w:eastAsia="宋体" w:cs="宋体"/>
                <w:color w:val="auto"/>
                <w:szCs w:val="21"/>
                <w:highlight w:val="none"/>
              </w:rPr>
              <w:t>内容</w:t>
            </w:r>
          </w:p>
        </w:tc>
        <w:tc>
          <w:tcPr>
            <w:tcW w:w="5646" w:type="dxa"/>
            <w:shd w:val="clear" w:color="auto" w:fill="auto"/>
            <w:vAlign w:val="center"/>
          </w:tcPr>
          <w:p w14:paraId="7BFE20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符合第二章“</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须知前附表”规定</w:t>
            </w:r>
          </w:p>
        </w:tc>
      </w:tr>
      <w:tr w14:paraId="78FA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6" w:type="dxa"/>
            <w:vMerge w:val="continue"/>
            <w:vAlign w:val="center"/>
          </w:tcPr>
          <w:p w14:paraId="568ABA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4793CC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30C05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合同履行期限</w:t>
            </w:r>
          </w:p>
        </w:tc>
        <w:tc>
          <w:tcPr>
            <w:tcW w:w="5646" w:type="dxa"/>
            <w:vAlign w:val="center"/>
          </w:tcPr>
          <w:p w14:paraId="63637D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符合第二章“</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须知前附表”规定</w:t>
            </w:r>
          </w:p>
        </w:tc>
      </w:tr>
      <w:tr w14:paraId="43C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66" w:type="dxa"/>
            <w:vMerge w:val="continue"/>
            <w:vAlign w:val="center"/>
          </w:tcPr>
          <w:p w14:paraId="3708EF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6C02C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48727F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质量标准</w:t>
            </w:r>
          </w:p>
        </w:tc>
        <w:tc>
          <w:tcPr>
            <w:tcW w:w="5646" w:type="dxa"/>
            <w:vAlign w:val="center"/>
          </w:tcPr>
          <w:p w14:paraId="2313FF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符合国家标准《农用微生物菌剂》GB20287-2006</w:t>
            </w:r>
          </w:p>
        </w:tc>
      </w:tr>
      <w:tr w14:paraId="1D72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66" w:type="dxa"/>
            <w:vMerge w:val="continue"/>
            <w:vAlign w:val="center"/>
          </w:tcPr>
          <w:p w14:paraId="675B0A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0F7512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67256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eastAsia="zh-CN"/>
              </w:rPr>
              <w:t>竞谈</w:t>
            </w:r>
            <w:r>
              <w:rPr>
                <w:rFonts w:hint="eastAsia" w:ascii="宋体" w:hAnsi="宋体" w:eastAsia="宋体" w:cs="宋体"/>
                <w:bCs/>
                <w:color w:val="auto"/>
                <w:szCs w:val="21"/>
                <w:highlight w:val="none"/>
                <w:lang w:val="zh-CN"/>
              </w:rPr>
              <w:t>报价</w:t>
            </w:r>
          </w:p>
        </w:tc>
        <w:tc>
          <w:tcPr>
            <w:tcW w:w="5646" w:type="dxa"/>
            <w:vAlign w:val="center"/>
          </w:tcPr>
          <w:p w14:paraId="2D76B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谈判</w:t>
            </w:r>
            <w:r>
              <w:rPr>
                <w:rFonts w:hint="eastAsia" w:ascii="宋体" w:hAnsi="宋体" w:eastAsia="宋体" w:cs="宋体"/>
                <w:bCs/>
                <w:color w:val="auto"/>
                <w:szCs w:val="21"/>
                <w:highlight w:val="none"/>
              </w:rPr>
              <w:t>报价不得超过</w:t>
            </w:r>
            <w:r>
              <w:rPr>
                <w:rFonts w:hint="eastAsia" w:ascii="宋体" w:hAnsi="宋体" w:eastAsia="宋体" w:cs="宋体"/>
                <w:bCs/>
                <w:color w:val="auto"/>
                <w:szCs w:val="21"/>
                <w:highlight w:val="none"/>
                <w:lang w:val="en-US" w:eastAsia="zh-CN"/>
              </w:rPr>
              <w:t>预算金额</w:t>
            </w:r>
          </w:p>
        </w:tc>
      </w:tr>
      <w:tr w14:paraId="3370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66" w:type="dxa"/>
            <w:vMerge w:val="continue"/>
            <w:vAlign w:val="center"/>
          </w:tcPr>
          <w:p w14:paraId="46259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2E138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7A5024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竞谈</w:t>
            </w:r>
            <w:r>
              <w:rPr>
                <w:rFonts w:hint="eastAsia" w:ascii="宋体" w:hAnsi="宋体" w:eastAsia="宋体" w:cs="宋体"/>
                <w:color w:val="auto"/>
                <w:szCs w:val="21"/>
                <w:highlight w:val="none"/>
              </w:rPr>
              <w:t>有效期</w:t>
            </w:r>
          </w:p>
        </w:tc>
        <w:tc>
          <w:tcPr>
            <w:tcW w:w="5646" w:type="dxa"/>
            <w:vAlign w:val="center"/>
          </w:tcPr>
          <w:p w14:paraId="403765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w:t>
            </w:r>
          </w:p>
        </w:tc>
      </w:tr>
      <w:tr w14:paraId="18D3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6" w:type="dxa"/>
            <w:vMerge w:val="continue"/>
            <w:vAlign w:val="center"/>
          </w:tcPr>
          <w:p w14:paraId="0480AC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198D5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24FC8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权利义务</w:t>
            </w:r>
          </w:p>
        </w:tc>
        <w:tc>
          <w:tcPr>
            <w:tcW w:w="5646" w:type="dxa"/>
            <w:vAlign w:val="center"/>
          </w:tcPr>
          <w:p w14:paraId="551FCF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符合第四章“合同条款</w:t>
            </w:r>
            <w:r>
              <w:rPr>
                <w:rFonts w:hint="eastAsia" w:ascii="宋体" w:hAnsi="宋体" w:eastAsia="宋体" w:cs="宋体"/>
                <w:color w:val="auto"/>
                <w:szCs w:val="21"/>
                <w:highlight w:val="none"/>
                <w:lang w:eastAsia="zh-CN"/>
              </w:rPr>
              <w:t>及格式</w:t>
            </w:r>
            <w:r>
              <w:rPr>
                <w:rFonts w:hint="eastAsia" w:ascii="宋体" w:hAnsi="宋体" w:eastAsia="宋体" w:cs="宋体"/>
                <w:color w:val="auto"/>
                <w:szCs w:val="21"/>
                <w:highlight w:val="none"/>
              </w:rPr>
              <w:t>”规定</w:t>
            </w:r>
          </w:p>
        </w:tc>
      </w:tr>
      <w:tr w14:paraId="1A8F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66" w:type="dxa"/>
            <w:vMerge w:val="continue"/>
            <w:vAlign w:val="center"/>
          </w:tcPr>
          <w:p w14:paraId="364122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48338F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1F4421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供货要求</w:t>
            </w:r>
          </w:p>
        </w:tc>
        <w:tc>
          <w:tcPr>
            <w:tcW w:w="5646" w:type="dxa"/>
            <w:vAlign w:val="center"/>
          </w:tcPr>
          <w:p w14:paraId="34E520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大豆根瘤菌剂；产品形态：液体；有效成份及含量(有效活菌数)≥50亿/毫升；接种面积9万亩</w:t>
            </w:r>
          </w:p>
        </w:tc>
      </w:tr>
      <w:tr w14:paraId="3CD0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66" w:type="dxa"/>
            <w:vMerge w:val="continue"/>
            <w:vAlign w:val="center"/>
          </w:tcPr>
          <w:p w14:paraId="73A52D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073" w:type="dxa"/>
            <w:vMerge w:val="continue"/>
            <w:vAlign w:val="center"/>
          </w:tcPr>
          <w:p w14:paraId="16DD53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1727" w:type="dxa"/>
            <w:vAlign w:val="center"/>
          </w:tcPr>
          <w:p w14:paraId="030E8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646" w:type="dxa"/>
            <w:vAlign w:val="center"/>
          </w:tcPr>
          <w:p w14:paraId="6E1260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满足相关法律法规及</w:t>
            </w:r>
            <w:r>
              <w:rPr>
                <w:rFonts w:hint="eastAsia" w:ascii="宋体" w:hAnsi="宋体" w:eastAsia="宋体" w:cs="宋体"/>
                <w:bCs/>
                <w:color w:val="auto"/>
                <w:szCs w:val="21"/>
                <w:highlight w:val="none"/>
                <w:lang w:val="zh-CN"/>
              </w:rPr>
              <w:t>竞争性谈判</w:t>
            </w:r>
            <w:r>
              <w:rPr>
                <w:rFonts w:hint="eastAsia" w:ascii="宋体" w:hAnsi="宋体" w:eastAsia="宋体" w:cs="宋体"/>
                <w:color w:val="auto"/>
                <w:highlight w:val="none"/>
              </w:rPr>
              <w:t>文件</w:t>
            </w:r>
            <w:r>
              <w:rPr>
                <w:rFonts w:hint="eastAsia" w:ascii="宋体" w:hAnsi="宋体" w:eastAsia="宋体" w:cs="宋体"/>
                <w:color w:val="auto"/>
                <w:szCs w:val="21"/>
                <w:highlight w:val="none"/>
              </w:rPr>
              <w:t>的其他实质性要求</w:t>
            </w:r>
          </w:p>
        </w:tc>
      </w:tr>
    </w:tbl>
    <w:p w14:paraId="28A3E7B9">
      <w:pPr>
        <w:keepNext w:val="0"/>
        <w:keepLines w:val="0"/>
        <w:pageBreakBefore w:val="0"/>
        <w:widowControl w:val="0"/>
        <w:kinsoku/>
        <w:wordWrap/>
        <w:overflowPunct/>
        <w:topLinePunct w:val="0"/>
        <w:autoSpaceDE/>
        <w:autoSpaceDN/>
        <w:bidi w:val="0"/>
        <w:adjustRightInd/>
        <w:snapToGrid/>
        <w:spacing w:before="312" w:beforeLines="100" w:line="400" w:lineRule="exact"/>
        <w:ind w:right="-495" w:rightChars="-236"/>
        <w:textAlignment w:val="auto"/>
        <w:rPr>
          <w:rFonts w:hint="eastAsia" w:ascii="宋体" w:hAnsi="宋体" w:eastAsia="宋体" w:cs="宋体"/>
          <w:b/>
          <w:bCs/>
          <w:color w:val="auto"/>
          <w:sz w:val="18"/>
          <w:szCs w:val="18"/>
          <w:highlight w:val="none"/>
          <w:lang w:val="zh-CN"/>
        </w:rPr>
      </w:pPr>
      <w:r>
        <w:rPr>
          <w:rFonts w:hint="eastAsia" w:ascii="宋体" w:hAnsi="宋体" w:eastAsia="宋体" w:cs="宋体"/>
          <w:b/>
          <w:bCs/>
          <w:color w:val="auto"/>
          <w:sz w:val="18"/>
          <w:szCs w:val="18"/>
          <w:highlight w:val="none"/>
          <w:lang w:val="zh-CN"/>
        </w:rPr>
        <w:t>注：1、上述表中要求提供的证书、合同文件和相关证明文件等证件的复印件装订在</w:t>
      </w:r>
      <w:r>
        <w:rPr>
          <w:rFonts w:hint="eastAsia" w:ascii="宋体" w:hAnsi="宋体" w:eastAsia="宋体" w:cs="宋体"/>
          <w:b/>
          <w:bCs/>
          <w:color w:val="auto"/>
          <w:sz w:val="18"/>
          <w:szCs w:val="18"/>
          <w:highlight w:val="none"/>
          <w:lang w:val="zh-CN" w:eastAsia="zh-CN"/>
        </w:rPr>
        <w:t>响应</w:t>
      </w:r>
      <w:r>
        <w:rPr>
          <w:rFonts w:hint="eastAsia" w:ascii="宋体" w:hAnsi="宋体" w:eastAsia="宋体" w:cs="宋体"/>
          <w:b/>
          <w:bCs/>
          <w:color w:val="auto"/>
          <w:sz w:val="18"/>
          <w:szCs w:val="18"/>
          <w:highlight w:val="none"/>
          <w:lang w:val="zh-CN"/>
        </w:rPr>
        <w:t>文件中。</w:t>
      </w:r>
    </w:p>
    <w:p w14:paraId="247E6A21">
      <w:pPr>
        <w:keepNext w:val="0"/>
        <w:keepLines w:val="0"/>
        <w:pageBreakBefore w:val="0"/>
        <w:widowControl w:val="0"/>
        <w:kinsoku/>
        <w:wordWrap/>
        <w:overflowPunct/>
        <w:topLinePunct w:val="0"/>
        <w:autoSpaceDE/>
        <w:autoSpaceDN/>
        <w:bidi w:val="0"/>
        <w:adjustRightInd/>
        <w:snapToGrid/>
        <w:spacing w:line="400" w:lineRule="exact"/>
        <w:ind w:firstLine="372"/>
        <w:textAlignment w:val="auto"/>
        <w:rPr>
          <w:rFonts w:hint="eastAsia" w:ascii="宋体" w:hAnsi="宋体" w:eastAsia="宋体" w:cs="宋体"/>
          <w:b/>
          <w:bCs/>
          <w:color w:val="auto"/>
          <w:sz w:val="18"/>
          <w:szCs w:val="18"/>
          <w:highlight w:val="none"/>
          <w:lang w:val="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zh-CN"/>
        </w:rPr>
        <w:t>、上述内容中如某一证件正在年检或换证，需年检或换证部门出具有效证明方可确认。</w:t>
      </w:r>
    </w:p>
    <w:p w14:paraId="5925F23E">
      <w:pPr>
        <w:keepNext w:val="0"/>
        <w:keepLines w:val="0"/>
        <w:pageBreakBefore w:val="0"/>
        <w:widowControl w:val="0"/>
        <w:kinsoku/>
        <w:wordWrap/>
        <w:overflowPunct/>
        <w:topLinePunct w:val="0"/>
        <w:autoSpaceDE/>
        <w:autoSpaceDN/>
        <w:bidi w:val="0"/>
        <w:adjustRightInd/>
        <w:snapToGrid/>
        <w:spacing w:line="400" w:lineRule="exact"/>
        <w:ind w:firstLine="372"/>
        <w:textAlignment w:val="auto"/>
        <w:rPr>
          <w:rFonts w:hint="eastAsia" w:ascii="宋体" w:hAnsi="宋体" w:eastAsia="宋体" w:cs="宋体"/>
          <w:b/>
          <w:bCs/>
          <w:color w:val="auto"/>
          <w:sz w:val="18"/>
          <w:szCs w:val="18"/>
          <w:highlight w:val="none"/>
          <w:lang w:val="zh-CN"/>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zh-CN"/>
        </w:rPr>
        <w:t>、上述要求供应商有一项不合格的，视为未通过初步评审，将不再进入后续评审。</w:t>
      </w:r>
    </w:p>
    <w:p w14:paraId="636AF84C">
      <w:pPr>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eastAsia="zh-CN"/>
        </w:rPr>
        <w:t>1.评</w:t>
      </w:r>
      <w:r>
        <w:rPr>
          <w:rFonts w:hint="eastAsia" w:ascii="宋体" w:hAnsi="宋体" w:eastAsia="宋体" w:cs="宋体"/>
          <w:b/>
          <w:bCs/>
          <w:color w:val="auto"/>
          <w:sz w:val="21"/>
          <w:szCs w:val="21"/>
          <w:highlight w:val="none"/>
          <w:lang w:val="en-US" w:eastAsia="zh-CN"/>
        </w:rPr>
        <w:t>审</w:t>
      </w:r>
      <w:r>
        <w:rPr>
          <w:rFonts w:hint="eastAsia" w:ascii="宋体" w:hAnsi="宋体" w:eastAsia="宋体" w:cs="宋体"/>
          <w:b/>
          <w:bCs/>
          <w:color w:val="auto"/>
          <w:sz w:val="21"/>
          <w:szCs w:val="21"/>
          <w:highlight w:val="none"/>
          <w:lang w:eastAsia="zh-CN"/>
        </w:rPr>
        <w:t>方法</w:t>
      </w:r>
    </w:p>
    <w:p w14:paraId="2070DC4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采用最低评标价法。</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小组会对满足</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eastAsia="zh-CN"/>
        </w:rPr>
        <w:t>文件实质性要求的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文件，根据</w:t>
      </w:r>
      <w:r>
        <w:rPr>
          <w:rFonts w:hint="eastAsia" w:ascii="宋体" w:hAnsi="宋体" w:eastAsia="宋体" w:cs="宋体"/>
          <w:color w:val="auto"/>
          <w:sz w:val="21"/>
          <w:szCs w:val="21"/>
          <w:highlight w:val="none"/>
          <w:lang w:val="en-US" w:eastAsia="zh-CN"/>
        </w:rPr>
        <w:t>谈判报</w:t>
      </w:r>
      <w:r>
        <w:rPr>
          <w:rFonts w:hint="eastAsia" w:ascii="宋体" w:hAnsi="宋体" w:eastAsia="宋体" w:cs="宋体"/>
          <w:color w:val="auto"/>
          <w:sz w:val="21"/>
          <w:szCs w:val="21"/>
          <w:highlight w:val="none"/>
          <w:lang w:eastAsia="zh-CN"/>
        </w:rPr>
        <w:t>价由低到高的顺序推荐三名成交候选供应商，根据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人授权</w:t>
      </w:r>
      <w:r>
        <w:rPr>
          <w:rFonts w:hint="eastAsia" w:ascii="宋体" w:hAnsi="宋体" w:eastAsia="宋体" w:cs="宋体"/>
          <w:color w:val="auto"/>
          <w:sz w:val="21"/>
          <w:szCs w:val="21"/>
          <w:highlight w:val="none"/>
          <w:lang w:val="en-US" w:eastAsia="zh-CN"/>
        </w:rPr>
        <w:t>确认报价最低</w:t>
      </w:r>
      <w:r>
        <w:rPr>
          <w:rFonts w:hint="eastAsia" w:ascii="宋体" w:hAnsi="宋体" w:eastAsia="宋体" w:cs="宋体"/>
          <w:color w:val="auto"/>
          <w:sz w:val="21"/>
          <w:szCs w:val="21"/>
          <w:highlight w:val="none"/>
          <w:lang w:eastAsia="zh-CN"/>
        </w:rPr>
        <w:t>的为成交供应商，但投标报价低于其成本的除外。当供应商的投标价相等时，</w:t>
      </w:r>
      <w:r>
        <w:rPr>
          <w:rFonts w:hint="eastAsia" w:ascii="宋体" w:hAnsi="宋体" w:eastAsia="宋体" w:cs="宋体"/>
          <w:color w:val="auto"/>
          <w:sz w:val="21"/>
          <w:szCs w:val="21"/>
          <w:highlight w:val="none"/>
          <w:lang w:val="en-US" w:eastAsia="zh-CN"/>
        </w:rPr>
        <w:t>由谈判小组根据响应文件对竞争性谈判文件的响应情况</w:t>
      </w:r>
      <w:r>
        <w:rPr>
          <w:rFonts w:hint="eastAsia" w:ascii="宋体" w:hAnsi="宋体" w:eastAsia="宋体" w:cs="宋体"/>
          <w:color w:val="auto"/>
          <w:sz w:val="21"/>
          <w:szCs w:val="21"/>
          <w:highlight w:val="none"/>
          <w:lang w:eastAsia="zh-CN"/>
        </w:rPr>
        <w:t>确定中标人。</w:t>
      </w:r>
    </w:p>
    <w:p w14:paraId="2BA7EA94">
      <w:pPr>
        <w:spacing w:line="360" w:lineRule="auto"/>
        <w:ind w:firstLine="420" w:firstLineChars="200"/>
        <w:rPr>
          <w:rFonts w:hint="eastAsia" w:ascii="宋体" w:hAnsi="宋体" w:eastAsia="宋体" w:cs="宋体"/>
          <w:b/>
          <w:bCs/>
          <w:color w:val="auto"/>
          <w:sz w:val="21"/>
          <w:szCs w:val="21"/>
          <w:highlight w:val="none"/>
          <w:lang w:eastAsia="zh-CN"/>
        </w:rPr>
      </w:pPr>
      <w:bookmarkStart w:id="130" w:name="_bookmark95"/>
      <w:bookmarkEnd w:id="130"/>
      <w:bookmarkStart w:id="131" w:name="_Toc508727470"/>
      <w:r>
        <w:rPr>
          <w:rFonts w:hint="eastAsia" w:ascii="宋体" w:hAnsi="宋体" w:eastAsia="宋体" w:cs="宋体"/>
          <w:b/>
          <w:bCs/>
          <w:color w:val="auto"/>
          <w:sz w:val="21"/>
          <w:szCs w:val="21"/>
          <w:highlight w:val="none"/>
          <w:lang w:eastAsia="zh-CN"/>
        </w:rPr>
        <w:t>2.评审标准</w:t>
      </w:r>
      <w:bookmarkEnd w:id="131"/>
    </w:p>
    <w:p w14:paraId="750D78DD">
      <w:pPr>
        <w:spacing w:line="360" w:lineRule="auto"/>
        <w:ind w:firstLine="420" w:firstLineChars="200"/>
        <w:rPr>
          <w:rFonts w:hint="eastAsia" w:ascii="宋体" w:hAnsi="宋体" w:eastAsia="宋体" w:cs="宋体"/>
          <w:color w:val="auto"/>
          <w:sz w:val="21"/>
          <w:szCs w:val="21"/>
          <w:highlight w:val="none"/>
          <w:lang w:eastAsia="zh-CN"/>
        </w:rPr>
      </w:pPr>
      <w:bookmarkStart w:id="132" w:name="_bookmark96"/>
      <w:bookmarkEnd w:id="132"/>
      <w:r>
        <w:rPr>
          <w:rFonts w:hint="eastAsia" w:ascii="宋体" w:hAnsi="宋体" w:eastAsia="宋体" w:cs="宋体"/>
          <w:color w:val="auto"/>
          <w:sz w:val="21"/>
          <w:szCs w:val="21"/>
          <w:highlight w:val="none"/>
          <w:lang w:eastAsia="zh-CN"/>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初步评审标准</w:t>
      </w:r>
    </w:p>
    <w:p w14:paraId="090BFF7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资格评审标准：见评审方法前附表。</w:t>
      </w:r>
    </w:p>
    <w:p w14:paraId="5BEFC7B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符合性评审标准</w:t>
      </w:r>
      <w:r>
        <w:rPr>
          <w:rFonts w:hint="eastAsia" w:ascii="宋体" w:hAnsi="宋体" w:eastAsia="宋体" w:cs="宋体"/>
          <w:color w:val="auto"/>
          <w:sz w:val="21"/>
          <w:szCs w:val="21"/>
          <w:highlight w:val="none"/>
          <w:lang w:eastAsia="zh-CN"/>
        </w:rPr>
        <w:t>：见评审方法前附表。</w:t>
      </w:r>
    </w:p>
    <w:p w14:paraId="3B8A6E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highlight w:val="none"/>
          <w:lang w:eastAsia="zh-CN"/>
        </w:rPr>
        <w:t>评标价</w:t>
      </w:r>
      <w:r>
        <w:rPr>
          <w:rFonts w:hint="eastAsia" w:ascii="宋体" w:hAnsi="宋体" w:eastAsia="宋体" w:cs="宋体"/>
          <w:color w:val="auto"/>
          <w:highlight w:val="none"/>
        </w:rPr>
        <w:t>评</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标准</w:t>
      </w:r>
      <w:r>
        <w:rPr>
          <w:rFonts w:hint="eastAsia" w:ascii="宋体" w:hAnsi="宋体" w:eastAsia="宋体" w:cs="宋体"/>
          <w:color w:val="auto"/>
          <w:sz w:val="21"/>
          <w:szCs w:val="21"/>
          <w:highlight w:val="none"/>
          <w:lang w:eastAsia="zh-CN"/>
        </w:rPr>
        <w:t>：见评审方法前附表。</w:t>
      </w:r>
    </w:p>
    <w:p w14:paraId="328A74CA">
      <w:pPr>
        <w:spacing w:line="360" w:lineRule="auto"/>
        <w:ind w:firstLine="420" w:firstLineChars="200"/>
        <w:rPr>
          <w:rFonts w:hint="eastAsia" w:ascii="宋体" w:hAnsi="宋体" w:eastAsia="宋体" w:cs="宋体"/>
          <w:b/>
          <w:bCs/>
          <w:color w:val="auto"/>
          <w:sz w:val="21"/>
          <w:szCs w:val="21"/>
          <w:highlight w:val="none"/>
          <w:lang w:eastAsia="zh-CN"/>
        </w:rPr>
      </w:pPr>
      <w:bookmarkStart w:id="133" w:name="_bookmark98"/>
      <w:bookmarkEnd w:id="133"/>
      <w:bookmarkStart w:id="134" w:name="_bookmark97"/>
      <w:bookmarkEnd w:id="134"/>
      <w:bookmarkStart w:id="135" w:name="_Toc508727471"/>
      <w:r>
        <w:rPr>
          <w:rFonts w:hint="eastAsia" w:ascii="宋体" w:hAnsi="宋体" w:eastAsia="宋体" w:cs="宋体"/>
          <w:b/>
          <w:bCs/>
          <w:color w:val="auto"/>
          <w:sz w:val="21"/>
          <w:szCs w:val="21"/>
          <w:highlight w:val="none"/>
          <w:lang w:eastAsia="zh-CN"/>
        </w:rPr>
        <w:t>3.评标程序</w:t>
      </w:r>
      <w:bookmarkEnd w:id="135"/>
    </w:p>
    <w:p w14:paraId="3B54B5E8">
      <w:pPr>
        <w:pStyle w:val="36"/>
        <w:spacing w:line="360" w:lineRule="auto"/>
        <w:ind w:left="0" w:right="0" w:firstLine="420" w:firstLineChars="200"/>
        <w:contextualSpacing/>
        <w:rPr>
          <w:rFonts w:hint="eastAsia" w:ascii="宋体" w:hAnsi="宋体" w:eastAsia="宋体" w:cs="宋体"/>
          <w:color w:val="auto"/>
          <w:sz w:val="21"/>
          <w:szCs w:val="21"/>
          <w:highlight w:val="none"/>
          <w:lang w:val="en-US" w:eastAsia="zh-CN"/>
        </w:rPr>
      </w:pPr>
      <w:bookmarkStart w:id="136" w:name="_bookmark99"/>
      <w:bookmarkEnd w:id="136"/>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组成谈判小组</w:t>
      </w:r>
    </w:p>
    <w:p w14:paraId="0D6D15DF">
      <w:pPr>
        <w:pStyle w:val="36"/>
        <w:spacing w:line="360" w:lineRule="auto"/>
        <w:ind w:left="0" w:right="0"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 谈判小组是从依法设立的评标专家库中随机抽取的技术、经济方面专家组成，成员人数为3人。</w:t>
      </w:r>
    </w:p>
    <w:p w14:paraId="17759847">
      <w:pPr>
        <w:pStyle w:val="36"/>
        <w:spacing w:line="360" w:lineRule="auto"/>
        <w:ind w:left="0" w:right="0"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 为保证谈判工作的顺利进行，谈判设1名负责人，负责谈判全面工作。谈判负责人由谈判小组成员推举产生，谈判负责人与谈判小组的其他成员有同等的表决权。</w:t>
      </w:r>
    </w:p>
    <w:p w14:paraId="214C2242">
      <w:pPr>
        <w:pStyle w:val="36"/>
        <w:spacing w:line="360" w:lineRule="auto"/>
        <w:ind w:left="0" w:right="0" w:firstLine="420" w:firstLineChars="200"/>
        <w:contextualSpacing/>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3.2 </w:t>
      </w:r>
      <w:r>
        <w:rPr>
          <w:rFonts w:hint="eastAsia" w:ascii="宋体" w:hAnsi="宋体" w:eastAsia="宋体" w:cs="宋体"/>
          <w:b/>
          <w:bCs/>
          <w:color w:val="auto"/>
          <w:sz w:val="21"/>
          <w:szCs w:val="21"/>
          <w:highlight w:val="none"/>
          <w:lang w:eastAsia="zh-CN"/>
        </w:rPr>
        <w:t>资格审查</w:t>
      </w:r>
    </w:p>
    <w:p w14:paraId="55212C0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3.2.1 </w:t>
      </w:r>
      <w:r>
        <w:rPr>
          <w:rFonts w:hint="eastAsia" w:ascii="宋体" w:hAnsi="宋体" w:eastAsia="宋体" w:cs="宋体"/>
          <w:color w:val="auto"/>
          <w:sz w:val="21"/>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3A9AE0A6">
      <w:pPr>
        <w:spacing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3.2.2 </w:t>
      </w:r>
      <w:r>
        <w:rPr>
          <w:rFonts w:hint="eastAsia" w:ascii="宋体" w:hAnsi="宋体" w:eastAsia="宋体" w:cs="宋体"/>
          <w:color w:val="auto"/>
          <w:sz w:val="21"/>
          <w:szCs w:val="21"/>
          <w:highlight w:val="none"/>
        </w:rPr>
        <w:t>供应商应提供</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文件要求的资格证明文件。</w:t>
      </w:r>
    </w:p>
    <w:p w14:paraId="77C8C5C6">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kern w:val="0"/>
          <w:sz w:val="21"/>
          <w:szCs w:val="21"/>
          <w:highlight w:val="none"/>
          <w:shd w:val="clear" w:color="auto" w:fill="auto"/>
          <w:lang w:val="en-US" w:eastAsia="zh-CN"/>
        </w:rPr>
        <w:t>3.2.3 供应商的投标报价异常低价的，根据《关于推动解决政府采购异常低价问题的通知》财库〔2026〕2号规定，启动异常低价投标（响应）审查程序。评审委员会启动异常低价投标（响应）审查后，属于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60分钟。其中，属于第3项情形，供应商已随投标（响应）文件一并提交相关书面说明及必要的证明材料的，在评审现场可不再重复提交。</w:t>
      </w:r>
    </w:p>
    <w:p w14:paraId="22CCBA6E">
      <w:pPr>
        <w:pStyle w:val="36"/>
        <w:spacing w:line="360" w:lineRule="auto"/>
        <w:ind w:left="0" w:right="0" w:firstLine="420"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3.3 </w:t>
      </w:r>
      <w:r>
        <w:rPr>
          <w:rFonts w:hint="eastAsia" w:ascii="宋体" w:hAnsi="宋体" w:eastAsia="宋体" w:cs="宋体"/>
          <w:b/>
          <w:color w:val="auto"/>
          <w:sz w:val="21"/>
          <w:szCs w:val="21"/>
          <w:highlight w:val="none"/>
        </w:rPr>
        <w:t>谈判</w:t>
      </w:r>
    </w:p>
    <w:p w14:paraId="6AB2B06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 谈判小组所有成员应当集中与单一供应商分别进行谈判，并给予所有参加谈判的供应商平等的谈判机会。</w:t>
      </w:r>
    </w:p>
    <w:p w14:paraId="51CE749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 在谈判过程中，谈判小组可以根据谈判文件和谈判情况实质性变动采购需求中的技术、质量要求以及合同草案条款，但不得变动谈判文件中的其他内容。实质性变动的内容，须经采购人代表确认。</w:t>
      </w:r>
    </w:p>
    <w:p w14:paraId="00D63DA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 对谈判文件作出的实质性变动是谈判文件的有效组成部分，谈判小组应当及时以书面形式同时通知所有参加谈判的供应商。</w:t>
      </w:r>
    </w:p>
    <w:p w14:paraId="7948B08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 供应商应当按照谈判文件的变动情况和谈判小组的要求重新提交响应文件，并由其法定代表人或委托代理人签字或者加盖公章。由委托代理人签字的，应当附法定代表人授权书。供应商为自然人的，应当由本人签字并附身份证明。</w:t>
      </w:r>
    </w:p>
    <w:p w14:paraId="15DFC94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 谈判文件能够详细列明采购标的的技术、服务要求的，谈判结束后，谈判小组应当要求所有继续参加谈判的供应商在规定时间内提交最后报价，提交最后报价的供应商不得少于3家。</w:t>
      </w:r>
    </w:p>
    <w:p w14:paraId="71C0B86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 谈判文件不能详细列明采购标的的技术、质量要求，需经谈判由供应商提供最终设计方案或解决方案的，谈判结束后，谈判小组应当按照少数服从多数的原则投票推荐3家以上供应商的设计方案或者解决方案，并要求其在规定时间内提交最后报价。</w:t>
      </w:r>
    </w:p>
    <w:p w14:paraId="3161501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 最后报价是供应商响应文件的有效组成部分。</w:t>
      </w:r>
    </w:p>
    <w:p w14:paraId="4119EF0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 在竞谈过程中，竞谈的任何一方不得向他人透露与竞谈有关的技术资料或其他信息。</w:t>
      </w:r>
    </w:p>
    <w:p w14:paraId="31844D41">
      <w:pPr>
        <w:pStyle w:val="36"/>
        <w:spacing w:line="360" w:lineRule="auto"/>
        <w:ind w:left="0" w:righ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 xml:space="preserve">3.4 </w:t>
      </w:r>
      <w:r>
        <w:rPr>
          <w:rFonts w:hint="eastAsia" w:ascii="宋体" w:hAnsi="宋体" w:eastAsia="宋体" w:cs="宋体"/>
          <w:b/>
          <w:color w:val="auto"/>
          <w:sz w:val="21"/>
          <w:szCs w:val="21"/>
          <w:highlight w:val="none"/>
        </w:rPr>
        <w:t>结论</w:t>
      </w:r>
    </w:p>
    <w:p w14:paraId="3F5211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谈判小组应当从质量和</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均能满足采购文件实质性响应要求的供应商中，按照最后报价由低到高的顺序提出3名以上成交候选人，并</w:t>
      </w:r>
      <w:r>
        <w:rPr>
          <w:rFonts w:hint="eastAsia" w:ascii="宋体" w:hAnsi="宋体" w:eastAsia="宋体" w:cs="宋体"/>
          <w:color w:val="auto"/>
          <w:sz w:val="21"/>
          <w:szCs w:val="21"/>
          <w:highlight w:val="none"/>
          <w:lang w:val="en-US" w:eastAsia="zh-CN"/>
        </w:rPr>
        <w:t>确定成交人</w:t>
      </w:r>
      <w:r>
        <w:rPr>
          <w:rFonts w:hint="eastAsia" w:ascii="宋体" w:hAnsi="宋体" w:eastAsia="宋体" w:cs="宋体"/>
          <w:color w:val="auto"/>
          <w:sz w:val="21"/>
          <w:szCs w:val="21"/>
          <w:highlight w:val="none"/>
        </w:rPr>
        <w:t>。</w:t>
      </w:r>
    </w:p>
    <w:p w14:paraId="7BBB313D">
      <w:pPr>
        <w:pStyle w:val="36"/>
        <w:spacing w:line="360" w:lineRule="auto"/>
        <w:ind w:left="0" w:right="0" w:firstLine="420" w:firstLineChars="200"/>
        <w:contextualSpacing/>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3.5 </w:t>
      </w:r>
      <w:r>
        <w:rPr>
          <w:rFonts w:hint="eastAsia" w:ascii="宋体" w:hAnsi="宋体" w:eastAsia="宋体" w:cs="宋体"/>
          <w:b/>
          <w:bCs/>
          <w:color w:val="auto"/>
          <w:sz w:val="21"/>
          <w:szCs w:val="21"/>
          <w:highlight w:val="none"/>
          <w:lang w:eastAsia="zh-CN"/>
        </w:rPr>
        <w:t>谈判报告</w:t>
      </w:r>
    </w:p>
    <w:p w14:paraId="1459B4BD">
      <w:pPr>
        <w:pStyle w:val="25"/>
        <w:spacing w:line="360" w:lineRule="auto"/>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SA"/>
        </w:rPr>
        <w:t>谈判工作结束时，谈判小组将本项目评审结果向采购人提交书面《谈判工作报告》,各谈判小组成员对谈判报告内容讨论通过后，在《谈判报告》上签字，对谈判报告予以确认。</w:t>
      </w:r>
    </w:p>
    <w:p w14:paraId="14668DBD">
      <w:pPr>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备注：供应商在二</w:t>
      </w:r>
      <w:r>
        <w:rPr>
          <w:rFonts w:hint="eastAsia" w:ascii="宋体" w:hAnsi="宋体" w:eastAsia="宋体" w:cs="宋体"/>
          <w:b/>
          <w:bCs/>
          <w:color w:val="auto"/>
          <w:sz w:val="21"/>
          <w:szCs w:val="21"/>
          <w:highlight w:val="none"/>
          <w:lang w:val="en-US" w:eastAsia="zh-CN"/>
        </w:rPr>
        <w:t>次</w:t>
      </w:r>
      <w:r>
        <w:rPr>
          <w:rFonts w:hint="eastAsia" w:ascii="宋体" w:hAnsi="宋体" w:eastAsia="宋体" w:cs="宋体"/>
          <w:b/>
          <w:bCs/>
          <w:color w:val="auto"/>
          <w:sz w:val="21"/>
          <w:szCs w:val="21"/>
          <w:highlight w:val="none"/>
        </w:rPr>
        <w:t>报价恶意低价导致无法履行合同的，将按采购法律、法规进行处理</w:t>
      </w:r>
    </w:p>
    <w:p w14:paraId="0A69178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6A4CD67">
      <w:pPr>
        <w:spacing w:line="312" w:lineRule="auto"/>
        <w:rPr>
          <w:rFonts w:hint="eastAsia" w:ascii="宋体" w:hAnsi="宋体" w:cs="宋体"/>
          <w:color w:val="auto"/>
          <w:szCs w:val="21"/>
          <w:highlight w:val="none"/>
        </w:rPr>
      </w:pPr>
      <w:r>
        <w:rPr>
          <w:rFonts w:hint="eastAsia" w:ascii="宋体" w:hAnsi="宋体" w:cs="宋体"/>
          <w:b/>
          <w:color w:val="auto"/>
          <w:szCs w:val="21"/>
          <w:highlight w:val="none"/>
        </w:rPr>
        <w:t>附件：</w:t>
      </w:r>
    </w:p>
    <w:p w14:paraId="3B5ADA2B">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财政部 司法部关于政府采购支持监狱企业发展有关问题的通知</w:t>
      </w:r>
    </w:p>
    <w:p w14:paraId="2F38D6AE">
      <w:pPr>
        <w:spacing w:line="360" w:lineRule="auto"/>
        <w:jc w:val="center"/>
        <w:rPr>
          <w:rFonts w:hint="eastAsia" w:ascii="宋体" w:hAnsi="宋体" w:cs="宋体"/>
          <w:color w:val="auto"/>
          <w:szCs w:val="21"/>
          <w:highlight w:val="none"/>
        </w:rPr>
      </w:pPr>
      <w:r>
        <w:rPr>
          <w:rFonts w:hint="eastAsia" w:ascii="宋体" w:hAnsi="宋体" w:cs="宋体"/>
          <w:b/>
          <w:color w:val="auto"/>
          <w:kern w:val="0"/>
          <w:szCs w:val="21"/>
          <w:highlight w:val="none"/>
        </w:rPr>
        <w:t>(财库〔2014〕68号)</w:t>
      </w:r>
    </w:p>
    <w:p w14:paraId="7E53CEB7">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71438D0">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43B6939C">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3A9FAA6">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二、在政府采购活动中，监狱企业视同小型、微型企业，享受预留份额、评审中价格扣除等政府采购促进中小企业发展的政府采购政策。向监狱企业采购的金额，计入面向中小企业采购的统计数据。</w:t>
      </w:r>
    </w:p>
    <w:p w14:paraId="6A993990">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D7465B4">
      <w:pPr>
        <w:spacing w:line="34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四、各地区可以结合本地区实际，对监狱企业生产的办公用品、家具用具、车辆维修和提供的保养服务、消防设备等，提出预留份额等政府采购支持措施，加大对监狱企业产品的采购力度。</w:t>
      </w:r>
    </w:p>
    <w:p w14:paraId="0BF9D8B1">
      <w:pPr>
        <w:spacing w:line="348" w:lineRule="auto"/>
        <w:ind w:firstLine="420" w:firstLineChars="200"/>
        <w:rPr>
          <w:rFonts w:hint="eastAsia" w:ascii="宋体" w:hAnsi="宋体" w:cs="宋体"/>
          <w:color w:val="auto"/>
          <w:szCs w:val="21"/>
          <w:highlight w:val="none"/>
        </w:rPr>
        <w:sectPr>
          <w:footerReference r:id="rId6" w:type="first"/>
          <w:footerReference r:id="rId5" w:type="default"/>
          <w:pgSz w:w="11906" w:h="16838"/>
          <w:pgMar w:top="1417" w:right="1417" w:bottom="1417" w:left="1417" w:header="851" w:footer="992" w:gutter="0"/>
          <w:pgNumType w:fmt="decimal" w:start="1"/>
          <w:cols w:space="720" w:num="1"/>
          <w:titlePg/>
          <w:docGrid w:type="linesAndChars" w:linePitch="312" w:charSpace="200"/>
        </w:sectPr>
      </w:pPr>
      <w:r>
        <w:rPr>
          <w:rFonts w:hint="eastAsia" w:ascii="宋体" w:hAnsi="宋体" w:cs="宋体"/>
          <w:color w:val="auto"/>
          <w:szCs w:val="21"/>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4915D36">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关于促进残疾人就业政府采购政策的通知</w:t>
      </w:r>
    </w:p>
    <w:p w14:paraId="3CBE7C64">
      <w:pPr>
        <w:pStyle w:val="23"/>
        <w:jc w:val="center"/>
        <w:rPr>
          <w:rFonts w:hint="eastAsia" w:ascii="宋体" w:hAnsi="宋体"/>
          <w:b/>
          <w:bCs/>
          <w:color w:val="auto"/>
          <w:sz w:val="21"/>
          <w:szCs w:val="21"/>
          <w:highlight w:val="none"/>
        </w:rPr>
      </w:pPr>
      <w:bookmarkStart w:id="137" w:name="sendNo"/>
      <w:r>
        <w:rPr>
          <w:rFonts w:hint="eastAsia" w:ascii="宋体" w:hAnsi="宋体"/>
          <w:b/>
          <w:bCs/>
          <w:color w:val="auto"/>
          <w:sz w:val="21"/>
          <w:szCs w:val="21"/>
          <w:highlight w:val="none"/>
          <w:shd w:val="clear" w:color="auto" w:fill="FFFFFF"/>
        </w:rPr>
        <w:t>财库〔</w:t>
      </w:r>
      <w:bookmarkEnd w:id="137"/>
      <w:r>
        <w:rPr>
          <w:rFonts w:hint="eastAsia" w:ascii="宋体" w:hAnsi="宋体"/>
          <w:b/>
          <w:bCs/>
          <w:color w:val="auto"/>
          <w:sz w:val="21"/>
          <w:szCs w:val="21"/>
          <w:highlight w:val="none"/>
          <w:shd w:val="clear" w:color="auto" w:fill="FFFFFF"/>
        </w:rPr>
        <w:t>2017〕141号</w:t>
      </w:r>
    </w:p>
    <w:p w14:paraId="536B6925">
      <w:pPr>
        <w:pStyle w:val="23"/>
        <w:spacing w:line="360" w:lineRule="auto"/>
        <w:ind w:firstLine="420" w:firstLineChars="200"/>
        <w:jc w:val="both"/>
        <w:rPr>
          <w:rFonts w:hint="eastAsia" w:ascii="宋体" w:hAnsi="宋体"/>
          <w:color w:val="auto"/>
          <w:sz w:val="21"/>
          <w:szCs w:val="21"/>
          <w:highlight w:val="none"/>
        </w:rPr>
      </w:pPr>
      <w:bookmarkStart w:id="138" w:name="toDeptId"/>
      <w:r>
        <w:rPr>
          <w:rFonts w:hint="eastAsia" w:ascii="宋体" w:hAnsi="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38"/>
      <w:r>
        <w:rPr>
          <w:rFonts w:hint="eastAsia" w:ascii="宋体" w:hAnsi="宋体"/>
          <w:color w:val="auto"/>
          <w:sz w:val="21"/>
          <w:szCs w:val="21"/>
          <w:highlight w:val="none"/>
          <w:shd w:val="clear" w:color="auto" w:fill="FFFFFF"/>
        </w:rPr>
        <w:t>：</w:t>
      </w:r>
    </w:p>
    <w:p w14:paraId="6F4E5F23">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5224CCA4">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一、享受政府采购支持政策的残疾人福利性单位应当同时满足以下条件：</w:t>
      </w:r>
    </w:p>
    <w:p w14:paraId="6D652B16">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（一）安置的残疾人占本单位在职职工人数的比例不低于25%（含25%），并且安置的残疾人人数不少于10人（含10人）；</w:t>
      </w:r>
    </w:p>
    <w:p w14:paraId="0699A667">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（二）依法与安置的每位残疾人签订了一年以上（含一年）的劳动合同或服务协议；</w:t>
      </w:r>
    </w:p>
    <w:p w14:paraId="7C25E345">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（三）为安置的每位残疾人按月足额缴纳了基本养老保险、基本医疗保险、失业保险、工伤保险和生育保险等社会保险费；</w:t>
      </w:r>
    </w:p>
    <w:p w14:paraId="2A146A9B">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7511D789">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569E2548">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EC50C79">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9442378">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中标、成交投标人为残疾人福利性单位的，采购人或者其委托的采购代理机构应当随中标、成交结果同时公告其《残疾人福利性单位声明函》，接受社会监督。</w:t>
      </w:r>
    </w:p>
    <w:p w14:paraId="3585DE4C">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投标人提供的《残疾人福利性单位声明函》与事实不符的，依照《政府采购法》第七十七条第一款的规定追究法律责任。</w:t>
      </w:r>
    </w:p>
    <w:p w14:paraId="5BD90D76">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B4DC9E5">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7A8F6AF3">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C70E24E">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6EC64C8">
      <w:pPr>
        <w:pStyle w:val="23"/>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shd w:val="clear" w:color="auto" w:fill="FFFFFF"/>
        </w:rPr>
        <w:t>　　七、本通知自2017年10月1日起执行。</w:t>
      </w:r>
    </w:p>
    <w:p w14:paraId="58789E01">
      <w:pPr>
        <w:spacing w:line="312" w:lineRule="auto"/>
        <w:jc w:val="center"/>
        <w:rPr>
          <w:rFonts w:hint="eastAsia" w:ascii="宋体" w:hAnsi="宋体" w:cs="宋体"/>
          <w:b/>
          <w:color w:val="auto"/>
          <w:kern w:val="0"/>
          <w:sz w:val="28"/>
          <w:szCs w:val="28"/>
          <w:highlight w:val="none"/>
        </w:rPr>
        <w:sectPr>
          <w:footerReference r:id="rId8" w:type="first"/>
          <w:footerReference r:id="rId7" w:type="default"/>
          <w:pgSz w:w="11906" w:h="16838"/>
          <w:pgMar w:top="1417" w:right="1417" w:bottom="1417" w:left="1417" w:header="851" w:footer="992" w:gutter="0"/>
          <w:pgNumType w:fmt="decimal"/>
          <w:cols w:space="720" w:num="1"/>
          <w:titlePg/>
          <w:docGrid w:type="linesAndChars" w:linePitch="312" w:charSpace="200"/>
        </w:sectPr>
      </w:pPr>
    </w:p>
    <w:p w14:paraId="2C269EC5">
      <w:pPr>
        <w:spacing w:line="312"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国家统计局关于印发《统计上大中小微型企业划分办法（2017）》的通知</w:t>
      </w:r>
    </w:p>
    <w:p w14:paraId="514D6C20">
      <w:pPr>
        <w:ind w:firstLine="420" w:firstLineChars="200"/>
        <w:rPr>
          <w:rFonts w:hint="eastAsia" w:ascii="宋体" w:hAnsi="宋体"/>
          <w:color w:val="auto"/>
          <w:szCs w:val="21"/>
          <w:highlight w:val="none"/>
        </w:rPr>
      </w:pPr>
      <w:r>
        <w:rPr>
          <w:rFonts w:hint="eastAsia" w:ascii="宋体" w:hAnsi="宋体"/>
          <w:color w:val="auto"/>
          <w:szCs w:val="21"/>
          <w:highlight w:val="none"/>
        </w:rPr>
        <w:t>各省、自治区、直辖市统计局，新疆生产建设兵团统计局，国务院各有关部门，国家统计局各调查总队：</w:t>
      </w:r>
    </w:p>
    <w:p w14:paraId="2A4B899F">
      <w:pPr>
        <w:ind w:firstLine="420" w:firstLineChars="200"/>
        <w:rPr>
          <w:rFonts w:hint="eastAsia" w:ascii="宋体" w:hAnsi="宋体"/>
          <w:color w:val="auto"/>
          <w:szCs w:val="21"/>
          <w:highlight w:val="none"/>
        </w:rPr>
      </w:pPr>
      <w:r>
        <w:rPr>
          <w:rFonts w:hint="eastAsia" w:ascii="宋体" w:hAnsi="宋体"/>
          <w:color w:val="auto"/>
          <w:szCs w:val="21"/>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79A2A55">
      <w:pPr>
        <w:ind w:firstLine="420" w:firstLineChars="200"/>
        <w:rPr>
          <w:rFonts w:hint="eastAsia" w:ascii="宋体" w:hAnsi="宋体"/>
          <w:color w:val="auto"/>
          <w:szCs w:val="21"/>
          <w:highlight w:val="none"/>
        </w:rPr>
      </w:pPr>
      <w:r>
        <w:rPr>
          <w:rFonts w:hint="eastAsia" w:ascii="宋体" w:hAnsi="宋体"/>
          <w:color w:val="auto"/>
          <w:szCs w:val="21"/>
          <w:highlight w:val="none"/>
        </w:rPr>
        <w:t>附件：《统计上大中小微型企业划分办法（2017）》修订说明</w:t>
      </w:r>
    </w:p>
    <w:p w14:paraId="63B5558D">
      <w:pPr>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国家统计局  </w:t>
      </w:r>
    </w:p>
    <w:p w14:paraId="502B03C9">
      <w:pPr>
        <w:ind w:firstLine="420" w:firstLineChars="200"/>
        <w:jc w:val="right"/>
        <w:rPr>
          <w:rFonts w:hint="eastAsia" w:ascii="宋体" w:hAnsi="宋体"/>
          <w:color w:val="auto"/>
          <w:szCs w:val="21"/>
          <w:highlight w:val="none"/>
        </w:rPr>
      </w:pPr>
      <w:r>
        <w:rPr>
          <w:rFonts w:hint="eastAsia" w:ascii="宋体" w:hAnsi="宋体"/>
          <w:color w:val="auto"/>
          <w:szCs w:val="21"/>
          <w:highlight w:val="none"/>
        </w:rPr>
        <w:t>2017年12月28日</w:t>
      </w:r>
    </w:p>
    <w:p w14:paraId="189D8513">
      <w:pPr>
        <w:spacing w:line="312"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统计上大中小微型企业划分办法（2017）</w:t>
      </w:r>
    </w:p>
    <w:p w14:paraId="3B8518ED">
      <w:pPr>
        <w:ind w:firstLine="420" w:firstLineChars="200"/>
        <w:rPr>
          <w:rFonts w:hint="eastAsia" w:ascii="宋体" w:hAnsi="宋体"/>
          <w:color w:val="auto"/>
          <w:szCs w:val="21"/>
          <w:highlight w:val="none"/>
        </w:rPr>
      </w:pPr>
      <w:r>
        <w:rPr>
          <w:rFonts w:hint="eastAsia" w:ascii="宋体" w:hAnsi="宋体"/>
          <w:color w:val="auto"/>
          <w:szCs w:val="21"/>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280267B7">
      <w:pPr>
        <w:ind w:firstLine="420" w:firstLineChars="200"/>
        <w:rPr>
          <w:rFonts w:hint="eastAsia" w:ascii="宋体" w:hAnsi="宋体"/>
          <w:color w:val="auto"/>
          <w:szCs w:val="21"/>
          <w:highlight w:val="none"/>
        </w:rPr>
      </w:pPr>
      <w:r>
        <w:rPr>
          <w:rFonts w:hint="eastAsia" w:ascii="宋体" w:hAnsi="宋体"/>
          <w:color w:val="auto"/>
          <w:szCs w:val="21"/>
          <w:highlight w:val="none"/>
        </w:rPr>
        <w:t>二、本办法适用对象为在中华人民共和国境内依法设立的各种组织形式的法人企业或单位。个体工商户参照本办法进行划分。</w:t>
      </w:r>
    </w:p>
    <w:p w14:paraId="75CDB72F">
      <w:pPr>
        <w:ind w:firstLine="420" w:firstLineChars="200"/>
        <w:rPr>
          <w:rFonts w:hint="eastAsia" w:ascii="宋体" w:hAnsi="宋体"/>
          <w:color w:val="auto"/>
          <w:szCs w:val="21"/>
          <w:highlight w:val="none"/>
        </w:rPr>
      </w:pPr>
      <w:r>
        <w:rPr>
          <w:rFonts w:hint="eastAsia" w:ascii="宋体" w:hAnsi="宋体"/>
          <w:color w:val="auto"/>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A3074ED">
      <w:pPr>
        <w:ind w:firstLine="420" w:firstLineChars="200"/>
        <w:rPr>
          <w:rFonts w:hint="eastAsia" w:ascii="宋体" w:hAnsi="宋体"/>
          <w:color w:val="auto"/>
          <w:szCs w:val="21"/>
          <w:highlight w:val="none"/>
        </w:rPr>
      </w:pPr>
      <w:r>
        <w:rPr>
          <w:rFonts w:hint="eastAsia" w:ascii="宋体" w:hAnsi="宋体"/>
          <w:color w:val="auto"/>
          <w:szCs w:val="21"/>
          <w:highlight w:val="none"/>
        </w:rPr>
        <w:t>四、本办法按照行业门类、大类、中类和组合类别，依据从业人员、营业收入、资产总额等指标或替代指标，将我国的企业划分为大型、中型、小型、微型等四种类型。具体划分标准见附表。</w:t>
      </w:r>
    </w:p>
    <w:p w14:paraId="693E491A">
      <w:pPr>
        <w:ind w:firstLine="420" w:firstLineChars="200"/>
        <w:rPr>
          <w:rFonts w:hint="eastAsia" w:ascii="宋体" w:hAnsi="宋体"/>
          <w:color w:val="auto"/>
          <w:szCs w:val="21"/>
          <w:highlight w:val="none"/>
        </w:rPr>
      </w:pPr>
      <w:r>
        <w:rPr>
          <w:rFonts w:hint="eastAsia" w:ascii="宋体" w:hAnsi="宋体"/>
          <w:color w:val="auto"/>
          <w:szCs w:val="21"/>
          <w:highlight w:val="none"/>
        </w:rPr>
        <w:t>五、企业划分由政府综合统计部门根据统计年报每年确定一次，定报统计原则上不进行调整。</w:t>
      </w:r>
    </w:p>
    <w:p w14:paraId="0CE88DEF">
      <w:pPr>
        <w:ind w:firstLine="420" w:firstLineChars="200"/>
        <w:rPr>
          <w:rFonts w:hint="eastAsia" w:ascii="宋体" w:hAnsi="宋体"/>
          <w:color w:val="auto"/>
          <w:szCs w:val="21"/>
          <w:highlight w:val="none"/>
        </w:rPr>
      </w:pPr>
      <w:r>
        <w:rPr>
          <w:rFonts w:hint="eastAsia" w:ascii="宋体" w:hAnsi="宋体"/>
          <w:color w:val="auto"/>
          <w:szCs w:val="21"/>
          <w:highlight w:val="none"/>
        </w:rPr>
        <w:t>六、本办法自印发之日起执行，国家统计局2011年印发的《统计上大中小微型企业划分办法》（国统字〔2011〕75号）同时废止。</w:t>
      </w:r>
    </w:p>
    <w:p w14:paraId="6019B547">
      <w:pPr>
        <w:spacing w:line="312"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《统计上大中小微型企业划分办法（2017）》修订说明</w:t>
      </w:r>
    </w:p>
    <w:p w14:paraId="6045DD3F">
      <w:pPr>
        <w:ind w:firstLine="420" w:firstLineChars="200"/>
        <w:rPr>
          <w:rFonts w:hint="eastAsia" w:ascii="宋体" w:hAnsi="宋体"/>
          <w:color w:val="auto"/>
          <w:szCs w:val="21"/>
          <w:highlight w:val="none"/>
        </w:rPr>
      </w:pPr>
      <w:r>
        <w:rPr>
          <w:rFonts w:hint="eastAsia" w:ascii="宋体" w:hAnsi="宋体"/>
          <w:color w:val="auto"/>
          <w:szCs w:val="21"/>
          <w:highlight w:val="none"/>
        </w:rPr>
        <w:t>一、修订背景</w:t>
      </w:r>
    </w:p>
    <w:p w14:paraId="73AD3A48">
      <w:pPr>
        <w:ind w:firstLine="420" w:firstLineChars="200"/>
        <w:rPr>
          <w:rFonts w:hint="eastAsia" w:ascii="宋体" w:hAnsi="宋体"/>
          <w:color w:val="auto"/>
          <w:szCs w:val="21"/>
          <w:highlight w:val="none"/>
        </w:rPr>
      </w:pPr>
      <w:r>
        <w:rPr>
          <w:rFonts w:hint="eastAsia" w:ascii="宋体" w:hAnsi="宋体"/>
          <w:color w:val="auto"/>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595D22A">
      <w:pPr>
        <w:ind w:firstLine="420" w:firstLineChars="200"/>
        <w:rPr>
          <w:rFonts w:hint="eastAsia" w:ascii="宋体" w:hAnsi="宋体"/>
          <w:color w:val="auto"/>
          <w:szCs w:val="21"/>
          <w:highlight w:val="none"/>
        </w:rPr>
      </w:pPr>
      <w:r>
        <w:rPr>
          <w:rFonts w:hint="eastAsia" w:ascii="宋体" w:hAnsi="宋体"/>
          <w:color w:val="auto"/>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1FE1C0B2">
      <w:pPr>
        <w:ind w:firstLine="420" w:firstLineChars="200"/>
        <w:rPr>
          <w:rFonts w:hint="eastAsia" w:ascii="宋体" w:hAnsi="宋体"/>
          <w:color w:val="auto"/>
          <w:szCs w:val="21"/>
          <w:highlight w:val="none"/>
        </w:rPr>
      </w:pPr>
      <w:r>
        <w:rPr>
          <w:rFonts w:hint="eastAsia" w:ascii="宋体" w:hAnsi="宋体"/>
          <w:color w:val="auto"/>
          <w:szCs w:val="21"/>
          <w:highlight w:val="none"/>
        </w:rPr>
        <w:t>二、修订主要内容</w:t>
      </w:r>
    </w:p>
    <w:p w14:paraId="018E674A">
      <w:pPr>
        <w:ind w:firstLine="420" w:firstLineChars="200"/>
        <w:rPr>
          <w:rFonts w:hint="eastAsia" w:ascii="宋体" w:hAnsi="宋体"/>
          <w:color w:val="auto"/>
          <w:szCs w:val="21"/>
          <w:highlight w:val="none"/>
        </w:rPr>
      </w:pPr>
      <w:r>
        <w:rPr>
          <w:rFonts w:hint="eastAsia" w:ascii="宋体" w:hAnsi="宋体"/>
          <w:color w:val="auto"/>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FD192BF">
      <w:pPr>
        <w:ind w:firstLine="420" w:firstLineChars="200"/>
        <w:rPr>
          <w:rFonts w:hint="eastAsia" w:ascii="宋体" w:hAnsi="宋体"/>
          <w:color w:val="auto"/>
          <w:szCs w:val="21"/>
          <w:highlight w:val="none"/>
        </w:rPr>
      </w:pPr>
      <w:r>
        <w:rPr>
          <w:rFonts w:hint="eastAsia" w:ascii="宋体" w:hAnsi="宋体"/>
          <w:color w:val="auto"/>
          <w:szCs w:val="21"/>
          <w:highlight w:val="none"/>
        </w:rPr>
        <w:t>将交通运输业中包括的“装卸搬运和运输代理业”修改为“多式联运和运输代理业、装卸搬运”。</w:t>
      </w:r>
    </w:p>
    <w:p w14:paraId="6EE59BF3">
      <w:pPr>
        <w:ind w:firstLine="420" w:firstLineChars="200"/>
        <w:rPr>
          <w:rFonts w:hint="eastAsia" w:ascii="宋体" w:hAnsi="宋体"/>
          <w:color w:val="auto"/>
          <w:szCs w:val="21"/>
          <w:highlight w:val="none"/>
        </w:rPr>
      </w:pPr>
      <w:r>
        <w:rPr>
          <w:rFonts w:hint="eastAsia" w:ascii="宋体" w:hAnsi="宋体"/>
          <w:color w:val="auto"/>
          <w:szCs w:val="21"/>
          <w:highlight w:val="none"/>
        </w:rPr>
        <w:t>仓储业所包括的行业中类，根据《国民经济行业分类》（GB/T 4754—2017）调整为“通用仓储，低温仓储，危险品仓储，谷物、棉花等农产品仓储，中药材仓储和其他仓储业”。</w:t>
      </w:r>
    </w:p>
    <w:p w14:paraId="1540DC96">
      <w:pPr>
        <w:ind w:firstLine="420" w:firstLineChars="200"/>
        <w:rPr>
          <w:rFonts w:hint="eastAsia" w:ascii="宋体" w:hAnsi="宋体"/>
          <w:color w:val="auto"/>
          <w:szCs w:val="21"/>
          <w:highlight w:val="none"/>
        </w:rPr>
      </w:pPr>
      <w:r>
        <w:rPr>
          <w:rFonts w:hint="eastAsia" w:ascii="宋体" w:hAnsi="宋体"/>
          <w:color w:val="auto"/>
          <w:szCs w:val="21"/>
          <w:highlight w:val="none"/>
        </w:rPr>
        <w:t>附表</w:t>
      </w:r>
    </w:p>
    <w:p w14:paraId="3004D258">
      <w:pPr>
        <w:ind w:firstLine="420" w:firstLineChars="200"/>
        <w:jc w:val="center"/>
        <w:rPr>
          <w:rFonts w:hint="eastAsia" w:ascii="宋体" w:hAnsi="宋体"/>
          <w:color w:val="auto"/>
          <w:szCs w:val="21"/>
          <w:highlight w:val="none"/>
        </w:rPr>
      </w:pPr>
      <w:r>
        <w:rPr>
          <w:rFonts w:hint="eastAsia" w:ascii="宋体" w:hAnsi="宋体"/>
          <w:color w:val="auto"/>
          <w:szCs w:val="21"/>
          <w:highlight w:val="none"/>
        </w:rPr>
        <w:t>统计上大中小微型企业划分标准</w:t>
      </w:r>
    </w:p>
    <w:tbl>
      <w:tblPr>
        <w:tblStyle w:val="26"/>
        <w:tblW w:w="9045" w:type="dxa"/>
        <w:jc w:val="center"/>
        <w:tblLayout w:type="fixed"/>
        <w:tblCellMar>
          <w:top w:w="0" w:type="dxa"/>
          <w:left w:w="108" w:type="dxa"/>
          <w:bottom w:w="0" w:type="dxa"/>
          <w:right w:w="108" w:type="dxa"/>
        </w:tblCellMar>
      </w:tblPr>
      <w:tblGrid>
        <w:gridCol w:w="1723"/>
        <w:gridCol w:w="1369"/>
        <w:gridCol w:w="709"/>
        <w:gridCol w:w="1125"/>
        <w:gridCol w:w="1701"/>
        <w:gridCol w:w="1426"/>
        <w:gridCol w:w="992"/>
      </w:tblGrid>
      <w:tr w14:paraId="0BF19A64">
        <w:tblPrEx>
          <w:tblCellMar>
            <w:top w:w="0" w:type="dxa"/>
            <w:left w:w="108" w:type="dxa"/>
            <w:bottom w:w="0" w:type="dxa"/>
            <w:right w:w="108" w:type="dxa"/>
          </w:tblCellMar>
        </w:tblPrEx>
        <w:trPr>
          <w:trHeight w:val="622" w:hRule="exact"/>
          <w:jc w:val="center"/>
        </w:trPr>
        <w:tc>
          <w:tcPr>
            <w:tcW w:w="1723" w:type="dxa"/>
            <w:tcBorders>
              <w:top w:val="single" w:color="auto" w:sz="4" w:space="0"/>
              <w:left w:val="single" w:color="auto" w:sz="4" w:space="0"/>
              <w:bottom w:val="single" w:color="auto" w:sz="4" w:space="0"/>
              <w:right w:val="single" w:color="auto" w:sz="4" w:space="0"/>
            </w:tcBorders>
            <w:vAlign w:val="center"/>
          </w:tcPr>
          <w:p w14:paraId="3BFBD4D5">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single" w:color="auto" w:sz="4" w:space="0"/>
              <w:bottom w:val="single" w:color="auto" w:sz="4" w:space="0"/>
              <w:right w:val="single" w:color="auto" w:sz="4" w:space="0"/>
            </w:tcBorders>
            <w:vAlign w:val="center"/>
          </w:tcPr>
          <w:p w14:paraId="40796DF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single" w:color="auto" w:sz="4" w:space="0"/>
              <w:bottom w:val="single" w:color="auto" w:sz="4" w:space="0"/>
              <w:right w:val="single" w:color="auto" w:sz="4" w:space="0"/>
            </w:tcBorders>
            <w:vAlign w:val="center"/>
          </w:tcPr>
          <w:p w14:paraId="2AEA000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4CD3D90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tcBorders>
              <w:top w:val="single" w:color="auto" w:sz="4" w:space="0"/>
              <w:left w:val="single" w:color="auto" w:sz="4" w:space="0"/>
              <w:bottom w:val="single" w:color="auto" w:sz="4" w:space="0"/>
              <w:right w:val="single" w:color="auto" w:sz="4" w:space="0"/>
            </w:tcBorders>
            <w:vAlign w:val="center"/>
          </w:tcPr>
          <w:p w14:paraId="0061BAA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single" w:color="auto" w:sz="4" w:space="0"/>
              <w:bottom w:val="single" w:color="auto" w:sz="4" w:space="0"/>
              <w:right w:val="single" w:color="auto" w:sz="4" w:space="0"/>
            </w:tcBorders>
            <w:vAlign w:val="center"/>
          </w:tcPr>
          <w:p w14:paraId="6FE216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single" w:color="auto" w:sz="4" w:space="0"/>
              <w:bottom w:val="single" w:color="auto" w:sz="4" w:space="0"/>
              <w:right w:val="single" w:color="auto" w:sz="4" w:space="0"/>
            </w:tcBorders>
            <w:vAlign w:val="center"/>
          </w:tcPr>
          <w:p w14:paraId="58BCBB3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single" w:color="auto" w:sz="4" w:space="0"/>
              <w:bottom w:val="single" w:color="auto" w:sz="4" w:space="0"/>
              <w:right w:val="single" w:color="auto" w:sz="4" w:space="0"/>
            </w:tcBorders>
            <w:vAlign w:val="center"/>
          </w:tcPr>
          <w:p w14:paraId="25035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B8F6CBD">
        <w:tblPrEx>
          <w:tblCellMar>
            <w:top w:w="0" w:type="dxa"/>
            <w:left w:w="108" w:type="dxa"/>
            <w:bottom w:w="0" w:type="dxa"/>
            <w:right w:w="108" w:type="dxa"/>
          </w:tblCellMar>
        </w:tblPrEx>
        <w:trPr>
          <w:trHeight w:val="397" w:hRule="exact"/>
          <w:jc w:val="center"/>
        </w:trPr>
        <w:tc>
          <w:tcPr>
            <w:tcW w:w="1723" w:type="dxa"/>
            <w:tcBorders>
              <w:top w:val="single" w:color="auto" w:sz="4" w:space="0"/>
              <w:left w:val="single" w:color="auto" w:sz="4" w:space="0"/>
              <w:bottom w:val="single" w:color="auto" w:sz="4" w:space="0"/>
              <w:right w:val="single" w:color="auto" w:sz="4" w:space="0"/>
            </w:tcBorders>
            <w:vAlign w:val="center"/>
          </w:tcPr>
          <w:p w14:paraId="10EF170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single" w:color="auto" w:sz="4" w:space="0"/>
              <w:left w:val="single" w:color="auto" w:sz="4" w:space="0"/>
              <w:bottom w:val="single" w:color="auto" w:sz="4" w:space="0"/>
              <w:right w:val="single" w:color="auto" w:sz="4" w:space="0"/>
            </w:tcBorders>
            <w:vAlign w:val="center"/>
          </w:tcPr>
          <w:p w14:paraId="46EBFE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6E376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5527DB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single" w:color="auto" w:sz="4" w:space="0"/>
              <w:left w:val="single" w:color="auto" w:sz="4" w:space="0"/>
              <w:bottom w:val="single" w:color="auto" w:sz="4" w:space="0"/>
              <w:right w:val="single" w:color="auto" w:sz="4" w:space="0"/>
            </w:tcBorders>
            <w:vAlign w:val="center"/>
          </w:tcPr>
          <w:p w14:paraId="554BB4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single" w:color="auto" w:sz="4" w:space="0"/>
              <w:left w:val="single" w:color="auto" w:sz="4" w:space="0"/>
              <w:bottom w:val="single" w:color="auto" w:sz="4" w:space="0"/>
              <w:right w:val="single" w:color="auto" w:sz="4" w:space="0"/>
            </w:tcBorders>
            <w:vAlign w:val="center"/>
          </w:tcPr>
          <w:p w14:paraId="1CD20F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single" w:color="auto" w:sz="4" w:space="0"/>
              <w:left w:val="single" w:color="auto" w:sz="4" w:space="0"/>
              <w:bottom w:val="single" w:color="auto" w:sz="4" w:space="0"/>
              <w:right w:val="single" w:color="auto" w:sz="4" w:space="0"/>
            </w:tcBorders>
            <w:vAlign w:val="center"/>
          </w:tcPr>
          <w:p w14:paraId="78A6EA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8455DCC">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314DA2A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single" w:color="auto" w:sz="4" w:space="0"/>
              <w:left w:val="single" w:color="auto" w:sz="4" w:space="0"/>
              <w:bottom w:val="single" w:color="auto" w:sz="4" w:space="0"/>
              <w:right w:val="single" w:color="auto" w:sz="4" w:space="0"/>
            </w:tcBorders>
            <w:vAlign w:val="center"/>
          </w:tcPr>
          <w:p w14:paraId="4BC416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4A922E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51C29E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single" w:color="auto" w:sz="4" w:space="0"/>
              <w:left w:val="single" w:color="auto" w:sz="4" w:space="0"/>
              <w:bottom w:val="single" w:color="auto" w:sz="4" w:space="0"/>
              <w:right w:val="single" w:color="auto" w:sz="4" w:space="0"/>
            </w:tcBorders>
            <w:vAlign w:val="center"/>
          </w:tcPr>
          <w:p w14:paraId="742499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single" w:color="auto" w:sz="4" w:space="0"/>
              <w:left w:val="single" w:color="auto" w:sz="4" w:space="0"/>
              <w:bottom w:val="single" w:color="auto" w:sz="4" w:space="0"/>
              <w:right w:val="single" w:color="auto" w:sz="4" w:space="0"/>
            </w:tcBorders>
            <w:vAlign w:val="center"/>
          </w:tcPr>
          <w:p w14:paraId="6ECAB9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single" w:color="auto" w:sz="4" w:space="0"/>
              <w:left w:val="single" w:color="auto" w:sz="4" w:space="0"/>
              <w:bottom w:val="single" w:color="auto" w:sz="4" w:space="0"/>
              <w:right w:val="single" w:color="auto" w:sz="4" w:space="0"/>
            </w:tcBorders>
            <w:vAlign w:val="center"/>
          </w:tcPr>
          <w:p w14:paraId="013131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03C2B27">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17A09594">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4CA239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65B421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4E700D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single" w:color="auto" w:sz="4" w:space="0"/>
              <w:left w:val="single" w:color="auto" w:sz="4" w:space="0"/>
              <w:bottom w:val="single" w:color="auto" w:sz="4" w:space="0"/>
              <w:right w:val="single" w:color="auto" w:sz="4" w:space="0"/>
            </w:tcBorders>
            <w:vAlign w:val="center"/>
          </w:tcPr>
          <w:p w14:paraId="634849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single" w:color="auto" w:sz="4" w:space="0"/>
              <w:left w:val="single" w:color="auto" w:sz="4" w:space="0"/>
              <w:bottom w:val="single" w:color="auto" w:sz="4" w:space="0"/>
              <w:right w:val="single" w:color="auto" w:sz="4" w:space="0"/>
            </w:tcBorders>
            <w:vAlign w:val="center"/>
          </w:tcPr>
          <w:p w14:paraId="013DA6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single" w:color="auto" w:sz="4" w:space="0"/>
              <w:left w:val="single" w:color="auto" w:sz="4" w:space="0"/>
              <w:bottom w:val="single" w:color="auto" w:sz="4" w:space="0"/>
              <w:right w:val="single" w:color="auto" w:sz="4" w:space="0"/>
            </w:tcBorders>
            <w:vAlign w:val="center"/>
          </w:tcPr>
          <w:p w14:paraId="3EC03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583B65E">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15A31F8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single" w:color="auto" w:sz="4" w:space="0"/>
              <w:left w:val="single" w:color="auto" w:sz="4" w:space="0"/>
              <w:bottom w:val="single" w:color="auto" w:sz="4" w:space="0"/>
              <w:right w:val="single" w:color="auto" w:sz="4" w:space="0"/>
            </w:tcBorders>
            <w:vAlign w:val="center"/>
          </w:tcPr>
          <w:p w14:paraId="47F824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7F9B78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2EFA37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single" w:color="auto" w:sz="4" w:space="0"/>
              <w:left w:val="single" w:color="auto" w:sz="4" w:space="0"/>
              <w:bottom w:val="single" w:color="auto" w:sz="4" w:space="0"/>
              <w:right w:val="single" w:color="auto" w:sz="4" w:space="0"/>
            </w:tcBorders>
            <w:vAlign w:val="center"/>
          </w:tcPr>
          <w:p w14:paraId="4B7082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single" w:color="auto" w:sz="4" w:space="0"/>
              <w:left w:val="single" w:color="auto" w:sz="4" w:space="0"/>
              <w:bottom w:val="single" w:color="auto" w:sz="4" w:space="0"/>
              <w:right w:val="single" w:color="auto" w:sz="4" w:space="0"/>
            </w:tcBorders>
            <w:vAlign w:val="center"/>
          </w:tcPr>
          <w:p w14:paraId="79CC82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single" w:color="auto" w:sz="4" w:space="0"/>
              <w:left w:val="single" w:color="auto" w:sz="4" w:space="0"/>
              <w:bottom w:val="single" w:color="auto" w:sz="4" w:space="0"/>
              <w:right w:val="single" w:color="auto" w:sz="4" w:space="0"/>
            </w:tcBorders>
            <w:vAlign w:val="center"/>
          </w:tcPr>
          <w:p w14:paraId="5580D3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3498AD5">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65A58E92">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6A1D68E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single" w:color="auto" w:sz="4" w:space="0"/>
              <w:left w:val="single" w:color="auto" w:sz="4" w:space="0"/>
              <w:bottom w:val="single" w:color="auto" w:sz="4" w:space="0"/>
              <w:right w:val="single" w:color="auto" w:sz="4" w:space="0"/>
            </w:tcBorders>
            <w:vAlign w:val="center"/>
          </w:tcPr>
          <w:p w14:paraId="7294D5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1BCB60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single" w:color="auto" w:sz="4" w:space="0"/>
              <w:left w:val="single" w:color="auto" w:sz="4" w:space="0"/>
              <w:bottom w:val="single" w:color="auto" w:sz="4" w:space="0"/>
              <w:right w:val="single" w:color="auto" w:sz="4" w:space="0"/>
            </w:tcBorders>
            <w:vAlign w:val="center"/>
          </w:tcPr>
          <w:p w14:paraId="5FF52A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single" w:color="auto" w:sz="4" w:space="0"/>
              <w:left w:val="single" w:color="auto" w:sz="4" w:space="0"/>
              <w:bottom w:val="single" w:color="auto" w:sz="4" w:space="0"/>
              <w:right w:val="single" w:color="auto" w:sz="4" w:space="0"/>
            </w:tcBorders>
            <w:vAlign w:val="center"/>
          </w:tcPr>
          <w:p w14:paraId="2D177F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single" w:color="auto" w:sz="4" w:space="0"/>
              <w:left w:val="single" w:color="auto" w:sz="4" w:space="0"/>
              <w:bottom w:val="single" w:color="auto" w:sz="4" w:space="0"/>
              <w:right w:val="single" w:color="auto" w:sz="4" w:space="0"/>
            </w:tcBorders>
            <w:vAlign w:val="center"/>
          </w:tcPr>
          <w:p w14:paraId="030646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52553D6">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2701BDB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single" w:color="auto" w:sz="4" w:space="0"/>
              <w:left w:val="single" w:color="auto" w:sz="4" w:space="0"/>
              <w:bottom w:val="single" w:color="auto" w:sz="4" w:space="0"/>
              <w:right w:val="single" w:color="auto" w:sz="4" w:space="0"/>
            </w:tcBorders>
            <w:vAlign w:val="center"/>
          </w:tcPr>
          <w:p w14:paraId="3C2FB7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7DAE25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56F1DB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single" w:color="auto" w:sz="4" w:space="0"/>
              <w:left w:val="single" w:color="auto" w:sz="4" w:space="0"/>
              <w:bottom w:val="single" w:color="auto" w:sz="4" w:space="0"/>
              <w:right w:val="single" w:color="auto" w:sz="4" w:space="0"/>
            </w:tcBorders>
            <w:vAlign w:val="center"/>
          </w:tcPr>
          <w:p w14:paraId="5DE76F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single" w:color="auto" w:sz="4" w:space="0"/>
              <w:left w:val="single" w:color="auto" w:sz="4" w:space="0"/>
              <w:bottom w:val="single" w:color="auto" w:sz="4" w:space="0"/>
              <w:right w:val="single" w:color="auto" w:sz="4" w:space="0"/>
            </w:tcBorders>
            <w:vAlign w:val="center"/>
          </w:tcPr>
          <w:p w14:paraId="73A3CC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single" w:color="auto" w:sz="4" w:space="0"/>
              <w:left w:val="single" w:color="auto" w:sz="4" w:space="0"/>
              <w:bottom w:val="single" w:color="auto" w:sz="4" w:space="0"/>
              <w:right w:val="single" w:color="auto" w:sz="4" w:space="0"/>
            </w:tcBorders>
            <w:vAlign w:val="center"/>
          </w:tcPr>
          <w:p w14:paraId="72C638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96AF730">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515AED4F">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688AC7E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41C70F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4C0E6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single" w:color="auto" w:sz="4" w:space="0"/>
              <w:left w:val="single" w:color="auto" w:sz="4" w:space="0"/>
              <w:bottom w:val="single" w:color="auto" w:sz="4" w:space="0"/>
              <w:right w:val="single" w:color="auto" w:sz="4" w:space="0"/>
            </w:tcBorders>
            <w:vAlign w:val="center"/>
          </w:tcPr>
          <w:p w14:paraId="653016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single" w:color="auto" w:sz="4" w:space="0"/>
              <w:left w:val="single" w:color="auto" w:sz="4" w:space="0"/>
              <w:bottom w:val="single" w:color="auto" w:sz="4" w:space="0"/>
              <w:right w:val="single" w:color="auto" w:sz="4" w:space="0"/>
            </w:tcBorders>
            <w:vAlign w:val="center"/>
          </w:tcPr>
          <w:p w14:paraId="6D0A2A6C">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single" w:color="auto" w:sz="4" w:space="0"/>
              <w:left w:val="single" w:color="auto" w:sz="4" w:space="0"/>
              <w:bottom w:val="single" w:color="auto" w:sz="4" w:space="0"/>
              <w:right w:val="single" w:color="auto" w:sz="4" w:space="0"/>
            </w:tcBorders>
            <w:vAlign w:val="center"/>
          </w:tcPr>
          <w:p w14:paraId="71C18A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2C187F9">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25DC855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single" w:color="auto" w:sz="4" w:space="0"/>
              <w:left w:val="single" w:color="auto" w:sz="4" w:space="0"/>
              <w:bottom w:val="single" w:color="auto" w:sz="4" w:space="0"/>
              <w:right w:val="single" w:color="auto" w:sz="4" w:space="0"/>
            </w:tcBorders>
            <w:vAlign w:val="center"/>
          </w:tcPr>
          <w:p w14:paraId="76DD5F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493167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1E6DC5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single" w:color="auto" w:sz="4" w:space="0"/>
              <w:left w:val="single" w:color="auto" w:sz="4" w:space="0"/>
              <w:bottom w:val="single" w:color="auto" w:sz="4" w:space="0"/>
              <w:right w:val="single" w:color="auto" w:sz="4" w:space="0"/>
            </w:tcBorders>
            <w:vAlign w:val="center"/>
          </w:tcPr>
          <w:p w14:paraId="67F683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single" w:color="auto" w:sz="4" w:space="0"/>
              <w:left w:val="single" w:color="auto" w:sz="4" w:space="0"/>
              <w:bottom w:val="single" w:color="auto" w:sz="4" w:space="0"/>
              <w:right w:val="single" w:color="auto" w:sz="4" w:space="0"/>
            </w:tcBorders>
            <w:vAlign w:val="center"/>
          </w:tcPr>
          <w:p w14:paraId="785A7D39">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single" w:color="auto" w:sz="4" w:space="0"/>
              <w:left w:val="single" w:color="auto" w:sz="4" w:space="0"/>
              <w:bottom w:val="single" w:color="auto" w:sz="4" w:space="0"/>
              <w:right w:val="single" w:color="auto" w:sz="4" w:space="0"/>
            </w:tcBorders>
            <w:vAlign w:val="center"/>
          </w:tcPr>
          <w:p w14:paraId="47F1D5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24E5A6">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73DF68B0">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2A61EED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1FCD64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3AF7D3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single" w:color="auto" w:sz="4" w:space="0"/>
              <w:left w:val="single" w:color="auto" w:sz="4" w:space="0"/>
              <w:bottom w:val="single" w:color="auto" w:sz="4" w:space="0"/>
              <w:right w:val="single" w:color="auto" w:sz="4" w:space="0"/>
            </w:tcBorders>
            <w:vAlign w:val="center"/>
          </w:tcPr>
          <w:p w14:paraId="3E39B1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single" w:color="auto" w:sz="4" w:space="0"/>
              <w:left w:val="single" w:color="auto" w:sz="4" w:space="0"/>
              <w:bottom w:val="single" w:color="auto" w:sz="4" w:space="0"/>
              <w:right w:val="single" w:color="auto" w:sz="4" w:space="0"/>
            </w:tcBorders>
            <w:vAlign w:val="center"/>
          </w:tcPr>
          <w:p w14:paraId="5E87A94D">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single" w:color="auto" w:sz="4" w:space="0"/>
              <w:left w:val="single" w:color="auto" w:sz="4" w:space="0"/>
              <w:bottom w:val="single" w:color="auto" w:sz="4" w:space="0"/>
              <w:right w:val="single" w:color="auto" w:sz="4" w:space="0"/>
            </w:tcBorders>
            <w:vAlign w:val="center"/>
          </w:tcPr>
          <w:p w14:paraId="6554BF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8E98534">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6D43494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single" w:color="auto" w:sz="4" w:space="0"/>
              <w:left w:val="single" w:color="auto" w:sz="4" w:space="0"/>
              <w:bottom w:val="single" w:color="auto" w:sz="4" w:space="0"/>
              <w:right w:val="single" w:color="auto" w:sz="4" w:space="0"/>
            </w:tcBorders>
            <w:vAlign w:val="center"/>
          </w:tcPr>
          <w:p w14:paraId="6CF5D3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62A215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278E11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single" w:color="auto" w:sz="4" w:space="0"/>
              <w:left w:val="single" w:color="auto" w:sz="4" w:space="0"/>
              <w:bottom w:val="single" w:color="auto" w:sz="4" w:space="0"/>
              <w:right w:val="single" w:color="auto" w:sz="4" w:space="0"/>
            </w:tcBorders>
            <w:vAlign w:val="center"/>
          </w:tcPr>
          <w:p w14:paraId="7AEE9C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single" w:color="auto" w:sz="4" w:space="0"/>
              <w:left w:val="single" w:color="auto" w:sz="4" w:space="0"/>
              <w:bottom w:val="single" w:color="auto" w:sz="4" w:space="0"/>
              <w:right w:val="single" w:color="auto" w:sz="4" w:space="0"/>
            </w:tcBorders>
            <w:vAlign w:val="center"/>
          </w:tcPr>
          <w:p w14:paraId="33D8D0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single" w:color="auto" w:sz="4" w:space="0"/>
              <w:left w:val="single" w:color="auto" w:sz="4" w:space="0"/>
              <w:bottom w:val="single" w:color="auto" w:sz="4" w:space="0"/>
              <w:right w:val="single" w:color="auto" w:sz="4" w:space="0"/>
            </w:tcBorders>
            <w:vAlign w:val="center"/>
          </w:tcPr>
          <w:p w14:paraId="1108A9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02E81DC">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57901F86">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2AC86C3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7CBC46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517153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single" w:color="auto" w:sz="4" w:space="0"/>
              <w:left w:val="single" w:color="auto" w:sz="4" w:space="0"/>
              <w:bottom w:val="single" w:color="auto" w:sz="4" w:space="0"/>
              <w:right w:val="single" w:color="auto" w:sz="4" w:space="0"/>
            </w:tcBorders>
            <w:vAlign w:val="center"/>
          </w:tcPr>
          <w:p w14:paraId="1D52E2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single" w:color="auto" w:sz="4" w:space="0"/>
              <w:left w:val="single" w:color="auto" w:sz="4" w:space="0"/>
              <w:bottom w:val="single" w:color="auto" w:sz="4" w:space="0"/>
              <w:right w:val="single" w:color="auto" w:sz="4" w:space="0"/>
            </w:tcBorders>
            <w:vAlign w:val="center"/>
          </w:tcPr>
          <w:p w14:paraId="13BCEC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single" w:color="auto" w:sz="4" w:space="0"/>
              <w:left w:val="single" w:color="auto" w:sz="4" w:space="0"/>
              <w:bottom w:val="single" w:color="auto" w:sz="4" w:space="0"/>
              <w:right w:val="single" w:color="auto" w:sz="4" w:space="0"/>
            </w:tcBorders>
            <w:vAlign w:val="center"/>
          </w:tcPr>
          <w:p w14:paraId="2396B4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643E729">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20615FC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single" w:color="auto" w:sz="4" w:space="0"/>
              <w:left w:val="single" w:color="auto" w:sz="4" w:space="0"/>
              <w:bottom w:val="single" w:color="auto" w:sz="4" w:space="0"/>
              <w:right w:val="single" w:color="auto" w:sz="4" w:space="0"/>
            </w:tcBorders>
            <w:vAlign w:val="center"/>
          </w:tcPr>
          <w:p w14:paraId="2D2249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4B7728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4CBB91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single" w:color="auto" w:sz="4" w:space="0"/>
              <w:left w:val="single" w:color="auto" w:sz="4" w:space="0"/>
              <w:bottom w:val="single" w:color="auto" w:sz="4" w:space="0"/>
              <w:right w:val="single" w:color="auto" w:sz="4" w:space="0"/>
            </w:tcBorders>
            <w:vAlign w:val="center"/>
          </w:tcPr>
          <w:p w14:paraId="3AA4868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single" w:color="auto" w:sz="4" w:space="0"/>
              <w:left w:val="single" w:color="auto" w:sz="4" w:space="0"/>
              <w:bottom w:val="single" w:color="auto" w:sz="4" w:space="0"/>
              <w:right w:val="single" w:color="auto" w:sz="4" w:space="0"/>
            </w:tcBorders>
            <w:vAlign w:val="center"/>
          </w:tcPr>
          <w:p w14:paraId="26FAA4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single" w:color="auto" w:sz="4" w:space="0"/>
              <w:left w:val="single" w:color="auto" w:sz="4" w:space="0"/>
              <w:bottom w:val="single" w:color="auto" w:sz="4" w:space="0"/>
              <w:right w:val="single" w:color="auto" w:sz="4" w:space="0"/>
            </w:tcBorders>
            <w:vAlign w:val="center"/>
          </w:tcPr>
          <w:p w14:paraId="0A45FC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4E17497">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0CCF42B6">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9165AB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4D9E6D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3D37BB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single" w:color="auto" w:sz="4" w:space="0"/>
              <w:left w:val="single" w:color="auto" w:sz="4" w:space="0"/>
              <w:bottom w:val="single" w:color="auto" w:sz="4" w:space="0"/>
              <w:right w:val="single" w:color="auto" w:sz="4" w:space="0"/>
            </w:tcBorders>
            <w:vAlign w:val="center"/>
          </w:tcPr>
          <w:p w14:paraId="11DA34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single" w:color="auto" w:sz="4" w:space="0"/>
              <w:left w:val="single" w:color="auto" w:sz="4" w:space="0"/>
              <w:bottom w:val="single" w:color="auto" w:sz="4" w:space="0"/>
              <w:right w:val="single" w:color="auto" w:sz="4" w:space="0"/>
            </w:tcBorders>
            <w:vAlign w:val="center"/>
          </w:tcPr>
          <w:p w14:paraId="04535B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single" w:color="auto" w:sz="4" w:space="0"/>
              <w:left w:val="single" w:color="auto" w:sz="4" w:space="0"/>
              <w:bottom w:val="single" w:color="auto" w:sz="4" w:space="0"/>
              <w:right w:val="single" w:color="auto" w:sz="4" w:space="0"/>
            </w:tcBorders>
            <w:vAlign w:val="center"/>
          </w:tcPr>
          <w:p w14:paraId="2A4B3F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924C2EA">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2359F13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single" w:color="auto" w:sz="4" w:space="0"/>
              <w:left w:val="single" w:color="auto" w:sz="4" w:space="0"/>
              <w:bottom w:val="single" w:color="auto" w:sz="4" w:space="0"/>
              <w:right w:val="single" w:color="auto" w:sz="4" w:space="0"/>
            </w:tcBorders>
            <w:vAlign w:val="center"/>
          </w:tcPr>
          <w:p w14:paraId="4E31C8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06124F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6F8ED0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single" w:color="auto" w:sz="4" w:space="0"/>
              <w:left w:val="single" w:color="auto" w:sz="4" w:space="0"/>
              <w:bottom w:val="single" w:color="auto" w:sz="4" w:space="0"/>
              <w:right w:val="single" w:color="auto" w:sz="4" w:space="0"/>
            </w:tcBorders>
            <w:vAlign w:val="center"/>
          </w:tcPr>
          <w:p w14:paraId="1C8BA4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single" w:color="auto" w:sz="4" w:space="0"/>
              <w:left w:val="single" w:color="auto" w:sz="4" w:space="0"/>
              <w:bottom w:val="single" w:color="auto" w:sz="4" w:space="0"/>
              <w:right w:val="single" w:color="auto" w:sz="4" w:space="0"/>
            </w:tcBorders>
            <w:vAlign w:val="center"/>
          </w:tcPr>
          <w:p w14:paraId="3C13F0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single" w:color="auto" w:sz="4" w:space="0"/>
              <w:left w:val="single" w:color="auto" w:sz="4" w:space="0"/>
              <w:bottom w:val="single" w:color="auto" w:sz="4" w:space="0"/>
              <w:right w:val="single" w:color="auto" w:sz="4" w:space="0"/>
            </w:tcBorders>
            <w:vAlign w:val="center"/>
          </w:tcPr>
          <w:p w14:paraId="38B270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653CF38">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55FDA586">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1D53DD2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109A7B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1C62B9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single" w:color="auto" w:sz="4" w:space="0"/>
              <w:left w:val="single" w:color="auto" w:sz="4" w:space="0"/>
              <w:bottom w:val="single" w:color="auto" w:sz="4" w:space="0"/>
              <w:right w:val="single" w:color="auto" w:sz="4" w:space="0"/>
            </w:tcBorders>
            <w:vAlign w:val="center"/>
          </w:tcPr>
          <w:p w14:paraId="3674AF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single" w:color="auto" w:sz="4" w:space="0"/>
              <w:left w:val="single" w:color="auto" w:sz="4" w:space="0"/>
              <w:bottom w:val="single" w:color="auto" w:sz="4" w:space="0"/>
              <w:right w:val="single" w:color="auto" w:sz="4" w:space="0"/>
            </w:tcBorders>
            <w:vAlign w:val="center"/>
          </w:tcPr>
          <w:p w14:paraId="3A730A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single" w:color="auto" w:sz="4" w:space="0"/>
              <w:left w:val="single" w:color="auto" w:sz="4" w:space="0"/>
              <w:bottom w:val="single" w:color="auto" w:sz="4" w:space="0"/>
              <w:right w:val="single" w:color="auto" w:sz="4" w:space="0"/>
            </w:tcBorders>
            <w:vAlign w:val="center"/>
          </w:tcPr>
          <w:p w14:paraId="69AB9C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2B5BB8">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2E220E6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single" w:color="auto" w:sz="4" w:space="0"/>
              <w:left w:val="single" w:color="auto" w:sz="4" w:space="0"/>
              <w:bottom w:val="single" w:color="auto" w:sz="4" w:space="0"/>
              <w:right w:val="single" w:color="auto" w:sz="4" w:space="0"/>
            </w:tcBorders>
            <w:vAlign w:val="center"/>
          </w:tcPr>
          <w:p w14:paraId="021003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0D3FC9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5E82DA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single" w:color="auto" w:sz="4" w:space="0"/>
              <w:left w:val="single" w:color="auto" w:sz="4" w:space="0"/>
              <w:bottom w:val="single" w:color="auto" w:sz="4" w:space="0"/>
              <w:right w:val="single" w:color="auto" w:sz="4" w:space="0"/>
            </w:tcBorders>
            <w:vAlign w:val="center"/>
          </w:tcPr>
          <w:p w14:paraId="000ABCD9">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single" w:color="auto" w:sz="4" w:space="0"/>
              <w:left w:val="single" w:color="auto" w:sz="4" w:space="0"/>
              <w:bottom w:val="single" w:color="auto" w:sz="4" w:space="0"/>
              <w:right w:val="single" w:color="auto" w:sz="4" w:space="0"/>
            </w:tcBorders>
            <w:vAlign w:val="center"/>
          </w:tcPr>
          <w:p w14:paraId="79C0B2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vAlign w:val="center"/>
          </w:tcPr>
          <w:p w14:paraId="2EAE64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3FA739">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132C0DB5">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2E9109C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731434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1B1E7A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single" w:color="auto" w:sz="4" w:space="0"/>
              <w:left w:val="single" w:color="auto" w:sz="4" w:space="0"/>
              <w:bottom w:val="single" w:color="auto" w:sz="4" w:space="0"/>
              <w:right w:val="single" w:color="auto" w:sz="4" w:space="0"/>
            </w:tcBorders>
            <w:vAlign w:val="center"/>
          </w:tcPr>
          <w:p w14:paraId="5B7E25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single" w:color="auto" w:sz="4" w:space="0"/>
              <w:left w:val="single" w:color="auto" w:sz="4" w:space="0"/>
              <w:bottom w:val="single" w:color="auto" w:sz="4" w:space="0"/>
              <w:right w:val="single" w:color="auto" w:sz="4" w:space="0"/>
            </w:tcBorders>
            <w:vAlign w:val="center"/>
          </w:tcPr>
          <w:p w14:paraId="168779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single" w:color="auto" w:sz="4" w:space="0"/>
              <w:left w:val="single" w:color="auto" w:sz="4" w:space="0"/>
              <w:bottom w:val="single" w:color="auto" w:sz="4" w:space="0"/>
              <w:right w:val="single" w:color="auto" w:sz="4" w:space="0"/>
            </w:tcBorders>
            <w:vAlign w:val="center"/>
          </w:tcPr>
          <w:p w14:paraId="6C3D1D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E6D861">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39CA11E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single" w:color="auto" w:sz="4" w:space="0"/>
              <w:left w:val="single" w:color="auto" w:sz="4" w:space="0"/>
              <w:bottom w:val="single" w:color="auto" w:sz="4" w:space="0"/>
              <w:right w:val="single" w:color="auto" w:sz="4" w:space="0"/>
            </w:tcBorders>
            <w:vAlign w:val="center"/>
          </w:tcPr>
          <w:p w14:paraId="72E260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290AD2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4FD717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single" w:color="auto" w:sz="4" w:space="0"/>
              <w:left w:val="single" w:color="auto" w:sz="4" w:space="0"/>
              <w:bottom w:val="single" w:color="auto" w:sz="4" w:space="0"/>
              <w:right w:val="single" w:color="auto" w:sz="4" w:space="0"/>
            </w:tcBorders>
            <w:vAlign w:val="center"/>
          </w:tcPr>
          <w:p w14:paraId="6423A3C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single" w:color="auto" w:sz="4" w:space="0"/>
              <w:left w:val="single" w:color="auto" w:sz="4" w:space="0"/>
              <w:bottom w:val="single" w:color="auto" w:sz="4" w:space="0"/>
              <w:right w:val="single" w:color="auto" w:sz="4" w:space="0"/>
            </w:tcBorders>
            <w:vAlign w:val="center"/>
          </w:tcPr>
          <w:p w14:paraId="54A7BB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vAlign w:val="center"/>
          </w:tcPr>
          <w:p w14:paraId="5884FB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093808">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59421571">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1FAEB63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7CECAB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399AB7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single" w:color="auto" w:sz="4" w:space="0"/>
              <w:left w:val="single" w:color="auto" w:sz="4" w:space="0"/>
              <w:bottom w:val="single" w:color="auto" w:sz="4" w:space="0"/>
              <w:right w:val="single" w:color="auto" w:sz="4" w:space="0"/>
            </w:tcBorders>
            <w:vAlign w:val="center"/>
          </w:tcPr>
          <w:p w14:paraId="2AABFA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single" w:color="auto" w:sz="4" w:space="0"/>
              <w:left w:val="single" w:color="auto" w:sz="4" w:space="0"/>
              <w:bottom w:val="single" w:color="auto" w:sz="4" w:space="0"/>
              <w:right w:val="single" w:color="auto" w:sz="4" w:space="0"/>
            </w:tcBorders>
            <w:vAlign w:val="center"/>
          </w:tcPr>
          <w:p w14:paraId="23EC9C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single" w:color="auto" w:sz="4" w:space="0"/>
              <w:left w:val="single" w:color="auto" w:sz="4" w:space="0"/>
              <w:bottom w:val="single" w:color="auto" w:sz="4" w:space="0"/>
              <w:right w:val="single" w:color="auto" w:sz="4" w:space="0"/>
            </w:tcBorders>
            <w:vAlign w:val="center"/>
          </w:tcPr>
          <w:p w14:paraId="1BDF85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03240C">
        <w:tblPrEx>
          <w:tblCellMar>
            <w:top w:w="0" w:type="dxa"/>
            <w:left w:w="108" w:type="dxa"/>
            <w:bottom w:w="0" w:type="dxa"/>
            <w:right w:w="108" w:type="dxa"/>
          </w:tblCellMar>
        </w:tblPrEx>
        <w:trPr>
          <w:trHeight w:val="397"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35B33F9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single" w:color="auto" w:sz="4" w:space="0"/>
              <w:left w:val="single" w:color="auto" w:sz="4" w:space="0"/>
              <w:bottom w:val="single" w:color="auto" w:sz="4" w:space="0"/>
              <w:right w:val="single" w:color="auto" w:sz="4" w:space="0"/>
            </w:tcBorders>
            <w:vAlign w:val="center"/>
          </w:tcPr>
          <w:p w14:paraId="5A036D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2B9704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73AA97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single" w:color="auto" w:sz="4" w:space="0"/>
              <w:left w:val="single" w:color="auto" w:sz="4" w:space="0"/>
              <w:bottom w:val="single" w:color="auto" w:sz="4" w:space="0"/>
              <w:right w:val="single" w:color="auto" w:sz="4" w:space="0"/>
            </w:tcBorders>
            <w:vAlign w:val="center"/>
          </w:tcPr>
          <w:p w14:paraId="57E803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single" w:color="auto" w:sz="4" w:space="0"/>
              <w:left w:val="single" w:color="auto" w:sz="4" w:space="0"/>
              <w:bottom w:val="single" w:color="auto" w:sz="4" w:space="0"/>
              <w:right w:val="single" w:color="auto" w:sz="4" w:space="0"/>
            </w:tcBorders>
            <w:vAlign w:val="center"/>
          </w:tcPr>
          <w:p w14:paraId="40316D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vAlign w:val="center"/>
          </w:tcPr>
          <w:p w14:paraId="31513C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91E372">
        <w:tblPrEx>
          <w:tblCellMar>
            <w:top w:w="0" w:type="dxa"/>
            <w:left w:w="108" w:type="dxa"/>
            <w:bottom w:w="0" w:type="dxa"/>
            <w:right w:w="108" w:type="dxa"/>
          </w:tblCellMar>
        </w:tblPrEx>
        <w:trPr>
          <w:trHeight w:val="397"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67C8E84B">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362F8E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1F6226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665886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single" w:color="auto" w:sz="4" w:space="0"/>
              <w:left w:val="single" w:color="auto" w:sz="4" w:space="0"/>
              <w:bottom w:val="single" w:color="auto" w:sz="4" w:space="0"/>
              <w:right w:val="single" w:color="auto" w:sz="4" w:space="0"/>
            </w:tcBorders>
            <w:vAlign w:val="center"/>
          </w:tcPr>
          <w:p w14:paraId="70705C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single" w:color="auto" w:sz="4" w:space="0"/>
              <w:left w:val="single" w:color="auto" w:sz="4" w:space="0"/>
              <w:bottom w:val="single" w:color="auto" w:sz="4" w:space="0"/>
              <w:right w:val="single" w:color="auto" w:sz="4" w:space="0"/>
            </w:tcBorders>
            <w:vAlign w:val="center"/>
          </w:tcPr>
          <w:p w14:paraId="3D9E8C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single" w:color="auto" w:sz="4" w:space="0"/>
              <w:left w:val="single" w:color="auto" w:sz="4" w:space="0"/>
              <w:bottom w:val="single" w:color="auto" w:sz="4" w:space="0"/>
              <w:right w:val="single" w:color="auto" w:sz="4" w:space="0"/>
            </w:tcBorders>
            <w:vAlign w:val="center"/>
          </w:tcPr>
          <w:p w14:paraId="0E3655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415E6E">
        <w:tblPrEx>
          <w:tblCellMar>
            <w:top w:w="0" w:type="dxa"/>
            <w:left w:w="108" w:type="dxa"/>
            <w:bottom w:w="0" w:type="dxa"/>
            <w:right w:w="108" w:type="dxa"/>
          </w:tblCellMar>
        </w:tblPrEx>
        <w:trPr>
          <w:trHeight w:val="340"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2DBF5E88">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single" w:color="auto" w:sz="4" w:space="0"/>
              <w:left w:val="single" w:color="auto" w:sz="4" w:space="0"/>
              <w:bottom w:val="single" w:color="auto" w:sz="4" w:space="0"/>
              <w:right w:val="single" w:color="auto" w:sz="4" w:space="0"/>
            </w:tcBorders>
            <w:vAlign w:val="center"/>
          </w:tcPr>
          <w:p w14:paraId="3D72A6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208637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424AB3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single" w:color="auto" w:sz="4" w:space="0"/>
              <w:left w:val="single" w:color="auto" w:sz="4" w:space="0"/>
              <w:bottom w:val="single" w:color="auto" w:sz="4" w:space="0"/>
              <w:right w:val="single" w:color="auto" w:sz="4" w:space="0"/>
            </w:tcBorders>
            <w:vAlign w:val="center"/>
          </w:tcPr>
          <w:p w14:paraId="5C7A51FF">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single" w:color="auto" w:sz="4" w:space="0"/>
              <w:left w:val="single" w:color="auto" w:sz="4" w:space="0"/>
              <w:bottom w:val="single" w:color="auto" w:sz="4" w:space="0"/>
              <w:right w:val="single" w:color="auto" w:sz="4" w:space="0"/>
            </w:tcBorders>
            <w:vAlign w:val="center"/>
          </w:tcPr>
          <w:p w14:paraId="6F6299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vAlign w:val="center"/>
          </w:tcPr>
          <w:p w14:paraId="4859EA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A29A2B">
        <w:tblPrEx>
          <w:tblCellMar>
            <w:top w:w="0" w:type="dxa"/>
            <w:left w:w="108" w:type="dxa"/>
            <w:bottom w:w="0" w:type="dxa"/>
            <w:right w:w="108" w:type="dxa"/>
          </w:tblCellMar>
        </w:tblPrEx>
        <w:trPr>
          <w:trHeight w:val="340"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65A5C1BC">
            <w:pPr>
              <w:widowControl/>
              <w:jc w:val="left"/>
              <w:rPr>
                <w:rFonts w:ascii="宋体" w:hAnsi="宋体" w:cs="宋体"/>
                <w:color w:val="auto"/>
                <w:spacing w:val="-12"/>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715B0C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5B612B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305C03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single" w:color="auto" w:sz="4" w:space="0"/>
              <w:left w:val="single" w:color="auto" w:sz="4" w:space="0"/>
              <w:bottom w:val="single" w:color="auto" w:sz="4" w:space="0"/>
              <w:right w:val="single" w:color="auto" w:sz="4" w:space="0"/>
            </w:tcBorders>
            <w:vAlign w:val="center"/>
          </w:tcPr>
          <w:p w14:paraId="5E8271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single" w:color="auto" w:sz="4" w:space="0"/>
              <w:left w:val="single" w:color="auto" w:sz="4" w:space="0"/>
              <w:bottom w:val="single" w:color="auto" w:sz="4" w:space="0"/>
              <w:right w:val="single" w:color="auto" w:sz="4" w:space="0"/>
            </w:tcBorders>
            <w:vAlign w:val="center"/>
          </w:tcPr>
          <w:p w14:paraId="6A87E1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single" w:color="auto" w:sz="4" w:space="0"/>
              <w:left w:val="single" w:color="auto" w:sz="4" w:space="0"/>
              <w:bottom w:val="single" w:color="auto" w:sz="4" w:space="0"/>
              <w:right w:val="single" w:color="auto" w:sz="4" w:space="0"/>
            </w:tcBorders>
            <w:vAlign w:val="center"/>
          </w:tcPr>
          <w:p w14:paraId="379D23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58D4448">
        <w:tblPrEx>
          <w:tblCellMar>
            <w:top w:w="0" w:type="dxa"/>
            <w:left w:w="108" w:type="dxa"/>
            <w:bottom w:w="0" w:type="dxa"/>
            <w:right w:w="108" w:type="dxa"/>
          </w:tblCellMar>
        </w:tblPrEx>
        <w:trPr>
          <w:trHeight w:val="340"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52B067A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single" w:color="auto" w:sz="4" w:space="0"/>
              <w:left w:val="single" w:color="auto" w:sz="4" w:space="0"/>
              <w:bottom w:val="single" w:color="auto" w:sz="4" w:space="0"/>
              <w:right w:val="single" w:color="auto" w:sz="4" w:space="0"/>
            </w:tcBorders>
            <w:vAlign w:val="center"/>
          </w:tcPr>
          <w:p w14:paraId="18E186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7694DF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168862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single" w:color="auto" w:sz="4" w:space="0"/>
              <w:left w:val="single" w:color="auto" w:sz="4" w:space="0"/>
              <w:bottom w:val="single" w:color="auto" w:sz="4" w:space="0"/>
              <w:right w:val="single" w:color="auto" w:sz="4" w:space="0"/>
            </w:tcBorders>
            <w:vAlign w:val="center"/>
          </w:tcPr>
          <w:p w14:paraId="76E3C6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single" w:color="auto" w:sz="4" w:space="0"/>
              <w:left w:val="single" w:color="auto" w:sz="4" w:space="0"/>
              <w:bottom w:val="single" w:color="auto" w:sz="4" w:space="0"/>
              <w:right w:val="single" w:color="auto" w:sz="4" w:space="0"/>
            </w:tcBorders>
            <w:vAlign w:val="center"/>
          </w:tcPr>
          <w:p w14:paraId="3A7BE9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single" w:color="auto" w:sz="4" w:space="0"/>
              <w:left w:val="single" w:color="auto" w:sz="4" w:space="0"/>
              <w:bottom w:val="single" w:color="auto" w:sz="4" w:space="0"/>
              <w:right w:val="single" w:color="auto" w:sz="4" w:space="0"/>
            </w:tcBorders>
            <w:vAlign w:val="center"/>
          </w:tcPr>
          <w:p w14:paraId="1D6F49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27D4C0B">
        <w:tblPrEx>
          <w:tblCellMar>
            <w:top w:w="0" w:type="dxa"/>
            <w:left w:w="108" w:type="dxa"/>
            <w:bottom w:w="0" w:type="dxa"/>
            <w:right w:w="108" w:type="dxa"/>
          </w:tblCellMar>
        </w:tblPrEx>
        <w:trPr>
          <w:trHeight w:val="340"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44D6C8D9">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4B9B49A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single" w:color="auto" w:sz="4" w:space="0"/>
              <w:left w:val="single" w:color="auto" w:sz="4" w:space="0"/>
              <w:bottom w:val="single" w:color="auto" w:sz="4" w:space="0"/>
              <w:right w:val="single" w:color="auto" w:sz="4" w:space="0"/>
            </w:tcBorders>
            <w:vAlign w:val="center"/>
          </w:tcPr>
          <w:p w14:paraId="6E9811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27A090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single" w:color="auto" w:sz="4" w:space="0"/>
              <w:left w:val="single" w:color="auto" w:sz="4" w:space="0"/>
              <w:bottom w:val="single" w:color="auto" w:sz="4" w:space="0"/>
              <w:right w:val="single" w:color="auto" w:sz="4" w:space="0"/>
            </w:tcBorders>
            <w:vAlign w:val="center"/>
          </w:tcPr>
          <w:p w14:paraId="44131C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single" w:color="auto" w:sz="4" w:space="0"/>
              <w:left w:val="single" w:color="auto" w:sz="4" w:space="0"/>
              <w:bottom w:val="single" w:color="auto" w:sz="4" w:space="0"/>
              <w:right w:val="single" w:color="auto" w:sz="4" w:space="0"/>
            </w:tcBorders>
            <w:vAlign w:val="center"/>
          </w:tcPr>
          <w:p w14:paraId="5AFF7A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single" w:color="auto" w:sz="4" w:space="0"/>
              <w:left w:val="single" w:color="auto" w:sz="4" w:space="0"/>
              <w:bottom w:val="single" w:color="auto" w:sz="4" w:space="0"/>
              <w:right w:val="single" w:color="auto" w:sz="4" w:space="0"/>
            </w:tcBorders>
            <w:vAlign w:val="center"/>
          </w:tcPr>
          <w:p w14:paraId="7C0521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51404A61">
        <w:tblPrEx>
          <w:tblCellMar>
            <w:top w:w="0" w:type="dxa"/>
            <w:left w:w="108" w:type="dxa"/>
            <w:bottom w:w="0" w:type="dxa"/>
            <w:right w:w="108" w:type="dxa"/>
          </w:tblCellMar>
        </w:tblPrEx>
        <w:trPr>
          <w:trHeight w:val="340"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1232661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single" w:color="auto" w:sz="4" w:space="0"/>
              <w:left w:val="single" w:color="auto" w:sz="4" w:space="0"/>
              <w:bottom w:val="single" w:color="auto" w:sz="4" w:space="0"/>
              <w:right w:val="single" w:color="auto" w:sz="4" w:space="0"/>
            </w:tcBorders>
            <w:vAlign w:val="center"/>
          </w:tcPr>
          <w:p w14:paraId="495E79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393788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190676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single" w:color="auto" w:sz="4" w:space="0"/>
              <w:left w:val="single" w:color="auto" w:sz="4" w:space="0"/>
              <w:bottom w:val="single" w:color="auto" w:sz="4" w:space="0"/>
              <w:right w:val="single" w:color="auto" w:sz="4" w:space="0"/>
            </w:tcBorders>
            <w:vAlign w:val="center"/>
          </w:tcPr>
          <w:p w14:paraId="0750EB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single" w:color="auto" w:sz="4" w:space="0"/>
              <w:left w:val="single" w:color="auto" w:sz="4" w:space="0"/>
              <w:bottom w:val="single" w:color="auto" w:sz="4" w:space="0"/>
              <w:right w:val="single" w:color="auto" w:sz="4" w:space="0"/>
            </w:tcBorders>
            <w:vAlign w:val="center"/>
          </w:tcPr>
          <w:p w14:paraId="1216FF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single" w:color="auto" w:sz="4" w:space="0"/>
              <w:left w:val="single" w:color="auto" w:sz="4" w:space="0"/>
              <w:bottom w:val="single" w:color="auto" w:sz="4" w:space="0"/>
              <w:right w:val="single" w:color="auto" w:sz="4" w:space="0"/>
            </w:tcBorders>
            <w:vAlign w:val="center"/>
          </w:tcPr>
          <w:p w14:paraId="05BC9A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FE00397">
        <w:tblPrEx>
          <w:tblCellMar>
            <w:top w:w="0" w:type="dxa"/>
            <w:left w:w="108" w:type="dxa"/>
            <w:bottom w:w="0" w:type="dxa"/>
            <w:right w:w="108" w:type="dxa"/>
          </w:tblCellMar>
        </w:tblPrEx>
        <w:trPr>
          <w:trHeight w:val="340"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500A05E7">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2DF37A7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single" w:color="auto" w:sz="4" w:space="0"/>
              <w:left w:val="single" w:color="auto" w:sz="4" w:space="0"/>
              <w:bottom w:val="single" w:color="auto" w:sz="4" w:space="0"/>
              <w:right w:val="single" w:color="auto" w:sz="4" w:space="0"/>
            </w:tcBorders>
            <w:vAlign w:val="center"/>
          </w:tcPr>
          <w:p w14:paraId="519B95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609F86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single" w:color="auto" w:sz="4" w:space="0"/>
              <w:left w:val="single" w:color="auto" w:sz="4" w:space="0"/>
              <w:bottom w:val="single" w:color="auto" w:sz="4" w:space="0"/>
              <w:right w:val="single" w:color="auto" w:sz="4" w:space="0"/>
            </w:tcBorders>
            <w:vAlign w:val="center"/>
          </w:tcPr>
          <w:p w14:paraId="116F98C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single" w:color="auto" w:sz="4" w:space="0"/>
              <w:left w:val="single" w:color="auto" w:sz="4" w:space="0"/>
              <w:bottom w:val="single" w:color="auto" w:sz="4" w:space="0"/>
              <w:right w:val="single" w:color="auto" w:sz="4" w:space="0"/>
            </w:tcBorders>
            <w:vAlign w:val="center"/>
          </w:tcPr>
          <w:p w14:paraId="0F29D9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single" w:color="auto" w:sz="4" w:space="0"/>
              <w:left w:val="single" w:color="auto" w:sz="4" w:space="0"/>
              <w:bottom w:val="single" w:color="auto" w:sz="4" w:space="0"/>
              <w:right w:val="single" w:color="auto" w:sz="4" w:space="0"/>
            </w:tcBorders>
            <w:vAlign w:val="center"/>
          </w:tcPr>
          <w:p w14:paraId="42AAFB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87FB702">
        <w:tblPrEx>
          <w:tblCellMar>
            <w:top w:w="0" w:type="dxa"/>
            <w:left w:w="108" w:type="dxa"/>
            <w:bottom w:w="0" w:type="dxa"/>
            <w:right w:w="108" w:type="dxa"/>
          </w:tblCellMar>
        </w:tblPrEx>
        <w:trPr>
          <w:trHeight w:val="340" w:hRule="exact"/>
          <w:jc w:val="center"/>
        </w:trPr>
        <w:tc>
          <w:tcPr>
            <w:tcW w:w="1723" w:type="dxa"/>
            <w:vMerge w:val="restart"/>
            <w:tcBorders>
              <w:top w:val="single" w:color="auto" w:sz="4" w:space="0"/>
              <w:left w:val="single" w:color="auto" w:sz="4" w:space="0"/>
              <w:bottom w:val="single" w:color="auto" w:sz="4" w:space="0"/>
              <w:right w:val="single" w:color="auto" w:sz="4" w:space="0"/>
            </w:tcBorders>
            <w:vAlign w:val="center"/>
          </w:tcPr>
          <w:p w14:paraId="4ACF2A3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single" w:color="auto" w:sz="4" w:space="0"/>
              <w:left w:val="single" w:color="auto" w:sz="4" w:space="0"/>
              <w:bottom w:val="single" w:color="auto" w:sz="4" w:space="0"/>
              <w:right w:val="single" w:color="auto" w:sz="4" w:space="0"/>
            </w:tcBorders>
            <w:vAlign w:val="center"/>
          </w:tcPr>
          <w:p w14:paraId="27551F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6877D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0271D1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single" w:color="auto" w:sz="4" w:space="0"/>
              <w:left w:val="single" w:color="auto" w:sz="4" w:space="0"/>
              <w:bottom w:val="single" w:color="auto" w:sz="4" w:space="0"/>
              <w:right w:val="single" w:color="auto" w:sz="4" w:space="0"/>
            </w:tcBorders>
            <w:vAlign w:val="center"/>
          </w:tcPr>
          <w:p w14:paraId="4AE9DD36">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single" w:color="auto" w:sz="4" w:space="0"/>
              <w:left w:val="single" w:color="auto" w:sz="4" w:space="0"/>
              <w:bottom w:val="single" w:color="auto" w:sz="4" w:space="0"/>
              <w:right w:val="single" w:color="auto" w:sz="4" w:space="0"/>
            </w:tcBorders>
            <w:vAlign w:val="center"/>
          </w:tcPr>
          <w:p w14:paraId="7253E6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vAlign w:val="center"/>
          </w:tcPr>
          <w:p w14:paraId="44FDC3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DFD88A6">
        <w:tblPrEx>
          <w:tblCellMar>
            <w:top w:w="0" w:type="dxa"/>
            <w:left w:w="108" w:type="dxa"/>
            <w:bottom w:w="0" w:type="dxa"/>
            <w:right w:w="108" w:type="dxa"/>
          </w:tblCellMar>
        </w:tblPrEx>
        <w:trPr>
          <w:trHeight w:val="340" w:hRule="exact"/>
          <w:jc w:val="center"/>
        </w:trPr>
        <w:tc>
          <w:tcPr>
            <w:tcW w:w="1723" w:type="dxa"/>
            <w:vMerge w:val="continue"/>
            <w:tcBorders>
              <w:top w:val="single" w:color="auto" w:sz="4" w:space="0"/>
              <w:left w:val="single" w:color="auto" w:sz="4" w:space="0"/>
              <w:bottom w:val="single" w:color="auto" w:sz="4" w:space="0"/>
              <w:right w:val="single" w:color="auto" w:sz="4" w:space="0"/>
            </w:tcBorders>
            <w:vAlign w:val="center"/>
          </w:tcPr>
          <w:p w14:paraId="4E7A91BC">
            <w:pPr>
              <w:widowControl/>
              <w:jc w:val="left"/>
              <w:rPr>
                <w:rFonts w:ascii="宋体" w:hAnsi="宋体" w:cs="宋体"/>
                <w:color w:val="auto"/>
                <w:kern w:val="0"/>
                <w:sz w:val="18"/>
                <w:szCs w:val="18"/>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6E0A38E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single" w:color="auto" w:sz="4" w:space="0"/>
              <w:left w:val="single" w:color="auto" w:sz="4" w:space="0"/>
              <w:bottom w:val="single" w:color="auto" w:sz="4" w:space="0"/>
              <w:right w:val="single" w:color="auto" w:sz="4" w:space="0"/>
            </w:tcBorders>
            <w:vAlign w:val="center"/>
          </w:tcPr>
          <w:p w14:paraId="5D7EAA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14:paraId="488783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single" w:color="auto" w:sz="4" w:space="0"/>
              <w:left w:val="single" w:color="auto" w:sz="4" w:space="0"/>
              <w:bottom w:val="single" w:color="auto" w:sz="4" w:space="0"/>
              <w:right w:val="single" w:color="auto" w:sz="4" w:space="0"/>
            </w:tcBorders>
            <w:vAlign w:val="center"/>
          </w:tcPr>
          <w:p w14:paraId="762DD9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single" w:color="auto" w:sz="4" w:space="0"/>
              <w:left w:val="single" w:color="auto" w:sz="4" w:space="0"/>
              <w:bottom w:val="single" w:color="auto" w:sz="4" w:space="0"/>
              <w:right w:val="single" w:color="auto" w:sz="4" w:space="0"/>
            </w:tcBorders>
            <w:vAlign w:val="center"/>
          </w:tcPr>
          <w:p w14:paraId="2BCD2A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single" w:color="auto" w:sz="4" w:space="0"/>
              <w:left w:val="single" w:color="auto" w:sz="4" w:space="0"/>
              <w:bottom w:val="single" w:color="auto" w:sz="4" w:space="0"/>
              <w:right w:val="single" w:color="auto" w:sz="4" w:space="0"/>
            </w:tcBorders>
            <w:vAlign w:val="center"/>
          </w:tcPr>
          <w:p w14:paraId="25DC9D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A9526BC">
        <w:tblPrEx>
          <w:tblCellMar>
            <w:top w:w="0" w:type="dxa"/>
            <w:left w:w="108" w:type="dxa"/>
            <w:bottom w:w="0" w:type="dxa"/>
            <w:right w:w="108" w:type="dxa"/>
          </w:tblCellMar>
        </w:tblPrEx>
        <w:trPr>
          <w:trHeight w:val="397" w:hRule="exact"/>
          <w:jc w:val="center"/>
        </w:trPr>
        <w:tc>
          <w:tcPr>
            <w:tcW w:w="1723" w:type="dxa"/>
            <w:tcBorders>
              <w:top w:val="single" w:color="auto" w:sz="4" w:space="0"/>
              <w:left w:val="single" w:color="auto" w:sz="4" w:space="0"/>
              <w:bottom w:val="single" w:color="auto" w:sz="4" w:space="0"/>
              <w:right w:val="single" w:color="auto" w:sz="4" w:space="0"/>
            </w:tcBorders>
            <w:vAlign w:val="center"/>
          </w:tcPr>
          <w:p w14:paraId="4DC3DCB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single" w:color="auto" w:sz="4" w:space="0"/>
              <w:left w:val="single" w:color="auto" w:sz="4" w:space="0"/>
              <w:bottom w:val="single" w:color="auto" w:sz="4" w:space="0"/>
              <w:right w:val="single" w:color="auto" w:sz="4" w:space="0"/>
            </w:tcBorders>
            <w:vAlign w:val="center"/>
          </w:tcPr>
          <w:p w14:paraId="0083D0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single" w:color="auto" w:sz="4" w:space="0"/>
              <w:left w:val="single" w:color="auto" w:sz="4" w:space="0"/>
              <w:bottom w:val="single" w:color="auto" w:sz="4" w:space="0"/>
              <w:right w:val="single" w:color="auto" w:sz="4" w:space="0"/>
            </w:tcBorders>
            <w:vAlign w:val="center"/>
          </w:tcPr>
          <w:p w14:paraId="0DB737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single" w:color="auto" w:sz="4" w:space="0"/>
              <w:left w:val="single" w:color="auto" w:sz="4" w:space="0"/>
              <w:bottom w:val="single" w:color="auto" w:sz="4" w:space="0"/>
              <w:right w:val="single" w:color="auto" w:sz="4" w:space="0"/>
            </w:tcBorders>
            <w:vAlign w:val="center"/>
          </w:tcPr>
          <w:p w14:paraId="048032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single" w:color="auto" w:sz="4" w:space="0"/>
              <w:left w:val="single" w:color="auto" w:sz="4" w:space="0"/>
              <w:bottom w:val="single" w:color="auto" w:sz="4" w:space="0"/>
              <w:right w:val="single" w:color="auto" w:sz="4" w:space="0"/>
            </w:tcBorders>
            <w:vAlign w:val="center"/>
          </w:tcPr>
          <w:p w14:paraId="7C0627D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single" w:color="auto" w:sz="4" w:space="0"/>
              <w:left w:val="single" w:color="auto" w:sz="4" w:space="0"/>
              <w:bottom w:val="single" w:color="auto" w:sz="4" w:space="0"/>
              <w:right w:val="single" w:color="auto" w:sz="4" w:space="0"/>
            </w:tcBorders>
            <w:vAlign w:val="center"/>
          </w:tcPr>
          <w:p w14:paraId="7B6CB5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vAlign w:val="center"/>
          </w:tcPr>
          <w:p w14:paraId="1F1397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DD532EA">
      <w:pPr>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17200A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1.大型、中型和小型企业须同时满足所列指标的下限，否则下划一档；微型企业只须满足所列指标中的一项即可。</w:t>
      </w:r>
    </w:p>
    <w:p w14:paraId="5C096D0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810414">
      <w:pPr>
        <w:spacing w:line="312" w:lineRule="auto"/>
        <w:jc w:val="left"/>
        <w:rPr>
          <w:rFonts w:hint="eastAsia" w:ascii="宋体" w:hAnsi="宋体"/>
          <w:color w:val="auto"/>
          <w:szCs w:val="21"/>
          <w:highlight w:val="none"/>
        </w:rPr>
      </w:pPr>
      <w:r>
        <w:rPr>
          <w:rFonts w:hint="eastAsia" w:ascii="宋体" w:hAnsi="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FBB67AC">
      <w:pPr>
        <w:spacing w:line="312" w:lineRule="auto"/>
        <w:jc w:val="center"/>
        <w:rPr>
          <w:rFonts w:hint="eastAsia" w:ascii="宋体" w:hAnsi="宋体" w:cs="宋体"/>
          <w:b/>
          <w:color w:val="auto"/>
          <w:kern w:val="0"/>
          <w:sz w:val="28"/>
          <w:szCs w:val="28"/>
          <w:highlight w:val="none"/>
        </w:rPr>
      </w:pPr>
      <w:r>
        <w:rPr>
          <w:rFonts w:hint="eastAsia" w:ascii="宋体" w:hAnsi="宋体"/>
          <w:color w:val="auto"/>
          <w:szCs w:val="21"/>
          <w:highlight w:val="none"/>
        </w:rPr>
        <w:br w:type="page"/>
      </w:r>
      <w:r>
        <w:rPr>
          <w:rFonts w:hint="eastAsia" w:ascii="宋体" w:hAnsi="宋体" w:cs="宋体"/>
          <w:b/>
          <w:color w:val="auto"/>
          <w:kern w:val="0"/>
          <w:sz w:val="28"/>
          <w:szCs w:val="28"/>
          <w:highlight w:val="none"/>
        </w:rPr>
        <w:t>财政部 发展改革委 生态环境部 市场监管总局</w:t>
      </w:r>
    </w:p>
    <w:p w14:paraId="6E81D6D5">
      <w:pPr>
        <w:spacing w:line="312"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关于调整优化节能产品、环境标志产品政府采购执行机制的通知</w:t>
      </w:r>
    </w:p>
    <w:p w14:paraId="1CA10F69">
      <w:pPr>
        <w:pStyle w:val="23"/>
        <w:shd w:val="clear" w:color="auto" w:fill="FFFFFF"/>
        <w:jc w:val="center"/>
        <w:rPr>
          <w:rFonts w:hint="eastAsia" w:ascii="宋体" w:hAnsi="宋体"/>
          <w:b/>
          <w:bCs/>
          <w:color w:val="auto"/>
          <w:sz w:val="21"/>
          <w:szCs w:val="21"/>
          <w:highlight w:val="none"/>
        </w:rPr>
      </w:pPr>
      <w:r>
        <w:rPr>
          <w:rFonts w:hint="eastAsia" w:ascii="宋体" w:hAnsi="宋体"/>
          <w:b/>
          <w:bCs/>
          <w:color w:val="auto"/>
          <w:sz w:val="21"/>
          <w:szCs w:val="21"/>
          <w:highlight w:val="none"/>
        </w:rPr>
        <w:t>财库〔2019〕9号</w:t>
      </w:r>
    </w:p>
    <w:p w14:paraId="41AED288">
      <w:pPr>
        <w:pStyle w:val="23"/>
        <w:shd w:val="clear" w:color="auto" w:fill="FFFFFF"/>
        <w:spacing w:line="360" w:lineRule="auto"/>
        <w:ind w:firstLine="420" w:firstLineChars="200"/>
        <w:jc w:val="both"/>
        <w:rPr>
          <w:rFonts w:hint="eastAsia" w:ascii="宋体" w:hAnsi="宋体"/>
          <w:color w:val="auto"/>
          <w:sz w:val="21"/>
          <w:szCs w:val="21"/>
          <w:highlight w:val="none"/>
        </w:rPr>
      </w:pPr>
      <w:r>
        <w:rPr>
          <w:rFonts w:hint="eastAsia" w:ascii="宋体" w:hAnsi="宋体"/>
          <w:color w:val="auto"/>
          <w:sz w:val="21"/>
          <w:szCs w:val="21"/>
          <w:highlight w:val="none"/>
        </w:rPr>
        <w:t>有关中央预算单位，各省、自治区、直辖市、计划单列市财政厅（局）、发展改革委（经信委、工信委、工信厅、经信局）、生态环境厅（局）、市场监管部门，新疆生产建设兵团财政局、发展改革委、工信委、环境保护局、市场监管局：</w:t>
      </w:r>
    </w:p>
    <w:p w14:paraId="13614872">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为落实“放管服”改革要求，完善政府绿色采购政策，简化节能（节水）产品、环境标志产品政府采购执行机制，优化投标人参与政府采购活动的市场环境，现就节能产品、环境标志产品政府采购有关事项通知如下：</w:t>
      </w:r>
    </w:p>
    <w:p w14:paraId="6799F7BA">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29E92A09">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C03BEAF">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4423E999">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2DF595BF">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129A9175">
      <w:pPr>
        <w:pStyle w:val="23"/>
        <w:shd w:val="clear" w:color="auto" w:fill="FFFFFF"/>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　　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2B50EFE9">
      <w:pPr>
        <w:jc w:val="center"/>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政府采购促进中小企业发展管理办法</w:t>
      </w:r>
    </w:p>
    <w:p w14:paraId="6AB26518">
      <w:pPr>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财库〔2020〕46号</w:t>
      </w:r>
    </w:p>
    <w:p w14:paraId="35D25035">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第一条 为了发挥政府采购的政策功能，促进中小企业健康发展，根据《中华人民共和国政府采购法》、《中华人民共和国中小企业促进法》等有关法律法规，制定本办法。</w:t>
      </w:r>
    </w:p>
    <w:p w14:paraId="6B218728">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436B5CF">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2C1C0BF2">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第三条 采购人在政府采购活动中应当通过加强采购需求管理，落实预留采购份额、价格评审优惠、优先采购等措施，提高中小企业在政府采购中的份额，支持中小企业发展。</w:t>
      </w:r>
    </w:p>
    <w:p w14:paraId="078E02CC">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第四条 在政府采购活动中，投标人提供的货物、工程或者服务符合下列情形的，享受本办法规定的中小企业扶持政策：</w:t>
      </w:r>
    </w:p>
    <w:p w14:paraId="40890A96">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（一）在货物采购项目中，货物由中小企业制造，即货物由中小企业生产且使用该中小企业商号或者注册商标；</w:t>
      </w:r>
    </w:p>
    <w:p w14:paraId="1E1BD613">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（二）在工程采购项目中，工程由中小企业承建，即工程施工单位为中小企业；</w:t>
      </w:r>
    </w:p>
    <w:p w14:paraId="7DE1780C">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（三）在服务采购项目中，服务由中小企业承接，即提供服务的人员为中小企业依照《中华人民共和国劳动合同法》订立劳动合同的从业人员。</w:t>
      </w:r>
    </w:p>
    <w:p w14:paraId="1EBFD88A">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在货物采购项目中，投标人提供的货物既有中小企业制造货物，也有大型企业制造货物的，不享受本办法规定的中小企业扶持政策。</w:t>
      </w:r>
    </w:p>
    <w:p w14:paraId="28B904DD">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3B688110">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第五条 采购人在政府采购活动中应当合理确定采购项目的采购需求，不得以企业注册资本、资产总额、营业收入、从业人员、利润、纳税额等规模条件和财务指标作为投标人的资格要求或者评审因素，不得在企业股权结构、经营年限等方面对中小企业实行差别待遇或者歧视待遇。</w:t>
      </w:r>
    </w:p>
    <w:p w14:paraId="0B542FA6">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3E84F42">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符合下列情形之一的，可不专门面向中小企业预留采购份额：</w:t>
      </w:r>
    </w:p>
    <w:p w14:paraId="19464CC0">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（一）法律法规和国家有关政策明确规定优先或者应当面向事业单位、社会组织等非企业主体采购的；</w:t>
      </w:r>
    </w:p>
    <w:p w14:paraId="2BBAAC94">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（二）因确需使用不可替代的专利、专有技术，基础设施限制，或者提供特定公共服务等原因，只能从中小企业之外的投标人处采购的；</w:t>
      </w:r>
    </w:p>
    <w:p w14:paraId="5A1E12F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（三）按照本办法规定预留采购份额无法确保充分供应、充分竞争，或者存在可能影响政府采购目标实现的情形；</w:t>
      </w:r>
    </w:p>
    <w:p w14:paraId="411A445F">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（四）框架协议采购项目；</w:t>
      </w:r>
    </w:p>
    <w:p w14:paraId="39DC6210">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（五）省级以上人民政府财政部门规定的其他情形。</w:t>
      </w:r>
    </w:p>
    <w:p w14:paraId="1BE3932A">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除上述情形外，其他均为适宜由中小企业提供的情形。</w:t>
      </w:r>
    </w:p>
    <w:p w14:paraId="0FB85583">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第七条 采购限额标准以上，200万元以下的货物和服务采购项目、400万元以下的工程采购项目，适宜由中小企业提供的，采购人应当专门面向中小企业采购。</w:t>
      </w:r>
    </w:p>
    <w:p w14:paraId="14745837">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第八条 超过 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111570B">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（一）将采购项目整体或者设置采购包专门面向中小企业采购；</w:t>
      </w:r>
    </w:p>
    <w:p w14:paraId="607BC9E6">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（二）要求投标人以联合体形式参加采购活动，且联合体中中小企业承担的部分达到一定比例；</w:t>
      </w:r>
    </w:p>
    <w:p w14:paraId="4A6A0EEE">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（三）要求获得采购合同的投标人将采购项目中的一定比例分包给一家或者多家中小企业。</w:t>
      </w:r>
    </w:p>
    <w:p w14:paraId="1B116DD2">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组成联合体或者接受分包合同的中小企业与联合体内其他企业、分包企业之间不得存在直接控股、管理关系。</w:t>
      </w:r>
    </w:p>
    <w:p w14:paraId="576FD857">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2D1EF3">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FDE8F31">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DC2404">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第十条 采购人应当严格按照本办法规定和主管预算单位制定的预留采购份额具体方案开展采购活动。预留份额的采购项目或者采购包，通过发布公告方式邀请投标人后，符合资格条件的中小企业数量不足3家的，应当中止采购活动，视同未预留份额的采购项目或者采购包，按照本办法第九条有关规定重新组织采购活动。</w:t>
      </w:r>
    </w:p>
    <w:p w14:paraId="74B482E9">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第十一条 中小企业参加政府采购活动，应当出具本办法规定的《中小企业声明函》（附1），否则不得享受相关中小企业扶持政策。任何单位和个人不得要求投标人提供《中小企业声明函》之外的中小企业身份证明文件。</w:t>
      </w:r>
    </w:p>
    <w:p w14:paraId="358D668D">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第十二条 采购项目涉及中小企业采购的，采购文件应当明确以下内容：</w:t>
      </w:r>
    </w:p>
    <w:p w14:paraId="6A272E9A">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（一）预留份额的采购项目或者采购包，明确该项目或相关采购包专门面向中小企业采购，以及相关标的及预算金额；</w:t>
      </w:r>
    </w:p>
    <w:p w14:paraId="16BAD561">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（二）要求以联合体形式参加或者合同分包的，明确联合协议或者分包意向协议中中小企业合同金额应当达到的比例，并作为投标人资格条件；</w:t>
      </w:r>
    </w:p>
    <w:p w14:paraId="27848CB0">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（三）非预留份额的采购项目或者采购包，明确有关价格扣除比例或者价格分加分比例；</w:t>
      </w:r>
    </w:p>
    <w:p w14:paraId="6C622AF9">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（四）规定依据本办法规定享受扶持政策获得政府采购合同的，小微企业不得将合同分包给大中型企业，中型企业不得将合同分包给大型企业；</w:t>
      </w:r>
    </w:p>
    <w:p w14:paraId="24D8C6B5">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（五）采购人认为具备相关条件的，明确对中小企业在资金支付期限、预付款比例等方面的优惠措施；</w:t>
      </w:r>
    </w:p>
    <w:p w14:paraId="52A1ECD9">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（六）明确采购标的对应的中小企业划分标准所属行业；</w:t>
      </w:r>
    </w:p>
    <w:p w14:paraId="5F224ADF">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（七）法律法规和省级以上人民政府财政部门规定的其他事项。</w:t>
      </w:r>
    </w:p>
    <w:p w14:paraId="3173131F">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第十三条 中标、成交投标人享受本办法规定的中小企业扶持政策的，采购人、采购代理机构应当随中标、成交结果公开中标、成交投标人的《中小企业声明函》。</w:t>
      </w:r>
    </w:p>
    <w:p w14:paraId="74CC20C3">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适用招标投标法的政府采购工程建设项目，应当在公示中标候选人时公开中标候选人的《中小企业声明函》。</w:t>
      </w:r>
    </w:p>
    <w:p w14:paraId="44B45CB3">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BD7678F">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6741259B">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第十六条 政府采购监督检查、投诉处理及政府采购行政处罚中对中小企业的认定，由货物制造商或者工程、服务投标人注册登记所在地的县级以上人民政府中小企业主管部门负责。</w:t>
      </w:r>
    </w:p>
    <w:p w14:paraId="66085808">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中小企业主管部门应当在收到财政部门或者有关招标投标行政监督部门关于协助开展中小企业认定函后 10 个工作日内做出书面答复。</w:t>
      </w:r>
    </w:p>
    <w:p w14:paraId="4DAB2402">
      <w:pPr>
        <w:numPr>
          <w:ilvl w:val="0"/>
          <w:numId w:val="3"/>
        </w:num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各地区、各部门应当对涉及中小企业采购的预算项目实施全过程绩效管理，合理设置绩效目标和指标，落实扶持中小企业有关政策要求，定期开展绩效监控和评价，强化绩效评价结果应用。</w:t>
      </w:r>
    </w:p>
    <w:p w14:paraId="5E2DD1AF">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541F34F7">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01842C1">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第二十条 投标人按照本办法规定提供声明函内容不实的，属于提供虚假材料谋取中标、成交，依照《中华人民共和国政府采购法》等国家有关规定追究相应责任。</w:t>
      </w:r>
    </w:p>
    <w:p w14:paraId="6BD917E3">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适用招标投标法的政府采购工程建设项目，</w:t>
      </w:r>
      <w:r>
        <w:rPr>
          <w:rFonts w:hint="eastAsia" w:ascii="宋体" w:hAnsi="宋体" w:cs="宋体"/>
          <w:color w:val="auto"/>
          <w:kern w:val="0"/>
          <w:szCs w:val="21"/>
          <w:highlight w:val="none"/>
        </w:rPr>
        <w:t>投标人</w:t>
      </w:r>
      <w:r>
        <w:rPr>
          <w:rFonts w:hint="eastAsia" w:ascii="宋体" w:hAnsi="宋体" w:cs="宋体"/>
          <w:color w:val="auto"/>
          <w:szCs w:val="21"/>
          <w:highlight w:val="none"/>
        </w:rPr>
        <w:t>按照本办法规定提供声明函内容不实的，属于弄虚作假骗取中标，依照《中华人民共和国招标投标法》等国家有关规定追究相应责任。</w:t>
      </w:r>
    </w:p>
    <w:p w14:paraId="26266C41">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"http://10.162.100.18:168/golaw?dbnm=gjfg&amp;flid=1129012015130679"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国监察法》、《中华人民共和国政府采购法实施条例》等国家</w:t>
      </w:r>
      <w:r>
        <w:rPr>
          <w:rFonts w:hint="eastAsia" w:ascii="宋体" w:hAnsi="宋体" w:cs="宋体"/>
          <w:color w:val="auto"/>
          <w:szCs w:val="21"/>
          <w:highlight w:val="none"/>
        </w:rPr>
        <w:fldChar w:fldCharType="end"/>
      </w:r>
      <w:r>
        <w:rPr>
          <w:rFonts w:hint="eastAsia" w:ascii="宋体" w:hAnsi="宋体" w:cs="宋体"/>
          <w:color w:val="auto"/>
          <w:szCs w:val="21"/>
          <w:highlight w:val="none"/>
        </w:rPr>
        <w:t>有关规定追究相应责任；涉嫌犯罪的，依法移送有关国家机关处理。</w:t>
      </w:r>
    </w:p>
    <w:p w14:paraId="3C071C94">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第二十二条 对外援助项目、国家相关资格或者资质管理制度另有规定的项目，不适用本办法。</w:t>
      </w:r>
    </w:p>
    <w:p w14:paraId="7FAEAE78">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第二十三条</w:t>
      </w:r>
      <w:r>
        <w:rPr>
          <w:rFonts w:hint="eastAsia" w:ascii="宋体" w:hAnsi="宋体" w:cs="宋体"/>
          <w:color w:val="auto"/>
          <w:szCs w:val="21"/>
          <w:highlight w:val="none"/>
        </w:rPr>
        <w:tab/>
      </w:r>
      <w:r>
        <w:rPr>
          <w:rFonts w:hint="eastAsia" w:ascii="宋体" w:hAnsi="宋体" w:cs="宋体"/>
          <w:color w:val="auto"/>
          <w:szCs w:val="21"/>
          <w:highlight w:val="none"/>
        </w:rPr>
        <w:t>关于视同中小企业的其他主体的政府采购扶持政策，由财政部会同有关部门另行规定。</w:t>
      </w:r>
    </w:p>
    <w:p w14:paraId="7E47F13D">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第二十四条</w:t>
      </w:r>
      <w:r>
        <w:rPr>
          <w:rFonts w:hint="eastAsia" w:ascii="宋体" w:hAnsi="宋体" w:cs="宋体"/>
          <w:color w:val="auto"/>
          <w:szCs w:val="21"/>
          <w:highlight w:val="none"/>
        </w:rPr>
        <w:tab/>
      </w:r>
      <w:r>
        <w:rPr>
          <w:rFonts w:hint="eastAsia" w:ascii="宋体" w:hAnsi="宋体" w:cs="宋体"/>
          <w:color w:val="auto"/>
          <w:szCs w:val="21"/>
          <w:highlight w:val="none"/>
        </w:rPr>
        <w:t>省级财政部门可以会同中小企业主管部门根据本办法的规定制定具体实施办法。</w:t>
      </w:r>
    </w:p>
    <w:p w14:paraId="66F609CB">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第二十五条 本办法自2021年1月1日起施行。《财政部 工业和信息化部关于印发〈政府采购促进中小企业发展暂行办法〉的通知》（财库﹝2011﹞181 号）同时废止。</w:t>
      </w:r>
    </w:p>
    <w:p w14:paraId="6994FAB4">
      <w:pPr>
        <w:spacing w:line="312"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吉林省强化政府采购政策支持中小企业发展落实举措</w:t>
      </w:r>
    </w:p>
    <w:p w14:paraId="642606E2">
      <w:pPr>
        <w:jc w:val="center"/>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吉财采购〔2022〕478号</w:t>
      </w:r>
    </w:p>
    <w:p w14:paraId="63A4F6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p>
    <w:p w14:paraId="2F1B539A">
      <w:pPr>
        <w:numPr>
          <w:ilvl w:val="0"/>
          <w:numId w:val="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强化政策落实支持中小企业发展</w:t>
      </w:r>
    </w:p>
    <w:p w14:paraId="431724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各级预算单位要认真落实《政府采购促进中小企业发展管理办法》</w:t>
      </w:r>
      <w:r>
        <w:rPr>
          <w:rFonts w:hint="eastAsia" w:ascii="宋体" w:hAnsi="宋体" w:cs="宋体"/>
          <w:color w:val="auto"/>
          <w:szCs w:val="21"/>
          <w:highlight w:val="none"/>
          <w:shd w:val="clear" w:color="auto" w:fill="FFFFFF"/>
        </w:rPr>
        <w:t>（财库〔2020〕46号，以下简称《办法》）</w:t>
      </w:r>
      <w:r>
        <w:rPr>
          <w:rFonts w:hint="eastAsia" w:ascii="宋体" w:hAnsi="宋体" w:cs="宋体"/>
          <w:color w:val="auto"/>
          <w:szCs w:val="21"/>
          <w:highlight w:val="none"/>
        </w:rPr>
        <w:t>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p>
    <w:p w14:paraId="7E61ECE2">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提高政府采购项目价格评审优惠幅度</w:t>
      </w:r>
    </w:p>
    <w:p w14:paraId="7F446E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自2022年7月1日起发布采购公告或者发出采购邀请，未预留份额专门面向中小企业采购的货物、服务项目，给予小微企业的价格扣除优惠由《办法》规定的6%-10%提高至10%-20%；</w:t>
      </w:r>
      <w:r>
        <w:rPr>
          <w:rFonts w:hint="eastAsia" w:ascii="宋体" w:hAnsi="宋体" w:cs="宋体"/>
          <w:color w:val="auto"/>
          <w:szCs w:val="21"/>
          <w:highlight w:val="none"/>
          <w:shd w:val="clear" w:color="auto" w:fill="FFFFFF"/>
        </w:rPr>
        <w:t>大中型企业与小微企业组成联合体或者大中型企业向小微企业分包的，评审优惠幅度由2%—3%提高至4%—6%。政府采购工程的价格评审优惠按照《办法》的规定执行。</w:t>
      </w:r>
    </w:p>
    <w:p w14:paraId="5069CD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三、提高政府采购工程项目预留份额比例</w:t>
      </w:r>
    </w:p>
    <w:p w14:paraId="112270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shd w:val="clear" w:color="auto" w:fill="FFFFFF"/>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w:t>
      </w:r>
      <w:r>
        <w:rPr>
          <w:rFonts w:hint="eastAsia" w:ascii="宋体" w:hAnsi="宋体" w:cs="宋体"/>
          <w:color w:val="auto"/>
          <w:szCs w:val="21"/>
          <w:highlight w:val="none"/>
        </w:rPr>
        <w:t>省财政厅将协调发改、工信、住建、交通、水利、商务等部门，</w:t>
      </w:r>
      <w:r>
        <w:rPr>
          <w:rFonts w:hint="eastAsia" w:ascii="宋体" w:hAnsi="宋体" w:cs="宋体"/>
          <w:color w:val="auto"/>
          <w:szCs w:val="21"/>
          <w:highlight w:val="none"/>
          <w:shd w:val="clear" w:color="auto" w:fill="FFFFFF"/>
        </w:rPr>
        <w:t>按照国家相关工程招投标行政监督部门对工程招投标领域落实政府采购支持中小企业的政策要求，</w:t>
      </w:r>
      <w:r>
        <w:rPr>
          <w:rFonts w:hint="eastAsia" w:ascii="宋体" w:hAnsi="宋体" w:cs="宋体"/>
          <w:color w:val="auto"/>
          <w:szCs w:val="21"/>
          <w:highlight w:val="none"/>
        </w:rPr>
        <w:t>及时调整完善工程招投标领域有关标准文本、评标制度等，支持督促各预算单位严格落实政府采购政策。</w:t>
      </w:r>
    </w:p>
    <w:p w14:paraId="774A1B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四、降低经营成本提高履约能力</w:t>
      </w:r>
    </w:p>
    <w:p w14:paraId="58C586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p>
    <w:p w14:paraId="5A305458">
      <w:pPr>
        <w:spacing w:line="360" w:lineRule="auto"/>
        <w:ind w:firstLine="420" w:firstLineChars="200"/>
        <w:rPr>
          <w:rStyle w:val="28"/>
          <w:rFonts w:hint="eastAsia" w:ascii="宋体" w:hAnsi="宋体" w:cs="宋体"/>
          <w:b w:val="0"/>
          <w:bCs/>
          <w:color w:val="auto"/>
          <w:szCs w:val="21"/>
          <w:highlight w:val="none"/>
          <w:shd w:val="clear" w:color="auto" w:fill="FFFFFF"/>
        </w:rPr>
      </w:pPr>
      <w:r>
        <w:rPr>
          <w:rFonts w:hint="eastAsia" w:ascii="宋体" w:hAnsi="宋体" w:cs="宋体"/>
          <w:bCs/>
          <w:color w:val="auto"/>
          <w:szCs w:val="21"/>
          <w:highlight w:val="none"/>
        </w:rPr>
        <w:t>五、优化政府采购程序</w:t>
      </w:r>
      <w:r>
        <w:rPr>
          <w:rStyle w:val="28"/>
          <w:rFonts w:hint="eastAsia" w:ascii="宋体" w:hAnsi="宋体" w:cs="宋体"/>
          <w:b w:val="0"/>
          <w:bCs/>
          <w:color w:val="auto"/>
          <w:szCs w:val="21"/>
          <w:highlight w:val="none"/>
          <w:shd w:val="clear" w:color="auto" w:fill="FFFFFF"/>
        </w:rPr>
        <w:t>推进全流程电子化</w:t>
      </w:r>
    </w:p>
    <w:p w14:paraId="6D8BB2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p>
    <w:p w14:paraId="033D4BCB">
      <w:pPr>
        <w:spacing w:line="360" w:lineRule="auto"/>
        <w:ind w:firstLine="420" w:firstLineChars="200"/>
        <w:rPr>
          <w:rStyle w:val="28"/>
          <w:rFonts w:hint="eastAsia" w:ascii="宋体" w:hAnsi="宋体" w:cs="宋体"/>
          <w:b w:val="0"/>
          <w:bCs/>
          <w:color w:val="auto"/>
          <w:szCs w:val="21"/>
          <w:highlight w:val="none"/>
          <w:shd w:val="clear" w:color="auto" w:fill="FFFFFF"/>
        </w:rPr>
      </w:pPr>
      <w:r>
        <w:rPr>
          <w:rStyle w:val="28"/>
          <w:rFonts w:hint="eastAsia" w:ascii="宋体" w:hAnsi="宋体" w:cs="宋体"/>
          <w:b w:val="0"/>
          <w:bCs/>
          <w:color w:val="auto"/>
          <w:szCs w:val="21"/>
          <w:highlight w:val="none"/>
          <w:shd w:val="clear" w:color="auto" w:fill="FFFFFF"/>
        </w:rPr>
        <w:t>六、加强项目执行管理提升政府采购透明度</w:t>
      </w:r>
    </w:p>
    <w:p w14:paraId="4F4C3F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p>
    <w:p w14:paraId="0FF073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63CA968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C5256AD">
      <w:pPr>
        <w:pStyle w:val="2"/>
        <w:numPr>
          <w:ilvl w:val="0"/>
          <w:numId w:val="0"/>
        </w:numPr>
        <w:bidi w:val="0"/>
        <w:spacing w:line="240" w:lineRule="auto"/>
        <w:ind w:leftChars="0"/>
        <w:jc w:val="center"/>
        <w:rPr>
          <w:rFonts w:hint="eastAsia" w:ascii="宋体" w:hAnsi="宋体" w:eastAsia="宋体" w:cs="宋体"/>
          <w:color w:val="auto"/>
          <w:sz w:val="32"/>
          <w:szCs w:val="32"/>
          <w:highlight w:val="none"/>
          <w:lang w:val="en-US" w:eastAsia="zh-CN"/>
        </w:rPr>
      </w:pPr>
      <w:bookmarkStart w:id="139" w:name="_Toc26717"/>
      <w:r>
        <w:rPr>
          <w:rFonts w:hint="eastAsia" w:ascii="宋体" w:hAnsi="宋体" w:eastAsia="宋体" w:cs="宋体"/>
          <w:color w:val="auto"/>
          <w:sz w:val="32"/>
          <w:szCs w:val="32"/>
          <w:highlight w:val="none"/>
          <w:lang w:val="en-US" w:eastAsia="zh-CN"/>
        </w:rPr>
        <w:t>第四章 合同条款及格式</w:t>
      </w:r>
      <w:bookmarkEnd w:id="139"/>
    </w:p>
    <w:p w14:paraId="15437A7C">
      <w:pPr>
        <w:pStyle w:val="34"/>
        <w:rPr>
          <w:rFonts w:hint="eastAsia" w:ascii="宋体" w:hAnsi="宋体" w:eastAsia="宋体" w:cs="宋体"/>
          <w:color w:val="auto"/>
          <w:highlight w:val="none"/>
          <w:lang w:val="en-US" w:eastAsia="zh-CN"/>
        </w:rPr>
      </w:pPr>
    </w:p>
    <w:p w14:paraId="4E4AF27C">
      <w:pPr>
        <w:pStyle w:val="34"/>
        <w:numPr>
          <w:ilvl w:val="0"/>
          <w:numId w:val="0"/>
        </w:numPr>
        <w:rPr>
          <w:rFonts w:hint="default" w:ascii="宋体" w:hAnsi="宋体" w:eastAsia="宋体" w:cs="宋体"/>
          <w:color w:val="auto"/>
          <w:highlight w:val="none"/>
          <w:lang w:val="en-US" w:eastAsia="zh-CN"/>
        </w:rPr>
      </w:pPr>
      <w:r>
        <w:rPr>
          <w:rFonts w:hint="eastAsia" w:hAnsi="宋体" w:cs="宋体"/>
          <w:color w:val="auto"/>
          <w:highlight w:val="none"/>
          <w:lang w:val="en-US" w:eastAsia="zh-CN"/>
        </w:rPr>
        <w:t>以实际签订合同为准。</w:t>
      </w:r>
    </w:p>
    <w:p w14:paraId="0CDCE76F">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801D12C">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CE4C21F">
      <w:pPr>
        <w:pStyle w:val="34"/>
        <w:numPr>
          <w:ilvl w:val="0"/>
          <w:numId w:val="0"/>
        </w:numPr>
        <w:ind w:leftChars="0" w:firstLine="480" w:firstLineChars="200"/>
        <w:rPr>
          <w:rFonts w:hint="eastAsia" w:ascii="宋体" w:hAnsi="宋体" w:eastAsia="宋体" w:cs="宋体"/>
          <w:color w:val="auto"/>
          <w:highlight w:val="none"/>
          <w:lang w:val="en-US" w:eastAsia="zh-CN"/>
        </w:rPr>
      </w:pPr>
    </w:p>
    <w:p w14:paraId="792F0879">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B6924F4">
      <w:pPr>
        <w:pStyle w:val="34"/>
        <w:numPr>
          <w:ilvl w:val="0"/>
          <w:numId w:val="0"/>
        </w:numPr>
        <w:ind w:leftChars="0" w:firstLine="480" w:firstLineChars="200"/>
        <w:rPr>
          <w:rFonts w:hint="eastAsia" w:ascii="宋体" w:hAnsi="宋体" w:eastAsia="宋体" w:cs="宋体"/>
          <w:color w:val="auto"/>
          <w:highlight w:val="none"/>
          <w:lang w:val="en-US" w:eastAsia="zh-CN"/>
        </w:rPr>
      </w:pPr>
    </w:p>
    <w:p w14:paraId="74FB0658">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A90A822">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12AC1D6">
      <w:pPr>
        <w:pStyle w:val="34"/>
        <w:numPr>
          <w:ilvl w:val="0"/>
          <w:numId w:val="0"/>
        </w:numPr>
        <w:ind w:leftChars="0" w:firstLine="480" w:firstLineChars="200"/>
        <w:rPr>
          <w:rFonts w:hint="eastAsia" w:ascii="宋体" w:hAnsi="宋体" w:eastAsia="宋体" w:cs="宋体"/>
          <w:color w:val="auto"/>
          <w:highlight w:val="none"/>
          <w:lang w:val="en-US" w:eastAsia="zh-CN"/>
        </w:rPr>
      </w:pPr>
    </w:p>
    <w:p w14:paraId="7E2E53AC">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CB0FF1E">
      <w:pPr>
        <w:pStyle w:val="34"/>
        <w:numPr>
          <w:ilvl w:val="0"/>
          <w:numId w:val="0"/>
        </w:numPr>
        <w:ind w:leftChars="0" w:firstLine="480" w:firstLineChars="200"/>
        <w:rPr>
          <w:rFonts w:hint="eastAsia" w:ascii="宋体" w:hAnsi="宋体" w:eastAsia="宋体" w:cs="宋体"/>
          <w:color w:val="auto"/>
          <w:highlight w:val="none"/>
          <w:lang w:val="en-US" w:eastAsia="zh-CN"/>
        </w:rPr>
      </w:pPr>
    </w:p>
    <w:p w14:paraId="77A4AA10">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3FEA946">
      <w:pPr>
        <w:pStyle w:val="34"/>
        <w:numPr>
          <w:ilvl w:val="0"/>
          <w:numId w:val="0"/>
        </w:numPr>
        <w:ind w:leftChars="0" w:firstLine="480" w:firstLineChars="200"/>
        <w:rPr>
          <w:rFonts w:hint="eastAsia" w:ascii="宋体" w:hAnsi="宋体" w:eastAsia="宋体" w:cs="宋体"/>
          <w:color w:val="auto"/>
          <w:highlight w:val="none"/>
          <w:lang w:val="en-US" w:eastAsia="zh-CN"/>
        </w:rPr>
      </w:pPr>
    </w:p>
    <w:p w14:paraId="22EDAD72">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175097A">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B033F95">
      <w:pPr>
        <w:pStyle w:val="34"/>
        <w:numPr>
          <w:ilvl w:val="0"/>
          <w:numId w:val="0"/>
        </w:numPr>
        <w:ind w:leftChars="0" w:firstLine="480" w:firstLineChars="200"/>
        <w:rPr>
          <w:rFonts w:hint="eastAsia" w:ascii="宋体" w:hAnsi="宋体" w:eastAsia="宋体" w:cs="宋体"/>
          <w:color w:val="auto"/>
          <w:highlight w:val="none"/>
          <w:lang w:val="en-US" w:eastAsia="zh-CN"/>
        </w:rPr>
      </w:pPr>
    </w:p>
    <w:p w14:paraId="2B8C05B7">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3F24D4C">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E47111D">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6950D1E">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11513AE">
      <w:pPr>
        <w:pStyle w:val="34"/>
        <w:numPr>
          <w:ilvl w:val="0"/>
          <w:numId w:val="0"/>
        </w:numPr>
        <w:ind w:leftChars="0" w:firstLine="480" w:firstLineChars="200"/>
        <w:rPr>
          <w:rFonts w:hint="eastAsia" w:ascii="宋体" w:hAnsi="宋体" w:eastAsia="宋体" w:cs="宋体"/>
          <w:color w:val="auto"/>
          <w:highlight w:val="none"/>
          <w:lang w:val="en-US" w:eastAsia="zh-CN"/>
        </w:rPr>
      </w:pPr>
    </w:p>
    <w:p w14:paraId="659A4987">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919D691">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CF4D7FB">
      <w:pPr>
        <w:pStyle w:val="34"/>
        <w:numPr>
          <w:ilvl w:val="0"/>
          <w:numId w:val="0"/>
        </w:numPr>
        <w:ind w:leftChars="0" w:firstLine="480" w:firstLineChars="200"/>
        <w:rPr>
          <w:rFonts w:hint="eastAsia" w:ascii="宋体" w:hAnsi="宋体" w:eastAsia="宋体" w:cs="宋体"/>
          <w:color w:val="auto"/>
          <w:highlight w:val="none"/>
          <w:lang w:val="en-US" w:eastAsia="zh-CN"/>
        </w:rPr>
      </w:pPr>
    </w:p>
    <w:p w14:paraId="1B42476F">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86FAC90">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AF1DD45">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D43150E">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A5BD60C">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DF09536">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42773A6">
      <w:pPr>
        <w:pStyle w:val="34"/>
        <w:numPr>
          <w:ilvl w:val="0"/>
          <w:numId w:val="0"/>
        </w:numPr>
        <w:ind w:leftChars="0" w:firstLine="480" w:firstLineChars="200"/>
        <w:rPr>
          <w:rFonts w:hint="eastAsia" w:ascii="宋体" w:hAnsi="宋体" w:eastAsia="宋体" w:cs="宋体"/>
          <w:color w:val="auto"/>
          <w:highlight w:val="none"/>
          <w:lang w:val="en-US" w:eastAsia="zh-CN"/>
        </w:rPr>
      </w:pPr>
    </w:p>
    <w:p w14:paraId="2EB47764">
      <w:pPr>
        <w:pStyle w:val="34"/>
        <w:numPr>
          <w:ilvl w:val="0"/>
          <w:numId w:val="0"/>
        </w:numPr>
        <w:ind w:leftChars="0" w:firstLine="480" w:firstLineChars="200"/>
        <w:rPr>
          <w:rFonts w:hint="eastAsia" w:ascii="宋体" w:hAnsi="宋体" w:eastAsia="宋体" w:cs="宋体"/>
          <w:color w:val="auto"/>
          <w:highlight w:val="none"/>
          <w:lang w:val="en-US" w:eastAsia="zh-CN"/>
        </w:rPr>
      </w:pPr>
    </w:p>
    <w:p w14:paraId="034DB92C">
      <w:pPr>
        <w:pStyle w:val="34"/>
        <w:numPr>
          <w:ilvl w:val="0"/>
          <w:numId w:val="0"/>
        </w:numPr>
        <w:ind w:leftChars="0" w:firstLine="480" w:firstLineChars="200"/>
        <w:rPr>
          <w:rFonts w:hint="eastAsia" w:ascii="宋体" w:hAnsi="宋体" w:eastAsia="宋体" w:cs="宋体"/>
          <w:color w:val="auto"/>
          <w:highlight w:val="none"/>
          <w:lang w:val="en-US" w:eastAsia="zh-CN"/>
        </w:rPr>
      </w:pPr>
    </w:p>
    <w:p w14:paraId="1B84C00D">
      <w:pPr>
        <w:pStyle w:val="17"/>
        <w:rPr>
          <w:rFonts w:hint="eastAsia" w:ascii="宋体" w:hAnsi="宋体" w:eastAsia="宋体" w:cs="宋体"/>
          <w:color w:val="auto"/>
          <w:highlight w:val="none"/>
          <w:lang w:val="en-US" w:eastAsia="zh-CN"/>
        </w:rPr>
      </w:pPr>
    </w:p>
    <w:p w14:paraId="4F981661">
      <w:pPr>
        <w:rPr>
          <w:rFonts w:hint="eastAsia" w:ascii="宋体" w:hAnsi="宋体" w:eastAsia="宋体" w:cs="宋体"/>
          <w:color w:val="auto"/>
          <w:highlight w:val="none"/>
          <w:lang w:val="en-US" w:eastAsia="zh-CN"/>
        </w:rPr>
      </w:pPr>
    </w:p>
    <w:p w14:paraId="72B8333E">
      <w:pPr>
        <w:rPr>
          <w:rFonts w:hint="eastAsia" w:ascii="宋体" w:hAnsi="宋体" w:eastAsia="宋体" w:cs="宋体"/>
          <w:color w:val="auto"/>
          <w:highlight w:val="none"/>
          <w:lang w:val="en-US" w:eastAsia="zh-CN"/>
        </w:rPr>
      </w:pPr>
    </w:p>
    <w:p w14:paraId="0D1362CA">
      <w:pPr>
        <w:rPr>
          <w:rFonts w:hint="eastAsia" w:ascii="宋体" w:hAnsi="宋体" w:eastAsia="宋体" w:cs="宋体"/>
          <w:color w:val="auto"/>
          <w:highlight w:val="none"/>
          <w:lang w:val="en-US" w:eastAsia="zh-CN"/>
        </w:rPr>
      </w:pPr>
    </w:p>
    <w:p w14:paraId="72225B89">
      <w:pPr>
        <w:pStyle w:val="34"/>
        <w:numPr>
          <w:ilvl w:val="0"/>
          <w:numId w:val="0"/>
        </w:numPr>
        <w:ind w:leftChars="0" w:firstLine="480" w:firstLineChars="200"/>
        <w:rPr>
          <w:rFonts w:hint="eastAsia" w:ascii="宋体" w:hAnsi="宋体" w:eastAsia="宋体" w:cs="宋体"/>
          <w:color w:val="auto"/>
          <w:highlight w:val="none"/>
          <w:lang w:val="en-US" w:eastAsia="zh-CN"/>
        </w:rPr>
      </w:pPr>
    </w:p>
    <w:p w14:paraId="1F81284D">
      <w:pPr>
        <w:pStyle w:val="34"/>
        <w:numPr>
          <w:ilvl w:val="0"/>
          <w:numId w:val="0"/>
        </w:numPr>
        <w:ind w:leftChars="0" w:firstLine="480" w:firstLineChars="200"/>
        <w:rPr>
          <w:rFonts w:hint="eastAsia" w:ascii="宋体" w:hAnsi="宋体" w:eastAsia="宋体" w:cs="宋体"/>
          <w:color w:val="auto"/>
          <w:highlight w:val="none"/>
          <w:lang w:val="en-US" w:eastAsia="zh-CN"/>
        </w:rPr>
      </w:pPr>
    </w:p>
    <w:p w14:paraId="40D6547D">
      <w:pPr>
        <w:pStyle w:val="34"/>
        <w:numPr>
          <w:ilvl w:val="0"/>
          <w:numId w:val="0"/>
        </w:numPr>
        <w:ind w:leftChars="0" w:firstLine="480" w:firstLineChars="200"/>
        <w:rPr>
          <w:rFonts w:hint="eastAsia" w:ascii="宋体" w:hAnsi="宋体" w:eastAsia="宋体" w:cs="宋体"/>
          <w:color w:val="auto"/>
          <w:highlight w:val="none"/>
          <w:lang w:val="en-US" w:eastAsia="zh-CN"/>
        </w:rPr>
      </w:pPr>
    </w:p>
    <w:p w14:paraId="53591F00">
      <w:pPr>
        <w:pStyle w:val="34"/>
        <w:numPr>
          <w:ilvl w:val="0"/>
          <w:numId w:val="0"/>
        </w:numPr>
        <w:ind w:leftChars="0" w:firstLine="480" w:firstLineChars="200"/>
        <w:rPr>
          <w:rFonts w:hint="eastAsia" w:ascii="宋体" w:hAnsi="宋体" w:eastAsia="宋体" w:cs="宋体"/>
          <w:color w:val="auto"/>
          <w:highlight w:val="none"/>
          <w:lang w:val="en-US" w:eastAsia="zh-CN"/>
        </w:rPr>
      </w:pPr>
    </w:p>
    <w:p w14:paraId="3C301539">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部分专用合同条款</w:t>
      </w:r>
    </w:p>
    <w:p w14:paraId="02486C4E">
      <w:pPr>
        <w:pStyle w:val="34"/>
        <w:rPr>
          <w:rFonts w:hint="eastAsia" w:ascii="宋体" w:hAnsi="宋体" w:eastAsia="宋体" w:cs="宋体"/>
          <w:color w:val="auto"/>
          <w:highlight w:val="none"/>
        </w:rPr>
      </w:pPr>
    </w:p>
    <w:p w14:paraId="54BBA582">
      <w:pPr>
        <w:numPr>
          <w:ilvl w:val="0"/>
          <w:numId w:val="0"/>
        </w:numPr>
        <w:spacing w:line="360" w:lineRule="auto"/>
        <w:rPr>
          <w:rFonts w:hint="eastAsia"/>
          <w:color w:val="auto"/>
          <w:kern w:val="0"/>
          <w:highlight w:val="none"/>
        </w:rPr>
      </w:pPr>
      <w:r>
        <w:rPr>
          <w:rFonts w:hint="eastAsia" w:ascii="宋体" w:hAnsi="宋体" w:eastAsia="宋体" w:cs="宋体"/>
          <w:color w:val="auto"/>
          <w:kern w:val="0"/>
          <w:highlight w:val="none"/>
          <w:lang w:val="en-US" w:eastAsia="zh-CN"/>
        </w:rPr>
        <w:t>1、</w:t>
      </w:r>
      <w:r>
        <w:rPr>
          <w:rFonts w:hint="eastAsia"/>
          <w:color w:val="auto"/>
          <w:kern w:val="0"/>
          <w:highlight w:val="none"/>
        </w:rPr>
        <w:t>合同付款方式：</w:t>
      </w:r>
      <w:r>
        <w:rPr>
          <w:rFonts w:hint="eastAsia" w:ascii="宋体" w:hAnsi="宋体" w:eastAsia="宋体" w:cs="宋体"/>
          <w:color w:val="auto"/>
          <w:sz w:val="21"/>
          <w:szCs w:val="21"/>
          <w:highlight w:val="none"/>
          <w:lang w:val="en-US" w:eastAsia="zh-CN"/>
        </w:rPr>
        <w:t>按照合同约定付款</w:t>
      </w:r>
      <w:r>
        <w:rPr>
          <w:rFonts w:hint="eastAsia"/>
          <w:color w:val="auto"/>
          <w:kern w:val="0"/>
          <w:highlight w:val="none"/>
        </w:rPr>
        <w:t>。</w:t>
      </w:r>
    </w:p>
    <w:p w14:paraId="70ABD3D5">
      <w:pPr>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2、其他内容以实际合同签订内容为准。</w:t>
      </w:r>
      <w:r>
        <w:rPr>
          <w:rFonts w:hint="eastAsia" w:ascii="宋体" w:hAnsi="宋体" w:eastAsia="宋体" w:cs="宋体"/>
          <w:color w:val="auto"/>
          <w:szCs w:val="21"/>
          <w:highlight w:val="none"/>
          <w:lang w:val="en-US" w:eastAsia="zh-CN"/>
        </w:rPr>
        <w:br w:type="page"/>
      </w:r>
    </w:p>
    <w:p w14:paraId="0336E558">
      <w:pPr>
        <w:pStyle w:val="2"/>
        <w:numPr>
          <w:ilvl w:val="0"/>
          <w:numId w:val="0"/>
        </w:numPr>
        <w:bidi w:val="0"/>
        <w:spacing w:line="240" w:lineRule="auto"/>
        <w:ind w:leftChars="0"/>
        <w:jc w:val="center"/>
        <w:rPr>
          <w:rFonts w:hint="default" w:ascii="宋体" w:hAnsi="宋体" w:eastAsia="宋体" w:cs="宋体"/>
          <w:color w:val="auto"/>
          <w:sz w:val="32"/>
          <w:szCs w:val="32"/>
          <w:highlight w:val="none"/>
          <w:lang w:val="en-US" w:eastAsia="zh-CN"/>
        </w:rPr>
      </w:pPr>
      <w:bookmarkStart w:id="140" w:name="_Toc4600"/>
      <w:r>
        <w:rPr>
          <w:rFonts w:hint="eastAsia" w:ascii="宋体" w:hAnsi="宋体" w:eastAsia="宋体" w:cs="宋体"/>
          <w:color w:val="auto"/>
          <w:sz w:val="32"/>
          <w:szCs w:val="32"/>
          <w:highlight w:val="none"/>
          <w:lang w:val="en-US" w:eastAsia="zh-CN"/>
        </w:rPr>
        <w:t>第</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val="en-US" w:eastAsia="zh-CN"/>
        </w:rPr>
        <w:t xml:space="preserve">章  </w:t>
      </w:r>
      <w:bookmarkEnd w:id="140"/>
      <w:r>
        <w:rPr>
          <w:rFonts w:hint="eastAsia" w:ascii="宋体" w:hAnsi="宋体" w:cs="宋体"/>
          <w:color w:val="auto"/>
          <w:sz w:val="32"/>
          <w:szCs w:val="32"/>
          <w:highlight w:val="none"/>
          <w:lang w:val="en-US" w:eastAsia="zh-CN"/>
        </w:rPr>
        <w:t>供货要求</w:t>
      </w:r>
    </w:p>
    <w:p w14:paraId="2F6CCB55">
      <w:pPr>
        <w:pStyle w:val="34"/>
        <w:rPr>
          <w:rFonts w:hint="eastAsia" w:ascii="宋体" w:hAnsi="宋体" w:eastAsia="宋体" w:cs="宋体"/>
          <w:color w:val="auto"/>
          <w:highlight w:val="none"/>
          <w:lang w:val="en-US" w:eastAsia="zh-CN"/>
        </w:rPr>
      </w:pPr>
    </w:p>
    <w:p w14:paraId="7956B3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1.名称：大豆根瘤菌剂</w:t>
      </w:r>
    </w:p>
    <w:p w14:paraId="4308F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2.产品形态：液体</w:t>
      </w:r>
    </w:p>
    <w:p w14:paraId="36428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3.有效成份及含量(有效活菌数)≥50亿/毫升</w:t>
      </w:r>
    </w:p>
    <w:p w14:paraId="49512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4.符合国家标准《农用微生物菌剂》GB20287-2006</w:t>
      </w:r>
      <w:bookmarkStart w:id="235" w:name="_GoBack"/>
      <w:bookmarkEnd w:id="235"/>
    </w:p>
    <w:p w14:paraId="19737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color w:val="auto"/>
          <w:kern w:val="2"/>
          <w:sz w:val="21"/>
          <w:szCs w:val="21"/>
          <w:highlight w:val="none"/>
          <w:lang w:val="en-US" w:eastAsia="zh-CN"/>
        </w:rPr>
      </w:pPr>
      <w:r>
        <w:rPr>
          <w:rFonts w:hint="default" w:ascii="宋体" w:hAnsi="宋体" w:cs="宋体"/>
          <w:color w:val="auto"/>
          <w:kern w:val="2"/>
          <w:sz w:val="21"/>
          <w:szCs w:val="21"/>
          <w:highlight w:val="none"/>
          <w:lang w:val="en-US" w:eastAsia="zh-CN" w:bidi="ar-SA"/>
        </w:rPr>
        <w:t>5.</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与</w:t>
      </w:r>
      <w:r>
        <w:rPr>
          <w:rFonts w:hint="eastAsia" w:ascii="宋体" w:hAnsi="宋体"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人签订合同前，须提供</w:t>
      </w:r>
      <w:r>
        <w:rPr>
          <w:rFonts w:hint="eastAsia" w:ascii="宋体" w:hAnsi="宋体" w:cs="宋体"/>
          <w:color w:val="auto"/>
          <w:kern w:val="2"/>
          <w:sz w:val="21"/>
          <w:szCs w:val="21"/>
          <w:highlight w:val="none"/>
          <w:lang w:val="en-US" w:eastAsia="zh-CN" w:bidi="ar-SA"/>
        </w:rPr>
        <w:t>产品</w:t>
      </w:r>
      <w:r>
        <w:rPr>
          <w:rFonts w:hint="eastAsia" w:ascii="宋体" w:hAnsi="宋体" w:eastAsia="宋体" w:cs="宋体"/>
          <w:color w:val="auto"/>
          <w:kern w:val="2"/>
          <w:sz w:val="21"/>
          <w:szCs w:val="21"/>
          <w:highlight w:val="none"/>
          <w:lang w:val="en-US" w:eastAsia="zh-CN" w:bidi="ar-SA"/>
        </w:rPr>
        <w:t>的检测报告</w:t>
      </w:r>
      <w:r>
        <w:rPr>
          <w:rFonts w:hint="default" w:ascii="宋体" w:hAnsi="宋体" w:eastAsia="宋体" w:cs="宋体"/>
          <w:color w:val="auto"/>
          <w:kern w:val="2"/>
          <w:sz w:val="21"/>
          <w:szCs w:val="21"/>
          <w:highlight w:val="none"/>
          <w:lang w:val="en-US" w:eastAsia="zh-CN" w:bidi="ar-SA"/>
        </w:rPr>
        <w:t>和产品肥料登记证，并</w:t>
      </w:r>
      <w:r>
        <w:rPr>
          <w:rFonts w:hint="eastAsia" w:ascii="宋体" w:hAnsi="宋体" w:eastAsia="宋体" w:cs="宋体"/>
          <w:color w:val="auto"/>
          <w:kern w:val="2"/>
          <w:sz w:val="21"/>
          <w:szCs w:val="21"/>
          <w:highlight w:val="none"/>
          <w:lang w:val="en-US" w:eastAsia="zh-CN" w:bidi="ar-SA"/>
        </w:rPr>
        <w:t>向</w:t>
      </w:r>
      <w:r>
        <w:rPr>
          <w:rFonts w:hint="eastAsia" w:ascii="宋体" w:hAnsi="宋体"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人提供产品三证复印件并加盖厂家公章，并提供针对本项目的厂家授权书。签订合同后，须提供本次供货批次</w:t>
      </w:r>
      <w:r>
        <w:rPr>
          <w:rFonts w:hint="eastAsia" w:ascii="宋体" w:hAnsi="宋体" w:cs="宋体"/>
          <w:color w:val="auto"/>
          <w:kern w:val="2"/>
          <w:sz w:val="21"/>
          <w:szCs w:val="21"/>
          <w:highlight w:val="none"/>
          <w:lang w:val="en-US" w:eastAsia="zh-CN" w:bidi="ar-SA"/>
        </w:rPr>
        <w:t>产品</w:t>
      </w:r>
      <w:r>
        <w:rPr>
          <w:rFonts w:hint="eastAsia" w:ascii="宋体" w:hAnsi="宋体" w:eastAsia="宋体" w:cs="宋体"/>
          <w:color w:val="auto"/>
          <w:kern w:val="2"/>
          <w:sz w:val="21"/>
          <w:szCs w:val="21"/>
          <w:highlight w:val="none"/>
          <w:lang w:val="en-US" w:eastAsia="zh-CN" w:bidi="ar-SA"/>
        </w:rPr>
        <w:t>的检测报告（第三方公司出具的检测报告）</w:t>
      </w:r>
      <w:r>
        <w:rPr>
          <w:rFonts w:hint="eastAsia" w:ascii="宋体"/>
          <w:color w:val="auto"/>
          <w:kern w:val="2"/>
          <w:sz w:val="21"/>
          <w:szCs w:val="21"/>
          <w:highlight w:val="none"/>
          <w:lang w:val="en-US" w:eastAsia="zh-CN"/>
        </w:rPr>
        <w:t>。</w:t>
      </w:r>
    </w:p>
    <w:p w14:paraId="75C9A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color w:val="auto"/>
          <w:kern w:val="2"/>
          <w:sz w:val="21"/>
          <w:szCs w:val="21"/>
          <w:highlight w:val="none"/>
          <w:lang w:val="en-US" w:eastAsia="zh-CN"/>
        </w:rPr>
      </w:pPr>
      <w:r>
        <w:rPr>
          <w:rFonts w:hint="default" w:ascii="宋体"/>
          <w:color w:val="auto"/>
          <w:kern w:val="2"/>
          <w:sz w:val="21"/>
          <w:szCs w:val="21"/>
          <w:highlight w:val="none"/>
          <w:lang w:val="en-US" w:eastAsia="zh-CN"/>
        </w:rPr>
        <w:t>6</w:t>
      </w:r>
      <w:r>
        <w:rPr>
          <w:rFonts w:hint="eastAsia" w:ascii="宋体"/>
          <w:color w:val="auto"/>
          <w:kern w:val="2"/>
          <w:sz w:val="21"/>
          <w:szCs w:val="21"/>
          <w:highlight w:val="none"/>
          <w:lang w:val="en-US" w:eastAsia="zh-CN"/>
        </w:rPr>
        <w:t>.检测验收：采购单位将委托第三方检测机构</w:t>
      </w:r>
      <w:r>
        <w:rPr>
          <w:rFonts w:hint="eastAsia" w:ascii="宋体"/>
          <w:color w:val="auto"/>
          <w:kern w:val="2"/>
          <w:sz w:val="21"/>
          <w:szCs w:val="21"/>
          <w:highlight w:val="none"/>
          <w:lang w:val="en-US" w:eastAsia="zh-CN"/>
        </w:rPr>
        <w:t>“农业农村部微生物肥料和食用菌菌种质量检验测试中心”</w:t>
      </w:r>
      <w:r>
        <w:rPr>
          <w:rFonts w:hint="eastAsia" w:ascii="宋体"/>
          <w:color w:val="auto"/>
          <w:kern w:val="2"/>
          <w:sz w:val="21"/>
          <w:szCs w:val="21"/>
          <w:highlight w:val="none"/>
          <w:lang w:val="en-US" w:eastAsia="zh-CN"/>
        </w:rPr>
        <w:t>对中标人所提供产品进行抽样检测，检测项包括但不限于大豆接种根留菌菌剂等，并出具第三方检测报告，检测结果合格后，依据合同条款支付相应合同金额。如检验抽检不合格，免于支付合同金额并对采购人造成损失由成交供应商承担。</w:t>
      </w:r>
    </w:p>
    <w:p w14:paraId="66EFD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kern w:val="2"/>
          <w:sz w:val="21"/>
          <w:szCs w:val="21"/>
          <w:highlight w:val="none"/>
          <w:lang w:val="en-US" w:eastAsia="zh-CN"/>
        </w:rPr>
      </w:pPr>
      <w:r>
        <w:rPr>
          <w:rFonts w:hint="default" w:ascii="宋体"/>
          <w:color w:val="auto"/>
          <w:kern w:val="2"/>
          <w:sz w:val="21"/>
          <w:szCs w:val="21"/>
          <w:highlight w:val="none"/>
          <w:lang w:val="en-US" w:eastAsia="zh-CN"/>
        </w:rPr>
        <w:t>7.供应商应按照上述要求履行合同，如未按照要求履行，则采购人将按照相关规定将供应商报送财政，列入重大违法记录，禁止其3年内参加政府采购活动。</w:t>
      </w:r>
    </w:p>
    <w:p w14:paraId="2F3344F4">
      <w:pPr>
        <w:pStyle w:val="2"/>
        <w:numPr>
          <w:ilvl w:val="0"/>
          <w:numId w:val="0"/>
        </w:numPr>
        <w:bidi w:val="0"/>
        <w:spacing w:line="240" w:lineRule="auto"/>
        <w:ind w:leftChars="0"/>
        <w:jc w:val="center"/>
        <w:rPr>
          <w:rFonts w:hint="eastAsia" w:ascii="宋体" w:hAnsi="宋体" w:eastAsia="宋体" w:cs="宋体"/>
          <w:color w:val="auto"/>
          <w:szCs w:val="44"/>
          <w:highlight w:val="none"/>
        </w:rPr>
      </w:pPr>
      <w:r>
        <w:rPr>
          <w:rFonts w:hint="eastAsia" w:ascii="宋体" w:hAnsi="宋体" w:eastAsia="宋体" w:cs="宋体"/>
          <w:b/>
          <w:bCs/>
          <w:color w:val="auto"/>
          <w:kern w:val="44"/>
          <w:sz w:val="36"/>
          <w:szCs w:val="36"/>
          <w:highlight w:val="none"/>
          <w:lang w:val="en-US" w:eastAsia="zh-CN" w:bidi="ar-SA"/>
        </w:rPr>
        <w:br w:type="page"/>
      </w:r>
      <w:bookmarkStart w:id="141" w:name="_Toc8246"/>
      <w:r>
        <w:rPr>
          <w:rFonts w:hint="eastAsia" w:ascii="宋体" w:hAnsi="宋体" w:eastAsia="宋体" w:cs="宋体"/>
          <w:color w:val="auto"/>
          <w:sz w:val="32"/>
          <w:szCs w:val="32"/>
          <w:highlight w:val="none"/>
          <w:lang w:val="en-US" w:eastAsia="zh-CN"/>
        </w:rPr>
        <w:t>第</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章  竞谈响应文件内容及格式要求</w:t>
      </w:r>
      <w:bookmarkEnd w:id="141"/>
    </w:p>
    <w:p w14:paraId="00BDF656">
      <w:pPr>
        <w:pStyle w:val="16"/>
        <w:spacing w:after="156" w:afterLines="50" w:line="360" w:lineRule="auto"/>
        <w:jc w:val="center"/>
        <w:rPr>
          <w:rFonts w:hint="eastAsia" w:ascii="宋体" w:hAnsi="宋体" w:eastAsia="宋体" w:cs="宋体"/>
          <w:color w:val="auto"/>
          <w:sz w:val="72"/>
          <w:szCs w:val="72"/>
          <w:highlight w:val="none"/>
        </w:rPr>
      </w:pPr>
    </w:p>
    <w:p w14:paraId="40288658">
      <w:pPr>
        <w:pStyle w:val="16"/>
        <w:spacing w:after="156" w:afterLines="50" w:line="360" w:lineRule="auto"/>
        <w:jc w:val="center"/>
        <w:rPr>
          <w:rFonts w:hint="eastAsia" w:ascii="宋体" w:hAnsi="宋体" w:eastAsia="宋体" w:cs="宋体"/>
          <w:color w:val="auto"/>
          <w:sz w:val="72"/>
          <w:szCs w:val="72"/>
          <w:highlight w:val="none"/>
        </w:rPr>
      </w:pPr>
    </w:p>
    <w:p w14:paraId="5B6CADE4">
      <w:pPr>
        <w:pStyle w:val="16"/>
        <w:spacing w:after="156" w:afterLines="50" w:line="360" w:lineRule="auto"/>
        <w:jc w:val="center"/>
        <w:rPr>
          <w:rFonts w:hint="eastAsia" w:ascii="宋体" w:hAnsi="宋体" w:eastAsia="宋体" w:cs="宋体"/>
          <w:color w:val="auto"/>
          <w:sz w:val="72"/>
          <w:szCs w:val="72"/>
          <w:highlight w:val="none"/>
        </w:rPr>
      </w:pPr>
    </w:p>
    <w:p w14:paraId="71E97256">
      <w:pPr>
        <w:pStyle w:val="16"/>
        <w:spacing w:after="156" w:afterLines="50" w:line="360" w:lineRule="auto"/>
        <w:jc w:val="center"/>
        <w:rPr>
          <w:rFonts w:hint="eastAsia" w:ascii="宋体" w:hAnsi="宋体" w:eastAsia="宋体" w:cs="宋体"/>
          <w:color w:val="auto"/>
          <w:sz w:val="72"/>
          <w:szCs w:val="72"/>
          <w:highlight w:val="none"/>
        </w:rPr>
      </w:pPr>
    </w:p>
    <w:p w14:paraId="2FB58579">
      <w:pPr>
        <w:pStyle w:val="16"/>
        <w:spacing w:after="156" w:afterLines="50" w:line="360" w:lineRule="auto"/>
        <w:jc w:val="center"/>
        <w:rPr>
          <w:rFonts w:hint="eastAsia" w:ascii="宋体" w:hAnsi="宋体" w:eastAsia="宋体" w:cs="宋体"/>
          <w:color w:val="auto"/>
          <w:sz w:val="72"/>
          <w:szCs w:val="72"/>
          <w:highlight w:val="none"/>
        </w:rPr>
      </w:pPr>
    </w:p>
    <w:p w14:paraId="5419BAFB">
      <w:pPr>
        <w:pStyle w:val="16"/>
        <w:spacing w:after="156" w:afterLines="50" w:line="360" w:lineRule="auto"/>
        <w:jc w:val="center"/>
        <w:rPr>
          <w:rFonts w:hint="eastAsia" w:ascii="宋体" w:hAnsi="宋体" w:eastAsia="宋体" w:cs="宋体"/>
          <w:color w:val="auto"/>
          <w:sz w:val="72"/>
          <w:szCs w:val="72"/>
          <w:highlight w:val="none"/>
        </w:rPr>
      </w:pPr>
    </w:p>
    <w:p w14:paraId="1E70D48F">
      <w:pPr>
        <w:pStyle w:val="16"/>
        <w:spacing w:after="156" w:afterLines="50" w:line="360" w:lineRule="auto"/>
        <w:jc w:val="center"/>
        <w:rPr>
          <w:rFonts w:hint="eastAsia" w:ascii="宋体" w:hAnsi="宋体" w:eastAsia="宋体" w:cs="宋体"/>
          <w:color w:val="auto"/>
          <w:sz w:val="72"/>
          <w:szCs w:val="72"/>
          <w:highlight w:val="none"/>
        </w:rPr>
      </w:pPr>
    </w:p>
    <w:p w14:paraId="5AA760A5">
      <w:pPr>
        <w:pStyle w:val="16"/>
        <w:spacing w:after="156" w:afterLines="50" w:line="360" w:lineRule="auto"/>
        <w:jc w:val="center"/>
        <w:rPr>
          <w:rFonts w:hint="eastAsia" w:ascii="宋体" w:hAnsi="宋体" w:eastAsia="宋体" w:cs="宋体"/>
          <w:color w:val="auto"/>
          <w:sz w:val="72"/>
          <w:szCs w:val="72"/>
          <w:highlight w:val="none"/>
        </w:rPr>
      </w:pPr>
    </w:p>
    <w:p w14:paraId="24B0A3F0">
      <w:pPr>
        <w:pStyle w:val="16"/>
        <w:spacing w:after="156" w:afterLines="50" w:line="360" w:lineRule="auto"/>
        <w:jc w:val="center"/>
        <w:rPr>
          <w:rFonts w:hint="eastAsia" w:ascii="宋体" w:hAnsi="宋体" w:eastAsia="宋体" w:cs="宋体"/>
          <w:color w:val="auto"/>
          <w:sz w:val="72"/>
          <w:szCs w:val="72"/>
          <w:highlight w:val="none"/>
        </w:rPr>
      </w:pPr>
    </w:p>
    <w:p w14:paraId="48A5F7C2">
      <w:pPr>
        <w:pStyle w:val="16"/>
        <w:spacing w:after="156" w:afterLines="50" w:line="360" w:lineRule="auto"/>
        <w:jc w:val="center"/>
        <w:rPr>
          <w:rFonts w:hint="eastAsia" w:ascii="宋体" w:hAnsi="宋体" w:eastAsia="宋体" w:cs="宋体"/>
          <w:color w:val="auto"/>
          <w:sz w:val="72"/>
          <w:szCs w:val="72"/>
          <w:highlight w:val="none"/>
        </w:rPr>
      </w:pPr>
    </w:p>
    <w:p w14:paraId="0C1A3F9B">
      <w:pPr>
        <w:pStyle w:val="16"/>
        <w:spacing w:after="156" w:afterLines="50" w:line="360" w:lineRule="auto"/>
        <w:jc w:val="both"/>
        <w:rPr>
          <w:rFonts w:hint="eastAsia" w:ascii="宋体" w:hAnsi="宋体" w:eastAsia="宋体" w:cs="宋体"/>
          <w:color w:val="auto"/>
          <w:sz w:val="72"/>
          <w:szCs w:val="72"/>
          <w:highlight w:val="none"/>
        </w:rPr>
      </w:pPr>
    </w:p>
    <w:p w14:paraId="51978D7E">
      <w:pPr>
        <w:spacing w:line="400" w:lineRule="exact"/>
        <w:rPr>
          <w:rFonts w:hint="eastAsia" w:ascii="宋体" w:hAnsi="宋体" w:eastAsia="宋体" w:cs="宋体"/>
          <w:color w:val="auto"/>
          <w:sz w:val="20"/>
          <w:szCs w:val="20"/>
          <w:highlight w:val="none"/>
        </w:rPr>
      </w:pPr>
      <w:bookmarkStart w:id="142" w:name="_Toc12789073"/>
    </w:p>
    <w:p w14:paraId="5F58113A">
      <w:pPr>
        <w:spacing w:line="400" w:lineRule="exact"/>
        <w:rPr>
          <w:rFonts w:hint="eastAsia" w:ascii="宋体" w:hAnsi="宋体" w:eastAsia="宋体" w:cs="宋体"/>
          <w:color w:val="auto"/>
          <w:sz w:val="20"/>
          <w:szCs w:val="20"/>
          <w:highlight w:val="none"/>
        </w:rPr>
      </w:pPr>
    </w:p>
    <w:p w14:paraId="4DD80291">
      <w:pPr>
        <w:spacing w:line="440" w:lineRule="exact"/>
        <w:rPr>
          <w:rFonts w:hint="eastAsia" w:ascii="宋体" w:hAnsi="宋体" w:eastAsia="宋体" w:cs="宋体"/>
          <w:color w:val="auto"/>
          <w:sz w:val="20"/>
          <w:szCs w:val="20"/>
          <w:highlight w:val="none"/>
        </w:rPr>
      </w:pPr>
    </w:p>
    <w:p w14:paraId="0AE031A9">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16DE7212">
      <w:pPr>
        <w:jc w:val="center"/>
        <w:rPr>
          <w:rFonts w:hint="eastAsia" w:ascii="宋体" w:hAnsi="宋体" w:eastAsia="宋体" w:cs="宋体"/>
          <w:color w:val="auto"/>
          <w:sz w:val="20"/>
          <w:szCs w:val="20"/>
          <w:highlight w:val="none"/>
        </w:rPr>
      </w:pPr>
    </w:p>
    <w:p w14:paraId="5375F09C">
      <w:pPr>
        <w:rPr>
          <w:rFonts w:hint="eastAsia" w:ascii="宋体" w:hAnsi="宋体" w:eastAsia="宋体" w:cs="宋体"/>
          <w:color w:val="auto"/>
          <w:sz w:val="20"/>
          <w:szCs w:val="20"/>
          <w:highlight w:val="none"/>
        </w:rPr>
      </w:pPr>
    </w:p>
    <w:p w14:paraId="253BD079">
      <w:pPr>
        <w:jc w:val="center"/>
        <w:rPr>
          <w:rFonts w:hint="eastAsia" w:ascii="宋体" w:hAnsi="宋体" w:eastAsia="宋体" w:cs="宋体"/>
          <w:color w:val="auto"/>
          <w:sz w:val="44"/>
          <w:szCs w:val="44"/>
          <w:highlight w:val="none"/>
        </w:rPr>
      </w:pPr>
    </w:p>
    <w:p w14:paraId="182B87B2">
      <w:pPr>
        <w:jc w:val="center"/>
        <w:rPr>
          <w:rFonts w:hint="eastAsia" w:ascii="宋体" w:hAnsi="宋体" w:eastAsia="宋体" w:cs="宋体"/>
          <w:color w:val="auto"/>
          <w:sz w:val="44"/>
          <w:szCs w:val="44"/>
          <w:highlight w:val="none"/>
        </w:rPr>
      </w:pPr>
    </w:p>
    <w:p w14:paraId="007A7A5A">
      <w:pPr>
        <w:pStyle w:val="34"/>
        <w:rPr>
          <w:rFonts w:hint="eastAsia" w:ascii="宋体" w:hAnsi="宋体" w:eastAsia="宋体" w:cs="宋体"/>
          <w:color w:val="auto"/>
          <w:highlight w:val="none"/>
        </w:rPr>
      </w:pPr>
    </w:p>
    <w:p w14:paraId="5F9C76E2">
      <w:pPr>
        <w:jc w:val="both"/>
        <w:rPr>
          <w:rFonts w:hint="eastAsia" w:ascii="宋体" w:hAnsi="宋体" w:eastAsia="宋体" w:cs="宋体"/>
          <w:color w:val="auto"/>
          <w:sz w:val="44"/>
          <w:szCs w:val="44"/>
          <w:highlight w:val="none"/>
        </w:rPr>
      </w:pPr>
    </w:p>
    <w:p w14:paraId="09D2839D">
      <w:pPr>
        <w:jc w:val="center"/>
        <w:rPr>
          <w:rFonts w:hint="eastAsia" w:ascii="宋体" w:hAnsi="宋体" w:eastAsia="宋体" w:cs="宋体"/>
          <w:color w:val="auto"/>
          <w:sz w:val="44"/>
          <w:szCs w:val="44"/>
          <w:highlight w:val="none"/>
        </w:rPr>
      </w:pPr>
    </w:p>
    <w:p w14:paraId="6756CD7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响</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应</w:t>
      </w:r>
      <w:r>
        <w:rPr>
          <w:rFonts w:hint="eastAsia" w:ascii="宋体" w:hAnsi="宋体" w:eastAsia="宋体" w:cs="宋体"/>
          <w:color w:val="auto"/>
          <w:sz w:val="44"/>
          <w:szCs w:val="44"/>
          <w:highlight w:val="none"/>
        </w:rPr>
        <w:t xml:space="preserve">  文  件</w:t>
      </w:r>
    </w:p>
    <w:p w14:paraId="43D55C9E">
      <w:pPr>
        <w:rPr>
          <w:rFonts w:hint="eastAsia" w:ascii="宋体" w:hAnsi="宋体" w:eastAsia="宋体" w:cs="宋体"/>
          <w:color w:val="auto"/>
          <w:sz w:val="28"/>
          <w:szCs w:val="28"/>
          <w:highlight w:val="none"/>
        </w:rPr>
      </w:pPr>
    </w:p>
    <w:p w14:paraId="1343D52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1C3CBDA2">
      <w:pPr>
        <w:jc w:val="center"/>
        <w:rPr>
          <w:rFonts w:hint="eastAsia" w:ascii="宋体" w:hAnsi="宋体" w:eastAsia="宋体" w:cs="宋体"/>
          <w:color w:val="auto"/>
          <w:sz w:val="24"/>
          <w:highlight w:val="none"/>
        </w:rPr>
      </w:pPr>
    </w:p>
    <w:p w14:paraId="5819F425">
      <w:pPr>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正/副本</w:t>
      </w:r>
    </w:p>
    <w:p w14:paraId="4F091E58">
      <w:pPr>
        <w:rPr>
          <w:rFonts w:hint="eastAsia" w:ascii="宋体" w:hAnsi="宋体" w:eastAsia="宋体" w:cs="宋体"/>
          <w:color w:val="auto"/>
          <w:sz w:val="28"/>
          <w:szCs w:val="28"/>
          <w:highlight w:val="none"/>
        </w:rPr>
      </w:pPr>
    </w:p>
    <w:p w14:paraId="0319E055">
      <w:pPr>
        <w:rPr>
          <w:rFonts w:hint="eastAsia" w:ascii="宋体" w:hAnsi="宋体" w:eastAsia="宋体" w:cs="宋体"/>
          <w:color w:val="auto"/>
          <w:sz w:val="28"/>
          <w:szCs w:val="28"/>
          <w:highlight w:val="none"/>
        </w:rPr>
      </w:pPr>
    </w:p>
    <w:p w14:paraId="46D1FEF9">
      <w:pPr>
        <w:rPr>
          <w:rFonts w:hint="eastAsia" w:ascii="宋体" w:hAnsi="宋体" w:eastAsia="宋体" w:cs="宋体"/>
          <w:color w:val="auto"/>
          <w:sz w:val="28"/>
          <w:szCs w:val="28"/>
          <w:highlight w:val="none"/>
        </w:rPr>
      </w:pPr>
    </w:p>
    <w:p w14:paraId="5D235371">
      <w:pPr>
        <w:pStyle w:val="34"/>
        <w:rPr>
          <w:rFonts w:hint="eastAsia" w:ascii="宋体" w:hAnsi="宋体" w:eastAsia="宋体" w:cs="宋体"/>
          <w:color w:val="auto"/>
          <w:sz w:val="28"/>
          <w:szCs w:val="28"/>
          <w:highlight w:val="none"/>
        </w:rPr>
      </w:pPr>
    </w:p>
    <w:p w14:paraId="662E25CE">
      <w:pPr>
        <w:pStyle w:val="17"/>
        <w:rPr>
          <w:rFonts w:hint="eastAsia" w:ascii="宋体" w:hAnsi="宋体" w:eastAsia="宋体" w:cs="宋体"/>
          <w:color w:val="auto"/>
          <w:highlight w:val="none"/>
        </w:rPr>
      </w:pPr>
    </w:p>
    <w:p w14:paraId="71108D20">
      <w:pPr>
        <w:rPr>
          <w:rFonts w:hint="eastAsia" w:ascii="宋体" w:hAnsi="宋体" w:eastAsia="宋体" w:cs="宋体"/>
          <w:color w:val="auto"/>
          <w:sz w:val="28"/>
          <w:szCs w:val="28"/>
          <w:highlight w:val="none"/>
        </w:rPr>
      </w:pPr>
    </w:p>
    <w:p w14:paraId="435F8E27">
      <w:pPr>
        <w:rPr>
          <w:rFonts w:hint="eastAsia" w:ascii="宋体" w:hAnsi="宋体" w:eastAsia="宋体" w:cs="宋体"/>
          <w:color w:val="auto"/>
          <w:sz w:val="28"/>
          <w:szCs w:val="28"/>
          <w:highlight w:val="none"/>
        </w:rPr>
      </w:pPr>
    </w:p>
    <w:p w14:paraId="2BEB83E2">
      <w:pPr>
        <w:spacing w:line="72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7A275142">
      <w:pPr>
        <w:spacing w:line="72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p>
    <w:p w14:paraId="4E2066EA">
      <w:pPr>
        <w:spacing w:line="72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2B692BC">
      <w:pPr>
        <w:widowControl/>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0"/>
          <w:szCs w:val="30"/>
          <w:highlight w:val="none"/>
        </w:rPr>
        <w:t>目录</w:t>
      </w:r>
    </w:p>
    <w:p w14:paraId="3A346FA7">
      <w:pPr>
        <w:widowControl/>
        <w:spacing w:line="360" w:lineRule="auto"/>
        <w:jc w:val="left"/>
        <w:rPr>
          <w:rFonts w:hint="eastAsia" w:ascii="宋体" w:hAnsi="宋体" w:eastAsia="宋体" w:cs="宋体"/>
          <w:color w:val="auto"/>
          <w:sz w:val="21"/>
          <w:szCs w:val="21"/>
          <w:highlight w:val="none"/>
        </w:rPr>
      </w:pPr>
    </w:p>
    <w:p w14:paraId="67B3A0AD">
      <w:pPr>
        <w:widowControl/>
        <w:numPr>
          <w:ilvl w:val="0"/>
          <w:numId w:val="6"/>
        </w:num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报价函及报价函附录</w:t>
      </w:r>
    </w:p>
    <w:p w14:paraId="4F0E405A">
      <w:pPr>
        <w:widowControl/>
        <w:numPr>
          <w:ilvl w:val="0"/>
          <w:numId w:val="6"/>
        </w:num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报价一览表</w:t>
      </w:r>
    </w:p>
    <w:p w14:paraId="7A7DE30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证明</w:t>
      </w:r>
    </w:p>
    <w:p w14:paraId="49338CB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、法定代表人授权委托书</w:t>
      </w:r>
    </w:p>
    <w:p w14:paraId="2294AE68">
      <w:pPr>
        <w:widowControl/>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资格审查资料</w:t>
      </w:r>
    </w:p>
    <w:p w14:paraId="7787F7CF">
      <w:pPr>
        <w:widowControl/>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供货方案</w:t>
      </w:r>
    </w:p>
    <w:p w14:paraId="7EE57939">
      <w:pPr>
        <w:widowControl/>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其他材料</w:t>
      </w:r>
    </w:p>
    <w:p w14:paraId="06093D1C">
      <w:pPr>
        <w:widowControl/>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cs="宋体"/>
          <w:color w:val="auto"/>
          <w:highlight w:val="none"/>
          <w:lang w:val="en-US" w:eastAsia="zh-CN"/>
        </w:rPr>
        <w:t>中小企业声明函</w:t>
      </w:r>
    </w:p>
    <w:p w14:paraId="515192FC">
      <w:pPr>
        <w:pStyle w:val="34"/>
        <w:rPr>
          <w:rFonts w:hint="eastAsia" w:ascii="宋体" w:hAnsi="宋体" w:eastAsia="宋体" w:cs="宋体"/>
          <w:color w:val="auto"/>
          <w:highlight w:val="none"/>
          <w:lang w:val="en-US"/>
        </w:rPr>
      </w:pPr>
    </w:p>
    <w:p w14:paraId="5D48F322">
      <w:pPr>
        <w:spacing w:line="440" w:lineRule="exact"/>
        <w:jc w:val="center"/>
        <w:rPr>
          <w:rFonts w:hint="eastAsia" w:ascii="宋体" w:hAnsi="宋体" w:eastAsia="宋体" w:cs="宋体"/>
          <w:b/>
          <w:bCs/>
          <w:color w:val="auto"/>
          <w:sz w:val="32"/>
          <w:szCs w:val="21"/>
          <w:highlight w:val="none"/>
        </w:rPr>
      </w:pPr>
    </w:p>
    <w:p w14:paraId="72A29BDD">
      <w:pPr>
        <w:pStyle w:val="10"/>
        <w:ind w:left="0" w:leftChars="0" w:firstLine="0" w:firstLineChars="0"/>
        <w:jc w:val="both"/>
        <w:rPr>
          <w:rFonts w:hint="eastAsia" w:ascii="宋体" w:hAnsi="宋体" w:eastAsia="宋体" w:cs="宋体"/>
          <w:color w:val="auto"/>
          <w:highlight w:val="none"/>
        </w:rPr>
      </w:pPr>
      <w:r>
        <w:rPr>
          <w:rFonts w:hint="eastAsia" w:ascii="宋体" w:hAnsi="宋体" w:cs="宋体"/>
          <w:b/>
          <w:bCs/>
          <w:color w:val="auto"/>
          <w:szCs w:val="21"/>
          <w:highlight w:val="none"/>
          <w:lang w:val="en-US" w:eastAsia="zh-CN"/>
        </w:rPr>
        <w:t>注：该目录仅供参考，电子投标系统中自动生成目录与此目录不一至时，不作为否决投标依据</w:t>
      </w:r>
    </w:p>
    <w:p w14:paraId="58F22DE4">
      <w:pPr>
        <w:widowControl/>
        <w:jc w:val="left"/>
        <w:rPr>
          <w:rFonts w:hint="eastAsia" w:ascii="宋体" w:hAnsi="宋体" w:eastAsia="宋体" w:cs="宋体"/>
          <w:b/>
          <w:color w:val="auto"/>
          <w:sz w:val="21"/>
          <w:szCs w:val="21"/>
          <w:highlight w:val="none"/>
        </w:rPr>
      </w:pPr>
    </w:p>
    <w:p w14:paraId="5FF8F4B6">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279FD32">
      <w:pPr>
        <w:spacing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报价函及报价函附录</w:t>
      </w:r>
    </w:p>
    <w:p w14:paraId="2F1BE8ED">
      <w:pPr>
        <w:pStyle w:val="4"/>
        <w:tabs>
          <w:tab w:val="clear" w:pos="432"/>
        </w:tabs>
        <w:jc w:val="center"/>
        <w:rPr>
          <w:rFonts w:hint="eastAsia" w:ascii="宋体" w:hAnsi="宋体" w:eastAsia="宋体" w:cs="宋体"/>
          <w:color w:val="auto"/>
          <w:sz w:val="28"/>
          <w:szCs w:val="28"/>
          <w:highlight w:val="none"/>
        </w:rPr>
      </w:pPr>
      <w:bookmarkStart w:id="143" w:name="_Toc246997100"/>
      <w:bookmarkStart w:id="144" w:name="_Toc152045789"/>
      <w:bookmarkStart w:id="145" w:name="_Toc246996357"/>
      <w:bookmarkStart w:id="146" w:name="_Toc296602603"/>
      <w:bookmarkStart w:id="147" w:name="_Toc144974858"/>
      <w:bookmarkStart w:id="148" w:name="_Toc179632809"/>
      <w:bookmarkStart w:id="149" w:name="_Toc152042578"/>
      <w:bookmarkStart w:id="150" w:name="_Toc247085875"/>
      <w:bookmarkStart w:id="151" w:name="_Toc4151"/>
      <w:bookmarkStart w:id="152" w:name="_Toc31072"/>
      <w:bookmarkStart w:id="153" w:name="_Toc23931"/>
      <w:bookmarkStart w:id="154" w:name="_Toc65762314"/>
      <w:bookmarkStart w:id="155" w:name="_Toc21617"/>
      <w:r>
        <w:rPr>
          <w:rFonts w:hint="eastAsia" w:ascii="宋体" w:hAnsi="宋体" w:eastAsia="宋体" w:cs="宋体"/>
          <w:color w:val="auto"/>
          <w:sz w:val="28"/>
          <w:szCs w:val="28"/>
          <w:highlight w:val="none"/>
        </w:rPr>
        <w:t>（一）</w:t>
      </w:r>
      <w:bookmarkEnd w:id="143"/>
      <w:bookmarkEnd w:id="144"/>
      <w:bookmarkEnd w:id="145"/>
      <w:bookmarkEnd w:id="146"/>
      <w:bookmarkEnd w:id="147"/>
      <w:bookmarkEnd w:id="148"/>
      <w:bookmarkEnd w:id="149"/>
      <w:bookmarkEnd w:id="150"/>
      <w:r>
        <w:rPr>
          <w:rFonts w:hint="eastAsia" w:ascii="宋体" w:hAnsi="宋体" w:eastAsia="宋体" w:cs="宋体"/>
          <w:color w:val="auto"/>
          <w:sz w:val="28"/>
          <w:szCs w:val="28"/>
          <w:highlight w:val="none"/>
        </w:rPr>
        <w:t>报价函</w:t>
      </w:r>
      <w:bookmarkEnd w:id="151"/>
      <w:bookmarkEnd w:id="152"/>
      <w:bookmarkEnd w:id="153"/>
      <w:bookmarkEnd w:id="154"/>
      <w:bookmarkEnd w:id="155"/>
    </w:p>
    <w:p w14:paraId="6EC2EBAE">
      <w:pPr>
        <w:tabs>
          <w:tab w:val="left" w:pos="6300"/>
        </w:tabs>
        <w:snapToGrid w:val="0"/>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（采购人名称）</w:t>
      </w:r>
    </w:p>
    <w:p w14:paraId="5A7739C7">
      <w:pPr>
        <w:autoSpaceDE w:val="0"/>
        <w:autoSpaceDN w:val="0"/>
        <w:adjustRightInd w:val="0"/>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1.我方已仔细研究了</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的全部内容，我方愿以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元</w:t>
      </w:r>
      <w:r>
        <w:rPr>
          <w:rFonts w:hint="eastAsia" w:ascii="宋体" w:hAnsi="宋体" w:eastAsia="宋体" w:cs="宋体"/>
          <w:color w:val="auto"/>
          <w:kern w:val="0"/>
          <w:sz w:val="21"/>
          <w:szCs w:val="21"/>
          <w:highlight w:val="none"/>
        </w:rPr>
        <w:t>的报价，合同履行期限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，按合同约定实施和完成承包上述采购项目。</w:t>
      </w:r>
    </w:p>
    <w:p w14:paraId="74121E1C">
      <w:pPr>
        <w:autoSpaceDE w:val="0"/>
        <w:autoSpaceDN w:val="0"/>
        <w:adjustRightInd w:val="0"/>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2.我方承诺在报价有效期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天内不修改、撤销响应文件。</w:t>
      </w:r>
    </w:p>
    <w:p w14:paraId="5E19D4C0">
      <w:pPr>
        <w:autoSpaceDE w:val="0"/>
        <w:autoSpaceDN w:val="0"/>
        <w:adjustRightInd w:val="0"/>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.如我方中标：</w:t>
      </w:r>
    </w:p>
    <w:p w14:paraId="4D683701">
      <w:pPr>
        <w:autoSpaceDE w:val="0"/>
        <w:autoSpaceDN w:val="0"/>
        <w:adjustRightInd w:val="0"/>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(1)我方承诺在收到成交通知书后，在成交通知书规定的期限内，与你方签订合同，并遵守合同中关于权利和义务的约定；</w:t>
      </w:r>
    </w:p>
    <w:p w14:paraId="54712DFD">
      <w:pPr>
        <w:autoSpaceDE w:val="0"/>
        <w:autoSpaceDN w:val="0"/>
        <w:adjustRightInd w:val="0"/>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(2)我方承诺按照</w:t>
      </w: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中规定的技术条件及要求在合同约定的期限内，完成并移交全部合同内容。</w:t>
      </w:r>
    </w:p>
    <w:p w14:paraId="07F62349">
      <w:pPr>
        <w:autoSpaceDE w:val="0"/>
        <w:autoSpaceDN w:val="0"/>
        <w:adjustRightInd w:val="0"/>
        <w:spacing w:line="5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.我方在此声明，所递交的响应文件及有关资料内容完整、真实和准确。</w:t>
      </w:r>
    </w:p>
    <w:p w14:paraId="2001CA86">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(其他补充说明)。</w:t>
      </w:r>
    </w:p>
    <w:p w14:paraId="2F603B2C">
      <w:pPr>
        <w:spacing w:line="440" w:lineRule="exact"/>
        <w:rPr>
          <w:rFonts w:hint="eastAsia" w:ascii="宋体" w:hAnsi="宋体" w:eastAsia="宋体" w:cs="宋体"/>
          <w:color w:val="auto"/>
          <w:sz w:val="21"/>
          <w:szCs w:val="21"/>
          <w:highlight w:val="none"/>
        </w:rPr>
      </w:pPr>
    </w:p>
    <w:p w14:paraId="40AD1BD7">
      <w:pPr>
        <w:spacing w:line="440" w:lineRule="exact"/>
        <w:ind w:firstLine="3675" w:firstLineChars="17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0807A6EA">
      <w:pPr>
        <w:spacing w:line="440" w:lineRule="exact"/>
        <w:ind w:firstLine="3675" w:firstLineChars="17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w:t>
      </w:r>
    </w:p>
    <w:p w14:paraId="1A4E2BA6">
      <w:pPr>
        <w:spacing w:line="440" w:lineRule="exact"/>
        <w:ind w:firstLine="3675" w:firstLineChars="175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p w14:paraId="77BA5AE2">
      <w:pPr>
        <w:spacing w:line="440" w:lineRule="exact"/>
        <w:ind w:firstLine="3675" w:firstLineChars="175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p>
    <w:p w14:paraId="1945C975">
      <w:pPr>
        <w:spacing w:line="440" w:lineRule="exact"/>
        <w:ind w:firstLine="3675" w:firstLineChars="175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p>
    <w:p w14:paraId="08C50B36">
      <w:pPr>
        <w:pStyle w:val="34"/>
        <w:rPr>
          <w:rFonts w:hint="eastAsia" w:ascii="宋体" w:hAnsi="宋体" w:eastAsia="宋体" w:cs="宋体"/>
          <w:color w:val="auto"/>
          <w:sz w:val="21"/>
          <w:szCs w:val="21"/>
          <w:highlight w:val="none"/>
          <w:lang w:val="en-US" w:eastAsia="zh-CN"/>
        </w:rPr>
      </w:pPr>
    </w:p>
    <w:p w14:paraId="5B544433">
      <w:pPr>
        <w:tabs>
          <w:tab w:val="left" w:pos="6300"/>
        </w:tabs>
        <w:snapToGrid w:val="0"/>
        <w:spacing w:after="156" w:afterLines="50" w:line="360" w:lineRule="auto"/>
        <w:ind w:firstLine="5040" w:firstLineChars="24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2C86DCDA">
      <w:pPr>
        <w:pStyle w:val="34"/>
        <w:rPr>
          <w:rFonts w:hint="eastAsia" w:ascii="宋体" w:hAnsi="宋体" w:eastAsia="宋体" w:cs="宋体"/>
          <w:color w:val="auto"/>
          <w:highlight w:val="none"/>
        </w:rPr>
      </w:pPr>
    </w:p>
    <w:p w14:paraId="2EE79BEB">
      <w:pPr>
        <w:pStyle w:val="4"/>
        <w:tabs>
          <w:tab w:val="clear" w:pos="432"/>
        </w:tabs>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bookmarkStart w:id="156" w:name="_Toc246996358"/>
      <w:bookmarkStart w:id="157" w:name="_Toc65762315"/>
      <w:bookmarkStart w:id="158" w:name="_Toc247085876"/>
      <w:bookmarkStart w:id="159" w:name="_Toc152042579"/>
      <w:bookmarkStart w:id="160" w:name="_Toc350070695"/>
      <w:bookmarkStart w:id="161" w:name="_Toc246997101"/>
      <w:bookmarkStart w:id="162" w:name="_Toc144974859"/>
      <w:bookmarkStart w:id="163" w:name="_Toc4908"/>
      <w:bookmarkStart w:id="164" w:name="_Toc21839"/>
      <w:bookmarkStart w:id="165" w:name="_Toc4641"/>
      <w:bookmarkStart w:id="166" w:name="_Toc370292213"/>
      <w:bookmarkStart w:id="167" w:name="_Toc11177"/>
      <w:bookmarkStart w:id="168" w:name="_Toc152045790"/>
      <w:bookmarkStart w:id="169" w:name="_Toc179632810"/>
      <w:r>
        <w:rPr>
          <w:rFonts w:hint="eastAsia" w:ascii="宋体" w:hAnsi="宋体" w:eastAsia="宋体" w:cs="宋体"/>
          <w:color w:val="auto"/>
          <w:sz w:val="28"/>
          <w:szCs w:val="28"/>
          <w:highlight w:val="none"/>
        </w:rPr>
        <w:t>（二）报价函附录</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D017379">
      <w:pPr>
        <w:spacing w:line="440" w:lineRule="exact"/>
        <w:ind w:firstLine="105" w:firstLineChars="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项目名称：</w:t>
      </w:r>
    </w:p>
    <w:p w14:paraId="6DB4636E">
      <w:pPr>
        <w:spacing w:line="440" w:lineRule="exact"/>
        <w:ind w:firstLine="105" w:firstLineChars="50"/>
        <w:rPr>
          <w:rFonts w:hint="eastAsia" w:ascii="宋体" w:hAnsi="宋体" w:eastAsia="宋体" w:cs="宋体"/>
          <w:color w:val="auto"/>
          <w:sz w:val="20"/>
          <w:highlight w:val="non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0"/>
          <w:highlight w:val="none"/>
        </w:rPr>
        <w:t xml:space="preserve">    </w:t>
      </w:r>
      <w:r>
        <w:rPr>
          <w:rFonts w:hint="eastAsia" w:ascii="宋体" w:hAnsi="宋体" w:eastAsia="宋体" w:cs="宋体"/>
          <w:color w:val="auto"/>
          <w:sz w:val="20"/>
          <w:highlight w:val="none"/>
        </w:rPr>
        <w:t xml:space="preserve">       </w:t>
      </w:r>
    </w:p>
    <w:tbl>
      <w:tblPr>
        <w:tblStyle w:val="26"/>
        <w:tblW w:w="9318" w:type="dxa"/>
        <w:tblInd w:w="0" w:type="dxa"/>
        <w:tblLayout w:type="fixed"/>
        <w:tblCellMar>
          <w:top w:w="0" w:type="dxa"/>
          <w:left w:w="108" w:type="dxa"/>
          <w:bottom w:w="0" w:type="dxa"/>
          <w:right w:w="108" w:type="dxa"/>
        </w:tblCellMar>
      </w:tblPr>
      <w:tblGrid>
        <w:gridCol w:w="845"/>
        <w:gridCol w:w="2214"/>
        <w:gridCol w:w="3886"/>
        <w:gridCol w:w="2373"/>
      </w:tblGrid>
      <w:tr w14:paraId="2338E9CD">
        <w:tblPrEx>
          <w:tblCellMar>
            <w:top w:w="0" w:type="dxa"/>
            <w:left w:w="108" w:type="dxa"/>
            <w:bottom w:w="0" w:type="dxa"/>
            <w:right w:w="108" w:type="dxa"/>
          </w:tblCellMar>
        </w:tblPrEx>
        <w:trPr>
          <w:trHeight w:val="377" w:hRule="atLeast"/>
        </w:trPr>
        <w:tc>
          <w:tcPr>
            <w:tcW w:w="845" w:type="dxa"/>
            <w:tcBorders>
              <w:top w:val="single" w:color="auto" w:sz="4" w:space="0"/>
              <w:left w:val="single" w:color="auto" w:sz="4" w:space="0"/>
              <w:bottom w:val="single" w:color="auto" w:sz="4" w:space="0"/>
              <w:right w:val="single" w:color="auto" w:sz="4" w:space="0"/>
            </w:tcBorders>
            <w:vAlign w:val="center"/>
          </w:tcPr>
          <w:p w14:paraId="2ACCF7B5">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214" w:type="dxa"/>
            <w:tcBorders>
              <w:top w:val="single" w:color="auto" w:sz="4" w:space="0"/>
              <w:left w:val="single" w:color="auto" w:sz="4" w:space="0"/>
              <w:bottom w:val="single" w:color="auto" w:sz="4" w:space="0"/>
              <w:right w:val="single" w:color="auto" w:sz="4" w:space="0"/>
            </w:tcBorders>
            <w:vAlign w:val="center"/>
          </w:tcPr>
          <w:p w14:paraId="6B65BAC0">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条款名称</w:t>
            </w:r>
          </w:p>
        </w:tc>
        <w:tc>
          <w:tcPr>
            <w:tcW w:w="3886" w:type="dxa"/>
            <w:tcBorders>
              <w:top w:val="single" w:color="auto" w:sz="4" w:space="0"/>
              <w:left w:val="single" w:color="auto" w:sz="4" w:space="0"/>
              <w:bottom w:val="single" w:color="auto" w:sz="4" w:space="0"/>
              <w:right w:val="single" w:color="auto" w:sz="4" w:space="0"/>
            </w:tcBorders>
            <w:vAlign w:val="center"/>
          </w:tcPr>
          <w:p w14:paraId="41FD287C">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约定内容</w:t>
            </w:r>
          </w:p>
        </w:tc>
        <w:tc>
          <w:tcPr>
            <w:tcW w:w="2373" w:type="dxa"/>
            <w:tcBorders>
              <w:top w:val="single" w:color="auto" w:sz="4" w:space="0"/>
              <w:left w:val="single" w:color="auto" w:sz="4" w:space="0"/>
              <w:bottom w:val="single" w:color="auto" w:sz="4" w:space="0"/>
              <w:right w:val="single" w:color="auto" w:sz="4" w:space="0"/>
            </w:tcBorders>
            <w:vAlign w:val="center"/>
          </w:tcPr>
          <w:p w14:paraId="0BCD2A0F">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是否响应</w:t>
            </w:r>
          </w:p>
        </w:tc>
      </w:tr>
      <w:tr w14:paraId="770746AA">
        <w:tblPrEx>
          <w:tblCellMar>
            <w:top w:w="0" w:type="dxa"/>
            <w:left w:w="108" w:type="dxa"/>
            <w:bottom w:w="0" w:type="dxa"/>
            <w:right w:w="108" w:type="dxa"/>
          </w:tblCellMar>
        </w:tblPrEx>
        <w:trPr>
          <w:trHeight w:val="490" w:hRule="atLeast"/>
        </w:trPr>
        <w:tc>
          <w:tcPr>
            <w:tcW w:w="845" w:type="dxa"/>
            <w:tcBorders>
              <w:top w:val="single" w:color="auto" w:sz="4" w:space="0"/>
              <w:left w:val="single" w:color="auto" w:sz="4" w:space="0"/>
              <w:bottom w:val="single" w:color="auto" w:sz="4" w:space="0"/>
              <w:right w:val="single" w:color="auto" w:sz="4" w:space="0"/>
            </w:tcBorders>
            <w:vAlign w:val="center"/>
          </w:tcPr>
          <w:p w14:paraId="48777BFE">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14" w:type="dxa"/>
            <w:tcBorders>
              <w:top w:val="single" w:color="auto" w:sz="4" w:space="0"/>
              <w:left w:val="single" w:color="auto" w:sz="4" w:space="0"/>
              <w:bottom w:val="single" w:color="auto" w:sz="4" w:space="0"/>
              <w:right w:val="single" w:color="auto" w:sz="4" w:space="0"/>
            </w:tcBorders>
            <w:vAlign w:val="center"/>
          </w:tcPr>
          <w:p w14:paraId="7DB0CBF1">
            <w:pPr>
              <w:autoSpaceDE w:val="0"/>
              <w:autoSpaceDN w:val="0"/>
              <w:adjustRightIn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合同履行期限</w:t>
            </w:r>
          </w:p>
        </w:tc>
        <w:tc>
          <w:tcPr>
            <w:tcW w:w="3886" w:type="dxa"/>
            <w:tcBorders>
              <w:top w:val="single" w:color="auto" w:sz="4" w:space="0"/>
              <w:left w:val="single" w:color="auto" w:sz="4" w:space="0"/>
              <w:bottom w:val="single" w:color="auto" w:sz="4" w:space="0"/>
              <w:right w:val="single" w:color="auto" w:sz="4" w:space="0"/>
            </w:tcBorders>
            <w:vAlign w:val="center"/>
          </w:tcPr>
          <w:p w14:paraId="55FBC69E">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cs="宋体"/>
                <w:color w:val="auto"/>
                <w:highlight w:val="none"/>
                <w:lang w:val="en-US" w:eastAsia="zh-CN"/>
              </w:rPr>
              <w:t>合同签订后3日内完成供货</w:t>
            </w:r>
          </w:p>
        </w:tc>
        <w:tc>
          <w:tcPr>
            <w:tcW w:w="2373" w:type="dxa"/>
            <w:tcBorders>
              <w:top w:val="single" w:color="auto" w:sz="4" w:space="0"/>
              <w:left w:val="single" w:color="auto" w:sz="4" w:space="0"/>
              <w:bottom w:val="single" w:color="auto" w:sz="4" w:space="0"/>
              <w:right w:val="single" w:color="auto" w:sz="4" w:space="0"/>
            </w:tcBorders>
            <w:vAlign w:val="center"/>
          </w:tcPr>
          <w:p w14:paraId="3C26CDAC">
            <w:pPr>
              <w:autoSpaceDE w:val="0"/>
              <w:autoSpaceDN w:val="0"/>
              <w:adjustRightInd w:val="0"/>
              <w:jc w:val="center"/>
              <w:rPr>
                <w:rFonts w:hint="eastAsia" w:ascii="宋体" w:hAnsi="宋体" w:eastAsia="宋体" w:cs="宋体"/>
                <w:color w:val="auto"/>
                <w:kern w:val="0"/>
                <w:sz w:val="21"/>
                <w:szCs w:val="21"/>
                <w:highlight w:val="none"/>
              </w:rPr>
            </w:pPr>
          </w:p>
        </w:tc>
      </w:tr>
      <w:tr w14:paraId="7CFA09A2">
        <w:tblPrEx>
          <w:tblCellMar>
            <w:top w:w="0" w:type="dxa"/>
            <w:left w:w="108" w:type="dxa"/>
            <w:bottom w:w="0" w:type="dxa"/>
            <w:right w:w="108" w:type="dxa"/>
          </w:tblCellMar>
        </w:tblPrEx>
        <w:trPr>
          <w:trHeight w:val="661" w:hRule="atLeast"/>
        </w:trPr>
        <w:tc>
          <w:tcPr>
            <w:tcW w:w="845" w:type="dxa"/>
            <w:tcBorders>
              <w:top w:val="single" w:color="auto" w:sz="4" w:space="0"/>
              <w:left w:val="single" w:color="auto" w:sz="4" w:space="0"/>
              <w:bottom w:val="single" w:color="auto" w:sz="4" w:space="0"/>
              <w:right w:val="single" w:color="auto" w:sz="4" w:space="0"/>
            </w:tcBorders>
            <w:vAlign w:val="center"/>
          </w:tcPr>
          <w:p w14:paraId="105F7B14">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14" w:type="dxa"/>
            <w:tcBorders>
              <w:top w:val="single" w:color="auto" w:sz="4" w:space="0"/>
              <w:left w:val="single" w:color="auto" w:sz="4" w:space="0"/>
              <w:bottom w:val="single" w:color="auto" w:sz="4" w:space="0"/>
              <w:right w:val="single" w:color="auto" w:sz="4" w:space="0"/>
            </w:tcBorders>
            <w:vAlign w:val="center"/>
          </w:tcPr>
          <w:p w14:paraId="024BE111">
            <w:pPr>
              <w:autoSpaceDE w:val="0"/>
              <w:autoSpaceDN w:val="0"/>
              <w:adjustRightIn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质量标准</w:t>
            </w:r>
          </w:p>
        </w:tc>
        <w:tc>
          <w:tcPr>
            <w:tcW w:w="3886" w:type="dxa"/>
            <w:tcBorders>
              <w:top w:val="single" w:color="auto" w:sz="4" w:space="0"/>
              <w:left w:val="single" w:color="auto" w:sz="4" w:space="0"/>
              <w:bottom w:val="single" w:color="auto" w:sz="4" w:space="0"/>
              <w:right w:val="single" w:color="auto" w:sz="4" w:space="0"/>
            </w:tcBorders>
            <w:vAlign w:val="center"/>
          </w:tcPr>
          <w:p w14:paraId="25569469">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符合国家标准《农用微生物菌剂》GB20287-2006</w:t>
            </w:r>
          </w:p>
        </w:tc>
        <w:tc>
          <w:tcPr>
            <w:tcW w:w="2373" w:type="dxa"/>
            <w:tcBorders>
              <w:top w:val="single" w:color="auto" w:sz="4" w:space="0"/>
              <w:left w:val="single" w:color="auto" w:sz="4" w:space="0"/>
              <w:bottom w:val="single" w:color="auto" w:sz="4" w:space="0"/>
              <w:right w:val="single" w:color="auto" w:sz="4" w:space="0"/>
            </w:tcBorders>
            <w:vAlign w:val="center"/>
          </w:tcPr>
          <w:p w14:paraId="3659366D">
            <w:pPr>
              <w:autoSpaceDE w:val="0"/>
              <w:autoSpaceDN w:val="0"/>
              <w:adjustRightInd w:val="0"/>
              <w:ind w:firstLine="480"/>
              <w:jc w:val="center"/>
              <w:rPr>
                <w:rFonts w:hint="eastAsia" w:ascii="宋体" w:hAnsi="宋体" w:eastAsia="宋体" w:cs="宋体"/>
                <w:color w:val="auto"/>
                <w:kern w:val="0"/>
                <w:sz w:val="21"/>
                <w:szCs w:val="21"/>
                <w:highlight w:val="none"/>
              </w:rPr>
            </w:pPr>
          </w:p>
        </w:tc>
      </w:tr>
      <w:tr w14:paraId="0C9E15DA">
        <w:tblPrEx>
          <w:tblCellMar>
            <w:top w:w="0" w:type="dxa"/>
            <w:left w:w="108" w:type="dxa"/>
            <w:bottom w:w="0" w:type="dxa"/>
            <w:right w:w="108" w:type="dxa"/>
          </w:tblCellMar>
        </w:tblPrEx>
        <w:trPr>
          <w:trHeight w:val="377" w:hRule="atLeast"/>
        </w:trPr>
        <w:tc>
          <w:tcPr>
            <w:tcW w:w="845" w:type="dxa"/>
            <w:tcBorders>
              <w:top w:val="single" w:color="auto" w:sz="4" w:space="0"/>
              <w:left w:val="single" w:color="auto" w:sz="4" w:space="0"/>
              <w:bottom w:val="single" w:color="auto" w:sz="4" w:space="0"/>
              <w:right w:val="single" w:color="auto" w:sz="4" w:space="0"/>
            </w:tcBorders>
            <w:vAlign w:val="center"/>
          </w:tcPr>
          <w:p w14:paraId="76CA3602">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14" w:type="dxa"/>
            <w:tcBorders>
              <w:top w:val="single" w:color="auto" w:sz="4" w:space="0"/>
              <w:left w:val="single" w:color="auto" w:sz="4" w:space="0"/>
              <w:bottom w:val="single" w:color="auto" w:sz="4" w:space="0"/>
              <w:right w:val="single" w:color="auto" w:sz="4" w:space="0"/>
            </w:tcBorders>
            <w:vAlign w:val="center"/>
          </w:tcPr>
          <w:p w14:paraId="3DAD430C">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eastAsia="zh-CN"/>
              </w:rPr>
              <w:t>竞谈</w:t>
            </w:r>
            <w:r>
              <w:rPr>
                <w:rFonts w:hint="eastAsia" w:ascii="宋体" w:hAnsi="宋体" w:eastAsia="宋体" w:cs="宋体"/>
                <w:color w:val="auto"/>
                <w:szCs w:val="21"/>
                <w:highlight w:val="none"/>
              </w:rPr>
              <w:t>有效期</w:t>
            </w:r>
          </w:p>
        </w:tc>
        <w:tc>
          <w:tcPr>
            <w:tcW w:w="3886" w:type="dxa"/>
            <w:tcBorders>
              <w:top w:val="single" w:color="auto" w:sz="4" w:space="0"/>
              <w:left w:val="single" w:color="auto" w:sz="4" w:space="0"/>
              <w:bottom w:val="single" w:color="auto" w:sz="4" w:space="0"/>
              <w:right w:val="single" w:color="auto" w:sz="4" w:space="0"/>
            </w:tcBorders>
            <w:vAlign w:val="center"/>
          </w:tcPr>
          <w:p w14:paraId="7B96BE3D">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90天</w:t>
            </w:r>
          </w:p>
        </w:tc>
        <w:tc>
          <w:tcPr>
            <w:tcW w:w="2373" w:type="dxa"/>
            <w:tcBorders>
              <w:top w:val="single" w:color="auto" w:sz="4" w:space="0"/>
              <w:left w:val="single" w:color="auto" w:sz="4" w:space="0"/>
              <w:bottom w:val="single" w:color="auto" w:sz="4" w:space="0"/>
              <w:right w:val="single" w:color="auto" w:sz="4" w:space="0"/>
            </w:tcBorders>
            <w:vAlign w:val="center"/>
          </w:tcPr>
          <w:p w14:paraId="5E719BE7">
            <w:pPr>
              <w:autoSpaceDE w:val="0"/>
              <w:autoSpaceDN w:val="0"/>
              <w:adjustRightInd w:val="0"/>
              <w:ind w:firstLine="480"/>
              <w:jc w:val="center"/>
              <w:rPr>
                <w:rFonts w:hint="eastAsia" w:ascii="宋体" w:hAnsi="宋体" w:eastAsia="宋体" w:cs="宋体"/>
                <w:color w:val="auto"/>
                <w:kern w:val="0"/>
                <w:sz w:val="21"/>
                <w:szCs w:val="21"/>
                <w:highlight w:val="none"/>
              </w:rPr>
            </w:pPr>
          </w:p>
        </w:tc>
      </w:tr>
      <w:tr w14:paraId="547C5B34">
        <w:tblPrEx>
          <w:tblCellMar>
            <w:top w:w="0" w:type="dxa"/>
            <w:left w:w="108" w:type="dxa"/>
            <w:bottom w:w="0" w:type="dxa"/>
            <w:right w:w="108" w:type="dxa"/>
          </w:tblCellMar>
        </w:tblPrEx>
        <w:trPr>
          <w:trHeight w:val="377" w:hRule="atLeast"/>
        </w:trPr>
        <w:tc>
          <w:tcPr>
            <w:tcW w:w="845" w:type="dxa"/>
            <w:tcBorders>
              <w:top w:val="single" w:color="auto" w:sz="4" w:space="0"/>
              <w:left w:val="single" w:color="auto" w:sz="4" w:space="0"/>
              <w:bottom w:val="single" w:color="auto" w:sz="4" w:space="0"/>
              <w:right w:val="single" w:color="auto" w:sz="4" w:space="0"/>
            </w:tcBorders>
            <w:vAlign w:val="center"/>
          </w:tcPr>
          <w:p w14:paraId="2CD0EC8A">
            <w:pPr>
              <w:autoSpaceDE w:val="0"/>
              <w:autoSpaceDN w:val="0"/>
              <w:adjustRightIn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2214" w:type="dxa"/>
            <w:tcBorders>
              <w:top w:val="single" w:color="auto" w:sz="4" w:space="0"/>
              <w:left w:val="single" w:color="auto" w:sz="4" w:space="0"/>
              <w:bottom w:val="single" w:color="auto" w:sz="4" w:space="0"/>
              <w:right w:val="single" w:color="auto" w:sz="4" w:space="0"/>
            </w:tcBorders>
            <w:vAlign w:val="center"/>
          </w:tcPr>
          <w:p w14:paraId="35AAACBB">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eastAsia="zh-CN"/>
              </w:rPr>
              <w:t>竞谈</w:t>
            </w:r>
            <w:r>
              <w:rPr>
                <w:rFonts w:hint="eastAsia" w:ascii="宋体" w:hAnsi="宋体" w:eastAsia="宋体" w:cs="宋体"/>
                <w:color w:val="auto"/>
                <w:szCs w:val="21"/>
                <w:highlight w:val="none"/>
              </w:rPr>
              <w:t>内容</w:t>
            </w:r>
          </w:p>
        </w:tc>
        <w:tc>
          <w:tcPr>
            <w:tcW w:w="3886" w:type="dxa"/>
            <w:tcBorders>
              <w:top w:val="single" w:color="auto" w:sz="4" w:space="0"/>
              <w:left w:val="single" w:color="auto" w:sz="4" w:space="0"/>
              <w:bottom w:val="single" w:color="auto" w:sz="4" w:space="0"/>
              <w:right w:val="single" w:color="auto" w:sz="4" w:space="0"/>
            </w:tcBorders>
            <w:vAlign w:val="center"/>
          </w:tcPr>
          <w:p w14:paraId="6EBA8841">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符合第二章“</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须知前附表”规定</w:t>
            </w:r>
          </w:p>
        </w:tc>
        <w:tc>
          <w:tcPr>
            <w:tcW w:w="2373" w:type="dxa"/>
            <w:tcBorders>
              <w:top w:val="single" w:color="auto" w:sz="4" w:space="0"/>
              <w:left w:val="single" w:color="auto" w:sz="4" w:space="0"/>
              <w:bottom w:val="single" w:color="auto" w:sz="4" w:space="0"/>
              <w:right w:val="single" w:color="auto" w:sz="4" w:space="0"/>
            </w:tcBorders>
            <w:vAlign w:val="center"/>
          </w:tcPr>
          <w:p w14:paraId="5BA165B7">
            <w:pPr>
              <w:autoSpaceDE w:val="0"/>
              <w:autoSpaceDN w:val="0"/>
              <w:adjustRightInd w:val="0"/>
              <w:ind w:firstLine="480"/>
              <w:jc w:val="center"/>
              <w:rPr>
                <w:rFonts w:hint="eastAsia" w:ascii="宋体" w:hAnsi="宋体" w:eastAsia="宋体" w:cs="宋体"/>
                <w:color w:val="auto"/>
                <w:kern w:val="0"/>
                <w:sz w:val="21"/>
                <w:szCs w:val="21"/>
                <w:highlight w:val="none"/>
              </w:rPr>
            </w:pPr>
          </w:p>
        </w:tc>
      </w:tr>
      <w:tr w14:paraId="002FFC07">
        <w:tblPrEx>
          <w:tblCellMar>
            <w:top w:w="0" w:type="dxa"/>
            <w:left w:w="108" w:type="dxa"/>
            <w:bottom w:w="0" w:type="dxa"/>
            <w:right w:w="108" w:type="dxa"/>
          </w:tblCellMar>
        </w:tblPrEx>
        <w:trPr>
          <w:trHeight w:val="377" w:hRule="atLeast"/>
        </w:trPr>
        <w:tc>
          <w:tcPr>
            <w:tcW w:w="845" w:type="dxa"/>
            <w:tcBorders>
              <w:top w:val="single" w:color="auto" w:sz="4" w:space="0"/>
              <w:left w:val="single" w:color="auto" w:sz="4" w:space="0"/>
              <w:bottom w:val="single" w:color="auto" w:sz="4" w:space="0"/>
              <w:right w:val="single" w:color="auto" w:sz="4" w:space="0"/>
            </w:tcBorders>
            <w:vAlign w:val="center"/>
          </w:tcPr>
          <w:p w14:paraId="4078C5D5">
            <w:pPr>
              <w:autoSpaceDE w:val="0"/>
              <w:autoSpaceDN w:val="0"/>
              <w:adjustRightIn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2214" w:type="dxa"/>
            <w:tcBorders>
              <w:top w:val="single" w:color="auto" w:sz="4" w:space="0"/>
              <w:left w:val="single" w:color="auto" w:sz="4" w:space="0"/>
              <w:bottom w:val="single" w:color="auto" w:sz="4" w:space="0"/>
              <w:right w:val="single" w:color="auto" w:sz="4" w:space="0"/>
            </w:tcBorders>
            <w:vAlign w:val="center"/>
          </w:tcPr>
          <w:p w14:paraId="6F0B4BBC">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权利义务</w:t>
            </w:r>
          </w:p>
        </w:tc>
        <w:tc>
          <w:tcPr>
            <w:tcW w:w="3886" w:type="dxa"/>
            <w:tcBorders>
              <w:top w:val="single" w:color="auto" w:sz="4" w:space="0"/>
              <w:left w:val="single" w:color="auto" w:sz="4" w:space="0"/>
              <w:bottom w:val="single" w:color="auto" w:sz="4" w:space="0"/>
              <w:right w:val="single" w:color="auto" w:sz="4" w:space="0"/>
            </w:tcBorders>
            <w:vAlign w:val="center"/>
          </w:tcPr>
          <w:p w14:paraId="4BCB7A3F">
            <w:pPr>
              <w:autoSpaceDE w:val="0"/>
              <w:autoSpaceDN w:val="0"/>
              <w:adjustRightInd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符合第四章“合同条款</w:t>
            </w:r>
            <w:r>
              <w:rPr>
                <w:rFonts w:hint="eastAsia" w:ascii="宋体" w:hAnsi="宋体" w:eastAsia="宋体" w:cs="宋体"/>
                <w:color w:val="auto"/>
                <w:szCs w:val="21"/>
                <w:highlight w:val="none"/>
                <w:lang w:eastAsia="zh-CN"/>
              </w:rPr>
              <w:t>及格式</w:t>
            </w:r>
            <w:r>
              <w:rPr>
                <w:rFonts w:hint="eastAsia" w:ascii="宋体" w:hAnsi="宋体" w:eastAsia="宋体" w:cs="宋体"/>
                <w:color w:val="auto"/>
                <w:szCs w:val="21"/>
                <w:highlight w:val="none"/>
              </w:rPr>
              <w:t>”规定</w:t>
            </w:r>
          </w:p>
        </w:tc>
        <w:tc>
          <w:tcPr>
            <w:tcW w:w="2373" w:type="dxa"/>
            <w:tcBorders>
              <w:top w:val="single" w:color="auto" w:sz="4" w:space="0"/>
              <w:left w:val="single" w:color="auto" w:sz="4" w:space="0"/>
              <w:bottom w:val="single" w:color="auto" w:sz="4" w:space="0"/>
              <w:right w:val="single" w:color="auto" w:sz="4" w:space="0"/>
            </w:tcBorders>
            <w:vAlign w:val="center"/>
          </w:tcPr>
          <w:p w14:paraId="046CD304">
            <w:pPr>
              <w:autoSpaceDE w:val="0"/>
              <w:autoSpaceDN w:val="0"/>
              <w:adjustRightInd w:val="0"/>
              <w:ind w:firstLine="480"/>
              <w:jc w:val="center"/>
              <w:rPr>
                <w:rFonts w:hint="eastAsia" w:ascii="宋体" w:hAnsi="宋体" w:eastAsia="宋体" w:cs="宋体"/>
                <w:color w:val="auto"/>
                <w:kern w:val="0"/>
                <w:sz w:val="21"/>
                <w:szCs w:val="21"/>
                <w:highlight w:val="none"/>
              </w:rPr>
            </w:pPr>
          </w:p>
        </w:tc>
      </w:tr>
      <w:tr w14:paraId="54987A92">
        <w:tblPrEx>
          <w:tblCellMar>
            <w:top w:w="0" w:type="dxa"/>
            <w:left w:w="108" w:type="dxa"/>
            <w:bottom w:w="0" w:type="dxa"/>
            <w:right w:w="108" w:type="dxa"/>
          </w:tblCellMar>
        </w:tblPrEx>
        <w:trPr>
          <w:trHeight w:val="915" w:hRule="atLeast"/>
        </w:trPr>
        <w:tc>
          <w:tcPr>
            <w:tcW w:w="845" w:type="dxa"/>
            <w:tcBorders>
              <w:top w:val="single" w:color="auto" w:sz="4" w:space="0"/>
              <w:left w:val="single" w:color="auto" w:sz="4" w:space="0"/>
              <w:bottom w:val="single" w:color="auto" w:sz="4" w:space="0"/>
              <w:right w:val="single" w:color="auto" w:sz="4" w:space="0"/>
            </w:tcBorders>
            <w:vAlign w:val="center"/>
          </w:tcPr>
          <w:p w14:paraId="08379843">
            <w:pPr>
              <w:autoSpaceDE w:val="0"/>
              <w:autoSpaceDN w:val="0"/>
              <w:adjustRightIn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2214" w:type="dxa"/>
            <w:tcBorders>
              <w:top w:val="single" w:color="auto" w:sz="4" w:space="0"/>
              <w:left w:val="single" w:color="auto" w:sz="4" w:space="0"/>
              <w:bottom w:val="single" w:color="auto" w:sz="4" w:space="0"/>
              <w:right w:val="single" w:color="auto" w:sz="4" w:space="0"/>
            </w:tcBorders>
            <w:vAlign w:val="center"/>
          </w:tcPr>
          <w:p w14:paraId="6FC6A09B">
            <w:pPr>
              <w:autoSpaceDE w:val="0"/>
              <w:autoSpaceDN w:val="0"/>
              <w:adjustRightInd w:val="0"/>
              <w:spacing w:line="2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供货要求</w:t>
            </w:r>
          </w:p>
        </w:tc>
        <w:tc>
          <w:tcPr>
            <w:tcW w:w="3886" w:type="dxa"/>
            <w:tcBorders>
              <w:top w:val="single" w:color="auto" w:sz="4" w:space="0"/>
              <w:left w:val="single" w:color="auto" w:sz="4" w:space="0"/>
              <w:bottom w:val="single" w:color="auto" w:sz="4" w:space="0"/>
              <w:right w:val="single" w:color="auto" w:sz="4" w:space="0"/>
            </w:tcBorders>
            <w:vAlign w:val="center"/>
          </w:tcPr>
          <w:p w14:paraId="48D475E3">
            <w:pPr>
              <w:autoSpaceDE w:val="0"/>
              <w:autoSpaceDN w:val="0"/>
              <w:adjustRightIn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大豆根瘤菌剂；产品形态：液体；有效成份及含量(有效活菌数)≥50亿/毫升；接种面积9万亩</w:t>
            </w:r>
          </w:p>
        </w:tc>
        <w:tc>
          <w:tcPr>
            <w:tcW w:w="2373" w:type="dxa"/>
            <w:tcBorders>
              <w:top w:val="single" w:color="auto" w:sz="4" w:space="0"/>
              <w:left w:val="single" w:color="auto" w:sz="4" w:space="0"/>
              <w:bottom w:val="single" w:color="auto" w:sz="4" w:space="0"/>
              <w:right w:val="single" w:color="auto" w:sz="4" w:space="0"/>
            </w:tcBorders>
            <w:vAlign w:val="center"/>
          </w:tcPr>
          <w:p w14:paraId="6FD1E942">
            <w:pPr>
              <w:autoSpaceDE w:val="0"/>
              <w:autoSpaceDN w:val="0"/>
              <w:adjustRightInd w:val="0"/>
              <w:ind w:firstLine="480"/>
              <w:jc w:val="center"/>
              <w:rPr>
                <w:rFonts w:hint="eastAsia" w:ascii="宋体" w:hAnsi="宋体" w:eastAsia="宋体" w:cs="宋体"/>
                <w:color w:val="auto"/>
                <w:kern w:val="0"/>
                <w:sz w:val="21"/>
                <w:szCs w:val="21"/>
                <w:highlight w:val="none"/>
              </w:rPr>
            </w:pPr>
          </w:p>
        </w:tc>
      </w:tr>
      <w:tr w14:paraId="1E18435F">
        <w:tblPrEx>
          <w:tblCellMar>
            <w:top w:w="0" w:type="dxa"/>
            <w:left w:w="108" w:type="dxa"/>
            <w:bottom w:w="0" w:type="dxa"/>
            <w:right w:w="108" w:type="dxa"/>
          </w:tblCellMar>
        </w:tblPrEx>
        <w:trPr>
          <w:trHeight w:val="647" w:hRule="atLeast"/>
        </w:trPr>
        <w:tc>
          <w:tcPr>
            <w:tcW w:w="845" w:type="dxa"/>
            <w:tcBorders>
              <w:top w:val="single" w:color="auto" w:sz="4" w:space="0"/>
              <w:left w:val="single" w:color="auto" w:sz="4" w:space="0"/>
              <w:bottom w:val="single" w:color="auto" w:sz="4" w:space="0"/>
              <w:right w:val="single" w:color="auto" w:sz="4" w:space="0"/>
            </w:tcBorders>
            <w:vAlign w:val="center"/>
          </w:tcPr>
          <w:p w14:paraId="35D90BAF">
            <w:pPr>
              <w:autoSpaceDE w:val="0"/>
              <w:autoSpaceDN w:val="0"/>
              <w:adjustRightIn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2214" w:type="dxa"/>
            <w:tcBorders>
              <w:top w:val="single" w:color="auto" w:sz="4" w:space="0"/>
              <w:left w:val="single" w:color="auto" w:sz="4" w:space="0"/>
              <w:bottom w:val="single" w:color="auto" w:sz="4" w:space="0"/>
              <w:right w:val="single" w:color="auto" w:sz="4" w:space="0"/>
            </w:tcBorders>
            <w:vAlign w:val="center"/>
          </w:tcPr>
          <w:p w14:paraId="714FD802">
            <w:pPr>
              <w:autoSpaceDE w:val="0"/>
              <w:autoSpaceDN w:val="0"/>
              <w:adjustRightInd w:val="0"/>
              <w:spacing w:line="24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其他要求</w:t>
            </w:r>
          </w:p>
        </w:tc>
        <w:tc>
          <w:tcPr>
            <w:tcW w:w="3886" w:type="dxa"/>
            <w:tcBorders>
              <w:top w:val="single" w:color="auto" w:sz="4" w:space="0"/>
              <w:left w:val="single" w:color="auto" w:sz="4" w:space="0"/>
              <w:bottom w:val="single" w:color="auto" w:sz="4" w:space="0"/>
              <w:right w:val="single" w:color="auto" w:sz="4" w:space="0"/>
            </w:tcBorders>
            <w:vAlign w:val="center"/>
          </w:tcPr>
          <w:p w14:paraId="64F19C34">
            <w:pPr>
              <w:autoSpaceDE w:val="0"/>
              <w:autoSpaceDN w:val="0"/>
              <w:adjustRightInd w:val="0"/>
              <w:spacing w:line="2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满足相关法律法规及</w:t>
            </w:r>
            <w:r>
              <w:rPr>
                <w:rFonts w:hint="eastAsia" w:ascii="宋体" w:hAnsi="宋体" w:eastAsia="宋体" w:cs="宋体"/>
                <w:bCs/>
                <w:color w:val="auto"/>
                <w:szCs w:val="21"/>
                <w:highlight w:val="none"/>
                <w:lang w:val="zh-CN"/>
              </w:rPr>
              <w:t>竞争性谈判</w:t>
            </w:r>
            <w:r>
              <w:rPr>
                <w:rFonts w:hint="eastAsia" w:ascii="宋体" w:hAnsi="宋体" w:eastAsia="宋体" w:cs="宋体"/>
                <w:color w:val="auto"/>
                <w:highlight w:val="none"/>
              </w:rPr>
              <w:t>文件</w:t>
            </w:r>
            <w:r>
              <w:rPr>
                <w:rFonts w:hint="eastAsia" w:ascii="宋体" w:hAnsi="宋体" w:eastAsia="宋体" w:cs="宋体"/>
                <w:color w:val="auto"/>
                <w:szCs w:val="21"/>
                <w:highlight w:val="none"/>
              </w:rPr>
              <w:t>的其他实质性要求</w:t>
            </w:r>
          </w:p>
        </w:tc>
        <w:tc>
          <w:tcPr>
            <w:tcW w:w="2373" w:type="dxa"/>
            <w:tcBorders>
              <w:top w:val="single" w:color="auto" w:sz="4" w:space="0"/>
              <w:left w:val="single" w:color="auto" w:sz="4" w:space="0"/>
              <w:bottom w:val="single" w:color="auto" w:sz="4" w:space="0"/>
              <w:right w:val="single" w:color="auto" w:sz="4" w:space="0"/>
            </w:tcBorders>
            <w:vAlign w:val="center"/>
          </w:tcPr>
          <w:p w14:paraId="6A6DC612">
            <w:pPr>
              <w:autoSpaceDE w:val="0"/>
              <w:autoSpaceDN w:val="0"/>
              <w:adjustRightInd w:val="0"/>
              <w:ind w:firstLine="480"/>
              <w:jc w:val="center"/>
              <w:rPr>
                <w:rFonts w:hint="eastAsia" w:ascii="宋体" w:hAnsi="宋体" w:eastAsia="宋体" w:cs="宋体"/>
                <w:color w:val="auto"/>
                <w:kern w:val="0"/>
                <w:sz w:val="21"/>
                <w:szCs w:val="21"/>
                <w:highlight w:val="none"/>
              </w:rPr>
            </w:pPr>
          </w:p>
        </w:tc>
      </w:tr>
      <w:tr w14:paraId="45A70EF3">
        <w:tblPrEx>
          <w:tblCellMar>
            <w:top w:w="0" w:type="dxa"/>
            <w:left w:w="108" w:type="dxa"/>
            <w:bottom w:w="0" w:type="dxa"/>
            <w:right w:w="108" w:type="dxa"/>
          </w:tblCellMar>
        </w:tblPrEx>
        <w:trPr>
          <w:trHeight w:val="113" w:hRule="atLeast"/>
        </w:trPr>
        <w:tc>
          <w:tcPr>
            <w:tcW w:w="845" w:type="dxa"/>
            <w:tcBorders>
              <w:top w:val="single" w:color="auto" w:sz="4" w:space="0"/>
              <w:left w:val="single" w:color="auto" w:sz="4" w:space="0"/>
              <w:bottom w:val="single" w:color="auto" w:sz="4" w:space="0"/>
              <w:right w:val="single" w:color="auto" w:sz="4" w:space="0"/>
            </w:tcBorders>
            <w:vAlign w:val="center"/>
          </w:tcPr>
          <w:p w14:paraId="4FBFA251">
            <w:pPr>
              <w:autoSpaceDE w:val="0"/>
              <w:autoSpaceDN w:val="0"/>
              <w:adjustRightIn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2214" w:type="dxa"/>
            <w:tcBorders>
              <w:top w:val="single" w:color="auto" w:sz="4" w:space="0"/>
              <w:left w:val="single" w:color="auto" w:sz="4" w:space="0"/>
              <w:bottom w:val="single" w:color="auto" w:sz="4" w:space="0"/>
              <w:right w:val="single" w:color="auto" w:sz="4" w:space="0"/>
            </w:tcBorders>
            <w:vAlign w:val="center"/>
          </w:tcPr>
          <w:p w14:paraId="67BE436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886" w:type="dxa"/>
            <w:tcBorders>
              <w:top w:val="single" w:color="auto" w:sz="4" w:space="0"/>
              <w:left w:val="single" w:color="auto" w:sz="4" w:space="0"/>
              <w:bottom w:val="single" w:color="auto" w:sz="4" w:space="0"/>
              <w:right w:val="single" w:color="auto" w:sz="4" w:space="0"/>
            </w:tcBorders>
            <w:vAlign w:val="center"/>
          </w:tcPr>
          <w:p w14:paraId="4D4E470A">
            <w:pPr>
              <w:spacing w:line="240" w:lineRule="exact"/>
              <w:rPr>
                <w:rFonts w:hint="eastAsia" w:ascii="宋体" w:hAnsi="宋体" w:eastAsia="宋体" w:cs="宋体"/>
                <w:color w:val="auto"/>
                <w:sz w:val="21"/>
                <w:szCs w:val="21"/>
                <w:highlight w:val="none"/>
              </w:rPr>
            </w:pPr>
          </w:p>
        </w:tc>
        <w:tc>
          <w:tcPr>
            <w:tcW w:w="2373" w:type="dxa"/>
            <w:tcBorders>
              <w:top w:val="single" w:color="auto" w:sz="4" w:space="0"/>
              <w:left w:val="single" w:color="auto" w:sz="4" w:space="0"/>
              <w:bottom w:val="single" w:color="auto" w:sz="4" w:space="0"/>
              <w:right w:val="single" w:color="auto" w:sz="4" w:space="0"/>
            </w:tcBorders>
            <w:vAlign w:val="center"/>
          </w:tcPr>
          <w:p w14:paraId="31D1FE0D">
            <w:pPr>
              <w:ind w:firstLine="480"/>
              <w:rPr>
                <w:rFonts w:hint="eastAsia" w:ascii="宋体" w:hAnsi="宋体" w:eastAsia="宋体" w:cs="宋体"/>
                <w:color w:val="auto"/>
                <w:sz w:val="21"/>
                <w:szCs w:val="21"/>
                <w:highlight w:val="none"/>
              </w:rPr>
            </w:pPr>
          </w:p>
        </w:tc>
      </w:tr>
      <w:tr w14:paraId="59E38F96">
        <w:tblPrEx>
          <w:tblCellMar>
            <w:top w:w="0" w:type="dxa"/>
            <w:left w:w="108" w:type="dxa"/>
            <w:bottom w:w="0" w:type="dxa"/>
            <w:right w:w="108" w:type="dxa"/>
          </w:tblCellMar>
        </w:tblPrEx>
        <w:trPr>
          <w:trHeight w:val="522" w:hRule="atLeast"/>
        </w:trPr>
        <w:tc>
          <w:tcPr>
            <w:tcW w:w="9318" w:type="dxa"/>
            <w:gridSpan w:val="4"/>
            <w:tcBorders>
              <w:top w:val="single" w:color="auto" w:sz="4" w:space="0"/>
              <w:left w:val="single" w:color="auto" w:sz="4" w:space="0"/>
              <w:bottom w:val="single" w:color="auto" w:sz="4" w:space="0"/>
              <w:right w:val="single" w:color="auto" w:sz="4" w:space="0"/>
            </w:tcBorders>
            <w:vAlign w:val="center"/>
          </w:tcPr>
          <w:p w14:paraId="601AF3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备注：供应商在响应</w:t>
            </w:r>
            <w:r>
              <w:rPr>
                <w:rFonts w:hint="eastAsia" w:ascii="宋体" w:hAnsi="宋体" w:eastAsia="宋体" w:cs="宋体"/>
                <w:color w:val="auto"/>
                <w:kern w:val="0"/>
                <w:sz w:val="21"/>
                <w:szCs w:val="21"/>
                <w:highlight w:val="none"/>
              </w:rPr>
              <w:t>竞</w:t>
            </w:r>
            <w:r>
              <w:rPr>
                <w:rFonts w:hint="eastAsia" w:ascii="宋体" w:hAnsi="宋体" w:eastAsia="宋体" w:cs="宋体"/>
                <w:color w:val="auto"/>
                <w:kern w:val="0"/>
                <w:sz w:val="21"/>
                <w:szCs w:val="21"/>
                <w:highlight w:val="none"/>
                <w:lang w:eastAsia="zh-CN"/>
              </w:rPr>
              <w:t>谈</w:t>
            </w:r>
            <w:r>
              <w:rPr>
                <w:rFonts w:hint="eastAsia" w:ascii="宋体" w:hAnsi="宋体" w:eastAsia="宋体" w:cs="宋体"/>
                <w:color w:val="auto"/>
                <w:sz w:val="21"/>
                <w:szCs w:val="21"/>
                <w:highlight w:val="none"/>
              </w:rPr>
              <w:t>文件中规定的实质性要求和条件的基础上，可做出其他有利于采购人的承诺。此类承诺可在本表中予以补充填写。</w:t>
            </w:r>
          </w:p>
        </w:tc>
      </w:tr>
    </w:tbl>
    <w:p w14:paraId="2662AC76">
      <w:pPr>
        <w:spacing w:line="440" w:lineRule="exact"/>
        <w:ind w:left="840" w:leftChars="400" w:firstLine="2200" w:firstLineChars="1100"/>
        <w:rPr>
          <w:rFonts w:hint="eastAsia" w:ascii="宋体" w:hAnsi="宋体" w:eastAsia="宋体" w:cs="宋体"/>
          <w:color w:val="auto"/>
          <w:sz w:val="20"/>
          <w:highlight w:val="none"/>
        </w:rPr>
      </w:pPr>
    </w:p>
    <w:p w14:paraId="67BB13BD">
      <w:pPr>
        <w:spacing w:after="156" w:afterLines="50" w:line="24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0"/>
          <w:highlight w:val="none"/>
        </w:rPr>
        <w:br w:type="page"/>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、报价一览表</w:t>
      </w:r>
    </w:p>
    <w:p w14:paraId="5AC06CA8">
      <w:pPr>
        <w:spacing w:after="156" w:afterLines="50"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14:paraId="21E49672">
      <w:pPr>
        <w:spacing w:after="156" w:afterLines="50"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bl>
      <w:tblPr>
        <w:tblStyle w:val="26"/>
        <w:tblW w:w="91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394"/>
      </w:tblGrid>
      <w:tr w14:paraId="09B02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199F86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7394" w:type="dxa"/>
            <w:tcBorders>
              <w:top w:val="single" w:color="auto" w:sz="4" w:space="0"/>
              <w:left w:val="single" w:color="auto" w:sz="4" w:space="0"/>
              <w:bottom w:val="single" w:color="auto" w:sz="4" w:space="0"/>
              <w:right w:val="single" w:color="auto" w:sz="4" w:space="0"/>
            </w:tcBorders>
            <w:vAlign w:val="center"/>
          </w:tcPr>
          <w:p w14:paraId="196D9154">
            <w:pPr>
              <w:jc w:val="center"/>
              <w:rPr>
                <w:rFonts w:hint="eastAsia" w:ascii="宋体" w:hAnsi="宋体" w:eastAsia="宋体" w:cs="宋体"/>
                <w:color w:val="auto"/>
                <w:sz w:val="21"/>
                <w:szCs w:val="21"/>
                <w:highlight w:val="none"/>
              </w:rPr>
            </w:pPr>
          </w:p>
        </w:tc>
      </w:tr>
      <w:tr w14:paraId="2EBC2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090555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竞谈</w:t>
            </w:r>
            <w:r>
              <w:rPr>
                <w:rFonts w:hint="eastAsia" w:ascii="宋体" w:hAnsi="宋体" w:eastAsia="宋体" w:cs="宋体"/>
                <w:color w:val="auto"/>
                <w:sz w:val="21"/>
                <w:szCs w:val="21"/>
                <w:highlight w:val="none"/>
              </w:rPr>
              <w:t>报价</w:t>
            </w:r>
          </w:p>
        </w:tc>
        <w:tc>
          <w:tcPr>
            <w:tcW w:w="7394" w:type="dxa"/>
            <w:tcBorders>
              <w:top w:val="single" w:color="auto" w:sz="4" w:space="0"/>
              <w:left w:val="single" w:color="auto" w:sz="4" w:space="0"/>
              <w:bottom w:val="single" w:color="auto" w:sz="4" w:space="0"/>
              <w:right w:val="single" w:color="auto" w:sz="4" w:space="0"/>
            </w:tcBorders>
            <w:vAlign w:val="center"/>
          </w:tcPr>
          <w:p w14:paraId="4D88D7AA">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万</w:t>
            </w:r>
            <w:r>
              <w:rPr>
                <w:rFonts w:hint="eastAsia" w:ascii="宋体" w:hAnsi="宋体" w:eastAsia="宋体" w:cs="宋体"/>
                <w:color w:val="auto"/>
                <w:sz w:val="21"/>
                <w:szCs w:val="21"/>
                <w:highlight w:val="none"/>
              </w:rPr>
              <w:t>元</w:t>
            </w:r>
          </w:p>
        </w:tc>
      </w:tr>
      <w:tr w14:paraId="1F2A9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7A93E3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7394" w:type="dxa"/>
            <w:tcBorders>
              <w:top w:val="single" w:color="auto" w:sz="4" w:space="0"/>
              <w:left w:val="single" w:color="auto" w:sz="4" w:space="0"/>
              <w:bottom w:val="single" w:color="auto" w:sz="4" w:space="0"/>
              <w:right w:val="single" w:color="auto" w:sz="4" w:space="0"/>
            </w:tcBorders>
            <w:vAlign w:val="center"/>
          </w:tcPr>
          <w:p w14:paraId="3DA1EE8E">
            <w:pPr>
              <w:jc w:val="right"/>
              <w:rPr>
                <w:rFonts w:hint="eastAsia" w:ascii="宋体" w:hAnsi="宋体" w:eastAsia="宋体" w:cs="宋体"/>
                <w:color w:val="auto"/>
                <w:sz w:val="21"/>
                <w:szCs w:val="21"/>
                <w:highlight w:val="none"/>
              </w:rPr>
            </w:pPr>
          </w:p>
        </w:tc>
      </w:tr>
      <w:tr w14:paraId="63637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0E8BD2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质量标准</w:t>
            </w:r>
          </w:p>
        </w:tc>
        <w:tc>
          <w:tcPr>
            <w:tcW w:w="7394" w:type="dxa"/>
            <w:tcBorders>
              <w:top w:val="single" w:color="auto" w:sz="4" w:space="0"/>
              <w:left w:val="single" w:color="auto" w:sz="4" w:space="0"/>
              <w:bottom w:val="single" w:color="auto" w:sz="4" w:space="0"/>
              <w:right w:val="single" w:color="auto" w:sz="4" w:space="0"/>
            </w:tcBorders>
            <w:vAlign w:val="center"/>
          </w:tcPr>
          <w:p w14:paraId="28D20166">
            <w:pPr>
              <w:jc w:val="right"/>
              <w:rPr>
                <w:rFonts w:hint="eastAsia" w:ascii="宋体" w:hAnsi="宋体" w:eastAsia="宋体" w:cs="宋体"/>
                <w:color w:val="auto"/>
                <w:sz w:val="21"/>
                <w:szCs w:val="21"/>
                <w:highlight w:val="none"/>
              </w:rPr>
            </w:pPr>
          </w:p>
        </w:tc>
      </w:tr>
      <w:tr w14:paraId="167C9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4C7664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394" w:type="dxa"/>
            <w:tcBorders>
              <w:top w:val="single" w:color="auto" w:sz="4" w:space="0"/>
              <w:left w:val="single" w:color="auto" w:sz="4" w:space="0"/>
              <w:bottom w:val="single" w:color="auto" w:sz="4" w:space="0"/>
              <w:right w:val="single" w:color="auto" w:sz="4" w:space="0"/>
            </w:tcBorders>
          </w:tcPr>
          <w:p w14:paraId="6A95CBE2">
            <w:pPr>
              <w:numPr>
                <w:ilvl w:val="0"/>
                <w:numId w:val="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本表的一切内容均具有法律效力，不得更改。</w:t>
            </w:r>
          </w:p>
          <w:p w14:paraId="14CA152E">
            <w:pPr>
              <w:numPr>
                <w:ilvl w:val="0"/>
                <w:numId w:val="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填报的内容必须和响应文件及竞</w:t>
            </w:r>
            <w:r>
              <w:rPr>
                <w:rFonts w:hint="eastAsia" w:ascii="宋体" w:hAnsi="宋体" w:eastAsia="宋体" w:cs="宋体"/>
                <w:color w:val="auto"/>
                <w:sz w:val="21"/>
                <w:szCs w:val="21"/>
                <w:highlight w:val="none"/>
                <w:lang w:eastAsia="zh-CN"/>
              </w:rPr>
              <w:t>谈</w:t>
            </w:r>
            <w:r>
              <w:rPr>
                <w:rFonts w:hint="eastAsia" w:ascii="宋体" w:hAnsi="宋体" w:eastAsia="宋体" w:cs="宋体"/>
                <w:color w:val="auto"/>
                <w:sz w:val="21"/>
                <w:szCs w:val="21"/>
                <w:highlight w:val="none"/>
              </w:rPr>
              <w:t>函中的内容一致。</w:t>
            </w:r>
          </w:p>
          <w:p w14:paraId="5D5DE4E4">
            <w:pPr>
              <w:numPr>
                <w:ilvl w:val="0"/>
                <w:numId w:val="7"/>
              </w:num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报价以</w:t>
            </w:r>
            <w:r>
              <w:rPr>
                <w:rFonts w:hint="eastAsia" w:ascii="宋体" w:hAnsi="宋体" w:cs="宋体"/>
                <w:b/>
                <w:color w:val="auto"/>
                <w:sz w:val="21"/>
                <w:szCs w:val="21"/>
                <w:highlight w:val="none"/>
                <w:lang w:val="en-US" w:eastAsia="zh-CN"/>
              </w:rPr>
              <w:t>万</w:t>
            </w:r>
            <w:r>
              <w:rPr>
                <w:rFonts w:hint="eastAsia" w:ascii="宋体" w:hAnsi="宋体" w:eastAsia="宋体" w:cs="宋体"/>
                <w:b/>
                <w:color w:val="auto"/>
                <w:sz w:val="21"/>
                <w:szCs w:val="21"/>
                <w:highlight w:val="none"/>
              </w:rPr>
              <w:t>元为单位。报价为完成本项目所有费用之和。</w:t>
            </w:r>
          </w:p>
        </w:tc>
      </w:tr>
      <w:tr w14:paraId="1A9E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2" w:hRule="atLeast"/>
          <w:jc w:val="center"/>
        </w:trPr>
        <w:tc>
          <w:tcPr>
            <w:tcW w:w="9102" w:type="dxa"/>
            <w:gridSpan w:val="2"/>
            <w:tcBorders>
              <w:top w:val="single" w:color="auto" w:sz="4" w:space="0"/>
              <w:left w:val="single" w:color="auto" w:sz="4" w:space="0"/>
              <w:bottom w:val="single" w:color="auto" w:sz="4" w:space="0"/>
              <w:right w:val="single" w:color="auto" w:sz="4" w:space="0"/>
            </w:tcBorders>
            <w:vAlign w:val="center"/>
          </w:tcPr>
          <w:p w14:paraId="0E5F0160">
            <w:pPr>
              <w:jc w:val="center"/>
              <w:rPr>
                <w:rFonts w:hint="eastAsia" w:ascii="宋体" w:hAnsi="宋体" w:eastAsia="宋体" w:cs="宋体"/>
                <w:color w:val="auto"/>
                <w:sz w:val="21"/>
                <w:szCs w:val="21"/>
                <w:highlight w:val="none"/>
              </w:rPr>
            </w:pPr>
          </w:p>
          <w:p w14:paraId="28F2D5D9">
            <w:pPr>
              <w:jc w:val="center"/>
              <w:rPr>
                <w:rFonts w:hint="eastAsia" w:ascii="宋体" w:hAnsi="宋体" w:eastAsia="宋体" w:cs="宋体"/>
                <w:color w:val="auto"/>
                <w:sz w:val="21"/>
                <w:szCs w:val="21"/>
                <w:highlight w:val="none"/>
              </w:rPr>
            </w:pPr>
          </w:p>
          <w:p w14:paraId="40BFEB7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供应商（盖章）：  </w:t>
            </w:r>
          </w:p>
          <w:p w14:paraId="405CD454">
            <w:pPr>
              <w:jc w:val="left"/>
              <w:rPr>
                <w:rFonts w:hint="eastAsia" w:ascii="宋体" w:hAnsi="宋体" w:eastAsia="宋体" w:cs="宋体"/>
                <w:color w:val="auto"/>
                <w:sz w:val="21"/>
                <w:szCs w:val="21"/>
                <w:highlight w:val="none"/>
              </w:rPr>
            </w:pPr>
          </w:p>
          <w:p w14:paraId="5459E06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B2C58DC">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法定代表人或其</w:t>
            </w:r>
            <w:r>
              <w:rPr>
                <w:rFonts w:hint="eastAsia" w:ascii="宋体" w:hAnsi="宋体" w:eastAsia="宋体" w:cs="宋体"/>
                <w:color w:val="auto"/>
                <w:sz w:val="21"/>
                <w:szCs w:val="21"/>
                <w:highlight w:val="none"/>
              </w:rPr>
              <w:t>委托代理人（签字或盖章）</w:t>
            </w:r>
            <w:r>
              <w:rPr>
                <w:rFonts w:hint="eastAsia" w:ascii="宋体" w:hAnsi="宋体" w:eastAsia="宋体" w:cs="宋体"/>
                <w:color w:val="auto"/>
                <w:sz w:val="21"/>
                <w:szCs w:val="21"/>
                <w:highlight w:val="none"/>
                <w:lang w:eastAsia="zh-CN"/>
              </w:rPr>
              <w:t>：</w:t>
            </w:r>
          </w:p>
          <w:p w14:paraId="1A863DC1">
            <w:pPr>
              <w:jc w:val="left"/>
              <w:rPr>
                <w:rFonts w:hint="eastAsia" w:ascii="宋体" w:hAnsi="宋体" w:eastAsia="宋体" w:cs="宋体"/>
                <w:b/>
                <w:color w:val="auto"/>
                <w:sz w:val="21"/>
                <w:szCs w:val="21"/>
                <w:highlight w:val="none"/>
              </w:rPr>
            </w:pPr>
          </w:p>
        </w:tc>
      </w:tr>
    </w:tbl>
    <w:p w14:paraId="39CD3E4C">
      <w:pPr>
        <w:spacing w:after="156" w:afterLines="50" w:line="24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zh-CN"/>
        </w:rPr>
        <w:t>二次报价一览表</w:t>
      </w:r>
    </w:p>
    <w:p w14:paraId="421ADFA3">
      <w:pPr>
        <w:rPr>
          <w:rFonts w:hint="default" w:ascii="宋体" w:hAnsi="宋体" w:eastAsia="宋体" w:cs="宋体"/>
          <w:color w:val="auto"/>
          <w:sz w:val="21"/>
          <w:szCs w:val="21"/>
          <w:highlight w:val="none"/>
          <w:lang w:val="en-US" w:eastAsia="zh-CN"/>
        </w:rPr>
      </w:pPr>
      <w:bookmarkStart w:id="170" w:name="_Toc12060"/>
      <w:bookmarkStart w:id="171" w:name="_Toc32334"/>
      <w:bookmarkStart w:id="172" w:name="_Toc23624"/>
      <w:bookmarkStart w:id="173" w:name="_Toc471822589"/>
      <w:bookmarkStart w:id="174" w:name="_Toc471822532"/>
      <w:bookmarkStart w:id="175" w:name="_Toc383"/>
      <w:bookmarkStart w:id="176" w:name="_Toc5850"/>
      <w:bookmarkStart w:id="177" w:name="_Toc5141"/>
      <w:bookmarkStart w:id="178" w:name="_Toc29052"/>
      <w:bookmarkStart w:id="179" w:name="_Toc18662"/>
      <w:r>
        <w:rPr>
          <w:rFonts w:hint="eastAsia" w:ascii="宋体" w:hAnsi="宋体" w:cs="宋体"/>
          <w:color w:val="auto"/>
          <w:sz w:val="21"/>
          <w:szCs w:val="21"/>
          <w:highlight w:val="none"/>
          <w:lang w:val="en-US" w:eastAsia="zh-CN"/>
        </w:rPr>
        <w:t>在政采云平台填写。</w:t>
      </w:r>
    </w:p>
    <w:p w14:paraId="3AE0189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0F34439">
      <w:pPr>
        <w:pStyle w:val="3"/>
        <w:spacing w:line="240" w:lineRule="auto"/>
        <w:jc w:val="center"/>
        <w:rPr>
          <w:rFonts w:hint="eastAsia" w:ascii="宋体" w:hAnsi="宋体" w:eastAsia="宋体" w:cs="宋体"/>
          <w:color w:val="auto"/>
          <w:highlight w:val="none"/>
        </w:rPr>
      </w:pPr>
      <w:r>
        <w:rPr>
          <w:rFonts w:hint="eastAsia" w:ascii="宋体" w:hAnsi="宋体" w:eastAsia="宋体" w:cs="宋体"/>
          <w:color w:val="auto"/>
          <w:sz w:val="32"/>
          <w:szCs w:val="32"/>
          <w:highlight w:val="none"/>
        </w:rPr>
        <w:t>三、法定代表人身份证明</w:t>
      </w:r>
      <w:bookmarkEnd w:id="170"/>
      <w:bookmarkEnd w:id="171"/>
      <w:bookmarkEnd w:id="172"/>
      <w:bookmarkEnd w:id="173"/>
      <w:bookmarkEnd w:id="174"/>
      <w:bookmarkEnd w:id="175"/>
      <w:bookmarkEnd w:id="176"/>
      <w:bookmarkEnd w:id="177"/>
      <w:bookmarkEnd w:id="178"/>
      <w:bookmarkEnd w:id="179"/>
    </w:p>
    <w:p w14:paraId="6EFAB432">
      <w:pPr>
        <w:spacing w:line="440" w:lineRule="exact"/>
        <w:rPr>
          <w:rFonts w:hint="eastAsia" w:ascii="宋体" w:hAnsi="宋体" w:eastAsia="宋体" w:cs="宋体"/>
          <w:color w:val="auto"/>
          <w:sz w:val="20"/>
          <w:szCs w:val="20"/>
          <w:highlight w:val="none"/>
        </w:rPr>
      </w:pPr>
    </w:p>
    <w:p w14:paraId="089FEB6F">
      <w:pPr>
        <w:spacing w:line="440" w:lineRule="exact"/>
        <w:rPr>
          <w:rFonts w:hint="eastAsia" w:ascii="宋体" w:hAnsi="宋体" w:eastAsia="宋体" w:cs="宋体"/>
          <w:color w:val="auto"/>
          <w:szCs w:val="21"/>
          <w:highlight w:val="none"/>
        </w:rPr>
      </w:pPr>
    </w:p>
    <w:p w14:paraId="4244569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CD2770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F1AF18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1701C32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9985A1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19238ED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62B797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名称）的法定代表人。</w:t>
      </w:r>
    </w:p>
    <w:p w14:paraId="67C3587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p w14:paraId="6ABDC5F8">
      <w:pPr>
        <w:spacing w:line="440" w:lineRule="exact"/>
        <w:rPr>
          <w:rFonts w:hint="eastAsia" w:ascii="宋体" w:hAnsi="宋体" w:eastAsia="宋体" w:cs="宋体"/>
          <w:color w:val="auto"/>
          <w:szCs w:val="21"/>
          <w:highlight w:val="none"/>
        </w:rPr>
      </w:pPr>
    </w:p>
    <w:p w14:paraId="00C0CC67">
      <w:pPr>
        <w:spacing w:line="440" w:lineRule="exact"/>
        <w:rPr>
          <w:rFonts w:hint="eastAsia" w:ascii="宋体" w:hAnsi="宋体" w:eastAsia="宋体" w:cs="宋体"/>
          <w:color w:val="auto"/>
          <w:szCs w:val="21"/>
          <w:highlight w:val="none"/>
        </w:rPr>
      </w:pPr>
    </w:p>
    <w:p w14:paraId="5E15BA8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29FC40F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5ACDC14">
      <w:pPr>
        <w:spacing w:line="440" w:lineRule="exact"/>
        <w:rPr>
          <w:rFonts w:hint="eastAsia" w:ascii="宋体" w:hAnsi="宋体" w:eastAsia="宋体" w:cs="宋体"/>
          <w:color w:val="auto"/>
          <w:sz w:val="20"/>
          <w:szCs w:val="20"/>
          <w:highlight w:val="none"/>
        </w:rPr>
      </w:pPr>
    </w:p>
    <w:p w14:paraId="2CFD74AA">
      <w:pPr>
        <w:spacing w:line="440" w:lineRule="exact"/>
        <w:rPr>
          <w:rFonts w:hint="eastAsia" w:ascii="宋体" w:hAnsi="宋体" w:eastAsia="宋体" w:cs="宋体"/>
          <w:color w:val="auto"/>
          <w:sz w:val="20"/>
          <w:szCs w:val="20"/>
          <w:highlight w:val="none"/>
        </w:rPr>
      </w:pPr>
    </w:p>
    <w:p w14:paraId="4599E98D">
      <w:pPr>
        <w:spacing w:line="440" w:lineRule="exact"/>
        <w:rPr>
          <w:rFonts w:hint="eastAsia" w:ascii="宋体" w:hAnsi="宋体" w:eastAsia="宋体" w:cs="宋体"/>
          <w:color w:val="auto"/>
          <w:sz w:val="20"/>
          <w:szCs w:val="20"/>
          <w:highlight w:val="none"/>
        </w:rPr>
      </w:pPr>
    </w:p>
    <w:p w14:paraId="276E178F">
      <w:pPr>
        <w:spacing w:line="440" w:lineRule="exact"/>
        <w:rPr>
          <w:rFonts w:hint="eastAsia" w:ascii="宋体" w:hAnsi="宋体" w:eastAsia="宋体" w:cs="宋体"/>
          <w:color w:val="auto"/>
          <w:sz w:val="20"/>
          <w:szCs w:val="20"/>
          <w:highlight w:val="none"/>
        </w:rPr>
      </w:pPr>
    </w:p>
    <w:p w14:paraId="41EEBAD4">
      <w:pPr>
        <w:spacing w:line="440" w:lineRule="exact"/>
        <w:rPr>
          <w:rFonts w:hint="eastAsia" w:ascii="宋体" w:hAnsi="宋体" w:eastAsia="宋体" w:cs="宋体"/>
          <w:color w:val="auto"/>
          <w:sz w:val="20"/>
          <w:szCs w:val="20"/>
          <w:highlight w:val="none"/>
        </w:rPr>
      </w:pPr>
    </w:p>
    <w:p w14:paraId="6A7B9801">
      <w:pPr>
        <w:spacing w:line="440" w:lineRule="exact"/>
        <w:rPr>
          <w:rFonts w:hint="eastAsia" w:ascii="宋体" w:hAnsi="宋体" w:eastAsia="宋体" w:cs="宋体"/>
          <w:color w:val="auto"/>
          <w:sz w:val="20"/>
          <w:szCs w:val="20"/>
          <w:highlight w:val="none"/>
        </w:rPr>
      </w:pPr>
    </w:p>
    <w:p w14:paraId="1FD120A3">
      <w:pPr>
        <w:spacing w:line="440" w:lineRule="exact"/>
        <w:rPr>
          <w:rFonts w:hint="eastAsia" w:ascii="宋体" w:hAnsi="宋体" w:eastAsia="宋体" w:cs="宋体"/>
          <w:color w:val="auto"/>
          <w:sz w:val="20"/>
          <w:szCs w:val="20"/>
          <w:highlight w:val="none"/>
        </w:rPr>
      </w:pPr>
    </w:p>
    <w:p w14:paraId="6FDB0A37">
      <w:pPr>
        <w:spacing w:line="440" w:lineRule="exact"/>
        <w:rPr>
          <w:rFonts w:hint="eastAsia" w:ascii="宋体" w:hAnsi="宋体" w:eastAsia="宋体" w:cs="宋体"/>
          <w:color w:val="auto"/>
          <w:sz w:val="20"/>
          <w:szCs w:val="20"/>
          <w:highlight w:val="none"/>
        </w:rPr>
      </w:pPr>
    </w:p>
    <w:p w14:paraId="41B9639A">
      <w:pPr>
        <w:spacing w:line="440" w:lineRule="exact"/>
        <w:rPr>
          <w:rFonts w:hint="eastAsia" w:ascii="宋体" w:hAnsi="宋体" w:eastAsia="宋体" w:cs="宋体"/>
          <w:color w:val="auto"/>
          <w:sz w:val="20"/>
          <w:szCs w:val="20"/>
          <w:highlight w:val="none"/>
        </w:rPr>
      </w:pPr>
    </w:p>
    <w:p w14:paraId="21C2FB6A">
      <w:pPr>
        <w:spacing w:line="440" w:lineRule="exact"/>
        <w:rPr>
          <w:rFonts w:hint="eastAsia" w:ascii="宋体" w:hAnsi="宋体" w:eastAsia="宋体" w:cs="宋体"/>
          <w:color w:val="auto"/>
          <w:sz w:val="20"/>
          <w:szCs w:val="20"/>
          <w:highlight w:val="none"/>
        </w:rPr>
      </w:pPr>
    </w:p>
    <w:p w14:paraId="24B76BEF">
      <w:pPr>
        <w:spacing w:line="440" w:lineRule="exact"/>
        <w:rPr>
          <w:rFonts w:hint="eastAsia" w:ascii="宋体" w:hAnsi="宋体" w:eastAsia="宋体" w:cs="宋体"/>
          <w:color w:val="auto"/>
          <w:sz w:val="20"/>
          <w:szCs w:val="20"/>
          <w:highlight w:val="none"/>
        </w:rPr>
      </w:pPr>
    </w:p>
    <w:p w14:paraId="5190A28B">
      <w:pPr>
        <w:spacing w:line="440" w:lineRule="exact"/>
        <w:rPr>
          <w:rFonts w:hint="eastAsia" w:ascii="宋体" w:hAnsi="宋体" w:eastAsia="宋体" w:cs="宋体"/>
          <w:color w:val="auto"/>
          <w:sz w:val="20"/>
          <w:szCs w:val="20"/>
          <w:highlight w:val="none"/>
        </w:rPr>
      </w:pPr>
    </w:p>
    <w:p w14:paraId="1E1698FB">
      <w:pPr>
        <w:pStyle w:val="25"/>
        <w:rPr>
          <w:rFonts w:hint="eastAsia" w:ascii="宋体" w:hAnsi="宋体" w:eastAsia="宋体" w:cs="宋体"/>
          <w:color w:val="auto"/>
          <w:sz w:val="20"/>
          <w:szCs w:val="20"/>
          <w:highlight w:val="none"/>
        </w:rPr>
      </w:pPr>
    </w:p>
    <w:p w14:paraId="489941B8">
      <w:pPr>
        <w:pStyle w:val="25"/>
        <w:rPr>
          <w:rFonts w:hint="eastAsia" w:ascii="宋体" w:hAnsi="宋体" w:eastAsia="宋体" w:cs="宋体"/>
          <w:color w:val="auto"/>
          <w:sz w:val="20"/>
          <w:szCs w:val="20"/>
          <w:highlight w:val="none"/>
        </w:rPr>
      </w:pPr>
    </w:p>
    <w:p w14:paraId="66379FBA">
      <w:pPr>
        <w:pStyle w:val="3"/>
        <w:spacing w:line="240" w:lineRule="auto"/>
        <w:jc w:val="center"/>
        <w:rPr>
          <w:rFonts w:hint="eastAsia" w:ascii="宋体" w:hAnsi="宋体" w:eastAsia="宋体" w:cs="宋体"/>
          <w:color w:val="auto"/>
          <w:highlight w:val="none"/>
        </w:rPr>
      </w:pPr>
      <w:bookmarkStart w:id="180" w:name="_Toc246997103"/>
      <w:bookmarkStart w:id="181" w:name="_Toc24299"/>
      <w:bookmarkStart w:id="182" w:name="_Toc471822533"/>
      <w:bookmarkStart w:id="183" w:name="_Toc152045792"/>
      <w:bookmarkStart w:id="184" w:name="_Toc21345"/>
      <w:bookmarkStart w:id="185" w:name="_Toc247085878"/>
      <w:bookmarkStart w:id="186" w:name="_Toc144974861"/>
      <w:bookmarkStart w:id="187" w:name="_Toc246996360"/>
      <w:bookmarkStart w:id="188" w:name="_Toc449519143"/>
      <w:bookmarkStart w:id="189" w:name="_Toc7703"/>
      <w:bookmarkStart w:id="190" w:name="_Toc471822590"/>
      <w:bookmarkStart w:id="191" w:name="_Toc11546"/>
      <w:bookmarkStart w:id="192" w:name="_Toc152042581"/>
      <w:bookmarkStart w:id="193" w:name="_Toc25529"/>
      <w:bookmarkStart w:id="194" w:name="_Toc12026"/>
      <w:bookmarkStart w:id="195" w:name="_Toc16811"/>
      <w:bookmarkStart w:id="196" w:name="_Toc179632812"/>
      <w:bookmarkStart w:id="197" w:name="_Toc12608"/>
      <w:r>
        <w:rPr>
          <w:rFonts w:hint="eastAsia" w:ascii="宋体" w:hAnsi="宋体" w:eastAsia="宋体" w:cs="宋体"/>
          <w:color w:val="auto"/>
          <w:highlight w:val="none"/>
        </w:rPr>
        <w:t>四、</w:t>
      </w: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rPr>
        <w:t>授权委托书</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BC7677F">
      <w:pPr>
        <w:spacing w:line="440" w:lineRule="exact"/>
        <w:rPr>
          <w:rFonts w:hint="eastAsia" w:ascii="宋体" w:hAnsi="宋体" w:eastAsia="宋体" w:cs="宋体"/>
          <w:color w:val="auto"/>
          <w:szCs w:val="21"/>
          <w:highlight w:val="none"/>
        </w:rPr>
      </w:pPr>
    </w:p>
    <w:p w14:paraId="2E0580D6">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文件、签订合同和处理有关事宜，其法律后果由我方承担。</w:t>
      </w:r>
    </w:p>
    <w:p w14:paraId="1D879D2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F1FCB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34B681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附：法定代表人和被授权人身份证复印件</w:t>
      </w:r>
    </w:p>
    <w:p w14:paraId="20D17E79">
      <w:pPr>
        <w:spacing w:line="440" w:lineRule="exact"/>
        <w:rPr>
          <w:rFonts w:hint="eastAsia" w:ascii="宋体" w:hAnsi="宋体" w:eastAsia="宋体" w:cs="宋体"/>
          <w:color w:val="auto"/>
          <w:szCs w:val="21"/>
          <w:highlight w:val="none"/>
        </w:rPr>
      </w:pPr>
    </w:p>
    <w:p w14:paraId="6B919680">
      <w:pPr>
        <w:spacing w:line="440" w:lineRule="exact"/>
        <w:rPr>
          <w:rFonts w:hint="eastAsia" w:ascii="宋体" w:hAnsi="宋体" w:eastAsia="宋体" w:cs="宋体"/>
          <w:color w:val="auto"/>
          <w:szCs w:val="21"/>
          <w:highlight w:val="none"/>
        </w:rPr>
      </w:pPr>
    </w:p>
    <w:p w14:paraId="169C8D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671958DB">
      <w:pPr>
        <w:spacing w:line="440" w:lineRule="exact"/>
        <w:rPr>
          <w:rFonts w:hint="eastAsia" w:ascii="宋体" w:hAnsi="宋体" w:eastAsia="宋体" w:cs="宋体"/>
          <w:color w:val="auto"/>
          <w:szCs w:val="21"/>
          <w:highlight w:val="none"/>
        </w:rPr>
      </w:pPr>
    </w:p>
    <w:p w14:paraId="70E4CDA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31C1977F">
      <w:pPr>
        <w:spacing w:line="440" w:lineRule="exact"/>
        <w:rPr>
          <w:rFonts w:hint="eastAsia" w:ascii="宋体" w:hAnsi="宋体" w:eastAsia="宋体" w:cs="宋体"/>
          <w:color w:val="auto"/>
          <w:szCs w:val="21"/>
          <w:highlight w:val="none"/>
        </w:rPr>
      </w:pPr>
    </w:p>
    <w:p w14:paraId="70ECE26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68B44DAA">
      <w:pPr>
        <w:spacing w:line="440" w:lineRule="exact"/>
        <w:rPr>
          <w:rFonts w:hint="eastAsia" w:ascii="宋体" w:hAnsi="宋体" w:eastAsia="宋体" w:cs="宋体"/>
          <w:color w:val="auto"/>
          <w:szCs w:val="21"/>
          <w:highlight w:val="none"/>
        </w:rPr>
      </w:pPr>
    </w:p>
    <w:p w14:paraId="5DD44B1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（签字） </w:t>
      </w:r>
    </w:p>
    <w:p w14:paraId="4EF18993">
      <w:pPr>
        <w:spacing w:line="440" w:lineRule="exact"/>
        <w:rPr>
          <w:rFonts w:hint="eastAsia" w:ascii="宋体" w:hAnsi="宋体" w:eastAsia="宋体" w:cs="宋体"/>
          <w:color w:val="auto"/>
          <w:szCs w:val="21"/>
          <w:highlight w:val="none"/>
        </w:rPr>
      </w:pPr>
    </w:p>
    <w:p w14:paraId="0E35128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63671ED9">
      <w:pPr>
        <w:spacing w:line="440" w:lineRule="exact"/>
        <w:rPr>
          <w:rFonts w:hint="eastAsia" w:ascii="宋体" w:hAnsi="宋体" w:eastAsia="宋体" w:cs="宋体"/>
          <w:color w:val="auto"/>
          <w:szCs w:val="21"/>
          <w:highlight w:val="none"/>
        </w:rPr>
      </w:pPr>
    </w:p>
    <w:p w14:paraId="06CD80C1">
      <w:pPr>
        <w:spacing w:line="440" w:lineRule="exact"/>
        <w:rPr>
          <w:rFonts w:hint="eastAsia" w:ascii="宋体" w:hAnsi="宋体" w:eastAsia="宋体" w:cs="宋体"/>
          <w:color w:val="auto"/>
          <w:szCs w:val="21"/>
          <w:highlight w:val="none"/>
        </w:rPr>
      </w:pPr>
    </w:p>
    <w:p w14:paraId="3D9AE4BD">
      <w:pPr>
        <w:spacing w:line="440" w:lineRule="exact"/>
        <w:ind w:firstLine="2310" w:firstLineChars="1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E4FDC26">
      <w:pPr>
        <w:keepNext w:val="0"/>
        <w:keepLines w:val="0"/>
        <w:pageBreakBefore w:val="0"/>
        <w:widowControl w:val="0"/>
        <w:numPr>
          <w:ilvl w:val="0"/>
          <w:numId w:val="0"/>
        </w:numPr>
        <w:kinsoku/>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142"/>
      <w:bookmarkStart w:id="198" w:name="_Toc29498"/>
      <w:bookmarkStart w:id="199" w:name="_Toc518658843"/>
      <w:bookmarkStart w:id="200" w:name="_Toc246997115"/>
      <w:bookmarkStart w:id="201" w:name="_Toc144974875"/>
      <w:bookmarkStart w:id="202" w:name="_Toc449519150"/>
      <w:bookmarkStart w:id="203" w:name="_Toc152042596"/>
      <w:bookmarkStart w:id="204" w:name="_Toc246996372"/>
      <w:bookmarkStart w:id="205" w:name="_Toc152045807"/>
      <w:bookmarkStart w:id="206" w:name="_Toc247085890"/>
      <w:bookmarkStart w:id="207" w:name="_Toc179632827"/>
      <w:bookmarkStart w:id="208" w:name="_Toc65762318"/>
      <w:bookmarkStart w:id="209" w:name="_Toc1967"/>
    </w:p>
    <w:bookmarkEnd w:id="198"/>
    <w:p w14:paraId="6FBA0CB6">
      <w:pPr>
        <w:pStyle w:val="3"/>
        <w:snapToGrid w:val="0"/>
        <w:spacing w:before="0" w:after="156" w:afterLines="50" w:line="360" w:lineRule="auto"/>
        <w:jc w:val="center"/>
        <w:rPr>
          <w:rFonts w:hint="eastAsia" w:ascii="宋体" w:hAnsi="宋体" w:eastAsia="宋体" w:cs="宋体"/>
          <w:color w:val="auto"/>
          <w:sz w:val="32"/>
          <w:szCs w:val="32"/>
          <w:highlight w:val="none"/>
        </w:rPr>
      </w:pPr>
      <w:bookmarkStart w:id="210" w:name="_Toc26104"/>
      <w:bookmarkStart w:id="211" w:name="_Toc26995"/>
      <w:bookmarkStart w:id="212" w:name="_Toc15574"/>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、资格审查资料</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53BC2CC">
      <w:pPr>
        <w:ind w:left="1128" w:hanging="1124" w:hangingChars="400"/>
        <w:jc w:val="center"/>
        <w:rPr>
          <w:rFonts w:hint="eastAsia" w:ascii="宋体" w:hAnsi="宋体" w:cs="宋体"/>
          <w:b/>
          <w:bCs/>
          <w:color w:val="auto"/>
          <w:kern w:val="0"/>
          <w:sz w:val="28"/>
          <w:szCs w:val="28"/>
          <w:highlight w:val="none"/>
        </w:rPr>
      </w:pPr>
      <w:bookmarkStart w:id="213" w:name="_Toc144974881"/>
      <w:bookmarkStart w:id="214" w:name="_Toc179632833"/>
      <w:bookmarkStart w:id="215" w:name="_Toc152042602"/>
      <w:bookmarkStart w:id="216" w:name="_Toc152045813"/>
      <w:r>
        <w:rPr>
          <w:rFonts w:hint="eastAsia" w:ascii="宋体" w:hAnsi="宋体" w:cs="宋体"/>
          <w:b/>
          <w:bCs/>
          <w:color w:val="auto"/>
          <w:kern w:val="0"/>
          <w:sz w:val="28"/>
          <w:szCs w:val="28"/>
          <w:highlight w:val="none"/>
        </w:rPr>
        <w:t>(一)投标人基本情况表</w:t>
      </w:r>
    </w:p>
    <w:p w14:paraId="21157AEB">
      <w:pPr>
        <w:rPr>
          <w:rFonts w:hint="eastAsia"/>
          <w:color w:val="auto"/>
          <w:kern w:val="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903"/>
        <w:gridCol w:w="1903"/>
        <w:gridCol w:w="2240"/>
      </w:tblGrid>
      <w:tr w14:paraId="01EC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933" w:type="dxa"/>
            <w:vAlign w:val="center"/>
          </w:tcPr>
          <w:p w14:paraId="1B2807EE">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投标人全称</w:t>
            </w:r>
          </w:p>
        </w:tc>
        <w:tc>
          <w:tcPr>
            <w:tcW w:w="6046" w:type="dxa"/>
            <w:gridSpan w:val="3"/>
            <w:vAlign w:val="center"/>
          </w:tcPr>
          <w:p w14:paraId="2A17F9C4">
            <w:pPr>
              <w:ind w:firstLine="480"/>
              <w:rPr>
                <w:rFonts w:hint="eastAsia" w:ascii="宋体" w:hAnsi="宋体" w:eastAsia="宋体" w:cs="宋体"/>
                <w:color w:val="auto"/>
                <w:highlight w:val="none"/>
              </w:rPr>
            </w:pPr>
          </w:p>
        </w:tc>
      </w:tr>
      <w:tr w14:paraId="35D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33" w:type="dxa"/>
            <w:vAlign w:val="center"/>
          </w:tcPr>
          <w:p w14:paraId="078410BC">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投标方式</w:t>
            </w:r>
          </w:p>
        </w:tc>
        <w:tc>
          <w:tcPr>
            <w:tcW w:w="1903" w:type="dxa"/>
            <w:vAlign w:val="center"/>
          </w:tcPr>
          <w:p w14:paraId="35A1EC50">
            <w:pPr>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（独立）</w:t>
            </w:r>
          </w:p>
        </w:tc>
        <w:tc>
          <w:tcPr>
            <w:tcW w:w="1903" w:type="dxa"/>
            <w:vAlign w:val="center"/>
          </w:tcPr>
          <w:p w14:paraId="32792F63">
            <w:pPr>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主要业务</w:t>
            </w:r>
          </w:p>
        </w:tc>
        <w:tc>
          <w:tcPr>
            <w:tcW w:w="2240" w:type="dxa"/>
            <w:vAlign w:val="center"/>
          </w:tcPr>
          <w:p w14:paraId="210B60AA">
            <w:pPr>
              <w:ind w:firstLine="480"/>
              <w:jc w:val="center"/>
              <w:rPr>
                <w:rFonts w:hint="eastAsia" w:ascii="宋体" w:hAnsi="宋体" w:eastAsia="宋体" w:cs="宋体"/>
                <w:color w:val="auto"/>
                <w:highlight w:val="none"/>
              </w:rPr>
            </w:pPr>
          </w:p>
        </w:tc>
      </w:tr>
      <w:tr w14:paraId="4E93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33" w:type="dxa"/>
            <w:vAlign w:val="center"/>
          </w:tcPr>
          <w:p w14:paraId="26237403">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资质标准（如有）</w:t>
            </w:r>
          </w:p>
        </w:tc>
        <w:tc>
          <w:tcPr>
            <w:tcW w:w="1903" w:type="dxa"/>
            <w:vAlign w:val="center"/>
          </w:tcPr>
          <w:p w14:paraId="522B358E">
            <w:pPr>
              <w:ind w:firstLine="480"/>
              <w:jc w:val="center"/>
              <w:rPr>
                <w:rFonts w:hint="eastAsia" w:ascii="宋体" w:hAnsi="宋体" w:eastAsia="宋体" w:cs="宋体"/>
                <w:color w:val="auto"/>
                <w:highlight w:val="none"/>
              </w:rPr>
            </w:pPr>
          </w:p>
        </w:tc>
        <w:tc>
          <w:tcPr>
            <w:tcW w:w="1903" w:type="dxa"/>
            <w:vAlign w:val="center"/>
          </w:tcPr>
          <w:p w14:paraId="2E452BD6">
            <w:pPr>
              <w:ind w:firstLine="480"/>
              <w:rPr>
                <w:rFonts w:hint="eastAsia" w:ascii="宋体" w:hAnsi="宋体" w:eastAsia="宋体" w:cs="宋体"/>
                <w:color w:val="auto"/>
                <w:highlight w:val="none"/>
              </w:rPr>
            </w:pPr>
            <w:r>
              <w:rPr>
                <w:rFonts w:hint="eastAsia" w:ascii="宋体" w:hAnsi="宋体" w:eastAsia="宋体" w:cs="宋体"/>
                <w:color w:val="auto"/>
                <w:highlight w:val="none"/>
              </w:rPr>
              <w:t>企业规模</w:t>
            </w:r>
          </w:p>
        </w:tc>
        <w:tc>
          <w:tcPr>
            <w:tcW w:w="2240" w:type="dxa"/>
            <w:vAlign w:val="center"/>
          </w:tcPr>
          <w:p w14:paraId="41D06370">
            <w:pPr>
              <w:ind w:firstLine="480"/>
              <w:rPr>
                <w:rFonts w:hint="eastAsia" w:ascii="宋体" w:hAnsi="宋体" w:eastAsia="宋体" w:cs="宋体"/>
                <w:color w:val="auto"/>
                <w:highlight w:val="none"/>
              </w:rPr>
            </w:pPr>
            <w:r>
              <w:rPr>
                <w:rFonts w:hint="eastAsia" w:ascii="宋体" w:hAnsi="宋体" w:eastAsia="宋体" w:cs="宋体"/>
                <w:color w:val="auto"/>
                <w:highlight w:val="none"/>
              </w:rPr>
              <w:t>大/中/小/微型</w:t>
            </w:r>
          </w:p>
        </w:tc>
      </w:tr>
      <w:tr w14:paraId="0FEF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33" w:type="dxa"/>
            <w:vAlign w:val="center"/>
          </w:tcPr>
          <w:p w14:paraId="57154F36">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营业执照编号</w:t>
            </w:r>
          </w:p>
        </w:tc>
        <w:tc>
          <w:tcPr>
            <w:tcW w:w="1903" w:type="dxa"/>
            <w:vAlign w:val="center"/>
          </w:tcPr>
          <w:p w14:paraId="18AC4072">
            <w:pPr>
              <w:ind w:firstLine="480"/>
              <w:jc w:val="center"/>
              <w:rPr>
                <w:rFonts w:hint="eastAsia" w:ascii="宋体" w:hAnsi="宋体" w:eastAsia="宋体" w:cs="宋体"/>
                <w:color w:val="auto"/>
                <w:highlight w:val="none"/>
              </w:rPr>
            </w:pPr>
          </w:p>
        </w:tc>
        <w:tc>
          <w:tcPr>
            <w:tcW w:w="1903" w:type="dxa"/>
            <w:vAlign w:val="center"/>
          </w:tcPr>
          <w:p w14:paraId="09713375">
            <w:pPr>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成立日期</w:t>
            </w:r>
          </w:p>
        </w:tc>
        <w:tc>
          <w:tcPr>
            <w:tcW w:w="2240" w:type="dxa"/>
            <w:vAlign w:val="center"/>
          </w:tcPr>
          <w:p w14:paraId="1B8ED09B">
            <w:pPr>
              <w:ind w:firstLine="480"/>
              <w:jc w:val="center"/>
              <w:rPr>
                <w:rFonts w:hint="eastAsia" w:ascii="宋体" w:hAnsi="宋体" w:eastAsia="宋体" w:cs="宋体"/>
                <w:color w:val="auto"/>
                <w:highlight w:val="none"/>
              </w:rPr>
            </w:pPr>
          </w:p>
        </w:tc>
      </w:tr>
      <w:tr w14:paraId="1A33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933" w:type="dxa"/>
            <w:vAlign w:val="center"/>
          </w:tcPr>
          <w:p w14:paraId="0E5CEA12">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公司总人数</w:t>
            </w:r>
          </w:p>
        </w:tc>
        <w:tc>
          <w:tcPr>
            <w:tcW w:w="1903" w:type="dxa"/>
            <w:vAlign w:val="center"/>
          </w:tcPr>
          <w:p w14:paraId="1E3AE209">
            <w:pPr>
              <w:ind w:firstLine="480"/>
              <w:jc w:val="center"/>
              <w:rPr>
                <w:rFonts w:hint="eastAsia" w:ascii="宋体" w:hAnsi="宋体" w:eastAsia="宋体" w:cs="宋体"/>
                <w:color w:val="auto"/>
                <w:highlight w:val="none"/>
              </w:rPr>
            </w:pPr>
          </w:p>
        </w:tc>
        <w:tc>
          <w:tcPr>
            <w:tcW w:w="1903" w:type="dxa"/>
            <w:vAlign w:val="center"/>
          </w:tcPr>
          <w:p w14:paraId="14B0ACE3">
            <w:pPr>
              <w:jc w:val="center"/>
              <w:rPr>
                <w:rFonts w:hint="eastAsia" w:ascii="宋体" w:hAnsi="宋体" w:eastAsia="宋体" w:cs="宋体"/>
                <w:color w:val="auto"/>
                <w:highlight w:val="none"/>
              </w:rPr>
            </w:pPr>
            <w:r>
              <w:rPr>
                <w:rFonts w:hint="eastAsia" w:ascii="宋体" w:hAnsi="宋体" w:eastAsia="宋体" w:cs="宋体"/>
                <w:color w:val="auto"/>
                <w:kern w:val="0"/>
                <w:highlight w:val="none"/>
              </w:rPr>
              <w:t>资产净值（万元）</w:t>
            </w:r>
          </w:p>
        </w:tc>
        <w:tc>
          <w:tcPr>
            <w:tcW w:w="2240" w:type="dxa"/>
            <w:vAlign w:val="center"/>
          </w:tcPr>
          <w:p w14:paraId="72538F79">
            <w:pPr>
              <w:ind w:firstLine="480"/>
              <w:jc w:val="center"/>
              <w:rPr>
                <w:rFonts w:hint="eastAsia" w:ascii="宋体" w:hAnsi="宋体" w:eastAsia="宋体" w:cs="宋体"/>
                <w:color w:val="auto"/>
                <w:highlight w:val="none"/>
              </w:rPr>
            </w:pPr>
          </w:p>
        </w:tc>
      </w:tr>
      <w:tr w14:paraId="3DFB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33" w:type="dxa"/>
            <w:vAlign w:val="center"/>
          </w:tcPr>
          <w:p w14:paraId="771589C0">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负责人</w:t>
            </w:r>
          </w:p>
        </w:tc>
        <w:tc>
          <w:tcPr>
            <w:tcW w:w="6046" w:type="dxa"/>
            <w:gridSpan w:val="3"/>
            <w:vAlign w:val="center"/>
          </w:tcPr>
          <w:p w14:paraId="17D94EF0">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1．姓名：          2.职务：         3.职称：</w:t>
            </w:r>
          </w:p>
        </w:tc>
      </w:tr>
      <w:tr w14:paraId="7BD7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933" w:type="dxa"/>
            <w:vAlign w:val="center"/>
          </w:tcPr>
          <w:p w14:paraId="57B75685">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联系方式</w:t>
            </w:r>
          </w:p>
        </w:tc>
        <w:tc>
          <w:tcPr>
            <w:tcW w:w="6046" w:type="dxa"/>
            <w:gridSpan w:val="3"/>
            <w:vAlign w:val="center"/>
          </w:tcPr>
          <w:p w14:paraId="62C01B84">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1．地址：          2. 邮编：         3. 电话：</w:t>
            </w:r>
          </w:p>
          <w:p w14:paraId="5B1548A5">
            <w:pPr>
              <w:ind w:firstLine="480"/>
              <w:rPr>
                <w:rFonts w:hint="eastAsia" w:ascii="宋体" w:hAnsi="宋体" w:eastAsia="宋体" w:cs="宋体"/>
                <w:color w:val="auto"/>
                <w:kern w:val="0"/>
                <w:highlight w:val="none"/>
              </w:rPr>
            </w:pPr>
          </w:p>
          <w:p w14:paraId="469D72AC">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4. 传真：          5. E-mail           6. 联系人：</w:t>
            </w:r>
          </w:p>
        </w:tc>
      </w:tr>
      <w:tr w14:paraId="639F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33" w:type="dxa"/>
            <w:vAlign w:val="center"/>
          </w:tcPr>
          <w:p w14:paraId="4AE1BF19">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开户银行</w:t>
            </w:r>
          </w:p>
        </w:tc>
        <w:tc>
          <w:tcPr>
            <w:tcW w:w="6046" w:type="dxa"/>
            <w:gridSpan w:val="3"/>
            <w:vAlign w:val="center"/>
          </w:tcPr>
          <w:p w14:paraId="01BA387D">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1．户名：          2.开户行：        3.账号</w:t>
            </w:r>
          </w:p>
        </w:tc>
      </w:tr>
    </w:tbl>
    <w:p w14:paraId="2D8B342B">
      <w:pPr>
        <w:spacing w:before="156" w:beforeLines="50" w:after="156" w:afterLines="50"/>
        <w:rPr>
          <w:rFonts w:hint="eastAsia"/>
          <w:color w:val="auto"/>
          <w:kern w:val="0"/>
          <w:szCs w:val="21"/>
          <w:highlight w:val="none"/>
        </w:rPr>
      </w:pPr>
      <w:r>
        <w:rPr>
          <w:rFonts w:hint="eastAsia"/>
          <w:color w:val="auto"/>
          <w:kern w:val="0"/>
          <w:szCs w:val="21"/>
          <w:highlight w:val="none"/>
        </w:rPr>
        <w:t>注：在本表后应附投标人营业执照</w:t>
      </w:r>
      <w:r>
        <w:rPr>
          <w:rFonts w:hint="eastAsia"/>
          <w:color w:val="auto"/>
          <w:kern w:val="0"/>
          <w:szCs w:val="21"/>
          <w:highlight w:val="none"/>
          <w:lang w:val="en-US" w:eastAsia="zh-CN"/>
        </w:rPr>
        <w:t>等</w:t>
      </w:r>
      <w:r>
        <w:rPr>
          <w:rFonts w:hint="eastAsia" w:ascii="宋体" w:hAnsi="宋体" w:cs="宋体"/>
          <w:color w:val="auto"/>
          <w:highlight w:val="none"/>
        </w:rPr>
        <w:t>材料。</w:t>
      </w:r>
    </w:p>
    <w:p w14:paraId="34ED2E99">
      <w:pPr>
        <w:spacing w:before="156" w:beforeLines="50" w:after="156" w:afterLines="50"/>
        <w:rPr>
          <w:rFonts w:hint="eastAsia"/>
          <w:color w:val="auto"/>
          <w:kern w:val="0"/>
          <w:szCs w:val="21"/>
          <w:highlight w:val="none"/>
        </w:rPr>
      </w:pPr>
    </w:p>
    <w:p w14:paraId="1F5E67A3">
      <w:pPr>
        <w:jc w:val="center"/>
        <w:rPr>
          <w:rFonts w:hint="eastAsia" w:ascii="宋体" w:hAnsi="宋体" w:cs="宋体"/>
          <w:b/>
          <w:bCs/>
          <w:color w:val="auto"/>
          <w:kern w:val="0"/>
          <w:sz w:val="28"/>
          <w:szCs w:val="28"/>
          <w:highlight w:val="none"/>
        </w:rPr>
      </w:pPr>
      <w:r>
        <w:rPr>
          <w:color w:val="auto"/>
          <w:kern w:val="0"/>
          <w:sz w:val="30"/>
          <w:szCs w:val="30"/>
          <w:highlight w:val="none"/>
        </w:rPr>
        <w:br w:type="page"/>
      </w:r>
      <w:r>
        <w:rPr>
          <w:rFonts w:hint="eastAsia" w:ascii="宋体" w:hAnsi="宋体" w:cs="宋体"/>
          <w:b/>
          <w:bCs/>
          <w:color w:val="auto"/>
          <w:kern w:val="0"/>
          <w:sz w:val="28"/>
          <w:szCs w:val="28"/>
          <w:highlight w:val="none"/>
        </w:rPr>
        <w:t>(二)投标人已完成类似项目情况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001"/>
        <w:gridCol w:w="2186"/>
        <w:gridCol w:w="2186"/>
        <w:gridCol w:w="998"/>
        <w:gridCol w:w="769"/>
      </w:tblGrid>
      <w:tr w14:paraId="5B9E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8" w:type="dxa"/>
            <w:vAlign w:val="center"/>
          </w:tcPr>
          <w:p w14:paraId="101EFE98">
            <w:pPr>
              <w:jc w:val="center"/>
              <w:rPr>
                <w:rFonts w:hint="eastAsia"/>
                <w:color w:val="auto"/>
                <w:kern w:val="0"/>
                <w:highlight w:val="none"/>
              </w:rPr>
            </w:pPr>
            <w:r>
              <w:rPr>
                <w:rFonts w:hint="eastAsia"/>
                <w:color w:val="auto"/>
                <w:kern w:val="0"/>
                <w:highlight w:val="none"/>
              </w:rPr>
              <w:t>序号</w:t>
            </w:r>
          </w:p>
        </w:tc>
        <w:tc>
          <w:tcPr>
            <w:tcW w:w="1001" w:type="dxa"/>
            <w:vAlign w:val="center"/>
          </w:tcPr>
          <w:p w14:paraId="6D244BB1">
            <w:pPr>
              <w:jc w:val="center"/>
              <w:rPr>
                <w:color w:val="auto"/>
                <w:kern w:val="0"/>
                <w:highlight w:val="none"/>
              </w:rPr>
            </w:pPr>
            <w:r>
              <w:rPr>
                <w:rFonts w:hint="eastAsia"/>
                <w:color w:val="auto"/>
                <w:kern w:val="0"/>
                <w:highlight w:val="none"/>
              </w:rPr>
              <w:t>起止时间</w:t>
            </w:r>
          </w:p>
        </w:tc>
        <w:tc>
          <w:tcPr>
            <w:tcW w:w="2186" w:type="dxa"/>
            <w:vAlign w:val="center"/>
          </w:tcPr>
          <w:p w14:paraId="4F662580">
            <w:pPr>
              <w:jc w:val="center"/>
              <w:rPr>
                <w:color w:val="auto"/>
                <w:kern w:val="0"/>
                <w:highlight w:val="none"/>
              </w:rPr>
            </w:pPr>
            <w:r>
              <w:rPr>
                <w:rFonts w:hint="eastAsia"/>
                <w:color w:val="auto"/>
                <w:kern w:val="0"/>
                <w:highlight w:val="none"/>
              </w:rPr>
              <w:t>项目概况</w:t>
            </w:r>
          </w:p>
        </w:tc>
        <w:tc>
          <w:tcPr>
            <w:tcW w:w="2186" w:type="dxa"/>
            <w:vAlign w:val="center"/>
          </w:tcPr>
          <w:p w14:paraId="0DE5203B">
            <w:pPr>
              <w:jc w:val="center"/>
              <w:rPr>
                <w:color w:val="auto"/>
                <w:kern w:val="0"/>
                <w:highlight w:val="none"/>
              </w:rPr>
            </w:pPr>
            <w:r>
              <w:rPr>
                <w:rFonts w:hint="eastAsia"/>
                <w:color w:val="auto"/>
                <w:kern w:val="0"/>
                <w:highlight w:val="none"/>
              </w:rPr>
              <w:t>业主单位</w:t>
            </w:r>
          </w:p>
        </w:tc>
        <w:tc>
          <w:tcPr>
            <w:tcW w:w="998" w:type="dxa"/>
            <w:vAlign w:val="center"/>
          </w:tcPr>
          <w:p w14:paraId="05F24899">
            <w:pPr>
              <w:jc w:val="center"/>
              <w:rPr>
                <w:color w:val="auto"/>
                <w:kern w:val="0"/>
                <w:highlight w:val="none"/>
              </w:rPr>
            </w:pPr>
            <w:r>
              <w:rPr>
                <w:rFonts w:hint="eastAsia"/>
                <w:color w:val="auto"/>
                <w:kern w:val="0"/>
                <w:highlight w:val="none"/>
              </w:rPr>
              <w:t>完成情况</w:t>
            </w:r>
          </w:p>
        </w:tc>
        <w:tc>
          <w:tcPr>
            <w:tcW w:w="769" w:type="dxa"/>
            <w:vAlign w:val="center"/>
          </w:tcPr>
          <w:p w14:paraId="3EBF9E8B">
            <w:pPr>
              <w:jc w:val="center"/>
              <w:rPr>
                <w:color w:val="auto"/>
                <w:highlight w:val="none"/>
              </w:rPr>
            </w:pPr>
            <w:r>
              <w:rPr>
                <w:rFonts w:hint="eastAsia"/>
                <w:color w:val="auto"/>
                <w:kern w:val="0"/>
                <w:highlight w:val="none"/>
              </w:rPr>
              <w:t>备注</w:t>
            </w:r>
          </w:p>
        </w:tc>
      </w:tr>
      <w:tr w14:paraId="6610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3F26C843">
            <w:pPr>
              <w:ind w:firstLine="480"/>
              <w:jc w:val="center"/>
              <w:rPr>
                <w:rFonts w:hint="eastAsia"/>
                <w:color w:val="auto"/>
                <w:highlight w:val="none"/>
              </w:rPr>
            </w:pPr>
          </w:p>
        </w:tc>
        <w:tc>
          <w:tcPr>
            <w:tcW w:w="1001" w:type="dxa"/>
            <w:vAlign w:val="center"/>
          </w:tcPr>
          <w:p w14:paraId="179ED167">
            <w:pPr>
              <w:ind w:firstLine="480"/>
              <w:jc w:val="center"/>
              <w:rPr>
                <w:rFonts w:hint="eastAsia"/>
                <w:color w:val="auto"/>
                <w:highlight w:val="none"/>
              </w:rPr>
            </w:pPr>
          </w:p>
        </w:tc>
        <w:tc>
          <w:tcPr>
            <w:tcW w:w="2186" w:type="dxa"/>
            <w:vAlign w:val="center"/>
          </w:tcPr>
          <w:p w14:paraId="1E598BF1">
            <w:pPr>
              <w:ind w:firstLine="480"/>
              <w:jc w:val="center"/>
              <w:rPr>
                <w:rFonts w:hint="eastAsia"/>
                <w:color w:val="auto"/>
                <w:highlight w:val="none"/>
              </w:rPr>
            </w:pPr>
          </w:p>
        </w:tc>
        <w:tc>
          <w:tcPr>
            <w:tcW w:w="2186" w:type="dxa"/>
            <w:vAlign w:val="center"/>
          </w:tcPr>
          <w:p w14:paraId="1657A0A7">
            <w:pPr>
              <w:ind w:firstLine="480"/>
              <w:jc w:val="center"/>
              <w:rPr>
                <w:rFonts w:hint="eastAsia"/>
                <w:color w:val="auto"/>
                <w:highlight w:val="none"/>
              </w:rPr>
            </w:pPr>
          </w:p>
        </w:tc>
        <w:tc>
          <w:tcPr>
            <w:tcW w:w="998" w:type="dxa"/>
            <w:vAlign w:val="center"/>
          </w:tcPr>
          <w:p w14:paraId="278070E6">
            <w:pPr>
              <w:ind w:firstLine="480"/>
              <w:jc w:val="center"/>
              <w:rPr>
                <w:rFonts w:hint="eastAsia"/>
                <w:color w:val="auto"/>
                <w:highlight w:val="none"/>
              </w:rPr>
            </w:pPr>
          </w:p>
        </w:tc>
        <w:tc>
          <w:tcPr>
            <w:tcW w:w="769" w:type="dxa"/>
            <w:vAlign w:val="center"/>
          </w:tcPr>
          <w:p w14:paraId="0AAD4E54">
            <w:pPr>
              <w:ind w:firstLine="480"/>
              <w:jc w:val="center"/>
              <w:rPr>
                <w:rFonts w:hint="eastAsia"/>
                <w:color w:val="auto"/>
                <w:highlight w:val="none"/>
              </w:rPr>
            </w:pPr>
          </w:p>
        </w:tc>
      </w:tr>
      <w:tr w14:paraId="1EEB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40A9F3F4">
            <w:pPr>
              <w:ind w:firstLine="480"/>
              <w:jc w:val="center"/>
              <w:rPr>
                <w:rFonts w:hint="eastAsia"/>
                <w:color w:val="auto"/>
                <w:highlight w:val="none"/>
              </w:rPr>
            </w:pPr>
          </w:p>
        </w:tc>
        <w:tc>
          <w:tcPr>
            <w:tcW w:w="1001" w:type="dxa"/>
            <w:vAlign w:val="center"/>
          </w:tcPr>
          <w:p w14:paraId="7E559188">
            <w:pPr>
              <w:ind w:firstLine="480"/>
              <w:jc w:val="center"/>
              <w:rPr>
                <w:rFonts w:hint="eastAsia"/>
                <w:color w:val="auto"/>
                <w:highlight w:val="none"/>
              </w:rPr>
            </w:pPr>
          </w:p>
        </w:tc>
        <w:tc>
          <w:tcPr>
            <w:tcW w:w="2186" w:type="dxa"/>
            <w:vAlign w:val="center"/>
          </w:tcPr>
          <w:p w14:paraId="18ADA944">
            <w:pPr>
              <w:ind w:firstLine="480"/>
              <w:jc w:val="center"/>
              <w:rPr>
                <w:rFonts w:hint="eastAsia"/>
                <w:color w:val="auto"/>
                <w:highlight w:val="none"/>
              </w:rPr>
            </w:pPr>
          </w:p>
        </w:tc>
        <w:tc>
          <w:tcPr>
            <w:tcW w:w="2186" w:type="dxa"/>
            <w:vAlign w:val="center"/>
          </w:tcPr>
          <w:p w14:paraId="589B99C4">
            <w:pPr>
              <w:ind w:firstLine="480"/>
              <w:jc w:val="center"/>
              <w:rPr>
                <w:rFonts w:hint="eastAsia"/>
                <w:color w:val="auto"/>
                <w:highlight w:val="none"/>
              </w:rPr>
            </w:pPr>
          </w:p>
        </w:tc>
        <w:tc>
          <w:tcPr>
            <w:tcW w:w="998" w:type="dxa"/>
            <w:vAlign w:val="center"/>
          </w:tcPr>
          <w:p w14:paraId="3639C212">
            <w:pPr>
              <w:ind w:firstLine="480"/>
              <w:jc w:val="center"/>
              <w:rPr>
                <w:rFonts w:hint="eastAsia"/>
                <w:color w:val="auto"/>
                <w:highlight w:val="none"/>
              </w:rPr>
            </w:pPr>
          </w:p>
        </w:tc>
        <w:tc>
          <w:tcPr>
            <w:tcW w:w="769" w:type="dxa"/>
            <w:vAlign w:val="center"/>
          </w:tcPr>
          <w:p w14:paraId="3C25D47E">
            <w:pPr>
              <w:ind w:firstLine="480"/>
              <w:jc w:val="center"/>
              <w:rPr>
                <w:rFonts w:hint="eastAsia"/>
                <w:color w:val="auto"/>
                <w:highlight w:val="none"/>
              </w:rPr>
            </w:pPr>
          </w:p>
        </w:tc>
      </w:tr>
      <w:tr w14:paraId="0A57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67628EFD">
            <w:pPr>
              <w:ind w:firstLine="480"/>
              <w:jc w:val="center"/>
              <w:rPr>
                <w:rFonts w:hint="eastAsia"/>
                <w:color w:val="auto"/>
                <w:highlight w:val="none"/>
              </w:rPr>
            </w:pPr>
          </w:p>
        </w:tc>
        <w:tc>
          <w:tcPr>
            <w:tcW w:w="1001" w:type="dxa"/>
            <w:vAlign w:val="center"/>
          </w:tcPr>
          <w:p w14:paraId="0F6A0E42">
            <w:pPr>
              <w:ind w:firstLine="480"/>
              <w:jc w:val="center"/>
              <w:rPr>
                <w:rFonts w:hint="eastAsia"/>
                <w:color w:val="auto"/>
                <w:highlight w:val="none"/>
              </w:rPr>
            </w:pPr>
          </w:p>
        </w:tc>
        <w:tc>
          <w:tcPr>
            <w:tcW w:w="2186" w:type="dxa"/>
            <w:vAlign w:val="center"/>
          </w:tcPr>
          <w:p w14:paraId="54A3916F">
            <w:pPr>
              <w:ind w:firstLine="480"/>
              <w:jc w:val="center"/>
              <w:rPr>
                <w:rFonts w:hint="eastAsia"/>
                <w:color w:val="auto"/>
                <w:highlight w:val="none"/>
              </w:rPr>
            </w:pPr>
          </w:p>
        </w:tc>
        <w:tc>
          <w:tcPr>
            <w:tcW w:w="2186" w:type="dxa"/>
            <w:vAlign w:val="center"/>
          </w:tcPr>
          <w:p w14:paraId="4882930A">
            <w:pPr>
              <w:ind w:firstLine="480"/>
              <w:jc w:val="center"/>
              <w:rPr>
                <w:rFonts w:hint="eastAsia"/>
                <w:color w:val="auto"/>
                <w:highlight w:val="none"/>
              </w:rPr>
            </w:pPr>
          </w:p>
        </w:tc>
        <w:tc>
          <w:tcPr>
            <w:tcW w:w="998" w:type="dxa"/>
            <w:vAlign w:val="center"/>
          </w:tcPr>
          <w:p w14:paraId="45ABB3EE">
            <w:pPr>
              <w:ind w:firstLine="480"/>
              <w:jc w:val="center"/>
              <w:rPr>
                <w:rFonts w:hint="eastAsia"/>
                <w:color w:val="auto"/>
                <w:highlight w:val="none"/>
              </w:rPr>
            </w:pPr>
          </w:p>
        </w:tc>
        <w:tc>
          <w:tcPr>
            <w:tcW w:w="769" w:type="dxa"/>
            <w:vAlign w:val="center"/>
          </w:tcPr>
          <w:p w14:paraId="729BB781">
            <w:pPr>
              <w:ind w:firstLine="480"/>
              <w:jc w:val="center"/>
              <w:rPr>
                <w:rFonts w:hint="eastAsia"/>
                <w:color w:val="auto"/>
                <w:highlight w:val="none"/>
              </w:rPr>
            </w:pPr>
          </w:p>
        </w:tc>
      </w:tr>
      <w:tr w14:paraId="4E4D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1E3616F9">
            <w:pPr>
              <w:ind w:firstLine="480"/>
              <w:jc w:val="center"/>
              <w:rPr>
                <w:rFonts w:hint="eastAsia"/>
                <w:color w:val="auto"/>
                <w:highlight w:val="none"/>
              </w:rPr>
            </w:pPr>
          </w:p>
        </w:tc>
        <w:tc>
          <w:tcPr>
            <w:tcW w:w="1001" w:type="dxa"/>
            <w:vAlign w:val="center"/>
          </w:tcPr>
          <w:p w14:paraId="79BDCDCD">
            <w:pPr>
              <w:ind w:firstLine="480"/>
              <w:jc w:val="center"/>
              <w:rPr>
                <w:rFonts w:hint="eastAsia"/>
                <w:color w:val="auto"/>
                <w:highlight w:val="none"/>
              </w:rPr>
            </w:pPr>
          </w:p>
        </w:tc>
        <w:tc>
          <w:tcPr>
            <w:tcW w:w="2186" w:type="dxa"/>
            <w:vAlign w:val="center"/>
          </w:tcPr>
          <w:p w14:paraId="04C6A81D">
            <w:pPr>
              <w:ind w:firstLine="480"/>
              <w:jc w:val="center"/>
              <w:rPr>
                <w:rFonts w:hint="eastAsia"/>
                <w:color w:val="auto"/>
                <w:highlight w:val="none"/>
              </w:rPr>
            </w:pPr>
          </w:p>
        </w:tc>
        <w:tc>
          <w:tcPr>
            <w:tcW w:w="2186" w:type="dxa"/>
            <w:vAlign w:val="center"/>
          </w:tcPr>
          <w:p w14:paraId="6FF31419">
            <w:pPr>
              <w:ind w:firstLine="480"/>
              <w:jc w:val="center"/>
              <w:rPr>
                <w:rFonts w:hint="eastAsia"/>
                <w:color w:val="auto"/>
                <w:highlight w:val="none"/>
              </w:rPr>
            </w:pPr>
          </w:p>
        </w:tc>
        <w:tc>
          <w:tcPr>
            <w:tcW w:w="998" w:type="dxa"/>
            <w:vAlign w:val="center"/>
          </w:tcPr>
          <w:p w14:paraId="190EE44B">
            <w:pPr>
              <w:ind w:firstLine="480"/>
              <w:jc w:val="center"/>
              <w:rPr>
                <w:rFonts w:hint="eastAsia"/>
                <w:color w:val="auto"/>
                <w:highlight w:val="none"/>
              </w:rPr>
            </w:pPr>
          </w:p>
        </w:tc>
        <w:tc>
          <w:tcPr>
            <w:tcW w:w="769" w:type="dxa"/>
            <w:vAlign w:val="center"/>
          </w:tcPr>
          <w:p w14:paraId="13D5EBFE">
            <w:pPr>
              <w:ind w:firstLine="480"/>
              <w:jc w:val="center"/>
              <w:rPr>
                <w:rFonts w:hint="eastAsia"/>
                <w:color w:val="auto"/>
                <w:highlight w:val="none"/>
              </w:rPr>
            </w:pPr>
          </w:p>
        </w:tc>
      </w:tr>
      <w:tr w14:paraId="6E89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24E9765E">
            <w:pPr>
              <w:ind w:firstLine="480"/>
              <w:jc w:val="center"/>
              <w:rPr>
                <w:rFonts w:hint="eastAsia"/>
                <w:color w:val="auto"/>
                <w:highlight w:val="none"/>
              </w:rPr>
            </w:pPr>
          </w:p>
        </w:tc>
        <w:tc>
          <w:tcPr>
            <w:tcW w:w="1001" w:type="dxa"/>
            <w:vAlign w:val="center"/>
          </w:tcPr>
          <w:p w14:paraId="1A4427B5">
            <w:pPr>
              <w:ind w:firstLine="480"/>
              <w:jc w:val="center"/>
              <w:rPr>
                <w:rFonts w:hint="eastAsia"/>
                <w:color w:val="auto"/>
                <w:highlight w:val="none"/>
              </w:rPr>
            </w:pPr>
          </w:p>
        </w:tc>
        <w:tc>
          <w:tcPr>
            <w:tcW w:w="2186" w:type="dxa"/>
            <w:vAlign w:val="center"/>
          </w:tcPr>
          <w:p w14:paraId="19D2D2BC">
            <w:pPr>
              <w:ind w:firstLine="480"/>
              <w:jc w:val="center"/>
              <w:rPr>
                <w:rFonts w:hint="eastAsia"/>
                <w:color w:val="auto"/>
                <w:highlight w:val="none"/>
              </w:rPr>
            </w:pPr>
          </w:p>
        </w:tc>
        <w:tc>
          <w:tcPr>
            <w:tcW w:w="2186" w:type="dxa"/>
            <w:vAlign w:val="center"/>
          </w:tcPr>
          <w:p w14:paraId="000AF52F">
            <w:pPr>
              <w:ind w:firstLine="480"/>
              <w:jc w:val="center"/>
              <w:rPr>
                <w:rFonts w:hint="eastAsia"/>
                <w:color w:val="auto"/>
                <w:highlight w:val="none"/>
              </w:rPr>
            </w:pPr>
          </w:p>
        </w:tc>
        <w:tc>
          <w:tcPr>
            <w:tcW w:w="998" w:type="dxa"/>
            <w:vAlign w:val="center"/>
          </w:tcPr>
          <w:p w14:paraId="1405FB99">
            <w:pPr>
              <w:ind w:firstLine="480"/>
              <w:jc w:val="center"/>
              <w:rPr>
                <w:rFonts w:hint="eastAsia"/>
                <w:color w:val="auto"/>
                <w:highlight w:val="none"/>
              </w:rPr>
            </w:pPr>
          </w:p>
        </w:tc>
        <w:tc>
          <w:tcPr>
            <w:tcW w:w="769" w:type="dxa"/>
            <w:vAlign w:val="center"/>
          </w:tcPr>
          <w:p w14:paraId="628FFBCF">
            <w:pPr>
              <w:ind w:firstLine="480"/>
              <w:jc w:val="center"/>
              <w:rPr>
                <w:rFonts w:hint="eastAsia"/>
                <w:color w:val="auto"/>
                <w:highlight w:val="none"/>
              </w:rPr>
            </w:pPr>
          </w:p>
        </w:tc>
      </w:tr>
      <w:tr w14:paraId="0714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31D94551">
            <w:pPr>
              <w:ind w:firstLine="480"/>
              <w:jc w:val="center"/>
              <w:rPr>
                <w:rFonts w:hint="eastAsia"/>
                <w:color w:val="auto"/>
                <w:highlight w:val="none"/>
              </w:rPr>
            </w:pPr>
          </w:p>
        </w:tc>
        <w:tc>
          <w:tcPr>
            <w:tcW w:w="1001" w:type="dxa"/>
            <w:vAlign w:val="center"/>
          </w:tcPr>
          <w:p w14:paraId="09801894">
            <w:pPr>
              <w:ind w:firstLine="480"/>
              <w:jc w:val="center"/>
              <w:rPr>
                <w:rFonts w:hint="eastAsia"/>
                <w:color w:val="auto"/>
                <w:highlight w:val="none"/>
              </w:rPr>
            </w:pPr>
          </w:p>
        </w:tc>
        <w:tc>
          <w:tcPr>
            <w:tcW w:w="2186" w:type="dxa"/>
            <w:vAlign w:val="center"/>
          </w:tcPr>
          <w:p w14:paraId="238FC751">
            <w:pPr>
              <w:ind w:firstLine="480"/>
              <w:jc w:val="center"/>
              <w:rPr>
                <w:rFonts w:hint="eastAsia"/>
                <w:color w:val="auto"/>
                <w:highlight w:val="none"/>
              </w:rPr>
            </w:pPr>
          </w:p>
        </w:tc>
        <w:tc>
          <w:tcPr>
            <w:tcW w:w="2186" w:type="dxa"/>
            <w:vAlign w:val="center"/>
          </w:tcPr>
          <w:p w14:paraId="6D469FEF">
            <w:pPr>
              <w:ind w:firstLine="480"/>
              <w:jc w:val="center"/>
              <w:rPr>
                <w:rFonts w:hint="eastAsia"/>
                <w:color w:val="auto"/>
                <w:highlight w:val="none"/>
              </w:rPr>
            </w:pPr>
          </w:p>
        </w:tc>
        <w:tc>
          <w:tcPr>
            <w:tcW w:w="998" w:type="dxa"/>
            <w:vAlign w:val="center"/>
          </w:tcPr>
          <w:p w14:paraId="22D2EB04">
            <w:pPr>
              <w:ind w:firstLine="480"/>
              <w:jc w:val="center"/>
              <w:rPr>
                <w:rFonts w:hint="eastAsia"/>
                <w:color w:val="auto"/>
                <w:highlight w:val="none"/>
              </w:rPr>
            </w:pPr>
          </w:p>
        </w:tc>
        <w:tc>
          <w:tcPr>
            <w:tcW w:w="769" w:type="dxa"/>
            <w:vAlign w:val="center"/>
          </w:tcPr>
          <w:p w14:paraId="5D646D7F">
            <w:pPr>
              <w:ind w:firstLine="480"/>
              <w:jc w:val="center"/>
              <w:rPr>
                <w:rFonts w:hint="eastAsia"/>
                <w:color w:val="auto"/>
                <w:highlight w:val="none"/>
              </w:rPr>
            </w:pPr>
          </w:p>
        </w:tc>
      </w:tr>
      <w:tr w14:paraId="1DD0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78" w:type="dxa"/>
          </w:tcPr>
          <w:p w14:paraId="6D2B2A76">
            <w:pPr>
              <w:ind w:firstLine="480"/>
              <w:jc w:val="center"/>
              <w:rPr>
                <w:rFonts w:hint="eastAsia"/>
                <w:color w:val="auto"/>
                <w:highlight w:val="none"/>
              </w:rPr>
            </w:pPr>
          </w:p>
        </w:tc>
        <w:tc>
          <w:tcPr>
            <w:tcW w:w="1001" w:type="dxa"/>
            <w:vAlign w:val="center"/>
          </w:tcPr>
          <w:p w14:paraId="4FEEAF5A">
            <w:pPr>
              <w:ind w:firstLine="480"/>
              <w:jc w:val="center"/>
              <w:rPr>
                <w:rFonts w:hint="eastAsia"/>
                <w:color w:val="auto"/>
                <w:highlight w:val="none"/>
              </w:rPr>
            </w:pPr>
          </w:p>
        </w:tc>
        <w:tc>
          <w:tcPr>
            <w:tcW w:w="2186" w:type="dxa"/>
            <w:vAlign w:val="center"/>
          </w:tcPr>
          <w:p w14:paraId="5FD2FAE1">
            <w:pPr>
              <w:ind w:firstLine="480"/>
              <w:jc w:val="center"/>
              <w:rPr>
                <w:rFonts w:hint="eastAsia"/>
                <w:color w:val="auto"/>
                <w:highlight w:val="none"/>
              </w:rPr>
            </w:pPr>
          </w:p>
        </w:tc>
        <w:tc>
          <w:tcPr>
            <w:tcW w:w="2186" w:type="dxa"/>
            <w:vAlign w:val="center"/>
          </w:tcPr>
          <w:p w14:paraId="01D5174D">
            <w:pPr>
              <w:ind w:firstLine="480"/>
              <w:jc w:val="center"/>
              <w:rPr>
                <w:rFonts w:hint="eastAsia"/>
                <w:color w:val="auto"/>
                <w:highlight w:val="none"/>
              </w:rPr>
            </w:pPr>
          </w:p>
        </w:tc>
        <w:tc>
          <w:tcPr>
            <w:tcW w:w="998" w:type="dxa"/>
            <w:vAlign w:val="center"/>
          </w:tcPr>
          <w:p w14:paraId="40D496AD">
            <w:pPr>
              <w:ind w:firstLine="480"/>
              <w:jc w:val="center"/>
              <w:rPr>
                <w:rFonts w:hint="eastAsia"/>
                <w:color w:val="auto"/>
                <w:highlight w:val="none"/>
              </w:rPr>
            </w:pPr>
          </w:p>
        </w:tc>
        <w:tc>
          <w:tcPr>
            <w:tcW w:w="769" w:type="dxa"/>
            <w:vAlign w:val="center"/>
          </w:tcPr>
          <w:p w14:paraId="7A5C2ED3">
            <w:pPr>
              <w:ind w:firstLine="480"/>
              <w:jc w:val="center"/>
              <w:rPr>
                <w:rFonts w:hint="eastAsia"/>
                <w:color w:val="auto"/>
                <w:highlight w:val="none"/>
              </w:rPr>
            </w:pPr>
          </w:p>
        </w:tc>
      </w:tr>
      <w:tr w14:paraId="140D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8" w:type="dxa"/>
          </w:tcPr>
          <w:p w14:paraId="4FEEC4BB">
            <w:pPr>
              <w:ind w:firstLine="480"/>
              <w:jc w:val="center"/>
              <w:rPr>
                <w:rFonts w:hint="eastAsia"/>
                <w:color w:val="auto"/>
                <w:highlight w:val="none"/>
              </w:rPr>
            </w:pPr>
          </w:p>
        </w:tc>
        <w:tc>
          <w:tcPr>
            <w:tcW w:w="1001" w:type="dxa"/>
            <w:vAlign w:val="center"/>
          </w:tcPr>
          <w:p w14:paraId="7F69E75C">
            <w:pPr>
              <w:ind w:firstLine="480"/>
              <w:jc w:val="center"/>
              <w:rPr>
                <w:rFonts w:hint="eastAsia"/>
                <w:color w:val="auto"/>
                <w:highlight w:val="none"/>
              </w:rPr>
            </w:pPr>
          </w:p>
        </w:tc>
        <w:tc>
          <w:tcPr>
            <w:tcW w:w="2186" w:type="dxa"/>
            <w:vAlign w:val="center"/>
          </w:tcPr>
          <w:p w14:paraId="37706330">
            <w:pPr>
              <w:ind w:firstLine="480"/>
              <w:jc w:val="center"/>
              <w:rPr>
                <w:rFonts w:hint="eastAsia"/>
                <w:color w:val="auto"/>
                <w:highlight w:val="none"/>
              </w:rPr>
            </w:pPr>
          </w:p>
        </w:tc>
        <w:tc>
          <w:tcPr>
            <w:tcW w:w="2186" w:type="dxa"/>
            <w:vAlign w:val="center"/>
          </w:tcPr>
          <w:p w14:paraId="18B0B62B">
            <w:pPr>
              <w:ind w:firstLine="480"/>
              <w:jc w:val="center"/>
              <w:rPr>
                <w:rFonts w:hint="eastAsia"/>
                <w:color w:val="auto"/>
                <w:highlight w:val="none"/>
              </w:rPr>
            </w:pPr>
          </w:p>
        </w:tc>
        <w:tc>
          <w:tcPr>
            <w:tcW w:w="998" w:type="dxa"/>
            <w:vAlign w:val="center"/>
          </w:tcPr>
          <w:p w14:paraId="2C1B4C50">
            <w:pPr>
              <w:ind w:firstLine="480"/>
              <w:jc w:val="center"/>
              <w:rPr>
                <w:rFonts w:hint="eastAsia"/>
                <w:color w:val="auto"/>
                <w:highlight w:val="none"/>
              </w:rPr>
            </w:pPr>
          </w:p>
        </w:tc>
        <w:tc>
          <w:tcPr>
            <w:tcW w:w="769" w:type="dxa"/>
            <w:vAlign w:val="center"/>
          </w:tcPr>
          <w:p w14:paraId="4BACB471">
            <w:pPr>
              <w:ind w:firstLine="480"/>
              <w:jc w:val="center"/>
              <w:rPr>
                <w:rFonts w:hint="eastAsia"/>
                <w:color w:val="auto"/>
                <w:highlight w:val="none"/>
              </w:rPr>
            </w:pPr>
          </w:p>
        </w:tc>
      </w:tr>
    </w:tbl>
    <w:p w14:paraId="6C942ADA">
      <w:pPr>
        <w:spacing w:before="156" w:beforeLines="50" w:after="156" w:afterLines="50"/>
        <w:jc w:val="left"/>
        <w:rPr>
          <w:rFonts w:hint="eastAsia" w:ascii="宋体" w:hAnsi="宋体"/>
          <w:color w:val="auto"/>
          <w:kern w:val="0"/>
          <w:szCs w:val="21"/>
          <w:highlight w:val="none"/>
        </w:rPr>
      </w:pPr>
      <w:r>
        <w:rPr>
          <w:rFonts w:hint="eastAsia" w:ascii="宋体" w:hAnsi="宋体"/>
          <w:color w:val="auto"/>
          <w:kern w:val="0"/>
          <w:szCs w:val="21"/>
          <w:highlight w:val="none"/>
        </w:rPr>
        <w:t>注：1、投标人应已完成的类似项目情况填入本表中。</w:t>
      </w:r>
    </w:p>
    <w:p w14:paraId="1C52362E">
      <w:pPr>
        <w:spacing w:before="156" w:beforeLines="50" w:after="156" w:afterLines="50"/>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2、项目概况包括：项目名称、项目规模、金额、服务期限、负责人。</w:t>
      </w:r>
    </w:p>
    <w:p w14:paraId="32178544">
      <w:pPr>
        <w:spacing w:before="156" w:beforeLines="50" w:after="156" w:afterLines="50"/>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3、投标人应在本表后附所填项目的中标通知书或合同协议。</w:t>
      </w:r>
    </w:p>
    <w:p w14:paraId="5E38601B">
      <w:pPr>
        <w:jc w:val="center"/>
        <w:rPr>
          <w:rFonts w:hint="eastAsia" w:ascii="宋体" w:hAnsi="宋体" w:cs="宋体"/>
          <w:b/>
          <w:bCs/>
          <w:color w:val="auto"/>
          <w:kern w:val="0"/>
          <w:sz w:val="28"/>
          <w:szCs w:val="28"/>
          <w:highlight w:val="none"/>
        </w:rPr>
      </w:pPr>
      <w:r>
        <w:rPr>
          <w:color w:val="auto"/>
          <w:kern w:val="0"/>
          <w:sz w:val="30"/>
          <w:szCs w:val="30"/>
          <w:highlight w:val="none"/>
        </w:rPr>
        <w:br w:type="page"/>
      </w:r>
      <w:r>
        <w:rPr>
          <w:rFonts w:hint="eastAsia" w:ascii="宋体" w:hAnsi="宋体" w:cs="宋体"/>
          <w:b/>
          <w:bCs/>
          <w:color w:val="auto"/>
          <w:kern w:val="0"/>
          <w:sz w:val="28"/>
          <w:szCs w:val="28"/>
          <w:highlight w:val="none"/>
        </w:rPr>
        <w:t>(三)投标人正在承担的类似项目情况</w:t>
      </w:r>
    </w:p>
    <w:p w14:paraId="06FD5814">
      <w:pPr>
        <w:rPr>
          <w:rFonts w:hint="eastAsia"/>
          <w:color w:val="auto"/>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33"/>
        <w:gridCol w:w="2256"/>
        <w:gridCol w:w="1854"/>
        <w:gridCol w:w="1433"/>
        <w:gridCol w:w="795"/>
      </w:tblGrid>
      <w:tr w14:paraId="363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26" w:type="dxa"/>
            <w:vAlign w:val="center"/>
          </w:tcPr>
          <w:p w14:paraId="1AB56037">
            <w:pPr>
              <w:jc w:val="center"/>
              <w:rPr>
                <w:rFonts w:hint="eastAsia"/>
                <w:color w:val="auto"/>
                <w:kern w:val="0"/>
                <w:highlight w:val="none"/>
              </w:rPr>
            </w:pPr>
            <w:r>
              <w:rPr>
                <w:rFonts w:hint="eastAsia"/>
                <w:color w:val="auto"/>
                <w:kern w:val="0"/>
                <w:highlight w:val="none"/>
              </w:rPr>
              <w:t>序号</w:t>
            </w:r>
          </w:p>
        </w:tc>
        <w:tc>
          <w:tcPr>
            <w:tcW w:w="1033" w:type="dxa"/>
            <w:vAlign w:val="center"/>
          </w:tcPr>
          <w:p w14:paraId="32527CB7">
            <w:pPr>
              <w:jc w:val="center"/>
              <w:rPr>
                <w:rFonts w:hint="eastAsia"/>
                <w:color w:val="auto"/>
                <w:kern w:val="0"/>
                <w:highlight w:val="none"/>
              </w:rPr>
            </w:pPr>
            <w:r>
              <w:rPr>
                <w:rFonts w:hint="eastAsia"/>
                <w:color w:val="auto"/>
                <w:kern w:val="0"/>
                <w:highlight w:val="none"/>
              </w:rPr>
              <w:t>起止</w:t>
            </w:r>
          </w:p>
          <w:p w14:paraId="18BFBA09">
            <w:pPr>
              <w:jc w:val="center"/>
              <w:rPr>
                <w:color w:val="auto"/>
                <w:kern w:val="0"/>
                <w:highlight w:val="none"/>
              </w:rPr>
            </w:pPr>
            <w:r>
              <w:rPr>
                <w:rFonts w:hint="eastAsia"/>
                <w:color w:val="auto"/>
                <w:kern w:val="0"/>
                <w:highlight w:val="none"/>
              </w:rPr>
              <w:t>时间</w:t>
            </w:r>
          </w:p>
        </w:tc>
        <w:tc>
          <w:tcPr>
            <w:tcW w:w="2256" w:type="dxa"/>
            <w:vAlign w:val="center"/>
          </w:tcPr>
          <w:p w14:paraId="1470D8E9">
            <w:pPr>
              <w:jc w:val="center"/>
              <w:rPr>
                <w:color w:val="auto"/>
                <w:kern w:val="0"/>
                <w:highlight w:val="none"/>
              </w:rPr>
            </w:pPr>
            <w:r>
              <w:rPr>
                <w:rFonts w:hint="eastAsia"/>
                <w:color w:val="auto"/>
                <w:kern w:val="0"/>
                <w:highlight w:val="none"/>
              </w:rPr>
              <w:t>项目概况</w:t>
            </w:r>
          </w:p>
        </w:tc>
        <w:tc>
          <w:tcPr>
            <w:tcW w:w="1854" w:type="dxa"/>
            <w:vAlign w:val="center"/>
          </w:tcPr>
          <w:p w14:paraId="6BE3FB9C">
            <w:pPr>
              <w:jc w:val="center"/>
              <w:rPr>
                <w:color w:val="auto"/>
                <w:kern w:val="0"/>
                <w:highlight w:val="none"/>
              </w:rPr>
            </w:pPr>
            <w:r>
              <w:rPr>
                <w:rFonts w:hint="eastAsia"/>
                <w:color w:val="auto"/>
                <w:kern w:val="0"/>
                <w:highlight w:val="none"/>
              </w:rPr>
              <w:t>业主单位</w:t>
            </w:r>
          </w:p>
        </w:tc>
        <w:tc>
          <w:tcPr>
            <w:tcW w:w="1433" w:type="dxa"/>
            <w:vAlign w:val="center"/>
          </w:tcPr>
          <w:p w14:paraId="37B92169">
            <w:pPr>
              <w:jc w:val="center"/>
              <w:rPr>
                <w:rFonts w:hint="eastAsia"/>
                <w:color w:val="auto"/>
                <w:kern w:val="0"/>
                <w:highlight w:val="none"/>
              </w:rPr>
            </w:pPr>
            <w:r>
              <w:rPr>
                <w:rFonts w:hint="eastAsia"/>
                <w:color w:val="auto"/>
                <w:kern w:val="0"/>
                <w:highlight w:val="none"/>
              </w:rPr>
              <w:t>完成</w:t>
            </w:r>
          </w:p>
          <w:p w14:paraId="3BBF8F79">
            <w:pPr>
              <w:jc w:val="center"/>
              <w:rPr>
                <w:color w:val="auto"/>
                <w:kern w:val="0"/>
                <w:highlight w:val="none"/>
              </w:rPr>
            </w:pPr>
            <w:r>
              <w:rPr>
                <w:rFonts w:hint="eastAsia"/>
                <w:color w:val="auto"/>
                <w:kern w:val="0"/>
                <w:highlight w:val="none"/>
              </w:rPr>
              <w:t>情况</w:t>
            </w:r>
          </w:p>
        </w:tc>
        <w:tc>
          <w:tcPr>
            <w:tcW w:w="795" w:type="dxa"/>
            <w:vAlign w:val="center"/>
          </w:tcPr>
          <w:p w14:paraId="5239274F">
            <w:pPr>
              <w:jc w:val="center"/>
              <w:rPr>
                <w:color w:val="auto"/>
                <w:highlight w:val="none"/>
              </w:rPr>
            </w:pPr>
            <w:r>
              <w:rPr>
                <w:rFonts w:hint="eastAsia"/>
                <w:color w:val="auto"/>
                <w:kern w:val="0"/>
                <w:highlight w:val="none"/>
              </w:rPr>
              <w:t>备注</w:t>
            </w:r>
          </w:p>
        </w:tc>
      </w:tr>
      <w:tr w14:paraId="1781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26" w:type="dxa"/>
          </w:tcPr>
          <w:p w14:paraId="2200B1D4">
            <w:pPr>
              <w:ind w:firstLine="480"/>
              <w:jc w:val="center"/>
              <w:rPr>
                <w:rFonts w:hint="eastAsia"/>
                <w:color w:val="auto"/>
                <w:highlight w:val="none"/>
              </w:rPr>
            </w:pPr>
          </w:p>
        </w:tc>
        <w:tc>
          <w:tcPr>
            <w:tcW w:w="1033" w:type="dxa"/>
            <w:vAlign w:val="center"/>
          </w:tcPr>
          <w:p w14:paraId="3E7A8AD6">
            <w:pPr>
              <w:ind w:firstLine="480"/>
              <w:jc w:val="center"/>
              <w:rPr>
                <w:rFonts w:hint="eastAsia"/>
                <w:color w:val="auto"/>
                <w:highlight w:val="none"/>
              </w:rPr>
            </w:pPr>
          </w:p>
        </w:tc>
        <w:tc>
          <w:tcPr>
            <w:tcW w:w="2256" w:type="dxa"/>
            <w:vAlign w:val="center"/>
          </w:tcPr>
          <w:p w14:paraId="30B3D894">
            <w:pPr>
              <w:ind w:firstLine="480"/>
              <w:jc w:val="center"/>
              <w:rPr>
                <w:rFonts w:hint="eastAsia"/>
                <w:color w:val="auto"/>
                <w:highlight w:val="none"/>
              </w:rPr>
            </w:pPr>
          </w:p>
        </w:tc>
        <w:tc>
          <w:tcPr>
            <w:tcW w:w="1854" w:type="dxa"/>
            <w:vAlign w:val="center"/>
          </w:tcPr>
          <w:p w14:paraId="60DF74F3">
            <w:pPr>
              <w:ind w:firstLine="480"/>
              <w:jc w:val="center"/>
              <w:rPr>
                <w:rFonts w:hint="eastAsia"/>
                <w:color w:val="auto"/>
                <w:highlight w:val="none"/>
              </w:rPr>
            </w:pPr>
          </w:p>
        </w:tc>
        <w:tc>
          <w:tcPr>
            <w:tcW w:w="1433" w:type="dxa"/>
            <w:vAlign w:val="center"/>
          </w:tcPr>
          <w:p w14:paraId="735983B3">
            <w:pPr>
              <w:ind w:firstLine="480"/>
              <w:jc w:val="center"/>
              <w:rPr>
                <w:rFonts w:hint="eastAsia"/>
                <w:color w:val="auto"/>
                <w:highlight w:val="none"/>
              </w:rPr>
            </w:pPr>
          </w:p>
        </w:tc>
        <w:tc>
          <w:tcPr>
            <w:tcW w:w="795" w:type="dxa"/>
            <w:vAlign w:val="center"/>
          </w:tcPr>
          <w:p w14:paraId="50ADAA16">
            <w:pPr>
              <w:ind w:firstLine="480"/>
              <w:jc w:val="center"/>
              <w:rPr>
                <w:rFonts w:hint="eastAsia"/>
                <w:color w:val="auto"/>
                <w:highlight w:val="none"/>
              </w:rPr>
            </w:pPr>
          </w:p>
        </w:tc>
      </w:tr>
      <w:tr w14:paraId="0637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26" w:type="dxa"/>
          </w:tcPr>
          <w:p w14:paraId="3E777E18">
            <w:pPr>
              <w:ind w:firstLine="480"/>
              <w:jc w:val="center"/>
              <w:rPr>
                <w:rFonts w:hint="eastAsia"/>
                <w:color w:val="auto"/>
                <w:highlight w:val="none"/>
              </w:rPr>
            </w:pPr>
          </w:p>
        </w:tc>
        <w:tc>
          <w:tcPr>
            <w:tcW w:w="1033" w:type="dxa"/>
            <w:vAlign w:val="center"/>
          </w:tcPr>
          <w:p w14:paraId="4F879101">
            <w:pPr>
              <w:ind w:firstLine="480"/>
              <w:jc w:val="center"/>
              <w:rPr>
                <w:rFonts w:hint="eastAsia"/>
                <w:color w:val="auto"/>
                <w:highlight w:val="none"/>
              </w:rPr>
            </w:pPr>
          </w:p>
        </w:tc>
        <w:tc>
          <w:tcPr>
            <w:tcW w:w="2256" w:type="dxa"/>
            <w:vAlign w:val="center"/>
          </w:tcPr>
          <w:p w14:paraId="371FAD14">
            <w:pPr>
              <w:ind w:firstLine="480"/>
              <w:jc w:val="center"/>
              <w:rPr>
                <w:rFonts w:hint="eastAsia"/>
                <w:color w:val="auto"/>
                <w:highlight w:val="none"/>
              </w:rPr>
            </w:pPr>
          </w:p>
        </w:tc>
        <w:tc>
          <w:tcPr>
            <w:tcW w:w="1854" w:type="dxa"/>
            <w:vAlign w:val="center"/>
          </w:tcPr>
          <w:p w14:paraId="3CD6D115">
            <w:pPr>
              <w:ind w:firstLine="480"/>
              <w:jc w:val="center"/>
              <w:rPr>
                <w:rFonts w:hint="eastAsia"/>
                <w:color w:val="auto"/>
                <w:highlight w:val="none"/>
              </w:rPr>
            </w:pPr>
          </w:p>
        </w:tc>
        <w:tc>
          <w:tcPr>
            <w:tcW w:w="1433" w:type="dxa"/>
            <w:vAlign w:val="center"/>
          </w:tcPr>
          <w:p w14:paraId="7E8DEF63">
            <w:pPr>
              <w:ind w:firstLine="480"/>
              <w:jc w:val="center"/>
              <w:rPr>
                <w:rFonts w:hint="eastAsia"/>
                <w:color w:val="auto"/>
                <w:highlight w:val="none"/>
              </w:rPr>
            </w:pPr>
          </w:p>
        </w:tc>
        <w:tc>
          <w:tcPr>
            <w:tcW w:w="795" w:type="dxa"/>
            <w:vAlign w:val="center"/>
          </w:tcPr>
          <w:p w14:paraId="6EEC4A67">
            <w:pPr>
              <w:ind w:firstLine="480"/>
              <w:jc w:val="center"/>
              <w:rPr>
                <w:rFonts w:hint="eastAsia"/>
                <w:color w:val="auto"/>
                <w:highlight w:val="none"/>
              </w:rPr>
            </w:pPr>
          </w:p>
        </w:tc>
      </w:tr>
      <w:tr w14:paraId="517E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26" w:type="dxa"/>
          </w:tcPr>
          <w:p w14:paraId="6FCCC6A8">
            <w:pPr>
              <w:ind w:firstLine="480"/>
              <w:jc w:val="center"/>
              <w:rPr>
                <w:rFonts w:hint="eastAsia"/>
                <w:color w:val="auto"/>
                <w:highlight w:val="none"/>
              </w:rPr>
            </w:pPr>
          </w:p>
        </w:tc>
        <w:tc>
          <w:tcPr>
            <w:tcW w:w="1033" w:type="dxa"/>
            <w:vAlign w:val="center"/>
          </w:tcPr>
          <w:p w14:paraId="7E4E8FF9">
            <w:pPr>
              <w:ind w:firstLine="480"/>
              <w:jc w:val="center"/>
              <w:rPr>
                <w:rFonts w:hint="eastAsia"/>
                <w:color w:val="auto"/>
                <w:highlight w:val="none"/>
              </w:rPr>
            </w:pPr>
          </w:p>
        </w:tc>
        <w:tc>
          <w:tcPr>
            <w:tcW w:w="2256" w:type="dxa"/>
            <w:vAlign w:val="center"/>
          </w:tcPr>
          <w:p w14:paraId="7E541D5E">
            <w:pPr>
              <w:ind w:firstLine="480"/>
              <w:jc w:val="center"/>
              <w:rPr>
                <w:rFonts w:hint="eastAsia"/>
                <w:color w:val="auto"/>
                <w:highlight w:val="none"/>
              </w:rPr>
            </w:pPr>
          </w:p>
        </w:tc>
        <w:tc>
          <w:tcPr>
            <w:tcW w:w="1854" w:type="dxa"/>
            <w:vAlign w:val="center"/>
          </w:tcPr>
          <w:p w14:paraId="3F16EFB1">
            <w:pPr>
              <w:ind w:firstLine="480"/>
              <w:jc w:val="center"/>
              <w:rPr>
                <w:rFonts w:hint="eastAsia"/>
                <w:color w:val="auto"/>
                <w:highlight w:val="none"/>
              </w:rPr>
            </w:pPr>
          </w:p>
        </w:tc>
        <w:tc>
          <w:tcPr>
            <w:tcW w:w="1433" w:type="dxa"/>
            <w:vAlign w:val="center"/>
          </w:tcPr>
          <w:p w14:paraId="08E5E10F">
            <w:pPr>
              <w:ind w:firstLine="480"/>
              <w:jc w:val="center"/>
              <w:rPr>
                <w:rFonts w:hint="eastAsia"/>
                <w:color w:val="auto"/>
                <w:highlight w:val="none"/>
              </w:rPr>
            </w:pPr>
          </w:p>
        </w:tc>
        <w:tc>
          <w:tcPr>
            <w:tcW w:w="795" w:type="dxa"/>
            <w:vAlign w:val="center"/>
          </w:tcPr>
          <w:p w14:paraId="7616EAA4">
            <w:pPr>
              <w:ind w:firstLine="480"/>
              <w:jc w:val="center"/>
              <w:rPr>
                <w:rFonts w:hint="eastAsia"/>
                <w:color w:val="auto"/>
                <w:highlight w:val="none"/>
              </w:rPr>
            </w:pPr>
          </w:p>
        </w:tc>
      </w:tr>
      <w:tr w14:paraId="5061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26" w:type="dxa"/>
          </w:tcPr>
          <w:p w14:paraId="257050E5">
            <w:pPr>
              <w:ind w:firstLine="480"/>
              <w:jc w:val="center"/>
              <w:rPr>
                <w:rFonts w:hint="eastAsia"/>
                <w:color w:val="auto"/>
                <w:highlight w:val="none"/>
              </w:rPr>
            </w:pPr>
          </w:p>
        </w:tc>
        <w:tc>
          <w:tcPr>
            <w:tcW w:w="1033" w:type="dxa"/>
            <w:vAlign w:val="center"/>
          </w:tcPr>
          <w:p w14:paraId="61ACFF22">
            <w:pPr>
              <w:ind w:firstLine="480"/>
              <w:jc w:val="center"/>
              <w:rPr>
                <w:rFonts w:hint="eastAsia"/>
                <w:color w:val="auto"/>
                <w:highlight w:val="none"/>
              </w:rPr>
            </w:pPr>
          </w:p>
        </w:tc>
        <w:tc>
          <w:tcPr>
            <w:tcW w:w="2256" w:type="dxa"/>
            <w:vAlign w:val="center"/>
          </w:tcPr>
          <w:p w14:paraId="673CC181">
            <w:pPr>
              <w:ind w:firstLine="480"/>
              <w:jc w:val="center"/>
              <w:rPr>
                <w:rFonts w:hint="eastAsia"/>
                <w:color w:val="auto"/>
                <w:highlight w:val="none"/>
              </w:rPr>
            </w:pPr>
          </w:p>
        </w:tc>
        <w:tc>
          <w:tcPr>
            <w:tcW w:w="1854" w:type="dxa"/>
            <w:vAlign w:val="center"/>
          </w:tcPr>
          <w:p w14:paraId="2700517F">
            <w:pPr>
              <w:ind w:firstLine="480"/>
              <w:jc w:val="center"/>
              <w:rPr>
                <w:rFonts w:hint="eastAsia"/>
                <w:color w:val="auto"/>
                <w:highlight w:val="none"/>
              </w:rPr>
            </w:pPr>
          </w:p>
        </w:tc>
        <w:tc>
          <w:tcPr>
            <w:tcW w:w="1433" w:type="dxa"/>
            <w:vAlign w:val="center"/>
          </w:tcPr>
          <w:p w14:paraId="1C1ACFAC">
            <w:pPr>
              <w:ind w:firstLine="480"/>
              <w:jc w:val="center"/>
              <w:rPr>
                <w:rFonts w:hint="eastAsia"/>
                <w:color w:val="auto"/>
                <w:highlight w:val="none"/>
              </w:rPr>
            </w:pPr>
          </w:p>
        </w:tc>
        <w:tc>
          <w:tcPr>
            <w:tcW w:w="795" w:type="dxa"/>
            <w:vAlign w:val="center"/>
          </w:tcPr>
          <w:p w14:paraId="71035FDC">
            <w:pPr>
              <w:ind w:firstLine="480"/>
              <w:jc w:val="center"/>
              <w:rPr>
                <w:rFonts w:hint="eastAsia"/>
                <w:color w:val="auto"/>
                <w:highlight w:val="none"/>
              </w:rPr>
            </w:pPr>
          </w:p>
        </w:tc>
      </w:tr>
      <w:tr w14:paraId="4982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26" w:type="dxa"/>
          </w:tcPr>
          <w:p w14:paraId="02F63F78">
            <w:pPr>
              <w:ind w:firstLine="480"/>
              <w:jc w:val="center"/>
              <w:rPr>
                <w:rFonts w:hint="eastAsia"/>
                <w:color w:val="auto"/>
                <w:highlight w:val="none"/>
              </w:rPr>
            </w:pPr>
          </w:p>
        </w:tc>
        <w:tc>
          <w:tcPr>
            <w:tcW w:w="1033" w:type="dxa"/>
            <w:vAlign w:val="center"/>
          </w:tcPr>
          <w:p w14:paraId="4BAE7182">
            <w:pPr>
              <w:ind w:firstLine="480"/>
              <w:jc w:val="center"/>
              <w:rPr>
                <w:rFonts w:hint="eastAsia"/>
                <w:color w:val="auto"/>
                <w:highlight w:val="none"/>
              </w:rPr>
            </w:pPr>
          </w:p>
        </w:tc>
        <w:tc>
          <w:tcPr>
            <w:tcW w:w="2256" w:type="dxa"/>
            <w:vAlign w:val="center"/>
          </w:tcPr>
          <w:p w14:paraId="79825FAF">
            <w:pPr>
              <w:ind w:firstLine="480"/>
              <w:jc w:val="center"/>
              <w:rPr>
                <w:rFonts w:hint="eastAsia"/>
                <w:color w:val="auto"/>
                <w:highlight w:val="none"/>
              </w:rPr>
            </w:pPr>
          </w:p>
        </w:tc>
        <w:tc>
          <w:tcPr>
            <w:tcW w:w="1854" w:type="dxa"/>
            <w:vAlign w:val="center"/>
          </w:tcPr>
          <w:p w14:paraId="1C7CB6D7">
            <w:pPr>
              <w:ind w:firstLine="480"/>
              <w:jc w:val="center"/>
              <w:rPr>
                <w:rFonts w:hint="eastAsia"/>
                <w:color w:val="auto"/>
                <w:highlight w:val="none"/>
              </w:rPr>
            </w:pPr>
          </w:p>
        </w:tc>
        <w:tc>
          <w:tcPr>
            <w:tcW w:w="1433" w:type="dxa"/>
            <w:vAlign w:val="center"/>
          </w:tcPr>
          <w:p w14:paraId="2494E805">
            <w:pPr>
              <w:ind w:firstLine="480"/>
              <w:jc w:val="center"/>
              <w:rPr>
                <w:rFonts w:hint="eastAsia"/>
                <w:color w:val="auto"/>
                <w:highlight w:val="none"/>
              </w:rPr>
            </w:pPr>
          </w:p>
        </w:tc>
        <w:tc>
          <w:tcPr>
            <w:tcW w:w="795" w:type="dxa"/>
            <w:vAlign w:val="center"/>
          </w:tcPr>
          <w:p w14:paraId="52DD8177">
            <w:pPr>
              <w:ind w:firstLine="480"/>
              <w:jc w:val="center"/>
              <w:rPr>
                <w:rFonts w:hint="eastAsia"/>
                <w:color w:val="auto"/>
                <w:highlight w:val="none"/>
              </w:rPr>
            </w:pPr>
          </w:p>
        </w:tc>
      </w:tr>
      <w:tr w14:paraId="27B6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026" w:type="dxa"/>
          </w:tcPr>
          <w:p w14:paraId="2ACA2778">
            <w:pPr>
              <w:ind w:firstLine="480"/>
              <w:jc w:val="center"/>
              <w:rPr>
                <w:rFonts w:hint="eastAsia"/>
                <w:color w:val="auto"/>
                <w:highlight w:val="none"/>
              </w:rPr>
            </w:pPr>
          </w:p>
        </w:tc>
        <w:tc>
          <w:tcPr>
            <w:tcW w:w="1033" w:type="dxa"/>
            <w:vAlign w:val="center"/>
          </w:tcPr>
          <w:p w14:paraId="0CE1FDDD">
            <w:pPr>
              <w:ind w:firstLine="480"/>
              <w:jc w:val="center"/>
              <w:rPr>
                <w:rFonts w:hint="eastAsia"/>
                <w:color w:val="auto"/>
                <w:highlight w:val="none"/>
              </w:rPr>
            </w:pPr>
          </w:p>
        </w:tc>
        <w:tc>
          <w:tcPr>
            <w:tcW w:w="2256" w:type="dxa"/>
            <w:vAlign w:val="center"/>
          </w:tcPr>
          <w:p w14:paraId="2DBE2979">
            <w:pPr>
              <w:ind w:firstLine="480"/>
              <w:jc w:val="center"/>
              <w:rPr>
                <w:rFonts w:hint="eastAsia"/>
                <w:color w:val="auto"/>
                <w:highlight w:val="none"/>
              </w:rPr>
            </w:pPr>
          </w:p>
        </w:tc>
        <w:tc>
          <w:tcPr>
            <w:tcW w:w="1854" w:type="dxa"/>
            <w:vAlign w:val="center"/>
          </w:tcPr>
          <w:p w14:paraId="5A8AC240">
            <w:pPr>
              <w:ind w:firstLine="480"/>
              <w:jc w:val="center"/>
              <w:rPr>
                <w:rFonts w:hint="eastAsia"/>
                <w:color w:val="auto"/>
                <w:highlight w:val="none"/>
              </w:rPr>
            </w:pPr>
          </w:p>
        </w:tc>
        <w:tc>
          <w:tcPr>
            <w:tcW w:w="1433" w:type="dxa"/>
            <w:vAlign w:val="center"/>
          </w:tcPr>
          <w:p w14:paraId="7CE161D8">
            <w:pPr>
              <w:ind w:firstLine="480"/>
              <w:jc w:val="center"/>
              <w:rPr>
                <w:rFonts w:hint="eastAsia"/>
                <w:color w:val="auto"/>
                <w:highlight w:val="none"/>
              </w:rPr>
            </w:pPr>
          </w:p>
        </w:tc>
        <w:tc>
          <w:tcPr>
            <w:tcW w:w="795" w:type="dxa"/>
            <w:vAlign w:val="center"/>
          </w:tcPr>
          <w:p w14:paraId="7929E739">
            <w:pPr>
              <w:ind w:firstLine="480"/>
              <w:jc w:val="center"/>
              <w:rPr>
                <w:rFonts w:hint="eastAsia"/>
                <w:color w:val="auto"/>
                <w:highlight w:val="none"/>
              </w:rPr>
            </w:pPr>
          </w:p>
        </w:tc>
      </w:tr>
    </w:tbl>
    <w:p w14:paraId="7F445581">
      <w:pPr>
        <w:spacing w:before="156" w:beforeLines="50" w:after="156" w:afterLine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注：1、投标人应如实将已中标还未签订合同（包括已签订合同但尚未开始）的主要项目情况填入本表中。</w:t>
      </w:r>
    </w:p>
    <w:p w14:paraId="202B3E37">
      <w:pPr>
        <w:spacing w:before="156" w:beforeLines="50" w:after="156" w:afterLines="50"/>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2、项目概况包括：项目名称、项目规模、金额、服务期限、负责人。</w:t>
      </w:r>
    </w:p>
    <w:p w14:paraId="3CCEDE8F">
      <w:pPr>
        <w:ind w:right="-418" w:rightChars="-199"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3、投标人应在本表后附所填项目的中标通知书或合同协议。</w:t>
      </w:r>
    </w:p>
    <w:p w14:paraId="73886353">
      <w:pPr>
        <w:autoSpaceDE w:val="0"/>
        <w:autoSpaceDN w:val="0"/>
        <w:adjustRightInd w:val="0"/>
        <w:spacing w:line="360" w:lineRule="auto"/>
        <w:ind w:firstLine="1960" w:firstLineChars="700"/>
        <w:jc w:val="left"/>
        <w:rPr>
          <w:rFonts w:hint="eastAsia" w:ascii="宋体" w:hAnsi="宋体" w:eastAsia="宋体" w:cs="宋体"/>
          <w:color w:val="auto"/>
          <w:sz w:val="28"/>
          <w:szCs w:val="28"/>
          <w:highlight w:val="none"/>
        </w:rPr>
      </w:pPr>
      <w:r>
        <w:rPr>
          <w:color w:val="auto"/>
          <w:kern w:val="0"/>
          <w:sz w:val="28"/>
          <w:szCs w:val="28"/>
          <w:highlight w:val="none"/>
        </w:rPr>
        <w:br w:type="page"/>
      </w:r>
    </w:p>
    <w:p w14:paraId="395DF07B">
      <w:pPr>
        <w:pStyle w:val="3"/>
        <w:jc w:val="center"/>
        <w:rPr>
          <w:rFonts w:hint="eastAsia" w:ascii="宋体" w:hAnsi="宋体" w:eastAsia="宋体" w:cs="宋体"/>
          <w:color w:val="auto"/>
          <w:sz w:val="30"/>
          <w:szCs w:val="30"/>
          <w:highlight w:val="none"/>
          <w:lang w:val="zh-CN" w:eastAsia="zh-CN"/>
        </w:rPr>
      </w:pPr>
      <w:bookmarkStart w:id="217" w:name="_Toc12311"/>
      <w:bookmarkStart w:id="218" w:name="_Toc21883"/>
      <w:bookmarkStart w:id="219" w:name="_Toc247085892"/>
      <w:bookmarkStart w:id="220" w:name="_Toc246996374"/>
      <w:bookmarkStart w:id="221" w:name="_Toc364364604"/>
      <w:bookmarkStart w:id="222" w:name="_Toc518658848"/>
      <w:bookmarkStart w:id="223" w:name="_Toc246997117"/>
      <w:bookmarkStart w:id="224" w:name="_Toc347385789"/>
      <w:bookmarkStart w:id="225" w:name="_Toc411773184"/>
      <w:bookmarkStart w:id="226" w:name="_Toc429345251"/>
      <w:bookmarkStart w:id="227" w:name="_Toc354066017"/>
      <w:bookmarkStart w:id="228" w:name="_Toc449519155"/>
      <w:bookmarkStart w:id="229" w:name="_Toc449518942"/>
      <w:r>
        <w:rPr>
          <w:rFonts w:hint="eastAsia"/>
          <w:color w:val="auto"/>
          <w:highlight w:val="none"/>
        </w:rPr>
        <w:t>六、</w:t>
      </w:r>
      <w:bookmarkEnd w:id="217"/>
      <w:bookmarkEnd w:id="218"/>
      <w:r>
        <w:rPr>
          <w:rFonts w:hint="eastAsia"/>
          <w:color w:val="auto"/>
          <w:highlight w:val="none"/>
          <w:lang w:eastAsia="zh-CN"/>
        </w:rPr>
        <w:t>供货方案</w:t>
      </w:r>
    </w:p>
    <w:p w14:paraId="3051FE4B">
      <w:pPr>
        <w:widowControl/>
        <w:jc w:val="left"/>
        <w:rPr>
          <w:color w:val="auto"/>
          <w:kern w:val="0"/>
          <w:szCs w:val="21"/>
          <w:highlight w:val="none"/>
        </w:rPr>
      </w:pPr>
    </w:p>
    <w:p w14:paraId="6F3978C7">
      <w:pPr>
        <w:widowControl/>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可编写但不限于以下内容：</w:t>
      </w:r>
    </w:p>
    <w:p w14:paraId="6D21BAAE">
      <w:pPr>
        <w:widowControl/>
        <w:spacing w:line="48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1、供货方案</w:t>
      </w:r>
    </w:p>
    <w:p w14:paraId="224E87F1">
      <w:pPr>
        <w:widowControl/>
        <w:spacing w:line="48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2、质量目标及保证措施</w:t>
      </w:r>
    </w:p>
    <w:p w14:paraId="2E5CC574">
      <w:pPr>
        <w:widowControl/>
        <w:spacing w:line="480" w:lineRule="auto"/>
        <w:jc w:val="left"/>
        <w:rPr>
          <w:rFonts w:hint="eastAsia" w:ascii="宋体" w:hAnsi="宋体" w:cs="宋体"/>
          <w:color w:val="auto"/>
          <w:kern w:val="0"/>
          <w:szCs w:val="21"/>
          <w:highlight w:val="none"/>
          <w:lang w:val="en-US" w:eastAsia="zh-CN"/>
        </w:rPr>
      </w:pPr>
      <w:r>
        <w:rPr>
          <w:rFonts w:hint="eastAsia" w:ascii="宋体" w:hAnsi="宋体" w:cs="楷体"/>
          <w:color w:val="auto"/>
          <w:szCs w:val="21"/>
          <w:highlight w:val="none"/>
          <w:lang w:val="en-US" w:eastAsia="zh-CN"/>
        </w:rPr>
        <w:t>3、</w:t>
      </w:r>
      <w:r>
        <w:rPr>
          <w:rFonts w:hint="eastAsia" w:ascii="宋体" w:hAnsi="宋体" w:cs="楷体"/>
          <w:color w:val="auto"/>
          <w:szCs w:val="21"/>
          <w:highlight w:val="none"/>
        </w:rPr>
        <w:t>进度保证措施</w:t>
      </w:r>
    </w:p>
    <w:p w14:paraId="78F4B8CF">
      <w:pPr>
        <w:widowControl/>
        <w:spacing w:line="48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4、安全管理体系与措施</w:t>
      </w:r>
    </w:p>
    <w:p w14:paraId="72D1081D">
      <w:pPr>
        <w:widowControl/>
        <w:spacing w:line="48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5、紧急情况处理措施</w:t>
      </w:r>
    </w:p>
    <w:p w14:paraId="3CDFECF4">
      <w:pPr>
        <w:widowControl/>
        <w:spacing w:line="480" w:lineRule="auto"/>
        <w:jc w:val="left"/>
        <w:rPr>
          <w:rFonts w:hint="eastAsia" w:ascii="宋体" w:hAnsi="宋体" w:eastAsia="黑体" w:cs="宋体"/>
          <w:color w:val="auto"/>
          <w:kern w:val="0"/>
          <w:szCs w:val="21"/>
          <w:highlight w:val="none"/>
        </w:rPr>
      </w:pPr>
      <w:r>
        <w:rPr>
          <w:rFonts w:hint="eastAsia" w:ascii="宋体" w:hAnsi="宋体" w:eastAsia="黑体" w:cs="宋体"/>
          <w:color w:val="auto"/>
          <w:kern w:val="0"/>
          <w:szCs w:val="21"/>
          <w:highlight w:val="none"/>
        </w:rPr>
        <w:t>...........</w:t>
      </w:r>
    </w:p>
    <w:p w14:paraId="670E01D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F649981">
      <w:pPr>
        <w:pStyle w:val="3"/>
        <w:jc w:val="center"/>
        <w:rPr>
          <w:rFonts w:hint="eastAsia" w:ascii="宋体" w:cs="宋体"/>
          <w:color w:val="auto"/>
          <w:kern w:val="0"/>
          <w:highlight w:val="none"/>
        </w:rPr>
      </w:pPr>
      <w:bookmarkStart w:id="230" w:name="_Toc19207"/>
      <w:bookmarkStart w:id="231" w:name="_Toc17481"/>
      <w:r>
        <w:rPr>
          <w:rFonts w:hint="eastAsia"/>
          <w:color w:val="auto"/>
          <w:highlight w:val="none"/>
        </w:rPr>
        <w:t>七、其他资料</w:t>
      </w:r>
      <w:bookmarkEnd w:id="230"/>
      <w:bookmarkEnd w:id="231"/>
    </w:p>
    <w:p w14:paraId="2A9AED38">
      <w:pPr>
        <w:pStyle w:val="17"/>
        <w:ind w:left="0" w:leftChars="0" w:firstLine="0" w:firstLineChars="0"/>
        <w:rPr>
          <w:rFonts w:hint="eastAsia"/>
          <w:color w:val="auto"/>
          <w:highlight w:val="none"/>
          <w:lang w:val="en-US" w:eastAsia="zh-CN"/>
        </w:rPr>
      </w:pPr>
      <w:r>
        <w:rPr>
          <w:rFonts w:hint="eastAsia"/>
          <w:color w:val="auto"/>
          <w:highlight w:val="none"/>
          <w:lang w:val="en-US" w:eastAsia="zh-CN"/>
        </w:rPr>
        <w:t>1、信誉承诺书</w:t>
      </w:r>
    </w:p>
    <w:p w14:paraId="020B0116">
      <w:pPr>
        <w:keepNext w:val="0"/>
        <w:keepLines w:val="0"/>
        <w:pageBreakBefore w:val="0"/>
        <w:widowControl w:val="0"/>
        <w:kinsoku/>
        <w:wordWrap/>
        <w:overflowPunct/>
        <w:topLinePunct w:val="0"/>
        <w:autoSpaceDE/>
        <w:autoSpaceDN/>
        <w:bidi w:val="0"/>
        <w:adjustRightInd/>
        <w:snapToGrid/>
        <w:spacing w:line="300" w:lineRule="atLeast"/>
        <w:textAlignment w:val="auto"/>
        <w:rPr>
          <w:rFonts w:hint="eastAsia" w:ascii="宋体" w:hAnsi="宋体" w:eastAsia="宋体" w:cs="楷体"/>
          <w:color w:val="auto"/>
          <w:kern w:val="0"/>
          <w:szCs w:val="21"/>
          <w:highlight w:val="none"/>
          <w:lang w:val="zh-CN"/>
        </w:rPr>
      </w:pPr>
    </w:p>
    <w:p w14:paraId="076F6FCE">
      <w:pPr>
        <w:pStyle w:val="17"/>
        <w:ind w:left="0" w:leftChars="0" w:firstLine="0" w:firstLineChars="0"/>
        <w:rPr>
          <w:rFonts w:hint="default" w:eastAsia="宋体" w:cs="Times New Roman"/>
          <w:color w:val="auto"/>
          <w:highlight w:val="none"/>
          <w:lang w:val="en-US" w:eastAsia="zh-CN"/>
        </w:rPr>
      </w:pPr>
      <w:bookmarkStart w:id="232" w:name="_Toc22127"/>
      <w:bookmarkStart w:id="233" w:name="_Toc31792"/>
      <w:bookmarkStart w:id="234" w:name="_Toc65762322"/>
      <w:r>
        <w:rPr>
          <w:rFonts w:hint="eastAsia" w:cs="Times New Roman"/>
          <w:color w:val="auto"/>
          <w:highlight w:val="none"/>
          <w:lang w:val="en-US" w:eastAsia="zh-CN"/>
        </w:rPr>
        <w:t>2</w:t>
      </w:r>
      <w:r>
        <w:rPr>
          <w:rFonts w:hint="eastAsia" w:eastAsia="宋体" w:cs="Times New Roman"/>
          <w:color w:val="auto"/>
          <w:highlight w:val="none"/>
          <w:lang w:val="en-US" w:eastAsia="zh-CN"/>
        </w:rPr>
        <w:t>、供应商认为有必要提供的其他材料</w:t>
      </w:r>
    </w:p>
    <w:p w14:paraId="602AE5C2">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687F2187">
      <w:pPr>
        <w:spacing w:line="312"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、中小企业声明函</w:t>
      </w:r>
    </w:p>
    <w:p w14:paraId="4B518AF1">
      <w:pPr>
        <w:spacing w:line="312" w:lineRule="auto"/>
        <w:jc w:val="center"/>
        <w:rPr>
          <w:rFonts w:hint="eastAsia" w:ascii="宋体" w:hAnsi="宋体" w:eastAsia="宋体" w:cs="宋体"/>
          <w:b/>
          <w:color w:val="auto"/>
          <w:sz w:val="28"/>
          <w:szCs w:val="28"/>
          <w:highlight w:val="none"/>
        </w:rPr>
      </w:pPr>
    </w:p>
    <w:p w14:paraId="71AF0F4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w:t>
      </w:r>
      <w:r>
        <w:rPr>
          <w:rFonts w:hint="eastAsia" w:ascii="宋体" w:hAnsi="宋体" w:cs="宋体"/>
          <w:color w:val="auto"/>
          <w:kern w:val="0"/>
          <w:szCs w:val="21"/>
          <w:highlight w:val="none"/>
        </w:rPr>
        <w:t>本公司（联合体）郑重声明，根据《政府采购促进中小企业发展管理办法》（财库﹝2020﹞46号）的规定，本公司（联合体）参加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 xml:space="preserve">采购活动，提供的货物全部由符合政策要求的中小企业制造。相关企业（含联合体中的中小企业、签订分包意向协议的中小企业）的具体情况如下： </w:t>
      </w:r>
    </w:p>
    <w:p w14:paraId="0C79CB7D">
      <w:pPr>
        <w:numPr>
          <w:ilvl w:val="0"/>
          <w:numId w:val="8"/>
        </w:num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w:t>
      </w:r>
      <w:r>
        <w:rPr>
          <w:rFonts w:hint="eastAsia" w:ascii="宋体" w:hAnsi="宋体" w:cs="宋体"/>
          <w:color w:val="auto"/>
          <w:szCs w:val="21"/>
          <w:highlight w:val="none"/>
        </w:rPr>
        <w:t>；</w:t>
      </w:r>
      <w:r>
        <w:rPr>
          <w:rFonts w:hint="eastAsia" w:ascii="宋体" w:hAnsi="宋体" w:cs="宋体"/>
          <w:color w:val="auto"/>
          <w:kern w:val="0"/>
          <w:szCs w:val="21"/>
          <w:highlight w:val="none"/>
        </w:rPr>
        <w:t>制造商为</w:t>
      </w:r>
      <w:r>
        <w:rPr>
          <w:rFonts w:hint="eastAsia" w:ascii="宋体" w:hAnsi="宋体" w:cs="宋体"/>
          <w:color w:val="auto"/>
          <w:szCs w:val="21"/>
          <w:highlight w:val="none"/>
          <w:u w:val="single"/>
        </w:rPr>
        <w:t xml:space="preserve">    （企业名称）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87A8083">
      <w:pPr>
        <w:numPr>
          <w:ilvl w:val="0"/>
          <w:numId w:val="8"/>
        </w:num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w:t>
      </w:r>
      <w:r>
        <w:rPr>
          <w:rFonts w:hint="eastAsia" w:ascii="宋体" w:hAnsi="宋体" w:cs="宋体"/>
          <w:color w:val="auto"/>
          <w:szCs w:val="21"/>
          <w:highlight w:val="none"/>
        </w:rPr>
        <w:t>；</w:t>
      </w:r>
      <w:r>
        <w:rPr>
          <w:rFonts w:hint="eastAsia" w:ascii="宋体" w:hAnsi="宋体" w:cs="宋体"/>
          <w:color w:val="auto"/>
          <w:kern w:val="0"/>
          <w:szCs w:val="21"/>
          <w:highlight w:val="none"/>
        </w:rPr>
        <w:t>制造商为</w:t>
      </w:r>
      <w:r>
        <w:rPr>
          <w:rFonts w:hint="eastAsia" w:ascii="宋体" w:hAnsi="宋体" w:cs="宋体"/>
          <w:color w:val="auto"/>
          <w:szCs w:val="21"/>
          <w:highlight w:val="none"/>
          <w:u w:val="single"/>
        </w:rPr>
        <w:t xml:space="preserve">    （企业名称）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4C80DA67">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w:t>
      </w:r>
    </w:p>
    <w:p w14:paraId="0438B2B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7A9DB994">
      <w:pPr>
        <w:spacing w:line="312" w:lineRule="auto"/>
        <w:ind w:firstLine="420" w:firstLineChars="200"/>
        <w:rPr>
          <w:color w:val="auto"/>
          <w:highlight w:val="none"/>
          <w:lang w:eastAsia="zh-CN"/>
        </w:rPr>
      </w:pPr>
      <w:r>
        <w:rPr>
          <w:rFonts w:hint="eastAsia" w:ascii="宋体" w:hAnsi="宋体" w:cs="宋体"/>
          <w:color w:val="auto"/>
          <w:kern w:val="0"/>
          <w:szCs w:val="21"/>
          <w:highlight w:val="none"/>
        </w:rPr>
        <w:t>本企业对上述声明内容的真实性负责。如有虚假，将依法承担相应责任。</w:t>
      </w:r>
    </w:p>
    <w:p w14:paraId="426B43AD">
      <w:pPr>
        <w:spacing w:line="312" w:lineRule="auto"/>
        <w:ind w:firstLine="405"/>
        <w:rPr>
          <w:color w:val="auto"/>
          <w:highlight w:val="none"/>
          <w:lang w:eastAsia="zh-CN"/>
        </w:rPr>
      </w:pPr>
    </w:p>
    <w:p w14:paraId="7020257D">
      <w:pPr>
        <w:spacing w:line="312" w:lineRule="auto"/>
        <w:ind w:firstLine="405"/>
        <w:rPr>
          <w:color w:val="auto"/>
          <w:highlight w:val="none"/>
          <w:lang w:eastAsia="zh-CN"/>
        </w:rPr>
      </w:pPr>
    </w:p>
    <w:p w14:paraId="2F734269">
      <w:pPr>
        <w:spacing w:line="312" w:lineRule="auto"/>
        <w:ind w:firstLine="405"/>
        <w:rPr>
          <w:color w:val="auto"/>
          <w:highlight w:val="none"/>
          <w:lang w:eastAsia="zh-CN"/>
        </w:rPr>
      </w:pPr>
    </w:p>
    <w:p w14:paraId="1CE36C1B">
      <w:pPr>
        <w:spacing w:line="312" w:lineRule="auto"/>
        <w:ind w:firstLine="405"/>
        <w:rPr>
          <w:color w:val="auto"/>
          <w:highlight w:val="none"/>
          <w:lang w:eastAsia="zh-CN"/>
        </w:rPr>
      </w:pPr>
    </w:p>
    <w:p w14:paraId="55A73526">
      <w:pPr>
        <w:spacing w:line="312" w:lineRule="auto"/>
        <w:ind w:firstLine="405"/>
        <w:rPr>
          <w:color w:val="auto"/>
          <w:highlight w:val="none"/>
          <w:lang w:eastAsia="zh-CN"/>
        </w:rPr>
      </w:pPr>
    </w:p>
    <w:p w14:paraId="724520FC">
      <w:pPr>
        <w:spacing w:line="312" w:lineRule="auto"/>
        <w:rPr>
          <w:color w:val="auto"/>
          <w:highlight w:val="none"/>
          <w:lang w:eastAsia="zh-CN"/>
        </w:rPr>
      </w:pPr>
      <w:r>
        <w:rPr>
          <w:rFonts w:hint="eastAsia"/>
          <w:color w:val="auto"/>
          <w:highlight w:val="none"/>
          <w:lang w:eastAsia="zh-CN"/>
        </w:rPr>
        <w:t xml:space="preserve">　　　　　　 　　　　　　　　　　　　　　 　企业名称（盖章）： </w:t>
      </w:r>
    </w:p>
    <w:p w14:paraId="3707B550">
      <w:pPr>
        <w:spacing w:line="312" w:lineRule="auto"/>
        <w:rPr>
          <w:color w:val="auto"/>
          <w:highlight w:val="none"/>
          <w:lang w:eastAsia="zh-CN"/>
        </w:rPr>
      </w:pPr>
    </w:p>
    <w:p w14:paraId="75E071FC">
      <w:pPr>
        <w:spacing w:line="312" w:lineRule="auto"/>
        <w:rPr>
          <w:color w:val="auto"/>
          <w:highlight w:val="none"/>
          <w:lang w:eastAsia="zh-CN"/>
        </w:rPr>
      </w:pPr>
    </w:p>
    <w:p w14:paraId="600BEA67">
      <w:pPr>
        <w:autoSpaceDE w:val="0"/>
        <w:autoSpaceDN w:val="0"/>
        <w:adjustRightInd w:val="0"/>
        <w:ind w:firstLine="4620" w:firstLineChars="2200"/>
        <w:rPr>
          <w:color w:val="auto"/>
          <w:highlight w:val="none"/>
          <w:lang w:eastAsia="zh-CN"/>
        </w:rPr>
      </w:pPr>
      <w:r>
        <w:rPr>
          <w:rFonts w:hint="eastAsia"/>
          <w:color w:val="auto"/>
          <w:highlight w:val="none"/>
          <w:lang w:eastAsia="zh-CN"/>
        </w:rPr>
        <w:t>日 期：　</w:t>
      </w:r>
    </w:p>
    <w:p w14:paraId="03D017BC">
      <w:pPr>
        <w:pStyle w:val="25"/>
        <w:tabs>
          <w:tab w:val="left" w:pos="360"/>
        </w:tabs>
        <w:ind w:left="440" w:firstLine="682"/>
        <w:rPr>
          <w:color w:val="auto"/>
          <w:sz w:val="22"/>
          <w:szCs w:val="22"/>
          <w:highlight w:val="none"/>
        </w:rPr>
      </w:pPr>
    </w:p>
    <w:p w14:paraId="3BD4A531">
      <w:pPr>
        <w:spacing w:line="312" w:lineRule="auto"/>
        <w:ind w:firstLine="405"/>
        <w:rPr>
          <w:rFonts w:hint="eastAsia" w:ascii="宋体" w:hAnsi="宋体"/>
          <w:b w:val="0"/>
          <w:bCs w:val="0"/>
          <w:color w:val="auto"/>
          <w:sz w:val="21"/>
          <w:szCs w:val="21"/>
          <w:highlight w:val="none"/>
        </w:rPr>
      </w:pPr>
      <w:r>
        <w:rPr>
          <w:rFonts w:hint="eastAsia" w:ascii="宋体" w:hAnsi="宋体" w:eastAsia="宋体" w:cs="宋体"/>
          <w:b w:val="0"/>
          <w:bCs w:val="0"/>
          <w:color w:val="auto"/>
          <w:kern w:val="2"/>
          <w:sz w:val="21"/>
          <w:szCs w:val="21"/>
          <w:highlight w:val="none"/>
          <w:lang w:eastAsia="zh-CN"/>
        </w:rPr>
        <w:t>注：1从业人员、营业收入、资产总额填报上一年度数据，无上一年度数据的新成立企业可不填报。</w:t>
      </w:r>
    </w:p>
    <w:p w14:paraId="4A4AA3C0">
      <w:pPr>
        <w:spacing w:line="312" w:lineRule="auto"/>
        <w:ind w:firstLine="105" w:firstLineChars="50"/>
        <w:rPr>
          <w:rFonts w:hint="eastAsia" w:ascii="宋体" w:hAnsi="宋体" w:eastAsia="宋体" w:cs="宋体"/>
          <w:color w:val="auto"/>
          <w:szCs w:val="21"/>
          <w:highlight w:val="none"/>
        </w:rPr>
      </w:pPr>
    </w:p>
    <w:p w14:paraId="2ACD085F">
      <w:pPr>
        <w:spacing w:line="312" w:lineRule="auto"/>
        <w:ind w:firstLine="105" w:firstLineChars="50"/>
        <w:rPr>
          <w:rFonts w:hint="eastAsia" w:ascii="宋体" w:hAnsi="宋体" w:eastAsia="宋体" w:cs="宋体"/>
          <w:color w:val="auto"/>
          <w:szCs w:val="21"/>
          <w:highlight w:val="none"/>
        </w:rPr>
      </w:pPr>
    </w:p>
    <w:bookmarkEnd w:id="213"/>
    <w:bookmarkEnd w:id="214"/>
    <w:bookmarkEnd w:id="215"/>
    <w:bookmarkEnd w:id="216"/>
    <w:bookmarkEnd w:id="219"/>
    <w:bookmarkEnd w:id="220"/>
    <w:bookmarkEnd w:id="221"/>
    <w:bookmarkEnd w:id="222"/>
    <w:bookmarkEnd w:id="223"/>
    <w:bookmarkEnd w:id="224"/>
    <w:bookmarkEnd w:id="225"/>
    <w:bookmarkEnd w:id="226"/>
    <w:bookmarkEnd w:id="227"/>
    <w:bookmarkEnd w:id="228"/>
    <w:bookmarkEnd w:id="229"/>
    <w:bookmarkEnd w:id="232"/>
    <w:bookmarkEnd w:id="233"/>
    <w:bookmarkEnd w:id="234"/>
    <w:p w14:paraId="2C9A4F83">
      <w:pPr>
        <w:spacing w:line="312" w:lineRule="auto"/>
        <w:jc w:val="both"/>
        <w:rPr>
          <w:rFonts w:hint="eastAsia" w:ascii="宋体" w:hAnsi="宋体" w:eastAsia="宋体" w:cs="宋体"/>
          <w:b/>
          <w:bCs/>
          <w:color w:val="auto"/>
          <w:sz w:val="32"/>
          <w:szCs w:val="32"/>
          <w:highlight w:val="none"/>
          <w:lang w:val="en-US" w:eastAsia="zh-CN"/>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RLDHRH+å®ä½">
    <w:altName w:val="Segoe Print"/>
    <w:panose1 w:val="02010600030000010101"/>
    <w:charset w:val="00"/>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宋体-18030">
    <w:altName w:val="微软雅黑"/>
    <w:panose1 w:val="00000000000000000000"/>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B8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8089">
    <w:pPr>
      <w:pStyle w:val="18"/>
      <w:jc w:val="center"/>
    </w:pPr>
  </w:p>
  <w:p w14:paraId="168D73A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3C8F">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2E4EB4">
                          <w:pPr>
                            <w:pStyle w:val="18"/>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632E4EB4">
                    <w:pPr>
                      <w:pStyle w:val="18"/>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074D">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90FC78">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5SfRAQAAng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smeUn0QEAAJ4DAAAOAAAAAAAAAAEAIAAAAB8BAABk&#10;cnMvZTJvRG9jLnhtbFBLBQYAAAAABgAGAFkBAABiBQAAAAA=&#10;">
              <v:fill on="f" focussize="0,0"/>
              <v:stroke on="f"/>
              <v:imagedata o:title=""/>
              <o:lock v:ext="edit" aspectratio="f"/>
              <v:textbox inset="0mm,0mm,0mm,0mm" style="mso-fit-shape-to-text:t;">
                <w:txbxContent>
                  <w:p w14:paraId="7B90FC78">
                    <w:pPr>
                      <w:pStyle w:val="18"/>
                    </w:pPr>
                    <w:r>
                      <w:fldChar w:fldCharType="begin"/>
                    </w:r>
                    <w:r>
                      <w:instrText xml:space="preserve"> PAGE  \* MERGEFORMAT </w:instrText>
                    </w:r>
                    <w:r>
                      <w:fldChar w:fldCharType="separate"/>
                    </w:r>
                    <w:r>
                      <w:t>1</w:t>
                    </w:r>
                    <w:r>
                      <w:fldChar w:fldCharType="end"/>
                    </w:r>
                  </w:p>
                </w:txbxContent>
              </v:textbox>
            </v:rect>
          </w:pict>
        </mc:Fallback>
      </mc:AlternateContent>
    </w:r>
  </w:p>
  <w:p w14:paraId="250A8AC2">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9618">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D38ED3">
                          <w:pPr>
                            <w:pStyle w:val="18"/>
                          </w:pPr>
                          <w:r>
                            <w:fldChar w:fldCharType="begin"/>
                          </w:r>
                          <w:r>
                            <w:instrText xml:space="preserve"> PAGE  \* MERGEFORMAT </w:instrText>
                          </w:r>
                          <w:r>
                            <w:fldChar w:fldCharType="separate"/>
                          </w:r>
                          <w:r>
                            <w:t>23</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uLiJfTAQAAngMAAA4AAABkcnMvZTJvRG9jLnhtbK1TS27bMBDdF+gd&#10;CO5ryUbRO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15dceaEpTc//fxx+vXn&#10;9Ps7e58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uLiJfTAQAAngMAAA4AAAAAAAAAAQAgAAAAHwEA&#10;AGRycy9lMm9Eb2MueG1sUEsFBgAAAAAGAAYAWQEAAGQFAAAAAA==&#10;">
              <v:fill on="f" focussize="0,0"/>
              <v:stroke on="f"/>
              <v:imagedata o:title=""/>
              <o:lock v:ext="edit" aspectratio="f"/>
              <v:textbox inset="0mm,0mm,0mm,0mm" style="mso-fit-shape-to-text:t;">
                <w:txbxContent>
                  <w:p w14:paraId="63D38ED3">
                    <w:pPr>
                      <w:pStyle w:val="18"/>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13ED">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9783F2">
                          <w:pPr>
                            <w:pStyle w:val="18"/>
                          </w:pPr>
                          <w:r>
                            <w:fldChar w:fldCharType="begin"/>
                          </w:r>
                          <w:r>
                            <w:instrText xml:space="preserve"> PAGE  \* MERGEFORMAT </w:instrText>
                          </w:r>
                          <w:r>
                            <w:fldChar w:fldCharType="separate"/>
                          </w:r>
                          <w:r>
                            <w:t>22</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mV8SrQAQAAngMAAA4AAAAAAAAAAQAgAAAAHwEAAGRy&#10;cy9lMm9Eb2MueG1sUEsFBgAAAAAGAAYAWQEAAGEFAAAAAA==&#10;">
              <v:fill on="f" focussize="0,0"/>
              <v:stroke on="f"/>
              <v:imagedata o:title=""/>
              <o:lock v:ext="edit" aspectratio="f"/>
              <v:textbox inset="0mm,0mm,0mm,0mm" style="mso-fit-shape-to-text:t;">
                <w:txbxContent>
                  <w:p w14:paraId="069783F2">
                    <w:pPr>
                      <w:pStyle w:val="18"/>
                    </w:pPr>
                    <w:r>
                      <w:fldChar w:fldCharType="begin"/>
                    </w:r>
                    <w:r>
                      <w:instrText xml:space="preserve"> PAGE  \* MERGEFORMAT </w:instrText>
                    </w:r>
                    <w:r>
                      <w:fldChar w:fldCharType="separate"/>
                    </w:r>
                    <w:r>
                      <w:t>22</w:t>
                    </w:r>
                    <w:r>
                      <w:fldChar w:fldCharType="end"/>
                    </w:r>
                  </w:p>
                </w:txbxContent>
              </v:textbox>
            </v:rect>
          </w:pict>
        </mc:Fallback>
      </mc:AlternateContent>
    </w:r>
  </w:p>
  <w:p w14:paraId="6FF96A31">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8E94">
    <w:pPr>
      <w:spacing w:line="235" w:lineRule="auto"/>
      <w:ind w:left="104"/>
      <w:rPr>
        <w:rFonts w:ascii="宋体" w:hAnsi="宋体" w:eastAsia="宋体" w:cs="宋体"/>
        <w:sz w:val="31"/>
        <w:szCs w:val="31"/>
      </w:rPr>
    </w:pPr>
    <w:r>
      <w:rPr>
        <w:sz w:val="3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CE77E4">
                          <w:pPr>
                            <w:pStyle w:val="18"/>
                          </w:pPr>
                          <w:r>
                            <w:fldChar w:fldCharType="begin"/>
                          </w:r>
                          <w:r>
                            <w:instrText xml:space="preserve"> PAGE  \* MERGEFORMAT </w:instrText>
                          </w:r>
                          <w:r>
                            <w:fldChar w:fldCharType="separate"/>
                          </w:r>
                          <w:r>
                            <w:t>22</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xBq1jSAQAAngMAAA4AAABkcnMvZTJvRG9jLnhtbK1TzY7TMBC+I/EO&#10;lu80SUG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qcqKMycsvfnl54/Lrz+X&#10;39/Z6+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jEGrWNIBAACeAwAADgAAAAAAAAABACAAAAAfAQAA&#10;ZHJzL2Uyb0RvYy54bWxQSwUGAAAAAAYABgBZAQAAYwUAAAAA&#10;">
              <v:fill on="f" focussize="0,0"/>
              <v:stroke on="f"/>
              <v:imagedata o:title=""/>
              <o:lock v:ext="edit" aspectratio="f"/>
              <v:textbox inset="0mm,0mm,0mm,0mm" style="mso-fit-shape-to-text:t;">
                <w:txbxContent>
                  <w:p w14:paraId="07CE77E4">
                    <w:pPr>
                      <w:pStyle w:val="18"/>
                    </w:pPr>
                    <w:r>
                      <w:fldChar w:fldCharType="begin"/>
                    </w:r>
                    <w:r>
                      <w:instrText xml:space="preserve"> PAGE  \* MERGEFORMAT </w:instrText>
                    </w:r>
                    <w:r>
                      <w:fldChar w:fldCharType="separate"/>
                    </w:r>
                    <w:r>
                      <w:t>22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6"/>
      <w:lvlText w:val="           "/>
      <w:lvlJc w:val="left"/>
      <w:pPr>
        <w:tabs>
          <w:tab w:val="left" w:pos="1440"/>
        </w:tabs>
        <w:ind w:left="1152" w:hanging="1152"/>
      </w:pPr>
      <w:rPr>
        <w:rFonts w:hint="eastAsia"/>
      </w:rPr>
    </w:lvl>
    <w:lvl w:ilvl="6" w:tentative="0">
      <w:start w:val="1"/>
      <w:numFmt w:val="decimal"/>
      <w:pStyle w:val="7"/>
      <w:lvlText w:val="%1.%2.%3.%4.%5.%6.%7"/>
      <w:lvlJc w:val="left"/>
      <w:pPr>
        <w:tabs>
          <w:tab w:val="left" w:pos="2520"/>
        </w:tabs>
        <w:ind w:left="1296" w:hanging="1296"/>
      </w:pPr>
      <w:rPr>
        <w:rFonts w:hint="eastAsia"/>
      </w:rPr>
    </w:lvl>
    <w:lvl w:ilvl="7" w:tentative="0">
      <w:start w:val="1"/>
      <w:numFmt w:val="decimal"/>
      <w:pStyle w:val="8"/>
      <w:lvlText w:val="%1.%2.%3.%4.%5.%6.%7.%8"/>
      <w:lvlJc w:val="left"/>
      <w:pPr>
        <w:tabs>
          <w:tab w:val="left" w:pos="1440"/>
        </w:tabs>
        <w:ind w:left="1440" w:hanging="1440"/>
      </w:pPr>
      <w:rPr>
        <w:rFonts w:hint="eastAsia"/>
      </w:rPr>
    </w:lvl>
    <w:lvl w:ilvl="8" w:tentative="0">
      <w:start w:val="1"/>
      <w:numFmt w:val="decimal"/>
      <w:pStyle w:val="9"/>
      <w:lvlText w:val="%1.%2.%3.%4.%5.%6.%7.%8.%9"/>
      <w:lvlJc w:val="left"/>
      <w:pPr>
        <w:tabs>
          <w:tab w:val="left" w:pos="1584"/>
        </w:tabs>
        <w:ind w:left="1584" w:hanging="1584"/>
      </w:pPr>
      <w:rPr>
        <w:rFonts w:hint="eastAsia"/>
      </w:rPr>
    </w:lvl>
  </w:abstractNum>
  <w:abstractNum w:abstractNumId="3">
    <w:nsid w:val="00000003"/>
    <w:multiLevelType w:val="multilevel"/>
    <w:tmpl w:val="0000000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4"/>
    <w:multiLevelType w:val="singleLevel"/>
    <w:tmpl w:val="00000004"/>
    <w:lvl w:ilvl="0" w:tentative="0">
      <w:start w:val="2"/>
      <w:numFmt w:val="chineseCounting"/>
      <w:suff w:val="nothing"/>
      <w:lvlText w:val="%1、"/>
      <w:lvlJc w:val="left"/>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space"/>
      <w:lvlText w:val="%1."/>
      <w:lvlJc w:val="left"/>
      <w:pPr>
        <w:ind w:left="420" w:firstLine="0"/>
      </w:pPr>
    </w:lvl>
  </w:abstractNum>
  <w:abstractNum w:abstractNumId="7">
    <w:nsid w:val="00000007"/>
    <w:multiLevelType w:val="singleLevel"/>
    <w:tmpl w:val="00000007"/>
    <w:lvl w:ilvl="0" w:tentative="0">
      <w:start w:val="17"/>
      <w:numFmt w:val="chineseCounting"/>
      <w:suff w:val="space"/>
      <w:lvlText w:val="第%1条"/>
      <w:lvlJc w:val="left"/>
      <w:rPr>
        <w:rFonts w:hint="eastAsia"/>
      </w:rPr>
    </w:lvl>
  </w:abstractNum>
  <w:num w:numId="1">
    <w:abstractNumId w:val="2"/>
  </w:num>
  <w:num w:numId="2">
    <w:abstractNumId w:val="0"/>
  </w:num>
  <w:num w:numId="3">
    <w:abstractNumId w:val="7"/>
  </w:num>
  <w:num w:numId="4">
    <w:abstractNumId w:val="5"/>
  </w:num>
  <w:num w:numId="5">
    <w:abstractNumId w:val="4"/>
  </w:num>
  <w:num w:numId="6">
    <w:abstractNumId w:val="1"/>
  </w:num>
  <w:num w:numId="7">
    <w:abstractNumId w:val="3"/>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0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0"/>
    <w:pPr>
      <w:keepNext/>
      <w:widowControl/>
      <w:numPr>
        <w:ilvl w:val="0"/>
        <w:numId w:val="1"/>
      </w:numPr>
      <w:jc w:val="center"/>
      <w:outlineLvl w:val="0"/>
    </w:pPr>
    <w:rPr>
      <w:rFonts w:ascii="黑体" w:hAnsi="黑体" w:eastAsia="宋体" w:cs="Times New Roman"/>
      <w:b/>
      <w:kern w:val="0"/>
      <w:sz w:val="32"/>
      <w:szCs w:val="20"/>
    </w:rPr>
  </w:style>
  <w:style w:type="paragraph" w:styleId="3">
    <w:name w:val="heading 2"/>
    <w:basedOn w:val="1"/>
    <w:next w:val="1"/>
    <w:link w:val="31"/>
    <w:qFormat/>
    <w:uiPriority w:val="0"/>
    <w:pPr>
      <w:keepNext/>
      <w:keepLines/>
      <w:spacing w:line="240" w:lineRule="auto"/>
      <w:jc w:val="center"/>
      <w:outlineLvl w:val="1"/>
    </w:pPr>
    <w:rPr>
      <w:rFonts w:ascii="Arial" w:hAnsi="Arial" w:eastAsia="宋体" w:cs="Times New Roman"/>
      <w:b/>
      <w:bCs/>
      <w:sz w:val="30"/>
      <w:szCs w:val="32"/>
    </w:rPr>
  </w:style>
  <w:style w:type="paragraph" w:styleId="4">
    <w:name w:val="heading 3"/>
    <w:basedOn w:val="1"/>
    <w:next w:val="1"/>
    <w:link w:val="32"/>
    <w:qFormat/>
    <w:uiPriority w:val="0"/>
    <w:pPr>
      <w:keepNext/>
      <w:keepLines/>
      <w:widowControl/>
      <w:numPr>
        <w:ilvl w:val="2"/>
        <w:numId w:val="1"/>
      </w:numPr>
      <w:tabs>
        <w:tab w:val="left" w:pos="432"/>
      </w:tabs>
      <w:autoSpaceDE w:val="0"/>
      <w:autoSpaceDN w:val="0"/>
      <w:spacing w:line="240" w:lineRule="auto"/>
      <w:jc w:val="left"/>
      <w:outlineLvl w:val="2"/>
    </w:pPr>
    <w:rPr>
      <w:rFonts w:ascii="Times New Roman" w:hAnsi="Times New Roman" w:eastAsia="宋体" w:cs="Times New Roman"/>
      <w:b/>
      <w:kern w:val="0"/>
      <w:sz w:val="24"/>
      <w:szCs w:val="20"/>
    </w:rPr>
  </w:style>
  <w:style w:type="paragraph" w:styleId="5">
    <w:name w:val="heading 4"/>
    <w:basedOn w:val="1"/>
    <w:next w:val="1"/>
    <w:link w:val="33"/>
    <w:qFormat/>
    <w:uiPriority w:val="0"/>
    <w:pPr>
      <w:keepNext/>
      <w:keepLines/>
      <w:spacing w:line="240" w:lineRule="auto"/>
      <w:jc w:val="center"/>
      <w:outlineLvl w:val="3"/>
    </w:pPr>
    <w:rPr>
      <w:rFonts w:ascii="Arial" w:hAnsi="Arial" w:eastAsia="宋体" w:cs="Times New Roman"/>
      <w:b/>
      <w:bCs/>
      <w:sz w:val="24"/>
      <w:szCs w:val="28"/>
    </w:rPr>
  </w:style>
  <w:style w:type="paragraph" w:styleId="6">
    <w:name w:val="heading 6"/>
    <w:basedOn w:val="1"/>
    <w:next w:val="1"/>
    <w:qFormat/>
    <w:uiPriority w:val="0"/>
    <w:pPr>
      <w:keepNext/>
      <w:keepLines/>
      <w:numPr>
        <w:ilvl w:val="5"/>
        <w:numId w:val="1"/>
      </w:numPr>
      <w:spacing w:before="240" w:beforeAutospacing="0" w:after="64" w:afterAutospacing="0" w:line="317" w:lineRule="auto"/>
      <w:ind w:left="1152" w:hanging="1152"/>
      <w:outlineLvl w:val="5"/>
    </w:pPr>
    <w:rPr>
      <w:rFonts w:ascii="Arial" w:hAnsi="Arial" w:eastAsia="黑体"/>
      <w:b/>
      <w:sz w:val="24"/>
    </w:rPr>
  </w:style>
  <w:style w:type="paragraph" w:styleId="7">
    <w:name w:val="heading 7"/>
    <w:basedOn w:val="1"/>
    <w:next w:val="1"/>
    <w:qFormat/>
    <w:uiPriority w:val="0"/>
    <w:pPr>
      <w:keepNext/>
      <w:keepLines/>
      <w:numPr>
        <w:ilvl w:val="6"/>
        <w:numId w:val="1"/>
      </w:numPr>
      <w:spacing w:before="240" w:beforeAutospacing="0" w:after="64" w:afterAutospacing="0" w:line="317" w:lineRule="auto"/>
      <w:ind w:left="1296" w:hanging="1296"/>
      <w:outlineLvl w:val="6"/>
    </w:pPr>
    <w:rPr>
      <w:b/>
      <w:sz w:val="24"/>
    </w:rPr>
  </w:style>
  <w:style w:type="paragraph" w:styleId="8">
    <w:name w:val="heading 8"/>
    <w:basedOn w:val="1"/>
    <w:next w:val="1"/>
    <w:qFormat/>
    <w:uiPriority w:val="0"/>
    <w:pPr>
      <w:keepNext/>
      <w:keepLines/>
      <w:numPr>
        <w:ilvl w:val="7"/>
        <w:numId w:val="1"/>
      </w:numPr>
      <w:spacing w:before="240" w:beforeAutospacing="0" w:after="64" w:afterAutospacing="0" w:line="317" w:lineRule="auto"/>
      <w:ind w:left="1440" w:hanging="1440"/>
      <w:outlineLvl w:val="7"/>
    </w:pPr>
    <w:rPr>
      <w:rFonts w:ascii="Arial" w:hAnsi="Arial" w:eastAsia="黑体"/>
      <w:sz w:val="24"/>
    </w:rPr>
  </w:style>
  <w:style w:type="paragraph" w:styleId="9">
    <w:name w:val="heading 9"/>
    <w:basedOn w:val="1"/>
    <w:next w:val="1"/>
    <w:qFormat/>
    <w:uiPriority w:val="0"/>
    <w:pPr>
      <w:keepNext/>
      <w:keepLines/>
      <w:numPr>
        <w:ilvl w:val="8"/>
        <w:numId w:val="1"/>
      </w:numPr>
      <w:spacing w:before="240" w:beforeAutospacing="0" w:after="64" w:afterAutospacing="0" w:line="317" w:lineRule="auto"/>
      <w:ind w:left="1584" w:hanging="1584"/>
      <w:outlineLvl w:val="8"/>
    </w:pPr>
    <w:rPr>
      <w:rFonts w:ascii="Arial" w:hAnsi="Arial" w:eastAsia="黑体"/>
      <w:sz w:val="21"/>
    </w:rPr>
  </w:style>
  <w:style w:type="character" w:default="1" w:styleId="27">
    <w:name w:val="Default Paragraph Font"/>
    <w:qFormat/>
    <w:uiPriority w:val="1"/>
  </w:style>
  <w:style w:type="table" w:default="1" w:styleId="26">
    <w:name w:val="Normal Table"/>
    <w:qFormat/>
    <w:uiPriority w:val="0"/>
    <w:tblPr>
      <w:tblCellMar>
        <w:top w:w="0" w:type="dxa"/>
        <w:left w:w="108" w:type="dxa"/>
        <w:bottom w:w="0" w:type="dxa"/>
        <w:right w:w="108" w:type="dxa"/>
      </w:tblCellMar>
    </w:tblPr>
  </w:style>
  <w:style w:type="paragraph" w:styleId="10">
    <w:name w:val="Normal Indent"/>
    <w:basedOn w:val="1"/>
    <w:qFormat/>
    <w:uiPriority w:val="99"/>
    <w:pPr>
      <w:ind w:firstLine="420" w:firstLineChars="200"/>
    </w:pPr>
    <w:rPr>
      <w:rFonts w:ascii="Calibri" w:hAnsi="Calibri" w:eastAsia="宋体" w:cs="Times New Roman"/>
    </w:rPr>
  </w:style>
  <w:style w:type="paragraph" w:styleId="11">
    <w:name w:val="index 5"/>
    <w:basedOn w:val="1"/>
    <w:next w:val="1"/>
    <w:qFormat/>
    <w:uiPriority w:val="99"/>
    <w:pPr>
      <w:ind w:left="800" w:leftChars="800"/>
    </w:pPr>
  </w:style>
  <w:style w:type="paragraph" w:styleId="12">
    <w:name w:val="annotation text"/>
    <w:basedOn w:val="1"/>
    <w:qFormat/>
    <w:uiPriority w:val="0"/>
    <w:pPr>
      <w:jc w:val="left"/>
    </w:pPr>
  </w:style>
  <w:style w:type="paragraph" w:styleId="13">
    <w:name w:val="Body Text"/>
    <w:basedOn w:val="1"/>
    <w:qFormat/>
    <w:uiPriority w:val="0"/>
    <w:rPr>
      <w:rFonts w:ascii="仿宋" w:hAnsi="仿宋" w:eastAsia="仿宋" w:cs="仿宋"/>
      <w:sz w:val="31"/>
      <w:szCs w:val="31"/>
      <w:lang w:val="en-US" w:eastAsia="en-US" w:bidi="ar-SA"/>
    </w:rPr>
  </w:style>
  <w:style w:type="paragraph" w:styleId="14">
    <w:name w:val="Body Text Indent"/>
    <w:basedOn w:val="1"/>
    <w:qFormat/>
    <w:uiPriority w:val="0"/>
    <w:pPr>
      <w:spacing w:after="120"/>
      <w:ind w:left="420" w:leftChars="200"/>
    </w:pPr>
    <w:rPr>
      <w:rFonts w:ascii="Times New Roman" w:hAnsi="Times New Roman"/>
      <w:kern w:val="0"/>
      <w:sz w:val="20"/>
      <w:szCs w:val="24"/>
    </w:rPr>
  </w:style>
  <w:style w:type="paragraph" w:styleId="15">
    <w:name w:val="toc 3"/>
    <w:basedOn w:val="1"/>
    <w:next w:val="1"/>
    <w:qFormat/>
    <w:uiPriority w:val="0"/>
    <w:pPr>
      <w:ind w:left="840" w:leftChars="400"/>
    </w:pPr>
  </w:style>
  <w:style w:type="paragraph" w:styleId="16">
    <w:name w:val="Plain Text"/>
    <w:basedOn w:val="1"/>
    <w:qFormat/>
    <w:uiPriority w:val="99"/>
    <w:rPr>
      <w:rFonts w:ascii="宋体" w:hAnsi="Courier New"/>
      <w:color w:val="000000"/>
      <w:kern w:val="0"/>
      <w:sz w:val="20"/>
      <w:szCs w:val="20"/>
    </w:rPr>
  </w:style>
  <w:style w:type="paragraph" w:styleId="17">
    <w:name w:val="Date"/>
    <w:basedOn w:val="1"/>
    <w:next w:val="1"/>
    <w:qFormat/>
    <w:uiPriority w:val="0"/>
    <w:pPr>
      <w:ind w:left="100" w:leftChars="250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style>
  <w:style w:type="paragraph" w:styleId="21">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2">
    <w:name w:val="toc 2"/>
    <w:basedOn w:val="1"/>
    <w:next w:val="1"/>
    <w:qFormat/>
    <w:uiPriority w:val="0"/>
    <w:pPr>
      <w:ind w:left="420" w:leftChars="200"/>
    </w:p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qFormat/>
    <w:uiPriority w:val="0"/>
    <w:rPr>
      <w:rFonts w:ascii="宋体"/>
      <w:snapToGrid/>
      <w:color w:val="auto"/>
      <w:sz w:val="44"/>
      <w:szCs w:val="24"/>
    </w:rPr>
  </w:style>
  <w:style w:type="paragraph" w:styleId="25">
    <w:name w:val="Body Text First Indent 2"/>
    <w:basedOn w:val="14"/>
    <w:qFormat/>
    <w:uiPriority w:val="0"/>
    <w:pPr>
      <w:ind w:firstLine="420" w:firstLineChars="200"/>
    </w:pPr>
    <w:rPr>
      <w:rFonts w:ascii="Calibri" w:hAnsi="Calibri"/>
      <w:kern w:val="2"/>
      <w:sz w:val="21"/>
      <w:szCs w:val="22"/>
      <w:lang w:val="en-US" w:eastAsia="zh-CN"/>
    </w:rPr>
  </w:style>
  <w:style w:type="character" w:styleId="28">
    <w:name w:val="Strong"/>
    <w:basedOn w:val="27"/>
    <w:qFormat/>
    <w:uiPriority w:val="0"/>
    <w:rPr>
      <w:b/>
      <w:bCs/>
    </w:rPr>
  </w:style>
  <w:style w:type="character" w:styleId="29">
    <w:name w:val="annotation reference"/>
    <w:qFormat/>
    <w:uiPriority w:val="0"/>
    <w:rPr>
      <w:sz w:val="21"/>
      <w:szCs w:val="21"/>
    </w:rPr>
  </w:style>
  <w:style w:type="character" w:customStyle="1" w:styleId="30">
    <w:name w:val="标题 1 Char"/>
    <w:basedOn w:val="27"/>
    <w:link w:val="2"/>
    <w:qFormat/>
    <w:uiPriority w:val="0"/>
    <w:rPr>
      <w:rFonts w:ascii="黑体" w:hAnsi="黑体" w:eastAsia="宋体" w:cs="Times New Roman"/>
      <w:b/>
      <w:sz w:val="32"/>
      <w:lang w:val="en-US" w:eastAsia="zh-CN" w:bidi="ar-SA"/>
    </w:rPr>
  </w:style>
  <w:style w:type="character" w:customStyle="1" w:styleId="31">
    <w:name w:val="标题 2 Char"/>
    <w:basedOn w:val="27"/>
    <w:link w:val="3"/>
    <w:qFormat/>
    <w:uiPriority w:val="0"/>
    <w:rPr>
      <w:rFonts w:ascii="Arial" w:hAnsi="Arial" w:eastAsia="宋体" w:cs="Times New Roman"/>
      <w:b/>
      <w:bCs/>
      <w:kern w:val="2"/>
      <w:sz w:val="30"/>
      <w:szCs w:val="32"/>
      <w:lang w:val="en-US" w:eastAsia="zh-CN" w:bidi="ar-SA"/>
    </w:rPr>
  </w:style>
  <w:style w:type="character" w:customStyle="1" w:styleId="32">
    <w:name w:val="标题 3 字符"/>
    <w:basedOn w:val="27"/>
    <w:link w:val="4"/>
    <w:qFormat/>
    <w:uiPriority w:val="0"/>
    <w:rPr>
      <w:rFonts w:ascii="Times New Roman" w:hAnsi="Times New Roman" w:eastAsia="宋体" w:cs="Times New Roman"/>
      <w:b/>
      <w:sz w:val="24"/>
    </w:rPr>
  </w:style>
  <w:style w:type="character" w:customStyle="1" w:styleId="33">
    <w:name w:val="标题 4 Char"/>
    <w:basedOn w:val="27"/>
    <w:link w:val="5"/>
    <w:qFormat/>
    <w:uiPriority w:val="0"/>
    <w:rPr>
      <w:rFonts w:ascii="Arial" w:hAnsi="Arial" w:eastAsia="宋体" w:cs="Times New Roman"/>
      <w:b/>
      <w:bCs/>
      <w:kern w:val="2"/>
      <w:sz w:val="24"/>
      <w:szCs w:val="28"/>
      <w:lang w:val="en-US" w:eastAsia="zh-CN" w:bidi="ar-SA"/>
    </w:rPr>
  </w:style>
  <w:style w:type="paragraph" w:customStyle="1" w:styleId="34">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5">
    <w:name w:val="List Paragraph"/>
    <w:basedOn w:val="1"/>
    <w:qFormat/>
    <w:uiPriority w:val="0"/>
    <w:pPr>
      <w:ind w:firstLine="420" w:firstLineChars="200"/>
    </w:pPr>
  </w:style>
  <w:style w:type="paragraph" w:customStyle="1" w:styleId="36">
    <w:name w:val="Heading 3"/>
    <w:basedOn w:val="1"/>
    <w:qFormat/>
    <w:uiPriority w:val="1"/>
    <w:pPr>
      <w:ind w:left="237" w:right="102"/>
      <w:outlineLvl w:val="3"/>
    </w:pPr>
    <w:rPr>
      <w:sz w:val="28"/>
      <w:szCs w:val="28"/>
    </w:rPr>
  </w:style>
  <w:style w:type="paragraph" w:customStyle="1" w:styleId="37">
    <w:name w:val="无间隔1"/>
    <w:qFormat/>
    <w:uiPriority w:val="99"/>
    <w:pPr>
      <w:adjustRightInd w:val="0"/>
      <w:snapToGrid w:val="0"/>
    </w:pPr>
    <w:rPr>
      <w:rFonts w:ascii="Tahoma" w:hAnsi="Tahoma" w:eastAsia="宋体" w:cs="Times New Roman"/>
      <w:sz w:val="32"/>
      <w:szCs w:val="22"/>
      <w:lang w:val="en-US" w:eastAsia="zh-CN" w:bidi="ar-SA"/>
    </w:rPr>
  </w:style>
  <w:style w:type="paragraph" w:customStyle="1" w:styleId="3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Table Text"/>
    <w:basedOn w:val="1"/>
    <w:qFormat/>
    <w:uiPriority w:val="0"/>
    <w:rPr>
      <w:rFonts w:ascii="宋体" w:hAnsi="宋体" w:eastAsia="宋体" w:cs="宋体"/>
      <w:sz w:val="23"/>
      <w:szCs w:val="23"/>
      <w:lang w:val="en-US" w:eastAsia="en-US" w:bidi="ar-SA"/>
    </w:rPr>
  </w:style>
  <w:style w:type="table" w:customStyle="1" w:styleId="4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1182</Words>
  <Characters>1342</Characters>
  <Paragraphs>1409</Paragraphs>
  <TotalTime>0</TotalTime>
  <ScaleCrop>false</ScaleCrop>
  <LinksUpToDate>false</LinksUpToDate>
  <CharactersWithSpaces>1372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2025-06-30T05:47:00Z</dcterms:created>
  <dc:creator>Administrator</dc:creator>
  <cp:lastModifiedBy>梁海鹤</cp:lastModifiedBy>
  <dcterms:modified xsi:type="dcterms:W3CDTF">2026-04-20T08:10:04Z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38b3242dbb674450b27ef2490ba9a006_23</vt:lpwstr>
  </property>
  <property fmtid="{D5CDD505-2E9C-101B-9397-08002B2CF9AE}" pid="4" name="KSOTemplateDocerSaveRecord">
    <vt:lpwstr>eyJoZGlkIjoiMzQ5MGU1YTgyNzQ0NGIxYzgzMTU2MjlhYWExNzRkYmIiLCJ1c2VySWQiOiI4NjQzMzAxNzcifQ==</vt:lpwstr>
  </property>
</Properties>
</file>