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A61A5">
      <w:pPr>
        <w:snapToGrid w:val="0"/>
        <w:spacing w:after="120" w:line="540" w:lineRule="exact"/>
        <w:jc w:val="left"/>
        <w:rPr>
          <w:rFonts w:ascii="宋体" w:hAnsi="宋体"/>
          <w:color w:val="auto"/>
          <w:sz w:val="44"/>
          <w:highlight w:val="none"/>
        </w:rPr>
      </w:pPr>
    </w:p>
    <w:p w14:paraId="422081AD">
      <w:pPr>
        <w:snapToGrid w:val="0"/>
        <w:spacing w:line="360" w:lineRule="auto"/>
        <w:jc w:val="center"/>
        <w:rPr>
          <w:rStyle w:val="44"/>
          <w:color w:val="auto"/>
          <w:sz w:val="36"/>
          <w:szCs w:val="36"/>
          <w:highlight w:val="none"/>
        </w:rPr>
      </w:pPr>
      <w:r>
        <w:rPr>
          <w:rFonts w:hint="eastAsia" w:ascii="宋体" w:hAnsi="宋体"/>
          <w:b/>
          <w:color w:val="auto"/>
          <w:sz w:val="52"/>
          <w:szCs w:val="52"/>
          <w:highlight w:val="none"/>
        </w:rPr>
        <w:t xml:space="preserve">招 标 </w:t>
      </w:r>
      <w:r>
        <w:rPr>
          <w:rFonts w:ascii="宋体" w:hAnsi="宋体"/>
          <w:b/>
          <w:color w:val="auto"/>
          <w:sz w:val="52"/>
          <w:szCs w:val="52"/>
          <w:highlight w:val="none"/>
        </w:rPr>
        <w:t>文</w:t>
      </w:r>
      <w:r>
        <w:rPr>
          <w:rFonts w:hint="eastAsia" w:ascii="宋体" w:hAnsi="宋体"/>
          <w:b/>
          <w:color w:val="auto"/>
          <w:sz w:val="52"/>
          <w:szCs w:val="52"/>
          <w:highlight w:val="none"/>
        </w:rPr>
        <w:t xml:space="preserve"> </w:t>
      </w:r>
      <w:r>
        <w:rPr>
          <w:rFonts w:ascii="宋体" w:hAnsi="宋体"/>
          <w:b/>
          <w:color w:val="auto"/>
          <w:sz w:val="52"/>
          <w:szCs w:val="52"/>
          <w:highlight w:val="none"/>
        </w:rPr>
        <w:t>件</w:t>
      </w:r>
    </w:p>
    <w:p w14:paraId="224C39F5">
      <w:pPr>
        <w:snapToGrid w:val="0"/>
        <w:jc w:val="center"/>
        <w:rPr>
          <w:rStyle w:val="44"/>
          <w:rFonts w:cs="仿宋"/>
          <w:b w:val="0"/>
          <w:bCs/>
          <w:color w:val="auto"/>
          <w:highlight w:val="none"/>
        </w:rPr>
      </w:pPr>
    </w:p>
    <w:p w14:paraId="672F8064">
      <w:pPr>
        <w:snapToGrid w:val="0"/>
        <w:jc w:val="center"/>
        <w:rPr>
          <w:rStyle w:val="44"/>
          <w:rFonts w:cs="仿宋"/>
          <w:b w:val="0"/>
          <w:bCs/>
          <w:color w:val="auto"/>
          <w:highlight w:val="none"/>
        </w:rPr>
      </w:pPr>
    </w:p>
    <w:p w14:paraId="3B56CC11">
      <w:pPr>
        <w:snapToGrid w:val="0"/>
        <w:spacing w:line="480" w:lineRule="auto"/>
        <w:ind w:firstLine="357"/>
        <w:rPr>
          <w:rStyle w:val="41"/>
          <w:rFonts w:hint="eastAsia" w:ascii="宋体" w:hAnsi="宋体" w:eastAsia="宋体"/>
          <w:bCs/>
          <w:color w:val="auto"/>
          <w:sz w:val="28"/>
          <w:szCs w:val="28"/>
          <w:highlight w:val="none"/>
          <w:lang w:eastAsia="zh-CN"/>
        </w:rPr>
      </w:pPr>
      <w:r>
        <w:rPr>
          <w:rStyle w:val="41"/>
          <w:rFonts w:hint="eastAsia" w:ascii="宋体" w:hAnsi="宋体"/>
          <w:bCs/>
          <w:color w:val="auto"/>
          <w:sz w:val="28"/>
          <w:szCs w:val="28"/>
          <w:highlight w:val="none"/>
        </w:rPr>
        <w:t>项目名称：</w:t>
      </w:r>
      <w:r>
        <w:rPr>
          <w:rStyle w:val="41"/>
          <w:rFonts w:hint="eastAsia" w:ascii="宋体" w:hAnsi="宋体"/>
          <w:bCs/>
          <w:color w:val="auto"/>
          <w:sz w:val="28"/>
          <w:szCs w:val="28"/>
          <w:highlight w:val="none"/>
          <w:lang w:eastAsia="zh-CN"/>
        </w:rPr>
        <w:t>乌鲁木齐市第八十七中学学生课桌椅采购项目</w:t>
      </w:r>
    </w:p>
    <w:p w14:paraId="6287D26C">
      <w:pPr>
        <w:snapToGrid w:val="0"/>
        <w:spacing w:line="480" w:lineRule="auto"/>
        <w:ind w:firstLine="357"/>
        <w:rPr>
          <w:rStyle w:val="41"/>
          <w:rFonts w:hint="default" w:ascii="宋体" w:hAnsi="宋体" w:eastAsia="宋体"/>
          <w:bCs/>
          <w:color w:val="auto"/>
          <w:sz w:val="28"/>
          <w:szCs w:val="28"/>
          <w:highlight w:val="none"/>
          <w:lang w:val="en-US" w:eastAsia="zh-CN"/>
        </w:rPr>
      </w:pPr>
      <w:r>
        <w:rPr>
          <w:rStyle w:val="41"/>
          <w:rFonts w:hint="eastAsia" w:ascii="宋体" w:hAnsi="宋体"/>
          <w:bCs/>
          <w:color w:val="auto"/>
          <w:sz w:val="28"/>
          <w:szCs w:val="28"/>
          <w:highlight w:val="none"/>
        </w:rPr>
        <w:t>项目编号：</w:t>
      </w:r>
      <w:r>
        <w:rPr>
          <w:rStyle w:val="41"/>
          <w:rFonts w:hint="eastAsia" w:ascii="宋体" w:hAnsi="宋体"/>
          <w:bCs/>
          <w:color w:val="auto"/>
          <w:sz w:val="28"/>
          <w:szCs w:val="28"/>
          <w:highlight w:val="none"/>
          <w:lang w:eastAsia="zh-CN"/>
        </w:rPr>
        <w:t>[2026]131号</w:t>
      </w:r>
    </w:p>
    <w:p w14:paraId="6E719D45">
      <w:pPr>
        <w:snapToGrid w:val="0"/>
        <w:spacing w:line="480" w:lineRule="auto"/>
        <w:ind w:firstLine="357"/>
        <w:rPr>
          <w:rStyle w:val="41"/>
          <w:rFonts w:hint="eastAsia" w:ascii="宋体" w:hAnsi="宋体" w:eastAsia="宋体"/>
          <w:bCs/>
          <w:color w:val="auto"/>
          <w:sz w:val="28"/>
          <w:szCs w:val="28"/>
          <w:highlight w:val="none"/>
          <w:lang w:eastAsia="zh-CN"/>
        </w:rPr>
      </w:pPr>
      <w:r>
        <w:rPr>
          <w:rStyle w:val="41"/>
          <w:rFonts w:hint="eastAsia" w:ascii="宋体" w:hAnsi="宋体"/>
          <w:bCs/>
          <w:color w:val="auto"/>
          <w:sz w:val="28"/>
          <w:szCs w:val="28"/>
          <w:highlight w:val="none"/>
        </w:rPr>
        <w:t>采购人（盖章）:</w:t>
      </w:r>
      <w:r>
        <w:rPr>
          <w:rStyle w:val="41"/>
          <w:rFonts w:hint="eastAsia" w:ascii="宋体" w:hAnsi="宋体"/>
          <w:bCs/>
          <w:color w:val="auto"/>
          <w:sz w:val="28"/>
          <w:szCs w:val="28"/>
          <w:highlight w:val="none"/>
          <w:lang w:eastAsia="zh-CN"/>
        </w:rPr>
        <w:t>乌鲁木齐市第八十七中学</w:t>
      </w:r>
    </w:p>
    <w:p w14:paraId="200BDC06">
      <w:pPr>
        <w:snapToGrid w:val="0"/>
        <w:spacing w:line="480" w:lineRule="auto"/>
        <w:ind w:firstLine="357"/>
        <w:rPr>
          <w:rStyle w:val="41"/>
          <w:rFonts w:ascii="宋体" w:hAnsi="宋体"/>
          <w:bCs/>
          <w:color w:val="auto"/>
          <w:sz w:val="28"/>
          <w:szCs w:val="28"/>
          <w:highlight w:val="none"/>
        </w:rPr>
      </w:pPr>
      <w:r>
        <w:rPr>
          <w:rStyle w:val="41"/>
          <w:rFonts w:hint="eastAsia" w:ascii="宋体" w:hAnsi="宋体"/>
          <w:bCs/>
          <w:color w:val="auto"/>
          <w:sz w:val="28"/>
          <w:szCs w:val="28"/>
          <w:highlight w:val="none"/>
        </w:rPr>
        <w:t>法定代表人（签章）:</w:t>
      </w:r>
    </w:p>
    <w:p w14:paraId="0117F831">
      <w:pPr>
        <w:snapToGrid w:val="0"/>
        <w:spacing w:line="480" w:lineRule="auto"/>
        <w:ind w:firstLine="357"/>
        <w:rPr>
          <w:rStyle w:val="41"/>
          <w:rFonts w:hint="eastAsia" w:ascii="宋体" w:hAnsi="宋体" w:eastAsia="宋体"/>
          <w:bCs/>
          <w:color w:val="auto"/>
          <w:sz w:val="28"/>
          <w:szCs w:val="28"/>
          <w:highlight w:val="none"/>
          <w:lang w:eastAsia="zh-CN"/>
        </w:rPr>
      </w:pPr>
      <w:r>
        <w:rPr>
          <w:rStyle w:val="41"/>
          <w:rFonts w:hint="eastAsia" w:ascii="宋体" w:hAnsi="宋体"/>
          <w:bCs/>
          <w:color w:val="auto"/>
          <w:sz w:val="28"/>
          <w:szCs w:val="28"/>
          <w:highlight w:val="none"/>
        </w:rPr>
        <w:t>联系人：程光</w:t>
      </w:r>
    </w:p>
    <w:p w14:paraId="490D0E4D">
      <w:pPr>
        <w:snapToGrid w:val="0"/>
        <w:spacing w:line="480" w:lineRule="auto"/>
        <w:ind w:firstLine="357"/>
        <w:rPr>
          <w:rStyle w:val="41"/>
          <w:rFonts w:hint="eastAsia" w:ascii="宋体" w:hAnsi="宋体"/>
          <w:bCs/>
          <w:color w:val="auto"/>
          <w:sz w:val="28"/>
          <w:szCs w:val="28"/>
          <w:highlight w:val="none"/>
        </w:rPr>
      </w:pPr>
      <w:r>
        <w:rPr>
          <w:rStyle w:val="41"/>
          <w:rFonts w:hint="eastAsia" w:ascii="宋体" w:hAnsi="宋体"/>
          <w:bCs/>
          <w:color w:val="auto"/>
          <w:sz w:val="28"/>
          <w:szCs w:val="28"/>
          <w:highlight w:val="none"/>
        </w:rPr>
        <w:t>电话：13659915169</w:t>
      </w:r>
    </w:p>
    <w:p w14:paraId="1E482FCD">
      <w:pPr>
        <w:snapToGrid w:val="0"/>
        <w:spacing w:line="480" w:lineRule="auto"/>
        <w:ind w:firstLine="357"/>
        <w:rPr>
          <w:rStyle w:val="41"/>
          <w:rFonts w:hint="eastAsia" w:ascii="宋体" w:hAnsi="宋体" w:eastAsia="宋体"/>
          <w:bCs/>
          <w:color w:val="auto"/>
          <w:sz w:val="28"/>
          <w:szCs w:val="28"/>
          <w:highlight w:val="none"/>
          <w:lang w:eastAsia="zh-CN"/>
        </w:rPr>
      </w:pPr>
      <w:r>
        <w:rPr>
          <w:rStyle w:val="41"/>
          <w:rFonts w:hint="eastAsia" w:ascii="宋体" w:hAnsi="宋体"/>
          <w:bCs/>
          <w:color w:val="auto"/>
          <w:sz w:val="28"/>
          <w:szCs w:val="28"/>
          <w:highlight w:val="none"/>
        </w:rPr>
        <w:t>详细地址：</w:t>
      </w:r>
      <w:r>
        <w:rPr>
          <w:rStyle w:val="41"/>
          <w:rFonts w:hint="eastAsia" w:ascii="宋体" w:hAnsi="宋体"/>
          <w:bCs/>
          <w:color w:val="auto"/>
          <w:sz w:val="28"/>
          <w:szCs w:val="28"/>
          <w:highlight w:val="none"/>
          <w:lang w:eastAsia="zh-CN"/>
        </w:rPr>
        <w:t>水磨沟区立井街165号</w:t>
      </w:r>
    </w:p>
    <w:p w14:paraId="491B5836">
      <w:pPr>
        <w:snapToGrid w:val="0"/>
        <w:spacing w:line="480" w:lineRule="auto"/>
        <w:ind w:firstLine="357"/>
        <w:rPr>
          <w:rStyle w:val="41"/>
          <w:rFonts w:ascii="宋体" w:hAnsi="宋体"/>
          <w:bCs/>
          <w:color w:val="auto"/>
          <w:sz w:val="28"/>
          <w:szCs w:val="28"/>
          <w:highlight w:val="none"/>
        </w:rPr>
      </w:pPr>
    </w:p>
    <w:p w14:paraId="5E17F8FD">
      <w:pPr>
        <w:snapToGrid w:val="0"/>
        <w:spacing w:line="480" w:lineRule="auto"/>
        <w:ind w:firstLine="357"/>
        <w:rPr>
          <w:rStyle w:val="41"/>
          <w:rFonts w:ascii="宋体" w:hAnsi="宋体"/>
          <w:bCs/>
          <w:color w:val="auto"/>
          <w:sz w:val="28"/>
          <w:szCs w:val="28"/>
          <w:highlight w:val="none"/>
        </w:rPr>
      </w:pPr>
      <w:r>
        <w:rPr>
          <w:rStyle w:val="41"/>
          <w:rFonts w:hint="eastAsia" w:ascii="宋体" w:hAnsi="宋体"/>
          <w:bCs/>
          <w:color w:val="auto"/>
          <w:sz w:val="28"/>
          <w:szCs w:val="28"/>
          <w:highlight w:val="none"/>
        </w:rPr>
        <w:t>采购代理机构</w:t>
      </w:r>
      <w:r>
        <w:rPr>
          <w:rStyle w:val="41"/>
          <w:rFonts w:ascii="宋体" w:hAnsi="宋体"/>
          <w:bCs/>
          <w:color w:val="auto"/>
          <w:sz w:val="28"/>
          <w:szCs w:val="28"/>
          <w:highlight w:val="none"/>
        </w:rPr>
        <w:t>（盖章）:新疆拓源工程管理咨询有限公司</w:t>
      </w:r>
    </w:p>
    <w:p w14:paraId="18F80E83">
      <w:pPr>
        <w:snapToGrid w:val="0"/>
        <w:spacing w:line="480" w:lineRule="auto"/>
        <w:ind w:firstLine="357"/>
        <w:rPr>
          <w:rFonts w:hint="eastAsia" w:ascii="宋体" w:hAnsi="宋体" w:eastAsia="宋体"/>
          <w:bCs/>
          <w:color w:val="auto"/>
          <w:sz w:val="28"/>
          <w:szCs w:val="28"/>
          <w:highlight w:val="none"/>
          <w:lang w:eastAsia="zh-CN"/>
        </w:rPr>
      </w:pPr>
      <w:r>
        <w:rPr>
          <w:rStyle w:val="41"/>
          <w:rFonts w:ascii="宋体" w:hAnsi="宋体"/>
          <w:bCs/>
          <w:color w:val="auto"/>
          <w:spacing w:val="35"/>
          <w:kern w:val="0"/>
          <w:sz w:val="28"/>
          <w:szCs w:val="28"/>
          <w:highlight w:val="none"/>
        </w:rPr>
        <w:t>法定代表</w:t>
      </w:r>
      <w:r>
        <w:rPr>
          <w:rStyle w:val="41"/>
          <w:rFonts w:ascii="宋体" w:hAnsi="宋体"/>
          <w:bCs/>
          <w:color w:val="auto"/>
          <w:spacing w:val="3"/>
          <w:kern w:val="0"/>
          <w:sz w:val="28"/>
          <w:szCs w:val="28"/>
          <w:highlight w:val="none"/>
        </w:rPr>
        <w:t>人</w:t>
      </w:r>
      <w:r>
        <w:rPr>
          <w:rStyle w:val="41"/>
          <w:rFonts w:ascii="宋体" w:hAnsi="宋体"/>
          <w:bCs/>
          <w:color w:val="auto"/>
          <w:sz w:val="28"/>
          <w:szCs w:val="28"/>
          <w:highlight w:val="none"/>
        </w:rPr>
        <w:t>（盖章）:</w:t>
      </w:r>
      <w:r>
        <w:rPr>
          <w:rStyle w:val="41"/>
          <w:rFonts w:hint="eastAsia" w:ascii="宋体" w:hAnsi="宋体"/>
          <w:bCs/>
          <w:color w:val="auto"/>
          <w:sz w:val="28"/>
          <w:szCs w:val="28"/>
          <w:highlight w:val="none"/>
          <w:lang w:eastAsia="zh-CN"/>
        </w:rPr>
        <w:t>杜红</w:t>
      </w:r>
    </w:p>
    <w:p w14:paraId="451AF325">
      <w:pPr>
        <w:snapToGrid w:val="0"/>
        <w:spacing w:line="480" w:lineRule="auto"/>
        <w:ind w:firstLine="357"/>
        <w:rPr>
          <w:rStyle w:val="41"/>
          <w:rFonts w:ascii="宋体" w:hAnsi="宋体"/>
          <w:bCs/>
          <w:color w:val="auto"/>
          <w:sz w:val="28"/>
          <w:szCs w:val="28"/>
          <w:highlight w:val="none"/>
        </w:rPr>
      </w:pPr>
      <w:r>
        <w:rPr>
          <w:rStyle w:val="41"/>
          <w:rFonts w:ascii="宋体" w:hAnsi="宋体"/>
          <w:bCs/>
          <w:color w:val="auto"/>
          <w:spacing w:val="35"/>
          <w:kern w:val="0"/>
          <w:sz w:val="28"/>
          <w:szCs w:val="28"/>
          <w:highlight w:val="none"/>
        </w:rPr>
        <w:t>项</w:t>
      </w:r>
      <w:r>
        <w:rPr>
          <w:rStyle w:val="41"/>
          <w:rFonts w:hint="eastAsia" w:ascii="宋体" w:hAnsi="宋体"/>
          <w:bCs/>
          <w:color w:val="auto"/>
          <w:spacing w:val="35"/>
          <w:kern w:val="0"/>
          <w:sz w:val="28"/>
          <w:szCs w:val="28"/>
          <w:highlight w:val="none"/>
        </w:rPr>
        <w:t xml:space="preserve"> </w:t>
      </w:r>
      <w:r>
        <w:rPr>
          <w:rStyle w:val="41"/>
          <w:rFonts w:ascii="宋体" w:hAnsi="宋体"/>
          <w:bCs/>
          <w:color w:val="auto"/>
          <w:spacing w:val="35"/>
          <w:kern w:val="0"/>
          <w:sz w:val="28"/>
          <w:szCs w:val="28"/>
          <w:highlight w:val="none"/>
        </w:rPr>
        <w:t>目</w:t>
      </w:r>
      <w:r>
        <w:rPr>
          <w:rStyle w:val="41"/>
          <w:rFonts w:hint="eastAsia" w:ascii="宋体" w:hAnsi="宋体"/>
          <w:bCs/>
          <w:color w:val="auto"/>
          <w:spacing w:val="35"/>
          <w:kern w:val="0"/>
          <w:sz w:val="28"/>
          <w:szCs w:val="28"/>
          <w:highlight w:val="none"/>
        </w:rPr>
        <w:t xml:space="preserve"> 联系人</w:t>
      </w:r>
      <w:r>
        <w:rPr>
          <w:rStyle w:val="41"/>
          <w:rFonts w:ascii="宋体" w:hAnsi="宋体"/>
          <w:bCs/>
          <w:color w:val="auto"/>
          <w:sz w:val="28"/>
          <w:szCs w:val="28"/>
          <w:highlight w:val="none"/>
        </w:rPr>
        <w:t>：</w:t>
      </w:r>
      <w:r>
        <w:rPr>
          <w:rStyle w:val="41"/>
          <w:rFonts w:hint="eastAsia" w:ascii="宋体" w:hAnsi="宋体"/>
          <w:bCs/>
          <w:color w:val="auto"/>
          <w:sz w:val="28"/>
          <w:szCs w:val="28"/>
          <w:highlight w:val="none"/>
        </w:rPr>
        <w:t>田释月、王梦捷、张曼、郭时忠</w:t>
      </w:r>
    </w:p>
    <w:p w14:paraId="17B8228F">
      <w:pPr>
        <w:snapToGrid w:val="0"/>
        <w:spacing w:line="480" w:lineRule="auto"/>
        <w:ind w:firstLine="357"/>
        <w:rPr>
          <w:rStyle w:val="41"/>
          <w:rFonts w:ascii="宋体" w:hAnsi="宋体"/>
          <w:bCs/>
          <w:color w:val="auto"/>
          <w:sz w:val="28"/>
          <w:szCs w:val="28"/>
          <w:highlight w:val="none"/>
        </w:rPr>
      </w:pPr>
      <w:r>
        <w:rPr>
          <w:rStyle w:val="41"/>
          <w:rFonts w:ascii="宋体" w:hAnsi="宋体"/>
          <w:bCs/>
          <w:color w:val="auto"/>
          <w:spacing w:val="560"/>
          <w:kern w:val="0"/>
          <w:sz w:val="28"/>
          <w:szCs w:val="28"/>
          <w:highlight w:val="none"/>
        </w:rPr>
        <w:t>电</w:t>
      </w:r>
      <w:r>
        <w:rPr>
          <w:rStyle w:val="41"/>
          <w:rFonts w:ascii="宋体" w:hAnsi="宋体"/>
          <w:bCs/>
          <w:color w:val="auto"/>
          <w:kern w:val="0"/>
          <w:sz w:val="28"/>
          <w:szCs w:val="28"/>
          <w:highlight w:val="none"/>
        </w:rPr>
        <w:t>话</w:t>
      </w:r>
      <w:r>
        <w:rPr>
          <w:rStyle w:val="41"/>
          <w:rFonts w:ascii="宋体" w:hAnsi="宋体"/>
          <w:bCs/>
          <w:color w:val="auto"/>
          <w:sz w:val="28"/>
          <w:szCs w:val="28"/>
          <w:highlight w:val="none"/>
        </w:rPr>
        <w:t>：</w:t>
      </w:r>
      <w:r>
        <w:rPr>
          <w:rStyle w:val="41"/>
          <w:rFonts w:hint="eastAsia" w:ascii="宋体" w:hAnsi="宋体"/>
          <w:bCs/>
          <w:color w:val="auto"/>
          <w:sz w:val="28"/>
          <w:szCs w:val="28"/>
          <w:highlight w:val="none"/>
          <w:lang w:val="en-US" w:eastAsia="zh-CN"/>
        </w:rPr>
        <w:t>13009690616、18096940710</w:t>
      </w:r>
    </w:p>
    <w:p w14:paraId="359B7B90">
      <w:pPr>
        <w:snapToGrid w:val="0"/>
        <w:spacing w:line="480" w:lineRule="auto"/>
        <w:ind w:firstLine="357"/>
        <w:rPr>
          <w:rStyle w:val="41"/>
          <w:rFonts w:ascii="宋体" w:hAnsi="宋体"/>
          <w:bCs/>
          <w:color w:val="auto"/>
          <w:sz w:val="28"/>
          <w:szCs w:val="28"/>
          <w:highlight w:val="none"/>
        </w:rPr>
      </w:pPr>
      <w:r>
        <w:rPr>
          <w:rStyle w:val="41"/>
          <w:rFonts w:ascii="宋体" w:hAnsi="宋体"/>
          <w:bCs/>
          <w:color w:val="auto"/>
          <w:spacing w:val="93"/>
          <w:kern w:val="0"/>
          <w:sz w:val="28"/>
          <w:szCs w:val="28"/>
          <w:highlight w:val="none"/>
        </w:rPr>
        <w:t>详细地</w:t>
      </w:r>
      <w:r>
        <w:rPr>
          <w:rStyle w:val="41"/>
          <w:rFonts w:ascii="宋体" w:hAnsi="宋体"/>
          <w:bCs/>
          <w:color w:val="auto"/>
          <w:spacing w:val="1"/>
          <w:kern w:val="0"/>
          <w:sz w:val="28"/>
          <w:szCs w:val="28"/>
          <w:highlight w:val="none"/>
        </w:rPr>
        <w:t>址</w:t>
      </w:r>
      <w:r>
        <w:rPr>
          <w:rStyle w:val="41"/>
          <w:rFonts w:hint="eastAsia" w:ascii="宋体" w:hAnsi="宋体"/>
          <w:bCs/>
          <w:color w:val="auto"/>
          <w:spacing w:val="1"/>
          <w:kern w:val="0"/>
          <w:sz w:val="28"/>
          <w:szCs w:val="28"/>
          <w:highlight w:val="none"/>
        </w:rPr>
        <w:t>：</w:t>
      </w:r>
      <w:r>
        <w:rPr>
          <w:rStyle w:val="41"/>
          <w:rFonts w:hint="eastAsia" w:ascii="宋体" w:hAnsi="宋体"/>
          <w:bCs/>
          <w:color w:val="auto"/>
          <w:sz w:val="28"/>
          <w:szCs w:val="28"/>
          <w:highlight w:val="none"/>
        </w:rPr>
        <w:t>乌鲁木齐市水磨沟区龙盛街898号万科中央公园S6栋5层</w:t>
      </w:r>
    </w:p>
    <w:p w14:paraId="42C68BBB">
      <w:pPr>
        <w:pStyle w:val="12"/>
        <w:rPr>
          <w:rStyle w:val="41"/>
          <w:rFonts w:ascii="宋体" w:hAnsi="宋体"/>
          <w:bCs/>
          <w:color w:val="auto"/>
          <w:sz w:val="28"/>
          <w:szCs w:val="28"/>
          <w:highlight w:val="none"/>
        </w:rPr>
      </w:pPr>
    </w:p>
    <w:p w14:paraId="75959B85">
      <w:pPr>
        <w:pStyle w:val="8"/>
        <w:ind w:left="0" w:leftChars="0" w:firstLine="0" w:firstLineChars="0"/>
        <w:rPr>
          <w:color w:val="auto"/>
          <w:sz w:val="28"/>
          <w:szCs w:val="28"/>
          <w:highlight w:val="none"/>
        </w:rPr>
      </w:pPr>
    </w:p>
    <w:p w14:paraId="276689F1">
      <w:pPr>
        <w:snapToGrid w:val="0"/>
        <w:spacing w:after="120" w:line="480" w:lineRule="auto"/>
        <w:jc w:val="left"/>
        <w:rPr>
          <w:rFonts w:hint="default" w:eastAsia="宋体"/>
          <w:color w:val="auto"/>
          <w:sz w:val="28"/>
          <w:szCs w:val="28"/>
          <w:highlight w:val="none"/>
          <w:lang w:val="en-US" w:eastAsia="zh-CN"/>
        </w:rPr>
      </w:pPr>
      <w:r>
        <w:rPr>
          <w:rFonts w:ascii="宋体" w:hAnsi="宋体"/>
          <w:color w:val="auto"/>
          <w:sz w:val="28"/>
          <w:szCs w:val="28"/>
          <w:highlight w:val="none"/>
        </w:rPr>
        <w:t xml:space="preserve">                文件编制:</w:t>
      </w:r>
      <w:r>
        <w:rPr>
          <w:rFonts w:hint="eastAsia" w:ascii="宋体" w:hAnsi="宋体"/>
          <w:color w:val="auto"/>
          <w:sz w:val="28"/>
          <w:szCs w:val="28"/>
          <w:highlight w:val="none"/>
          <w:lang w:val="en-US" w:eastAsia="zh-CN"/>
        </w:rPr>
        <w:t>王梦捷</w:t>
      </w:r>
    </w:p>
    <w:p w14:paraId="22A945F0">
      <w:pPr>
        <w:snapToGrid w:val="0"/>
        <w:spacing w:after="120" w:line="480" w:lineRule="auto"/>
        <w:jc w:val="left"/>
        <w:rPr>
          <w:color w:val="auto"/>
          <w:sz w:val="28"/>
          <w:szCs w:val="28"/>
          <w:highlight w:val="none"/>
        </w:rPr>
      </w:pPr>
      <w:r>
        <w:rPr>
          <w:rFonts w:ascii="宋体" w:hAnsi="宋体"/>
          <w:color w:val="auto"/>
          <w:sz w:val="28"/>
          <w:szCs w:val="28"/>
          <w:highlight w:val="none"/>
        </w:rPr>
        <w:t xml:space="preserve">                文件复核:</w:t>
      </w:r>
      <w:r>
        <w:rPr>
          <w:rFonts w:hint="eastAsia" w:ascii="宋体" w:hAnsi="宋体"/>
          <w:color w:val="auto"/>
          <w:sz w:val="28"/>
          <w:szCs w:val="28"/>
          <w:highlight w:val="none"/>
          <w:lang w:val="en-US" w:eastAsia="zh-CN"/>
        </w:rPr>
        <w:t>田释月</w:t>
      </w:r>
      <w:r>
        <w:rPr>
          <w:rFonts w:hint="eastAsia" w:ascii="宋体" w:hAnsi="宋体"/>
          <w:color w:val="auto"/>
          <w:sz w:val="28"/>
          <w:szCs w:val="28"/>
          <w:highlight w:val="none"/>
        </w:rPr>
        <w:t xml:space="preserve"> </w:t>
      </w:r>
    </w:p>
    <w:p w14:paraId="0325F38D">
      <w:pPr>
        <w:snapToGrid w:val="0"/>
        <w:spacing w:after="120" w:line="480" w:lineRule="auto"/>
        <w:jc w:val="left"/>
        <w:rPr>
          <w:rFonts w:ascii="宋体" w:hAnsi="宋体"/>
          <w:color w:val="auto"/>
          <w:sz w:val="28"/>
          <w:szCs w:val="28"/>
          <w:highlight w:val="none"/>
        </w:rPr>
      </w:pPr>
      <w:r>
        <w:rPr>
          <w:rFonts w:ascii="宋体" w:hAnsi="宋体"/>
          <w:color w:val="auto"/>
          <w:sz w:val="28"/>
          <w:szCs w:val="28"/>
          <w:highlight w:val="none"/>
        </w:rPr>
        <w:t xml:space="preserve">                文件终审:</w:t>
      </w:r>
      <w:r>
        <w:rPr>
          <w:rFonts w:hint="eastAsia" w:ascii="宋体" w:hAnsi="宋体"/>
          <w:color w:val="auto"/>
          <w:sz w:val="28"/>
          <w:szCs w:val="28"/>
          <w:highlight w:val="none"/>
          <w:lang w:val="en-US" w:eastAsia="zh-CN"/>
        </w:rPr>
        <w:t>金山虎</w:t>
      </w:r>
      <w:r>
        <w:rPr>
          <w:rFonts w:ascii="宋体" w:hAnsi="宋体"/>
          <w:color w:val="auto"/>
          <w:sz w:val="28"/>
          <w:szCs w:val="28"/>
          <w:highlight w:val="none"/>
        </w:rPr>
        <w:t xml:space="preserve">   </w:t>
      </w:r>
    </w:p>
    <w:p w14:paraId="44B27114">
      <w:pPr>
        <w:snapToGrid w:val="0"/>
        <w:spacing w:after="120" w:line="480" w:lineRule="auto"/>
        <w:jc w:val="left"/>
        <w:rPr>
          <w:rFonts w:ascii="宋体" w:hAnsi="宋体"/>
          <w:color w:val="auto"/>
          <w:sz w:val="28"/>
          <w:szCs w:val="28"/>
          <w:highlight w:val="none"/>
        </w:rPr>
      </w:pPr>
      <w:r>
        <w:rPr>
          <w:rFonts w:ascii="宋体" w:hAnsi="宋体"/>
          <w:color w:val="auto"/>
          <w:sz w:val="28"/>
          <w:szCs w:val="28"/>
          <w:highlight w:val="none"/>
        </w:rPr>
        <w:t xml:space="preserve">                法律顾问:杜红</w:t>
      </w:r>
    </w:p>
    <w:p w14:paraId="329A6358">
      <w:pPr>
        <w:snapToGrid w:val="0"/>
        <w:spacing w:after="120" w:line="540" w:lineRule="exact"/>
        <w:jc w:val="left"/>
        <w:rPr>
          <w:rFonts w:ascii="宋体" w:hAnsi="宋体"/>
          <w:color w:val="auto"/>
          <w:sz w:val="28"/>
          <w:szCs w:val="28"/>
          <w:highlight w:val="none"/>
        </w:rPr>
      </w:pPr>
    </w:p>
    <w:p w14:paraId="5ECAFE1A">
      <w:pPr>
        <w:snapToGrid w:val="0"/>
        <w:spacing w:after="120" w:line="540" w:lineRule="exact"/>
        <w:jc w:val="left"/>
        <w:rPr>
          <w:rFonts w:ascii="宋体" w:hAnsi="宋体"/>
          <w:color w:val="auto"/>
          <w:sz w:val="28"/>
          <w:szCs w:val="28"/>
          <w:highlight w:val="none"/>
        </w:rPr>
      </w:pPr>
    </w:p>
    <w:p w14:paraId="2E5FAA42">
      <w:pPr>
        <w:snapToGrid w:val="0"/>
        <w:spacing w:after="120" w:line="540" w:lineRule="exact"/>
        <w:jc w:val="left"/>
        <w:rPr>
          <w:rFonts w:ascii="宋体" w:hAnsi="宋体"/>
          <w:color w:val="auto"/>
          <w:sz w:val="28"/>
          <w:szCs w:val="28"/>
          <w:highlight w:val="none"/>
        </w:rPr>
      </w:pPr>
    </w:p>
    <w:p w14:paraId="04EC7715">
      <w:pPr>
        <w:snapToGrid w:val="0"/>
        <w:spacing w:after="120" w:line="540" w:lineRule="exact"/>
        <w:jc w:val="left"/>
        <w:rPr>
          <w:rFonts w:ascii="宋体" w:hAnsi="宋体"/>
          <w:color w:val="auto"/>
          <w:sz w:val="28"/>
          <w:szCs w:val="28"/>
          <w:highlight w:val="none"/>
        </w:rPr>
      </w:pPr>
    </w:p>
    <w:p w14:paraId="5C93C348">
      <w:pPr>
        <w:snapToGrid w:val="0"/>
        <w:spacing w:after="120" w:line="540" w:lineRule="exact"/>
        <w:jc w:val="left"/>
        <w:rPr>
          <w:rFonts w:ascii="宋体" w:hAnsi="宋体"/>
          <w:color w:val="auto"/>
          <w:sz w:val="28"/>
          <w:szCs w:val="28"/>
          <w:highlight w:val="none"/>
        </w:rPr>
      </w:pPr>
    </w:p>
    <w:p w14:paraId="7D2A8AAC">
      <w:pPr>
        <w:snapToGrid w:val="0"/>
        <w:spacing w:after="120" w:line="540" w:lineRule="exact"/>
        <w:jc w:val="left"/>
        <w:rPr>
          <w:rFonts w:ascii="宋体" w:hAnsi="宋体"/>
          <w:color w:val="auto"/>
          <w:sz w:val="44"/>
          <w:highlight w:val="none"/>
        </w:rPr>
      </w:pPr>
    </w:p>
    <w:p w14:paraId="39810DAF">
      <w:pPr>
        <w:rPr>
          <w:color w:val="auto"/>
          <w:highlight w:val="none"/>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4B7611CA">
      <w:pPr>
        <w:spacing w:line="500" w:lineRule="exact"/>
        <w:jc w:val="center"/>
        <w:outlineLvl w:val="9"/>
        <w:rPr>
          <w:rFonts w:hint="eastAsia" w:ascii="宋体" w:hAnsi="宋体" w:eastAsia="宋体" w:cs="宋体"/>
          <w:b/>
          <w:color w:val="auto"/>
          <w:sz w:val="24"/>
          <w:szCs w:val="24"/>
          <w:highlight w:val="none"/>
        </w:rPr>
      </w:pPr>
      <w:bookmarkStart w:id="0" w:name="_Toc9822"/>
      <w:bookmarkStart w:id="1" w:name="_Toc31371"/>
      <w:r>
        <w:rPr>
          <w:rFonts w:hint="eastAsia" w:ascii="宋体" w:hAnsi="宋体" w:eastAsia="宋体" w:cs="宋体"/>
          <w:b/>
          <w:color w:val="auto"/>
          <w:sz w:val="24"/>
          <w:szCs w:val="24"/>
          <w:highlight w:val="none"/>
        </w:rPr>
        <w:t>目    录</w:t>
      </w:r>
      <w:bookmarkEnd w:id="0"/>
      <w:bookmarkEnd w:id="1"/>
    </w:p>
    <w:p w14:paraId="6E2C7BC8">
      <w:pPr>
        <w:pStyle w:val="20"/>
        <w:tabs>
          <w:tab w:val="right" w:leader="dot" w:pos="8959"/>
        </w:tabs>
        <w:rPr>
          <w:rFonts w:hint="eastAsia" w:ascii="宋体" w:hAnsi="宋体" w:eastAsia="宋体" w:cs="宋体"/>
          <w:color w:val="auto"/>
          <w:sz w:val="24"/>
          <w:szCs w:val="24"/>
          <w:highlight w:val="none"/>
        </w:rPr>
      </w:pPr>
    </w:p>
    <w:sdt>
      <w:sdtPr>
        <w:rPr>
          <w:rFonts w:ascii="宋体" w:hAnsi="宋体" w:eastAsia="宋体" w:cs="Times New Roman"/>
          <w:color w:val="auto"/>
          <w:kern w:val="2"/>
          <w:sz w:val="18"/>
          <w:szCs w:val="21"/>
          <w:highlight w:val="none"/>
          <w:lang w:val="en-US" w:eastAsia="zh-CN" w:bidi="ar-SA"/>
        </w:rPr>
        <w:id w:val="147476755"/>
        <w15:color w:val="DBDBDB"/>
        <w:docPartObj>
          <w:docPartGallery w:val="Table of Contents"/>
          <w:docPartUnique/>
        </w:docPartObj>
      </w:sdtPr>
      <w:sdtEndPr>
        <w:rPr>
          <w:rFonts w:ascii="宋体" w:hAnsi="宋体" w:eastAsia="宋体" w:cs="宋体"/>
          <w:bCs w:val="0"/>
          <w:color w:val="auto"/>
          <w:kern w:val="44"/>
          <w:sz w:val="44"/>
          <w:szCs w:val="24"/>
          <w:highlight w:val="none"/>
          <w:lang w:val="en-US" w:eastAsia="zh-CN" w:bidi="ar-SA"/>
        </w:rPr>
      </w:sdtEndPr>
      <w:sdtContent>
        <w:p w14:paraId="6BB2A8E7">
          <w:pPr>
            <w:spacing w:before="0" w:beforeLines="0" w:after="0" w:afterLines="0" w:line="240" w:lineRule="auto"/>
            <w:ind w:left="0" w:leftChars="0" w:right="0" w:rightChars="0" w:firstLine="0" w:firstLineChars="0"/>
            <w:jc w:val="center"/>
            <w:rPr>
              <w:color w:val="auto"/>
              <w:sz w:val="18"/>
              <w:szCs w:val="21"/>
              <w:highlight w:val="none"/>
            </w:rPr>
          </w:pPr>
        </w:p>
        <w:p w14:paraId="698D15EA">
          <w:pPr>
            <w:pStyle w:val="82"/>
            <w:tabs>
              <w:tab w:val="right" w:leader="dot" w:pos="9747"/>
            </w:tabs>
            <w:spacing w:line="480" w:lineRule="auto"/>
            <w:rPr>
              <w:color w:val="auto"/>
              <w:sz w:val="28"/>
              <w:szCs w:val="28"/>
              <w:highlight w:val="none"/>
            </w:rPr>
          </w:pPr>
          <w:r>
            <w:rPr>
              <w:rFonts w:ascii="宋体" w:hAnsi="宋体" w:cs="宋体"/>
              <w:bCs w:val="0"/>
              <w:color w:val="auto"/>
              <w:sz w:val="40"/>
              <w:szCs w:val="40"/>
              <w:highlight w:val="none"/>
            </w:rPr>
            <w:fldChar w:fldCharType="begin"/>
          </w:r>
          <w:r>
            <w:rPr>
              <w:rFonts w:ascii="宋体" w:hAnsi="宋体" w:cs="宋体"/>
              <w:bCs w:val="0"/>
              <w:color w:val="auto"/>
              <w:sz w:val="40"/>
              <w:szCs w:val="40"/>
              <w:highlight w:val="none"/>
            </w:rPr>
            <w:instrText xml:space="preserve">TOC \o "1-1" \h \u </w:instrText>
          </w:r>
          <w:r>
            <w:rPr>
              <w:rFonts w:ascii="宋体" w:hAnsi="宋体" w:cs="宋体"/>
              <w:bCs w:val="0"/>
              <w:color w:val="auto"/>
              <w:sz w:val="40"/>
              <w:szCs w:val="40"/>
              <w:highlight w:val="none"/>
            </w:rPr>
            <w:fldChar w:fldCharType="separate"/>
          </w:r>
          <w:r>
            <w:rPr>
              <w:rFonts w:ascii="宋体" w:hAnsi="宋体" w:cs="宋体"/>
              <w:bCs w:val="0"/>
              <w:color w:val="auto"/>
              <w:sz w:val="28"/>
              <w:szCs w:val="40"/>
              <w:highlight w:val="none"/>
            </w:rPr>
            <w:fldChar w:fldCharType="begin"/>
          </w:r>
          <w:r>
            <w:rPr>
              <w:rFonts w:ascii="宋体" w:hAnsi="宋体" w:cs="宋体"/>
              <w:bCs w:val="0"/>
              <w:color w:val="auto"/>
              <w:sz w:val="28"/>
              <w:szCs w:val="40"/>
              <w:highlight w:val="none"/>
            </w:rPr>
            <w:instrText xml:space="preserve"> HYPERLINK \l _Toc24711 </w:instrText>
          </w:r>
          <w:r>
            <w:rPr>
              <w:rFonts w:ascii="宋体" w:hAnsi="宋体" w:cs="宋体"/>
              <w:bCs w:val="0"/>
              <w:color w:val="auto"/>
              <w:sz w:val="28"/>
              <w:szCs w:val="40"/>
              <w:highlight w:val="none"/>
            </w:rPr>
            <w:fldChar w:fldCharType="separate"/>
          </w:r>
          <w:r>
            <w:rPr>
              <w:rFonts w:hint="eastAsia"/>
              <w:color w:val="auto"/>
              <w:sz w:val="28"/>
              <w:szCs w:val="28"/>
              <w:highlight w:val="none"/>
            </w:rPr>
            <w:t>第一章  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_Toc24711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ascii="宋体" w:hAnsi="宋体" w:cs="宋体"/>
              <w:bCs w:val="0"/>
              <w:color w:val="auto"/>
              <w:sz w:val="28"/>
              <w:szCs w:val="40"/>
              <w:highlight w:val="none"/>
            </w:rPr>
            <w:fldChar w:fldCharType="end"/>
          </w:r>
        </w:p>
        <w:p w14:paraId="46D8D854">
          <w:pPr>
            <w:pStyle w:val="82"/>
            <w:tabs>
              <w:tab w:val="right" w:leader="dot" w:pos="9747"/>
            </w:tabs>
            <w:spacing w:line="480" w:lineRule="auto"/>
            <w:rPr>
              <w:color w:val="auto"/>
              <w:sz w:val="28"/>
              <w:szCs w:val="28"/>
              <w:highlight w:val="none"/>
            </w:rPr>
          </w:pPr>
          <w:r>
            <w:rPr>
              <w:rFonts w:ascii="宋体" w:hAnsi="宋体" w:cs="宋体"/>
              <w:bCs w:val="0"/>
              <w:color w:val="auto"/>
              <w:sz w:val="28"/>
              <w:szCs w:val="40"/>
              <w:highlight w:val="none"/>
            </w:rPr>
            <w:fldChar w:fldCharType="begin"/>
          </w:r>
          <w:r>
            <w:rPr>
              <w:rFonts w:ascii="宋体" w:hAnsi="宋体" w:cs="宋体"/>
              <w:bCs w:val="0"/>
              <w:color w:val="auto"/>
              <w:sz w:val="28"/>
              <w:szCs w:val="40"/>
              <w:highlight w:val="none"/>
            </w:rPr>
            <w:instrText xml:space="preserve"> HYPERLINK \l _Toc12635 </w:instrText>
          </w:r>
          <w:r>
            <w:rPr>
              <w:rFonts w:ascii="宋体" w:hAnsi="宋体" w:cs="宋体"/>
              <w:bCs w:val="0"/>
              <w:color w:val="auto"/>
              <w:sz w:val="28"/>
              <w:szCs w:val="40"/>
              <w:highlight w:val="none"/>
            </w:rPr>
            <w:fldChar w:fldCharType="separate"/>
          </w:r>
          <w:r>
            <w:rPr>
              <w:rFonts w:hint="eastAsia"/>
              <w:color w:val="auto"/>
              <w:sz w:val="28"/>
              <w:szCs w:val="28"/>
              <w:highlight w:val="none"/>
            </w:rPr>
            <w:t>第二章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_Toc12635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ascii="宋体" w:hAnsi="宋体" w:cs="宋体"/>
              <w:bCs w:val="0"/>
              <w:color w:val="auto"/>
              <w:sz w:val="28"/>
              <w:szCs w:val="40"/>
              <w:highlight w:val="none"/>
            </w:rPr>
            <w:fldChar w:fldCharType="end"/>
          </w:r>
        </w:p>
        <w:p w14:paraId="7DFF9AD7">
          <w:pPr>
            <w:pStyle w:val="82"/>
            <w:tabs>
              <w:tab w:val="right" w:leader="dot" w:pos="9747"/>
            </w:tabs>
            <w:spacing w:line="480" w:lineRule="auto"/>
            <w:rPr>
              <w:color w:val="auto"/>
              <w:sz w:val="28"/>
              <w:szCs w:val="28"/>
              <w:highlight w:val="none"/>
            </w:rPr>
          </w:pPr>
          <w:r>
            <w:rPr>
              <w:rFonts w:ascii="宋体" w:hAnsi="宋体" w:cs="宋体"/>
              <w:bCs w:val="0"/>
              <w:color w:val="auto"/>
              <w:sz w:val="28"/>
              <w:szCs w:val="40"/>
              <w:highlight w:val="none"/>
            </w:rPr>
            <w:fldChar w:fldCharType="begin"/>
          </w:r>
          <w:r>
            <w:rPr>
              <w:rFonts w:ascii="宋体" w:hAnsi="宋体" w:cs="宋体"/>
              <w:bCs w:val="0"/>
              <w:color w:val="auto"/>
              <w:sz w:val="28"/>
              <w:szCs w:val="40"/>
              <w:highlight w:val="none"/>
            </w:rPr>
            <w:instrText xml:space="preserve"> HYPERLINK \l _Toc12260 </w:instrText>
          </w:r>
          <w:r>
            <w:rPr>
              <w:rFonts w:ascii="宋体" w:hAnsi="宋体" w:cs="宋体"/>
              <w:bCs w:val="0"/>
              <w:color w:val="auto"/>
              <w:sz w:val="28"/>
              <w:szCs w:val="40"/>
              <w:highlight w:val="none"/>
            </w:rPr>
            <w:fldChar w:fldCharType="separate"/>
          </w:r>
          <w:r>
            <w:rPr>
              <w:rFonts w:hint="eastAsia"/>
              <w:color w:val="auto"/>
              <w:sz w:val="28"/>
              <w:szCs w:val="28"/>
              <w:highlight w:val="none"/>
            </w:rPr>
            <w:t>第三章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_Toc12260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rFonts w:ascii="宋体" w:hAnsi="宋体" w:cs="宋体"/>
              <w:bCs w:val="0"/>
              <w:color w:val="auto"/>
              <w:sz w:val="28"/>
              <w:szCs w:val="40"/>
              <w:highlight w:val="none"/>
            </w:rPr>
            <w:fldChar w:fldCharType="end"/>
          </w:r>
        </w:p>
        <w:p w14:paraId="06F70F11">
          <w:pPr>
            <w:pStyle w:val="82"/>
            <w:tabs>
              <w:tab w:val="right" w:leader="dot" w:pos="9747"/>
            </w:tabs>
            <w:spacing w:line="480" w:lineRule="auto"/>
            <w:rPr>
              <w:color w:val="auto"/>
              <w:sz w:val="28"/>
              <w:szCs w:val="28"/>
              <w:highlight w:val="none"/>
            </w:rPr>
          </w:pPr>
          <w:r>
            <w:rPr>
              <w:rFonts w:ascii="宋体" w:hAnsi="宋体" w:cs="宋体"/>
              <w:bCs w:val="0"/>
              <w:color w:val="auto"/>
              <w:sz w:val="28"/>
              <w:szCs w:val="40"/>
              <w:highlight w:val="none"/>
            </w:rPr>
            <w:fldChar w:fldCharType="begin"/>
          </w:r>
          <w:r>
            <w:rPr>
              <w:rFonts w:ascii="宋体" w:hAnsi="宋体" w:cs="宋体"/>
              <w:bCs w:val="0"/>
              <w:color w:val="auto"/>
              <w:sz w:val="28"/>
              <w:szCs w:val="40"/>
              <w:highlight w:val="none"/>
            </w:rPr>
            <w:instrText xml:space="preserve"> HYPERLINK \l _Toc21616 </w:instrText>
          </w:r>
          <w:r>
            <w:rPr>
              <w:rFonts w:ascii="宋体" w:hAnsi="宋体" w:cs="宋体"/>
              <w:bCs w:val="0"/>
              <w:color w:val="auto"/>
              <w:sz w:val="28"/>
              <w:szCs w:val="40"/>
              <w:highlight w:val="none"/>
            </w:rPr>
            <w:fldChar w:fldCharType="separate"/>
          </w:r>
          <w:r>
            <w:rPr>
              <w:rFonts w:hint="eastAsia"/>
              <w:color w:val="auto"/>
              <w:sz w:val="28"/>
              <w:szCs w:val="28"/>
              <w:highlight w:val="none"/>
              <w:lang w:eastAsia="zh-CN"/>
            </w:rPr>
            <w:t>第四章  招标项目技术要求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_Toc21616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rFonts w:ascii="宋体" w:hAnsi="宋体" w:cs="宋体"/>
              <w:bCs w:val="0"/>
              <w:color w:val="auto"/>
              <w:sz w:val="28"/>
              <w:szCs w:val="40"/>
              <w:highlight w:val="none"/>
            </w:rPr>
            <w:fldChar w:fldCharType="end"/>
          </w:r>
        </w:p>
        <w:p w14:paraId="4A1A6CE7">
          <w:pPr>
            <w:pStyle w:val="82"/>
            <w:tabs>
              <w:tab w:val="right" w:leader="dot" w:pos="9747"/>
            </w:tabs>
            <w:spacing w:line="480" w:lineRule="auto"/>
            <w:rPr>
              <w:color w:val="auto"/>
              <w:sz w:val="28"/>
              <w:szCs w:val="28"/>
              <w:highlight w:val="none"/>
            </w:rPr>
          </w:pPr>
          <w:r>
            <w:rPr>
              <w:rFonts w:ascii="宋体" w:hAnsi="宋体" w:cs="宋体"/>
              <w:bCs w:val="0"/>
              <w:color w:val="auto"/>
              <w:sz w:val="28"/>
              <w:szCs w:val="40"/>
              <w:highlight w:val="none"/>
            </w:rPr>
            <w:fldChar w:fldCharType="begin"/>
          </w:r>
          <w:r>
            <w:rPr>
              <w:rFonts w:ascii="宋体" w:hAnsi="宋体" w:cs="宋体"/>
              <w:bCs w:val="0"/>
              <w:color w:val="auto"/>
              <w:sz w:val="28"/>
              <w:szCs w:val="40"/>
              <w:highlight w:val="none"/>
            </w:rPr>
            <w:instrText xml:space="preserve"> HYPERLINK \l _Toc27846 </w:instrText>
          </w:r>
          <w:r>
            <w:rPr>
              <w:rFonts w:ascii="宋体" w:hAnsi="宋体" w:cs="宋体"/>
              <w:bCs w:val="0"/>
              <w:color w:val="auto"/>
              <w:sz w:val="28"/>
              <w:szCs w:val="40"/>
              <w:highlight w:val="none"/>
            </w:rPr>
            <w:fldChar w:fldCharType="separate"/>
          </w:r>
          <w:r>
            <w:rPr>
              <w:rFonts w:hint="eastAsia"/>
              <w:color w:val="auto"/>
              <w:sz w:val="28"/>
              <w:szCs w:val="28"/>
              <w:highlight w:val="none"/>
            </w:rPr>
            <w:t>第五章  评标办法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_Toc27846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rFonts w:ascii="宋体" w:hAnsi="宋体" w:cs="宋体"/>
              <w:bCs w:val="0"/>
              <w:color w:val="auto"/>
              <w:sz w:val="28"/>
              <w:szCs w:val="40"/>
              <w:highlight w:val="none"/>
            </w:rPr>
            <w:fldChar w:fldCharType="end"/>
          </w:r>
        </w:p>
        <w:p w14:paraId="11209309">
          <w:pPr>
            <w:pStyle w:val="82"/>
            <w:tabs>
              <w:tab w:val="right" w:leader="dot" w:pos="9747"/>
            </w:tabs>
            <w:spacing w:line="480" w:lineRule="auto"/>
            <w:rPr>
              <w:color w:val="auto"/>
              <w:sz w:val="28"/>
              <w:szCs w:val="28"/>
              <w:highlight w:val="none"/>
            </w:rPr>
          </w:pPr>
          <w:r>
            <w:rPr>
              <w:rFonts w:ascii="宋体" w:hAnsi="宋体" w:cs="宋体"/>
              <w:bCs w:val="0"/>
              <w:color w:val="auto"/>
              <w:sz w:val="28"/>
              <w:szCs w:val="40"/>
              <w:highlight w:val="none"/>
            </w:rPr>
            <w:fldChar w:fldCharType="begin"/>
          </w:r>
          <w:r>
            <w:rPr>
              <w:rFonts w:ascii="宋体" w:hAnsi="宋体" w:cs="宋体"/>
              <w:bCs w:val="0"/>
              <w:color w:val="auto"/>
              <w:sz w:val="28"/>
              <w:szCs w:val="40"/>
              <w:highlight w:val="none"/>
            </w:rPr>
            <w:instrText xml:space="preserve"> HYPERLINK \l _Toc7810 </w:instrText>
          </w:r>
          <w:r>
            <w:rPr>
              <w:rFonts w:ascii="宋体" w:hAnsi="宋体" w:cs="宋体"/>
              <w:bCs w:val="0"/>
              <w:color w:val="auto"/>
              <w:sz w:val="28"/>
              <w:szCs w:val="40"/>
              <w:highlight w:val="none"/>
            </w:rPr>
            <w:fldChar w:fldCharType="separate"/>
          </w:r>
          <w:r>
            <w:rPr>
              <w:rFonts w:hint="eastAsia"/>
              <w:color w:val="auto"/>
              <w:sz w:val="28"/>
              <w:szCs w:val="28"/>
              <w:highlight w:val="none"/>
            </w:rPr>
            <w:t>第六章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_Toc7810 \h </w:instrText>
          </w:r>
          <w:r>
            <w:rPr>
              <w:color w:val="auto"/>
              <w:sz w:val="28"/>
              <w:szCs w:val="28"/>
              <w:highlight w:val="none"/>
            </w:rPr>
            <w:fldChar w:fldCharType="separate"/>
          </w:r>
          <w:r>
            <w:rPr>
              <w:color w:val="auto"/>
              <w:sz w:val="28"/>
              <w:szCs w:val="28"/>
              <w:highlight w:val="none"/>
            </w:rPr>
            <w:t>56</w:t>
          </w:r>
          <w:r>
            <w:rPr>
              <w:color w:val="auto"/>
              <w:sz w:val="28"/>
              <w:szCs w:val="28"/>
              <w:highlight w:val="none"/>
            </w:rPr>
            <w:fldChar w:fldCharType="end"/>
          </w:r>
          <w:r>
            <w:rPr>
              <w:rFonts w:ascii="宋体" w:hAnsi="宋体" w:cs="宋体"/>
              <w:bCs w:val="0"/>
              <w:color w:val="auto"/>
              <w:sz w:val="28"/>
              <w:szCs w:val="40"/>
              <w:highlight w:val="none"/>
            </w:rPr>
            <w:fldChar w:fldCharType="end"/>
          </w:r>
        </w:p>
        <w:p w14:paraId="57416BFF">
          <w:pPr>
            <w:spacing w:line="480" w:lineRule="auto"/>
            <w:outlineLvl w:val="9"/>
            <w:rPr>
              <w:rFonts w:ascii="宋体" w:hAnsi="宋体" w:eastAsia="宋体" w:cs="宋体"/>
              <w:bCs w:val="0"/>
              <w:color w:val="auto"/>
              <w:kern w:val="44"/>
              <w:sz w:val="44"/>
              <w:szCs w:val="24"/>
              <w:highlight w:val="none"/>
              <w:lang w:val="en-US" w:eastAsia="zh-CN" w:bidi="ar-SA"/>
            </w:rPr>
          </w:pPr>
          <w:r>
            <w:rPr>
              <w:rFonts w:ascii="宋体" w:hAnsi="宋体" w:cs="宋体"/>
              <w:bCs w:val="0"/>
              <w:color w:val="auto"/>
              <w:sz w:val="60"/>
              <w:szCs w:val="40"/>
              <w:highlight w:val="none"/>
            </w:rPr>
            <w:fldChar w:fldCharType="end"/>
          </w:r>
        </w:p>
      </w:sdtContent>
    </w:sdt>
    <w:p w14:paraId="4C4448AE">
      <w:pPr>
        <w:pStyle w:val="3"/>
        <w:rPr>
          <w:color w:val="auto"/>
          <w:highlight w:val="none"/>
        </w:rPr>
        <w:sectPr>
          <w:headerReference r:id="rId5" w:type="default"/>
          <w:footerReference r:id="rId6" w:type="default"/>
          <w:pgSz w:w="11907" w:h="16840"/>
          <w:pgMar w:top="1440" w:right="1080" w:bottom="1440" w:left="1080" w:header="851" w:footer="992" w:gutter="0"/>
          <w:pgBorders>
            <w:top w:val="none" w:sz="0" w:space="0"/>
            <w:left w:val="none" w:sz="0" w:space="0"/>
            <w:bottom w:val="none" w:sz="0" w:space="0"/>
            <w:right w:val="none" w:sz="0" w:space="0"/>
          </w:pgBorders>
          <w:pgNumType w:start="1"/>
          <w:cols w:space="720" w:num="1"/>
          <w:docGrid w:linePitch="312" w:charSpace="0"/>
        </w:sectPr>
      </w:pPr>
    </w:p>
    <w:p w14:paraId="1FE55804">
      <w:pPr>
        <w:pStyle w:val="4"/>
        <w:bidi w:val="0"/>
        <w:jc w:val="center"/>
        <w:outlineLvl w:val="0"/>
        <w:rPr>
          <w:rFonts w:hint="eastAsia"/>
          <w:color w:val="auto"/>
          <w:sz w:val="24"/>
          <w:szCs w:val="24"/>
          <w:highlight w:val="none"/>
        </w:rPr>
      </w:pPr>
      <w:bookmarkStart w:id="2" w:name="_Toc647_WPSOffice_Level1"/>
      <w:bookmarkStart w:id="3" w:name="_Toc24711"/>
      <w:bookmarkStart w:id="4" w:name="_Toc3427"/>
      <w:r>
        <w:rPr>
          <w:rFonts w:hint="eastAsia"/>
          <w:color w:val="auto"/>
          <w:sz w:val="24"/>
          <w:szCs w:val="24"/>
          <w:highlight w:val="none"/>
        </w:rPr>
        <w:t xml:space="preserve">第一章  </w:t>
      </w:r>
      <w:bookmarkEnd w:id="2"/>
      <w:r>
        <w:rPr>
          <w:rFonts w:hint="eastAsia"/>
          <w:color w:val="auto"/>
          <w:sz w:val="24"/>
          <w:szCs w:val="24"/>
          <w:highlight w:val="none"/>
        </w:rPr>
        <w:t>招标公告</w:t>
      </w:r>
      <w:bookmarkEnd w:id="3"/>
      <w:bookmarkEnd w:id="4"/>
    </w:p>
    <w:p w14:paraId="56C3492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bookmarkStart w:id="5" w:name="_Toc213397009"/>
      <w:bookmarkStart w:id="6" w:name="_Toc856_WPSOffice_Level1"/>
      <w:bookmarkStart w:id="7" w:name="_Toc213496267"/>
      <w:bookmarkStart w:id="8" w:name="_Toc213396759"/>
      <w:bookmarkStart w:id="9" w:name="_Toc217446031"/>
      <w:bookmarkStart w:id="10" w:name="_Toc213396945"/>
      <w:r>
        <w:rPr>
          <w:rFonts w:hint="eastAsia" w:ascii="宋体" w:hAnsi="宋体" w:eastAsia="宋体" w:cs="宋体"/>
          <w:color w:val="auto"/>
          <w:sz w:val="24"/>
          <w:szCs w:val="24"/>
          <w:highlight w:val="none"/>
        </w:rPr>
        <w:t>项目概况</w:t>
      </w:r>
    </w:p>
    <w:p w14:paraId="19E44C66">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乌鲁木齐市第八十七中学学生课桌椅采购项目</w:t>
      </w:r>
      <w:r>
        <w:rPr>
          <w:rFonts w:hint="eastAsia" w:ascii="宋体" w:hAnsi="宋体" w:eastAsia="宋体" w:cs="宋体"/>
          <w:color w:val="auto"/>
          <w:sz w:val="24"/>
          <w:szCs w:val="24"/>
          <w:highlight w:val="none"/>
        </w:rPr>
        <w:t xml:space="preserve"> 招标项目的潜在投标人应在</w:t>
      </w:r>
      <w:r>
        <w:rPr>
          <w:rFonts w:hint="eastAsia" w:ascii="宋体" w:hAnsi="宋体" w:eastAsia="宋体" w:cs="宋体"/>
          <w:bCs/>
          <w:color w:val="auto"/>
          <w:sz w:val="24"/>
          <w:szCs w:val="24"/>
          <w:highlight w:val="none"/>
          <w:u w:val="single"/>
        </w:rPr>
        <w:t>新疆政府采购云平台https://www.zcygov.cn/</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 xml:space="preserve">  4月24日</w:t>
      </w:r>
      <w:r>
        <w:rPr>
          <w:rFonts w:hint="eastAsia" w:ascii="宋体" w:hAnsi="宋体" w:eastAsia="宋体" w:cs="宋体"/>
          <w:bCs/>
          <w:color w:val="auto"/>
          <w:sz w:val="24"/>
          <w:szCs w:val="24"/>
          <w:highlight w:val="none"/>
          <w:u w:val="single"/>
        </w:rPr>
        <w:t>11点00分（</w:t>
      </w:r>
      <w:r>
        <w:rPr>
          <w:rFonts w:hint="eastAsia" w:ascii="宋体" w:hAnsi="宋体" w:eastAsia="宋体" w:cs="宋体"/>
          <w:bCs/>
          <w:color w:val="auto"/>
          <w:sz w:val="24"/>
          <w:szCs w:val="24"/>
          <w:highlight w:val="none"/>
        </w:rPr>
        <w:t>北京时间）前</w:t>
      </w:r>
      <w:r>
        <w:rPr>
          <w:rFonts w:hint="eastAsia" w:ascii="宋体" w:hAnsi="宋体" w:cs="宋体"/>
          <w:bCs/>
          <w:color w:val="auto"/>
          <w:sz w:val="24"/>
          <w:szCs w:val="24"/>
          <w:highlight w:val="none"/>
          <w:lang w:eastAsia="zh-CN"/>
        </w:rPr>
        <w:t>上传</w:t>
      </w:r>
      <w:r>
        <w:rPr>
          <w:rFonts w:hint="eastAsia" w:ascii="宋体" w:hAnsi="宋体" w:eastAsia="宋体" w:cs="宋体"/>
          <w:bCs/>
          <w:color w:val="auto"/>
          <w:sz w:val="24"/>
          <w:szCs w:val="24"/>
          <w:highlight w:val="none"/>
        </w:rPr>
        <w:t>投标文件</w:t>
      </w:r>
      <w:r>
        <w:rPr>
          <w:rFonts w:hint="eastAsia" w:ascii="宋体" w:hAnsi="宋体" w:eastAsia="宋体" w:cs="宋体"/>
          <w:color w:val="auto"/>
          <w:sz w:val="24"/>
          <w:szCs w:val="24"/>
          <w:highlight w:val="none"/>
        </w:rPr>
        <w:t>。</w:t>
      </w:r>
    </w:p>
    <w:p w14:paraId="7E890D69">
      <w:pPr>
        <w:pStyle w:val="64"/>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val="0"/>
          <w:bCs/>
          <w:color w:val="auto"/>
          <w:sz w:val="24"/>
          <w:szCs w:val="24"/>
          <w:highlight w:val="none"/>
          <w:shd w:val="clear" w:color="auto" w:fill="auto"/>
          <w:lang w:eastAsia="zh-CN"/>
        </w:rPr>
      </w:pPr>
      <w:bookmarkStart w:id="11" w:name="_Toc28359080"/>
      <w:bookmarkStart w:id="12" w:name="_Toc28359003"/>
      <w:bookmarkStart w:id="13" w:name="_Toc35393791"/>
      <w:bookmarkStart w:id="14" w:name="_Toc35393622"/>
      <w:r>
        <w:rPr>
          <w:rFonts w:hint="eastAsia" w:ascii="宋体" w:hAnsi="宋体" w:eastAsia="宋体" w:cs="宋体"/>
          <w:b w:val="0"/>
          <w:bCs/>
          <w:color w:val="auto"/>
          <w:sz w:val="24"/>
          <w:szCs w:val="24"/>
          <w:highlight w:val="none"/>
          <w:shd w:val="clear" w:color="auto" w:fill="auto"/>
        </w:rPr>
        <w:t>一、项目基本情况</w:t>
      </w:r>
      <w:r>
        <w:rPr>
          <w:rFonts w:hint="eastAsia" w:ascii="宋体" w:hAnsi="宋体" w:eastAsia="宋体" w:cs="宋体"/>
          <w:b w:val="0"/>
          <w:bCs/>
          <w:color w:val="auto"/>
          <w:sz w:val="24"/>
          <w:szCs w:val="24"/>
          <w:highlight w:val="none"/>
          <w:shd w:val="clear" w:color="auto" w:fill="auto"/>
          <w:lang w:eastAsia="zh-CN"/>
        </w:rPr>
        <w:t>：</w:t>
      </w:r>
    </w:p>
    <w:p w14:paraId="4D0B9F4B">
      <w:pPr>
        <w:pStyle w:val="64"/>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项目编号：</w:t>
      </w:r>
      <w:r>
        <w:rPr>
          <w:rStyle w:val="41"/>
          <w:rFonts w:hint="eastAsia" w:hAnsi="宋体"/>
          <w:bCs/>
          <w:color w:val="auto"/>
          <w:sz w:val="24"/>
          <w:szCs w:val="24"/>
          <w:highlight w:val="none"/>
          <w:lang w:eastAsia="zh-CN"/>
        </w:rPr>
        <w:t>[2026]131号</w:t>
      </w:r>
    </w:p>
    <w:p w14:paraId="2FCE5CD8">
      <w:pPr>
        <w:pStyle w:val="64"/>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cs="宋体"/>
          <w:color w:val="auto"/>
          <w:sz w:val="24"/>
          <w:szCs w:val="24"/>
          <w:highlight w:val="none"/>
          <w:u w:val="none"/>
          <w:lang w:eastAsia="zh-CN"/>
        </w:rPr>
      </w:pPr>
      <w:r>
        <w:rPr>
          <w:rFonts w:hint="eastAsia" w:ascii="宋体" w:hAnsi="宋体" w:eastAsia="宋体" w:cs="宋体"/>
          <w:b w:val="0"/>
          <w:bCs/>
          <w:color w:val="auto"/>
          <w:sz w:val="24"/>
          <w:szCs w:val="24"/>
          <w:highlight w:val="none"/>
          <w:shd w:val="clear" w:color="auto" w:fill="auto"/>
        </w:rPr>
        <w:t>项目名称：</w:t>
      </w:r>
      <w:r>
        <w:rPr>
          <w:rFonts w:hint="eastAsia" w:hAnsi="宋体" w:cs="宋体"/>
          <w:color w:val="auto"/>
          <w:sz w:val="24"/>
          <w:szCs w:val="24"/>
          <w:highlight w:val="none"/>
          <w:u w:val="none"/>
          <w:lang w:eastAsia="zh-CN"/>
        </w:rPr>
        <w:t>乌鲁木齐市第八十七中学学生课桌椅采购项目</w:t>
      </w:r>
    </w:p>
    <w:p w14:paraId="46F60307">
      <w:pPr>
        <w:pStyle w:val="64"/>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采购方式：</w:t>
      </w:r>
      <w:r>
        <w:rPr>
          <w:rFonts w:hint="eastAsia" w:hAnsi="宋体" w:cs="宋体"/>
          <w:b w:val="0"/>
          <w:bCs/>
          <w:color w:val="auto"/>
          <w:sz w:val="24"/>
          <w:szCs w:val="24"/>
          <w:highlight w:val="none"/>
          <w:shd w:val="clear" w:color="auto" w:fill="auto"/>
          <w:lang w:val="en-US" w:eastAsia="zh-CN"/>
        </w:rPr>
        <w:t>公开招标</w:t>
      </w:r>
    </w:p>
    <w:p w14:paraId="0105BCA1">
      <w:pPr>
        <w:pStyle w:val="64"/>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default" w:hAnsi="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预算金额（元）：</w:t>
      </w:r>
      <w:r>
        <w:rPr>
          <w:rFonts w:hint="eastAsia" w:hAnsi="宋体" w:cs="宋体"/>
          <w:b w:val="0"/>
          <w:bCs/>
          <w:color w:val="auto"/>
          <w:sz w:val="24"/>
          <w:szCs w:val="24"/>
          <w:highlight w:val="none"/>
          <w:shd w:val="clear" w:color="auto" w:fill="auto"/>
          <w:lang w:val="en-US" w:eastAsia="zh-CN"/>
        </w:rPr>
        <w:t>290000.00</w:t>
      </w:r>
    </w:p>
    <w:p w14:paraId="48A3B863">
      <w:pPr>
        <w:pStyle w:val="64"/>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最高限价（元）：</w:t>
      </w:r>
      <w:r>
        <w:rPr>
          <w:rFonts w:hint="eastAsia" w:hAnsi="宋体" w:cs="宋体"/>
          <w:b w:val="0"/>
          <w:bCs/>
          <w:color w:val="auto"/>
          <w:sz w:val="24"/>
          <w:szCs w:val="24"/>
          <w:highlight w:val="none"/>
          <w:shd w:val="clear" w:color="auto" w:fill="auto"/>
          <w:lang w:val="en-US" w:eastAsia="zh-CN"/>
        </w:rPr>
        <w:t>290000.00</w:t>
      </w:r>
    </w:p>
    <w:p w14:paraId="6AAC7735">
      <w:pPr>
        <w:pStyle w:val="64"/>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采购需求：</w:t>
      </w:r>
    </w:p>
    <w:p w14:paraId="06A8FE0D">
      <w:pPr>
        <w:pStyle w:val="64"/>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color w:val="auto"/>
          <w:sz w:val="24"/>
          <w:szCs w:val="24"/>
          <w:highlight w:val="none"/>
          <w:u w:val="single"/>
          <w:lang w:eastAsia="zh-CN"/>
        </w:rPr>
      </w:pPr>
      <w:r>
        <w:rPr>
          <w:rFonts w:hint="eastAsia" w:ascii="宋体" w:hAnsi="宋体" w:eastAsia="宋体" w:cs="宋体"/>
          <w:b w:val="0"/>
          <w:bCs/>
          <w:color w:val="auto"/>
          <w:sz w:val="24"/>
          <w:szCs w:val="24"/>
          <w:highlight w:val="none"/>
          <w:shd w:val="clear" w:color="auto" w:fill="auto"/>
        </w:rPr>
        <w:t xml:space="preserve">   标项名称:</w:t>
      </w:r>
      <w:r>
        <w:rPr>
          <w:rFonts w:hint="eastAsia" w:hAnsi="宋体" w:cs="宋体"/>
          <w:color w:val="auto"/>
          <w:sz w:val="24"/>
          <w:szCs w:val="24"/>
          <w:highlight w:val="none"/>
          <w:u w:val="none"/>
          <w:lang w:eastAsia="zh-CN"/>
        </w:rPr>
        <w:t>乌鲁木齐市第八十七中学学生课桌椅采购项目</w:t>
      </w:r>
    </w:p>
    <w:p w14:paraId="427CA3EA">
      <w:pPr>
        <w:pStyle w:val="64"/>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rPr>
        <w:t xml:space="preserve">   数量:</w:t>
      </w:r>
      <w:r>
        <w:rPr>
          <w:rFonts w:hint="eastAsia" w:hAnsi="宋体" w:cs="宋体"/>
          <w:b w:val="0"/>
          <w:bCs/>
          <w:color w:val="auto"/>
          <w:sz w:val="24"/>
          <w:szCs w:val="24"/>
          <w:highlight w:val="none"/>
          <w:shd w:val="clear" w:color="auto" w:fill="auto"/>
          <w:lang w:val="en-US" w:eastAsia="zh-CN"/>
        </w:rPr>
        <w:t>1</w:t>
      </w:r>
    </w:p>
    <w:p w14:paraId="6C3962E8">
      <w:pPr>
        <w:pStyle w:val="64"/>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480" w:firstLineChars="200"/>
        <w:jc w:val="left"/>
        <w:textAlignment w:val="auto"/>
        <w:rPr>
          <w:rFonts w:hint="default"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 xml:space="preserve">   预算金额（元）</w:t>
      </w:r>
      <w:r>
        <w:rPr>
          <w:rFonts w:hint="eastAsia" w:hAnsi="宋体" w:cs="宋体"/>
          <w:b w:val="0"/>
          <w:bCs/>
          <w:color w:val="auto"/>
          <w:sz w:val="24"/>
          <w:szCs w:val="24"/>
          <w:highlight w:val="none"/>
          <w:shd w:val="clear" w:color="auto" w:fill="auto"/>
          <w:lang w:eastAsia="zh-CN"/>
        </w:rPr>
        <w:t>：</w:t>
      </w:r>
      <w:r>
        <w:rPr>
          <w:rFonts w:hint="eastAsia" w:hAnsi="宋体" w:cs="宋体"/>
          <w:b w:val="0"/>
          <w:bCs/>
          <w:color w:val="auto"/>
          <w:sz w:val="24"/>
          <w:szCs w:val="24"/>
          <w:highlight w:val="none"/>
          <w:shd w:val="clear" w:color="auto" w:fill="auto"/>
          <w:lang w:val="en-US" w:eastAsia="zh-CN"/>
        </w:rPr>
        <w:t>290000.00元</w:t>
      </w:r>
    </w:p>
    <w:p w14:paraId="3F763132">
      <w:pPr>
        <w:pStyle w:val="30"/>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 xml:space="preserve">   简要规格描述或项目基本概况介绍、用途：</w:t>
      </w:r>
      <w:r>
        <w:rPr>
          <w:rFonts w:hint="eastAsia" w:ascii="宋体" w:hAnsi="宋体" w:cs="宋体"/>
          <w:b w:val="0"/>
          <w:bCs/>
          <w:color w:val="auto"/>
          <w:sz w:val="24"/>
          <w:szCs w:val="24"/>
          <w:highlight w:val="none"/>
          <w:shd w:val="clear" w:color="auto" w:fill="auto"/>
          <w:lang w:eastAsia="zh-CN"/>
        </w:rPr>
        <w:t>采购1000套学生课桌椅</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内容详见“</w:t>
      </w:r>
      <w:r>
        <w:rPr>
          <w:rFonts w:hint="eastAsia" w:ascii="宋体" w:hAnsi="宋体" w:eastAsia="宋体" w:cs="宋体"/>
          <w:bCs/>
          <w:color w:val="auto"/>
          <w:sz w:val="24"/>
          <w:szCs w:val="24"/>
          <w:highlight w:val="none"/>
        </w:rPr>
        <w:t>第四章 招标项目技术要求</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w:t>
      </w:r>
    </w:p>
    <w:p w14:paraId="25C2244C">
      <w:pPr>
        <w:pStyle w:val="38"/>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kern w:val="0"/>
          <w:sz w:val="24"/>
          <w:szCs w:val="24"/>
          <w:highlight w:val="none"/>
          <w:shd w:val="clear" w:color="auto" w:fill="auto"/>
          <w:lang w:val="en-US" w:eastAsia="zh-CN" w:bidi="ar-SA"/>
        </w:rPr>
      </w:pPr>
      <w:r>
        <w:rPr>
          <w:rFonts w:hint="eastAsia" w:ascii="宋体" w:hAnsi="宋体" w:eastAsia="宋体" w:cs="宋体"/>
          <w:b w:val="0"/>
          <w:bCs/>
          <w:color w:val="auto"/>
          <w:sz w:val="24"/>
          <w:szCs w:val="24"/>
          <w:highlight w:val="none"/>
          <w:shd w:val="clear" w:color="auto" w:fill="auto"/>
        </w:rPr>
        <w:t xml:space="preserve">   </w:t>
      </w:r>
      <w:r>
        <w:rPr>
          <w:rFonts w:hint="eastAsia" w:ascii="宋体" w:hAnsi="宋体" w:eastAsia="宋体" w:cs="宋体"/>
          <w:b w:val="0"/>
          <w:bCs/>
          <w:color w:val="auto"/>
          <w:kern w:val="0"/>
          <w:sz w:val="24"/>
          <w:szCs w:val="24"/>
          <w:highlight w:val="none"/>
          <w:shd w:val="clear" w:color="auto" w:fill="auto"/>
          <w:lang w:val="en-US" w:eastAsia="zh-CN" w:bidi="ar-SA"/>
        </w:rPr>
        <w:t>备注：/</w:t>
      </w:r>
    </w:p>
    <w:p w14:paraId="184AA7C0">
      <w:pPr>
        <w:pStyle w:val="64"/>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合同履约期限：</w:t>
      </w:r>
      <w:r>
        <w:rPr>
          <w:rFonts w:hint="eastAsia" w:hAnsi="宋体" w:cs="宋体"/>
          <w:b w:val="0"/>
          <w:bCs/>
          <w:color w:val="auto"/>
          <w:sz w:val="24"/>
          <w:szCs w:val="24"/>
          <w:highlight w:val="none"/>
          <w:shd w:val="clear" w:color="auto" w:fill="auto"/>
          <w:lang w:val="en-US" w:eastAsia="zh-CN"/>
        </w:rPr>
        <w:t>详见招标文件</w:t>
      </w:r>
      <w:r>
        <w:rPr>
          <w:rFonts w:hint="eastAsia" w:ascii="宋体" w:hAnsi="宋体" w:eastAsia="宋体" w:cs="宋体"/>
          <w:b w:val="0"/>
          <w:bCs/>
          <w:color w:val="auto"/>
          <w:sz w:val="24"/>
          <w:szCs w:val="24"/>
          <w:highlight w:val="none"/>
          <w:shd w:val="clear" w:color="auto" w:fill="auto"/>
        </w:rPr>
        <w:t>。</w:t>
      </w:r>
    </w:p>
    <w:p w14:paraId="4F8308C7">
      <w:pPr>
        <w:pStyle w:val="64"/>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本项目（否）接受联合体投标。</w:t>
      </w:r>
    </w:p>
    <w:p w14:paraId="573559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bookmarkEnd w:id="11"/>
      <w:bookmarkEnd w:id="12"/>
      <w:bookmarkEnd w:id="13"/>
      <w:bookmarkEnd w:id="14"/>
    </w:p>
    <w:p w14:paraId="02F253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305D7F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15" w:name="_Toc28359004"/>
      <w:bookmarkStart w:id="16" w:name="_Toc28359081"/>
      <w:r>
        <w:rPr>
          <w:rFonts w:hint="eastAsia" w:ascii="宋体" w:hAnsi="宋体" w:eastAsia="宋体" w:cs="宋体"/>
          <w:color w:val="auto"/>
          <w:sz w:val="24"/>
          <w:szCs w:val="24"/>
          <w:highlight w:val="none"/>
        </w:rPr>
        <w:t>2.落实政府采购政策需满足的资格要求：本项目为专门面向中小企业（含中型、小型、微型企业）采购的项目，供应商应为中小企业或监狱企业或残疾人福利性单位，根据《政府采购促进中小企业发展管理办法》（财库[2020]46 号）的规定，不再执行价格评审优惠的扶持政策；</w:t>
      </w:r>
    </w:p>
    <w:p w14:paraId="15AB59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本项目的特定资格要求：单位负责人为同一人或者存在直接控股、管理关系的不同投标人，不得参加同一合同项下的政府采购活动；</w:t>
      </w:r>
    </w:p>
    <w:p w14:paraId="7D6128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17" w:name="_Toc35393792"/>
      <w:bookmarkStart w:id="18" w:name="_Toc35393623"/>
      <w:r>
        <w:rPr>
          <w:rFonts w:hint="eastAsia" w:ascii="宋体" w:hAnsi="宋体" w:eastAsia="宋体" w:cs="宋体"/>
          <w:color w:val="auto"/>
          <w:sz w:val="24"/>
          <w:szCs w:val="24"/>
          <w:highlight w:val="none"/>
        </w:rPr>
        <w:t>三、获取招标文件</w:t>
      </w:r>
      <w:bookmarkEnd w:id="15"/>
      <w:bookmarkEnd w:id="16"/>
      <w:bookmarkEnd w:id="17"/>
      <w:bookmarkEnd w:id="18"/>
    </w:p>
    <w:p w14:paraId="1DE1DA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日，每天上午00:00至12:00，下午12：00至23:59（北京时间，线上获取法定节假日均可 ）</w:t>
      </w:r>
    </w:p>
    <w:p w14:paraId="12CC7801">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登陆政采云平台http://www.zcygov.cn/，在线申请获取招标文件（登录政府采购云平台→项目采购→获取招标文件→申请，审核通过后可下载招标文件，如有操作性问题，可与政采云在线客服进行咨询，咨询电话：95763）。</w:t>
      </w:r>
    </w:p>
    <w:p w14:paraId="30EF39AE">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方式：投标人登录新疆政府采购云平台https://www.zcygov.cn/在线申请获取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（登录政府采购云平台→项目采购→获取招标文件→申请，审核通过后可下载招标文件）</w:t>
      </w:r>
      <w:r>
        <w:rPr>
          <w:rFonts w:hint="eastAsia" w:ascii="宋体" w:hAnsi="宋体" w:cs="宋体"/>
          <w:color w:val="auto"/>
          <w:sz w:val="24"/>
          <w:szCs w:val="24"/>
          <w:highlight w:val="none"/>
          <w:lang w:eastAsia="zh-CN"/>
        </w:rPr>
        <w:t>。</w:t>
      </w:r>
    </w:p>
    <w:p w14:paraId="7319A964">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23E9FD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19" w:name="_Toc28359082"/>
      <w:bookmarkStart w:id="20" w:name="_Toc28359005"/>
      <w:bookmarkStart w:id="21" w:name="_Toc35393624"/>
      <w:bookmarkStart w:id="22" w:name="_Toc35393793"/>
      <w:r>
        <w:rPr>
          <w:rFonts w:hint="eastAsia" w:ascii="宋体" w:hAnsi="宋体" w:eastAsia="宋体" w:cs="宋体"/>
          <w:color w:val="auto"/>
          <w:sz w:val="24"/>
          <w:szCs w:val="24"/>
          <w:highlight w:val="none"/>
        </w:rPr>
        <w:t>四、提交投标文件</w:t>
      </w:r>
      <w:bookmarkEnd w:id="19"/>
      <w:bookmarkEnd w:id="20"/>
      <w:r>
        <w:rPr>
          <w:rFonts w:hint="eastAsia" w:ascii="宋体" w:hAnsi="宋体" w:eastAsia="宋体" w:cs="宋体"/>
          <w:color w:val="auto"/>
          <w:sz w:val="24"/>
          <w:szCs w:val="24"/>
          <w:highlight w:val="none"/>
        </w:rPr>
        <w:t>截止时间、开标时间和地点</w:t>
      </w:r>
      <w:bookmarkEnd w:id="21"/>
      <w:bookmarkEnd w:id="22"/>
    </w:p>
    <w:p w14:paraId="66EEADF5">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4月24日</w:t>
      </w:r>
      <w:r>
        <w:rPr>
          <w:rFonts w:hint="eastAsia" w:ascii="宋体" w:hAnsi="宋体" w:eastAsia="宋体" w:cs="宋体"/>
          <w:color w:val="auto"/>
          <w:sz w:val="24"/>
          <w:szCs w:val="24"/>
          <w:highlight w:val="none"/>
        </w:rPr>
        <w:t>11点00分（北京时间）</w:t>
      </w:r>
    </w:p>
    <w:p w14:paraId="02EBDD04">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4月24日</w:t>
      </w:r>
      <w:r>
        <w:rPr>
          <w:rFonts w:hint="eastAsia" w:ascii="宋体" w:hAnsi="宋体" w:eastAsia="宋体" w:cs="宋体"/>
          <w:color w:val="auto"/>
          <w:sz w:val="24"/>
          <w:szCs w:val="24"/>
          <w:highlight w:val="none"/>
        </w:rPr>
        <w:t>11点00分（北京时间）</w:t>
      </w:r>
    </w:p>
    <w:p w14:paraId="3CE25914">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bookmarkStart w:id="23" w:name="_Toc35393625"/>
      <w:bookmarkStart w:id="24" w:name="_Toc35393794"/>
      <w:bookmarkStart w:id="25" w:name="_Toc28359007"/>
      <w:bookmarkStart w:id="26" w:name="_Toc28359084"/>
      <w:r>
        <w:rPr>
          <w:rFonts w:hint="eastAsia" w:ascii="宋体" w:hAnsi="宋体" w:eastAsia="宋体" w:cs="宋体"/>
          <w:color w:val="auto"/>
          <w:sz w:val="24"/>
          <w:szCs w:val="24"/>
          <w:highlight w:val="none"/>
        </w:rPr>
        <w:t>政采云平台http://www.zcygov.cn/</w:t>
      </w:r>
    </w:p>
    <w:p w14:paraId="214E27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五、公告期限</w:t>
      </w:r>
      <w:bookmarkEnd w:id="23"/>
      <w:bookmarkEnd w:id="24"/>
      <w:bookmarkEnd w:id="25"/>
      <w:bookmarkEnd w:id="26"/>
      <w:bookmarkStart w:id="195" w:name="_GoBack"/>
      <w:bookmarkEnd w:id="195"/>
    </w:p>
    <w:p w14:paraId="27444EF0">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7194CB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27" w:name="_Toc35393626"/>
      <w:bookmarkStart w:id="28" w:name="_Toc35393795"/>
      <w:r>
        <w:rPr>
          <w:rFonts w:hint="eastAsia" w:ascii="宋体" w:hAnsi="宋体" w:eastAsia="宋体" w:cs="宋体"/>
          <w:color w:val="auto"/>
          <w:sz w:val="24"/>
          <w:szCs w:val="24"/>
          <w:highlight w:val="none"/>
        </w:rPr>
        <w:t>六、其他补充事宜</w:t>
      </w:r>
      <w:bookmarkEnd w:id="27"/>
      <w:bookmarkEnd w:id="28"/>
    </w:p>
    <w:p w14:paraId="2826D05F">
      <w:pPr>
        <w:pStyle w:val="64"/>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rPr>
          <w:rFonts w:hint="eastAsia" w:asciiTheme="minorEastAsia" w:hAnsiTheme="minorEastAsia" w:eastAsiaTheme="minorEastAsia" w:cstheme="minorEastAsia"/>
          <w:b w:val="0"/>
          <w:bCs/>
          <w:color w:val="auto"/>
          <w:sz w:val="24"/>
          <w:szCs w:val="24"/>
          <w:highlight w:val="none"/>
          <w:shd w:val="clear" w:color="auto" w:fill="auto"/>
          <w:lang w:val="en-US" w:eastAsia="zh-CN"/>
        </w:rPr>
      </w:pPr>
      <w:bookmarkStart w:id="29" w:name="_Toc28359085"/>
      <w:bookmarkStart w:id="30" w:name="_Toc35393627"/>
      <w:bookmarkStart w:id="31" w:name="_Toc35393796"/>
      <w:bookmarkStart w:id="32" w:name="_Toc28359008"/>
      <w:r>
        <w:rPr>
          <w:rFonts w:hint="eastAsia" w:asciiTheme="minorEastAsia" w:hAnsiTheme="minorEastAsia" w:eastAsiaTheme="minorEastAsia" w:cstheme="minorEastAsia"/>
          <w:b w:val="0"/>
          <w:bCs/>
          <w:color w:val="auto"/>
          <w:sz w:val="24"/>
          <w:szCs w:val="24"/>
          <w:highlight w:val="none"/>
          <w:shd w:val="clear" w:color="auto" w:fill="auto"/>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60418EE5">
      <w:pPr>
        <w:pStyle w:val="64"/>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rPr>
          <w:rFonts w:hint="eastAsia" w:asciiTheme="minorEastAsia" w:hAnsiTheme="minorEastAsia" w:eastAsiaTheme="minorEastAsia" w:cstheme="minorEastAsia"/>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39234E86">
      <w:pPr>
        <w:pStyle w:val="64"/>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rPr>
          <w:rFonts w:hint="eastAsia" w:asciiTheme="minorEastAsia" w:hAnsiTheme="minorEastAsia" w:eastAsiaTheme="minorEastAsia" w:cstheme="minorEastAsia"/>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lang w:val="en-US" w:eastAsia="zh-CN"/>
        </w:rPr>
        <w:t>3.供应商可前往新疆政府采购网（http://www.ccgp-xinjiang.gov.cn/）下载专区，下载政采云电子投标客户端，安装完成后，可通过账号密码或CA登录客户端进行投标文件制作。</w:t>
      </w:r>
    </w:p>
    <w:p w14:paraId="4A21D17C">
      <w:pPr>
        <w:pStyle w:val="64"/>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rPr>
          <w:rFonts w:hint="eastAsia" w:asciiTheme="minorEastAsia" w:hAnsiTheme="minorEastAsia" w:eastAsiaTheme="minorEastAsia" w:cstheme="minorEastAsia"/>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lang w:val="en-US" w:eastAsia="zh-CN"/>
        </w:rPr>
        <w:t>4.供应商在开标时须携带制作加密电子投标文件所使用的CA锁，电脑须提前配置好浏览器，以便开标时在线解密。</w:t>
      </w:r>
    </w:p>
    <w:p w14:paraId="44966425">
      <w:pPr>
        <w:pStyle w:val="64"/>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rPr>
          <w:rFonts w:hint="eastAsia" w:asciiTheme="minorEastAsia" w:hAnsiTheme="minorEastAsia" w:eastAsiaTheme="minorEastAsia" w:cstheme="minorEastAsia"/>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lang w:val="en-US" w:eastAsia="zh-CN"/>
        </w:rPr>
        <w:t>5.投标供应商应当在投标截止时间前，将生成的“电子加密投标文件”上传递交至“政府采购云平台”，投标截止时间以后上传递交的投标文件将被“政府采购云平台”拒收。</w:t>
      </w:r>
    </w:p>
    <w:p w14:paraId="7D87C2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七、对本次招标提出询问，请按以下方式联系</w:t>
      </w:r>
      <w:bookmarkEnd w:id="29"/>
      <w:bookmarkEnd w:id="30"/>
      <w:bookmarkEnd w:id="31"/>
      <w:bookmarkEnd w:id="32"/>
      <w:r>
        <w:rPr>
          <w:rFonts w:hint="eastAsia" w:ascii="宋体" w:hAnsi="宋体" w:eastAsia="宋体" w:cs="宋体"/>
          <w:color w:val="auto"/>
          <w:sz w:val="24"/>
          <w:szCs w:val="24"/>
          <w:highlight w:val="none"/>
          <w:lang w:eastAsia="zh-CN"/>
        </w:rPr>
        <w:t>：</w:t>
      </w:r>
    </w:p>
    <w:p w14:paraId="79C4CFCD">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185A2305">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cs="宋体"/>
          <w:color w:val="auto"/>
          <w:sz w:val="24"/>
          <w:szCs w:val="24"/>
          <w:highlight w:val="none"/>
          <w:lang w:eastAsia="zh-CN"/>
        </w:rPr>
        <w:t>乌鲁木齐市第八十七中学</w:t>
      </w:r>
    </w:p>
    <w:p w14:paraId="0C67AF13">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cs="宋体"/>
          <w:color w:val="auto"/>
          <w:sz w:val="24"/>
          <w:szCs w:val="24"/>
          <w:highlight w:val="none"/>
          <w:lang w:eastAsia="zh-CN"/>
        </w:rPr>
        <w:t>水磨沟区立井街165号</w:t>
      </w:r>
    </w:p>
    <w:p w14:paraId="5349B815">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程光</w:t>
      </w:r>
    </w:p>
    <w:p w14:paraId="1000A081">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话：</w:t>
      </w:r>
      <w:r>
        <w:rPr>
          <w:rFonts w:hint="eastAsia" w:ascii="宋体" w:hAnsi="宋体" w:cs="宋体"/>
          <w:color w:val="auto"/>
          <w:sz w:val="24"/>
          <w:szCs w:val="24"/>
          <w:highlight w:val="none"/>
          <w:lang w:val="en-US" w:eastAsia="zh-CN"/>
        </w:rPr>
        <w:t>13659915169</w:t>
      </w:r>
    </w:p>
    <w:p w14:paraId="1355EEA6">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rPr>
      </w:pPr>
      <w:bookmarkStart w:id="33" w:name="_Toc28359009"/>
      <w:bookmarkStart w:id="34" w:name="_Toc28359086"/>
    </w:p>
    <w:p w14:paraId="73A1C4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33"/>
      <w:bookmarkEnd w:id="34"/>
    </w:p>
    <w:p w14:paraId="572184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称：新疆拓源工程管理咨询有限公司</w:t>
      </w:r>
    </w:p>
    <w:p w14:paraId="3470B5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址：乌鲁木齐市水磨沟区龙盛街898号万科中央公园S6栋5层</w:t>
      </w:r>
    </w:p>
    <w:p w14:paraId="1FDD7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田释月、</w:t>
      </w:r>
      <w:r>
        <w:rPr>
          <w:rFonts w:hint="eastAsia" w:ascii="宋体" w:hAnsi="宋体" w:cs="宋体"/>
          <w:color w:val="auto"/>
          <w:sz w:val="24"/>
          <w:szCs w:val="24"/>
          <w:highlight w:val="none"/>
          <w:lang w:val="en-US" w:eastAsia="zh-CN"/>
        </w:rPr>
        <w:t>王梦捷、张曼、郭时忠</w:t>
      </w:r>
    </w:p>
    <w:p w14:paraId="6A751E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cs="宋体"/>
          <w:color w:val="auto"/>
          <w:sz w:val="24"/>
          <w:szCs w:val="24"/>
          <w:highlight w:val="none"/>
          <w:lang w:val="en-US" w:eastAsia="zh-CN"/>
        </w:rPr>
        <w:t>13009690616、18096940710</w:t>
      </w:r>
    </w:p>
    <w:p w14:paraId="216B7A24">
      <w:pPr>
        <w:pStyle w:val="4"/>
        <w:bidi w:val="0"/>
        <w:jc w:val="center"/>
        <w:outlineLvl w:val="0"/>
        <w:rPr>
          <w:rFonts w:hint="eastAsia"/>
          <w:color w:val="auto"/>
          <w:highlight w:val="none"/>
        </w:rPr>
      </w:pPr>
      <w:r>
        <w:rPr>
          <w:rFonts w:hint="eastAsia" w:ascii="宋体" w:hAnsi="宋体" w:eastAsia="宋体" w:cs="宋体"/>
          <w:color w:val="auto"/>
          <w:szCs w:val="24"/>
          <w:highlight w:val="none"/>
        </w:rPr>
        <w:br w:type="page"/>
      </w:r>
      <w:bookmarkStart w:id="35" w:name="_Toc12635"/>
      <w:bookmarkStart w:id="36" w:name="_Toc28983"/>
      <w:r>
        <w:rPr>
          <w:rFonts w:hint="eastAsia"/>
          <w:color w:val="auto"/>
          <w:highlight w:val="none"/>
        </w:rPr>
        <w:t>第二章  投标人须知</w:t>
      </w:r>
      <w:bookmarkEnd w:id="5"/>
      <w:bookmarkEnd w:id="6"/>
      <w:bookmarkEnd w:id="7"/>
      <w:bookmarkEnd w:id="8"/>
      <w:bookmarkEnd w:id="9"/>
      <w:bookmarkEnd w:id="10"/>
      <w:bookmarkEnd w:id="35"/>
      <w:bookmarkEnd w:id="36"/>
    </w:p>
    <w:p w14:paraId="1A090A4E">
      <w:pPr>
        <w:keepNext/>
        <w:keepLines/>
        <w:pageBreakBefore w:val="0"/>
        <w:kinsoku/>
        <w:wordWrap/>
        <w:overflowPunct/>
        <w:topLinePunct w:val="0"/>
        <w:autoSpaceDE/>
        <w:autoSpaceDN/>
        <w:bidi w:val="0"/>
        <w:spacing w:line="420" w:lineRule="exact"/>
        <w:jc w:val="center"/>
        <w:textAlignment w:val="auto"/>
        <w:outlineLvl w:val="1"/>
        <w:rPr>
          <w:rFonts w:hint="eastAsia" w:ascii="宋体" w:hAnsi="宋体" w:eastAsia="宋体" w:cs="宋体"/>
          <w:b/>
          <w:bCs/>
          <w:color w:val="auto"/>
          <w:sz w:val="24"/>
          <w:szCs w:val="24"/>
          <w:highlight w:val="none"/>
        </w:rPr>
      </w:pPr>
      <w:bookmarkStart w:id="37" w:name="_Toc217446032"/>
      <w:bookmarkStart w:id="38" w:name="_Toc213396760"/>
      <w:bookmarkStart w:id="39" w:name="_Toc213396946"/>
      <w:bookmarkStart w:id="40" w:name="_Toc213397010"/>
      <w:bookmarkStart w:id="41" w:name="_Toc189727030"/>
      <w:bookmarkStart w:id="42" w:name="_Toc213496268"/>
      <w:r>
        <w:rPr>
          <w:rFonts w:hint="eastAsia" w:ascii="宋体" w:hAnsi="宋体" w:eastAsia="宋体" w:cs="宋体"/>
          <w:b/>
          <w:bCs/>
          <w:color w:val="auto"/>
          <w:sz w:val="24"/>
          <w:szCs w:val="24"/>
          <w:highlight w:val="none"/>
        </w:rPr>
        <w:t>一、投标人须知前附表</w:t>
      </w:r>
      <w:bookmarkEnd w:id="37"/>
      <w:bookmarkEnd w:id="38"/>
      <w:bookmarkEnd w:id="39"/>
      <w:bookmarkEnd w:id="40"/>
      <w:bookmarkEnd w:id="41"/>
      <w:bookmarkEnd w:id="42"/>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68"/>
        <w:gridCol w:w="6383"/>
      </w:tblGrid>
      <w:tr w14:paraId="78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671" w:type="dxa"/>
            <w:vAlign w:val="center"/>
          </w:tcPr>
          <w:p w14:paraId="0F77BA24">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68" w:type="dxa"/>
            <w:vAlign w:val="center"/>
          </w:tcPr>
          <w:p w14:paraId="32FF374E">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6383" w:type="dxa"/>
            <w:vAlign w:val="center"/>
          </w:tcPr>
          <w:p w14:paraId="5A821C65">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r>
      <w:tr w14:paraId="6357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1A156359">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68" w:type="dxa"/>
            <w:vAlign w:val="center"/>
          </w:tcPr>
          <w:p w14:paraId="032C8EE1">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383" w:type="dxa"/>
            <w:vAlign w:val="center"/>
          </w:tcPr>
          <w:p w14:paraId="3FD04C0E">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乌鲁木齐市第八十七中学</w:t>
            </w:r>
          </w:p>
          <w:p w14:paraId="7BD308BC">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highlight w:val="none"/>
                <w:lang w:eastAsia="zh-CN"/>
              </w:rPr>
              <w:t>水磨沟区立井街165号</w:t>
            </w:r>
          </w:p>
          <w:p w14:paraId="644FA656">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 xml:space="preserve">程光 </w:t>
            </w:r>
          </w:p>
          <w:p w14:paraId="7D0B3305">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话：13659915169</w:t>
            </w:r>
            <w:r>
              <w:rPr>
                <w:rFonts w:hint="eastAsia" w:ascii="宋体" w:hAnsi="宋体" w:cs="宋体"/>
                <w:color w:val="auto"/>
                <w:sz w:val="24"/>
                <w:szCs w:val="24"/>
                <w:highlight w:val="none"/>
                <w:lang w:val="en-US" w:eastAsia="zh-CN"/>
              </w:rPr>
              <w:t xml:space="preserve"> </w:t>
            </w:r>
          </w:p>
        </w:tc>
      </w:tr>
      <w:tr w14:paraId="58C6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0FF78B02">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68" w:type="dxa"/>
            <w:vAlign w:val="center"/>
          </w:tcPr>
          <w:p w14:paraId="6F66831C">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383" w:type="dxa"/>
            <w:vAlign w:val="center"/>
          </w:tcPr>
          <w:p w14:paraId="4CDE9283">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称：新疆拓源工程管理咨询有限公司</w:t>
            </w:r>
          </w:p>
          <w:p w14:paraId="0380FB20">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zh-CN"/>
              </w:rPr>
              <w:t>乌鲁木齐市水磨沟区龙盛街898号万科中央公园S6栋5层</w:t>
            </w:r>
          </w:p>
          <w:p w14:paraId="7D67E73A">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田释月、</w:t>
            </w:r>
            <w:r>
              <w:rPr>
                <w:rFonts w:hint="eastAsia" w:ascii="宋体" w:hAnsi="宋体" w:cs="宋体"/>
                <w:color w:val="auto"/>
                <w:sz w:val="24"/>
                <w:szCs w:val="24"/>
                <w:highlight w:val="none"/>
                <w:lang w:val="en-US" w:eastAsia="zh-CN"/>
              </w:rPr>
              <w:t>王梦捷、张曼、郭时忠</w:t>
            </w:r>
            <w:r>
              <w:rPr>
                <w:rFonts w:hint="eastAsia" w:ascii="宋体" w:hAnsi="宋体" w:eastAsia="宋体" w:cs="宋体"/>
                <w:color w:val="auto"/>
                <w:sz w:val="24"/>
                <w:szCs w:val="24"/>
                <w:highlight w:val="none"/>
              </w:rPr>
              <w:t xml:space="preserve"> </w:t>
            </w:r>
          </w:p>
          <w:p w14:paraId="678440E2">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eastAsia="zh-CN"/>
              </w:rPr>
              <w:t>13009690616、18096940710</w:t>
            </w:r>
            <w:r>
              <w:rPr>
                <w:rFonts w:hint="eastAsia" w:ascii="宋体" w:hAnsi="宋体" w:eastAsia="宋体" w:cs="宋体"/>
                <w:color w:val="auto"/>
                <w:sz w:val="24"/>
                <w:szCs w:val="24"/>
                <w:highlight w:val="none"/>
              </w:rPr>
              <w:t xml:space="preserve"> </w:t>
            </w:r>
          </w:p>
        </w:tc>
      </w:tr>
      <w:tr w14:paraId="3CCC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6E3283E9">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68" w:type="dxa"/>
            <w:vAlign w:val="center"/>
          </w:tcPr>
          <w:p w14:paraId="77FEA966">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383" w:type="dxa"/>
            <w:vAlign w:val="center"/>
          </w:tcPr>
          <w:p w14:paraId="7B703275">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乌鲁木齐市第八十七中学学生课桌椅采购项目</w:t>
            </w:r>
          </w:p>
        </w:tc>
      </w:tr>
      <w:tr w14:paraId="7547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6F07FCF6">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68" w:type="dxa"/>
            <w:vAlign w:val="center"/>
          </w:tcPr>
          <w:p w14:paraId="2F41A77C">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383" w:type="dxa"/>
            <w:vAlign w:val="center"/>
          </w:tcPr>
          <w:p w14:paraId="6ED2D11A">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Style w:val="41"/>
                <w:rFonts w:hint="eastAsia" w:ascii="宋体" w:hAnsi="宋体"/>
                <w:bCs/>
                <w:color w:val="auto"/>
                <w:sz w:val="24"/>
                <w:highlight w:val="none"/>
                <w:lang w:eastAsia="zh-CN"/>
              </w:rPr>
              <w:t>[2026]131号</w:t>
            </w:r>
          </w:p>
        </w:tc>
      </w:tr>
      <w:tr w14:paraId="19FB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4E2D6E60">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68" w:type="dxa"/>
            <w:vAlign w:val="center"/>
          </w:tcPr>
          <w:p w14:paraId="4057FA4E">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资金来源、预算金额及最高限价</w:t>
            </w:r>
          </w:p>
        </w:tc>
        <w:tc>
          <w:tcPr>
            <w:tcW w:w="6383" w:type="dxa"/>
            <w:vAlign w:val="center"/>
          </w:tcPr>
          <w:p w14:paraId="4326F5C8">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资金来源：</w:t>
            </w:r>
            <w:r>
              <w:rPr>
                <w:rFonts w:hint="eastAsia" w:ascii="宋体" w:hAnsi="宋体" w:cs="宋体"/>
                <w:color w:val="auto"/>
                <w:sz w:val="24"/>
                <w:szCs w:val="24"/>
                <w:highlight w:val="none"/>
                <w:lang w:val="en-US" w:eastAsia="zh-CN"/>
              </w:rPr>
              <w:t>财政资金</w:t>
            </w:r>
          </w:p>
          <w:p w14:paraId="2068B3A8">
            <w:pPr>
              <w:pStyle w:val="38"/>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color w:val="auto"/>
                <w:sz w:val="24"/>
                <w:szCs w:val="24"/>
                <w:highlight w:val="none"/>
              </w:rPr>
              <w:t>预算金额（最高限价）</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val="0"/>
                <w:bCs/>
                <w:color w:val="auto"/>
                <w:sz w:val="24"/>
                <w:szCs w:val="24"/>
                <w:highlight w:val="none"/>
                <w:shd w:val="clear" w:color="auto" w:fill="auto"/>
                <w:lang w:val="en-US" w:eastAsia="zh-CN"/>
              </w:rPr>
              <w:t>290000.00元</w:t>
            </w:r>
          </w:p>
          <w:p w14:paraId="0CF96D34">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b/>
                <w:color w:val="auto"/>
                <w:sz w:val="24"/>
                <w:szCs w:val="24"/>
                <w:highlight w:val="none"/>
              </w:rPr>
            </w:pPr>
            <w:r>
              <w:rPr>
                <w:rFonts w:hint="default" w:ascii="宋体" w:hAnsi="Times New Roman" w:eastAsia="宋体" w:cs="Times New Roman"/>
                <w:b/>
                <w:bCs/>
                <w:color w:val="auto"/>
                <w:sz w:val="24"/>
                <w:szCs w:val="24"/>
                <w:highlight w:val="none"/>
                <w:lang w:eastAsia="zh-CN"/>
              </w:rPr>
              <w:t>投标人报价不得高于最高投标限价，如超过上述最高投标限价的</w:t>
            </w:r>
            <w:r>
              <w:rPr>
                <w:rFonts w:hint="eastAsia" w:ascii="宋体" w:eastAsia="宋体" w:hAnsiTheme="minorEastAsia" w:cstheme="minorEastAsia"/>
                <w:b/>
                <w:bCs/>
                <w:color w:val="auto"/>
                <w:sz w:val="24"/>
                <w:szCs w:val="24"/>
                <w:highlight w:val="none"/>
              </w:rPr>
              <w:t>投标无效</w:t>
            </w:r>
            <w:r>
              <w:rPr>
                <w:rFonts w:hint="eastAsia" w:ascii="宋体" w:hAnsi="宋体" w:eastAsia="宋体" w:cs="宋体"/>
                <w:b/>
                <w:color w:val="auto"/>
                <w:sz w:val="24"/>
                <w:szCs w:val="24"/>
                <w:highlight w:val="none"/>
              </w:rPr>
              <w:t>。</w:t>
            </w:r>
          </w:p>
        </w:tc>
      </w:tr>
      <w:tr w14:paraId="67B9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71" w:type="dxa"/>
            <w:vAlign w:val="center"/>
          </w:tcPr>
          <w:p w14:paraId="5E0A12C1">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68" w:type="dxa"/>
            <w:vAlign w:val="center"/>
          </w:tcPr>
          <w:p w14:paraId="2C794D36">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采购需求</w:t>
            </w:r>
          </w:p>
        </w:tc>
        <w:tc>
          <w:tcPr>
            <w:tcW w:w="6383" w:type="dxa"/>
            <w:vAlign w:val="center"/>
          </w:tcPr>
          <w:p w14:paraId="7AEBD7F5">
            <w:pPr>
              <w:pStyle w:val="38"/>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采购1000套学生课桌椅</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内容详见“</w:t>
            </w:r>
            <w:r>
              <w:rPr>
                <w:rFonts w:hint="eastAsia" w:ascii="宋体" w:hAnsi="宋体" w:eastAsia="宋体" w:cs="宋体"/>
                <w:bCs/>
                <w:color w:val="auto"/>
                <w:sz w:val="24"/>
                <w:szCs w:val="24"/>
                <w:highlight w:val="none"/>
              </w:rPr>
              <w:t>第四章 招标项目技术要求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p>
        </w:tc>
      </w:tr>
      <w:tr w14:paraId="6729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1" w:type="dxa"/>
            <w:vAlign w:val="center"/>
          </w:tcPr>
          <w:p w14:paraId="501BBC41">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468" w:type="dxa"/>
            <w:vAlign w:val="center"/>
          </w:tcPr>
          <w:p w14:paraId="3D768C8C">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标段（包）划分</w:t>
            </w:r>
          </w:p>
        </w:tc>
        <w:tc>
          <w:tcPr>
            <w:tcW w:w="6383" w:type="dxa"/>
            <w:vAlign w:val="center"/>
          </w:tcPr>
          <w:p w14:paraId="37007FFE">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686F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09A2476F">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468" w:type="dxa"/>
            <w:vAlign w:val="center"/>
          </w:tcPr>
          <w:p w14:paraId="0B970734">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供货期限</w:t>
            </w:r>
          </w:p>
        </w:tc>
        <w:tc>
          <w:tcPr>
            <w:tcW w:w="6383" w:type="dxa"/>
            <w:vAlign w:val="center"/>
          </w:tcPr>
          <w:p w14:paraId="52D32804">
            <w:pPr>
              <w:pStyle w:val="38"/>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default" w:ascii="宋体" w:eastAsia="宋体" w:hAnsiTheme="minorEastAsia" w:cstheme="minorEastAsia"/>
                <w:color w:val="auto"/>
                <w:sz w:val="24"/>
                <w:szCs w:val="24"/>
                <w:highlight w:val="none"/>
                <w:lang w:val="en-US" w:eastAsia="zh-CN"/>
              </w:rPr>
            </w:pPr>
            <w:r>
              <w:rPr>
                <w:rFonts w:hint="default" w:ascii="宋体" w:eastAsia="宋体" w:hAnsiTheme="minorEastAsia" w:cstheme="minorEastAsia"/>
                <w:color w:val="auto"/>
                <w:sz w:val="24"/>
                <w:szCs w:val="24"/>
                <w:highlight w:val="none"/>
                <w:lang w:val="en-US" w:eastAsia="zh-CN"/>
              </w:rPr>
              <w:t xml:space="preserve">合同签订后 </w:t>
            </w:r>
            <w:r>
              <w:rPr>
                <w:rFonts w:hint="eastAsia" w:ascii="宋体" w:eastAsia="宋体" w:hAnsiTheme="minorEastAsia" w:cstheme="minorEastAsia"/>
                <w:color w:val="auto"/>
                <w:sz w:val="24"/>
                <w:szCs w:val="24"/>
                <w:highlight w:val="none"/>
                <w:lang w:val="en-US" w:eastAsia="zh-CN"/>
              </w:rPr>
              <w:t>15</w:t>
            </w:r>
            <w:r>
              <w:rPr>
                <w:rFonts w:hint="default" w:ascii="宋体" w:eastAsia="宋体" w:hAnsiTheme="minorEastAsia" w:cstheme="minorEastAsia"/>
                <w:color w:val="auto"/>
                <w:sz w:val="24"/>
                <w:szCs w:val="24"/>
                <w:highlight w:val="none"/>
                <w:lang w:val="en-US" w:eastAsia="zh-CN"/>
              </w:rPr>
              <w:t>日历日内供货安装完成并验收合格；</w:t>
            </w:r>
          </w:p>
        </w:tc>
      </w:tr>
      <w:tr w14:paraId="6F8E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6E7111AB">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468" w:type="dxa"/>
            <w:vAlign w:val="center"/>
          </w:tcPr>
          <w:p w14:paraId="7A6875DD">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CN"/>
              </w:rPr>
              <w:t>标准</w:t>
            </w:r>
          </w:p>
        </w:tc>
        <w:tc>
          <w:tcPr>
            <w:tcW w:w="6383" w:type="dxa"/>
            <w:vAlign w:val="center"/>
          </w:tcPr>
          <w:p w14:paraId="220B276A">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合格</w:t>
            </w:r>
          </w:p>
        </w:tc>
      </w:tr>
      <w:tr w14:paraId="4307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32D3648A">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468" w:type="dxa"/>
            <w:vAlign w:val="center"/>
          </w:tcPr>
          <w:p w14:paraId="763FA127">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落实的政府采购政策</w:t>
            </w:r>
          </w:p>
        </w:tc>
        <w:tc>
          <w:tcPr>
            <w:tcW w:w="6383" w:type="dxa"/>
            <w:vAlign w:val="center"/>
          </w:tcPr>
          <w:p w14:paraId="3868FDC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1、本项目为专门面向中小企业（含中型、小型、微型企业）采购的项目，供应商应为中小企业或监狱企业或残疾人福利性单位，根据《政府采购促进中小企业发展管理办法》（财库[2020]46 号）的规定，不再执行价格评审优惠的扶持政策；</w:t>
            </w:r>
          </w:p>
          <w:p w14:paraId="3B365236">
            <w:pPr>
              <w:keepNext w:val="0"/>
              <w:keepLines w:val="0"/>
              <w:pageBreakBefore w:val="0"/>
              <w:numPr>
                <w:ilvl w:val="0"/>
                <w:numId w:val="0"/>
              </w:numPr>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b w:val="0"/>
                <w:bCs/>
                <w:color w:val="auto"/>
                <w:kern w:val="0"/>
                <w:sz w:val="24"/>
                <w:szCs w:val="24"/>
                <w:highlight w:val="none"/>
                <w:shd w:val="clear" w:color="auto" w:fill="auto"/>
                <w:lang w:eastAsia="zh-CN"/>
              </w:rPr>
            </w:pPr>
            <w:r>
              <w:rPr>
                <w:rFonts w:hint="eastAsia" w:ascii="宋体" w:hAnsi="宋体" w:eastAsia="宋体" w:cs="宋体"/>
                <w:b w:val="0"/>
                <w:bCs/>
                <w:color w:val="auto"/>
                <w:kern w:val="0"/>
                <w:sz w:val="24"/>
                <w:szCs w:val="24"/>
                <w:highlight w:val="none"/>
                <w:shd w:val="clear" w:color="auto" w:fill="auto"/>
                <w:lang w:val="en-US" w:eastAsia="zh-CN"/>
              </w:rPr>
              <w:t>2</w:t>
            </w:r>
            <w:r>
              <w:rPr>
                <w:rFonts w:hint="eastAsia" w:ascii="宋体" w:hAnsi="宋体" w:eastAsia="宋体" w:cs="宋体"/>
                <w:b w:val="0"/>
                <w:bCs/>
                <w:color w:val="auto"/>
                <w:kern w:val="0"/>
                <w:sz w:val="24"/>
                <w:szCs w:val="24"/>
                <w:highlight w:val="none"/>
                <w:shd w:val="clear" w:color="auto" w:fill="auto"/>
                <w:lang w:eastAsia="zh-CN"/>
              </w:rPr>
              <w:t>、所属行业：</w:t>
            </w:r>
            <w:r>
              <w:rPr>
                <w:rFonts w:hint="eastAsia" w:ascii="宋体" w:hAnsi="宋体" w:eastAsia="宋体" w:cs="宋体"/>
                <w:color w:val="auto"/>
                <w:sz w:val="24"/>
                <w:szCs w:val="24"/>
                <w:highlight w:val="none"/>
                <w:lang w:val="en-US" w:eastAsia="zh-CN"/>
              </w:rPr>
              <w:t>工业</w:t>
            </w:r>
            <w:r>
              <w:rPr>
                <w:rFonts w:hint="eastAsia" w:ascii="宋体" w:hAnsi="宋体" w:eastAsia="宋体" w:cs="宋体"/>
                <w:b w:val="0"/>
                <w:bCs/>
                <w:color w:val="auto"/>
                <w:kern w:val="0"/>
                <w:sz w:val="24"/>
                <w:szCs w:val="24"/>
                <w:highlight w:val="none"/>
                <w:shd w:val="clear" w:color="auto" w:fill="auto"/>
                <w:lang w:eastAsia="zh-CN"/>
              </w:rPr>
              <w:t>。</w:t>
            </w:r>
          </w:p>
          <w:p w14:paraId="76AF4880">
            <w:pPr>
              <w:keepNext w:val="0"/>
              <w:keepLines w:val="0"/>
              <w:pageBreakBefore w:val="0"/>
              <w:numPr>
                <w:ilvl w:val="0"/>
                <w:numId w:val="0"/>
              </w:numPr>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b w:val="0"/>
                <w:bCs/>
                <w:color w:val="auto"/>
                <w:kern w:val="0"/>
                <w:sz w:val="24"/>
                <w:szCs w:val="24"/>
                <w:highlight w:val="none"/>
                <w:shd w:val="clear" w:color="auto" w:fill="auto"/>
                <w:lang w:val="en-US" w:eastAsia="zh-CN"/>
              </w:rPr>
            </w:pPr>
            <w:r>
              <w:rPr>
                <w:rFonts w:hint="eastAsia" w:ascii="宋体" w:hAnsi="宋体" w:cs="宋体"/>
                <w:b w:val="0"/>
                <w:bCs/>
                <w:color w:val="auto"/>
                <w:kern w:val="0"/>
                <w:sz w:val="24"/>
                <w:szCs w:val="24"/>
                <w:highlight w:val="none"/>
                <w:shd w:val="clear" w:color="auto" w:fill="auto"/>
                <w:lang w:val="en-US" w:eastAsia="zh-CN"/>
              </w:rPr>
              <w:t>3、</w:t>
            </w:r>
            <w:r>
              <w:rPr>
                <w:rFonts w:hint="eastAsia" w:ascii="宋体" w:hAnsi="宋体" w:eastAsia="宋体" w:cs="宋体"/>
                <w:b w:val="0"/>
                <w:bCs/>
                <w:color w:val="auto"/>
                <w:kern w:val="0"/>
                <w:sz w:val="24"/>
                <w:szCs w:val="24"/>
                <w:highlight w:val="none"/>
                <w:shd w:val="clear" w:color="auto" w:fill="auto"/>
                <w:lang w:val="en-US" w:eastAsia="zh-CN"/>
              </w:rPr>
              <w:t>本国产品标准(依据《国务院办公厅关于在政府采购中实施本国产品标准及相关政策的通知》国办发〔2025〕34号) 。</w:t>
            </w:r>
          </w:p>
        </w:tc>
      </w:tr>
      <w:tr w14:paraId="72E6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68D69CA0">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468" w:type="dxa"/>
            <w:vAlign w:val="center"/>
          </w:tcPr>
          <w:p w14:paraId="28537990">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投标人资格要求</w:t>
            </w:r>
          </w:p>
        </w:tc>
        <w:tc>
          <w:tcPr>
            <w:tcW w:w="6383" w:type="dxa"/>
            <w:vAlign w:val="center"/>
          </w:tcPr>
          <w:p w14:paraId="456C469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464A3B0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本项目为专门面向中小企业（含中型、小型、微型企业）采购的项目，供应商应为中小企业或监狱企业或残疾人福利性单位，根据《政府采购促进中小企业发展管理办法》（财库[2020]46 号）的规定，不再执行价格评审优惠的扶持政策；</w:t>
            </w:r>
          </w:p>
          <w:p w14:paraId="36035C6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3.本项目的特定资格要求：单位负责人为同一人或者存在直接控股、管理关系的不同投标人，不得参加同一合同项下的政府采购活动；</w:t>
            </w:r>
          </w:p>
        </w:tc>
      </w:tr>
      <w:tr w14:paraId="247B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36BDC7FB">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468" w:type="dxa"/>
            <w:vAlign w:val="center"/>
          </w:tcPr>
          <w:p w14:paraId="53E82375">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383" w:type="dxa"/>
            <w:vAlign w:val="center"/>
          </w:tcPr>
          <w:p w14:paraId="5E689D61">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投标保证金的金额：</w:t>
            </w:r>
          </w:p>
          <w:p w14:paraId="5B0C0EDD">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cs="宋体"/>
                <w:color w:val="auto"/>
                <w:sz w:val="24"/>
                <w:szCs w:val="24"/>
                <w:highlight w:val="none"/>
                <w:lang w:val="en-US" w:eastAsia="zh-CN"/>
              </w:rPr>
              <w:t>5800.00</w:t>
            </w:r>
            <w:r>
              <w:rPr>
                <w:rFonts w:hint="eastAsia" w:ascii="宋体" w:hAnsi="宋体" w:eastAsia="宋体" w:cs="宋体"/>
                <w:color w:val="auto"/>
                <w:sz w:val="24"/>
                <w:szCs w:val="24"/>
                <w:highlight w:val="none"/>
                <w:lang w:val="en-US" w:eastAsia="zh-CN"/>
              </w:rPr>
              <w:t>元（大写：</w:t>
            </w:r>
            <w:r>
              <w:rPr>
                <w:rFonts w:hint="eastAsia" w:ascii="宋体" w:hAnsi="宋体" w:cs="宋体"/>
                <w:color w:val="auto"/>
                <w:sz w:val="24"/>
                <w:szCs w:val="24"/>
                <w:highlight w:val="none"/>
                <w:lang w:val="en-US" w:eastAsia="zh-CN"/>
              </w:rPr>
              <w:t>伍仟捌佰元整</w:t>
            </w:r>
            <w:r>
              <w:rPr>
                <w:rFonts w:hint="eastAsia" w:ascii="宋体" w:hAnsi="宋体" w:eastAsia="宋体" w:cs="宋体"/>
                <w:color w:val="auto"/>
                <w:sz w:val="24"/>
                <w:szCs w:val="24"/>
                <w:highlight w:val="none"/>
                <w:lang w:val="en-US" w:eastAsia="zh-CN"/>
              </w:rPr>
              <w:t>）</w:t>
            </w:r>
          </w:p>
          <w:p w14:paraId="528CFEE4">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投标保证金须在投标文件</w:t>
            </w:r>
            <w:r>
              <w:rPr>
                <w:rFonts w:hint="eastAsia" w:ascii="宋体" w:hAnsi="宋体" w:eastAsia="宋体" w:cs="宋体"/>
                <w:color w:val="auto"/>
                <w:sz w:val="24"/>
                <w:szCs w:val="24"/>
                <w:highlight w:val="none"/>
                <w:lang w:eastAsia="zh-CN"/>
              </w:rPr>
              <w:t>上传</w:t>
            </w:r>
            <w:r>
              <w:rPr>
                <w:rFonts w:hint="eastAsia" w:ascii="宋体" w:hAnsi="宋体" w:eastAsia="宋体" w:cs="宋体"/>
                <w:color w:val="auto"/>
                <w:sz w:val="24"/>
                <w:szCs w:val="24"/>
                <w:highlight w:val="none"/>
              </w:rPr>
              <w:t>截止时间前确认到账。</w:t>
            </w:r>
          </w:p>
          <w:p w14:paraId="30686096">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一、投标保证金缴纳：</w:t>
            </w:r>
          </w:p>
          <w:p w14:paraId="5F3D51C9">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1.投标保证金应当以电汇、网银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保函</w:t>
            </w:r>
            <w:r>
              <w:rPr>
                <w:rFonts w:hint="eastAsia" w:ascii="宋体" w:hAnsi="宋体" w:eastAsia="宋体" w:cs="宋体"/>
                <w:b w:val="0"/>
                <w:bCs w:val="0"/>
                <w:color w:val="auto"/>
                <w:sz w:val="24"/>
                <w:szCs w:val="24"/>
                <w:highlight w:val="none"/>
              </w:rPr>
              <w:t>等非现金形式提交；</w:t>
            </w:r>
          </w:p>
          <w:p w14:paraId="4F6DC7DE">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2.缴纳投标保证金时需备注项目名称；</w:t>
            </w:r>
          </w:p>
          <w:p w14:paraId="38392F2E">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3.投标保证金</w:t>
            </w:r>
            <w:r>
              <w:rPr>
                <w:rFonts w:hint="eastAsia" w:ascii="宋体" w:hAnsi="宋体" w:eastAsia="宋体" w:cs="宋体"/>
                <w:b w:val="0"/>
                <w:bCs w:val="0"/>
                <w:color w:val="auto"/>
                <w:sz w:val="24"/>
                <w:szCs w:val="24"/>
                <w:highlight w:val="none"/>
                <w:lang w:eastAsia="zh-CN"/>
              </w:rPr>
              <w:t>上传</w:t>
            </w:r>
            <w:r>
              <w:rPr>
                <w:rFonts w:hint="eastAsia" w:ascii="宋体" w:hAnsi="宋体" w:eastAsia="宋体" w:cs="宋体"/>
                <w:b w:val="0"/>
                <w:bCs w:val="0"/>
                <w:color w:val="auto"/>
                <w:sz w:val="24"/>
                <w:szCs w:val="24"/>
                <w:highlight w:val="none"/>
              </w:rPr>
              <w:t>截止时间：与投标文件</w:t>
            </w:r>
            <w:r>
              <w:rPr>
                <w:rFonts w:hint="eastAsia" w:ascii="宋体" w:hAnsi="宋体" w:eastAsia="宋体" w:cs="宋体"/>
                <w:b w:val="0"/>
                <w:bCs w:val="0"/>
                <w:color w:val="auto"/>
                <w:sz w:val="24"/>
                <w:szCs w:val="24"/>
                <w:highlight w:val="none"/>
                <w:lang w:eastAsia="zh-CN"/>
              </w:rPr>
              <w:t>上传</w:t>
            </w:r>
            <w:r>
              <w:rPr>
                <w:rFonts w:hint="eastAsia" w:ascii="宋体" w:hAnsi="宋体" w:eastAsia="宋体" w:cs="宋体"/>
                <w:b w:val="0"/>
                <w:bCs w:val="0"/>
                <w:color w:val="auto"/>
                <w:sz w:val="24"/>
                <w:szCs w:val="24"/>
                <w:highlight w:val="none"/>
              </w:rPr>
              <w:t>截止时间相同；</w:t>
            </w:r>
          </w:p>
          <w:p w14:paraId="64CB22AA">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投标保证金缴纳账户：</w:t>
            </w:r>
          </w:p>
          <w:p w14:paraId="28C0DCCC">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单位名称：新疆拓源工程管理咨询有限公司</w:t>
            </w:r>
          </w:p>
          <w:p w14:paraId="2275C938">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账号：107675470537</w:t>
            </w:r>
          </w:p>
          <w:p w14:paraId="17DF21B8">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开户行名称：中国银行乌鲁木齐市</w:t>
            </w:r>
            <w:r>
              <w:rPr>
                <w:rFonts w:hint="eastAsia" w:ascii="宋体" w:hAnsi="宋体" w:eastAsia="宋体" w:cs="宋体"/>
                <w:b w:val="0"/>
                <w:bCs w:val="0"/>
                <w:color w:val="auto"/>
                <w:sz w:val="24"/>
                <w:szCs w:val="24"/>
                <w:highlight w:val="none"/>
                <w:lang w:val="en-US" w:eastAsia="zh-CN"/>
              </w:rPr>
              <w:t>银川</w:t>
            </w:r>
            <w:r>
              <w:rPr>
                <w:rFonts w:hint="eastAsia" w:ascii="宋体" w:hAnsi="宋体" w:eastAsia="宋体" w:cs="宋体"/>
                <w:b w:val="0"/>
                <w:bCs w:val="0"/>
                <w:color w:val="auto"/>
                <w:sz w:val="24"/>
                <w:szCs w:val="24"/>
                <w:highlight w:val="none"/>
              </w:rPr>
              <w:t>路支行</w:t>
            </w:r>
          </w:p>
          <w:p w14:paraId="0234CB21">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行号：104881006135</w:t>
            </w:r>
          </w:p>
          <w:p w14:paraId="5C971A51">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二、投标保证金退还：</w:t>
            </w:r>
          </w:p>
          <w:p w14:paraId="7CD626A0">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1.未中标人的投标保证金将在中标通知书发出后5个工作日内退还；</w:t>
            </w:r>
          </w:p>
          <w:p w14:paraId="052B921A">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2.中标人的投标保证金将在自采购合同签订之日起5个工作日内无息退还；</w:t>
            </w:r>
          </w:p>
          <w:p w14:paraId="04CFD362">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3.有下列情形之一的，投标保证金不予退还：详见总则第15.5条。</w:t>
            </w:r>
          </w:p>
          <w:p w14:paraId="1507C5A9">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三、加盖公章的投标保证金缴纳凭证</w:t>
            </w:r>
            <w:r>
              <w:rPr>
                <w:rFonts w:hint="eastAsia" w:ascii="宋体" w:hAnsi="宋体" w:cs="宋体"/>
                <w:caps w:val="0"/>
                <w:color w:val="auto"/>
                <w:spacing w:val="0"/>
                <w:kern w:val="0"/>
                <w:sz w:val="24"/>
                <w:szCs w:val="24"/>
                <w:highlight w:val="none"/>
                <w:lang w:eastAsia="zh-CN" w:bidi="ar"/>
              </w:rPr>
              <w:t>扫描件</w:t>
            </w:r>
            <w:r>
              <w:rPr>
                <w:rFonts w:hint="eastAsia" w:ascii="宋体" w:hAnsi="宋体" w:eastAsia="宋体" w:cs="宋体"/>
                <w:color w:val="auto"/>
                <w:sz w:val="24"/>
                <w:szCs w:val="24"/>
                <w:highlight w:val="none"/>
              </w:rPr>
              <w:t>需装订在投标文件中相应位置。</w:t>
            </w:r>
          </w:p>
          <w:p w14:paraId="044E6ED5">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注：投标人未按照招标文件的规定提交投标保证金的，将被视为</w:t>
            </w: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14:paraId="4D02D0C6">
            <w:pPr>
              <w:pStyle w:val="30"/>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财务部联系电话：0991-2338817</w:t>
            </w:r>
          </w:p>
        </w:tc>
      </w:tr>
      <w:tr w14:paraId="099D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178F4D40">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468" w:type="dxa"/>
            <w:vAlign w:val="center"/>
          </w:tcPr>
          <w:p w14:paraId="2DDB825A">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6383" w:type="dxa"/>
            <w:vAlign w:val="center"/>
          </w:tcPr>
          <w:p w14:paraId="587F1D9C">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接受</w:t>
            </w:r>
          </w:p>
        </w:tc>
      </w:tr>
      <w:tr w14:paraId="75A6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32848FC7">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468" w:type="dxa"/>
            <w:vAlign w:val="center"/>
          </w:tcPr>
          <w:p w14:paraId="791CD480">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6383" w:type="dxa"/>
            <w:vAlign w:val="center"/>
          </w:tcPr>
          <w:p w14:paraId="1D02E1EE">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不允许/</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允许</w:t>
            </w:r>
          </w:p>
        </w:tc>
      </w:tr>
      <w:tr w14:paraId="766C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294DBF3D">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468" w:type="dxa"/>
            <w:vAlign w:val="center"/>
          </w:tcPr>
          <w:p w14:paraId="4C8EDDA5">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上传</w:t>
            </w:r>
            <w:r>
              <w:rPr>
                <w:rFonts w:hint="eastAsia" w:ascii="宋体" w:hAnsi="宋体" w:eastAsia="宋体" w:cs="宋体"/>
                <w:color w:val="auto"/>
                <w:sz w:val="24"/>
                <w:szCs w:val="24"/>
                <w:highlight w:val="none"/>
              </w:rPr>
              <w:t>截止时间及地点</w:t>
            </w:r>
          </w:p>
        </w:tc>
        <w:tc>
          <w:tcPr>
            <w:tcW w:w="6383" w:type="dxa"/>
            <w:vAlign w:val="center"/>
          </w:tcPr>
          <w:p w14:paraId="0FEE578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宋体" w:eastAsia="宋体" w:hAnsiTheme="minorEastAsia" w:cstheme="minorEastAsia"/>
                <w:b w:val="0"/>
                <w:bCs/>
                <w:color w:val="auto"/>
                <w:kern w:val="0"/>
                <w:sz w:val="24"/>
                <w:szCs w:val="24"/>
                <w:highlight w:val="none"/>
                <w:u w:val="none"/>
                <w:shd w:val="clear" w:color="auto" w:fill="auto"/>
                <w:lang w:eastAsia="zh-CN"/>
              </w:rPr>
            </w:pPr>
            <w:r>
              <w:rPr>
                <w:rFonts w:hint="eastAsia" w:ascii="宋体" w:eastAsia="宋体" w:hAnsiTheme="minorEastAsia" w:cstheme="minorEastAsia"/>
                <w:b w:val="0"/>
                <w:bCs/>
                <w:color w:val="auto"/>
                <w:sz w:val="24"/>
                <w:szCs w:val="24"/>
                <w:highlight w:val="none"/>
                <w:u w:val="none"/>
                <w:shd w:val="clear" w:color="auto" w:fill="auto"/>
                <w:lang w:val="en-US" w:eastAsia="zh-CN"/>
              </w:rPr>
              <w:t>投标</w:t>
            </w:r>
            <w:r>
              <w:rPr>
                <w:rFonts w:hint="eastAsia" w:ascii="宋体" w:eastAsia="宋体" w:hAnsiTheme="minorEastAsia" w:cstheme="minorEastAsia"/>
                <w:b w:val="0"/>
                <w:bCs/>
                <w:color w:val="auto"/>
                <w:sz w:val="24"/>
                <w:szCs w:val="24"/>
                <w:highlight w:val="none"/>
                <w:u w:val="none"/>
                <w:shd w:val="clear" w:color="auto" w:fill="auto"/>
              </w:rPr>
              <w:t>文件</w:t>
            </w:r>
            <w:r>
              <w:rPr>
                <w:rFonts w:hint="eastAsia" w:ascii="宋体" w:eastAsia="宋体" w:hAnsiTheme="minorEastAsia" w:cstheme="minorEastAsia"/>
                <w:b w:val="0"/>
                <w:bCs/>
                <w:color w:val="auto"/>
                <w:sz w:val="24"/>
                <w:szCs w:val="24"/>
                <w:highlight w:val="none"/>
                <w:u w:val="none"/>
                <w:shd w:val="clear" w:color="auto" w:fill="auto"/>
                <w:lang w:val="en-US" w:eastAsia="zh-CN"/>
              </w:rPr>
              <w:t>上传</w:t>
            </w:r>
            <w:r>
              <w:rPr>
                <w:rFonts w:hint="eastAsia" w:ascii="宋体" w:eastAsia="宋体" w:hAnsiTheme="minorEastAsia" w:cstheme="minorEastAsia"/>
                <w:b w:val="0"/>
                <w:bCs/>
                <w:color w:val="auto"/>
                <w:sz w:val="24"/>
                <w:szCs w:val="24"/>
                <w:highlight w:val="none"/>
                <w:u w:val="none"/>
                <w:shd w:val="clear" w:color="auto" w:fill="auto"/>
              </w:rPr>
              <w:t>截止时间</w:t>
            </w:r>
            <w:r>
              <w:rPr>
                <w:rFonts w:hint="eastAsia" w:ascii="宋体" w:eastAsia="宋体" w:hAnsiTheme="minorEastAsia" w:cstheme="minorEastAsia"/>
                <w:b w:val="0"/>
                <w:bCs/>
                <w:color w:val="auto"/>
                <w:sz w:val="24"/>
                <w:szCs w:val="24"/>
                <w:highlight w:val="none"/>
                <w:u w:val="none"/>
                <w:shd w:val="clear" w:color="auto" w:fill="auto"/>
                <w:lang w:eastAsia="zh-CN"/>
              </w:rPr>
              <w:t>：</w:t>
            </w:r>
            <w:r>
              <w:rPr>
                <w:rFonts w:hint="eastAsia" w:ascii="宋体" w:eastAsia="宋体" w:hAnsiTheme="minorEastAsia" w:cstheme="minorEastAsia"/>
                <w:b w:val="0"/>
                <w:bCs/>
                <w:color w:val="auto"/>
                <w:sz w:val="24"/>
                <w:szCs w:val="24"/>
                <w:highlight w:val="none"/>
                <w:u w:val="none"/>
                <w:shd w:val="clear" w:color="auto" w:fill="auto"/>
                <w:lang w:val="en-US" w:eastAsia="zh-CN"/>
              </w:rPr>
              <w:t>202</w:t>
            </w:r>
            <w:r>
              <w:rPr>
                <w:rFonts w:hint="eastAsia" w:ascii="宋体" w:hAnsiTheme="minorEastAsia" w:cstheme="minorEastAsia"/>
                <w:b w:val="0"/>
                <w:bCs/>
                <w:color w:val="auto"/>
                <w:sz w:val="24"/>
                <w:szCs w:val="24"/>
                <w:highlight w:val="none"/>
                <w:u w:val="none"/>
                <w:shd w:val="clear" w:color="auto" w:fill="auto"/>
                <w:lang w:val="en-US" w:eastAsia="zh-CN"/>
              </w:rPr>
              <w:t>6</w:t>
            </w:r>
            <w:r>
              <w:rPr>
                <w:rFonts w:hint="eastAsia" w:ascii="宋体" w:eastAsia="宋体" w:hAnsiTheme="minorEastAsia" w:cstheme="minorEastAsia"/>
                <w:b w:val="0"/>
                <w:bCs/>
                <w:color w:val="auto"/>
                <w:sz w:val="24"/>
                <w:szCs w:val="24"/>
                <w:highlight w:val="none"/>
                <w:u w:val="none"/>
                <w:shd w:val="clear" w:color="auto" w:fill="auto"/>
                <w:lang w:val="en-US" w:eastAsia="zh-CN"/>
              </w:rPr>
              <w:t>年</w:t>
            </w:r>
            <w:r>
              <w:rPr>
                <w:rFonts w:hint="eastAsia" w:ascii="宋体" w:hAnsi="宋体" w:cs="宋体"/>
                <w:b w:val="0"/>
                <w:bCs/>
                <w:color w:val="auto"/>
                <w:sz w:val="24"/>
                <w:szCs w:val="24"/>
                <w:highlight w:val="none"/>
                <w:u w:val="none"/>
                <w:lang w:val="en-US" w:eastAsia="zh-CN"/>
              </w:rPr>
              <w:t>4月24 日</w:t>
            </w:r>
            <w:r>
              <w:rPr>
                <w:rFonts w:hint="eastAsia" w:ascii="宋体" w:eastAsia="宋体" w:hAnsiTheme="minorEastAsia" w:cstheme="minorEastAsia"/>
                <w:b w:val="0"/>
                <w:bCs/>
                <w:color w:val="auto"/>
                <w:sz w:val="24"/>
                <w:szCs w:val="24"/>
                <w:highlight w:val="none"/>
                <w:u w:val="none"/>
                <w:shd w:val="clear" w:color="auto" w:fill="auto"/>
                <w:lang w:val="en-US" w:eastAsia="zh-CN"/>
              </w:rPr>
              <w:t>11</w:t>
            </w:r>
            <w:r>
              <w:rPr>
                <w:rFonts w:hint="eastAsia" w:ascii="宋体" w:eastAsia="宋体" w:hAnsiTheme="minorEastAsia" w:cstheme="minorEastAsia"/>
                <w:b w:val="0"/>
                <w:bCs/>
                <w:color w:val="auto"/>
                <w:sz w:val="24"/>
                <w:szCs w:val="24"/>
                <w:highlight w:val="none"/>
                <w:u w:val="none"/>
                <w:shd w:val="clear" w:color="auto" w:fill="auto"/>
              </w:rPr>
              <w:t>时00分</w:t>
            </w:r>
            <w:r>
              <w:rPr>
                <w:rFonts w:hint="eastAsia" w:ascii="宋体" w:eastAsia="宋体" w:hAnsiTheme="minorEastAsia" w:cstheme="minorEastAsia"/>
                <w:b w:val="0"/>
                <w:bCs/>
                <w:color w:val="auto"/>
                <w:kern w:val="0"/>
                <w:sz w:val="24"/>
                <w:szCs w:val="24"/>
                <w:highlight w:val="none"/>
                <w:u w:val="none"/>
                <w:shd w:val="clear" w:color="auto" w:fill="auto"/>
              </w:rPr>
              <w:t>（北京时间）</w:t>
            </w:r>
            <w:r>
              <w:rPr>
                <w:rFonts w:hint="eastAsia" w:ascii="宋体" w:eastAsia="宋体" w:hAnsiTheme="minorEastAsia" w:cstheme="minorEastAsia"/>
                <w:b w:val="0"/>
                <w:bCs/>
                <w:color w:val="auto"/>
                <w:kern w:val="0"/>
                <w:sz w:val="24"/>
                <w:szCs w:val="24"/>
                <w:highlight w:val="none"/>
                <w:u w:val="none"/>
                <w:shd w:val="clear" w:color="auto" w:fill="auto"/>
                <w:lang w:eastAsia="zh-CN"/>
              </w:rPr>
              <w:t>；</w:t>
            </w:r>
          </w:p>
          <w:p w14:paraId="17E0A086">
            <w:pPr>
              <w:keepNext w:val="0"/>
              <w:keepLines w:val="0"/>
              <w:pageBreakBefore w:val="0"/>
              <w:widowControl/>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应在投标截止时间前将“电子加密投标文件”成功</w:t>
            </w:r>
            <w:r>
              <w:rPr>
                <w:rFonts w:hint="eastAsia" w:ascii="宋体" w:hAnsi="宋体" w:eastAsia="宋体" w:cs="宋体"/>
                <w:color w:val="auto"/>
                <w:sz w:val="24"/>
                <w:szCs w:val="24"/>
                <w:highlight w:val="none"/>
                <w:lang w:eastAsia="zh-CN"/>
              </w:rPr>
              <w:t>上传</w:t>
            </w:r>
            <w:r>
              <w:rPr>
                <w:rFonts w:hint="eastAsia" w:ascii="宋体" w:hAnsi="宋体" w:eastAsia="宋体" w:cs="宋体"/>
                <w:color w:val="auto"/>
                <w:sz w:val="24"/>
                <w:szCs w:val="24"/>
                <w:highlight w:val="none"/>
              </w:rPr>
              <w:t>至“政府采购云平台”，否则投标无效。</w:t>
            </w:r>
          </w:p>
        </w:tc>
      </w:tr>
      <w:tr w14:paraId="6E64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5D29EEF2">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468" w:type="dxa"/>
            <w:vAlign w:val="center"/>
          </w:tcPr>
          <w:p w14:paraId="421282D6">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采用电子招标投标</w:t>
            </w:r>
          </w:p>
        </w:tc>
        <w:tc>
          <w:tcPr>
            <w:tcW w:w="6383" w:type="dxa"/>
            <w:vAlign w:val="center"/>
          </w:tcPr>
          <w:p w14:paraId="16E9DB2F">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w:t>
            </w:r>
          </w:p>
          <w:p w14:paraId="669917D0">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1、投标文件解密时间：</w:t>
            </w:r>
            <w:r>
              <w:rPr>
                <w:rFonts w:hint="eastAsia" w:ascii="宋体" w:hAnsi="宋体" w:eastAsia="宋体" w:cs="宋体"/>
                <w:color w:val="auto"/>
                <w:sz w:val="24"/>
                <w:szCs w:val="24"/>
                <w:highlight w:val="none"/>
              </w:rPr>
              <w:t>投标文件解密时间30分钟，开标前需投标单位用CA证书登录政采云平台开标大厅签到，在30分钟解密时间内输入CA证书PIN码解密投标文件。在30分钟解密时间内未进行解密的投标单位将导致</w:t>
            </w:r>
            <w:r>
              <w:rPr>
                <w:rFonts w:hint="eastAsia" w:ascii="宋体" w:hAnsi="宋体" w:eastAsia="宋体" w:cs="宋体"/>
                <w:color w:val="auto"/>
                <w:sz w:val="24"/>
                <w:szCs w:val="24"/>
                <w:highlight w:val="none"/>
                <w:lang w:eastAsia="zh-CN"/>
              </w:rPr>
              <w:t>投标无效</w:t>
            </w:r>
            <w:r>
              <w:rPr>
                <w:rFonts w:hint="eastAsia" w:ascii="宋体" w:hAnsi="宋体" w:eastAsia="宋体" w:cs="宋体"/>
                <w:color w:val="auto"/>
                <w:sz w:val="24"/>
                <w:szCs w:val="24"/>
                <w:highlight w:val="none"/>
              </w:rPr>
              <w:t>。（解密时间开始时政采云平台将以短信形式向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在政采云平台预留的手机号发送短信通知，请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及时关注。）</w:t>
            </w:r>
          </w:p>
          <w:p w14:paraId="59BE2EF7">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报价CA签字确认：</w:t>
            </w:r>
            <w:r>
              <w:rPr>
                <w:rFonts w:hint="eastAsia" w:ascii="宋体" w:hAnsi="宋体" w:eastAsia="宋体" w:cs="宋体"/>
                <w:color w:val="auto"/>
                <w:sz w:val="24"/>
                <w:szCs w:val="24"/>
                <w:highlight w:val="none"/>
              </w:rPr>
              <w:t>报价文件开启后将开启签字时段，</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须在20分钟内用CA证书对报价进行签字确认。</w:t>
            </w:r>
          </w:p>
          <w:p w14:paraId="29DCDC75">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3、备注:</w:t>
            </w:r>
            <w:r>
              <w:rPr>
                <w:rFonts w:hint="eastAsia" w:ascii="宋体" w:hAnsi="宋体" w:eastAsia="宋体" w:cs="宋体"/>
                <w:color w:val="auto"/>
                <w:sz w:val="24"/>
                <w:szCs w:val="24"/>
                <w:highlight w:val="none"/>
              </w:rPr>
              <w:t>（1）本次采购采用电子交易方式，电子交易平台为“政府采购云平台（www.zcygov.cn）”。</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参与本项目电子交易活动前，应注册成为政府采购平台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。编制电子投标文件前还需申领CA证书并绑定帐号.</w:t>
            </w:r>
          </w:p>
          <w:p w14:paraId="048FAFAC">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编制电子投标文件应安装“电子招投标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客户端”软件，并按照本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和电子招投标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客户端的要求编制并加密投标文件。未按规定加密的投标文件，将被电子招投标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客户端拒收。“电子招投标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自行前往“新疆政府采购网—下载专区—新疆维吾尔自治区全流程电子招投标项目管理系统--电子招投标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客户端”版块获取。</w:t>
            </w:r>
          </w:p>
          <w:p w14:paraId="5270222B">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应当在投标截止时间前，将“电子招投标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客户端”生成的“电子加密投标文件”上传电子交易平台。</w:t>
            </w:r>
          </w:p>
          <w:p w14:paraId="1483734F">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（5）服务与支持。各政府采购代理机构（含集采机构）及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对不见面开评标系统的技术操作咨询，可通过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"https://edu.zcygov.cn/luban/xinjiang-e-biding"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https://edu.zcygov.cn/luban/xinjiang-e-biding</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自助查询，也可在政采云帮助中心常见问题解答和操作流程讲解视频中自助查询，网址为：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"https://service.zcygov.cn/" \l "/help"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https://service.zcygov.cn/#/help</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，“项目采购—操作流程—电子招投标—政府采购项目电子交易管理操作指南-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”版面获取操作指南，同时对自助查询无法解决的问题可通过钉钉群及政采云在线客服获取服务支持。政采云热线人工号码：400-881-7190（工作时间：工作日08:00~20：00）</w:t>
            </w:r>
          </w:p>
        </w:tc>
      </w:tr>
      <w:tr w14:paraId="3214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76571CF4">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468" w:type="dxa"/>
            <w:vAlign w:val="center"/>
          </w:tcPr>
          <w:p w14:paraId="0CB7B51A">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383" w:type="dxa"/>
            <w:vAlign w:val="center"/>
          </w:tcPr>
          <w:p w14:paraId="18977B03">
            <w:pPr>
              <w:keepNext w:val="0"/>
              <w:keepLines w:val="0"/>
              <w:pageBreakBefore w:val="0"/>
              <w:numPr>
                <w:ilvl w:val="0"/>
                <w:numId w:val="4"/>
              </w:numPr>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质量或者不能诚信履约的，应当要求其在评标现场合理的时间内提供书面说明，必要时提交相关证明材料;投标人不能证明其报价合理性的，评标委员会将其作为无效投标处理，自行承担相关责任。</w:t>
            </w:r>
          </w:p>
          <w:p w14:paraId="30468A2C">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2、投标人的报价包含提供的所有</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及相关工作范围内所有费用的总价。</w:t>
            </w:r>
          </w:p>
        </w:tc>
      </w:tr>
      <w:tr w14:paraId="2A72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05DC45FD">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468" w:type="dxa"/>
            <w:vAlign w:val="center"/>
          </w:tcPr>
          <w:p w14:paraId="4B6C912E">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383" w:type="dxa"/>
            <w:vAlign w:val="center"/>
          </w:tcPr>
          <w:p w14:paraId="7AC1A938">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不组织，投标人自行踏勘，无论投标人对现场考察与否，都将被视为熟悉履行合同有关的一切情况，投标人现场踏勘发生的费用自理。</w:t>
            </w:r>
          </w:p>
        </w:tc>
      </w:tr>
      <w:tr w14:paraId="62BB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29FCA000">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468" w:type="dxa"/>
            <w:vAlign w:val="center"/>
          </w:tcPr>
          <w:p w14:paraId="1A20C77C">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投标答疑会</w:t>
            </w:r>
          </w:p>
        </w:tc>
        <w:tc>
          <w:tcPr>
            <w:tcW w:w="6383" w:type="dxa"/>
            <w:vAlign w:val="center"/>
          </w:tcPr>
          <w:p w14:paraId="28F0CBD3">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不召开</w:t>
            </w:r>
          </w:p>
        </w:tc>
      </w:tr>
      <w:tr w14:paraId="3660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51C3A8A9">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468" w:type="dxa"/>
            <w:vAlign w:val="center"/>
          </w:tcPr>
          <w:p w14:paraId="09BD4077">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近年财务状况年份要求</w:t>
            </w:r>
          </w:p>
        </w:tc>
        <w:tc>
          <w:tcPr>
            <w:tcW w:w="6383" w:type="dxa"/>
            <w:vAlign w:val="center"/>
          </w:tcPr>
          <w:p w14:paraId="3E81D28B">
            <w:pPr>
              <w:pStyle w:val="25"/>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银行出具的近1年内资信证明或</w:t>
            </w:r>
            <w:r>
              <w:rPr>
                <w:rFonts w:hint="eastAsia" w:ascii="宋体" w:hAnsi="宋体" w:eastAsia="宋体" w:cs="宋体"/>
                <w:color w:val="auto"/>
                <w:sz w:val="24"/>
                <w:szCs w:val="24"/>
                <w:highlight w:val="none"/>
                <w:lang w:val="en-US" w:eastAsia="zh-CN"/>
              </w:rPr>
              <w:t>2024年度或2025年度</w:t>
            </w:r>
            <w:r>
              <w:rPr>
                <w:rFonts w:hint="default" w:ascii="宋体" w:hAnsi="宋体" w:eastAsia="宋体" w:cs="宋体"/>
                <w:color w:val="auto"/>
                <w:sz w:val="24"/>
                <w:szCs w:val="24"/>
                <w:highlight w:val="none"/>
                <w:lang w:val="en-US" w:eastAsia="zh-CN"/>
              </w:rPr>
              <w:t>经审计的财务</w:t>
            </w:r>
            <w:r>
              <w:rPr>
                <w:rFonts w:hint="eastAsia" w:ascii="宋体" w:hAnsi="宋体" w:eastAsia="宋体" w:cs="宋体"/>
                <w:color w:val="auto"/>
                <w:sz w:val="24"/>
                <w:szCs w:val="24"/>
                <w:highlight w:val="none"/>
                <w:lang w:val="en-US" w:eastAsia="zh-CN"/>
              </w:rPr>
              <w:t>审计</w:t>
            </w:r>
            <w:r>
              <w:rPr>
                <w:rFonts w:hint="default" w:ascii="宋体" w:hAnsi="宋体" w:eastAsia="宋体" w:cs="宋体"/>
                <w:color w:val="auto"/>
                <w:sz w:val="24"/>
                <w:szCs w:val="24"/>
                <w:highlight w:val="none"/>
                <w:lang w:val="en-US" w:eastAsia="zh-CN"/>
              </w:rPr>
              <w:t>报告</w:t>
            </w:r>
          </w:p>
        </w:tc>
      </w:tr>
      <w:tr w14:paraId="7EF6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17483850">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468" w:type="dxa"/>
            <w:vAlign w:val="center"/>
          </w:tcPr>
          <w:p w14:paraId="7FEE0B59">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383" w:type="dxa"/>
            <w:vAlign w:val="center"/>
          </w:tcPr>
          <w:p w14:paraId="05EBA4D6">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从开标之日起60日历天</w:t>
            </w:r>
          </w:p>
        </w:tc>
      </w:tr>
      <w:tr w14:paraId="6D9C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3F176C78">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468" w:type="dxa"/>
            <w:vAlign w:val="center"/>
          </w:tcPr>
          <w:p w14:paraId="51F24DCC">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6383" w:type="dxa"/>
            <w:vAlign w:val="center"/>
          </w:tcPr>
          <w:p w14:paraId="025CDE3A">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w:t>
            </w:r>
          </w:p>
          <w:p w14:paraId="79386FEA">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评标专家确定方式：经济、技术专家不少于评标委员会组成人员的三分之二，按相关规定从政府采购专家库中随机抽取。</w:t>
            </w:r>
          </w:p>
        </w:tc>
      </w:tr>
      <w:tr w14:paraId="67D7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0C8EE879">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468" w:type="dxa"/>
            <w:vAlign w:val="center"/>
          </w:tcPr>
          <w:p w14:paraId="30C9E99B">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383" w:type="dxa"/>
            <w:vAlign w:val="center"/>
          </w:tcPr>
          <w:p w14:paraId="2843C186">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2410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7ED0E94A">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468" w:type="dxa"/>
            <w:vAlign w:val="center"/>
          </w:tcPr>
          <w:p w14:paraId="4D0C88AD">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6383" w:type="dxa"/>
            <w:vAlign w:val="center"/>
          </w:tcPr>
          <w:p w14:paraId="509A5349">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否，推荐3名中标候选人。</w:t>
            </w:r>
          </w:p>
        </w:tc>
      </w:tr>
      <w:tr w14:paraId="6A7A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1647AB64">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468" w:type="dxa"/>
            <w:vAlign w:val="center"/>
          </w:tcPr>
          <w:p w14:paraId="26A88124">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383" w:type="dxa"/>
            <w:vAlign w:val="center"/>
          </w:tcPr>
          <w:p w14:paraId="31B806E4">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合同总价的10%；</w:t>
            </w:r>
          </w:p>
          <w:p w14:paraId="5FBDA3A3">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提交履约保证金的时间：中标人应于中标通知书发出之日起7个工作日内；</w:t>
            </w:r>
          </w:p>
          <w:p w14:paraId="5850FC3E">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履约保证金有效期：自履约保证金交付之日至货物验收合格，合同约定的全部货物验收合格后，采购人应在7个工作日内无息退还保证金；</w:t>
            </w:r>
          </w:p>
          <w:p w14:paraId="0F22BC3E">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履约保证金提交方式：履约保证金应当以支票、汇票、本票或者金融机构、担保机构出具的保函等非现金形式提交。</w:t>
            </w:r>
          </w:p>
          <w:p w14:paraId="222BD8D7">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不予退还情形：</w:t>
            </w:r>
          </w:p>
          <w:p w14:paraId="543C4455">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中标人出现以下行为时，采购人有权没收全部或部分履约保证金：</w:t>
            </w:r>
          </w:p>
          <w:p w14:paraId="0AE35043">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无正当理由放弃中标/拒绝按照中标结果签订合同或不履行合同义务；</w:t>
            </w:r>
          </w:p>
          <w:p w14:paraId="6F9E188F">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未按合同约定完成服务或交付标的，经整改仍不合格；</w:t>
            </w:r>
          </w:p>
          <w:p w14:paraId="01527D1D">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擅自转包、分包或改变合同实质性内容；</w:t>
            </w:r>
          </w:p>
          <w:p w14:paraId="12AE9E2F">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存在弄虚作假、围标串标等违法违规行为。</w:t>
            </w:r>
          </w:p>
        </w:tc>
      </w:tr>
      <w:tr w14:paraId="471A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64F1B343">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468" w:type="dxa"/>
            <w:vAlign w:val="center"/>
          </w:tcPr>
          <w:p w14:paraId="1CE44C9B">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tc>
        <w:tc>
          <w:tcPr>
            <w:tcW w:w="6383" w:type="dxa"/>
            <w:vAlign w:val="center"/>
          </w:tcPr>
          <w:p w14:paraId="4DD31D83">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由中标单位支付。</w:t>
            </w:r>
          </w:p>
        </w:tc>
      </w:tr>
      <w:tr w14:paraId="7B3C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17DB1963">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468" w:type="dxa"/>
            <w:vAlign w:val="center"/>
          </w:tcPr>
          <w:p w14:paraId="208BF87B">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383" w:type="dxa"/>
            <w:vAlign w:val="center"/>
          </w:tcPr>
          <w:p w14:paraId="485BE47B">
            <w:pPr>
              <w:pStyle w:val="6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以实际签订</w:t>
            </w:r>
            <w:r>
              <w:rPr>
                <w:rFonts w:hint="eastAsia" w:ascii="宋体" w:hAnsi="宋体" w:eastAsia="宋体" w:cs="宋体"/>
                <w:color w:val="auto"/>
                <w:sz w:val="24"/>
                <w:szCs w:val="24"/>
                <w:highlight w:val="none"/>
                <w:lang w:eastAsia="zh-Hans"/>
              </w:rPr>
              <w:t>合同</w:t>
            </w:r>
            <w:r>
              <w:rPr>
                <w:rFonts w:hint="eastAsia" w:ascii="宋体" w:hAnsi="宋体" w:eastAsia="宋体" w:cs="宋体"/>
                <w:color w:val="auto"/>
                <w:sz w:val="24"/>
                <w:szCs w:val="24"/>
                <w:highlight w:val="none"/>
              </w:rPr>
              <w:t>为准。</w:t>
            </w:r>
          </w:p>
        </w:tc>
      </w:tr>
      <w:tr w14:paraId="4E07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0CC7201B">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1468" w:type="dxa"/>
            <w:vAlign w:val="center"/>
          </w:tcPr>
          <w:p w14:paraId="70AC9927">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383" w:type="dxa"/>
            <w:vAlign w:val="center"/>
          </w:tcPr>
          <w:p w14:paraId="380466B6">
            <w:pPr>
              <w:keepNext w:val="0"/>
              <w:keepLines w:val="0"/>
              <w:pageBreakBefore w:val="0"/>
              <w:widowControl/>
              <w:numPr>
                <w:ilvl w:val="0"/>
                <w:numId w:val="5"/>
              </w:numPr>
              <w:tabs>
                <w:tab w:val="left" w:pos="720"/>
                <w:tab w:val="left" w:pos="900"/>
                <w:tab w:val="left" w:pos="1080"/>
                <w:tab w:val="left" w:pos="1260"/>
                <w:tab w:val="left" w:pos="1440"/>
                <w:tab w:val="left" w:pos="1800"/>
              </w:tabs>
              <w:kinsoku/>
              <w:wordWrap/>
              <w:overflowPunct/>
              <w:topLinePunct w:val="0"/>
              <w:autoSpaceDE/>
              <w:autoSpaceDN/>
              <w:bidi w:val="0"/>
              <w:snapToGrid w:val="0"/>
              <w:spacing w:line="400" w:lineRule="exact"/>
              <w:ind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本次招标如有变更、澄清或其他通知将在发布招标公告的网站上公布。</w:t>
            </w:r>
          </w:p>
          <w:p w14:paraId="7557950C">
            <w:pPr>
              <w:keepNext w:val="0"/>
              <w:keepLines w:val="0"/>
              <w:pageBreakBefore w:val="0"/>
              <w:widowControl/>
              <w:numPr>
                <w:ilvl w:val="0"/>
                <w:numId w:val="5"/>
              </w:numPr>
              <w:tabs>
                <w:tab w:val="left" w:pos="720"/>
                <w:tab w:val="left" w:pos="900"/>
                <w:tab w:val="left" w:pos="1080"/>
                <w:tab w:val="left" w:pos="1260"/>
                <w:tab w:val="left" w:pos="1440"/>
                <w:tab w:val="left" w:pos="1800"/>
              </w:tabs>
              <w:kinsoku/>
              <w:wordWrap/>
              <w:overflowPunct/>
              <w:topLinePunct w:val="0"/>
              <w:autoSpaceDE/>
              <w:autoSpaceDN/>
              <w:bidi w:val="0"/>
              <w:snapToGrid w:val="0"/>
              <w:spacing w:line="400" w:lineRule="exact"/>
              <w:ind w:leftChars="0" w:right="0" w:righ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所投产品必须提供样品，并且将样品成品于202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日11时00分-12时00分之间（时间段以外拒绝接受，作无样品处理）提交至</w:t>
            </w:r>
            <w:r>
              <w:rPr>
                <w:rFonts w:hint="eastAsia" w:ascii="宋体" w:hAnsi="宋体" w:eastAsia="宋体" w:cs="宋体"/>
                <w:color w:val="auto"/>
                <w:sz w:val="24"/>
                <w:szCs w:val="24"/>
                <w:highlight w:val="none"/>
                <w:lang w:val="en-US" w:eastAsia="zh-CN"/>
              </w:rPr>
              <w:t>新疆拓源工程管理咨询有限公司</w:t>
            </w:r>
            <w:r>
              <w:rPr>
                <w:rFonts w:hint="eastAsia" w:ascii="宋体" w:hAnsi="宋体" w:eastAsia="宋体" w:cs="宋体"/>
                <w:color w:val="auto"/>
                <w:sz w:val="24"/>
                <w:szCs w:val="24"/>
                <w:highlight w:val="none"/>
              </w:rPr>
              <w:t>（乌鲁木齐市水磨沟区龙盛街898号万科中央公园S6栋5层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，样品必须与后续供货产品一致（如中标），不提供在打分项样品项中不得分</w:t>
            </w:r>
          </w:p>
        </w:tc>
      </w:tr>
      <w:tr w14:paraId="0641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6DDF4B09">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1468" w:type="dxa"/>
            <w:vAlign w:val="center"/>
          </w:tcPr>
          <w:p w14:paraId="58CBF040">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异常低价响应审查</w:t>
            </w:r>
          </w:p>
        </w:tc>
        <w:tc>
          <w:tcPr>
            <w:tcW w:w="6383" w:type="dxa"/>
            <w:vAlign w:val="center"/>
          </w:tcPr>
          <w:p w14:paraId="76E79C15">
            <w:pPr>
              <w:keepNext w:val="0"/>
              <w:keepLines w:val="0"/>
              <w:pageBreakBefore w:val="0"/>
              <w:numPr>
                <w:ilvl w:val="0"/>
                <w:numId w:val="0"/>
              </w:numPr>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采购评审中出现下列情形之一的，评标委员会启动异常低价响应审查程序：</w:t>
            </w:r>
          </w:p>
          <w:p w14:paraId="4F4551B0">
            <w:pPr>
              <w:keepNext w:val="0"/>
              <w:keepLines w:val="0"/>
              <w:pageBreakBefore w:val="0"/>
              <w:numPr>
                <w:ilvl w:val="0"/>
                <w:numId w:val="0"/>
              </w:numPr>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5D13E00E">
            <w:pPr>
              <w:keepNext w:val="0"/>
              <w:keepLines w:val="0"/>
              <w:pageBreakBefore w:val="0"/>
              <w:numPr>
                <w:ilvl w:val="0"/>
                <w:numId w:val="0"/>
              </w:numPr>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2.投标(响应)报价低于通过符合性审查的「次低报价」供应商投标(响应)报价50%的，即投标(响应)报价&lt;通过符合性审查供应商投标(响应)报价×50%；</w:t>
            </w:r>
          </w:p>
          <w:p w14:paraId="26427C52">
            <w:pPr>
              <w:keepNext w:val="0"/>
              <w:keepLines w:val="0"/>
              <w:pageBreakBefore w:val="0"/>
              <w:numPr>
                <w:ilvl w:val="0"/>
                <w:numId w:val="0"/>
              </w:numPr>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3.投标(响应)报价低于采购项目「最高限价」45%的，即投标(响应)报价&lt;采购项目最高限价×45%；</w:t>
            </w:r>
          </w:p>
          <w:p w14:paraId="4F82889E">
            <w:pPr>
              <w:keepNext w:val="0"/>
              <w:keepLines w:val="0"/>
              <w:pageBreakBefore w:val="0"/>
              <w:numPr>
                <w:ilvl w:val="0"/>
                <w:numId w:val="0"/>
              </w:numPr>
              <w:kinsoku/>
              <w:wordWrap/>
              <w:overflowPunct/>
              <w:topLinePunct w:val="0"/>
              <w:autoSpaceDE/>
              <w:autoSpaceDN/>
              <w:bidi w:val="0"/>
              <w:spacing w:line="400" w:lineRule="exact"/>
              <w:ind w:firstLine="482" w:firstLineChars="20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4.评审委员会基于专业判断，认为供应商报价过低，有可能影响产品质量或者不能诚信履约的其他情形。</w:t>
            </w:r>
          </w:p>
          <w:p w14:paraId="5FB74776">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31F796E">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38AA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53593DE0">
            <w:pPr>
              <w:keepNext w:val="0"/>
              <w:keepLines w:val="0"/>
              <w:pageBreakBefore w:val="0"/>
              <w:kinsoku/>
              <w:wordWrap/>
              <w:overflowPunct/>
              <w:topLinePunct w:val="0"/>
              <w:autoSpaceDE/>
              <w:autoSpaceDN/>
              <w:bidi w:val="0"/>
              <w:snapToGrid w:val="0"/>
              <w:spacing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p>
        </w:tc>
        <w:tc>
          <w:tcPr>
            <w:tcW w:w="1468" w:type="dxa"/>
            <w:shd w:val="clear" w:color="auto" w:fill="auto"/>
            <w:vAlign w:val="center"/>
          </w:tcPr>
          <w:p w14:paraId="066E910B">
            <w:pPr>
              <w:keepNext w:val="0"/>
              <w:keepLines w:val="0"/>
              <w:pageBreakBefore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jc w:val="center"/>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支持本国产品</w:t>
            </w:r>
          </w:p>
        </w:tc>
        <w:tc>
          <w:tcPr>
            <w:tcW w:w="6383" w:type="dxa"/>
            <w:shd w:val="clear" w:color="auto" w:fill="auto"/>
            <w:vAlign w:val="center"/>
          </w:tcPr>
          <w:p w14:paraId="087DF6B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1.支持本国产品</w:t>
            </w:r>
          </w:p>
          <w:p w14:paraId="78CFEC6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1.1本国产品标准(依据《国务院办公厅关于在政府采购中实施本国产品标准及相关政策的通知》国办发〔2025〕34号)</w:t>
            </w:r>
          </w:p>
          <w:p w14:paraId="15B5C5E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本国产品应当符合以下条件：</w:t>
            </w:r>
          </w:p>
          <w:p w14:paraId="617DC41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（一）在中国境内生产</w:t>
            </w:r>
          </w:p>
          <w:p w14:paraId="37A8F0B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009147A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1.为确保产品在运输或者储存期间保持某种状态而进行的操作；</w:t>
            </w:r>
          </w:p>
          <w:p w14:paraId="5BB5076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2.为产品运输或者销售进行的包装或者展示；</w:t>
            </w:r>
          </w:p>
          <w:p w14:paraId="015EF70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3.在产品或者其包装上粘贴或者印刷品牌、标志、标识以及其他用于区别的标记；</w:t>
            </w:r>
          </w:p>
          <w:p w14:paraId="23E3819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4.简单的上漆、磨光和分装；</w:t>
            </w:r>
          </w:p>
          <w:p w14:paraId="1D59AFC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5.其他不属于属性改变的情形。</w:t>
            </w:r>
          </w:p>
          <w:p w14:paraId="6D6B4FA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（二）在中国境内生产的组件成本占比达到规定比例产品在中国境内生产的组件成本占比应当达到规定比例，计算公式为：（产品在中国境内生产的组件成本/产品总成本）≥规定比例。</w:t>
            </w:r>
          </w:p>
          <w:p w14:paraId="40BA5EF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17533F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特定产品的关键组件、关键工序符合相关要求对特定产品，在符合本通知第一条第（一）项和第（二）项条件的基础上，应当符合财政部会同有关行业主管部门确定的其关键组件、关键工序在中国境内生产、完成等要求。</w:t>
            </w:r>
          </w:p>
          <w:p w14:paraId="429ED51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9FFB00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1.2 本国产品标准的适用范围</w:t>
            </w:r>
          </w:p>
          <w:p w14:paraId="1C6CB92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08A04B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1.3 对本国产品的支持政策</w:t>
            </w:r>
          </w:p>
          <w:p w14:paraId="40A197B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54FEAEF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B7E69A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1.4有关证明文件</w:t>
            </w:r>
          </w:p>
          <w:p w14:paraId="777007F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2" w:firstLineChars="200"/>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可享受本国产品支持政策的投标人应按照招标文件格式要求提供《关于符合本国产品标准的声明函》或财政部会同有关部门规定的有关证明文件。投标人提供虚假《关于符合本国产品标准的声明函》、虚假证明文件谋取中标的，依照《中华人民共和国政府采购法》等法律法规规定追究相应责任。</w:t>
            </w:r>
          </w:p>
        </w:tc>
      </w:tr>
    </w:tbl>
    <w:p w14:paraId="4DAC0506">
      <w:pPr>
        <w:pStyle w:val="4"/>
        <w:pageBreakBefore w:val="0"/>
        <w:widowControl w:val="0"/>
        <w:kinsoku/>
        <w:wordWrap/>
        <w:overflowPunct/>
        <w:topLinePunct w:val="0"/>
        <w:autoSpaceDE/>
        <w:autoSpaceDN/>
        <w:bidi w:val="0"/>
        <w:adjustRightInd/>
        <w:spacing w:before="156" w:after="156" w:line="48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br w:type="page"/>
      </w:r>
      <w:r>
        <w:rPr>
          <w:rFonts w:hint="eastAsia" w:ascii="宋体" w:hAnsi="宋体" w:eastAsia="宋体" w:cs="宋体"/>
          <w:bCs w:val="0"/>
          <w:color w:val="auto"/>
          <w:sz w:val="24"/>
          <w:szCs w:val="24"/>
          <w:highlight w:val="none"/>
        </w:rPr>
        <w:t>二、总  则</w:t>
      </w:r>
    </w:p>
    <w:p w14:paraId="7004E91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43" w:name="_Toc183682342"/>
      <w:bookmarkStart w:id="44" w:name="_Toc183582205"/>
      <w:bookmarkStart w:id="45" w:name="_Toc217446034"/>
      <w:r>
        <w:rPr>
          <w:rFonts w:hint="eastAsia" w:ascii="宋体" w:hAnsi="宋体" w:eastAsia="宋体" w:cs="宋体"/>
          <w:color w:val="auto"/>
          <w:sz w:val="24"/>
          <w:szCs w:val="24"/>
          <w:highlight w:val="none"/>
        </w:rPr>
        <w:t>1.</w:t>
      </w:r>
      <w:bookmarkEnd w:id="43"/>
      <w:bookmarkEnd w:id="44"/>
      <w:r>
        <w:rPr>
          <w:rFonts w:hint="eastAsia" w:ascii="宋体" w:hAnsi="宋体" w:eastAsia="宋体" w:cs="宋体"/>
          <w:color w:val="auto"/>
          <w:sz w:val="24"/>
          <w:szCs w:val="24"/>
          <w:highlight w:val="none"/>
        </w:rPr>
        <w:t xml:space="preserve"> 适用范围</w:t>
      </w:r>
      <w:bookmarkEnd w:id="45"/>
    </w:p>
    <w:p w14:paraId="213F69AF">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本招标文件仅适用于本次招标项目。</w:t>
      </w:r>
    </w:p>
    <w:p w14:paraId="0DEBD89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46" w:name="_Toc183582206"/>
      <w:bookmarkStart w:id="47" w:name="_Toc183682343"/>
      <w:bookmarkStart w:id="48" w:name="_Toc217446035"/>
      <w:r>
        <w:rPr>
          <w:rFonts w:hint="eastAsia" w:ascii="宋体" w:hAnsi="宋体" w:eastAsia="宋体" w:cs="宋体"/>
          <w:color w:val="auto"/>
          <w:sz w:val="24"/>
          <w:szCs w:val="24"/>
          <w:highlight w:val="none"/>
        </w:rPr>
        <w:t xml:space="preserve">2. </w:t>
      </w:r>
      <w:bookmarkEnd w:id="46"/>
      <w:bookmarkEnd w:id="47"/>
      <w:r>
        <w:rPr>
          <w:rFonts w:hint="eastAsia" w:ascii="宋体" w:hAnsi="宋体" w:eastAsia="宋体" w:cs="宋体"/>
          <w:color w:val="auto"/>
          <w:sz w:val="24"/>
          <w:szCs w:val="24"/>
          <w:highlight w:val="none"/>
        </w:rPr>
        <w:t>有关定义</w:t>
      </w:r>
      <w:bookmarkEnd w:id="48"/>
    </w:p>
    <w:p w14:paraId="4A553B38">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“采购人”系指依法进行政府采购的国家机关、事业单位、团体组织。本项目采购人是</w:t>
      </w:r>
      <w:r>
        <w:rPr>
          <w:rFonts w:hint="eastAsia" w:ascii="宋体" w:hAnsi="宋体" w:cs="宋体"/>
          <w:color w:val="auto"/>
          <w:sz w:val="24"/>
          <w:szCs w:val="24"/>
          <w:highlight w:val="none"/>
          <w:u w:val="single"/>
          <w:lang w:eastAsia="zh-CN"/>
        </w:rPr>
        <w:t>乌鲁木齐市第八十七中学</w:t>
      </w:r>
      <w:r>
        <w:rPr>
          <w:rFonts w:hint="eastAsia" w:ascii="宋体" w:hAnsi="宋体" w:eastAsia="宋体" w:cs="宋体"/>
          <w:color w:val="auto"/>
          <w:sz w:val="24"/>
          <w:szCs w:val="24"/>
          <w:highlight w:val="none"/>
        </w:rPr>
        <w:t>。</w:t>
      </w:r>
    </w:p>
    <w:p w14:paraId="32FAE97A">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“采购代理机构”系指根据采购人的委托依法办理招标事宜的采购机构。本次招标的采购代理机构是</w:t>
      </w:r>
      <w:r>
        <w:rPr>
          <w:rFonts w:hint="eastAsia" w:ascii="宋体" w:hAnsi="宋体" w:eastAsia="宋体" w:cs="宋体"/>
          <w:color w:val="auto"/>
          <w:sz w:val="24"/>
          <w:szCs w:val="24"/>
          <w:highlight w:val="none"/>
          <w:u w:val="single"/>
        </w:rPr>
        <w:t>新疆拓源工程管理咨询有限公司</w:t>
      </w:r>
      <w:r>
        <w:rPr>
          <w:rFonts w:hint="eastAsia" w:ascii="宋体" w:hAnsi="宋体" w:eastAsia="宋体" w:cs="宋体"/>
          <w:color w:val="auto"/>
          <w:sz w:val="24"/>
          <w:szCs w:val="24"/>
          <w:highlight w:val="none"/>
        </w:rPr>
        <w:t>。</w:t>
      </w:r>
    </w:p>
    <w:p w14:paraId="2841EAC3">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“采购单位”系指“采购人”和“采购代理机构”的统称。</w:t>
      </w:r>
    </w:p>
    <w:p w14:paraId="15A6F092">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“投标人”系指下载了招标文件拟参加投标和向采购人提供货物的投标人。</w:t>
      </w:r>
    </w:p>
    <w:p w14:paraId="08C53B6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49" w:name="_Toc183682344"/>
      <w:bookmarkStart w:id="50" w:name="_Toc183582207"/>
      <w:bookmarkStart w:id="51" w:name="_Toc217390843"/>
      <w:bookmarkStart w:id="52" w:name="_Toc217446036"/>
      <w:r>
        <w:rPr>
          <w:rFonts w:hint="eastAsia" w:ascii="宋体" w:hAnsi="宋体" w:eastAsia="宋体" w:cs="宋体"/>
          <w:color w:val="auto"/>
          <w:sz w:val="24"/>
          <w:szCs w:val="24"/>
          <w:highlight w:val="none"/>
        </w:rPr>
        <w:t>3. 合格的</w:t>
      </w:r>
      <w:bookmarkEnd w:id="49"/>
      <w:bookmarkEnd w:id="50"/>
      <w:bookmarkEnd w:id="51"/>
      <w:bookmarkEnd w:id="52"/>
      <w:r>
        <w:rPr>
          <w:rFonts w:hint="eastAsia" w:ascii="宋体" w:hAnsi="宋体" w:eastAsia="宋体" w:cs="宋体"/>
          <w:color w:val="auto"/>
          <w:sz w:val="24"/>
          <w:szCs w:val="24"/>
          <w:highlight w:val="none"/>
        </w:rPr>
        <w:t>投标人</w:t>
      </w:r>
    </w:p>
    <w:p w14:paraId="5E8AD51C">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合格的投标人应具备以下条件：</w:t>
      </w:r>
    </w:p>
    <w:p w14:paraId="7E2B8E05">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（1）本招标文件“招标公告”第二条规定的条件</w:t>
      </w:r>
      <w:r>
        <w:rPr>
          <w:rFonts w:hint="eastAsia" w:ascii="宋体" w:hAnsi="宋体" w:eastAsia="宋体" w:cs="宋体"/>
          <w:color w:val="auto"/>
          <w:spacing w:val="-4"/>
          <w:sz w:val="24"/>
          <w:szCs w:val="24"/>
          <w:highlight w:val="none"/>
        </w:rPr>
        <w:t>；</w:t>
      </w:r>
    </w:p>
    <w:p w14:paraId="068DB1D3">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（2）遵守国家有关的法律、法规、规章和其他政策规定；</w:t>
      </w:r>
    </w:p>
    <w:p w14:paraId="0B456E8F">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（3）下载招标文件并参与竞争。</w:t>
      </w:r>
    </w:p>
    <w:p w14:paraId="054B950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53" w:name="_Toc217446037"/>
      <w:bookmarkStart w:id="54" w:name="_Toc183582208"/>
      <w:bookmarkStart w:id="55" w:name="_Toc183682345"/>
      <w:r>
        <w:rPr>
          <w:rFonts w:hint="eastAsia" w:ascii="宋体" w:hAnsi="宋体" w:eastAsia="宋体" w:cs="宋体"/>
          <w:color w:val="auto"/>
          <w:sz w:val="24"/>
          <w:szCs w:val="24"/>
          <w:highlight w:val="none"/>
        </w:rPr>
        <w:t>4. 投标费用</w:t>
      </w:r>
      <w:bookmarkEnd w:id="53"/>
      <w:bookmarkEnd w:id="54"/>
      <w:bookmarkEnd w:id="55"/>
    </w:p>
    <w:p w14:paraId="08AB82DB">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投标人参加投标的有关费用由投标人自行承担。</w:t>
      </w:r>
    </w:p>
    <w:p w14:paraId="54FA401B">
      <w:pPr>
        <w:pStyle w:val="4"/>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bCs w:val="0"/>
          <w:color w:val="auto"/>
          <w:sz w:val="24"/>
          <w:szCs w:val="24"/>
          <w:highlight w:val="none"/>
        </w:rPr>
      </w:pPr>
      <w:bookmarkStart w:id="56" w:name="_Toc89075875"/>
      <w:bookmarkStart w:id="57" w:name="_Toc183582209"/>
      <w:bookmarkStart w:id="58" w:name="_Toc77400779"/>
      <w:bookmarkStart w:id="59" w:name="_Toc183682346"/>
      <w:bookmarkStart w:id="60" w:name="_Toc217446038"/>
      <w:r>
        <w:rPr>
          <w:rFonts w:hint="eastAsia" w:ascii="宋体" w:hAnsi="宋体" w:eastAsia="宋体" w:cs="宋体"/>
          <w:bCs w:val="0"/>
          <w:color w:val="auto"/>
          <w:sz w:val="24"/>
          <w:szCs w:val="24"/>
          <w:highlight w:val="none"/>
        </w:rPr>
        <w:t>三、</w:t>
      </w:r>
      <w:bookmarkEnd w:id="56"/>
      <w:bookmarkEnd w:id="57"/>
      <w:bookmarkEnd w:id="58"/>
      <w:bookmarkEnd w:id="59"/>
      <w:bookmarkEnd w:id="60"/>
      <w:r>
        <w:rPr>
          <w:rFonts w:hint="eastAsia" w:ascii="宋体" w:hAnsi="宋体" w:eastAsia="宋体" w:cs="宋体"/>
          <w:bCs w:val="0"/>
          <w:color w:val="auto"/>
          <w:sz w:val="24"/>
          <w:szCs w:val="24"/>
          <w:highlight w:val="none"/>
        </w:rPr>
        <w:t>招标文件</w:t>
      </w:r>
    </w:p>
    <w:p w14:paraId="4EDE00F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61" w:name="_Toc183582210"/>
      <w:bookmarkStart w:id="62" w:name="_Toc217446039"/>
      <w:bookmarkStart w:id="63" w:name="_Toc183682347"/>
      <w:r>
        <w:rPr>
          <w:rFonts w:hint="eastAsia" w:ascii="宋体" w:hAnsi="宋体" w:eastAsia="宋体" w:cs="宋体"/>
          <w:color w:val="auto"/>
          <w:sz w:val="24"/>
          <w:szCs w:val="24"/>
          <w:highlight w:val="none"/>
        </w:rPr>
        <w:t>5．招标文件的构成</w:t>
      </w:r>
      <w:bookmarkEnd w:id="61"/>
      <w:bookmarkEnd w:id="62"/>
      <w:bookmarkEnd w:id="63"/>
    </w:p>
    <w:p w14:paraId="4FFC90C5">
      <w:pPr>
        <w:pageBreakBefore w:val="0"/>
        <w:widowControl w:val="0"/>
        <w:tabs>
          <w:tab w:val="left" w:pos="72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388403C3">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r>
        <w:rPr>
          <w:rFonts w:hint="eastAsia" w:ascii="宋体" w:hAnsi="宋体" w:eastAsia="宋体" w:cs="宋体"/>
          <w:color w:val="auto"/>
          <w:sz w:val="24"/>
          <w:szCs w:val="24"/>
          <w:highlight w:val="none"/>
        </w:rPr>
        <w:tab/>
      </w:r>
    </w:p>
    <w:p w14:paraId="1AEED1E6">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r>
        <w:rPr>
          <w:rFonts w:hint="eastAsia" w:ascii="宋体" w:hAnsi="宋体" w:eastAsia="宋体" w:cs="宋体"/>
          <w:color w:val="auto"/>
          <w:sz w:val="24"/>
          <w:szCs w:val="24"/>
          <w:highlight w:val="none"/>
        </w:rPr>
        <w:tab/>
      </w:r>
    </w:p>
    <w:p w14:paraId="584175D8">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（3）投标文件格式</w:t>
      </w:r>
      <w:r>
        <w:rPr>
          <w:rFonts w:hint="eastAsia" w:ascii="宋体" w:hAnsi="宋体" w:eastAsia="宋体" w:cs="宋体"/>
          <w:color w:val="auto"/>
          <w:sz w:val="24"/>
          <w:szCs w:val="24"/>
          <w:highlight w:val="none"/>
        </w:rPr>
        <w:tab/>
      </w:r>
    </w:p>
    <w:p w14:paraId="5CBFFDBD">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（4）招标项目技术要求</w:t>
      </w:r>
      <w:r>
        <w:rPr>
          <w:rFonts w:hint="eastAsia" w:ascii="宋体" w:hAnsi="宋体" w:eastAsia="宋体" w:cs="宋体"/>
          <w:color w:val="auto"/>
          <w:sz w:val="24"/>
          <w:szCs w:val="24"/>
          <w:highlight w:val="none"/>
        </w:rPr>
        <w:tab/>
      </w:r>
    </w:p>
    <w:p w14:paraId="51AAD27D">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（5）评标办法</w:t>
      </w:r>
      <w:r>
        <w:rPr>
          <w:rFonts w:hint="eastAsia" w:ascii="宋体" w:hAnsi="宋体" w:eastAsia="宋体" w:cs="宋体"/>
          <w:color w:val="auto"/>
          <w:sz w:val="24"/>
          <w:szCs w:val="24"/>
          <w:highlight w:val="none"/>
        </w:rPr>
        <w:tab/>
      </w:r>
    </w:p>
    <w:p w14:paraId="5E6BD620">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（6）拟签订的合同文本</w:t>
      </w:r>
      <w:r>
        <w:rPr>
          <w:rFonts w:hint="eastAsia" w:ascii="宋体" w:hAnsi="宋体" w:eastAsia="宋体" w:cs="宋体"/>
          <w:color w:val="auto"/>
          <w:sz w:val="24"/>
          <w:szCs w:val="24"/>
          <w:highlight w:val="none"/>
        </w:rPr>
        <w:tab/>
      </w:r>
    </w:p>
    <w:p w14:paraId="60B1D1F7">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宋体" w:hAnsi="宋体" w:eastAsia="宋体" w:cs="宋体"/>
          <w:b/>
          <w:bCs/>
          <w:color w:val="auto"/>
          <w:sz w:val="24"/>
          <w:szCs w:val="24"/>
          <w:highlight w:val="none"/>
        </w:rPr>
        <w:t>无效处理</w:t>
      </w:r>
      <w:r>
        <w:rPr>
          <w:rFonts w:hint="eastAsia" w:ascii="宋体" w:hAnsi="宋体" w:eastAsia="宋体" w:cs="宋体"/>
          <w:color w:val="auto"/>
          <w:sz w:val="24"/>
          <w:szCs w:val="24"/>
          <w:highlight w:val="none"/>
        </w:rPr>
        <w:t>。</w:t>
      </w:r>
    </w:p>
    <w:p w14:paraId="5B474A6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64" w:name="_Toc183682348"/>
      <w:bookmarkStart w:id="65" w:name="_Toc183582211"/>
      <w:bookmarkStart w:id="66" w:name="_Toc217446040"/>
      <w:r>
        <w:rPr>
          <w:rFonts w:hint="eastAsia" w:ascii="宋体" w:hAnsi="宋体" w:eastAsia="宋体" w:cs="宋体"/>
          <w:color w:val="auto"/>
          <w:sz w:val="24"/>
          <w:szCs w:val="24"/>
          <w:highlight w:val="none"/>
        </w:rPr>
        <w:t>6. 招标文件的澄清</w:t>
      </w:r>
      <w:bookmarkEnd w:id="64"/>
      <w:bookmarkEnd w:id="65"/>
      <w:r>
        <w:rPr>
          <w:rFonts w:hint="eastAsia" w:ascii="宋体" w:hAnsi="宋体" w:eastAsia="宋体" w:cs="宋体"/>
          <w:color w:val="auto"/>
          <w:sz w:val="24"/>
          <w:szCs w:val="24"/>
          <w:highlight w:val="none"/>
        </w:rPr>
        <w:t>和修改</w:t>
      </w:r>
      <w:bookmarkEnd w:id="66"/>
    </w:p>
    <w:p w14:paraId="25C7832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bookmarkStart w:id="67" w:name="_Toc217446041"/>
      <w:bookmarkStart w:id="68" w:name="_Toc208848971"/>
      <w:r>
        <w:rPr>
          <w:rFonts w:hint="eastAsia" w:ascii="宋体" w:hAnsi="宋体" w:eastAsia="宋体" w:cs="宋体"/>
          <w:color w:val="auto"/>
          <w:sz w:val="24"/>
          <w:szCs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62F9B1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C0D205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答疑会和现场考察</w:t>
      </w:r>
      <w:bookmarkEnd w:id="67"/>
      <w:bookmarkEnd w:id="68"/>
      <w:r>
        <w:rPr>
          <w:rFonts w:hint="eastAsia" w:ascii="宋体" w:hAnsi="宋体" w:eastAsia="宋体" w:cs="宋体"/>
          <w:color w:val="auto"/>
          <w:sz w:val="24"/>
          <w:szCs w:val="24"/>
          <w:highlight w:val="none"/>
        </w:rPr>
        <w:t>。</w:t>
      </w:r>
    </w:p>
    <w:p w14:paraId="1342080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69" w:name="_Toc217446042"/>
      <w:bookmarkStart w:id="70" w:name="_Toc183582214"/>
      <w:bookmarkStart w:id="71" w:name="_Toc77400780"/>
      <w:bookmarkStart w:id="72" w:name="_Toc89075876"/>
      <w:bookmarkStart w:id="73" w:name="_Toc183682351"/>
      <w:r>
        <w:rPr>
          <w:rFonts w:hint="eastAsia" w:ascii="宋体" w:hAnsi="宋体" w:eastAsia="宋体" w:cs="宋体"/>
          <w:color w:val="auto"/>
          <w:sz w:val="24"/>
          <w:szCs w:val="24"/>
          <w:highlight w:val="none"/>
        </w:rPr>
        <w:t>7.1 本项目不组织答疑会和现场考察。</w:t>
      </w:r>
    </w:p>
    <w:p w14:paraId="7764CC02">
      <w:pPr>
        <w:pStyle w:val="4"/>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四、</w:t>
      </w:r>
      <w:bookmarkEnd w:id="69"/>
      <w:bookmarkEnd w:id="70"/>
      <w:bookmarkEnd w:id="71"/>
      <w:bookmarkEnd w:id="72"/>
      <w:bookmarkEnd w:id="73"/>
      <w:r>
        <w:rPr>
          <w:rFonts w:hint="eastAsia" w:ascii="宋体" w:hAnsi="宋体" w:eastAsia="宋体" w:cs="宋体"/>
          <w:bCs w:val="0"/>
          <w:color w:val="auto"/>
          <w:sz w:val="24"/>
          <w:szCs w:val="24"/>
          <w:highlight w:val="none"/>
        </w:rPr>
        <w:t>投标文件</w:t>
      </w:r>
    </w:p>
    <w:p w14:paraId="48065A1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74" w:name="_Toc183682352"/>
      <w:bookmarkStart w:id="75" w:name="_Toc217446043"/>
      <w:bookmarkStart w:id="76" w:name="_Toc183582215"/>
      <w:r>
        <w:rPr>
          <w:rFonts w:hint="eastAsia" w:ascii="宋体" w:hAnsi="宋体" w:eastAsia="宋体" w:cs="宋体"/>
          <w:color w:val="auto"/>
          <w:sz w:val="24"/>
          <w:szCs w:val="24"/>
          <w:highlight w:val="none"/>
        </w:rPr>
        <w:t>8．投标文件的语言</w:t>
      </w:r>
      <w:bookmarkEnd w:id="74"/>
      <w:bookmarkEnd w:id="75"/>
      <w:bookmarkEnd w:id="76"/>
    </w:p>
    <w:p w14:paraId="2534CBE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2AAE431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翻译的中文资料与外文资料如果出现差异和矛盾时，以中文为准。但不能故意错误翻译，否则，投标人的投标文件将作为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1DACB2C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77" w:name="_Toc183682353"/>
      <w:bookmarkStart w:id="78" w:name="_Toc217446044"/>
      <w:bookmarkStart w:id="79" w:name="_Toc183582216"/>
      <w:r>
        <w:rPr>
          <w:rFonts w:hint="eastAsia" w:ascii="宋体" w:hAnsi="宋体" w:eastAsia="宋体" w:cs="宋体"/>
          <w:color w:val="auto"/>
          <w:sz w:val="24"/>
          <w:szCs w:val="24"/>
          <w:highlight w:val="none"/>
        </w:rPr>
        <w:t>9．计量单位</w:t>
      </w:r>
      <w:bookmarkEnd w:id="77"/>
      <w:bookmarkEnd w:id="78"/>
      <w:bookmarkEnd w:id="79"/>
    </w:p>
    <w:p w14:paraId="4B2DB17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除招标文件中另有规定外，本招标项下的投标均采用国家法定的计量单位。</w:t>
      </w:r>
    </w:p>
    <w:p w14:paraId="4E1768F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80" w:name="_Toc217446045"/>
      <w:r>
        <w:rPr>
          <w:rFonts w:hint="eastAsia" w:ascii="宋体" w:hAnsi="宋体" w:eastAsia="宋体" w:cs="宋体"/>
          <w:color w:val="auto"/>
          <w:sz w:val="24"/>
          <w:szCs w:val="24"/>
          <w:highlight w:val="none"/>
        </w:rPr>
        <w:t>10. 投标货币</w:t>
      </w:r>
      <w:bookmarkEnd w:id="80"/>
    </w:p>
    <w:p w14:paraId="4358FB00">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本次招标项目的投标均以人民币报价。</w:t>
      </w:r>
    </w:p>
    <w:p w14:paraId="653EBE0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81" w:name="_Toc217446046"/>
      <w:r>
        <w:rPr>
          <w:rFonts w:hint="eastAsia" w:ascii="宋体" w:hAnsi="宋体" w:eastAsia="宋体" w:cs="宋体"/>
          <w:color w:val="auto"/>
          <w:sz w:val="24"/>
          <w:szCs w:val="24"/>
          <w:highlight w:val="none"/>
        </w:rPr>
        <w:t>11. 联合体投标</w:t>
      </w:r>
      <w:bookmarkEnd w:id="81"/>
    </w:p>
    <w:p w14:paraId="71C2F649">
      <w:pPr>
        <w:pStyle w:val="13"/>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详见“投标人须知前附表”第13条。</w:t>
      </w:r>
    </w:p>
    <w:p w14:paraId="1ED65FD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82" w:name="_Toc217446047"/>
      <w:r>
        <w:rPr>
          <w:rFonts w:hint="eastAsia" w:ascii="宋体" w:hAnsi="宋体" w:eastAsia="宋体" w:cs="宋体"/>
          <w:color w:val="auto"/>
          <w:sz w:val="24"/>
          <w:szCs w:val="24"/>
          <w:highlight w:val="none"/>
        </w:rPr>
        <w:t>12. 知识产权</w:t>
      </w:r>
      <w:bookmarkEnd w:id="82"/>
    </w:p>
    <w:p w14:paraId="3EF61830">
      <w:pPr>
        <w:pStyle w:val="13"/>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51D31C57">
      <w:pPr>
        <w:pStyle w:val="13"/>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采购人享有本项目实施过程中产生的知识成果及知识产权。</w:t>
      </w:r>
    </w:p>
    <w:p w14:paraId="1D03A1E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4C8A067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12.4 如采用投标人所不拥有的知识产权，则在投标报价中必须包括合法获取该知识产权的相关费用。 </w:t>
      </w:r>
    </w:p>
    <w:p w14:paraId="023A9C4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83" w:name="_Toc217446048"/>
      <w:bookmarkStart w:id="84" w:name="_Toc183682354"/>
      <w:bookmarkStart w:id="85" w:name="_Toc183582217"/>
      <w:r>
        <w:rPr>
          <w:rFonts w:hint="eastAsia" w:ascii="宋体" w:hAnsi="宋体" w:eastAsia="宋体" w:cs="宋体"/>
          <w:color w:val="auto"/>
          <w:sz w:val="24"/>
          <w:szCs w:val="24"/>
          <w:highlight w:val="none"/>
        </w:rPr>
        <w:t>13．投标文件的组成</w:t>
      </w:r>
      <w:bookmarkEnd w:id="83"/>
      <w:bookmarkEnd w:id="84"/>
      <w:bookmarkEnd w:id="85"/>
    </w:p>
    <w:p w14:paraId="4A9794E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06E73BC4">
      <w:pPr>
        <w:tabs>
          <w:tab w:val="left" w:pos="3480"/>
        </w:tabs>
        <w:spacing w:line="500" w:lineRule="exact"/>
        <w:ind w:firstLine="480" w:firstLineChars="200"/>
        <w:rPr>
          <w:rFonts w:hint="eastAsia" w:ascii="宋体" w:hAnsi="宋体" w:eastAsia="宋体" w:cs="宋体"/>
          <w:color w:val="auto"/>
          <w:sz w:val="24"/>
          <w:szCs w:val="24"/>
          <w:highlight w:val="none"/>
        </w:rPr>
      </w:pPr>
      <w:bookmarkStart w:id="86" w:name="_Toc183682355"/>
      <w:bookmarkStart w:id="87" w:name="_Toc217446049"/>
      <w:bookmarkStart w:id="88" w:name="_Toc183582218"/>
      <w:r>
        <w:rPr>
          <w:rFonts w:hint="eastAsia" w:ascii="宋体" w:hAnsi="宋体" w:eastAsia="宋体" w:cs="宋体"/>
          <w:color w:val="auto"/>
          <w:sz w:val="24"/>
          <w:szCs w:val="24"/>
          <w:highlight w:val="none"/>
        </w:rPr>
        <w:t>一、投标函</w:t>
      </w:r>
    </w:p>
    <w:p w14:paraId="620F688B">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二、身份证明书及授权委托书</w:t>
      </w:r>
    </w:p>
    <w:p w14:paraId="6690FCC1">
      <w:pPr>
        <w:tabs>
          <w:tab w:val="left" w:pos="3480"/>
        </w:tabs>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三、开标一览表</w:t>
      </w:r>
    </w:p>
    <w:p w14:paraId="25CC68DF">
      <w:pPr>
        <w:tabs>
          <w:tab w:val="left" w:pos="3480"/>
        </w:tabs>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四、明细报价表</w:t>
      </w:r>
    </w:p>
    <w:p w14:paraId="741817ED">
      <w:pPr>
        <w:tabs>
          <w:tab w:val="left" w:pos="3480"/>
        </w:tabs>
        <w:spacing w:line="5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五、供应商具备投标资格的证明文件</w:t>
      </w:r>
    </w:p>
    <w:p w14:paraId="40C23CEA">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、投标人类似项目业绩一览表</w:t>
      </w:r>
    </w:p>
    <w:p w14:paraId="73EAA60F">
      <w:pPr>
        <w:tabs>
          <w:tab w:val="left" w:pos="3480"/>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技术规格、参数响应/偏离表</w:t>
      </w:r>
    </w:p>
    <w:p w14:paraId="00481CAF">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项目实施</w:t>
      </w:r>
      <w:r>
        <w:rPr>
          <w:rFonts w:hint="eastAsia" w:ascii="宋体" w:hAnsi="宋体" w:eastAsia="宋体" w:cs="宋体"/>
          <w:color w:val="auto"/>
          <w:sz w:val="24"/>
          <w:szCs w:val="24"/>
          <w:highlight w:val="none"/>
        </w:rPr>
        <w:t>方案</w:t>
      </w:r>
    </w:p>
    <w:p w14:paraId="2FDFCC00">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项目设计</w:t>
      </w:r>
      <w:r>
        <w:rPr>
          <w:rFonts w:hint="eastAsia" w:ascii="宋体" w:hAnsi="宋体" w:eastAsia="宋体" w:cs="宋体"/>
          <w:color w:val="auto"/>
          <w:sz w:val="24"/>
          <w:szCs w:val="24"/>
          <w:highlight w:val="none"/>
        </w:rPr>
        <w:t>方案</w:t>
      </w:r>
    </w:p>
    <w:p w14:paraId="0BBE5D1F">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十</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售后服务</w:t>
      </w:r>
      <w:r>
        <w:rPr>
          <w:rFonts w:hint="eastAsia" w:ascii="宋体" w:hAnsi="宋体" w:eastAsia="宋体" w:cs="宋体"/>
          <w:color w:val="auto"/>
          <w:sz w:val="24"/>
          <w:szCs w:val="24"/>
          <w:highlight w:val="none"/>
        </w:rPr>
        <w:t>方案</w:t>
      </w:r>
    </w:p>
    <w:p w14:paraId="78EE8217">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十一</w:t>
      </w:r>
      <w:r>
        <w:rPr>
          <w:rFonts w:hint="eastAsia" w:ascii="宋体" w:hAnsi="宋体" w:eastAsia="宋体" w:cs="宋体"/>
          <w:color w:val="auto"/>
          <w:sz w:val="24"/>
          <w:szCs w:val="24"/>
          <w:highlight w:val="none"/>
        </w:rPr>
        <w:t>、投标人认为需要提供的其他文件和资料</w:t>
      </w:r>
    </w:p>
    <w:p w14:paraId="1D3622E5">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14．投标文件格式</w:t>
      </w:r>
      <w:bookmarkEnd w:id="86"/>
      <w:bookmarkEnd w:id="87"/>
      <w:bookmarkEnd w:id="88"/>
    </w:p>
    <w:p w14:paraId="47BE2E06">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投标人应严格按照招标文件第三章中提供的“投标文件格式”填写相关内容。除明确允许投标人可以自行编写的外，投标人不得以“投标文件格式”规定之外的方式填写相关内容。</w:t>
      </w:r>
    </w:p>
    <w:p w14:paraId="512B1777">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对于没有格式要求的投标文件由投标人自行编写。</w:t>
      </w:r>
    </w:p>
    <w:p w14:paraId="40A5D2B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89" w:name="_Toc183582223"/>
      <w:bookmarkStart w:id="90" w:name="_Toc183682360"/>
      <w:bookmarkStart w:id="91" w:name="_Toc217446050"/>
      <w:r>
        <w:rPr>
          <w:rFonts w:hint="eastAsia" w:ascii="宋体" w:hAnsi="宋体" w:eastAsia="宋体" w:cs="宋体"/>
          <w:color w:val="auto"/>
          <w:sz w:val="24"/>
          <w:szCs w:val="24"/>
          <w:highlight w:val="none"/>
        </w:rPr>
        <w:t>15．投标保证金</w:t>
      </w:r>
      <w:bookmarkEnd w:id="89"/>
      <w:bookmarkEnd w:id="90"/>
      <w:bookmarkEnd w:id="91"/>
    </w:p>
    <w:p w14:paraId="73C436C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投标人投标时，必须按招标文件规定数额和形式缴纳投标保证金，并作为其投标文件的一部分。</w:t>
      </w:r>
    </w:p>
    <w:p w14:paraId="4B64C46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15.2未按招标文件要求在规定时间前缴纳规定数额和形式的投标保证金，将被视为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DAF6EA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投标人所缴纳的投标保证金不计利息。</w:t>
      </w:r>
    </w:p>
    <w:p w14:paraId="57D958B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15.4未中标人的投标保证金，将在中标通知书发出后五个工作日内全额退还。中标人的投标保证金，自采购合同签订之日起5个工作日内退还中标人的投标保证金。</w:t>
      </w:r>
    </w:p>
    <w:p w14:paraId="4395BBF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15.5发生下列情形之一的，采购代理机构将不予退还投标人缴纳的投标保证金：</w:t>
      </w:r>
    </w:p>
    <w:p w14:paraId="6E1CEF5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92" w:name="_Toc183682361"/>
      <w:bookmarkStart w:id="93" w:name="_Toc183582224"/>
      <w:bookmarkStart w:id="94" w:name="_Toc217446051"/>
      <w:r>
        <w:rPr>
          <w:rFonts w:hint="eastAsia" w:ascii="宋体" w:hAnsi="宋体" w:eastAsia="宋体" w:cs="宋体"/>
          <w:color w:val="auto"/>
          <w:sz w:val="24"/>
          <w:szCs w:val="24"/>
          <w:highlight w:val="none"/>
        </w:rPr>
        <w:t>（1）投标人在提交投标文件截止时间后撤回投标文件的；</w:t>
      </w:r>
    </w:p>
    <w:p w14:paraId="486BED8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（2）投标人在投标文件中提供虚假材料的；</w:t>
      </w:r>
    </w:p>
    <w:p w14:paraId="2BF3F24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（3）投标人不接受按投标文件规定对其投标报价进行修正的；</w:t>
      </w:r>
    </w:p>
    <w:p w14:paraId="7114D02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（4）除因不可抗力或投标文件认可的情形以外，中标人不履行与采购人签订合同的，在签订合同时向采购人提出附加条件；</w:t>
      </w:r>
    </w:p>
    <w:p w14:paraId="31A3FDE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（5）中标人未能在规定期限内与采购人签署合同协议书或提交履约保证金的；</w:t>
      </w:r>
    </w:p>
    <w:p w14:paraId="4852710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（6）投标人与采购人、其他投标人或者采购代理机构恶意串通的；</w:t>
      </w:r>
    </w:p>
    <w:p w14:paraId="16B62A8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（7）招标文件规定的其他情形；</w:t>
      </w:r>
    </w:p>
    <w:p w14:paraId="45C4EC6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（8）符合法律、法规规定的其他情形的。 </w:t>
      </w:r>
    </w:p>
    <w:p w14:paraId="5386E67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16．投标有效期</w:t>
      </w:r>
      <w:bookmarkEnd w:id="92"/>
      <w:bookmarkEnd w:id="93"/>
      <w:bookmarkEnd w:id="94"/>
    </w:p>
    <w:p w14:paraId="4CE6A411">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投标有效期详见投标人须知前附表。投标有效期短于此规定期限的，</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122747A">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特殊情况下，采购人可于投标有效期满之前要求投标人同意延长有效期，要求与答复均应为书面形式。投标人可以拒绝上述要求，其投标保证金</w:t>
      </w:r>
      <w:r>
        <w:rPr>
          <w:rFonts w:hint="eastAsia" w:ascii="宋体" w:hAnsi="宋体" w:eastAsia="宋体" w:cs="宋体"/>
          <w:color w:val="auto"/>
          <w:spacing w:val="8"/>
          <w:sz w:val="24"/>
          <w:szCs w:val="24"/>
          <w:highlight w:val="none"/>
        </w:rPr>
        <w:t>不被没收。</w:t>
      </w:r>
      <w:r>
        <w:rPr>
          <w:rFonts w:hint="eastAsia" w:ascii="宋体" w:hAnsi="宋体" w:eastAsia="宋体" w:cs="宋体"/>
          <w:color w:val="auto"/>
          <w:sz w:val="24"/>
          <w:szCs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4E6D673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heme="minorEastAsia" w:hAnsiTheme="minorEastAsia" w:eastAsiaTheme="minorEastAsia" w:cstheme="minorEastAsia"/>
          <w:b/>
          <w:color w:val="auto"/>
          <w:sz w:val="24"/>
          <w:szCs w:val="24"/>
          <w:highlight w:val="none"/>
        </w:rPr>
      </w:pPr>
      <w:bookmarkStart w:id="95" w:name="_Toc217446052"/>
      <w:bookmarkStart w:id="96" w:name="_Toc183682362"/>
      <w:bookmarkStart w:id="97" w:name="_Toc183582225"/>
      <w:bookmarkStart w:id="98" w:name="_Toc183682365"/>
      <w:bookmarkStart w:id="99" w:name="_Toc183582228"/>
      <w:bookmarkStart w:id="100" w:name="_Toc217446055"/>
      <w:r>
        <w:rPr>
          <w:rFonts w:hint="eastAsia" w:asciiTheme="minorEastAsia" w:hAnsiTheme="minorEastAsia" w:eastAsiaTheme="minorEastAsia" w:cstheme="minorEastAsia"/>
          <w:color w:val="auto"/>
          <w:sz w:val="24"/>
          <w:szCs w:val="24"/>
          <w:highlight w:val="none"/>
        </w:rPr>
        <w:t>17．投标文件的印制和签署</w:t>
      </w:r>
      <w:bookmarkEnd w:id="95"/>
      <w:bookmarkEnd w:id="96"/>
      <w:bookmarkEnd w:id="97"/>
    </w:p>
    <w:p w14:paraId="263A5C24">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 xml:space="preserve"> </w:t>
      </w:r>
      <w:r>
        <w:rPr>
          <w:rFonts w:ascii="宋体" w:hAnsi="宋体" w:eastAsia="宋体" w:cs="宋体"/>
          <w:color w:val="auto"/>
          <w:sz w:val="24"/>
          <w:szCs w:val="24"/>
          <w:highlight w:val="none"/>
        </w:rPr>
        <w:t>招标文件要求供应商法定代表人或者被授权代表签字处，均须加盖其 个人电子印章，并逐页加盖单位公章的电子印章。</w:t>
      </w:r>
    </w:p>
    <w:p w14:paraId="2E16523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bookmarkStart w:id="101" w:name="_Toc183682363"/>
      <w:bookmarkStart w:id="102" w:name="_Toc183582226"/>
      <w:bookmarkStart w:id="103" w:name="_Toc89075877"/>
      <w:bookmarkStart w:id="104" w:name="_Toc77400781"/>
      <w:bookmarkStart w:id="105" w:name="_Toc217446053"/>
      <w:r>
        <w:rPr>
          <w:rFonts w:hint="eastAsia" w:asciiTheme="minorEastAsia" w:hAnsiTheme="minorEastAsia" w:eastAsiaTheme="minorEastAsia" w:cstheme="minorEastAsia"/>
          <w:color w:val="auto"/>
          <w:sz w:val="24"/>
          <w:szCs w:val="24"/>
          <w:highlight w:val="none"/>
        </w:rPr>
        <w:t>18. 投标文件的密封和标</w:t>
      </w:r>
      <w:bookmarkEnd w:id="101"/>
      <w:bookmarkEnd w:id="102"/>
      <w:bookmarkEnd w:id="103"/>
      <w:bookmarkEnd w:id="104"/>
      <w:r>
        <w:rPr>
          <w:rFonts w:hint="eastAsia" w:asciiTheme="minorEastAsia" w:hAnsiTheme="minorEastAsia" w:eastAsiaTheme="minorEastAsia" w:cstheme="minorEastAsia"/>
          <w:color w:val="auto"/>
          <w:sz w:val="24"/>
          <w:szCs w:val="24"/>
          <w:highlight w:val="none"/>
        </w:rPr>
        <w:t>注</w:t>
      </w:r>
      <w:bookmarkEnd w:id="105"/>
    </w:p>
    <w:p w14:paraId="25A0F42C">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ascii="宋体" w:hAnsi="宋体" w:eastAsia="宋体" w:cs="宋体"/>
          <w:color w:val="auto"/>
          <w:sz w:val="24"/>
          <w:szCs w:val="24"/>
          <w:highlight w:val="none"/>
        </w:rPr>
        <w:t>本项目采用不见面开标，供应商须在投标截止时间前，将生成的“电子加密 响应文件”上传递交至“政府采购云平台”，投标截止时间以后上传递交的响应 文件将被“政府采购云平台”拒收。</w:t>
      </w:r>
    </w:p>
    <w:p w14:paraId="59C5ADA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bookmarkStart w:id="106" w:name="_Toc217446054"/>
      <w:bookmarkStart w:id="107" w:name="_Toc183582227"/>
      <w:bookmarkStart w:id="108" w:name="_Toc183682364"/>
      <w:r>
        <w:rPr>
          <w:rFonts w:hint="eastAsia" w:asciiTheme="minorEastAsia" w:hAnsiTheme="minorEastAsia" w:eastAsiaTheme="minorEastAsia" w:cstheme="minorEastAsia"/>
          <w:color w:val="auto"/>
          <w:sz w:val="24"/>
          <w:szCs w:val="24"/>
          <w:highlight w:val="none"/>
        </w:rPr>
        <w:t>19．投标文件的</w:t>
      </w:r>
      <w:bookmarkEnd w:id="106"/>
      <w:bookmarkEnd w:id="107"/>
      <w:bookmarkEnd w:id="108"/>
      <w:r>
        <w:rPr>
          <w:rFonts w:hint="eastAsia" w:asciiTheme="minorEastAsia" w:hAnsiTheme="minorEastAsia" w:eastAsiaTheme="minorEastAsia" w:cstheme="minorEastAsia"/>
          <w:color w:val="auto"/>
          <w:sz w:val="24"/>
          <w:szCs w:val="24"/>
          <w:highlight w:val="none"/>
          <w:lang w:eastAsia="zh-CN"/>
        </w:rPr>
        <w:t>上传</w:t>
      </w:r>
    </w:p>
    <w:p w14:paraId="1EAB44E2">
      <w:pPr>
        <w:pStyle w:val="8"/>
        <w:pageBreakBefore w:val="0"/>
        <w:widowControl w:val="0"/>
        <w:kinsoku/>
        <w:wordWrap/>
        <w:overflowPunct/>
        <w:topLinePunct w:val="0"/>
        <w:autoSpaceDE/>
        <w:autoSpaceDN/>
        <w:bidi w:val="0"/>
        <w:adjustRightInd/>
        <w:spacing w:line="480" w:lineRule="exact"/>
        <w:ind w:firstLine="48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供应商应在</w:t>
      </w:r>
      <w:r>
        <w:rPr>
          <w:rFonts w:hint="eastAsia" w:ascii="宋体" w:hAnsi="宋体" w:cs="宋体"/>
          <w:color w:val="auto"/>
          <w:sz w:val="24"/>
          <w:szCs w:val="24"/>
          <w:highlight w:val="none"/>
          <w:lang w:eastAsia="zh-CN"/>
        </w:rPr>
        <w:t>招标</w:t>
      </w:r>
      <w:r>
        <w:rPr>
          <w:rFonts w:ascii="宋体" w:hAnsi="宋体" w:eastAsia="宋体" w:cs="宋体"/>
          <w:color w:val="auto"/>
          <w:sz w:val="24"/>
          <w:szCs w:val="24"/>
          <w:highlight w:val="none"/>
        </w:rPr>
        <w:t>文件规定的</w:t>
      </w:r>
      <w:r>
        <w:rPr>
          <w:rFonts w:hint="eastAsia" w:ascii="宋体" w:hAnsi="宋体" w:cs="宋体"/>
          <w:color w:val="auto"/>
          <w:sz w:val="24"/>
          <w:szCs w:val="24"/>
          <w:highlight w:val="none"/>
          <w:lang w:eastAsia="zh-CN"/>
        </w:rPr>
        <w:t>投标</w:t>
      </w:r>
      <w:r>
        <w:rPr>
          <w:rFonts w:ascii="宋体" w:hAnsi="宋体" w:eastAsia="宋体" w:cs="宋体"/>
          <w:color w:val="auto"/>
          <w:sz w:val="24"/>
          <w:szCs w:val="24"/>
          <w:highlight w:val="none"/>
        </w:rPr>
        <w:t>截止时间前，将响应文件按供应商须 知第15条规定加密上传，</w:t>
      </w:r>
      <w:r>
        <w:rPr>
          <w:rFonts w:hint="eastAsia" w:ascii="宋体" w:hAnsi="宋体" w:cs="宋体"/>
          <w:color w:val="auto"/>
          <w:sz w:val="24"/>
          <w:szCs w:val="24"/>
          <w:highlight w:val="none"/>
          <w:lang w:eastAsia="zh-CN"/>
        </w:rPr>
        <w:t>投标</w:t>
      </w:r>
      <w:r>
        <w:rPr>
          <w:rFonts w:ascii="宋体" w:hAnsi="宋体" w:eastAsia="宋体" w:cs="宋体"/>
          <w:color w:val="auto"/>
          <w:sz w:val="24"/>
          <w:szCs w:val="24"/>
          <w:highlight w:val="none"/>
        </w:rPr>
        <w:t>截止时间以后上传递交的响应文件将被“政府采购云平台”拒收。</w:t>
      </w:r>
    </w:p>
    <w:p w14:paraId="0C9C363C">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20．投标文件的修改和撤</w:t>
      </w:r>
      <w:bookmarkEnd w:id="98"/>
      <w:bookmarkEnd w:id="99"/>
      <w:r>
        <w:rPr>
          <w:rFonts w:hint="eastAsia" w:ascii="宋体" w:hAnsi="宋体" w:eastAsia="宋体" w:cs="宋体"/>
          <w:color w:val="auto"/>
          <w:sz w:val="24"/>
          <w:szCs w:val="24"/>
          <w:highlight w:val="none"/>
        </w:rPr>
        <w:t>回</w:t>
      </w:r>
      <w:bookmarkEnd w:id="100"/>
    </w:p>
    <w:p w14:paraId="12FF40E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20.1 投标人在投标截止时间前，可以对所</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的投标文件进行补充、修改或者撤回</w:t>
      </w:r>
      <w:r>
        <w:rPr>
          <w:rFonts w:hint="eastAsia" w:ascii="宋体" w:hAnsi="宋体" w:cs="宋体"/>
          <w:color w:val="auto"/>
          <w:sz w:val="24"/>
          <w:szCs w:val="24"/>
          <w:highlight w:val="none"/>
          <w:lang w:eastAsia="zh-CN"/>
        </w:rPr>
        <w:t>。</w:t>
      </w:r>
    </w:p>
    <w:p w14:paraId="49C4915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在投标截止时间之后，投标人不得对其</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的投标文件做任何修改或撤回投标。</w:t>
      </w:r>
    </w:p>
    <w:p w14:paraId="4707053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投标文件中如果出现计算上或累加上的算术错误，可按以下原则进行修改：</w:t>
      </w:r>
    </w:p>
    <w:p w14:paraId="7D99738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（1）投标文件中投标函内容与投标报价明细表不一致的，以投标函为准；</w:t>
      </w:r>
    </w:p>
    <w:p w14:paraId="055B8F3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（2）用小写金额和大写金额不一致，应以大写金额为准；</w:t>
      </w:r>
    </w:p>
    <w:p w14:paraId="6BE51F3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14:paraId="0F38F1C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（4）单价金额小数点或者百分比有明显错位的，以投标函的总价为准，并修改单价。</w:t>
      </w:r>
    </w:p>
    <w:p w14:paraId="41462F7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同时出现两种以上不一致的，按照前款规定的顺序修正。修正后的投标报价经投标人确认后产生约束力，投标人不确认的，其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B6030AE">
      <w:pPr>
        <w:pStyle w:val="4"/>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auto"/>
          <w:sz w:val="24"/>
          <w:szCs w:val="24"/>
          <w:highlight w:val="none"/>
        </w:rPr>
      </w:pPr>
      <w:bookmarkStart w:id="109" w:name="_Toc217446056"/>
      <w:bookmarkStart w:id="110" w:name="_Toc183682368"/>
      <w:bookmarkStart w:id="111" w:name="_Toc89075878"/>
      <w:bookmarkStart w:id="112" w:name="_Toc183582231"/>
      <w:bookmarkStart w:id="113" w:name="_Toc77400782"/>
      <w:r>
        <w:rPr>
          <w:rFonts w:hint="eastAsia" w:ascii="宋体" w:hAnsi="宋体" w:eastAsia="宋体" w:cs="宋体"/>
          <w:color w:val="auto"/>
          <w:sz w:val="24"/>
          <w:szCs w:val="24"/>
          <w:highlight w:val="none"/>
        </w:rPr>
        <w:t>五、开标和</w:t>
      </w:r>
      <w:bookmarkEnd w:id="109"/>
      <w:bookmarkEnd w:id="110"/>
      <w:bookmarkEnd w:id="111"/>
      <w:bookmarkEnd w:id="112"/>
      <w:bookmarkEnd w:id="113"/>
      <w:r>
        <w:rPr>
          <w:rFonts w:hint="eastAsia" w:ascii="宋体" w:hAnsi="宋体" w:eastAsia="宋体" w:cs="宋体"/>
          <w:color w:val="auto"/>
          <w:sz w:val="24"/>
          <w:szCs w:val="24"/>
          <w:highlight w:val="none"/>
        </w:rPr>
        <w:t>中标</w:t>
      </w:r>
    </w:p>
    <w:p w14:paraId="343FBA2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14" w:name="_Toc217446057"/>
      <w:bookmarkStart w:id="115" w:name="_Toc183582232"/>
      <w:bookmarkStart w:id="116" w:name="_Toc183682369"/>
      <w:r>
        <w:rPr>
          <w:rFonts w:hint="eastAsia" w:ascii="宋体" w:hAnsi="宋体" w:eastAsia="宋体" w:cs="宋体"/>
          <w:color w:val="auto"/>
          <w:sz w:val="24"/>
          <w:szCs w:val="24"/>
          <w:highlight w:val="none"/>
        </w:rPr>
        <w:t>21．开标</w:t>
      </w:r>
      <w:bookmarkEnd w:id="114"/>
      <w:bookmarkEnd w:id="115"/>
      <w:bookmarkEnd w:id="116"/>
    </w:p>
    <w:p w14:paraId="44AB2D8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采购代理机构在招标文件规定的时间和地点组织招标活动，邀请下载招标文件并参与竞争的投标人参加开标，投标人未参加开标的，视同认可开标结果。</w:t>
      </w:r>
    </w:p>
    <w:p w14:paraId="7241F22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投标人不足3家的，不得开标。</w:t>
      </w:r>
    </w:p>
    <w:p w14:paraId="03886C4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开标时，采购代理机构可以邀请有关监督管理部门对开标进行现场监督。</w:t>
      </w:r>
    </w:p>
    <w:p w14:paraId="15F753A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宣布开标会开始。开标时间到，主持人宣布开标会开始并致辞，当众宣布参加开标会的现场监督人员、主持人、唱标、会议记录等招标工作人员，根据“投标人签到表”宣布参加投标的投标人名单</w:t>
      </w:r>
    </w:p>
    <w:p w14:paraId="4201ECA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21.4宣布会场纪律和有关注意事项。</w:t>
      </w:r>
    </w:p>
    <w:p w14:paraId="432699C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21.5开标时，</w:t>
      </w:r>
      <w:r>
        <w:rPr>
          <w:rFonts w:hint="eastAsia" w:ascii="宋体" w:hAnsi="宋体" w:cs="宋体"/>
          <w:color w:val="auto"/>
          <w:sz w:val="24"/>
          <w:szCs w:val="24"/>
          <w:highlight w:val="none"/>
          <w:lang w:eastAsia="zh-CN"/>
        </w:rPr>
        <w:t>投标单位完成在线解密后，由工作人员开始唱标</w:t>
      </w:r>
    </w:p>
    <w:p w14:paraId="7EB84D1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21.6</w:t>
      </w:r>
      <w:r>
        <w:rPr>
          <w:rFonts w:hint="eastAsia" w:ascii="宋体" w:hAnsi="宋体" w:cs="宋体"/>
          <w:color w:val="auto"/>
          <w:sz w:val="24"/>
          <w:szCs w:val="24"/>
          <w:highlight w:val="none"/>
          <w:lang w:eastAsia="zh-CN"/>
        </w:rPr>
        <w:t>唱标完毕后，如果投标人对所唱“报价一览表”内容有异议，应当立即提出。经现场监标人员确认，认为有必要重新唱标的，由唱标人员重新唱标。</w:t>
      </w:r>
    </w:p>
    <w:p w14:paraId="632557B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22.资格审查及组建评标委员会</w:t>
      </w:r>
    </w:p>
    <w:p w14:paraId="5834C4F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22.1公开招标采购项目开标结束后，采购人或者采购代理机构应当依法对投标人的资格进行审查。合格投标人不足3家的，不得评标。</w:t>
      </w:r>
    </w:p>
    <w:p w14:paraId="628F9265">
      <w:pPr>
        <w:pStyle w:val="46"/>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22.2符合性审查。符合性审查是指依据招标文件的规定，从商务和技术角度对投标文件的有效性和完整性进行审查，以确定是否对招标文件的实质性要求做出响应。</w:t>
      </w:r>
    </w:p>
    <w:p w14:paraId="0F90740B">
      <w:pPr>
        <w:pStyle w:val="46"/>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22.3评标委员会采用综合评分法对满足招标文件全部实质性要求的投标文件和投标报价进行综合评分。</w:t>
      </w:r>
    </w:p>
    <w:p w14:paraId="0B1DF907">
      <w:pPr>
        <w:pStyle w:val="46"/>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22.4评标委员会根据综合评分情况，按照评标得分由高到低顺序推荐3名中标候选人，并编写评标报告。得分相同的，按投标报价由低到高顺序排列。得分且投标报价相同的，按照技术指标优劣顺序推荐。</w:t>
      </w:r>
    </w:p>
    <w:p w14:paraId="2F960530">
      <w:pPr>
        <w:pStyle w:val="46"/>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22.5采购代理机构在评标结果后2个工作日内将评标报告送采购人确认。</w:t>
      </w:r>
    </w:p>
    <w:p w14:paraId="149DF65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17" w:name="_Toc183582238"/>
      <w:bookmarkStart w:id="118" w:name="_Toc183682375"/>
      <w:bookmarkStart w:id="119" w:name="_Toc217446063"/>
      <w:r>
        <w:rPr>
          <w:rFonts w:hint="eastAsia" w:ascii="宋体" w:hAnsi="宋体" w:eastAsia="宋体" w:cs="宋体"/>
          <w:color w:val="auto"/>
          <w:sz w:val="24"/>
          <w:szCs w:val="24"/>
          <w:highlight w:val="none"/>
        </w:rPr>
        <w:t>23．中标通知</w:t>
      </w:r>
      <w:bookmarkEnd w:id="117"/>
      <w:bookmarkEnd w:id="118"/>
      <w:r>
        <w:rPr>
          <w:rFonts w:hint="eastAsia" w:ascii="宋体" w:hAnsi="宋体" w:eastAsia="宋体" w:cs="宋体"/>
          <w:color w:val="auto"/>
          <w:sz w:val="24"/>
          <w:szCs w:val="24"/>
          <w:highlight w:val="none"/>
        </w:rPr>
        <w:t>书</w:t>
      </w:r>
      <w:bookmarkEnd w:id="119"/>
    </w:p>
    <w:p w14:paraId="6806FE45">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中标通知书为签订中标合同的依据，是合同的有效组成部分。</w:t>
      </w:r>
    </w:p>
    <w:p w14:paraId="2EC0894B">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中标通知书对采购人和中标人均具有法律效力。中标通知书发出后，采购人改变中标结果，或者中标人无正当理由放弃中标的，应当承担相应的法律责任。</w:t>
      </w:r>
    </w:p>
    <w:p w14:paraId="52B3F1FA">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355A3D7A">
      <w:pPr>
        <w:pStyle w:val="4"/>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auto"/>
          <w:sz w:val="24"/>
          <w:szCs w:val="24"/>
          <w:highlight w:val="none"/>
        </w:rPr>
      </w:pPr>
      <w:bookmarkStart w:id="120" w:name="_Toc217446064"/>
      <w:bookmarkStart w:id="121" w:name="_Toc183582240"/>
      <w:bookmarkStart w:id="122" w:name="_Toc183682377"/>
      <w:r>
        <w:rPr>
          <w:rFonts w:hint="eastAsia" w:ascii="宋体" w:hAnsi="宋体" w:eastAsia="宋体" w:cs="宋体"/>
          <w:color w:val="auto"/>
          <w:sz w:val="24"/>
          <w:szCs w:val="24"/>
          <w:highlight w:val="none"/>
        </w:rPr>
        <w:t>六、签订及履行合同和验收</w:t>
      </w:r>
      <w:bookmarkEnd w:id="120"/>
    </w:p>
    <w:p w14:paraId="2B871B2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3" w:name="_Toc217446065"/>
      <w:r>
        <w:rPr>
          <w:rFonts w:hint="eastAsia" w:ascii="宋体" w:hAnsi="宋体" w:eastAsia="宋体" w:cs="宋体"/>
          <w:color w:val="auto"/>
          <w:sz w:val="24"/>
          <w:szCs w:val="24"/>
          <w:highlight w:val="none"/>
        </w:rPr>
        <w:t>24. 签订合同</w:t>
      </w:r>
      <w:bookmarkEnd w:id="123"/>
    </w:p>
    <w:p w14:paraId="1F4B9A2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411AFC9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采购人不得向中标人提出任何不合理的要求，作为签订合同的条件，不得与中标人私下订立背离合同实质性内容的任何协议，所签订的合同不得对招标文件和中标人投标文件作实质性修改。</w:t>
      </w:r>
    </w:p>
    <w:p w14:paraId="6972A42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 中标人因不可抗力原因不能履行招标合同或放弃中标的，采购人可以与排在中标人之后第一位的中标候选人签订采购合同，以此类推。</w:t>
      </w:r>
    </w:p>
    <w:p w14:paraId="76F82A8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中标人在合同签订之后三个工作日内，将签订的合同（</w:t>
      </w:r>
      <w:r>
        <w:rPr>
          <w:rFonts w:hint="eastAsia" w:ascii="宋体" w:hAnsi="宋体" w:cs="宋体"/>
          <w:color w:val="auto"/>
          <w:sz w:val="24"/>
          <w:szCs w:val="24"/>
          <w:highlight w:val="none"/>
          <w:lang w:eastAsia="zh-CN"/>
        </w:rPr>
        <w:t>扫描件</w:t>
      </w:r>
      <w:r>
        <w:rPr>
          <w:rFonts w:hint="eastAsia" w:ascii="宋体" w:hAnsi="宋体" w:eastAsia="宋体" w:cs="宋体"/>
          <w:color w:val="auto"/>
          <w:sz w:val="24"/>
          <w:szCs w:val="24"/>
          <w:highlight w:val="none"/>
        </w:rPr>
        <w:t>）交至采购代理机构。</w:t>
      </w:r>
    </w:p>
    <w:p w14:paraId="1342B5B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4" w:name="_Toc217446066"/>
      <w:r>
        <w:rPr>
          <w:rFonts w:hint="eastAsia" w:ascii="宋体" w:hAnsi="宋体" w:eastAsia="宋体" w:cs="宋体"/>
          <w:color w:val="auto"/>
          <w:sz w:val="24"/>
          <w:szCs w:val="24"/>
          <w:highlight w:val="none"/>
        </w:rPr>
        <w:t>25. 合同分包</w:t>
      </w:r>
      <w:bookmarkEnd w:id="124"/>
      <w:r>
        <w:rPr>
          <w:rFonts w:hint="eastAsia" w:ascii="宋体" w:hAnsi="宋体" w:eastAsia="宋体" w:cs="宋体"/>
          <w:color w:val="auto"/>
          <w:sz w:val="24"/>
          <w:szCs w:val="24"/>
          <w:highlight w:val="none"/>
        </w:rPr>
        <w:t>（如有）</w:t>
      </w:r>
    </w:p>
    <w:p w14:paraId="137E336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 若本项目允许分包的，经采购人同意，中标人可以依法采取分包方式履行合同。这种要求应当在合同签订之前征得采购人同意，并且分包人履行分包项目的</w:t>
      </w:r>
      <w:r>
        <w:rPr>
          <w:rFonts w:hint="eastAsia" w:ascii="宋体"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及技术要求等，必须与中标的一致。</w:t>
      </w:r>
    </w:p>
    <w:p w14:paraId="093A104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招标合同实行分包履行的，中标人就招标项目和分包项目向采购人负责，分包人就分包项目承担责任。</w:t>
      </w:r>
    </w:p>
    <w:p w14:paraId="33B0067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5" w:name="_Toc217446067"/>
      <w:r>
        <w:rPr>
          <w:rFonts w:hint="eastAsia" w:ascii="宋体" w:hAnsi="宋体" w:eastAsia="宋体" w:cs="宋体"/>
          <w:color w:val="auto"/>
          <w:sz w:val="24"/>
          <w:szCs w:val="24"/>
          <w:highlight w:val="none"/>
        </w:rPr>
        <w:t>26. 采购人增加合同标的权</w:t>
      </w:r>
      <w:bookmarkEnd w:id="125"/>
      <w:r>
        <w:rPr>
          <w:rFonts w:hint="eastAsia" w:ascii="宋体" w:hAnsi="宋体" w:eastAsia="宋体" w:cs="宋体"/>
          <w:color w:val="auto"/>
          <w:sz w:val="24"/>
          <w:szCs w:val="24"/>
          <w:highlight w:val="none"/>
        </w:rPr>
        <w:t>利</w:t>
      </w:r>
    </w:p>
    <w:p w14:paraId="7F88DCE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11279B56">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bCs/>
          <w:color w:val="auto"/>
          <w:sz w:val="24"/>
          <w:szCs w:val="24"/>
          <w:highlight w:val="none"/>
        </w:rPr>
      </w:pPr>
      <w:bookmarkStart w:id="126" w:name="_Toc217446068"/>
      <w:r>
        <w:rPr>
          <w:rFonts w:hint="eastAsia" w:ascii="宋体" w:hAnsi="宋体" w:eastAsia="宋体" w:cs="宋体"/>
          <w:b/>
          <w:bCs/>
          <w:color w:val="auto"/>
          <w:sz w:val="24"/>
          <w:szCs w:val="24"/>
          <w:highlight w:val="none"/>
        </w:rPr>
        <w:t>27. 履约保证金</w:t>
      </w:r>
      <w:bookmarkEnd w:id="126"/>
    </w:p>
    <w:p w14:paraId="53B006F3">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履约保证金金额：</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w:t>
      </w:r>
    </w:p>
    <w:p w14:paraId="5EF97FB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提交履约保证金的时间：中标人应于中标通知书发出之日起7个工作日内；</w:t>
      </w:r>
    </w:p>
    <w:p w14:paraId="745D433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履约保证金有效期：自履约保证金交付之日至货物验收合格，合同约定的全部货物验收合格后，采购人应在7个工作日内无息退还保证金；</w:t>
      </w:r>
    </w:p>
    <w:p w14:paraId="6E7CF8B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履约保证金提交方式：履约保证金应当以支票、汇票、本票或者金融机构、担保机构出具的保函等非现金形式提交。</w:t>
      </w:r>
    </w:p>
    <w:p w14:paraId="6D49981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不予退还情形：</w:t>
      </w:r>
    </w:p>
    <w:p w14:paraId="706D4A7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中标人出现以下行为时，采购人有权没收全部或部分履约保证金：</w:t>
      </w:r>
    </w:p>
    <w:p w14:paraId="4CD50B3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无正当理由放弃中标/拒绝按照中标结果签订合同或不履行合同义务；</w:t>
      </w:r>
    </w:p>
    <w:p w14:paraId="5CFF8DD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未按合同约定完成服务或交付标的，经整改仍不合格；</w:t>
      </w:r>
    </w:p>
    <w:p w14:paraId="0FC550F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擅自转包、分包或改变合同实质性内容；</w:t>
      </w:r>
    </w:p>
    <w:p w14:paraId="2890EE5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(4) 存在弄虚作假、围标串标等违法违规行为。 </w:t>
      </w:r>
    </w:p>
    <w:p w14:paraId="331DB9F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7" w:name="_Toc217446069"/>
      <w:r>
        <w:rPr>
          <w:rFonts w:hint="eastAsia" w:ascii="宋体" w:hAnsi="宋体" w:eastAsia="宋体" w:cs="宋体"/>
          <w:color w:val="auto"/>
          <w:sz w:val="24"/>
          <w:szCs w:val="24"/>
          <w:highlight w:val="none"/>
        </w:rPr>
        <w:t>28. 履行合同</w:t>
      </w:r>
      <w:bookmarkEnd w:id="127"/>
    </w:p>
    <w:p w14:paraId="250A9C8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中标人与采购人签订合同后，合同双方应严格执行合同条款，履行合同规定的义务，保证合同的顺利完成。</w:t>
      </w:r>
    </w:p>
    <w:p w14:paraId="59FDD55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在合同履行过程中，如发生合同纠纷，合同双方应按照《中华人民共和国民法典》的有关规定进行处理。</w:t>
      </w:r>
    </w:p>
    <w:p w14:paraId="6C47C4B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8" w:name="_Toc217446070"/>
      <w:r>
        <w:rPr>
          <w:rFonts w:hint="eastAsia" w:ascii="宋体" w:hAnsi="宋体" w:eastAsia="宋体" w:cs="宋体"/>
          <w:color w:val="auto"/>
          <w:sz w:val="24"/>
          <w:szCs w:val="24"/>
          <w:highlight w:val="none"/>
        </w:rPr>
        <w:t>29. 验收</w:t>
      </w:r>
      <w:bookmarkEnd w:id="128"/>
    </w:p>
    <w:p w14:paraId="5F6DE01D">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bookmarkStart w:id="129" w:name="_Toc217446071"/>
      <w:r>
        <w:rPr>
          <w:rFonts w:hint="eastAsia" w:ascii="宋体" w:hAnsi="宋体" w:eastAsia="宋体" w:cs="宋体"/>
          <w:color w:val="auto"/>
          <w:sz w:val="24"/>
          <w:szCs w:val="24"/>
          <w:highlight w:val="none"/>
        </w:rPr>
        <w:t>中标人与采购人应严格按照国家财政部《关于进一步加强政府采购需求和履约验收管理的指导意见》（</w:t>
      </w:r>
      <w:r>
        <w:rPr>
          <w:rFonts w:hint="eastAsia" w:ascii="宋体" w:hAnsi="宋体" w:eastAsia="宋体" w:cs="宋体"/>
          <w:color w:val="auto"/>
          <w:sz w:val="24"/>
          <w:szCs w:val="24"/>
          <w:highlight w:val="none"/>
          <w:shd w:val="clear" w:color="auto" w:fill="FFFFFF"/>
        </w:rPr>
        <w:t>财库〔2016〕205号</w:t>
      </w:r>
      <w:r>
        <w:rPr>
          <w:rFonts w:hint="eastAsia" w:ascii="宋体" w:hAnsi="宋体" w:eastAsia="宋体" w:cs="宋体"/>
          <w:color w:val="auto"/>
          <w:sz w:val="24"/>
          <w:szCs w:val="24"/>
          <w:highlight w:val="none"/>
        </w:rPr>
        <w:t>）的要求进行验收。</w:t>
      </w:r>
    </w:p>
    <w:bookmarkEnd w:id="121"/>
    <w:bookmarkEnd w:id="122"/>
    <w:bookmarkEnd w:id="129"/>
    <w:p w14:paraId="2635663E">
      <w:pPr>
        <w:pStyle w:val="4"/>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auto"/>
          <w:sz w:val="24"/>
          <w:szCs w:val="24"/>
          <w:highlight w:val="none"/>
        </w:rPr>
      </w:pPr>
      <w:bookmarkStart w:id="130" w:name="_Toc217446074"/>
      <w:bookmarkStart w:id="131" w:name="_Toc183582243"/>
      <w:bookmarkStart w:id="132" w:name="_Toc183682380"/>
      <w:r>
        <w:rPr>
          <w:rFonts w:hint="eastAsia" w:ascii="宋体" w:hAnsi="宋体" w:eastAsia="宋体" w:cs="宋体"/>
          <w:color w:val="auto"/>
          <w:sz w:val="24"/>
          <w:szCs w:val="24"/>
          <w:highlight w:val="none"/>
        </w:rPr>
        <w:t>七、投标纪律要求</w:t>
      </w:r>
      <w:bookmarkEnd w:id="130"/>
    </w:p>
    <w:p w14:paraId="211D6D8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33" w:name="_Toc217446075"/>
      <w:r>
        <w:rPr>
          <w:rFonts w:hint="eastAsia" w:ascii="宋体" w:hAnsi="宋体" w:eastAsia="宋体" w:cs="宋体"/>
          <w:color w:val="auto"/>
          <w:sz w:val="24"/>
          <w:szCs w:val="24"/>
          <w:highlight w:val="none"/>
        </w:rPr>
        <w:t>30. 投标人不得具有的情形</w:t>
      </w:r>
      <w:bookmarkEnd w:id="133"/>
    </w:p>
    <w:p w14:paraId="71EDBF8E">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投标人参加投标不得有下列情形：</w:t>
      </w:r>
    </w:p>
    <w:p w14:paraId="4AC5CF8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w:t>
      </w:r>
    </w:p>
    <w:p w14:paraId="26FBDDA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（2）采取不正当手段诋毁、排挤其他投标人；</w:t>
      </w:r>
    </w:p>
    <w:p w14:paraId="76C3532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（3）与采购人、其他投标人恶意串通；</w:t>
      </w:r>
    </w:p>
    <w:p w14:paraId="5A542593">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（4）向采购人、评标委员会成员行贿或者提供其他不正当利益；</w:t>
      </w:r>
    </w:p>
    <w:p w14:paraId="6498F13E">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（5）在招标过程中与采购人进行协商谈判；</w:t>
      </w:r>
    </w:p>
    <w:p w14:paraId="4DEBEAC4">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（6）拒绝有关部门的监督检查或者向监督检查部门提供虚假情况。</w:t>
      </w:r>
    </w:p>
    <w:p w14:paraId="407530DA">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有上述情形之一的投标人，属于不合格投标人，其投标或中标资格将被取消。</w:t>
      </w:r>
    </w:p>
    <w:p w14:paraId="26C7712E">
      <w:pPr>
        <w:pStyle w:val="4"/>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b w:val="0"/>
          <w:bCs w:val="0"/>
          <w:color w:val="auto"/>
          <w:sz w:val="24"/>
          <w:szCs w:val="24"/>
          <w:highlight w:val="none"/>
        </w:rPr>
      </w:pPr>
      <w:bookmarkStart w:id="134" w:name="_Toc217446076"/>
      <w:r>
        <w:rPr>
          <w:rFonts w:hint="eastAsia" w:ascii="宋体" w:hAnsi="宋体" w:eastAsia="宋体" w:cs="宋体"/>
          <w:color w:val="auto"/>
          <w:sz w:val="24"/>
          <w:szCs w:val="24"/>
          <w:highlight w:val="none"/>
        </w:rPr>
        <w:t>八、</w:t>
      </w:r>
      <w:bookmarkEnd w:id="134"/>
      <w:r>
        <w:rPr>
          <w:rFonts w:hint="eastAsia" w:ascii="宋体" w:hAnsi="宋体" w:eastAsia="宋体" w:cs="宋体"/>
          <w:color w:val="auto"/>
          <w:sz w:val="24"/>
          <w:szCs w:val="24"/>
          <w:highlight w:val="none"/>
        </w:rPr>
        <w:t>合同价款支付</w:t>
      </w:r>
    </w:p>
    <w:p w14:paraId="616FE5C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35" w:name="_Toc217446077"/>
      <w:r>
        <w:rPr>
          <w:rFonts w:hint="eastAsia" w:ascii="宋体" w:hAnsi="宋体" w:eastAsia="宋体" w:cs="宋体"/>
          <w:color w:val="auto"/>
          <w:sz w:val="24"/>
          <w:szCs w:val="24"/>
          <w:highlight w:val="none"/>
        </w:rPr>
        <w:t>31. 申请支付</w:t>
      </w:r>
      <w:bookmarkEnd w:id="135"/>
    </w:p>
    <w:p w14:paraId="08B12EB1">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31.1招标项目验收合格，采购人签署《验收结算书》后，向财政部门提出支付申请。采购人的自有资金，由采购人直接支付给中标人或者按照有关合同规定执行。</w:t>
      </w:r>
    </w:p>
    <w:p w14:paraId="2B75CFB3">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财政部门根据采购人的支付申请，并对采购合同进行审核后，直接支付给中标人。</w:t>
      </w:r>
      <w:bookmarkStart w:id="136" w:name="_Toc217446078"/>
    </w:p>
    <w:p w14:paraId="154D0B35">
      <w:pPr>
        <w:pStyle w:val="4"/>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九、质疑和投诉</w:t>
      </w:r>
      <w:bookmarkEnd w:id="136"/>
      <w:bookmarkStart w:id="137" w:name="_Toc217446079"/>
    </w:p>
    <w:p w14:paraId="756E7EB7">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137"/>
      <w:r>
        <w:rPr>
          <w:rFonts w:hint="eastAsia" w:ascii="宋体" w:hAnsi="宋体" w:eastAsia="宋体" w:cs="宋体"/>
          <w:color w:val="auto"/>
          <w:sz w:val="24"/>
          <w:szCs w:val="24"/>
          <w:highlight w:val="none"/>
        </w:rPr>
        <w:t>2．质疑、投诉的接收和处理严格按照《中华人共和国政府采购法</w:t>
      </w:r>
      <w:bookmarkEnd w:id="131"/>
      <w:bookmarkEnd w:id="132"/>
      <w:r>
        <w:rPr>
          <w:rFonts w:hint="eastAsia" w:ascii="宋体" w:hAnsi="宋体" w:eastAsia="宋体" w:cs="宋体"/>
          <w:color w:val="auto"/>
          <w:sz w:val="24"/>
          <w:szCs w:val="24"/>
          <w:highlight w:val="none"/>
        </w:rPr>
        <w:t>》、《政府采购质疑和投诉办法》、《财政部关于加强政府采购投标人投诉受理审查工作的通知》的规定办理。</w:t>
      </w:r>
    </w:p>
    <w:p w14:paraId="65B68686">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32.1投标人认为</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69B0C7B2">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32.2潜在投标人已依法获取其可质疑的</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的，可以对该文件提出质疑。对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提出质疑的，应当在获取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公告期限届满之日起7个工作日内提出。</w:t>
      </w:r>
    </w:p>
    <w:p w14:paraId="37CC7B04">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371EBDF">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代理人提出质疑和投诉，应当提交投标人签署的授权委托书。</w:t>
      </w:r>
    </w:p>
    <w:p w14:paraId="608DD876">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32.4投标人提出质疑应当提交质疑函和必要的证明材料。质疑函应当包括下列内容：</w:t>
      </w:r>
    </w:p>
    <w:p w14:paraId="3FED25BA">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（一）投标人的姓名或者名称、地址、邮编、联系人及联系电话；</w:t>
      </w:r>
    </w:p>
    <w:p w14:paraId="14DF01A2">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4A541D82">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6266837E">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0458B99F">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61988DC8">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687A85C0">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投标人为自然人的，应当由本人签字；投标人为法人或者其他组织的，应当由法定代表人、主要负责人或者其被授权人签字或盖章，并加盖公章。</w:t>
      </w:r>
    </w:p>
    <w:p w14:paraId="6582845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接收质疑函的方式：书面形式</w:t>
      </w:r>
    </w:p>
    <w:p w14:paraId="2E933FBB">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联系部门：新疆拓源工程管理咨询有限公司招标部</w:t>
      </w:r>
    </w:p>
    <w:p w14:paraId="4698A856">
      <w:pPr>
        <w:pStyle w:val="8"/>
        <w:pageBreakBefore w:val="0"/>
        <w:widowControl w:val="0"/>
        <w:kinsoku/>
        <w:wordWrap/>
        <w:overflowPunct/>
        <w:topLinePunct w:val="0"/>
        <w:autoSpaceDE/>
        <w:autoSpaceDN/>
        <w:bidi w:val="0"/>
        <w:adjustRightInd/>
        <w:spacing w:line="480" w:lineRule="exact"/>
        <w:ind w:firstLine="480"/>
        <w:textAlignment w:val="auto"/>
        <w:rPr>
          <w:rStyle w:val="41"/>
          <w:rFonts w:hint="eastAsia" w:ascii="宋体" w:hAnsi="宋体"/>
          <w:bCs/>
          <w:color w:val="auto"/>
          <w:sz w:val="24"/>
          <w:highlight w:val="none"/>
        </w:rPr>
      </w:pPr>
      <w:r>
        <w:rPr>
          <w:rFonts w:hint="eastAsia" w:ascii="宋体" w:hAnsi="宋体" w:eastAsia="宋体" w:cs="宋体"/>
          <w:color w:val="auto"/>
          <w:sz w:val="24"/>
          <w:szCs w:val="24"/>
          <w:highlight w:val="none"/>
        </w:rPr>
        <w:t>联系人及联系电话：</w:t>
      </w:r>
      <w:r>
        <w:rPr>
          <w:rFonts w:hint="eastAsia" w:ascii="宋体" w:hAnsi="宋体" w:cs="宋体"/>
          <w:color w:val="auto"/>
          <w:sz w:val="24"/>
          <w:szCs w:val="24"/>
          <w:highlight w:val="none"/>
          <w:lang w:eastAsia="zh-CN"/>
        </w:rPr>
        <w:t>田释月、王梦捷</w:t>
      </w:r>
      <w:r>
        <w:rPr>
          <w:rStyle w:val="41"/>
          <w:rFonts w:hint="eastAsia" w:ascii="宋体" w:hAnsi="宋体"/>
          <w:bCs/>
          <w:color w:val="auto"/>
          <w:sz w:val="24"/>
          <w:highlight w:val="none"/>
          <w:lang w:val="en-US" w:eastAsia="zh-CN"/>
        </w:rPr>
        <w:t>13009690616、18096940710</w:t>
      </w:r>
    </w:p>
    <w:p w14:paraId="5045CBCC">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通讯地址：乌鲁木齐市水磨沟区龙盛街898号万科中央公园S6栋5层</w:t>
      </w:r>
    </w:p>
    <w:p w14:paraId="6B367E61">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32.5质疑投标人对采购人、采购代理机构的答复不满意，或者采购人、采购代理机构未在规定时间内作出答复的，可以在答复期满后15个工作日内向本办法第六条规定的财政部门提起投诉。</w:t>
      </w:r>
    </w:p>
    <w:p w14:paraId="6AD3D964">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32.6投诉人投诉时，应当提交投诉书和必要的证明材料，并按照被投诉采购人、采购代理机构（以下简称被投诉人）和与投诉事项有关的投标人数量提供投诉书的副本。投诉书应当包括下列内容：</w:t>
      </w:r>
    </w:p>
    <w:p w14:paraId="0CB217A0">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（一）投诉人和被投诉人的姓名或者名称、通讯地址、邮编、联系人及联系电话；</w:t>
      </w:r>
    </w:p>
    <w:p w14:paraId="284D71AE">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（二）质疑和质疑答复情况说明及相关证明材料；</w:t>
      </w:r>
    </w:p>
    <w:p w14:paraId="66217B1B">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（三）具体、明确的投诉事项和与投诉事项相关的投诉请求；</w:t>
      </w:r>
    </w:p>
    <w:p w14:paraId="4FD415BF">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374C9E3C">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69B8F6F4">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（六）提起投诉的日期。</w:t>
      </w:r>
    </w:p>
    <w:p w14:paraId="0C0DC938">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031F5115">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32.7投诉人应当根据《政府采购质疑和投诉办法》第七条第二款规定的信息内容，并按照其规定的方式提起投诉。</w:t>
      </w:r>
    </w:p>
    <w:p w14:paraId="1FA0FA97">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投诉人提起投诉应当符合下列条件：</w:t>
      </w:r>
    </w:p>
    <w:p w14:paraId="7FD0BEA4">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（一）提起投诉前已依法进行质疑；</w:t>
      </w:r>
    </w:p>
    <w:p w14:paraId="66A698F1">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（二）投诉书内容符合本办法的规定；</w:t>
      </w:r>
    </w:p>
    <w:p w14:paraId="06FDFB12">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（三）在投诉有效期限内提起投诉；</w:t>
      </w:r>
    </w:p>
    <w:p w14:paraId="012DE169">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（四）同一投诉事项未经财政部门投诉处理；</w:t>
      </w:r>
    </w:p>
    <w:p w14:paraId="5C8E3DDA">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（五）财政部规定的其他条件。</w:t>
      </w:r>
    </w:p>
    <w:p w14:paraId="51FFD4AC">
      <w:pPr>
        <w:pStyle w:val="30"/>
        <w:rPr>
          <w:rFonts w:hint="eastAsia" w:ascii="宋体" w:hAnsi="宋体" w:eastAsia="宋体" w:cs="宋体"/>
          <w:color w:val="auto"/>
          <w:sz w:val="24"/>
          <w:szCs w:val="24"/>
          <w:highlight w:val="none"/>
        </w:rPr>
      </w:pPr>
    </w:p>
    <w:p w14:paraId="3B763401">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质疑函范本</w:t>
      </w:r>
    </w:p>
    <w:p w14:paraId="7A355F17">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bCs/>
          <w:color w:val="auto"/>
          <w:sz w:val="24"/>
          <w:szCs w:val="24"/>
          <w:highlight w:val="none"/>
        </w:rPr>
        <w:t>基本信息</w:t>
      </w:r>
    </w:p>
    <w:p w14:paraId="6C203946">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dotted"/>
        </w:rPr>
        <w:t xml:space="preserve">                                        </w:t>
      </w:r>
    </w:p>
    <w:p w14:paraId="1618DD47">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09AEA89">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1C80814">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dotted"/>
        </w:rPr>
        <w:t xml:space="preserve">                                          </w:t>
      </w:r>
    </w:p>
    <w:p w14:paraId="69A71014">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B17D905">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EE5FE7E">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61FFB749">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30503C24">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7D6551CB">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53725F93">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获取日期：</w:t>
      </w:r>
      <w:r>
        <w:rPr>
          <w:rFonts w:hint="eastAsia" w:ascii="宋体" w:hAnsi="宋体" w:eastAsia="宋体" w:cs="宋体"/>
          <w:color w:val="auto"/>
          <w:sz w:val="24"/>
          <w:szCs w:val="24"/>
          <w:highlight w:val="none"/>
          <w:u w:val="dotted"/>
        </w:rPr>
        <w:t xml:space="preserve">                                           </w:t>
      </w:r>
    </w:p>
    <w:p w14:paraId="337D794C">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AD0BCF9">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2A2E1C0C">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5DA85BBC">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48579413">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20794502">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FB7AD9C">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51859C22">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0D115CE">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5A4FF277">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CDE4CE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02CD461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CEC6A6E">
      <w:pPr>
        <w:adjustRightInd w:val="0"/>
        <w:snapToGrid w:val="0"/>
        <w:spacing w:line="500" w:lineRule="exact"/>
        <w:ind w:firstLine="480" w:firstLineChars="200"/>
        <w:rPr>
          <w:rFonts w:hint="eastAsia" w:ascii="宋体" w:hAnsi="宋体" w:eastAsia="宋体" w:cs="宋体"/>
          <w:color w:val="auto"/>
          <w:sz w:val="24"/>
          <w:szCs w:val="24"/>
          <w:highlight w:val="none"/>
        </w:rPr>
      </w:pPr>
    </w:p>
    <w:p w14:paraId="4FA6AD37">
      <w:pPr>
        <w:spacing w:line="500" w:lineRule="exact"/>
        <w:ind w:firstLine="482" w:firstLineChars="200"/>
        <w:jc w:val="center"/>
        <w:rPr>
          <w:rFonts w:hint="eastAsia" w:ascii="宋体" w:hAnsi="宋体" w:eastAsia="宋体" w:cs="宋体"/>
          <w:b/>
          <w:bCs/>
          <w:color w:val="auto"/>
          <w:sz w:val="24"/>
          <w:szCs w:val="24"/>
          <w:highlight w:val="none"/>
        </w:rPr>
      </w:pPr>
    </w:p>
    <w:p w14:paraId="620FA1DC">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632D2ACA">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提出质疑时，应提交质疑函和必要的证明材料。</w:t>
      </w:r>
    </w:p>
    <w:p w14:paraId="14AAC342">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若委托代理人进行质疑的，质疑函应按要求列明“被授权人”的有关内容，并在附件中提交由质疑</w:t>
      </w:r>
      <w:r>
        <w:rPr>
          <w:rFonts w:hint="eastAsia" w:ascii="宋体" w:hAnsi="宋体" w:eastAsia="宋体" w:cs="宋体"/>
          <w:color w:val="auto"/>
          <w:kern w:val="0"/>
          <w:sz w:val="24"/>
          <w:szCs w:val="24"/>
          <w:highlight w:val="none"/>
        </w:rPr>
        <w:t>投标人签署的授权委托书。授权委托书应载明代理人的姓名或者名称、代理事项、具体权限、期限和相关事项。</w:t>
      </w:r>
    </w:p>
    <w:p w14:paraId="085952AF">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若对项目的某一分包进行质疑，质疑函中应列明具体分包号。</w:t>
      </w:r>
    </w:p>
    <w:p w14:paraId="7B62E96F">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48770359">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10CDDC72">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为自然人的，质疑函应由本人签字；质疑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为法人或者其他组织的，质疑函应由法定代表人、主要负责人或者其被授权人签字或者盖章，并加盖公章。</w:t>
      </w:r>
    </w:p>
    <w:p w14:paraId="04ED3734">
      <w:pPr>
        <w:pStyle w:val="30"/>
        <w:rPr>
          <w:rFonts w:hint="eastAsia" w:ascii="宋体" w:hAnsi="宋体" w:eastAsia="宋体" w:cs="宋体"/>
          <w:color w:val="auto"/>
          <w:sz w:val="24"/>
          <w:szCs w:val="24"/>
          <w:highlight w:val="none"/>
        </w:rPr>
      </w:pPr>
    </w:p>
    <w:p w14:paraId="3367FD7A">
      <w:pPr>
        <w:pStyle w:val="30"/>
        <w:rPr>
          <w:rFonts w:hint="eastAsia" w:ascii="宋体" w:hAnsi="宋体" w:eastAsia="宋体" w:cs="宋体"/>
          <w:color w:val="auto"/>
          <w:sz w:val="24"/>
          <w:szCs w:val="24"/>
          <w:highlight w:val="none"/>
        </w:rPr>
      </w:pPr>
    </w:p>
    <w:p w14:paraId="7FEFA58F">
      <w:pPr>
        <w:pStyle w:val="8"/>
        <w:spacing w:line="500" w:lineRule="exact"/>
        <w:ind w:firstLine="480"/>
        <w:rPr>
          <w:rFonts w:hint="eastAsia" w:ascii="宋体" w:hAnsi="宋体" w:eastAsia="宋体" w:cs="宋体"/>
          <w:color w:val="auto"/>
          <w:sz w:val="24"/>
          <w:szCs w:val="24"/>
          <w:highlight w:val="none"/>
        </w:rPr>
      </w:pPr>
    </w:p>
    <w:p w14:paraId="701676DB">
      <w:pPr>
        <w:pStyle w:val="4"/>
        <w:bidi w:val="0"/>
        <w:jc w:val="center"/>
        <w:outlineLvl w:val="0"/>
        <w:rPr>
          <w:rFonts w:hint="eastAsia"/>
          <w:color w:val="auto"/>
          <w:highlight w:val="none"/>
        </w:rPr>
      </w:pPr>
      <w:r>
        <w:rPr>
          <w:rFonts w:hint="eastAsia" w:ascii="宋体" w:hAnsi="宋体" w:eastAsia="宋体" w:cs="宋体"/>
          <w:color w:val="auto"/>
          <w:szCs w:val="24"/>
          <w:highlight w:val="none"/>
        </w:rPr>
        <w:br w:type="page"/>
      </w:r>
      <w:bookmarkStart w:id="138" w:name="_Toc12260"/>
      <w:bookmarkStart w:id="139" w:name="_Toc21780"/>
      <w:bookmarkStart w:id="140" w:name="_Toc5850_WPSOffice_Level1"/>
      <w:r>
        <w:rPr>
          <w:rFonts w:hint="eastAsia"/>
          <w:color w:val="auto"/>
          <w:highlight w:val="none"/>
        </w:rPr>
        <w:t>第三章  投标文件格式</w:t>
      </w:r>
      <w:bookmarkEnd w:id="138"/>
      <w:bookmarkEnd w:id="139"/>
      <w:bookmarkEnd w:id="140"/>
    </w:p>
    <w:p w14:paraId="0A89863F">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投标文件封面示例</w:t>
      </w:r>
    </w:p>
    <w:p w14:paraId="613A53DC">
      <w:pPr>
        <w:spacing w:line="460" w:lineRule="exact"/>
        <w:rPr>
          <w:rFonts w:hint="eastAsia" w:ascii="宋体" w:hAnsi="宋体" w:eastAsia="宋体" w:cs="宋体"/>
          <w:b/>
          <w:color w:val="auto"/>
          <w:sz w:val="24"/>
          <w:szCs w:val="24"/>
          <w:highlight w:val="none"/>
        </w:rPr>
      </w:pPr>
    </w:p>
    <w:p w14:paraId="1625D720">
      <w:pPr>
        <w:spacing w:line="460" w:lineRule="exact"/>
        <w:jc w:val="center"/>
        <w:rPr>
          <w:rFonts w:hint="eastAsia" w:ascii="宋体" w:hAnsi="宋体" w:eastAsia="宋体" w:cs="宋体"/>
          <w:b/>
          <w:color w:val="auto"/>
          <w:sz w:val="24"/>
          <w:szCs w:val="24"/>
          <w:highlight w:val="none"/>
        </w:rPr>
      </w:pPr>
    </w:p>
    <w:p w14:paraId="4F2A244A">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w:t>
      </w:r>
    </w:p>
    <w:p w14:paraId="52A3106C">
      <w:pPr>
        <w:spacing w:line="460" w:lineRule="exact"/>
        <w:rPr>
          <w:rFonts w:hint="eastAsia" w:ascii="宋体" w:hAnsi="宋体" w:eastAsia="宋体" w:cs="宋体"/>
          <w:b/>
          <w:color w:val="auto"/>
          <w:sz w:val="24"/>
          <w:szCs w:val="24"/>
          <w:highlight w:val="none"/>
        </w:rPr>
      </w:pPr>
    </w:p>
    <w:p w14:paraId="2E2B4A7C">
      <w:pPr>
        <w:spacing w:line="460" w:lineRule="exact"/>
        <w:ind w:firstLine="504"/>
        <w:rPr>
          <w:rFonts w:hint="eastAsia" w:ascii="宋体" w:hAnsi="宋体" w:eastAsia="宋体" w:cs="宋体"/>
          <w:b/>
          <w:color w:val="auto"/>
          <w:sz w:val="24"/>
          <w:szCs w:val="24"/>
          <w:highlight w:val="none"/>
        </w:rPr>
      </w:pPr>
    </w:p>
    <w:p w14:paraId="78EF4F68">
      <w:pPr>
        <w:spacing w:line="460" w:lineRule="exact"/>
        <w:ind w:firstLine="504"/>
        <w:rPr>
          <w:rFonts w:hint="eastAsia" w:ascii="宋体" w:hAnsi="宋体" w:eastAsia="宋体" w:cs="宋体"/>
          <w:b/>
          <w:color w:val="auto"/>
          <w:sz w:val="24"/>
          <w:szCs w:val="24"/>
          <w:highlight w:val="none"/>
        </w:rPr>
      </w:pPr>
    </w:p>
    <w:p w14:paraId="6974C923">
      <w:pPr>
        <w:spacing w:line="460" w:lineRule="exact"/>
        <w:ind w:firstLine="504"/>
        <w:rPr>
          <w:rFonts w:hint="eastAsia" w:ascii="宋体" w:hAnsi="宋体" w:eastAsia="宋体" w:cs="宋体"/>
          <w:b/>
          <w:color w:val="auto"/>
          <w:sz w:val="24"/>
          <w:szCs w:val="24"/>
          <w:highlight w:val="none"/>
        </w:rPr>
      </w:pPr>
    </w:p>
    <w:p w14:paraId="0F3AF6CB">
      <w:pPr>
        <w:spacing w:line="460" w:lineRule="exact"/>
        <w:ind w:firstLine="504"/>
        <w:rPr>
          <w:rFonts w:hint="eastAsia" w:ascii="宋体" w:hAnsi="宋体" w:eastAsia="宋体" w:cs="宋体"/>
          <w:b/>
          <w:color w:val="auto"/>
          <w:sz w:val="24"/>
          <w:szCs w:val="24"/>
          <w:highlight w:val="none"/>
        </w:rPr>
      </w:pPr>
    </w:p>
    <w:p w14:paraId="70B79BB5">
      <w:pPr>
        <w:spacing w:line="460" w:lineRule="exact"/>
        <w:ind w:firstLine="504"/>
        <w:rPr>
          <w:rFonts w:hint="eastAsia" w:ascii="宋体" w:hAnsi="宋体" w:eastAsia="宋体" w:cs="宋体"/>
          <w:b/>
          <w:color w:val="auto"/>
          <w:sz w:val="24"/>
          <w:szCs w:val="24"/>
          <w:highlight w:val="none"/>
        </w:rPr>
      </w:pPr>
    </w:p>
    <w:p w14:paraId="2EDBEB50">
      <w:pPr>
        <w:spacing w:line="460" w:lineRule="exact"/>
        <w:rPr>
          <w:rFonts w:hint="eastAsia" w:ascii="宋体" w:hAnsi="宋体" w:eastAsia="宋体" w:cs="宋体"/>
          <w:b/>
          <w:color w:val="auto"/>
          <w:sz w:val="24"/>
          <w:szCs w:val="24"/>
          <w:highlight w:val="none"/>
        </w:rPr>
      </w:pPr>
    </w:p>
    <w:p w14:paraId="6F422C4E">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p w14:paraId="29F57664">
      <w:pPr>
        <w:pStyle w:val="30"/>
        <w:rPr>
          <w:rFonts w:hint="eastAsia" w:ascii="宋体" w:hAnsi="宋体" w:eastAsia="宋体" w:cs="宋体"/>
          <w:color w:val="auto"/>
          <w:sz w:val="24"/>
          <w:szCs w:val="24"/>
          <w:highlight w:val="none"/>
        </w:rPr>
      </w:pPr>
    </w:p>
    <w:p w14:paraId="08821F56">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项目编号：</w:t>
      </w:r>
    </w:p>
    <w:p w14:paraId="7AEE1463">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70837896">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投标人名称（盖章）：</w:t>
      </w:r>
    </w:p>
    <w:p w14:paraId="434699E2">
      <w:pPr>
        <w:spacing w:line="460" w:lineRule="exact"/>
        <w:ind w:firstLine="504"/>
        <w:rPr>
          <w:rFonts w:hint="eastAsia" w:ascii="宋体" w:hAnsi="宋体" w:eastAsia="宋体" w:cs="宋体"/>
          <w:b/>
          <w:color w:val="auto"/>
          <w:sz w:val="24"/>
          <w:szCs w:val="24"/>
          <w:highlight w:val="none"/>
        </w:rPr>
      </w:pPr>
    </w:p>
    <w:p w14:paraId="7ADF884F">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授权人或被授权人（签字或盖章）：</w:t>
      </w:r>
    </w:p>
    <w:p w14:paraId="2560346F">
      <w:pPr>
        <w:spacing w:line="460" w:lineRule="exact"/>
        <w:ind w:firstLine="504"/>
        <w:rPr>
          <w:rFonts w:hint="eastAsia" w:ascii="宋体" w:hAnsi="宋体" w:eastAsia="宋体" w:cs="宋体"/>
          <w:b/>
          <w:color w:val="auto"/>
          <w:sz w:val="24"/>
          <w:szCs w:val="24"/>
          <w:highlight w:val="none"/>
        </w:rPr>
      </w:pPr>
    </w:p>
    <w:p w14:paraId="2F576ABE">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项目联系人： </w:t>
      </w:r>
    </w:p>
    <w:p w14:paraId="552BDD3D">
      <w:pPr>
        <w:spacing w:line="460" w:lineRule="exact"/>
        <w:ind w:firstLine="504"/>
        <w:rPr>
          <w:rFonts w:hint="eastAsia" w:ascii="宋体" w:hAnsi="宋体" w:eastAsia="宋体" w:cs="宋体"/>
          <w:b/>
          <w:color w:val="auto"/>
          <w:sz w:val="24"/>
          <w:szCs w:val="24"/>
          <w:highlight w:val="none"/>
        </w:rPr>
      </w:pPr>
    </w:p>
    <w:p w14:paraId="3BC795BB">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p w14:paraId="672F5551">
      <w:pPr>
        <w:spacing w:line="460" w:lineRule="exact"/>
        <w:ind w:firstLine="504"/>
        <w:rPr>
          <w:rFonts w:hint="eastAsia" w:ascii="宋体" w:hAnsi="宋体" w:eastAsia="宋体" w:cs="宋体"/>
          <w:b/>
          <w:color w:val="auto"/>
          <w:sz w:val="24"/>
          <w:szCs w:val="24"/>
          <w:highlight w:val="none"/>
        </w:rPr>
      </w:pPr>
    </w:p>
    <w:p w14:paraId="24B2B330">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编制时间：</w:t>
      </w:r>
    </w:p>
    <w:p w14:paraId="7D96E2F7">
      <w:pPr>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目录</w:t>
      </w:r>
    </w:p>
    <w:p w14:paraId="3AF9F057">
      <w:pPr>
        <w:tabs>
          <w:tab w:val="left" w:pos="3480"/>
        </w:tabs>
        <w:spacing w:line="500" w:lineRule="exact"/>
        <w:ind w:firstLine="480" w:firstLineChars="200"/>
        <w:rPr>
          <w:rFonts w:hint="eastAsia" w:ascii="宋体" w:hAnsi="宋体" w:eastAsia="宋体" w:cs="宋体"/>
          <w:color w:val="auto"/>
          <w:sz w:val="24"/>
          <w:szCs w:val="24"/>
          <w:highlight w:val="none"/>
        </w:rPr>
      </w:pPr>
      <w:bookmarkStart w:id="141" w:name="_Toc217446082"/>
    </w:p>
    <w:p w14:paraId="7C61B65D">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w:t>
      </w:r>
    </w:p>
    <w:p w14:paraId="4884E2EC">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二、身份证明书及授权委托书</w:t>
      </w:r>
    </w:p>
    <w:p w14:paraId="07557E49">
      <w:pPr>
        <w:tabs>
          <w:tab w:val="left" w:pos="3480"/>
        </w:tabs>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三、开标一览表</w:t>
      </w:r>
    </w:p>
    <w:p w14:paraId="2CFC19AF">
      <w:pPr>
        <w:tabs>
          <w:tab w:val="left" w:pos="3480"/>
        </w:tabs>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四、明细报价表</w:t>
      </w:r>
    </w:p>
    <w:p w14:paraId="168A90FF">
      <w:pPr>
        <w:tabs>
          <w:tab w:val="left" w:pos="3480"/>
        </w:tabs>
        <w:spacing w:line="5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五、供应商具备投标资格的证明文件</w:t>
      </w:r>
    </w:p>
    <w:p w14:paraId="6F0EF17A">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、投标人类似项目业绩一览表</w:t>
      </w:r>
    </w:p>
    <w:p w14:paraId="11B4D2DF">
      <w:pPr>
        <w:tabs>
          <w:tab w:val="left" w:pos="3480"/>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技术规格、参数响应/偏离表</w:t>
      </w:r>
    </w:p>
    <w:p w14:paraId="6F211E83">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项目实施</w:t>
      </w:r>
      <w:r>
        <w:rPr>
          <w:rFonts w:hint="eastAsia" w:ascii="宋体" w:hAnsi="宋体" w:eastAsia="宋体" w:cs="宋体"/>
          <w:color w:val="auto"/>
          <w:sz w:val="24"/>
          <w:szCs w:val="24"/>
          <w:highlight w:val="none"/>
        </w:rPr>
        <w:t>方案</w:t>
      </w:r>
    </w:p>
    <w:p w14:paraId="617A033D">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项目设计</w:t>
      </w:r>
      <w:r>
        <w:rPr>
          <w:rFonts w:hint="eastAsia" w:ascii="宋体" w:hAnsi="宋体" w:eastAsia="宋体" w:cs="宋体"/>
          <w:color w:val="auto"/>
          <w:sz w:val="24"/>
          <w:szCs w:val="24"/>
          <w:highlight w:val="none"/>
        </w:rPr>
        <w:t>方案</w:t>
      </w:r>
    </w:p>
    <w:p w14:paraId="1C1C5200">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十</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售后服务</w:t>
      </w:r>
      <w:r>
        <w:rPr>
          <w:rFonts w:hint="eastAsia" w:ascii="宋体" w:hAnsi="宋体" w:eastAsia="宋体" w:cs="宋体"/>
          <w:color w:val="auto"/>
          <w:sz w:val="24"/>
          <w:szCs w:val="24"/>
          <w:highlight w:val="none"/>
        </w:rPr>
        <w:t>方案</w:t>
      </w:r>
    </w:p>
    <w:p w14:paraId="00900B8C">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十一</w:t>
      </w:r>
      <w:r>
        <w:rPr>
          <w:rFonts w:hint="eastAsia" w:ascii="宋体" w:hAnsi="宋体" w:eastAsia="宋体" w:cs="宋体"/>
          <w:color w:val="auto"/>
          <w:sz w:val="24"/>
          <w:szCs w:val="24"/>
          <w:highlight w:val="none"/>
        </w:rPr>
        <w:t>、投标人认为需要提供的其他文件和资料</w:t>
      </w:r>
    </w:p>
    <w:p w14:paraId="71DD0C85">
      <w:pPr>
        <w:tabs>
          <w:tab w:val="left" w:pos="3480"/>
        </w:tabs>
        <w:spacing w:line="500" w:lineRule="exact"/>
        <w:ind w:firstLine="480" w:firstLineChars="200"/>
        <w:rPr>
          <w:rFonts w:hint="eastAsia" w:ascii="宋体" w:hAnsi="宋体" w:eastAsia="宋体" w:cs="宋体"/>
          <w:color w:val="auto"/>
          <w:sz w:val="24"/>
          <w:szCs w:val="24"/>
          <w:highlight w:val="none"/>
        </w:rPr>
      </w:pPr>
    </w:p>
    <w:p w14:paraId="5F1313E3">
      <w:pPr>
        <w:pStyle w:val="8"/>
        <w:spacing w:line="500" w:lineRule="exact"/>
        <w:ind w:firstLine="480"/>
        <w:rPr>
          <w:rFonts w:hint="eastAsia" w:ascii="宋体" w:hAnsi="宋体" w:eastAsia="宋体" w:cs="宋体"/>
          <w:color w:val="auto"/>
          <w:sz w:val="24"/>
          <w:szCs w:val="24"/>
          <w:highlight w:val="none"/>
        </w:rPr>
      </w:pPr>
    </w:p>
    <w:p w14:paraId="5CC3242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：投标人应按以上目录顺序编排投标文件，并标注相应页码。）</w:t>
      </w:r>
    </w:p>
    <w:p w14:paraId="362A2039">
      <w:pPr>
        <w:rPr>
          <w:rFonts w:hint="eastAsia" w:ascii="宋体" w:hAnsi="宋体" w:eastAsia="宋体" w:cs="宋体"/>
          <w:color w:val="auto"/>
          <w:sz w:val="24"/>
          <w:szCs w:val="24"/>
          <w:highlight w:val="none"/>
        </w:rPr>
      </w:pPr>
    </w:p>
    <w:p w14:paraId="05D199F0">
      <w:pPr>
        <w:pStyle w:val="30"/>
        <w:rPr>
          <w:rFonts w:hint="eastAsia" w:ascii="宋体" w:hAnsi="宋体" w:eastAsia="宋体" w:cs="宋体"/>
          <w:color w:val="auto"/>
          <w:sz w:val="24"/>
          <w:szCs w:val="24"/>
          <w:highlight w:val="none"/>
        </w:rPr>
      </w:pPr>
    </w:p>
    <w:p w14:paraId="14DE5039">
      <w:pPr>
        <w:rPr>
          <w:rFonts w:hint="eastAsia" w:ascii="宋体" w:hAnsi="宋体" w:eastAsia="宋体" w:cs="宋体"/>
          <w:color w:val="auto"/>
          <w:sz w:val="24"/>
          <w:szCs w:val="24"/>
          <w:highlight w:val="none"/>
        </w:rPr>
      </w:pPr>
    </w:p>
    <w:p w14:paraId="3D30DD11">
      <w:pPr>
        <w:pStyle w:val="30"/>
        <w:rPr>
          <w:rFonts w:hint="eastAsia" w:ascii="宋体" w:hAnsi="宋体" w:eastAsia="宋体" w:cs="宋体"/>
          <w:color w:val="auto"/>
          <w:sz w:val="24"/>
          <w:szCs w:val="24"/>
          <w:highlight w:val="none"/>
        </w:rPr>
      </w:pPr>
    </w:p>
    <w:p w14:paraId="1C988A2A">
      <w:pPr>
        <w:rPr>
          <w:rFonts w:hint="eastAsia" w:ascii="宋体" w:hAnsi="宋体" w:eastAsia="宋体" w:cs="宋体"/>
          <w:color w:val="auto"/>
          <w:sz w:val="24"/>
          <w:szCs w:val="24"/>
          <w:highlight w:val="none"/>
        </w:rPr>
      </w:pPr>
    </w:p>
    <w:p w14:paraId="30172F69">
      <w:pPr>
        <w:spacing w:line="500" w:lineRule="exact"/>
        <w:rPr>
          <w:rFonts w:hint="eastAsia" w:ascii="宋体" w:hAnsi="宋体" w:eastAsia="宋体" w:cs="宋体"/>
          <w:color w:val="auto"/>
          <w:sz w:val="24"/>
          <w:szCs w:val="24"/>
          <w:highlight w:val="none"/>
        </w:rPr>
      </w:pPr>
    </w:p>
    <w:p w14:paraId="541E9687">
      <w:pPr>
        <w:spacing w:line="500" w:lineRule="exact"/>
        <w:jc w:val="center"/>
        <w:rPr>
          <w:rFonts w:hint="eastAsia" w:ascii="宋体" w:hAnsi="宋体" w:eastAsia="宋体" w:cs="宋体"/>
          <w:color w:val="auto"/>
          <w:sz w:val="24"/>
          <w:szCs w:val="24"/>
          <w:highlight w:val="none"/>
        </w:rPr>
      </w:pPr>
    </w:p>
    <w:p w14:paraId="22A49DDE">
      <w:pPr>
        <w:rPr>
          <w:rFonts w:hint="eastAsia" w:ascii="宋体" w:hAnsi="宋体" w:eastAsia="宋体" w:cs="宋体"/>
          <w:color w:val="auto"/>
          <w:sz w:val="24"/>
          <w:szCs w:val="24"/>
          <w:highlight w:val="none"/>
        </w:rPr>
      </w:pPr>
    </w:p>
    <w:p w14:paraId="19061B94">
      <w:pPr>
        <w:pStyle w:val="30"/>
        <w:rPr>
          <w:rFonts w:hint="eastAsia" w:ascii="宋体" w:hAnsi="宋体" w:eastAsia="宋体" w:cs="宋体"/>
          <w:color w:val="auto"/>
          <w:sz w:val="24"/>
          <w:szCs w:val="24"/>
          <w:highlight w:val="none"/>
        </w:rPr>
      </w:pPr>
    </w:p>
    <w:p w14:paraId="55315646">
      <w:pPr>
        <w:rPr>
          <w:rFonts w:hint="eastAsia" w:ascii="宋体" w:hAnsi="宋体" w:eastAsia="宋体" w:cs="宋体"/>
          <w:color w:val="auto"/>
          <w:sz w:val="24"/>
          <w:szCs w:val="24"/>
          <w:highlight w:val="none"/>
        </w:rPr>
      </w:pPr>
    </w:p>
    <w:p w14:paraId="66418B57">
      <w:pPr>
        <w:pStyle w:val="30"/>
        <w:rPr>
          <w:rFonts w:hint="eastAsia" w:ascii="宋体" w:hAnsi="宋体" w:eastAsia="宋体" w:cs="宋体"/>
          <w:color w:val="auto"/>
          <w:sz w:val="24"/>
          <w:szCs w:val="24"/>
          <w:highlight w:val="none"/>
        </w:rPr>
      </w:pPr>
    </w:p>
    <w:p w14:paraId="25ACC3C4">
      <w:pPr>
        <w:rPr>
          <w:rFonts w:hint="eastAsia" w:ascii="宋体" w:hAnsi="宋体" w:eastAsia="宋体" w:cs="宋体"/>
          <w:color w:val="auto"/>
          <w:sz w:val="24"/>
          <w:szCs w:val="24"/>
          <w:highlight w:val="none"/>
        </w:rPr>
      </w:pPr>
    </w:p>
    <w:p w14:paraId="5487DC6A">
      <w:pPr>
        <w:pStyle w:val="30"/>
        <w:rPr>
          <w:rFonts w:hint="eastAsia" w:ascii="宋体" w:hAnsi="宋体" w:eastAsia="宋体" w:cs="宋体"/>
          <w:color w:val="auto"/>
          <w:sz w:val="24"/>
          <w:szCs w:val="24"/>
          <w:highlight w:val="none"/>
        </w:rPr>
      </w:pPr>
    </w:p>
    <w:p w14:paraId="629865B9">
      <w:pPr>
        <w:spacing w:line="500" w:lineRule="exact"/>
        <w:jc w:val="center"/>
        <w:rPr>
          <w:rFonts w:hint="eastAsia" w:ascii="宋体" w:hAnsi="宋体" w:eastAsia="宋体" w:cs="宋体"/>
          <w:color w:val="auto"/>
          <w:sz w:val="24"/>
          <w:szCs w:val="24"/>
          <w:highlight w:val="none"/>
        </w:rPr>
      </w:pPr>
    </w:p>
    <w:p w14:paraId="320B6E26">
      <w:pPr>
        <w:spacing w:line="500" w:lineRule="exact"/>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一、</w:t>
      </w:r>
      <w:bookmarkEnd w:id="141"/>
      <w:r>
        <w:rPr>
          <w:rFonts w:hint="eastAsia" w:ascii="宋体" w:hAnsi="宋体" w:eastAsia="宋体" w:cs="宋体"/>
          <w:b/>
          <w:bCs/>
          <w:color w:val="auto"/>
          <w:sz w:val="24"/>
          <w:szCs w:val="24"/>
          <w:highlight w:val="none"/>
        </w:rPr>
        <w:t>投标函</w:t>
      </w:r>
    </w:p>
    <w:p w14:paraId="122709B4">
      <w:pPr>
        <w:pStyle w:val="15"/>
        <w:spacing w:after="0" w:line="500" w:lineRule="exact"/>
        <w:ind w:left="0" w:leftChars="0" w:firstLine="480" w:firstLineChars="200"/>
        <w:rPr>
          <w:rFonts w:hint="eastAsia" w:ascii="宋体" w:hAnsi="宋体" w:eastAsia="宋体" w:cs="宋体"/>
          <w:bCs/>
          <w:color w:val="auto"/>
          <w:sz w:val="24"/>
          <w:szCs w:val="24"/>
          <w:highlight w:val="none"/>
        </w:rPr>
      </w:pPr>
      <w:bookmarkStart w:id="142" w:name="_Toc217446083"/>
      <w:r>
        <w:rPr>
          <w:rFonts w:hint="eastAsia" w:ascii="宋体" w:hAnsi="宋体" w:eastAsia="宋体" w:cs="宋体"/>
          <w:bCs/>
          <w:color w:val="auto"/>
          <w:sz w:val="24"/>
          <w:szCs w:val="24"/>
          <w:highlight w:val="none"/>
        </w:rPr>
        <w:t>__________（采购人）：</w:t>
      </w:r>
    </w:p>
    <w:p w14:paraId="165E577D">
      <w:pPr>
        <w:pStyle w:val="15"/>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我方全面研究了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（项目名称、项目编号）”项目招标文件，决定参加贵单位组织的本项目投标。我方授权</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（姓名、职务）代表我方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（投标人的名称）全权处理本项目投标的有关事宜。</w:t>
      </w:r>
    </w:p>
    <w:p w14:paraId="585F09ED">
      <w:pPr>
        <w:pStyle w:val="15"/>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1、我方自愿按照招标文件规定的各项要求向采购人提供所需</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，总投标价为人民币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），投标有效期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日历天。</w:t>
      </w:r>
    </w:p>
    <w:p w14:paraId="15D27CB8">
      <w:pPr>
        <w:pStyle w:val="15"/>
        <w:spacing w:after="0" w:line="500" w:lineRule="exact"/>
        <w:ind w:left="0" w:leftChars="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2、一旦我方成交，我方将严格履行合同规定的责任和义务</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供货期限：</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并达到采购人要求</w:t>
      </w:r>
      <w:r>
        <w:rPr>
          <w:rFonts w:hint="eastAsia" w:ascii="宋体" w:hAnsi="宋体" w:cs="宋体"/>
          <w:bCs/>
          <w:color w:val="auto"/>
          <w:sz w:val="24"/>
          <w:szCs w:val="24"/>
          <w:highlight w:val="none"/>
          <w:lang w:eastAsia="zh-CN"/>
        </w:rPr>
        <w:t>。</w:t>
      </w:r>
    </w:p>
    <w:p w14:paraId="1A0F63A0">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3、我方同意按照招标文件的要求，向贵单位缴纳人民币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）的投标保证金，并承诺如发生符合“第二章投标人须知”第15.5条的任何情况时，我方将不要求退还投标保证金。</w:t>
      </w:r>
    </w:p>
    <w:p w14:paraId="5CF784AB">
      <w:pPr>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4、我方承诺我方中标后将提供符合招标文件要求的检验检测报告。</w:t>
      </w:r>
    </w:p>
    <w:p w14:paraId="6F4A6412">
      <w:pPr>
        <w:pStyle w:val="15"/>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、我方提交的投标文件满足招标文件实质性要求。</w:t>
      </w:r>
    </w:p>
    <w:p w14:paraId="445AEF0B">
      <w:pPr>
        <w:pStyle w:val="15"/>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、我方愿意提供采购人可能另外要求的，与投标有关的文件资料，并保证我方已提供和将要提供的文件资料是真实、准确的。</w:t>
      </w:r>
    </w:p>
    <w:p w14:paraId="3F2AF849">
      <w:pPr>
        <w:pStyle w:val="15"/>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、我方完全理解采购人不一定将合同授予最低报价的投标人。</w:t>
      </w:r>
    </w:p>
    <w:p w14:paraId="239FFF88">
      <w:pPr>
        <w:pStyle w:val="15"/>
        <w:spacing w:after="0" w:line="500" w:lineRule="exact"/>
        <w:ind w:left="0" w:leftChars="0" w:firstLine="480" w:firstLineChars="200"/>
        <w:jc w:val="center"/>
        <w:rPr>
          <w:rFonts w:hint="eastAsia" w:ascii="宋体" w:hAnsi="宋体" w:eastAsia="宋体" w:cs="宋体"/>
          <w:bCs/>
          <w:color w:val="auto"/>
          <w:sz w:val="24"/>
          <w:szCs w:val="24"/>
          <w:highlight w:val="none"/>
        </w:rPr>
      </w:pPr>
    </w:p>
    <w:p w14:paraId="184F101E">
      <w:pPr>
        <w:pStyle w:val="15"/>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投标人名称（盖章）：</w:t>
      </w:r>
    </w:p>
    <w:p w14:paraId="229C8485">
      <w:pPr>
        <w:pStyle w:val="15"/>
        <w:spacing w:after="0" w:line="500" w:lineRule="exact"/>
        <w:ind w:left="0" w:leftChars="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授权人或被授权人（签字或盖章）</w:t>
      </w:r>
      <w:r>
        <w:rPr>
          <w:rFonts w:hint="eastAsia" w:ascii="宋体" w:hAnsi="宋体" w:eastAsia="宋体" w:cs="宋体"/>
          <w:bCs/>
          <w:color w:val="auto"/>
          <w:sz w:val="24"/>
          <w:szCs w:val="24"/>
          <w:highlight w:val="none"/>
        </w:rPr>
        <w:t>：</w:t>
      </w:r>
    </w:p>
    <w:p w14:paraId="5EA98FB8">
      <w:pPr>
        <w:pStyle w:val="15"/>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通讯地址：</w:t>
      </w:r>
    </w:p>
    <w:p w14:paraId="6861596D">
      <w:pPr>
        <w:pStyle w:val="15"/>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14:paraId="0E7C0740">
      <w:pPr>
        <w:pStyle w:val="15"/>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p w14:paraId="26DDFA65">
      <w:pPr>
        <w:pStyle w:val="46"/>
        <w:spacing w:line="460" w:lineRule="exact"/>
        <w:ind w:firstLine="3360" w:firstLineChars="1400"/>
        <w:rPr>
          <w:rFonts w:hint="eastAsia" w:ascii="宋体" w:hAnsi="宋体" w:eastAsia="宋体" w:cs="宋体"/>
          <w:bCs/>
          <w:color w:val="auto"/>
          <w:sz w:val="24"/>
          <w:szCs w:val="24"/>
          <w:highlight w:val="none"/>
        </w:rPr>
      </w:pPr>
    </w:p>
    <w:p w14:paraId="5B81C989">
      <w:pPr>
        <w:pStyle w:val="46"/>
        <w:spacing w:line="460" w:lineRule="exact"/>
        <w:ind w:firstLine="3360" w:firstLineChars="1400"/>
        <w:rPr>
          <w:rFonts w:hint="eastAsia" w:ascii="宋体" w:hAnsi="宋体" w:eastAsia="宋体" w:cs="宋体"/>
          <w:bCs/>
          <w:color w:val="auto"/>
          <w:sz w:val="24"/>
          <w:szCs w:val="24"/>
          <w:highlight w:val="none"/>
        </w:rPr>
      </w:pPr>
    </w:p>
    <w:p w14:paraId="11094106">
      <w:pPr>
        <w:pStyle w:val="46"/>
        <w:spacing w:line="460" w:lineRule="exact"/>
        <w:ind w:firstLine="3360" w:firstLineChars="1400"/>
        <w:rPr>
          <w:rFonts w:hint="eastAsia" w:ascii="宋体" w:hAnsi="宋体" w:eastAsia="宋体" w:cs="宋体"/>
          <w:bCs/>
          <w:color w:val="auto"/>
          <w:sz w:val="24"/>
          <w:szCs w:val="24"/>
          <w:highlight w:val="none"/>
        </w:rPr>
      </w:pPr>
    </w:p>
    <w:p w14:paraId="6FB1A88E">
      <w:pPr>
        <w:pStyle w:val="46"/>
        <w:spacing w:line="460" w:lineRule="exact"/>
        <w:ind w:firstLine="3360" w:firstLineChars="1400"/>
        <w:rPr>
          <w:rFonts w:hint="eastAsia" w:ascii="宋体" w:hAnsi="宋体" w:eastAsia="宋体" w:cs="宋体"/>
          <w:bCs/>
          <w:color w:val="auto"/>
          <w:sz w:val="24"/>
          <w:szCs w:val="24"/>
          <w:highlight w:val="none"/>
        </w:rPr>
      </w:pPr>
    </w:p>
    <w:p w14:paraId="621E7469">
      <w:pPr>
        <w:pStyle w:val="46"/>
        <w:spacing w:line="460" w:lineRule="exact"/>
        <w:ind w:firstLine="3360" w:firstLineChars="1400"/>
        <w:rPr>
          <w:rFonts w:hint="eastAsia" w:ascii="宋体" w:hAnsi="宋体" w:eastAsia="宋体" w:cs="宋体"/>
          <w:bCs/>
          <w:color w:val="auto"/>
          <w:sz w:val="24"/>
          <w:szCs w:val="24"/>
          <w:highlight w:val="none"/>
        </w:rPr>
      </w:pPr>
    </w:p>
    <w:p w14:paraId="64C02B88">
      <w:pPr>
        <w:pStyle w:val="4"/>
        <w:numPr>
          <w:ilvl w:val="0"/>
          <w:numId w:val="6"/>
        </w:numPr>
        <w:spacing w:before="156" w:after="156"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身份证明书及授权委托书</w:t>
      </w:r>
    </w:p>
    <w:p w14:paraId="6F4F6C25">
      <w:pPr>
        <w:spacing w:line="500" w:lineRule="exact"/>
        <w:ind w:firstLine="482" w:firstLineChars="200"/>
        <w:jc w:val="center"/>
        <w:rPr>
          <w:rFonts w:hint="eastAsia" w:ascii="宋体" w:hAnsi="宋体" w:eastAsia="宋体" w:cs="宋体"/>
          <w:b/>
          <w:bCs/>
          <w:color w:val="auto"/>
          <w:sz w:val="24"/>
          <w:szCs w:val="24"/>
          <w:highlight w:val="none"/>
        </w:rPr>
      </w:pPr>
    </w:p>
    <w:p w14:paraId="3F5856A3">
      <w:pPr>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身份证明书（投标人为法人）</w:t>
      </w:r>
    </w:p>
    <w:p w14:paraId="7A2C858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7B2088D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68343C94">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 </w:t>
      </w:r>
    </w:p>
    <w:p w14:paraId="4D61846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 </w:t>
      </w:r>
    </w:p>
    <w:p w14:paraId="177641D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的法定代表人，为具有参加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（项目名称）的投标、签署上述投标文件、进行合同谈判、签署合同和处理与之有关的一切事务权利的投标人。 </w:t>
      </w:r>
    </w:p>
    <w:p w14:paraId="4C29816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88CC058">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6ECD07D">
      <w:pPr>
        <w:spacing w:line="50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rPr>
        <w:t>附</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法定代表人身份证正反面</w:t>
      </w:r>
      <w:r>
        <w:rPr>
          <w:rFonts w:hint="eastAsia" w:ascii="宋体" w:hAnsi="宋体" w:cs="宋体"/>
          <w:b/>
          <w:bCs/>
          <w:color w:val="auto"/>
          <w:sz w:val="24"/>
          <w:szCs w:val="24"/>
          <w:highlight w:val="none"/>
          <w:lang w:eastAsia="zh-CN"/>
        </w:rPr>
        <w:t>扫描件</w:t>
      </w:r>
      <w:r>
        <w:rPr>
          <w:rFonts w:hint="eastAsia" w:ascii="宋体" w:hAnsi="宋体" w:eastAsia="宋体" w:cs="宋体"/>
          <w:b/>
          <w:bCs/>
          <w:color w:val="auto"/>
          <w:sz w:val="24"/>
          <w:szCs w:val="24"/>
          <w:highlight w:val="none"/>
          <w:lang w:eastAsia="zh-CN"/>
        </w:rPr>
        <w:t>。</w:t>
      </w:r>
    </w:p>
    <w:p w14:paraId="28052556">
      <w:pPr>
        <w:spacing w:line="500" w:lineRule="exact"/>
        <w:ind w:firstLine="480" w:firstLineChars="200"/>
        <w:jc w:val="center"/>
        <w:rPr>
          <w:rFonts w:hint="eastAsia" w:ascii="宋体" w:hAnsi="宋体" w:eastAsia="宋体" w:cs="宋体"/>
          <w:color w:val="auto"/>
          <w:sz w:val="24"/>
          <w:szCs w:val="24"/>
          <w:highlight w:val="none"/>
        </w:rPr>
      </w:pPr>
    </w:p>
    <w:p w14:paraId="3EAE4251">
      <w:pPr>
        <w:spacing w:line="500" w:lineRule="exact"/>
        <w:ind w:firstLine="480" w:firstLineChars="200"/>
        <w:jc w:val="center"/>
        <w:rPr>
          <w:rFonts w:hint="eastAsia" w:ascii="宋体" w:hAnsi="宋体" w:eastAsia="宋体" w:cs="宋体"/>
          <w:color w:val="auto"/>
          <w:sz w:val="24"/>
          <w:szCs w:val="24"/>
          <w:highlight w:val="none"/>
        </w:rPr>
      </w:pPr>
    </w:p>
    <w:p w14:paraId="4DB85632">
      <w:pPr>
        <w:spacing w:line="500" w:lineRule="exact"/>
        <w:ind w:firstLine="480" w:firstLineChars="200"/>
        <w:jc w:val="center"/>
        <w:rPr>
          <w:rFonts w:hint="eastAsia" w:ascii="宋体" w:hAnsi="宋体" w:eastAsia="宋体" w:cs="宋体"/>
          <w:color w:val="auto"/>
          <w:sz w:val="24"/>
          <w:szCs w:val="24"/>
          <w:highlight w:val="none"/>
        </w:rPr>
      </w:pPr>
    </w:p>
    <w:p w14:paraId="06CDA43C">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投标人名称（盖章）：</w:t>
      </w:r>
      <w:r>
        <w:rPr>
          <w:rFonts w:hint="eastAsia" w:ascii="宋体" w:hAnsi="宋体" w:eastAsia="宋体" w:cs="宋体"/>
          <w:color w:val="auto"/>
          <w:sz w:val="24"/>
          <w:szCs w:val="24"/>
          <w:highlight w:val="none"/>
          <w:u w:val="single"/>
        </w:rPr>
        <w:t xml:space="preserve">                  </w:t>
      </w:r>
    </w:p>
    <w:p w14:paraId="50C775FF">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bCs/>
          <w:color w:val="auto"/>
          <w:sz w:val="24"/>
          <w:szCs w:val="24"/>
          <w:highlight w:val="none"/>
        </w:rPr>
        <w:t>年   月   日</w:t>
      </w:r>
    </w:p>
    <w:p w14:paraId="37DA6DCF">
      <w:pPr>
        <w:snapToGrid w:val="0"/>
        <w:spacing w:line="500" w:lineRule="exact"/>
        <w:ind w:firstLine="482" w:firstLineChars="200"/>
        <w:jc w:val="center"/>
        <w:rPr>
          <w:rFonts w:hint="eastAsia" w:ascii="宋体" w:hAnsi="宋体" w:eastAsia="宋体" w:cs="宋体"/>
          <w:b/>
          <w:bCs/>
          <w:color w:val="auto"/>
          <w:sz w:val="24"/>
          <w:szCs w:val="24"/>
          <w:highlight w:val="none"/>
        </w:rPr>
      </w:pPr>
    </w:p>
    <w:p w14:paraId="58572DDC">
      <w:pPr>
        <w:pStyle w:val="12"/>
        <w:rPr>
          <w:rFonts w:hint="eastAsia" w:ascii="宋体" w:hAnsi="宋体" w:eastAsia="宋体" w:cs="宋体"/>
          <w:b/>
          <w:bCs/>
          <w:color w:val="auto"/>
          <w:sz w:val="24"/>
          <w:szCs w:val="24"/>
          <w:highlight w:val="none"/>
        </w:rPr>
      </w:pPr>
    </w:p>
    <w:p w14:paraId="5C9D8862">
      <w:pPr>
        <w:spacing w:line="500" w:lineRule="exact"/>
        <w:ind w:firstLine="482" w:firstLineChars="200"/>
        <w:jc w:val="center"/>
        <w:rPr>
          <w:rFonts w:hint="eastAsia" w:ascii="宋体" w:hAnsi="宋体" w:eastAsia="宋体" w:cs="宋体"/>
          <w:b/>
          <w:bCs/>
          <w:color w:val="auto"/>
          <w:sz w:val="24"/>
          <w:szCs w:val="24"/>
          <w:highlight w:val="none"/>
        </w:rPr>
      </w:pPr>
    </w:p>
    <w:p w14:paraId="1AD620EC">
      <w:pPr>
        <w:snapToGrid w:val="0"/>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身份证明书（投标人为非法人）</w:t>
      </w:r>
    </w:p>
    <w:p w14:paraId="7645E9AF">
      <w:pPr>
        <w:keepNext/>
        <w:keepLines/>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宋体" w:hAnsi="宋体" w:eastAsia="宋体" w:cs="宋体"/>
          <w:color w:val="auto"/>
          <w:sz w:val="24"/>
          <w:szCs w:val="24"/>
          <w:highlight w:val="none"/>
        </w:rPr>
      </w:pPr>
    </w:p>
    <w:p w14:paraId="361F7B25">
      <w:pPr>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50201594">
      <w:pPr>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3B2F5338">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64F7A5D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为具有参加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（项目名称）的投标、签署上述投标文件、进行合同谈判、签署合同和处理与之有关的一切事务权利的投标人。 </w:t>
      </w:r>
    </w:p>
    <w:p w14:paraId="53FE238E">
      <w:pPr>
        <w:snapToGrid w:val="0"/>
        <w:spacing w:line="500" w:lineRule="exact"/>
        <w:ind w:firstLine="480" w:firstLineChars="200"/>
        <w:rPr>
          <w:rFonts w:hint="eastAsia" w:ascii="宋体" w:hAnsi="宋体" w:eastAsia="宋体" w:cs="宋体"/>
          <w:color w:val="auto"/>
          <w:sz w:val="24"/>
          <w:szCs w:val="24"/>
          <w:highlight w:val="none"/>
        </w:rPr>
      </w:pPr>
    </w:p>
    <w:p w14:paraId="115623B0">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50BE285">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875ACA1">
      <w:pPr>
        <w:snapToGrid w:val="0"/>
        <w:spacing w:line="50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rPr>
        <w:t>附</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身份证正反面</w:t>
      </w:r>
      <w:r>
        <w:rPr>
          <w:rFonts w:hint="eastAsia" w:ascii="宋体" w:hAnsi="宋体" w:cs="宋体"/>
          <w:b/>
          <w:bCs/>
          <w:color w:val="auto"/>
          <w:sz w:val="24"/>
          <w:szCs w:val="24"/>
          <w:highlight w:val="none"/>
          <w:lang w:eastAsia="zh-CN"/>
        </w:rPr>
        <w:t>扫描件</w:t>
      </w:r>
      <w:r>
        <w:rPr>
          <w:rFonts w:hint="eastAsia" w:ascii="宋体" w:hAnsi="宋体" w:eastAsia="宋体" w:cs="宋体"/>
          <w:b/>
          <w:bCs/>
          <w:color w:val="auto"/>
          <w:sz w:val="24"/>
          <w:szCs w:val="24"/>
          <w:highlight w:val="none"/>
          <w:lang w:eastAsia="zh-CN"/>
        </w:rPr>
        <w:t>。</w:t>
      </w:r>
    </w:p>
    <w:p w14:paraId="25E5E3E9">
      <w:pPr>
        <w:spacing w:line="500" w:lineRule="exact"/>
        <w:ind w:firstLine="480" w:firstLineChars="200"/>
        <w:jc w:val="center"/>
        <w:rPr>
          <w:rFonts w:hint="eastAsia" w:ascii="宋体" w:hAnsi="宋体" w:eastAsia="宋体" w:cs="宋体"/>
          <w:color w:val="auto"/>
          <w:sz w:val="24"/>
          <w:szCs w:val="24"/>
          <w:highlight w:val="none"/>
        </w:rPr>
      </w:pPr>
    </w:p>
    <w:p w14:paraId="54D2A3E4">
      <w:pPr>
        <w:spacing w:line="500" w:lineRule="exact"/>
        <w:ind w:firstLine="480" w:firstLineChars="200"/>
        <w:jc w:val="center"/>
        <w:rPr>
          <w:rFonts w:hint="eastAsia" w:ascii="宋体" w:hAnsi="宋体" w:eastAsia="宋体" w:cs="宋体"/>
          <w:color w:val="auto"/>
          <w:sz w:val="24"/>
          <w:szCs w:val="24"/>
          <w:highlight w:val="none"/>
        </w:rPr>
      </w:pPr>
    </w:p>
    <w:p w14:paraId="0D0D54FD">
      <w:pPr>
        <w:spacing w:line="500" w:lineRule="exact"/>
        <w:ind w:firstLine="480" w:firstLineChars="200"/>
        <w:jc w:val="center"/>
        <w:rPr>
          <w:rFonts w:hint="eastAsia" w:ascii="宋体" w:hAnsi="宋体" w:eastAsia="宋体" w:cs="宋体"/>
          <w:color w:val="auto"/>
          <w:sz w:val="24"/>
          <w:szCs w:val="24"/>
          <w:highlight w:val="none"/>
        </w:rPr>
      </w:pPr>
    </w:p>
    <w:p w14:paraId="029EBB97">
      <w:pPr>
        <w:spacing w:line="500" w:lineRule="exact"/>
        <w:ind w:firstLine="480" w:firstLineChars="200"/>
        <w:jc w:val="center"/>
        <w:rPr>
          <w:rFonts w:hint="eastAsia" w:ascii="宋体" w:hAnsi="宋体" w:eastAsia="宋体" w:cs="宋体"/>
          <w:color w:val="auto"/>
          <w:sz w:val="24"/>
          <w:szCs w:val="24"/>
          <w:highlight w:val="none"/>
        </w:rPr>
      </w:pPr>
    </w:p>
    <w:p w14:paraId="1AC51E7F">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投标人（签字或盖章）：</w:t>
      </w:r>
      <w:r>
        <w:rPr>
          <w:rFonts w:hint="eastAsia" w:ascii="宋体" w:hAnsi="宋体" w:eastAsia="宋体" w:cs="宋体"/>
          <w:color w:val="auto"/>
          <w:sz w:val="24"/>
          <w:szCs w:val="24"/>
          <w:highlight w:val="none"/>
          <w:u w:val="single"/>
        </w:rPr>
        <w:t xml:space="preserve">                  </w:t>
      </w:r>
    </w:p>
    <w:p w14:paraId="1B7B62AD">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bCs/>
          <w:color w:val="auto"/>
          <w:sz w:val="24"/>
          <w:szCs w:val="24"/>
          <w:highlight w:val="none"/>
        </w:rPr>
        <w:t>年   月   日</w:t>
      </w:r>
    </w:p>
    <w:p w14:paraId="138F7B60">
      <w:pPr>
        <w:pStyle w:val="12"/>
        <w:rPr>
          <w:rFonts w:hint="eastAsia" w:ascii="宋体" w:hAnsi="宋体" w:eastAsia="宋体" w:cs="宋体"/>
          <w:b/>
          <w:bCs/>
          <w:color w:val="auto"/>
          <w:sz w:val="24"/>
          <w:szCs w:val="24"/>
          <w:highlight w:val="none"/>
        </w:rPr>
      </w:pPr>
    </w:p>
    <w:p w14:paraId="5FDC84CE">
      <w:pPr>
        <w:pStyle w:val="12"/>
        <w:rPr>
          <w:rFonts w:hint="eastAsia" w:ascii="宋体" w:hAnsi="宋体" w:eastAsia="宋体" w:cs="宋体"/>
          <w:b/>
          <w:bCs/>
          <w:color w:val="auto"/>
          <w:sz w:val="24"/>
          <w:szCs w:val="24"/>
          <w:highlight w:val="none"/>
        </w:rPr>
      </w:pPr>
    </w:p>
    <w:p w14:paraId="2E2AEA53">
      <w:pPr>
        <w:pStyle w:val="12"/>
        <w:rPr>
          <w:rFonts w:hint="eastAsia" w:ascii="宋体" w:hAnsi="宋体" w:eastAsia="宋体" w:cs="宋体"/>
          <w:b/>
          <w:bCs/>
          <w:color w:val="auto"/>
          <w:sz w:val="24"/>
          <w:szCs w:val="24"/>
          <w:highlight w:val="none"/>
        </w:rPr>
      </w:pPr>
    </w:p>
    <w:p w14:paraId="5E5A107B">
      <w:pPr>
        <w:pStyle w:val="12"/>
        <w:rPr>
          <w:rFonts w:hint="eastAsia" w:ascii="宋体" w:hAnsi="宋体" w:eastAsia="宋体" w:cs="宋体"/>
          <w:b/>
          <w:bCs/>
          <w:color w:val="auto"/>
          <w:sz w:val="24"/>
          <w:szCs w:val="24"/>
          <w:highlight w:val="none"/>
        </w:rPr>
      </w:pPr>
    </w:p>
    <w:p w14:paraId="61AF0A8E">
      <w:pPr>
        <w:pStyle w:val="12"/>
        <w:rPr>
          <w:rFonts w:hint="eastAsia" w:ascii="宋体" w:hAnsi="宋体" w:eastAsia="宋体" w:cs="宋体"/>
          <w:b/>
          <w:bCs/>
          <w:color w:val="auto"/>
          <w:sz w:val="24"/>
          <w:szCs w:val="24"/>
          <w:highlight w:val="none"/>
        </w:rPr>
      </w:pPr>
    </w:p>
    <w:p w14:paraId="17BD3F8D">
      <w:pPr>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法定代表人授权委托书（投标人为法人）</w:t>
      </w:r>
    </w:p>
    <w:p w14:paraId="3D70F2A7">
      <w:pPr>
        <w:pStyle w:val="30"/>
        <w:spacing w:line="500" w:lineRule="exact"/>
        <w:ind w:firstLine="480" w:firstLineChars="200"/>
        <w:rPr>
          <w:rFonts w:hint="eastAsia" w:ascii="宋体" w:hAnsi="宋体" w:eastAsia="宋体" w:cs="宋体"/>
          <w:color w:val="auto"/>
          <w:sz w:val="24"/>
          <w:szCs w:val="24"/>
          <w:highlight w:val="none"/>
        </w:rPr>
      </w:pPr>
    </w:p>
    <w:p w14:paraId="7C97900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__________________（</w:t>
      </w:r>
      <w:r>
        <w:rPr>
          <w:rFonts w:hint="eastAsia" w:ascii="宋体" w:hAnsi="宋体" w:eastAsia="宋体" w:cs="宋体"/>
          <w:bCs/>
          <w:color w:val="auto"/>
          <w:sz w:val="24"/>
          <w:szCs w:val="24"/>
          <w:highlight w:val="none"/>
        </w:rPr>
        <w:t>采购人</w:t>
      </w:r>
      <w:r>
        <w:rPr>
          <w:rFonts w:hint="eastAsia" w:ascii="宋体" w:hAnsi="宋体" w:eastAsia="宋体" w:cs="宋体"/>
          <w:color w:val="auto"/>
          <w:sz w:val="24"/>
          <w:szCs w:val="24"/>
          <w:highlight w:val="none"/>
        </w:rPr>
        <w:t>）：</w:t>
      </w:r>
    </w:p>
    <w:p w14:paraId="346C5DD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（法定代表人姓名、职务）授权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（被授权人姓名、职务）为我方 “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（项目名称、项目编号）</w:t>
      </w:r>
      <w:r>
        <w:rPr>
          <w:rFonts w:hint="eastAsia" w:ascii="宋体" w:hAnsi="宋体" w:eastAsia="宋体" w:cs="宋体"/>
          <w:color w:val="auto"/>
          <w:sz w:val="24"/>
          <w:szCs w:val="24"/>
          <w:highlight w:val="none"/>
        </w:rPr>
        <w:t>” 项目投标活动的合法代表，以我方名义全权处理该项目有关投标、签订合同以及执行合同等一切事宜。</w:t>
      </w:r>
    </w:p>
    <w:p w14:paraId="0150E9A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被授权人</w:t>
      </w:r>
      <w:r>
        <w:rPr>
          <w:rFonts w:hint="eastAsia" w:ascii="宋体" w:hAnsi="宋体" w:eastAsia="宋体" w:cs="宋体"/>
          <w:color w:val="auto"/>
          <w:sz w:val="24"/>
          <w:szCs w:val="24"/>
          <w:highlight w:val="none"/>
        </w:rPr>
        <w:t>无权转让本授权，特此声明。</w:t>
      </w:r>
    </w:p>
    <w:p w14:paraId="5AFD98AD">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附：法定代表人及被授权人身份证正反面</w:t>
      </w:r>
      <w:r>
        <w:rPr>
          <w:rFonts w:hint="eastAsia" w:ascii="宋体" w:hAnsi="宋体" w:cs="宋体"/>
          <w:color w:val="auto"/>
          <w:sz w:val="24"/>
          <w:szCs w:val="24"/>
          <w:highlight w:val="none"/>
          <w:lang w:eastAsia="zh-CN"/>
        </w:rPr>
        <w:t>扫描件</w:t>
      </w:r>
    </w:p>
    <w:p w14:paraId="52488CD8">
      <w:pPr>
        <w:pStyle w:val="30"/>
        <w:spacing w:line="500" w:lineRule="exact"/>
        <w:ind w:firstLine="480" w:firstLineChars="200"/>
        <w:rPr>
          <w:rFonts w:hint="eastAsia" w:ascii="宋体" w:hAnsi="宋体" w:eastAsia="宋体" w:cs="宋体"/>
          <w:color w:val="auto"/>
          <w:sz w:val="24"/>
          <w:szCs w:val="24"/>
          <w:highlight w:val="none"/>
        </w:rPr>
      </w:pPr>
    </w:p>
    <w:p w14:paraId="1E23DF1C">
      <w:pPr>
        <w:spacing w:line="500" w:lineRule="exact"/>
        <w:ind w:firstLine="480" w:firstLineChars="200"/>
        <w:rPr>
          <w:rFonts w:hint="eastAsia" w:ascii="宋体" w:hAnsi="宋体" w:eastAsia="宋体" w:cs="宋体"/>
          <w:color w:val="auto"/>
          <w:sz w:val="24"/>
          <w:szCs w:val="24"/>
          <w:highlight w:val="none"/>
        </w:rPr>
      </w:pPr>
    </w:p>
    <w:p w14:paraId="32E85557">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投标人名称（盖章）：</w:t>
      </w:r>
    </w:p>
    <w:p w14:paraId="34916C9B">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法定代表人（签字或盖章）：</w:t>
      </w:r>
    </w:p>
    <w:p w14:paraId="273E13A4">
      <w:pPr>
        <w:spacing w:line="500" w:lineRule="exact"/>
        <w:ind w:firstLine="480" w:firstLineChars="200"/>
        <w:jc w:val="center"/>
        <w:rPr>
          <w:rFonts w:hint="eastAsia" w:ascii="宋体" w:hAnsi="宋体" w:eastAsia="宋体" w:cs="宋体"/>
          <w:color w:val="auto"/>
          <w:sz w:val="24"/>
          <w:szCs w:val="24"/>
          <w:highlight w:val="none"/>
        </w:rPr>
      </w:pPr>
    </w:p>
    <w:p w14:paraId="02DEB612">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w:t>
      </w:r>
    </w:p>
    <w:p w14:paraId="0342A7BE">
      <w:pPr>
        <w:spacing w:line="500" w:lineRule="exact"/>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授权委托书（投标人为非法人）</w:t>
      </w:r>
    </w:p>
    <w:p w14:paraId="4950F2E6">
      <w:pPr>
        <w:spacing w:line="500" w:lineRule="exact"/>
        <w:ind w:firstLine="480" w:firstLineChars="200"/>
        <w:rPr>
          <w:rFonts w:hint="eastAsia" w:ascii="宋体" w:hAnsi="宋体" w:eastAsia="宋体" w:cs="宋体"/>
          <w:color w:val="auto"/>
          <w:sz w:val="24"/>
          <w:szCs w:val="24"/>
          <w:highlight w:val="none"/>
        </w:rPr>
      </w:pPr>
    </w:p>
    <w:p w14:paraId="7CBF01F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__________________（</w:t>
      </w:r>
      <w:r>
        <w:rPr>
          <w:rFonts w:hint="eastAsia" w:ascii="宋体" w:hAnsi="宋体" w:eastAsia="宋体" w:cs="宋体"/>
          <w:bCs/>
          <w:color w:val="auto"/>
          <w:sz w:val="24"/>
          <w:szCs w:val="24"/>
          <w:highlight w:val="none"/>
        </w:rPr>
        <w:t>采购人</w:t>
      </w:r>
      <w:r>
        <w:rPr>
          <w:rFonts w:hint="eastAsia" w:ascii="宋体" w:hAnsi="宋体" w:eastAsia="宋体" w:cs="宋体"/>
          <w:color w:val="auto"/>
          <w:sz w:val="24"/>
          <w:szCs w:val="24"/>
          <w:highlight w:val="none"/>
        </w:rPr>
        <w:t>）：</w:t>
      </w:r>
    </w:p>
    <w:p w14:paraId="1438940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为我方 “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（项目名称、项目编号）</w:t>
      </w:r>
      <w:r>
        <w:rPr>
          <w:rFonts w:hint="eastAsia" w:ascii="宋体" w:hAnsi="宋体" w:eastAsia="宋体" w:cs="宋体"/>
          <w:color w:val="auto"/>
          <w:sz w:val="24"/>
          <w:szCs w:val="24"/>
          <w:highlight w:val="none"/>
        </w:rPr>
        <w:t>” 项目投标活动的合法代表，以我方名义全权处理该项目有关投标、签订合同以及执行合同等一切事宜。</w:t>
      </w:r>
    </w:p>
    <w:p w14:paraId="635153B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被授权人</w:t>
      </w:r>
      <w:r>
        <w:rPr>
          <w:rFonts w:hint="eastAsia" w:ascii="宋体" w:hAnsi="宋体" w:eastAsia="宋体" w:cs="宋体"/>
          <w:color w:val="auto"/>
          <w:sz w:val="24"/>
          <w:szCs w:val="24"/>
          <w:highlight w:val="none"/>
        </w:rPr>
        <w:t>无权转让本授权，特此声明。</w:t>
      </w:r>
    </w:p>
    <w:p w14:paraId="5F6F9BBB">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附：授权人及被授权人身份证正反面</w:t>
      </w:r>
      <w:r>
        <w:rPr>
          <w:rFonts w:hint="eastAsia" w:ascii="宋体" w:hAnsi="宋体" w:cs="宋体"/>
          <w:color w:val="auto"/>
          <w:sz w:val="24"/>
          <w:szCs w:val="24"/>
          <w:highlight w:val="none"/>
          <w:lang w:eastAsia="zh-CN"/>
        </w:rPr>
        <w:t>扫描件</w:t>
      </w:r>
    </w:p>
    <w:p w14:paraId="173610F9">
      <w:pPr>
        <w:pStyle w:val="30"/>
        <w:spacing w:line="500" w:lineRule="exact"/>
        <w:ind w:firstLine="480" w:firstLineChars="200"/>
        <w:rPr>
          <w:rFonts w:hint="eastAsia" w:ascii="宋体" w:hAnsi="宋体" w:eastAsia="宋体" w:cs="宋体"/>
          <w:color w:val="auto"/>
          <w:sz w:val="24"/>
          <w:szCs w:val="24"/>
          <w:highlight w:val="none"/>
        </w:rPr>
      </w:pPr>
    </w:p>
    <w:p w14:paraId="5476C481">
      <w:pPr>
        <w:spacing w:line="500" w:lineRule="exact"/>
        <w:ind w:firstLine="480" w:firstLineChars="200"/>
        <w:rPr>
          <w:rFonts w:hint="eastAsia" w:ascii="宋体" w:hAnsi="宋体" w:eastAsia="宋体" w:cs="宋体"/>
          <w:color w:val="auto"/>
          <w:sz w:val="24"/>
          <w:szCs w:val="24"/>
          <w:highlight w:val="none"/>
        </w:rPr>
      </w:pPr>
    </w:p>
    <w:p w14:paraId="6C79E19B">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授权人（签字或盖章）：</w:t>
      </w:r>
    </w:p>
    <w:p w14:paraId="52FBA54A">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被授权人（签字）：   </w:t>
      </w:r>
    </w:p>
    <w:p w14:paraId="5C418CB4">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6B23DAE">
      <w:pPr>
        <w:pStyle w:val="12"/>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5D77B99D">
      <w:pPr>
        <w:keepNext/>
        <w:keepLines/>
        <w:spacing w:line="500" w:lineRule="exact"/>
        <w:ind w:firstLine="480" w:firstLineChars="200"/>
        <w:jc w:val="center"/>
        <w:rPr>
          <w:rFonts w:hint="eastAsia" w:ascii="宋体" w:hAnsi="宋体" w:eastAsia="宋体" w:cs="宋体"/>
          <w:color w:val="auto"/>
          <w:sz w:val="24"/>
          <w:szCs w:val="24"/>
          <w:highlight w:val="none"/>
        </w:rPr>
      </w:pPr>
    </w:p>
    <w:p w14:paraId="5214FE8D">
      <w:pPr>
        <w:adjustRightInd w:val="0"/>
        <w:spacing w:line="500" w:lineRule="exact"/>
        <w:ind w:firstLine="482" w:firstLineChars="200"/>
        <w:jc w:val="center"/>
        <w:rPr>
          <w:rFonts w:hint="eastAsia" w:ascii="宋体" w:hAnsi="宋体" w:eastAsia="宋体" w:cs="宋体"/>
          <w:bCs w:val="0"/>
          <w:color w:val="auto"/>
          <w:kern w:val="0"/>
          <w:sz w:val="24"/>
          <w:szCs w:val="24"/>
          <w:highlight w:val="none"/>
          <w:lang w:val="en-US" w:eastAsia="zh-CN"/>
        </w:rPr>
      </w:pPr>
      <w:r>
        <w:rPr>
          <w:rFonts w:hint="eastAsia" w:ascii="宋体" w:hAnsi="宋体" w:eastAsia="宋体" w:cs="宋体"/>
          <w:b/>
          <w:bCs/>
          <w:color w:val="auto"/>
          <w:sz w:val="24"/>
          <w:szCs w:val="24"/>
          <w:highlight w:val="none"/>
        </w:rPr>
        <w:br w:type="page"/>
      </w:r>
      <w:bookmarkStart w:id="143" w:name="_Toc217446088"/>
    </w:p>
    <w:p w14:paraId="52560221">
      <w:pPr>
        <w:pStyle w:val="4"/>
        <w:numPr>
          <w:ilvl w:val="0"/>
          <w:numId w:val="0"/>
        </w:numPr>
        <w:jc w:val="center"/>
        <w:outlineLvl w:val="1"/>
        <w:rPr>
          <w:rFonts w:hint="eastAsia" w:ascii="宋体" w:hAnsi="宋体" w:eastAsia="宋体" w:cs="宋体"/>
          <w:color w:val="auto"/>
          <w:sz w:val="24"/>
          <w:szCs w:val="24"/>
          <w:highlight w:val="none"/>
        </w:rPr>
      </w:pPr>
      <w:bookmarkStart w:id="144" w:name="_Toc2265"/>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、开标一览表</w:t>
      </w:r>
      <w:bookmarkEnd w:id="144"/>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14:paraId="2032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14:paraId="05E2A97A">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投标内容</w:t>
            </w:r>
          </w:p>
        </w:tc>
        <w:tc>
          <w:tcPr>
            <w:tcW w:w="6687" w:type="dxa"/>
            <w:noWrap w:val="0"/>
            <w:vAlign w:val="center"/>
          </w:tcPr>
          <w:p w14:paraId="5FCBB5EC">
            <w:pPr>
              <w:widowControl/>
              <w:spacing w:line="440" w:lineRule="exact"/>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投标</w:t>
            </w:r>
            <w:r>
              <w:rPr>
                <w:rFonts w:hint="eastAsia" w:ascii="宋体" w:hAnsi="宋体" w:eastAsia="宋体" w:cs="宋体"/>
                <w:b/>
                <w:bCs/>
                <w:color w:val="auto"/>
                <w:kern w:val="0"/>
                <w:sz w:val="24"/>
                <w:szCs w:val="24"/>
                <w:highlight w:val="none"/>
                <w:lang w:val="en-US" w:eastAsia="zh-CN"/>
              </w:rPr>
              <w:t>总报价</w:t>
            </w:r>
          </w:p>
        </w:tc>
      </w:tr>
      <w:tr w14:paraId="681D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restart"/>
            <w:noWrap w:val="0"/>
            <w:vAlign w:val="center"/>
          </w:tcPr>
          <w:p w14:paraId="357DB217">
            <w:pPr>
              <w:jc w:val="center"/>
              <w:rPr>
                <w:rFonts w:hint="eastAsia" w:ascii="宋体" w:hAnsi="宋体" w:eastAsia="宋体" w:cs="宋体"/>
                <w:b/>
                <w:bCs/>
                <w:color w:val="auto"/>
                <w:kern w:val="0"/>
                <w:sz w:val="24"/>
                <w:szCs w:val="24"/>
                <w:highlight w:val="none"/>
                <w:lang w:eastAsia="zh-CN"/>
              </w:rPr>
            </w:pPr>
          </w:p>
        </w:tc>
        <w:tc>
          <w:tcPr>
            <w:tcW w:w="6687" w:type="dxa"/>
            <w:noWrap w:val="0"/>
            <w:vAlign w:val="center"/>
          </w:tcPr>
          <w:p w14:paraId="544AB052">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小写：￥                        元     </w:t>
            </w:r>
          </w:p>
        </w:tc>
      </w:tr>
      <w:tr w14:paraId="2417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14:paraId="513055AF">
            <w:pPr>
              <w:jc w:val="center"/>
              <w:rPr>
                <w:rFonts w:hint="eastAsia" w:ascii="宋体" w:hAnsi="宋体" w:eastAsia="宋体" w:cs="宋体"/>
                <w:b/>
                <w:bCs/>
                <w:color w:val="auto"/>
                <w:kern w:val="0"/>
                <w:sz w:val="24"/>
                <w:szCs w:val="24"/>
                <w:highlight w:val="none"/>
              </w:rPr>
            </w:pPr>
          </w:p>
        </w:tc>
        <w:tc>
          <w:tcPr>
            <w:tcW w:w="6687" w:type="dxa"/>
            <w:noWrap w:val="0"/>
            <w:vAlign w:val="center"/>
          </w:tcPr>
          <w:p w14:paraId="167198F2">
            <w:pPr>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大写：</w:t>
            </w:r>
          </w:p>
        </w:tc>
      </w:tr>
      <w:tr w14:paraId="28FC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567AE660">
            <w:pPr>
              <w:widowControl/>
              <w:spacing w:line="440" w:lineRule="exact"/>
              <w:jc w:val="center"/>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供货</w:t>
            </w:r>
            <w:r>
              <w:rPr>
                <w:rFonts w:hint="eastAsia" w:ascii="宋体" w:hAnsi="宋体" w:eastAsia="宋体" w:cs="宋体"/>
                <w:b/>
                <w:bCs/>
                <w:color w:val="auto"/>
                <w:kern w:val="0"/>
                <w:sz w:val="24"/>
                <w:szCs w:val="24"/>
                <w:highlight w:val="none"/>
                <w:lang w:val="en-US" w:eastAsia="zh-CN"/>
              </w:rPr>
              <w:t>期限</w:t>
            </w:r>
          </w:p>
        </w:tc>
        <w:tc>
          <w:tcPr>
            <w:tcW w:w="6687" w:type="dxa"/>
            <w:noWrap w:val="0"/>
            <w:vAlign w:val="center"/>
          </w:tcPr>
          <w:p w14:paraId="0B17C347">
            <w:pPr>
              <w:spacing w:line="440" w:lineRule="exact"/>
              <w:jc w:val="center"/>
              <w:rPr>
                <w:rFonts w:hint="eastAsia" w:ascii="宋体" w:hAnsi="宋体" w:eastAsia="宋体" w:cs="宋体"/>
                <w:color w:val="auto"/>
                <w:kern w:val="0"/>
                <w:sz w:val="24"/>
                <w:szCs w:val="24"/>
                <w:highlight w:val="none"/>
                <w:lang w:eastAsia="zh-CN"/>
              </w:rPr>
            </w:pPr>
          </w:p>
        </w:tc>
      </w:tr>
      <w:tr w14:paraId="3454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26A641DF">
            <w:pPr>
              <w:widowControl/>
              <w:spacing w:line="440" w:lineRule="exact"/>
              <w:jc w:val="center"/>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供货地点</w:t>
            </w:r>
          </w:p>
        </w:tc>
        <w:tc>
          <w:tcPr>
            <w:tcW w:w="6687" w:type="dxa"/>
            <w:noWrap w:val="0"/>
            <w:vAlign w:val="center"/>
          </w:tcPr>
          <w:p w14:paraId="7C4A363D">
            <w:pPr>
              <w:spacing w:line="440" w:lineRule="exact"/>
              <w:jc w:val="center"/>
              <w:rPr>
                <w:rFonts w:hint="eastAsia" w:ascii="宋体" w:hAnsi="宋体" w:eastAsia="宋体" w:cs="宋体"/>
                <w:color w:val="auto"/>
                <w:kern w:val="0"/>
                <w:sz w:val="24"/>
                <w:szCs w:val="24"/>
                <w:highlight w:val="none"/>
                <w:lang w:eastAsia="zh-CN"/>
              </w:rPr>
            </w:pPr>
          </w:p>
        </w:tc>
      </w:tr>
      <w:tr w14:paraId="5BD0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74F9DCC0">
            <w:pPr>
              <w:widowControl/>
              <w:spacing w:line="440" w:lineRule="exact"/>
              <w:jc w:val="center"/>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备注</w:t>
            </w:r>
          </w:p>
        </w:tc>
        <w:tc>
          <w:tcPr>
            <w:tcW w:w="6687" w:type="dxa"/>
            <w:noWrap w:val="0"/>
            <w:vAlign w:val="center"/>
          </w:tcPr>
          <w:p w14:paraId="5B27BCC7">
            <w:pPr>
              <w:spacing w:line="440" w:lineRule="exact"/>
              <w:jc w:val="center"/>
              <w:rPr>
                <w:rFonts w:hint="eastAsia" w:ascii="宋体" w:hAnsi="宋体" w:eastAsia="宋体" w:cs="宋体"/>
                <w:color w:val="auto"/>
                <w:kern w:val="0"/>
                <w:sz w:val="24"/>
                <w:szCs w:val="24"/>
                <w:highlight w:val="none"/>
                <w:lang w:eastAsia="zh-CN"/>
              </w:rPr>
            </w:pPr>
          </w:p>
        </w:tc>
      </w:tr>
    </w:tbl>
    <w:p w14:paraId="71E8E04A">
      <w:pPr>
        <w:pStyle w:val="85"/>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兹声明：以上投标报价在投标有效期内一直有效。</w:t>
      </w:r>
    </w:p>
    <w:p w14:paraId="51EC18A7">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投标人名称（加盖公章）：</w:t>
      </w:r>
      <w:r>
        <w:rPr>
          <w:rFonts w:hint="eastAsia" w:ascii="宋体" w:hAnsi="宋体" w:eastAsia="宋体" w:cs="宋体"/>
          <w:bCs/>
          <w:color w:val="auto"/>
          <w:sz w:val="24"/>
          <w:szCs w:val="24"/>
          <w:highlight w:val="none"/>
          <w:u w:val="single"/>
        </w:rPr>
        <w:t xml:space="preserve">                               </w:t>
      </w:r>
    </w:p>
    <w:p w14:paraId="02467468">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代理（被授权人）签字：</w:t>
      </w:r>
      <w:r>
        <w:rPr>
          <w:rFonts w:hint="eastAsia" w:ascii="宋体" w:hAnsi="宋体" w:eastAsia="宋体" w:cs="宋体"/>
          <w:bCs/>
          <w:color w:val="auto"/>
          <w:sz w:val="24"/>
          <w:szCs w:val="24"/>
          <w:highlight w:val="none"/>
          <w:u w:val="single"/>
        </w:rPr>
        <w:t xml:space="preserve">                  </w:t>
      </w:r>
    </w:p>
    <w:p w14:paraId="0B7DDA35">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0359C3FA">
      <w:pPr>
        <w:pStyle w:val="14"/>
        <w:spacing w:line="360" w:lineRule="auto"/>
        <w:ind w:firstLine="480" w:firstLineChars="200"/>
        <w:rPr>
          <w:rFonts w:hint="eastAsia" w:ascii="宋体" w:hAnsi="宋体" w:eastAsia="宋体" w:cs="宋体"/>
          <w:color w:val="auto"/>
          <w:sz w:val="24"/>
          <w:szCs w:val="24"/>
          <w:highlight w:val="none"/>
        </w:rPr>
      </w:pPr>
    </w:p>
    <w:p w14:paraId="259EE7C5">
      <w:pPr>
        <w:spacing w:line="460" w:lineRule="atLeast"/>
        <w:rPr>
          <w:rFonts w:hint="eastAsia" w:ascii="宋体" w:hAnsi="宋体" w:eastAsia="宋体" w:cs="宋体"/>
          <w:color w:val="auto"/>
          <w:sz w:val="24"/>
          <w:szCs w:val="24"/>
          <w:highlight w:val="none"/>
        </w:rPr>
      </w:pPr>
    </w:p>
    <w:p w14:paraId="383B174D">
      <w:pPr>
        <w:spacing w:line="460" w:lineRule="atLeast"/>
        <w:rPr>
          <w:rFonts w:hint="eastAsia" w:ascii="宋体" w:hAnsi="宋体" w:eastAsia="宋体" w:cs="宋体"/>
          <w:color w:val="auto"/>
          <w:sz w:val="24"/>
          <w:szCs w:val="24"/>
          <w:highlight w:val="none"/>
        </w:rPr>
      </w:pPr>
    </w:p>
    <w:p w14:paraId="0F47FB24">
      <w:pPr>
        <w:spacing w:line="460" w:lineRule="atLeast"/>
        <w:rPr>
          <w:rFonts w:hint="eastAsia" w:ascii="宋体" w:hAnsi="宋体" w:eastAsia="宋体" w:cs="宋体"/>
          <w:color w:val="auto"/>
          <w:sz w:val="24"/>
          <w:szCs w:val="24"/>
          <w:highlight w:val="none"/>
        </w:rPr>
      </w:pPr>
    </w:p>
    <w:p w14:paraId="4D577913">
      <w:pPr>
        <w:pStyle w:val="14"/>
        <w:spacing w:line="360" w:lineRule="auto"/>
        <w:rPr>
          <w:rFonts w:hAnsi="宋体" w:cs="Times New Roman"/>
          <w:color w:val="auto"/>
          <w:sz w:val="24"/>
          <w:szCs w:val="24"/>
          <w:highlight w:val="none"/>
        </w:rPr>
      </w:pPr>
    </w:p>
    <w:p w14:paraId="49F74583">
      <w:pPr>
        <w:jc w:val="center"/>
        <w:outlineLvl w:val="1"/>
        <w:rPr>
          <w:rFonts w:hint="eastAsia" w:ascii="宋体" w:hAnsi="宋体" w:eastAsia="宋体" w:cs="宋体"/>
          <w:b/>
          <w:color w:val="auto"/>
          <w:kern w:val="2"/>
          <w:sz w:val="24"/>
          <w:szCs w:val="24"/>
          <w:highlight w:val="none"/>
          <w:lang w:val="en-US" w:eastAsia="zh-CN" w:bidi="ar-SA"/>
        </w:rPr>
      </w:pPr>
      <w:r>
        <w:rPr>
          <w:rStyle w:val="86"/>
          <w:rFonts w:hint="eastAsia" w:ascii="宋体" w:hAnsi="宋体" w:eastAsia="宋体" w:cs="宋体"/>
          <w:color w:val="auto"/>
          <w:sz w:val="24"/>
          <w:szCs w:val="24"/>
          <w:highlight w:val="none"/>
        </w:rPr>
        <w:br w:type="page"/>
      </w:r>
      <w:bookmarkStart w:id="145" w:name="_Toc17401"/>
      <w:r>
        <w:rPr>
          <w:rFonts w:hint="eastAsia" w:ascii="宋体" w:hAnsi="宋体" w:eastAsia="宋体" w:cs="宋体"/>
          <w:b/>
          <w:color w:val="auto"/>
          <w:kern w:val="2"/>
          <w:sz w:val="24"/>
          <w:szCs w:val="24"/>
          <w:highlight w:val="none"/>
          <w:lang w:val="en-US" w:eastAsia="zh-CN" w:bidi="ar-SA"/>
        </w:rPr>
        <w:t>四、明细报价表</w:t>
      </w:r>
      <w:bookmarkEnd w:id="145"/>
    </w:p>
    <w:p w14:paraId="1F7A77A0">
      <w:pPr>
        <w:pStyle w:val="14"/>
        <w:ind w:firstLine="480" w:firstLineChars="200"/>
        <w:rPr>
          <w:rFonts w:hint="eastAsia" w:ascii="宋体" w:hAnsi="宋体" w:eastAsia="宋体" w:cs="宋体"/>
          <w:color w:val="auto"/>
          <w:sz w:val="24"/>
          <w:szCs w:val="24"/>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14:paraId="56A4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4507611E">
            <w:pPr>
              <w:spacing w:line="440" w:lineRule="exact"/>
              <w:jc w:val="center"/>
              <w:rPr>
                <w:color w:val="auto"/>
                <w:sz w:val="24"/>
                <w:szCs w:val="24"/>
                <w:highlight w:val="none"/>
              </w:rPr>
            </w:pPr>
            <w:r>
              <w:rPr>
                <w:rFonts w:hint="eastAsia"/>
                <w:color w:val="auto"/>
                <w:sz w:val="24"/>
                <w:szCs w:val="24"/>
                <w:highlight w:val="none"/>
              </w:rPr>
              <w:t>序号</w:t>
            </w:r>
          </w:p>
        </w:tc>
        <w:tc>
          <w:tcPr>
            <w:tcW w:w="1864" w:type="dxa"/>
            <w:noWrap w:val="0"/>
            <w:vAlign w:val="center"/>
          </w:tcPr>
          <w:p w14:paraId="3BC1B6D7">
            <w:pPr>
              <w:spacing w:line="440" w:lineRule="exact"/>
              <w:jc w:val="center"/>
              <w:rPr>
                <w:color w:val="auto"/>
                <w:sz w:val="24"/>
                <w:szCs w:val="24"/>
                <w:highlight w:val="none"/>
              </w:rPr>
            </w:pPr>
            <w:r>
              <w:rPr>
                <w:rFonts w:hint="eastAsia"/>
                <w:color w:val="auto"/>
                <w:sz w:val="24"/>
                <w:szCs w:val="24"/>
                <w:highlight w:val="none"/>
              </w:rPr>
              <w:t>名称</w:t>
            </w:r>
          </w:p>
        </w:tc>
        <w:tc>
          <w:tcPr>
            <w:tcW w:w="1650" w:type="dxa"/>
            <w:noWrap w:val="0"/>
            <w:vAlign w:val="center"/>
          </w:tcPr>
          <w:p w14:paraId="17F1BF1B">
            <w:pPr>
              <w:spacing w:line="440" w:lineRule="exact"/>
              <w:jc w:val="center"/>
              <w:rPr>
                <w:color w:val="auto"/>
                <w:sz w:val="24"/>
                <w:szCs w:val="24"/>
                <w:highlight w:val="none"/>
              </w:rPr>
            </w:pPr>
            <w:r>
              <w:rPr>
                <w:rFonts w:hint="eastAsia"/>
                <w:color w:val="auto"/>
                <w:sz w:val="24"/>
                <w:szCs w:val="24"/>
                <w:highlight w:val="none"/>
              </w:rPr>
              <w:t>规格及型号</w:t>
            </w:r>
          </w:p>
        </w:tc>
        <w:tc>
          <w:tcPr>
            <w:tcW w:w="960" w:type="dxa"/>
            <w:noWrap w:val="0"/>
            <w:vAlign w:val="center"/>
          </w:tcPr>
          <w:p w14:paraId="1D7BAD21">
            <w:pPr>
              <w:spacing w:line="440" w:lineRule="exact"/>
              <w:jc w:val="center"/>
              <w:rPr>
                <w:color w:val="auto"/>
                <w:sz w:val="24"/>
                <w:szCs w:val="24"/>
                <w:highlight w:val="none"/>
              </w:rPr>
            </w:pPr>
            <w:r>
              <w:rPr>
                <w:rFonts w:hint="eastAsia"/>
                <w:color w:val="auto"/>
                <w:sz w:val="24"/>
                <w:szCs w:val="24"/>
                <w:highlight w:val="none"/>
              </w:rPr>
              <w:t>单位</w:t>
            </w:r>
          </w:p>
        </w:tc>
        <w:tc>
          <w:tcPr>
            <w:tcW w:w="1129" w:type="dxa"/>
            <w:noWrap w:val="0"/>
            <w:vAlign w:val="center"/>
          </w:tcPr>
          <w:p w14:paraId="3F8157F2">
            <w:pPr>
              <w:spacing w:line="440" w:lineRule="exact"/>
              <w:jc w:val="center"/>
              <w:rPr>
                <w:color w:val="auto"/>
                <w:sz w:val="24"/>
                <w:szCs w:val="24"/>
                <w:highlight w:val="none"/>
              </w:rPr>
            </w:pPr>
            <w:r>
              <w:rPr>
                <w:rFonts w:hint="eastAsia"/>
                <w:color w:val="auto"/>
                <w:sz w:val="24"/>
                <w:szCs w:val="24"/>
                <w:highlight w:val="none"/>
              </w:rPr>
              <w:t>数量</w:t>
            </w:r>
          </w:p>
        </w:tc>
        <w:tc>
          <w:tcPr>
            <w:tcW w:w="1265" w:type="dxa"/>
            <w:noWrap w:val="0"/>
            <w:vAlign w:val="center"/>
          </w:tcPr>
          <w:p w14:paraId="4F00C01A">
            <w:pPr>
              <w:spacing w:line="440" w:lineRule="exact"/>
              <w:jc w:val="center"/>
              <w:rPr>
                <w:color w:val="auto"/>
                <w:sz w:val="24"/>
                <w:szCs w:val="24"/>
                <w:highlight w:val="none"/>
              </w:rPr>
            </w:pPr>
            <w:r>
              <w:rPr>
                <w:rFonts w:hint="eastAsia"/>
                <w:color w:val="auto"/>
                <w:sz w:val="24"/>
                <w:szCs w:val="24"/>
                <w:highlight w:val="none"/>
              </w:rPr>
              <w:t>综合单价（元）</w:t>
            </w:r>
          </w:p>
        </w:tc>
        <w:tc>
          <w:tcPr>
            <w:tcW w:w="991" w:type="dxa"/>
            <w:noWrap w:val="0"/>
            <w:vAlign w:val="center"/>
          </w:tcPr>
          <w:p w14:paraId="6F3AFF35">
            <w:pPr>
              <w:spacing w:line="440" w:lineRule="exact"/>
              <w:jc w:val="center"/>
              <w:rPr>
                <w:color w:val="auto"/>
                <w:sz w:val="24"/>
                <w:szCs w:val="24"/>
                <w:highlight w:val="none"/>
              </w:rPr>
            </w:pPr>
            <w:r>
              <w:rPr>
                <w:rFonts w:hint="eastAsia"/>
                <w:color w:val="auto"/>
                <w:sz w:val="24"/>
                <w:szCs w:val="24"/>
                <w:highlight w:val="none"/>
              </w:rPr>
              <w:t>总价（元）</w:t>
            </w:r>
          </w:p>
        </w:tc>
        <w:tc>
          <w:tcPr>
            <w:tcW w:w="1127" w:type="dxa"/>
            <w:noWrap w:val="0"/>
            <w:vAlign w:val="center"/>
          </w:tcPr>
          <w:p w14:paraId="5FD8A1F4">
            <w:pPr>
              <w:spacing w:line="440" w:lineRule="exact"/>
              <w:jc w:val="center"/>
              <w:rPr>
                <w:color w:val="auto"/>
                <w:sz w:val="24"/>
                <w:szCs w:val="24"/>
                <w:highlight w:val="none"/>
              </w:rPr>
            </w:pPr>
            <w:r>
              <w:rPr>
                <w:rFonts w:hint="eastAsia"/>
                <w:color w:val="auto"/>
                <w:sz w:val="24"/>
                <w:szCs w:val="24"/>
                <w:highlight w:val="none"/>
              </w:rPr>
              <w:t>品牌及</w:t>
            </w:r>
          </w:p>
          <w:p w14:paraId="560640E4">
            <w:pPr>
              <w:spacing w:line="440" w:lineRule="exact"/>
              <w:jc w:val="center"/>
              <w:rPr>
                <w:color w:val="auto"/>
                <w:sz w:val="24"/>
                <w:szCs w:val="24"/>
                <w:highlight w:val="none"/>
              </w:rPr>
            </w:pPr>
            <w:r>
              <w:rPr>
                <w:rFonts w:hint="eastAsia"/>
                <w:color w:val="auto"/>
                <w:sz w:val="24"/>
                <w:szCs w:val="24"/>
                <w:highlight w:val="none"/>
              </w:rPr>
              <w:t>产地</w:t>
            </w:r>
          </w:p>
        </w:tc>
      </w:tr>
      <w:tr w14:paraId="4431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687DFBA8">
            <w:pPr>
              <w:spacing w:line="440" w:lineRule="exact"/>
              <w:rPr>
                <w:color w:val="auto"/>
                <w:sz w:val="24"/>
                <w:szCs w:val="24"/>
                <w:highlight w:val="none"/>
              </w:rPr>
            </w:pPr>
          </w:p>
        </w:tc>
        <w:tc>
          <w:tcPr>
            <w:tcW w:w="1864" w:type="dxa"/>
            <w:noWrap w:val="0"/>
            <w:vAlign w:val="center"/>
          </w:tcPr>
          <w:p w14:paraId="66DE7921">
            <w:pPr>
              <w:spacing w:line="440" w:lineRule="exact"/>
              <w:rPr>
                <w:color w:val="auto"/>
                <w:sz w:val="24"/>
                <w:szCs w:val="24"/>
                <w:highlight w:val="none"/>
              </w:rPr>
            </w:pPr>
          </w:p>
        </w:tc>
        <w:tc>
          <w:tcPr>
            <w:tcW w:w="1650" w:type="dxa"/>
            <w:noWrap w:val="0"/>
            <w:vAlign w:val="center"/>
          </w:tcPr>
          <w:p w14:paraId="3BCBA3DA">
            <w:pPr>
              <w:spacing w:line="440" w:lineRule="exact"/>
              <w:rPr>
                <w:color w:val="auto"/>
                <w:sz w:val="24"/>
                <w:szCs w:val="24"/>
                <w:highlight w:val="none"/>
              </w:rPr>
            </w:pPr>
          </w:p>
        </w:tc>
        <w:tc>
          <w:tcPr>
            <w:tcW w:w="960" w:type="dxa"/>
            <w:noWrap w:val="0"/>
            <w:vAlign w:val="center"/>
          </w:tcPr>
          <w:p w14:paraId="74C68E6B">
            <w:pPr>
              <w:spacing w:line="440" w:lineRule="exact"/>
              <w:rPr>
                <w:color w:val="auto"/>
                <w:sz w:val="24"/>
                <w:szCs w:val="24"/>
                <w:highlight w:val="none"/>
              </w:rPr>
            </w:pPr>
          </w:p>
        </w:tc>
        <w:tc>
          <w:tcPr>
            <w:tcW w:w="1129" w:type="dxa"/>
            <w:noWrap w:val="0"/>
            <w:vAlign w:val="center"/>
          </w:tcPr>
          <w:p w14:paraId="6DAF3965">
            <w:pPr>
              <w:spacing w:line="440" w:lineRule="exact"/>
              <w:rPr>
                <w:color w:val="auto"/>
                <w:sz w:val="24"/>
                <w:szCs w:val="24"/>
                <w:highlight w:val="none"/>
              </w:rPr>
            </w:pPr>
          </w:p>
        </w:tc>
        <w:tc>
          <w:tcPr>
            <w:tcW w:w="1265" w:type="dxa"/>
            <w:noWrap w:val="0"/>
            <w:vAlign w:val="center"/>
          </w:tcPr>
          <w:p w14:paraId="0F139353">
            <w:pPr>
              <w:spacing w:line="440" w:lineRule="exact"/>
              <w:rPr>
                <w:color w:val="auto"/>
                <w:sz w:val="24"/>
                <w:szCs w:val="24"/>
                <w:highlight w:val="none"/>
              </w:rPr>
            </w:pPr>
          </w:p>
        </w:tc>
        <w:tc>
          <w:tcPr>
            <w:tcW w:w="991" w:type="dxa"/>
            <w:noWrap w:val="0"/>
            <w:vAlign w:val="center"/>
          </w:tcPr>
          <w:p w14:paraId="533AFCD4">
            <w:pPr>
              <w:spacing w:line="440" w:lineRule="exact"/>
              <w:rPr>
                <w:color w:val="auto"/>
                <w:sz w:val="24"/>
                <w:szCs w:val="24"/>
                <w:highlight w:val="none"/>
              </w:rPr>
            </w:pPr>
          </w:p>
        </w:tc>
        <w:tc>
          <w:tcPr>
            <w:tcW w:w="1127" w:type="dxa"/>
            <w:noWrap w:val="0"/>
            <w:vAlign w:val="center"/>
          </w:tcPr>
          <w:p w14:paraId="5C1E3C20">
            <w:pPr>
              <w:spacing w:line="440" w:lineRule="exact"/>
              <w:rPr>
                <w:color w:val="auto"/>
                <w:sz w:val="24"/>
                <w:szCs w:val="24"/>
                <w:highlight w:val="none"/>
              </w:rPr>
            </w:pPr>
          </w:p>
        </w:tc>
      </w:tr>
      <w:tr w14:paraId="15D1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2F61300D">
            <w:pPr>
              <w:spacing w:line="440" w:lineRule="exact"/>
              <w:rPr>
                <w:color w:val="auto"/>
                <w:sz w:val="24"/>
                <w:szCs w:val="24"/>
                <w:highlight w:val="none"/>
              </w:rPr>
            </w:pPr>
          </w:p>
        </w:tc>
        <w:tc>
          <w:tcPr>
            <w:tcW w:w="1864" w:type="dxa"/>
            <w:noWrap w:val="0"/>
            <w:vAlign w:val="center"/>
          </w:tcPr>
          <w:p w14:paraId="3C1F9480">
            <w:pPr>
              <w:spacing w:line="440" w:lineRule="exact"/>
              <w:rPr>
                <w:color w:val="auto"/>
                <w:sz w:val="24"/>
                <w:szCs w:val="24"/>
                <w:highlight w:val="none"/>
              </w:rPr>
            </w:pPr>
          </w:p>
        </w:tc>
        <w:tc>
          <w:tcPr>
            <w:tcW w:w="1650" w:type="dxa"/>
            <w:noWrap w:val="0"/>
            <w:vAlign w:val="center"/>
          </w:tcPr>
          <w:p w14:paraId="11EE8CD7">
            <w:pPr>
              <w:spacing w:line="440" w:lineRule="exact"/>
              <w:rPr>
                <w:color w:val="auto"/>
                <w:sz w:val="24"/>
                <w:szCs w:val="24"/>
                <w:highlight w:val="none"/>
              </w:rPr>
            </w:pPr>
          </w:p>
        </w:tc>
        <w:tc>
          <w:tcPr>
            <w:tcW w:w="960" w:type="dxa"/>
            <w:noWrap w:val="0"/>
            <w:vAlign w:val="center"/>
          </w:tcPr>
          <w:p w14:paraId="24E7C878">
            <w:pPr>
              <w:spacing w:line="440" w:lineRule="exact"/>
              <w:rPr>
                <w:color w:val="auto"/>
                <w:sz w:val="24"/>
                <w:szCs w:val="24"/>
                <w:highlight w:val="none"/>
              </w:rPr>
            </w:pPr>
          </w:p>
        </w:tc>
        <w:tc>
          <w:tcPr>
            <w:tcW w:w="1129" w:type="dxa"/>
            <w:noWrap w:val="0"/>
            <w:vAlign w:val="center"/>
          </w:tcPr>
          <w:p w14:paraId="1796AEE4">
            <w:pPr>
              <w:spacing w:line="440" w:lineRule="exact"/>
              <w:rPr>
                <w:color w:val="auto"/>
                <w:sz w:val="24"/>
                <w:szCs w:val="24"/>
                <w:highlight w:val="none"/>
              </w:rPr>
            </w:pPr>
          </w:p>
        </w:tc>
        <w:tc>
          <w:tcPr>
            <w:tcW w:w="1265" w:type="dxa"/>
            <w:noWrap w:val="0"/>
            <w:vAlign w:val="center"/>
          </w:tcPr>
          <w:p w14:paraId="76AA8A50">
            <w:pPr>
              <w:spacing w:line="440" w:lineRule="exact"/>
              <w:rPr>
                <w:color w:val="auto"/>
                <w:sz w:val="24"/>
                <w:szCs w:val="24"/>
                <w:highlight w:val="none"/>
              </w:rPr>
            </w:pPr>
          </w:p>
        </w:tc>
        <w:tc>
          <w:tcPr>
            <w:tcW w:w="991" w:type="dxa"/>
            <w:noWrap w:val="0"/>
            <w:vAlign w:val="center"/>
          </w:tcPr>
          <w:p w14:paraId="5DD8326A">
            <w:pPr>
              <w:spacing w:line="440" w:lineRule="exact"/>
              <w:rPr>
                <w:color w:val="auto"/>
                <w:sz w:val="24"/>
                <w:szCs w:val="24"/>
                <w:highlight w:val="none"/>
              </w:rPr>
            </w:pPr>
          </w:p>
        </w:tc>
        <w:tc>
          <w:tcPr>
            <w:tcW w:w="1127" w:type="dxa"/>
            <w:noWrap w:val="0"/>
            <w:vAlign w:val="center"/>
          </w:tcPr>
          <w:p w14:paraId="1225D34C">
            <w:pPr>
              <w:spacing w:line="440" w:lineRule="exact"/>
              <w:rPr>
                <w:color w:val="auto"/>
                <w:sz w:val="24"/>
                <w:szCs w:val="24"/>
                <w:highlight w:val="none"/>
              </w:rPr>
            </w:pPr>
          </w:p>
        </w:tc>
      </w:tr>
      <w:tr w14:paraId="04C7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714967CA">
            <w:pPr>
              <w:spacing w:line="440" w:lineRule="exact"/>
              <w:rPr>
                <w:color w:val="auto"/>
                <w:sz w:val="24"/>
                <w:szCs w:val="24"/>
                <w:highlight w:val="none"/>
              </w:rPr>
            </w:pPr>
          </w:p>
        </w:tc>
        <w:tc>
          <w:tcPr>
            <w:tcW w:w="1864" w:type="dxa"/>
            <w:noWrap w:val="0"/>
            <w:vAlign w:val="center"/>
          </w:tcPr>
          <w:p w14:paraId="42CBE969">
            <w:pPr>
              <w:spacing w:line="440" w:lineRule="exact"/>
              <w:rPr>
                <w:color w:val="auto"/>
                <w:sz w:val="24"/>
                <w:szCs w:val="24"/>
                <w:highlight w:val="none"/>
              </w:rPr>
            </w:pPr>
          </w:p>
        </w:tc>
        <w:tc>
          <w:tcPr>
            <w:tcW w:w="1650" w:type="dxa"/>
            <w:noWrap w:val="0"/>
            <w:vAlign w:val="center"/>
          </w:tcPr>
          <w:p w14:paraId="39D6074A">
            <w:pPr>
              <w:spacing w:line="440" w:lineRule="exact"/>
              <w:rPr>
                <w:color w:val="auto"/>
                <w:sz w:val="24"/>
                <w:szCs w:val="24"/>
                <w:highlight w:val="none"/>
              </w:rPr>
            </w:pPr>
          </w:p>
        </w:tc>
        <w:tc>
          <w:tcPr>
            <w:tcW w:w="960" w:type="dxa"/>
            <w:noWrap w:val="0"/>
            <w:vAlign w:val="center"/>
          </w:tcPr>
          <w:p w14:paraId="69ECD527">
            <w:pPr>
              <w:spacing w:line="440" w:lineRule="exact"/>
              <w:rPr>
                <w:color w:val="auto"/>
                <w:sz w:val="24"/>
                <w:szCs w:val="24"/>
                <w:highlight w:val="none"/>
              </w:rPr>
            </w:pPr>
          </w:p>
        </w:tc>
        <w:tc>
          <w:tcPr>
            <w:tcW w:w="1129" w:type="dxa"/>
            <w:noWrap w:val="0"/>
            <w:vAlign w:val="center"/>
          </w:tcPr>
          <w:p w14:paraId="121259B1">
            <w:pPr>
              <w:spacing w:line="440" w:lineRule="exact"/>
              <w:rPr>
                <w:color w:val="auto"/>
                <w:sz w:val="24"/>
                <w:szCs w:val="24"/>
                <w:highlight w:val="none"/>
              </w:rPr>
            </w:pPr>
          </w:p>
        </w:tc>
        <w:tc>
          <w:tcPr>
            <w:tcW w:w="1265" w:type="dxa"/>
            <w:noWrap w:val="0"/>
            <w:vAlign w:val="center"/>
          </w:tcPr>
          <w:p w14:paraId="261708D9">
            <w:pPr>
              <w:spacing w:line="440" w:lineRule="exact"/>
              <w:rPr>
                <w:color w:val="auto"/>
                <w:sz w:val="24"/>
                <w:szCs w:val="24"/>
                <w:highlight w:val="none"/>
              </w:rPr>
            </w:pPr>
          </w:p>
        </w:tc>
        <w:tc>
          <w:tcPr>
            <w:tcW w:w="991" w:type="dxa"/>
            <w:noWrap w:val="0"/>
            <w:vAlign w:val="center"/>
          </w:tcPr>
          <w:p w14:paraId="634A00B6">
            <w:pPr>
              <w:spacing w:line="440" w:lineRule="exact"/>
              <w:rPr>
                <w:color w:val="auto"/>
                <w:sz w:val="24"/>
                <w:szCs w:val="24"/>
                <w:highlight w:val="none"/>
              </w:rPr>
            </w:pPr>
          </w:p>
        </w:tc>
        <w:tc>
          <w:tcPr>
            <w:tcW w:w="1127" w:type="dxa"/>
            <w:noWrap w:val="0"/>
            <w:vAlign w:val="center"/>
          </w:tcPr>
          <w:p w14:paraId="7E61D06F">
            <w:pPr>
              <w:spacing w:line="440" w:lineRule="exact"/>
              <w:rPr>
                <w:color w:val="auto"/>
                <w:sz w:val="24"/>
                <w:szCs w:val="24"/>
                <w:highlight w:val="none"/>
              </w:rPr>
            </w:pPr>
          </w:p>
        </w:tc>
      </w:tr>
      <w:tr w14:paraId="14B8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246F001D">
            <w:pPr>
              <w:spacing w:line="440" w:lineRule="exact"/>
              <w:rPr>
                <w:color w:val="auto"/>
                <w:sz w:val="24"/>
                <w:szCs w:val="24"/>
                <w:highlight w:val="none"/>
              </w:rPr>
            </w:pPr>
          </w:p>
        </w:tc>
        <w:tc>
          <w:tcPr>
            <w:tcW w:w="1864" w:type="dxa"/>
            <w:noWrap w:val="0"/>
            <w:vAlign w:val="center"/>
          </w:tcPr>
          <w:p w14:paraId="37794931">
            <w:pPr>
              <w:spacing w:line="440" w:lineRule="exact"/>
              <w:rPr>
                <w:color w:val="auto"/>
                <w:sz w:val="24"/>
                <w:szCs w:val="24"/>
                <w:highlight w:val="none"/>
              </w:rPr>
            </w:pPr>
          </w:p>
        </w:tc>
        <w:tc>
          <w:tcPr>
            <w:tcW w:w="1650" w:type="dxa"/>
            <w:noWrap w:val="0"/>
            <w:vAlign w:val="center"/>
          </w:tcPr>
          <w:p w14:paraId="41C80408">
            <w:pPr>
              <w:spacing w:line="440" w:lineRule="exact"/>
              <w:rPr>
                <w:color w:val="auto"/>
                <w:sz w:val="24"/>
                <w:szCs w:val="24"/>
                <w:highlight w:val="none"/>
              </w:rPr>
            </w:pPr>
          </w:p>
        </w:tc>
        <w:tc>
          <w:tcPr>
            <w:tcW w:w="960" w:type="dxa"/>
            <w:noWrap w:val="0"/>
            <w:vAlign w:val="center"/>
          </w:tcPr>
          <w:p w14:paraId="1B67CAE8">
            <w:pPr>
              <w:spacing w:line="440" w:lineRule="exact"/>
              <w:rPr>
                <w:color w:val="auto"/>
                <w:sz w:val="24"/>
                <w:szCs w:val="24"/>
                <w:highlight w:val="none"/>
              </w:rPr>
            </w:pPr>
          </w:p>
        </w:tc>
        <w:tc>
          <w:tcPr>
            <w:tcW w:w="1129" w:type="dxa"/>
            <w:noWrap w:val="0"/>
            <w:vAlign w:val="center"/>
          </w:tcPr>
          <w:p w14:paraId="4C3085E6">
            <w:pPr>
              <w:spacing w:line="440" w:lineRule="exact"/>
              <w:rPr>
                <w:color w:val="auto"/>
                <w:sz w:val="24"/>
                <w:szCs w:val="24"/>
                <w:highlight w:val="none"/>
              </w:rPr>
            </w:pPr>
          </w:p>
        </w:tc>
        <w:tc>
          <w:tcPr>
            <w:tcW w:w="1265" w:type="dxa"/>
            <w:noWrap w:val="0"/>
            <w:vAlign w:val="center"/>
          </w:tcPr>
          <w:p w14:paraId="0435CEED">
            <w:pPr>
              <w:spacing w:line="440" w:lineRule="exact"/>
              <w:rPr>
                <w:color w:val="auto"/>
                <w:sz w:val="24"/>
                <w:szCs w:val="24"/>
                <w:highlight w:val="none"/>
              </w:rPr>
            </w:pPr>
          </w:p>
        </w:tc>
        <w:tc>
          <w:tcPr>
            <w:tcW w:w="991" w:type="dxa"/>
            <w:noWrap w:val="0"/>
            <w:vAlign w:val="center"/>
          </w:tcPr>
          <w:p w14:paraId="289BA944">
            <w:pPr>
              <w:spacing w:line="440" w:lineRule="exact"/>
              <w:rPr>
                <w:color w:val="auto"/>
                <w:sz w:val="24"/>
                <w:szCs w:val="24"/>
                <w:highlight w:val="none"/>
              </w:rPr>
            </w:pPr>
          </w:p>
        </w:tc>
        <w:tc>
          <w:tcPr>
            <w:tcW w:w="1127" w:type="dxa"/>
            <w:noWrap w:val="0"/>
            <w:vAlign w:val="center"/>
          </w:tcPr>
          <w:p w14:paraId="0B0937BF">
            <w:pPr>
              <w:spacing w:line="440" w:lineRule="exact"/>
              <w:rPr>
                <w:color w:val="auto"/>
                <w:sz w:val="24"/>
                <w:szCs w:val="24"/>
                <w:highlight w:val="none"/>
              </w:rPr>
            </w:pPr>
          </w:p>
        </w:tc>
      </w:tr>
      <w:tr w14:paraId="50D1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45B4F5E1">
            <w:pPr>
              <w:spacing w:line="440" w:lineRule="exact"/>
              <w:rPr>
                <w:color w:val="auto"/>
                <w:sz w:val="24"/>
                <w:szCs w:val="24"/>
                <w:highlight w:val="none"/>
              </w:rPr>
            </w:pPr>
          </w:p>
        </w:tc>
        <w:tc>
          <w:tcPr>
            <w:tcW w:w="1864" w:type="dxa"/>
            <w:noWrap w:val="0"/>
            <w:vAlign w:val="center"/>
          </w:tcPr>
          <w:p w14:paraId="129E62A7">
            <w:pPr>
              <w:spacing w:line="440" w:lineRule="exact"/>
              <w:rPr>
                <w:color w:val="auto"/>
                <w:sz w:val="24"/>
                <w:szCs w:val="24"/>
                <w:highlight w:val="none"/>
              </w:rPr>
            </w:pPr>
          </w:p>
        </w:tc>
        <w:tc>
          <w:tcPr>
            <w:tcW w:w="1650" w:type="dxa"/>
            <w:noWrap w:val="0"/>
            <w:vAlign w:val="center"/>
          </w:tcPr>
          <w:p w14:paraId="092F54A4">
            <w:pPr>
              <w:spacing w:line="440" w:lineRule="exact"/>
              <w:rPr>
                <w:color w:val="auto"/>
                <w:sz w:val="24"/>
                <w:szCs w:val="24"/>
                <w:highlight w:val="none"/>
              </w:rPr>
            </w:pPr>
          </w:p>
        </w:tc>
        <w:tc>
          <w:tcPr>
            <w:tcW w:w="960" w:type="dxa"/>
            <w:noWrap w:val="0"/>
            <w:vAlign w:val="center"/>
          </w:tcPr>
          <w:p w14:paraId="08208D43">
            <w:pPr>
              <w:spacing w:line="440" w:lineRule="exact"/>
              <w:rPr>
                <w:color w:val="auto"/>
                <w:sz w:val="24"/>
                <w:szCs w:val="24"/>
                <w:highlight w:val="none"/>
              </w:rPr>
            </w:pPr>
          </w:p>
        </w:tc>
        <w:tc>
          <w:tcPr>
            <w:tcW w:w="1129" w:type="dxa"/>
            <w:noWrap w:val="0"/>
            <w:vAlign w:val="center"/>
          </w:tcPr>
          <w:p w14:paraId="1B317CA5">
            <w:pPr>
              <w:spacing w:line="440" w:lineRule="exact"/>
              <w:rPr>
                <w:color w:val="auto"/>
                <w:sz w:val="24"/>
                <w:szCs w:val="24"/>
                <w:highlight w:val="none"/>
              </w:rPr>
            </w:pPr>
          </w:p>
        </w:tc>
        <w:tc>
          <w:tcPr>
            <w:tcW w:w="1265" w:type="dxa"/>
            <w:noWrap w:val="0"/>
            <w:vAlign w:val="center"/>
          </w:tcPr>
          <w:p w14:paraId="4D24C8B0">
            <w:pPr>
              <w:spacing w:line="440" w:lineRule="exact"/>
              <w:rPr>
                <w:color w:val="auto"/>
                <w:sz w:val="24"/>
                <w:szCs w:val="24"/>
                <w:highlight w:val="none"/>
              </w:rPr>
            </w:pPr>
          </w:p>
        </w:tc>
        <w:tc>
          <w:tcPr>
            <w:tcW w:w="991" w:type="dxa"/>
            <w:noWrap w:val="0"/>
            <w:vAlign w:val="center"/>
          </w:tcPr>
          <w:p w14:paraId="284E6AF7">
            <w:pPr>
              <w:spacing w:line="440" w:lineRule="exact"/>
              <w:rPr>
                <w:color w:val="auto"/>
                <w:sz w:val="24"/>
                <w:szCs w:val="24"/>
                <w:highlight w:val="none"/>
              </w:rPr>
            </w:pPr>
          </w:p>
        </w:tc>
        <w:tc>
          <w:tcPr>
            <w:tcW w:w="1127" w:type="dxa"/>
            <w:noWrap w:val="0"/>
            <w:vAlign w:val="center"/>
          </w:tcPr>
          <w:p w14:paraId="0A24502E">
            <w:pPr>
              <w:spacing w:line="440" w:lineRule="exact"/>
              <w:rPr>
                <w:color w:val="auto"/>
                <w:sz w:val="24"/>
                <w:szCs w:val="24"/>
                <w:highlight w:val="none"/>
              </w:rPr>
            </w:pPr>
          </w:p>
        </w:tc>
      </w:tr>
      <w:tr w14:paraId="1EAB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14:paraId="48542973">
            <w:pPr>
              <w:spacing w:line="440" w:lineRule="exact"/>
              <w:rPr>
                <w:color w:val="auto"/>
                <w:sz w:val="24"/>
                <w:szCs w:val="24"/>
                <w:highlight w:val="none"/>
              </w:rPr>
            </w:pPr>
          </w:p>
        </w:tc>
        <w:tc>
          <w:tcPr>
            <w:tcW w:w="1864" w:type="dxa"/>
            <w:noWrap w:val="0"/>
            <w:vAlign w:val="center"/>
          </w:tcPr>
          <w:p w14:paraId="646C7805">
            <w:pPr>
              <w:spacing w:line="440" w:lineRule="exact"/>
              <w:rPr>
                <w:color w:val="auto"/>
                <w:sz w:val="24"/>
                <w:szCs w:val="24"/>
                <w:highlight w:val="none"/>
              </w:rPr>
            </w:pPr>
          </w:p>
        </w:tc>
        <w:tc>
          <w:tcPr>
            <w:tcW w:w="1650" w:type="dxa"/>
            <w:noWrap w:val="0"/>
            <w:vAlign w:val="center"/>
          </w:tcPr>
          <w:p w14:paraId="43E9AB26">
            <w:pPr>
              <w:spacing w:line="440" w:lineRule="exact"/>
              <w:rPr>
                <w:color w:val="auto"/>
                <w:sz w:val="24"/>
                <w:szCs w:val="24"/>
                <w:highlight w:val="none"/>
              </w:rPr>
            </w:pPr>
          </w:p>
        </w:tc>
        <w:tc>
          <w:tcPr>
            <w:tcW w:w="960" w:type="dxa"/>
            <w:noWrap w:val="0"/>
            <w:vAlign w:val="center"/>
          </w:tcPr>
          <w:p w14:paraId="1C0898CE">
            <w:pPr>
              <w:spacing w:line="440" w:lineRule="exact"/>
              <w:rPr>
                <w:color w:val="auto"/>
                <w:sz w:val="24"/>
                <w:szCs w:val="24"/>
                <w:highlight w:val="none"/>
              </w:rPr>
            </w:pPr>
          </w:p>
        </w:tc>
        <w:tc>
          <w:tcPr>
            <w:tcW w:w="1129" w:type="dxa"/>
            <w:noWrap w:val="0"/>
            <w:vAlign w:val="center"/>
          </w:tcPr>
          <w:p w14:paraId="6679CB4C">
            <w:pPr>
              <w:spacing w:line="440" w:lineRule="exact"/>
              <w:rPr>
                <w:color w:val="auto"/>
                <w:sz w:val="24"/>
                <w:szCs w:val="24"/>
                <w:highlight w:val="none"/>
              </w:rPr>
            </w:pPr>
          </w:p>
        </w:tc>
        <w:tc>
          <w:tcPr>
            <w:tcW w:w="1265" w:type="dxa"/>
            <w:noWrap w:val="0"/>
            <w:vAlign w:val="center"/>
          </w:tcPr>
          <w:p w14:paraId="1E4B7F1F">
            <w:pPr>
              <w:spacing w:line="440" w:lineRule="exact"/>
              <w:rPr>
                <w:color w:val="auto"/>
                <w:sz w:val="24"/>
                <w:szCs w:val="24"/>
                <w:highlight w:val="none"/>
              </w:rPr>
            </w:pPr>
          </w:p>
        </w:tc>
        <w:tc>
          <w:tcPr>
            <w:tcW w:w="991" w:type="dxa"/>
            <w:noWrap w:val="0"/>
            <w:vAlign w:val="center"/>
          </w:tcPr>
          <w:p w14:paraId="3BD2354C">
            <w:pPr>
              <w:spacing w:line="440" w:lineRule="exact"/>
              <w:rPr>
                <w:color w:val="auto"/>
                <w:sz w:val="24"/>
                <w:szCs w:val="24"/>
                <w:highlight w:val="none"/>
              </w:rPr>
            </w:pPr>
          </w:p>
        </w:tc>
        <w:tc>
          <w:tcPr>
            <w:tcW w:w="1127" w:type="dxa"/>
            <w:noWrap w:val="0"/>
            <w:vAlign w:val="center"/>
          </w:tcPr>
          <w:p w14:paraId="4897CD29">
            <w:pPr>
              <w:spacing w:line="440" w:lineRule="exact"/>
              <w:rPr>
                <w:color w:val="auto"/>
                <w:sz w:val="24"/>
                <w:szCs w:val="24"/>
                <w:highlight w:val="none"/>
              </w:rPr>
            </w:pPr>
          </w:p>
        </w:tc>
      </w:tr>
      <w:tr w14:paraId="0480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14:paraId="75B7D70C">
            <w:pPr>
              <w:spacing w:line="440" w:lineRule="exact"/>
              <w:rPr>
                <w:color w:val="auto"/>
                <w:sz w:val="24"/>
                <w:szCs w:val="24"/>
                <w:highlight w:val="none"/>
              </w:rPr>
            </w:pPr>
          </w:p>
        </w:tc>
        <w:tc>
          <w:tcPr>
            <w:tcW w:w="1864" w:type="dxa"/>
            <w:noWrap w:val="0"/>
            <w:vAlign w:val="center"/>
          </w:tcPr>
          <w:p w14:paraId="7FC707FD">
            <w:pPr>
              <w:spacing w:line="440" w:lineRule="exact"/>
              <w:rPr>
                <w:color w:val="auto"/>
                <w:sz w:val="24"/>
                <w:szCs w:val="24"/>
                <w:highlight w:val="none"/>
              </w:rPr>
            </w:pPr>
          </w:p>
        </w:tc>
        <w:tc>
          <w:tcPr>
            <w:tcW w:w="1650" w:type="dxa"/>
            <w:noWrap w:val="0"/>
            <w:vAlign w:val="center"/>
          </w:tcPr>
          <w:p w14:paraId="07B166AF">
            <w:pPr>
              <w:spacing w:line="440" w:lineRule="exact"/>
              <w:rPr>
                <w:color w:val="auto"/>
                <w:sz w:val="24"/>
                <w:szCs w:val="24"/>
                <w:highlight w:val="none"/>
              </w:rPr>
            </w:pPr>
          </w:p>
        </w:tc>
        <w:tc>
          <w:tcPr>
            <w:tcW w:w="960" w:type="dxa"/>
            <w:noWrap w:val="0"/>
            <w:vAlign w:val="center"/>
          </w:tcPr>
          <w:p w14:paraId="50787DC3">
            <w:pPr>
              <w:spacing w:line="440" w:lineRule="exact"/>
              <w:rPr>
                <w:color w:val="auto"/>
                <w:sz w:val="24"/>
                <w:szCs w:val="24"/>
                <w:highlight w:val="none"/>
              </w:rPr>
            </w:pPr>
          </w:p>
        </w:tc>
        <w:tc>
          <w:tcPr>
            <w:tcW w:w="1129" w:type="dxa"/>
            <w:noWrap w:val="0"/>
            <w:vAlign w:val="center"/>
          </w:tcPr>
          <w:p w14:paraId="18D92542">
            <w:pPr>
              <w:spacing w:line="440" w:lineRule="exact"/>
              <w:rPr>
                <w:color w:val="auto"/>
                <w:sz w:val="24"/>
                <w:szCs w:val="24"/>
                <w:highlight w:val="none"/>
              </w:rPr>
            </w:pPr>
          </w:p>
        </w:tc>
        <w:tc>
          <w:tcPr>
            <w:tcW w:w="1265" w:type="dxa"/>
            <w:noWrap w:val="0"/>
            <w:vAlign w:val="center"/>
          </w:tcPr>
          <w:p w14:paraId="4FB66705">
            <w:pPr>
              <w:spacing w:line="440" w:lineRule="exact"/>
              <w:rPr>
                <w:color w:val="auto"/>
                <w:sz w:val="24"/>
                <w:szCs w:val="24"/>
                <w:highlight w:val="none"/>
              </w:rPr>
            </w:pPr>
          </w:p>
        </w:tc>
        <w:tc>
          <w:tcPr>
            <w:tcW w:w="991" w:type="dxa"/>
            <w:noWrap w:val="0"/>
            <w:vAlign w:val="center"/>
          </w:tcPr>
          <w:p w14:paraId="1EB11BBF">
            <w:pPr>
              <w:spacing w:line="440" w:lineRule="exact"/>
              <w:rPr>
                <w:color w:val="auto"/>
                <w:sz w:val="24"/>
                <w:szCs w:val="24"/>
                <w:highlight w:val="none"/>
              </w:rPr>
            </w:pPr>
          </w:p>
        </w:tc>
        <w:tc>
          <w:tcPr>
            <w:tcW w:w="1127" w:type="dxa"/>
            <w:noWrap w:val="0"/>
            <w:vAlign w:val="center"/>
          </w:tcPr>
          <w:p w14:paraId="6C2C7C05">
            <w:pPr>
              <w:spacing w:line="440" w:lineRule="exact"/>
              <w:rPr>
                <w:color w:val="auto"/>
                <w:sz w:val="24"/>
                <w:szCs w:val="24"/>
                <w:highlight w:val="none"/>
              </w:rPr>
            </w:pPr>
          </w:p>
        </w:tc>
      </w:tr>
      <w:tr w14:paraId="3DC9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14:paraId="103FAB51">
            <w:pPr>
              <w:spacing w:line="440" w:lineRule="exact"/>
              <w:rPr>
                <w:color w:val="auto"/>
                <w:sz w:val="24"/>
                <w:szCs w:val="24"/>
                <w:highlight w:val="none"/>
              </w:rPr>
            </w:pPr>
          </w:p>
        </w:tc>
        <w:tc>
          <w:tcPr>
            <w:tcW w:w="1864" w:type="dxa"/>
            <w:noWrap w:val="0"/>
            <w:vAlign w:val="center"/>
          </w:tcPr>
          <w:p w14:paraId="3F20C7E4">
            <w:pPr>
              <w:spacing w:line="440" w:lineRule="exact"/>
              <w:rPr>
                <w:color w:val="auto"/>
                <w:sz w:val="24"/>
                <w:szCs w:val="24"/>
                <w:highlight w:val="none"/>
              </w:rPr>
            </w:pPr>
          </w:p>
        </w:tc>
        <w:tc>
          <w:tcPr>
            <w:tcW w:w="1650" w:type="dxa"/>
            <w:noWrap w:val="0"/>
            <w:vAlign w:val="center"/>
          </w:tcPr>
          <w:p w14:paraId="7CF0CEA3">
            <w:pPr>
              <w:spacing w:line="440" w:lineRule="exact"/>
              <w:rPr>
                <w:color w:val="auto"/>
                <w:sz w:val="24"/>
                <w:szCs w:val="24"/>
                <w:highlight w:val="none"/>
              </w:rPr>
            </w:pPr>
          </w:p>
        </w:tc>
        <w:tc>
          <w:tcPr>
            <w:tcW w:w="960" w:type="dxa"/>
            <w:noWrap w:val="0"/>
            <w:vAlign w:val="center"/>
          </w:tcPr>
          <w:p w14:paraId="3432F6DC">
            <w:pPr>
              <w:spacing w:line="440" w:lineRule="exact"/>
              <w:rPr>
                <w:color w:val="auto"/>
                <w:sz w:val="24"/>
                <w:szCs w:val="24"/>
                <w:highlight w:val="none"/>
              </w:rPr>
            </w:pPr>
          </w:p>
        </w:tc>
        <w:tc>
          <w:tcPr>
            <w:tcW w:w="1129" w:type="dxa"/>
            <w:noWrap w:val="0"/>
            <w:vAlign w:val="center"/>
          </w:tcPr>
          <w:p w14:paraId="6FFE6D65">
            <w:pPr>
              <w:spacing w:line="440" w:lineRule="exact"/>
              <w:rPr>
                <w:color w:val="auto"/>
                <w:sz w:val="24"/>
                <w:szCs w:val="24"/>
                <w:highlight w:val="none"/>
              </w:rPr>
            </w:pPr>
          </w:p>
        </w:tc>
        <w:tc>
          <w:tcPr>
            <w:tcW w:w="1265" w:type="dxa"/>
            <w:noWrap w:val="0"/>
            <w:vAlign w:val="center"/>
          </w:tcPr>
          <w:p w14:paraId="230D095F">
            <w:pPr>
              <w:spacing w:line="440" w:lineRule="exact"/>
              <w:rPr>
                <w:color w:val="auto"/>
                <w:sz w:val="24"/>
                <w:szCs w:val="24"/>
                <w:highlight w:val="none"/>
              </w:rPr>
            </w:pPr>
          </w:p>
        </w:tc>
        <w:tc>
          <w:tcPr>
            <w:tcW w:w="991" w:type="dxa"/>
            <w:noWrap w:val="0"/>
            <w:vAlign w:val="center"/>
          </w:tcPr>
          <w:p w14:paraId="375D8CA0">
            <w:pPr>
              <w:spacing w:line="440" w:lineRule="exact"/>
              <w:rPr>
                <w:color w:val="auto"/>
                <w:sz w:val="24"/>
                <w:szCs w:val="24"/>
                <w:highlight w:val="none"/>
              </w:rPr>
            </w:pPr>
          </w:p>
        </w:tc>
        <w:tc>
          <w:tcPr>
            <w:tcW w:w="1127" w:type="dxa"/>
            <w:noWrap w:val="0"/>
            <w:vAlign w:val="center"/>
          </w:tcPr>
          <w:p w14:paraId="2003C0CD">
            <w:pPr>
              <w:spacing w:line="440" w:lineRule="exact"/>
              <w:rPr>
                <w:color w:val="auto"/>
                <w:sz w:val="24"/>
                <w:szCs w:val="24"/>
                <w:highlight w:val="none"/>
              </w:rPr>
            </w:pPr>
          </w:p>
        </w:tc>
      </w:tr>
      <w:tr w14:paraId="1DF0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14:paraId="60C37D0F">
            <w:pPr>
              <w:spacing w:line="440" w:lineRule="exact"/>
              <w:rPr>
                <w:color w:val="auto"/>
                <w:sz w:val="24"/>
                <w:szCs w:val="24"/>
                <w:highlight w:val="none"/>
              </w:rPr>
            </w:pPr>
          </w:p>
        </w:tc>
        <w:tc>
          <w:tcPr>
            <w:tcW w:w="1864" w:type="dxa"/>
            <w:noWrap w:val="0"/>
            <w:vAlign w:val="center"/>
          </w:tcPr>
          <w:p w14:paraId="4901521C">
            <w:pPr>
              <w:spacing w:line="440" w:lineRule="exact"/>
              <w:rPr>
                <w:color w:val="auto"/>
                <w:sz w:val="24"/>
                <w:szCs w:val="24"/>
                <w:highlight w:val="none"/>
              </w:rPr>
            </w:pPr>
          </w:p>
        </w:tc>
        <w:tc>
          <w:tcPr>
            <w:tcW w:w="1650" w:type="dxa"/>
            <w:noWrap w:val="0"/>
            <w:vAlign w:val="center"/>
          </w:tcPr>
          <w:p w14:paraId="218EA18C">
            <w:pPr>
              <w:spacing w:line="440" w:lineRule="exact"/>
              <w:rPr>
                <w:color w:val="auto"/>
                <w:sz w:val="24"/>
                <w:szCs w:val="24"/>
                <w:highlight w:val="none"/>
              </w:rPr>
            </w:pPr>
          </w:p>
        </w:tc>
        <w:tc>
          <w:tcPr>
            <w:tcW w:w="960" w:type="dxa"/>
            <w:noWrap w:val="0"/>
            <w:vAlign w:val="center"/>
          </w:tcPr>
          <w:p w14:paraId="293E9DFD">
            <w:pPr>
              <w:spacing w:line="440" w:lineRule="exact"/>
              <w:rPr>
                <w:color w:val="auto"/>
                <w:sz w:val="24"/>
                <w:szCs w:val="24"/>
                <w:highlight w:val="none"/>
              </w:rPr>
            </w:pPr>
          </w:p>
        </w:tc>
        <w:tc>
          <w:tcPr>
            <w:tcW w:w="1129" w:type="dxa"/>
            <w:noWrap w:val="0"/>
            <w:vAlign w:val="center"/>
          </w:tcPr>
          <w:p w14:paraId="4B57204A">
            <w:pPr>
              <w:spacing w:line="440" w:lineRule="exact"/>
              <w:rPr>
                <w:color w:val="auto"/>
                <w:sz w:val="24"/>
                <w:szCs w:val="24"/>
                <w:highlight w:val="none"/>
              </w:rPr>
            </w:pPr>
          </w:p>
        </w:tc>
        <w:tc>
          <w:tcPr>
            <w:tcW w:w="1265" w:type="dxa"/>
            <w:noWrap w:val="0"/>
            <w:vAlign w:val="center"/>
          </w:tcPr>
          <w:p w14:paraId="4F792EA0">
            <w:pPr>
              <w:spacing w:line="440" w:lineRule="exact"/>
              <w:rPr>
                <w:color w:val="auto"/>
                <w:sz w:val="24"/>
                <w:szCs w:val="24"/>
                <w:highlight w:val="none"/>
              </w:rPr>
            </w:pPr>
          </w:p>
        </w:tc>
        <w:tc>
          <w:tcPr>
            <w:tcW w:w="991" w:type="dxa"/>
            <w:noWrap w:val="0"/>
            <w:vAlign w:val="center"/>
          </w:tcPr>
          <w:p w14:paraId="5E742B61">
            <w:pPr>
              <w:spacing w:line="440" w:lineRule="exact"/>
              <w:rPr>
                <w:color w:val="auto"/>
                <w:sz w:val="24"/>
                <w:szCs w:val="24"/>
                <w:highlight w:val="none"/>
              </w:rPr>
            </w:pPr>
          </w:p>
        </w:tc>
        <w:tc>
          <w:tcPr>
            <w:tcW w:w="1127" w:type="dxa"/>
            <w:noWrap w:val="0"/>
            <w:vAlign w:val="center"/>
          </w:tcPr>
          <w:p w14:paraId="5205AF23">
            <w:pPr>
              <w:spacing w:line="440" w:lineRule="exact"/>
              <w:rPr>
                <w:color w:val="auto"/>
                <w:sz w:val="24"/>
                <w:szCs w:val="24"/>
                <w:highlight w:val="none"/>
              </w:rPr>
            </w:pPr>
          </w:p>
        </w:tc>
      </w:tr>
      <w:tr w14:paraId="17F1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14:paraId="0C36D2B6">
            <w:pPr>
              <w:spacing w:line="440" w:lineRule="exact"/>
              <w:rPr>
                <w:color w:val="auto"/>
                <w:sz w:val="24"/>
                <w:szCs w:val="24"/>
                <w:highlight w:val="none"/>
              </w:rPr>
            </w:pPr>
            <w:r>
              <w:rPr>
                <w:rFonts w:hint="eastAsia"/>
                <w:color w:val="auto"/>
                <w:sz w:val="24"/>
                <w:szCs w:val="24"/>
                <w:highlight w:val="none"/>
              </w:rPr>
              <w:t>合计金额（小写）</w:t>
            </w:r>
          </w:p>
        </w:tc>
        <w:tc>
          <w:tcPr>
            <w:tcW w:w="7122" w:type="dxa"/>
            <w:gridSpan w:val="6"/>
            <w:noWrap w:val="0"/>
            <w:vAlign w:val="center"/>
          </w:tcPr>
          <w:p w14:paraId="165D4DA8">
            <w:pPr>
              <w:spacing w:line="440" w:lineRule="exact"/>
              <w:rPr>
                <w:color w:val="auto"/>
                <w:sz w:val="24"/>
                <w:szCs w:val="24"/>
                <w:highlight w:val="none"/>
              </w:rPr>
            </w:pPr>
          </w:p>
        </w:tc>
      </w:tr>
      <w:tr w14:paraId="1F35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14:paraId="19178900">
            <w:pPr>
              <w:spacing w:line="440" w:lineRule="exact"/>
              <w:rPr>
                <w:color w:val="auto"/>
                <w:sz w:val="24"/>
                <w:szCs w:val="24"/>
                <w:highlight w:val="none"/>
              </w:rPr>
            </w:pPr>
            <w:r>
              <w:rPr>
                <w:rFonts w:hint="eastAsia"/>
                <w:color w:val="auto"/>
                <w:sz w:val="24"/>
                <w:szCs w:val="24"/>
                <w:highlight w:val="none"/>
              </w:rPr>
              <w:t>合计金额（大写）：</w:t>
            </w:r>
          </w:p>
        </w:tc>
        <w:tc>
          <w:tcPr>
            <w:tcW w:w="7122" w:type="dxa"/>
            <w:gridSpan w:val="6"/>
            <w:noWrap w:val="0"/>
            <w:vAlign w:val="center"/>
          </w:tcPr>
          <w:p w14:paraId="57FB7478">
            <w:pPr>
              <w:spacing w:line="440" w:lineRule="exact"/>
              <w:rPr>
                <w:color w:val="auto"/>
                <w:sz w:val="24"/>
                <w:szCs w:val="24"/>
                <w:highlight w:val="none"/>
              </w:rPr>
            </w:pPr>
          </w:p>
        </w:tc>
      </w:tr>
    </w:tbl>
    <w:p w14:paraId="6F8FC9B5">
      <w:pPr>
        <w:pStyle w:val="14"/>
        <w:spacing w:line="360" w:lineRule="auto"/>
        <w:rPr>
          <w:rFonts w:hint="eastAsia" w:hAnsi="宋体"/>
          <w:b/>
          <w:bCs/>
          <w:color w:val="auto"/>
          <w:sz w:val="24"/>
          <w:szCs w:val="24"/>
          <w:highlight w:val="none"/>
        </w:rPr>
      </w:pPr>
    </w:p>
    <w:p w14:paraId="65B6DAF9">
      <w:pPr>
        <w:spacing w:line="440" w:lineRule="exact"/>
        <w:rPr>
          <w:rFonts w:ascii="宋体" w:hAnsi="宋体"/>
          <w:b/>
          <w:color w:val="auto"/>
          <w:sz w:val="24"/>
          <w:szCs w:val="24"/>
          <w:highlight w:val="none"/>
        </w:rPr>
      </w:pPr>
      <w:r>
        <w:rPr>
          <w:rFonts w:hint="eastAsia" w:hAnsi="宋体"/>
          <w:b/>
          <w:bCs/>
          <w:color w:val="auto"/>
          <w:sz w:val="24"/>
          <w:szCs w:val="24"/>
          <w:highlight w:val="none"/>
        </w:rPr>
        <w:t>注：</w:t>
      </w:r>
      <w:r>
        <w:rPr>
          <w:rFonts w:ascii="宋体" w:hAnsi="宋体"/>
          <w:b/>
          <w:color w:val="auto"/>
          <w:sz w:val="24"/>
          <w:szCs w:val="24"/>
          <w:highlight w:val="none"/>
        </w:rPr>
        <w:t>1</w:t>
      </w:r>
      <w:r>
        <w:rPr>
          <w:rFonts w:hint="eastAsia" w:ascii="宋体" w:hAnsi="宋体"/>
          <w:b/>
          <w:color w:val="auto"/>
          <w:sz w:val="24"/>
          <w:szCs w:val="24"/>
          <w:highlight w:val="none"/>
        </w:rPr>
        <w:t>、合计金额应为各分项价格之和。</w:t>
      </w:r>
    </w:p>
    <w:p w14:paraId="6C5556DB">
      <w:pPr>
        <w:spacing w:line="440" w:lineRule="exact"/>
        <w:ind w:firstLine="472" w:firstLineChars="196"/>
        <w:rPr>
          <w:rFonts w:ascii="宋体" w:hAnsi="宋体"/>
          <w:b/>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rPr>
        <w:t>、请各供应商根据投标方案，在本表中详细写明所有</w:t>
      </w:r>
      <w:r>
        <w:rPr>
          <w:rFonts w:hint="eastAsia" w:ascii="宋体" w:hAnsi="宋体"/>
          <w:b/>
          <w:color w:val="auto"/>
          <w:sz w:val="24"/>
          <w:szCs w:val="24"/>
          <w:highlight w:val="none"/>
          <w:lang w:val="en-US" w:eastAsia="zh-CN"/>
        </w:rPr>
        <w:t>产品</w:t>
      </w:r>
      <w:r>
        <w:rPr>
          <w:rFonts w:hint="eastAsia" w:ascii="宋体" w:hAnsi="宋体"/>
          <w:b/>
          <w:color w:val="auto"/>
          <w:sz w:val="24"/>
          <w:szCs w:val="24"/>
          <w:highlight w:val="none"/>
        </w:rPr>
        <w:t>型号规格、主要技术参数、数量、综合单价、总价及品牌和产地。</w:t>
      </w:r>
    </w:p>
    <w:p w14:paraId="253EC0A8">
      <w:pPr>
        <w:spacing w:line="440" w:lineRule="exact"/>
        <w:ind w:firstLine="472" w:firstLineChars="196"/>
        <w:rPr>
          <w:rFonts w:hint="eastAsia" w:ascii="宋体" w:hAnsi="宋体"/>
          <w:b/>
          <w:color w:val="auto"/>
          <w:sz w:val="24"/>
          <w:szCs w:val="24"/>
          <w:highlight w:val="none"/>
        </w:rPr>
      </w:pPr>
      <w:r>
        <w:rPr>
          <w:rFonts w:ascii="宋体" w:hAnsi="宋体"/>
          <w:b/>
          <w:color w:val="auto"/>
          <w:sz w:val="24"/>
          <w:szCs w:val="24"/>
          <w:highlight w:val="none"/>
        </w:rPr>
        <w:t>3</w:t>
      </w:r>
      <w:r>
        <w:rPr>
          <w:rFonts w:hint="eastAsia" w:ascii="宋体" w:hAnsi="宋体"/>
          <w:b/>
          <w:color w:val="auto"/>
          <w:sz w:val="24"/>
          <w:szCs w:val="24"/>
          <w:highlight w:val="none"/>
        </w:rPr>
        <w:t>、综合单价必须包括货物、运输、保险、售后服务、培训、税金等其它必须的所有费用。</w:t>
      </w:r>
    </w:p>
    <w:p w14:paraId="7EDE1ABB">
      <w:pPr>
        <w:spacing w:before="0" w:after="0" w:line="440" w:lineRule="exact"/>
        <w:ind w:firstLine="482" w:firstLineChars="200"/>
        <w:outlineLvl w:val="9"/>
        <w:rPr>
          <w:rFonts w:hint="default" w:eastAsia="宋体"/>
          <w:b/>
          <w:bCs/>
          <w:color w:val="auto"/>
          <w:sz w:val="24"/>
          <w:szCs w:val="24"/>
          <w:highlight w:val="none"/>
          <w:lang w:val="en-US" w:eastAsia="zh-CN"/>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本表可自行拓展。</w:t>
      </w:r>
    </w:p>
    <w:p w14:paraId="2C3111B3">
      <w:pPr>
        <w:pStyle w:val="14"/>
        <w:spacing w:line="360" w:lineRule="auto"/>
        <w:rPr>
          <w:rFonts w:hint="eastAsia" w:hAnsi="宋体"/>
          <w:b/>
          <w:bCs/>
          <w:color w:val="auto"/>
          <w:sz w:val="24"/>
          <w:szCs w:val="24"/>
          <w:highlight w:val="none"/>
        </w:rPr>
      </w:pPr>
    </w:p>
    <w:p w14:paraId="2856A550">
      <w:pPr>
        <w:pStyle w:val="14"/>
        <w:spacing w:line="360" w:lineRule="auto"/>
        <w:rPr>
          <w:rFonts w:hint="eastAsia" w:hAnsi="宋体"/>
          <w:color w:val="auto"/>
          <w:sz w:val="24"/>
          <w:szCs w:val="24"/>
          <w:highlight w:val="none"/>
        </w:rPr>
      </w:pPr>
    </w:p>
    <w:p w14:paraId="1F0904B9">
      <w:pPr>
        <w:pStyle w:val="14"/>
        <w:spacing w:line="360" w:lineRule="auto"/>
        <w:rPr>
          <w:rFonts w:hAnsi="宋体"/>
          <w:color w:val="auto"/>
          <w:sz w:val="24"/>
          <w:szCs w:val="24"/>
          <w:highlight w:val="none"/>
        </w:rPr>
      </w:pPr>
    </w:p>
    <w:p w14:paraId="37FD3502">
      <w:pPr>
        <w:pStyle w:val="14"/>
        <w:spacing w:line="360" w:lineRule="auto"/>
        <w:ind w:firstLine="480" w:firstLineChars="200"/>
        <w:rPr>
          <w:rFonts w:hAnsi="宋体"/>
          <w:color w:val="auto"/>
          <w:sz w:val="24"/>
          <w:szCs w:val="24"/>
          <w:highlight w:val="none"/>
        </w:rPr>
      </w:pPr>
      <w:r>
        <w:rPr>
          <w:rFonts w:hint="eastAsia" w:hAnsi="宋体"/>
          <w:color w:val="auto"/>
          <w:sz w:val="24"/>
          <w:szCs w:val="24"/>
          <w:highlight w:val="none"/>
        </w:rPr>
        <w:t>供应商名称</w:t>
      </w:r>
      <w:r>
        <w:rPr>
          <w:rFonts w:hAnsi="宋体"/>
          <w:color w:val="auto"/>
          <w:sz w:val="24"/>
          <w:szCs w:val="24"/>
          <w:highlight w:val="none"/>
        </w:rPr>
        <w:t>(</w:t>
      </w:r>
      <w:r>
        <w:rPr>
          <w:rFonts w:hint="eastAsia" w:hAnsi="宋体"/>
          <w:color w:val="auto"/>
          <w:sz w:val="24"/>
          <w:szCs w:val="24"/>
          <w:highlight w:val="none"/>
        </w:rPr>
        <w:t>公章</w:t>
      </w:r>
      <w:r>
        <w:rPr>
          <w:rFonts w:hAnsi="宋体"/>
          <w:color w:val="auto"/>
          <w:sz w:val="24"/>
          <w:szCs w:val="24"/>
          <w:highlight w:val="none"/>
        </w:rPr>
        <w:t>)</w:t>
      </w:r>
      <w:r>
        <w:rPr>
          <w:rFonts w:hint="eastAsia" w:hAnsi="宋体"/>
          <w:color w:val="auto"/>
          <w:sz w:val="24"/>
          <w:szCs w:val="24"/>
          <w:highlight w:val="none"/>
        </w:rPr>
        <w:t>：</w:t>
      </w:r>
      <w:r>
        <w:rPr>
          <w:rFonts w:hAnsi="宋体"/>
          <w:color w:val="auto"/>
          <w:sz w:val="24"/>
          <w:szCs w:val="24"/>
          <w:highlight w:val="none"/>
        </w:rPr>
        <w:t>____________</w:t>
      </w:r>
    </w:p>
    <w:p w14:paraId="39E40A47">
      <w:pPr>
        <w:pStyle w:val="14"/>
        <w:spacing w:line="360" w:lineRule="auto"/>
        <w:ind w:firstLine="480" w:firstLineChars="200"/>
        <w:rPr>
          <w:rFonts w:hAnsi="宋体"/>
          <w:color w:val="auto"/>
          <w:sz w:val="24"/>
          <w:szCs w:val="24"/>
          <w:highlight w:val="none"/>
        </w:rPr>
      </w:pPr>
      <w:r>
        <w:rPr>
          <w:rFonts w:hint="eastAsia" w:hAnsi="宋体"/>
          <w:color w:val="auto"/>
          <w:sz w:val="24"/>
          <w:szCs w:val="24"/>
          <w:highlight w:val="none"/>
        </w:rPr>
        <w:t>法定代表人或其授权代表</w:t>
      </w:r>
      <w:r>
        <w:rPr>
          <w:rFonts w:hAnsi="宋体"/>
          <w:color w:val="auto"/>
          <w:sz w:val="24"/>
          <w:szCs w:val="24"/>
          <w:highlight w:val="none"/>
        </w:rPr>
        <w:t>(</w:t>
      </w:r>
      <w:r>
        <w:rPr>
          <w:rFonts w:hint="eastAsia" w:hAnsi="宋体"/>
          <w:color w:val="auto"/>
          <w:sz w:val="24"/>
          <w:szCs w:val="24"/>
          <w:highlight w:val="none"/>
        </w:rPr>
        <w:t>签字或盖章</w:t>
      </w:r>
      <w:r>
        <w:rPr>
          <w:rFonts w:hAnsi="宋体"/>
          <w:color w:val="auto"/>
          <w:sz w:val="24"/>
          <w:szCs w:val="24"/>
          <w:highlight w:val="none"/>
        </w:rPr>
        <w:t>)</w:t>
      </w:r>
      <w:r>
        <w:rPr>
          <w:rFonts w:hint="eastAsia" w:hAnsi="宋体"/>
          <w:color w:val="auto"/>
          <w:sz w:val="24"/>
          <w:szCs w:val="24"/>
          <w:highlight w:val="none"/>
        </w:rPr>
        <w:t>：</w:t>
      </w:r>
      <w:r>
        <w:rPr>
          <w:rFonts w:hAnsi="宋体"/>
          <w:color w:val="auto"/>
          <w:sz w:val="24"/>
          <w:szCs w:val="24"/>
          <w:highlight w:val="none"/>
        </w:rPr>
        <w:t>____________</w:t>
      </w:r>
    </w:p>
    <w:p w14:paraId="6FF756AB">
      <w:pPr>
        <w:pStyle w:val="14"/>
        <w:spacing w:line="360" w:lineRule="auto"/>
        <w:ind w:firstLine="480" w:firstLineChars="200"/>
        <w:rPr>
          <w:rFonts w:hAnsi="宋体"/>
          <w:color w:val="auto"/>
          <w:sz w:val="24"/>
          <w:szCs w:val="24"/>
          <w:highlight w:val="none"/>
        </w:rPr>
      </w:pPr>
      <w:r>
        <w:rPr>
          <w:rFonts w:hint="eastAsia" w:hAnsi="宋体"/>
          <w:color w:val="auto"/>
          <w:sz w:val="24"/>
          <w:szCs w:val="24"/>
          <w:highlight w:val="none"/>
        </w:rPr>
        <w:t>日期：</w:t>
      </w:r>
      <w:r>
        <w:rPr>
          <w:rFonts w:hAnsi="宋体"/>
          <w:color w:val="auto"/>
          <w:sz w:val="24"/>
          <w:szCs w:val="24"/>
          <w:highlight w:val="none"/>
        </w:rPr>
        <w:t>______</w:t>
      </w:r>
      <w:r>
        <w:rPr>
          <w:rFonts w:hint="eastAsia" w:hAnsi="宋体"/>
          <w:color w:val="auto"/>
          <w:sz w:val="24"/>
          <w:szCs w:val="24"/>
          <w:highlight w:val="none"/>
        </w:rPr>
        <w:t>年</w:t>
      </w:r>
      <w:r>
        <w:rPr>
          <w:rFonts w:hAnsi="宋体"/>
          <w:color w:val="auto"/>
          <w:sz w:val="24"/>
          <w:szCs w:val="24"/>
          <w:highlight w:val="none"/>
        </w:rPr>
        <w:t>____</w:t>
      </w:r>
      <w:r>
        <w:rPr>
          <w:rFonts w:hint="eastAsia" w:hAnsi="宋体"/>
          <w:color w:val="auto"/>
          <w:sz w:val="24"/>
          <w:szCs w:val="24"/>
          <w:highlight w:val="none"/>
        </w:rPr>
        <w:t>月</w:t>
      </w:r>
      <w:r>
        <w:rPr>
          <w:rFonts w:hAnsi="宋体"/>
          <w:color w:val="auto"/>
          <w:sz w:val="24"/>
          <w:szCs w:val="24"/>
          <w:highlight w:val="none"/>
        </w:rPr>
        <w:t>____</w:t>
      </w:r>
      <w:r>
        <w:rPr>
          <w:rFonts w:hint="eastAsia" w:hAnsi="宋体"/>
          <w:color w:val="auto"/>
          <w:sz w:val="24"/>
          <w:szCs w:val="24"/>
          <w:highlight w:val="none"/>
        </w:rPr>
        <w:t>日</w:t>
      </w:r>
    </w:p>
    <w:p w14:paraId="409F8AFB">
      <w:pPr>
        <w:spacing w:before="156" w:after="156" w:line="320" w:lineRule="exact"/>
        <w:ind w:firstLine="480" w:firstLineChars="200"/>
        <w:jc w:val="center"/>
        <w:outlineLvl w:val="9"/>
        <w:rPr>
          <w:rFonts w:hint="eastAsia" w:ascii="宋体" w:hAnsi="宋体" w:cs="宋体"/>
          <w:bCs w:val="0"/>
          <w:color w:val="auto"/>
          <w:kern w:val="0"/>
          <w:sz w:val="24"/>
          <w:szCs w:val="24"/>
          <w:highlight w:val="none"/>
          <w:lang w:val="en-US" w:eastAsia="zh-CN"/>
        </w:rPr>
      </w:pPr>
    </w:p>
    <w:p w14:paraId="420CA91E">
      <w:pPr>
        <w:spacing w:before="156" w:after="156" w:line="320" w:lineRule="exact"/>
        <w:ind w:firstLine="480" w:firstLineChars="200"/>
        <w:jc w:val="center"/>
        <w:outlineLvl w:val="9"/>
        <w:rPr>
          <w:rFonts w:hint="eastAsia" w:ascii="宋体" w:hAnsi="宋体" w:cs="宋体"/>
          <w:bCs w:val="0"/>
          <w:color w:val="auto"/>
          <w:kern w:val="0"/>
          <w:sz w:val="24"/>
          <w:szCs w:val="24"/>
          <w:highlight w:val="none"/>
          <w:lang w:val="en-US" w:eastAsia="zh-CN"/>
        </w:rPr>
      </w:pPr>
    </w:p>
    <w:p w14:paraId="264D211C">
      <w:pPr>
        <w:pStyle w:val="4"/>
        <w:spacing w:before="156" w:after="156" w:line="320" w:lineRule="exact"/>
        <w:ind w:firstLine="482" w:firstLineChars="200"/>
        <w:jc w:val="center"/>
        <w:rPr>
          <w:rFonts w:hint="eastAsia" w:ascii="宋体" w:hAnsi="宋体" w:cs="宋体"/>
          <w:bCs w:val="0"/>
          <w:color w:val="auto"/>
          <w:kern w:val="0"/>
          <w:sz w:val="24"/>
          <w:szCs w:val="24"/>
          <w:highlight w:val="none"/>
          <w:lang w:val="en-US" w:eastAsia="zh-CN"/>
        </w:rPr>
      </w:pPr>
      <w:r>
        <w:rPr>
          <w:rFonts w:hint="eastAsia" w:ascii="宋体" w:hAnsi="宋体" w:cs="宋体"/>
          <w:bCs w:val="0"/>
          <w:color w:val="auto"/>
          <w:kern w:val="0"/>
          <w:sz w:val="24"/>
          <w:szCs w:val="24"/>
          <w:highlight w:val="none"/>
          <w:lang w:val="en-US" w:eastAsia="zh-CN"/>
        </w:rPr>
        <w:t>五、</w:t>
      </w:r>
      <w:r>
        <w:rPr>
          <w:rFonts w:hint="eastAsia" w:ascii="宋体" w:hAnsi="宋体" w:eastAsia="宋体" w:cs="宋体"/>
          <w:b/>
          <w:color w:val="auto"/>
          <w:kern w:val="2"/>
          <w:sz w:val="24"/>
          <w:szCs w:val="24"/>
          <w:highlight w:val="none"/>
          <w:lang w:val="en-US" w:eastAsia="zh-CN" w:bidi="ar-SA"/>
        </w:rPr>
        <w:t>供应商具备投标资格的证明文件</w:t>
      </w:r>
    </w:p>
    <w:p w14:paraId="09086BCD">
      <w:pPr>
        <w:pStyle w:val="5"/>
        <w:numPr>
          <w:ilvl w:val="2"/>
          <w:numId w:val="0"/>
        </w:numPr>
        <w:spacing w:before="156" w:after="156" w:line="320" w:lineRule="exact"/>
        <w:jc w:val="center"/>
        <w:outlineLvl w:val="2"/>
        <w:rPr>
          <w:rFonts w:hint="eastAsia" w:ascii="宋体" w:hAnsi="宋体" w:eastAsia="宋体" w:cs="宋体"/>
          <w:bCs w:val="0"/>
          <w:color w:val="auto"/>
          <w:kern w:val="0"/>
          <w:sz w:val="24"/>
          <w:szCs w:val="24"/>
          <w:highlight w:val="none"/>
        </w:rPr>
      </w:pPr>
      <w:r>
        <w:rPr>
          <w:rFonts w:hint="eastAsia" w:ascii="宋体" w:hAnsi="宋体" w:eastAsia="宋体" w:cs="宋体"/>
          <w:bCs w:val="0"/>
          <w:color w:val="auto"/>
          <w:kern w:val="0"/>
          <w:sz w:val="24"/>
          <w:szCs w:val="24"/>
          <w:highlight w:val="none"/>
          <w:lang w:val="en-US" w:eastAsia="zh-CN"/>
        </w:rPr>
        <w:t>附件</w:t>
      </w:r>
      <w:r>
        <w:rPr>
          <w:rFonts w:hint="eastAsia" w:ascii="宋体" w:hAnsi="宋体" w:cs="宋体"/>
          <w:bCs w:val="0"/>
          <w:color w:val="auto"/>
          <w:kern w:val="0"/>
          <w:sz w:val="24"/>
          <w:szCs w:val="24"/>
          <w:highlight w:val="none"/>
          <w:lang w:val="en-US" w:eastAsia="zh-CN"/>
        </w:rPr>
        <w:t>5-1</w:t>
      </w:r>
      <w:r>
        <w:rPr>
          <w:rFonts w:hint="eastAsia" w:ascii="宋体" w:hAnsi="宋体" w:eastAsia="宋体" w:cs="宋体"/>
          <w:bCs w:val="0"/>
          <w:color w:val="auto"/>
          <w:kern w:val="0"/>
          <w:sz w:val="24"/>
          <w:szCs w:val="24"/>
          <w:highlight w:val="none"/>
        </w:rPr>
        <w:t>、投标人基本情况表</w:t>
      </w:r>
      <w:bookmarkEnd w:id="143"/>
    </w:p>
    <w:tbl>
      <w:tblPr>
        <w:tblStyle w:val="31"/>
        <w:tblW w:w="9104" w:type="dxa"/>
        <w:jc w:val="center"/>
        <w:tblLayout w:type="fixed"/>
        <w:tblCellMar>
          <w:top w:w="0" w:type="dxa"/>
          <w:left w:w="108" w:type="dxa"/>
          <w:bottom w:w="0" w:type="dxa"/>
          <w:right w:w="108" w:type="dxa"/>
        </w:tblCellMar>
      </w:tblPr>
      <w:tblGrid>
        <w:gridCol w:w="1853"/>
        <w:gridCol w:w="1050"/>
        <w:gridCol w:w="2525"/>
        <w:gridCol w:w="1537"/>
        <w:gridCol w:w="2139"/>
      </w:tblGrid>
      <w:tr w14:paraId="08C3E043">
        <w:tblPrEx>
          <w:tblCellMar>
            <w:top w:w="0" w:type="dxa"/>
            <w:left w:w="108" w:type="dxa"/>
            <w:bottom w:w="0" w:type="dxa"/>
            <w:right w:w="108" w:type="dxa"/>
          </w:tblCellMar>
        </w:tblPrEx>
        <w:trPr>
          <w:trHeight w:val="1080"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14:paraId="37C2EF8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251" w:type="dxa"/>
            <w:gridSpan w:val="4"/>
            <w:tcBorders>
              <w:top w:val="single" w:color="auto" w:sz="4" w:space="0"/>
              <w:left w:val="nil"/>
              <w:bottom w:val="single" w:color="auto" w:sz="4" w:space="0"/>
              <w:right w:val="single" w:color="auto" w:sz="4" w:space="0"/>
            </w:tcBorders>
            <w:vAlign w:val="center"/>
          </w:tcPr>
          <w:p w14:paraId="2D4AC777">
            <w:pPr>
              <w:jc w:val="center"/>
              <w:rPr>
                <w:rFonts w:hint="eastAsia" w:ascii="宋体" w:hAnsi="宋体" w:eastAsia="宋体" w:cs="宋体"/>
                <w:strike/>
                <w:color w:val="auto"/>
                <w:sz w:val="24"/>
                <w:szCs w:val="24"/>
                <w:highlight w:val="none"/>
              </w:rPr>
            </w:pPr>
          </w:p>
        </w:tc>
      </w:tr>
      <w:tr w14:paraId="7F0D1C26">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1F8990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575" w:type="dxa"/>
            <w:gridSpan w:val="2"/>
            <w:tcBorders>
              <w:top w:val="single" w:color="auto" w:sz="4" w:space="0"/>
              <w:left w:val="nil"/>
              <w:bottom w:val="single" w:color="auto" w:sz="4" w:space="0"/>
              <w:right w:val="single" w:color="000000" w:sz="4" w:space="0"/>
            </w:tcBorders>
            <w:vAlign w:val="center"/>
          </w:tcPr>
          <w:p w14:paraId="383A70F8">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14:paraId="3612E1F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39" w:type="dxa"/>
            <w:tcBorders>
              <w:top w:val="nil"/>
              <w:left w:val="nil"/>
              <w:bottom w:val="single" w:color="auto" w:sz="4" w:space="0"/>
              <w:right w:val="single" w:color="auto" w:sz="4" w:space="0"/>
            </w:tcBorders>
            <w:vAlign w:val="center"/>
          </w:tcPr>
          <w:p w14:paraId="16E46F76">
            <w:pPr>
              <w:jc w:val="center"/>
              <w:rPr>
                <w:rFonts w:hint="eastAsia" w:ascii="宋体" w:hAnsi="宋体" w:eastAsia="宋体" w:cs="宋体"/>
                <w:color w:val="auto"/>
                <w:sz w:val="24"/>
                <w:szCs w:val="24"/>
                <w:highlight w:val="none"/>
              </w:rPr>
            </w:pPr>
          </w:p>
        </w:tc>
      </w:tr>
      <w:tr w14:paraId="4558466A">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7DEC4E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3575" w:type="dxa"/>
            <w:gridSpan w:val="2"/>
            <w:tcBorders>
              <w:top w:val="single" w:color="auto" w:sz="4" w:space="0"/>
              <w:left w:val="nil"/>
              <w:bottom w:val="single" w:color="auto" w:sz="4" w:space="0"/>
              <w:right w:val="single" w:color="000000" w:sz="4" w:space="0"/>
            </w:tcBorders>
            <w:vAlign w:val="center"/>
          </w:tcPr>
          <w:p w14:paraId="0E158456">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14:paraId="4222BE6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企业性质</w:t>
            </w:r>
          </w:p>
        </w:tc>
        <w:tc>
          <w:tcPr>
            <w:tcW w:w="2139" w:type="dxa"/>
            <w:tcBorders>
              <w:top w:val="nil"/>
              <w:left w:val="nil"/>
              <w:bottom w:val="single" w:color="auto" w:sz="4" w:space="0"/>
              <w:right w:val="single" w:color="auto" w:sz="4" w:space="0"/>
            </w:tcBorders>
            <w:vAlign w:val="center"/>
          </w:tcPr>
          <w:p w14:paraId="14F96A93">
            <w:pPr>
              <w:jc w:val="center"/>
              <w:rPr>
                <w:rFonts w:hint="eastAsia" w:ascii="宋体" w:hAnsi="宋体" w:eastAsia="宋体" w:cs="宋体"/>
                <w:color w:val="auto"/>
                <w:sz w:val="24"/>
                <w:szCs w:val="24"/>
                <w:highlight w:val="none"/>
              </w:rPr>
            </w:pPr>
          </w:p>
        </w:tc>
      </w:tr>
      <w:tr w14:paraId="6FFFAEA8">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28EBC7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社会统一信用代码</w:t>
            </w:r>
          </w:p>
        </w:tc>
        <w:tc>
          <w:tcPr>
            <w:tcW w:w="3575" w:type="dxa"/>
            <w:gridSpan w:val="2"/>
            <w:tcBorders>
              <w:top w:val="single" w:color="auto" w:sz="4" w:space="0"/>
              <w:left w:val="nil"/>
              <w:bottom w:val="single" w:color="auto" w:sz="4" w:space="0"/>
              <w:right w:val="single" w:color="000000" w:sz="4" w:space="0"/>
            </w:tcBorders>
            <w:vAlign w:val="center"/>
          </w:tcPr>
          <w:p w14:paraId="41F7A918">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14:paraId="0916FF3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139" w:type="dxa"/>
            <w:tcBorders>
              <w:top w:val="nil"/>
              <w:left w:val="nil"/>
              <w:bottom w:val="single" w:color="auto" w:sz="4" w:space="0"/>
              <w:right w:val="single" w:color="auto" w:sz="4" w:space="0"/>
            </w:tcBorders>
            <w:vAlign w:val="center"/>
          </w:tcPr>
          <w:p w14:paraId="4AFBD217">
            <w:pPr>
              <w:jc w:val="center"/>
              <w:rPr>
                <w:rFonts w:hint="eastAsia" w:ascii="宋体" w:hAnsi="宋体" w:eastAsia="宋体" w:cs="宋体"/>
                <w:color w:val="auto"/>
                <w:sz w:val="24"/>
                <w:szCs w:val="24"/>
                <w:highlight w:val="none"/>
              </w:rPr>
            </w:pPr>
          </w:p>
        </w:tc>
      </w:tr>
      <w:tr w14:paraId="718FF276">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7BE21D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50" w:type="dxa"/>
            <w:tcBorders>
              <w:top w:val="nil"/>
              <w:left w:val="nil"/>
              <w:bottom w:val="single" w:color="auto" w:sz="4" w:space="0"/>
              <w:right w:val="single" w:color="auto" w:sz="4" w:space="0"/>
            </w:tcBorders>
            <w:vAlign w:val="center"/>
          </w:tcPr>
          <w:p w14:paraId="29C3717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525" w:type="dxa"/>
            <w:tcBorders>
              <w:top w:val="nil"/>
              <w:left w:val="nil"/>
              <w:bottom w:val="single" w:color="auto" w:sz="4" w:space="0"/>
              <w:right w:val="single" w:color="auto" w:sz="4" w:space="0"/>
            </w:tcBorders>
            <w:vAlign w:val="center"/>
          </w:tcPr>
          <w:p w14:paraId="3A519DA6">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14:paraId="5E21E1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39" w:type="dxa"/>
            <w:tcBorders>
              <w:top w:val="nil"/>
              <w:left w:val="nil"/>
              <w:bottom w:val="single" w:color="auto" w:sz="4" w:space="0"/>
              <w:right w:val="single" w:color="auto" w:sz="4" w:space="0"/>
            </w:tcBorders>
            <w:vAlign w:val="center"/>
          </w:tcPr>
          <w:p w14:paraId="71C6CCEE">
            <w:pPr>
              <w:jc w:val="center"/>
              <w:rPr>
                <w:rFonts w:hint="eastAsia" w:ascii="宋体" w:hAnsi="宋体" w:eastAsia="宋体" w:cs="宋体"/>
                <w:color w:val="auto"/>
                <w:sz w:val="24"/>
                <w:szCs w:val="24"/>
                <w:highlight w:val="none"/>
              </w:rPr>
            </w:pPr>
          </w:p>
        </w:tc>
      </w:tr>
      <w:tr w14:paraId="15B9E9BE">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14:paraId="4E45747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50" w:type="dxa"/>
            <w:tcBorders>
              <w:top w:val="nil"/>
              <w:left w:val="nil"/>
              <w:bottom w:val="single" w:color="auto" w:sz="4" w:space="0"/>
              <w:right w:val="single" w:color="auto" w:sz="4" w:space="0"/>
            </w:tcBorders>
            <w:vAlign w:val="center"/>
          </w:tcPr>
          <w:p w14:paraId="0017873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525" w:type="dxa"/>
            <w:tcBorders>
              <w:top w:val="single" w:color="auto" w:sz="4" w:space="0"/>
              <w:left w:val="nil"/>
              <w:bottom w:val="single" w:color="auto" w:sz="4" w:space="0"/>
              <w:right w:val="single" w:color="000000" w:sz="4" w:space="0"/>
            </w:tcBorders>
            <w:vAlign w:val="center"/>
          </w:tcPr>
          <w:p w14:paraId="3D95A919">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14:paraId="0214C9E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39" w:type="dxa"/>
            <w:tcBorders>
              <w:top w:val="nil"/>
              <w:left w:val="nil"/>
              <w:bottom w:val="single" w:color="auto" w:sz="4" w:space="0"/>
              <w:right w:val="single" w:color="auto" w:sz="4" w:space="0"/>
            </w:tcBorders>
            <w:vAlign w:val="center"/>
          </w:tcPr>
          <w:p w14:paraId="641C06A9">
            <w:pPr>
              <w:jc w:val="center"/>
              <w:rPr>
                <w:rFonts w:hint="eastAsia" w:ascii="宋体" w:hAnsi="宋体" w:eastAsia="宋体" w:cs="宋体"/>
                <w:color w:val="auto"/>
                <w:sz w:val="24"/>
                <w:szCs w:val="24"/>
                <w:highlight w:val="none"/>
              </w:rPr>
            </w:pPr>
          </w:p>
        </w:tc>
      </w:tr>
      <w:tr w14:paraId="12F38555">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14:paraId="49481333">
            <w:pPr>
              <w:jc w:val="center"/>
              <w:rPr>
                <w:rFonts w:hint="eastAsia" w:ascii="宋体" w:hAnsi="宋体" w:eastAsia="宋体" w:cs="宋体"/>
                <w:color w:val="auto"/>
                <w:sz w:val="24"/>
                <w:szCs w:val="24"/>
                <w:highlight w:val="none"/>
              </w:rPr>
            </w:pPr>
          </w:p>
        </w:tc>
        <w:tc>
          <w:tcPr>
            <w:tcW w:w="1050" w:type="dxa"/>
            <w:tcBorders>
              <w:top w:val="nil"/>
              <w:left w:val="nil"/>
              <w:bottom w:val="single" w:color="auto" w:sz="4" w:space="0"/>
              <w:right w:val="single" w:color="auto" w:sz="4" w:space="0"/>
            </w:tcBorders>
            <w:vAlign w:val="center"/>
          </w:tcPr>
          <w:p w14:paraId="5FF4096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tc>
        <w:tc>
          <w:tcPr>
            <w:tcW w:w="2525" w:type="dxa"/>
            <w:tcBorders>
              <w:top w:val="single" w:color="auto" w:sz="4" w:space="0"/>
              <w:left w:val="nil"/>
              <w:bottom w:val="single" w:color="auto" w:sz="4" w:space="0"/>
              <w:right w:val="single" w:color="000000" w:sz="4" w:space="0"/>
            </w:tcBorders>
            <w:vAlign w:val="center"/>
          </w:tcPr>
          <w:p w14:paraId="351E4F5A">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14:paraId="3ECC34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2139" w:type="dxa"/>
            <w:tcBorders>
              <w:top w:val="nil"/>
              <w:left w:val="nil"/>
              <w:bottom w:val="single" w:color="auto" w:sz="4" w:space="0"/>
              <w:right w:val="single" w:color="auto" w:sz="4" w:space="0"/>
            </w:tcBorders>
            <w:vAlign w:val="center"/>
          </w:tcPr>
          <w:p w14:paraId="596B1317">
            <w:pPr>
              <w:jc w:val="center"/>
              <w:rPr>
                <w:rFonts w:hint="eastAsia" w:ascii="宋体" w:hAnsi="宋体" w:eastAsia="宋体" w:cs="宋体"/>
                <w:color w:val="auto"/>
                <w:sz w:val="24"/>
                <w:szCs w:val="24"/>
                <w:highlight w:val="none"/>
              </w:rPr>
            </w:pPr>
          </w:p>
        </w:tc>
      </w:tr>
      <w:tr w14:paraId="6BD66070">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0A38FCB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3575" w:type="dxa"/>
            <w:gridSpan w:val="2"/>
            <w:tcBorders>
              <w:top w:val="single" w:color="auto" w:sz="4" w:space="0"/>
              <w:left w:val="nil"/>
              <w:bottom w:val="single" w:color="auto" w:sz="4" w:space="0"/>
              <w:right w:val="single" w:color="000000" w:sz="4" w:space="0"/>
            </w:tcBorders>
            <w:vAlign w:val="center"/>
          </w:tcPr>
          <w:p w14:paraId="23040FEF">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14:paraId="1B36FF9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139" w:type="dxa"/>
            <w:tcBorders>
              <w:top w:val="nil"/>
              <w:left w:val="nil"/>
              <w:bottom w:val="single" w:color="auto" w:sz="4" w:space="0"/>
              <w:right w:val="single" w:color="auto" w:sz="4" w:space="0"/>
            </w:tcBorders>
            <w:vAlign w:val="center"/>
          </w:tcPr>
          <w:p w14:paraId="572F79C2">
            <w:pPr>
              <w:jc w:val="center"/>
              <w:rPr>
                <w:rFonts w:hint="eastAsia" w:ascii="宋体" w:hAnsi="宋体" w:eastAsia="宋体" w:cs="宋体"/>
                <w:color w:val="auto"/>
                <w:sz w:val="24"/>
                <w:szCs w:val="24"/>
                <w:highlight w:val="none"/>
              </w:rPr>
            </w:pPr>
          </w:p>
        </w:tc>
      </w:tr>
      <w:tr w14:paraId="321C3299">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3FE130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251" w:type="dxa"/>
            <w:gridSpan w:val="4"/>
            <w:tcBorders>
              <w:top w:val="single" w:color="auto" w:sz="4" w:space="0"/>
              <w:left w:val="nil"/>
              <w:bottom w:val="single" w:color="auto" w:sz="4" w:space="0"/>
              <w:right w:val="single" w:color="000000" w:sz="4" w:space="0"/>
            </w:tcBorders>
            <w:vAlign w:val="center"/>
          </w:tcPr>
          <w:p w14:paraId="6209EA63">
            <w:pPr>
              <w:jc w:val="center"/>
              <w:rPr>
                <w:rFonts w:hint="eastAsia" w:ascii="宋体" w:hAnsi="宋体" w:eastAsia="宋体" w:cs="宋体"/>
                <w:color w:val="auto"/>
                <w:sz w:val="24"/>
                <w:szCs w:val="24"/>
                <w:highlight w:val="none"/>
              </w:rPr>
            </w:pPr>
          </w:p>
        </w:tc>
      </w:tr>
      <w:tr w14:paraId="6F865298">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D10E6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251" w:type="dxa"/>
            <w:gridSpan w:val="4"/>
            <w:tcBorders>
              <w:top w:val="single" w:color="auto" w:sz="4" w:space="0"/>
              <w:left w:val="nil"/>
              <w:bottom w:val="single" w:color="auto" w:sz="4" w:space="0"/>
              <w:right w:val="single" w:color="000000" w:sz="4" w:space="0"/>
            </w:tcBorders>
            <w:vAlign w:val="center"/>
          </w:tcPr>
          <w:p w14:paraId="57EC17AA">
            <w:pPr>
              <w:jc w:val="center"/>
              <w:rPr>
                <w:rFonts w:hint="eastAsia" w:ascii="宋体" w:hAnsi="宋体" w:eastAsia="宋体" w:cs="宋体"/>
                <w:color w:val="auto"/>
                <w:sz w:val="24"/>
                <w:szCs w:val="24"/>
                <w:highlight w:val="none"/>
              </w:rPr>
            </w:pPr>
          </w:p>
        </w:tc>
      </w:tr>
    </w:tbl>
    <w:p w14:paraId="04867A5A">
      <w:pPr>
        <w:adjustRightInd w:val="0"/>
        <w:spacing w:line="320" w:lineRule="exact"/>
        <w:ind w:firstLine="480" w:firstLineChars="200"/>
        <w:jc w:val="left"/>
        <w:rPr>
          <w:rFonts w:hint="eastAsia" w:ascii="宋体" w:hAnsi="宋体" w:eastAsia="宋体" w:cs="宋体"/>
          <w:bCs/>
          <w:color w:val="auto"/>
          <w:sz w:val="24"/>
          <w:szCs w:val="24"/>
          <w:highlight w:val="none"/>
        </w:rPr>
      </w:pPr>
    </w:p>
    <w:p w14:paraId="770A0E6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A38B98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1、投标人为法人时，后附营业执照等相关资料</w:t>
      </w:r>
      <w:r>
        <w:rPr>
          <w:rFonts w:hint="eastAsia" w:ascii="宋体" w:hAnsi="宋体" w:cs="宋体"/>
          <w:color w:val="auto"/>
          <w:sz w:val="24"/>
          <w:szCs w:val="24"/>
          <w:highlight w:val="none"/>
          <w:lang w:eastAsia="zh-CN"/>
        </w:rPr>
        <w:t>扫描件</w:t>
      </w:r>
      <w:r>
        <w:rPr>
          <w:rFonts w:hint="eastAsia" w:ascii="宋体" w:hAnsi="宋体" w:eastAsia="宋体" w:cs="宋体"/>
          <w:color w:val="auto"/>
          <w:sz w:val="24"/>
          <w:szCs w:val="24"/>
          <w:highlight w:val="none"/>
        </w:rPr>
        <w:t xml:space="preserve">；    </w:t>
      </w:r>
    </w:p>
    <w:p w14:paraId="59DA164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2、投标人为非法人时，格式自拟，后附相关资料</w:t>
      </w:r>
      <w:r>
        <w:rPr>
          <w:rFonts w:hint="eastAsia" w:ascii="宋体" w:hAnsi="宋体" w:cs="宋体"/>
          <w:color w:val="auto"/>
          <w:sz w:val="24"/>
          <w:szCs w:val="24"/>
          <w:highlight w:val="none"/>
          <w:lang w:eastAsia="zh-CN"/>
        </w:rPr>
        <w:t>扫描件</w:t>
      </w:r>
      <w:r>
        <w:rPr>
          <w:rFonts w:hint="eastAsia" w:ascii="宋体" w:hAnsi="宋体" w:eastAsia="宋体" w:cs="宋体"/>
          <w:color w:val="auto"/>
          <w:sz w:val="24"/>
          <w:szCs w:val="24"/>
          <w:highlight w:val="none"/>
        </w:rPr>
        <w:t>。</w:t>
      </w:r>
    </w:p>
    <w:p w14:paraId="62B69350">
      <w:pPr>
        <w:adjustRightInd w:val="0"/>
        <w:spacing w:line="500" w:lineRule="exact"/>
        <w:ind w:firstLine="480" w:firstLineChars="200"/>
        <w:jc w:val="center"/>
        <w:rPr>
          <w:rFonts w:hint="eastAsia" w:ascii="宋体" w:hAnsi="宋体" w:eastAsia="宋体" w:cs="宋体"/>
          <w:bCs/>
          <w:color w:val="auto"/>
          <w:sz w:val="24"/>
          <w:szCs w:val="24"/>
          <w:highlight w:val="none"/>
        </w:rPr>
      </w:pPr>
      <w:bookmarkStart w:id="146" w:name="_Toc217446089"/>
    </w:p>
    <w:p w14:paraId="0340F9D5">
      <w:pPr>
        <w:adjustRightInd w:val="0"/>
        <w:spacing w:line="500" w:lineRule="exact"/>
        <w:ind w:firstLine="480" w:firstLineChars="200"/>
        <w:jc w:val="center"/>
        <w:rPr>
          <w:rFonts w:hint="eastAsia" w:ascii="宋体" w:hAnsi="宋体" w:eastAsia="宋体" w:cs="宋体"/>
          <w:bCs/>
          <w:color w:val="auto"/>
          <w:sz w:val="24"/>
          <w:szCs w:val="24"/>
          <w:highlight w:val="none"/>
        </w:rPr>
      </w:pPr>
    </w:p>
    <w:p w14:paraId="00736493">
      <w:pP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br w:type="page"/>
      </w:r>
    </w:p>
    <w:p w14:paraId="6F794348">
      <w:pPr>
        <w:pStyle w:val="5"/>
        <w:numPr>
          <w:ilvl w:val="2"/>
          <w:numId w:val="0"/>
        </w:numPr>
        <w:ind w:left="864" w:leftChars="0" w:hanging="864" w:firstLineChars="0"/>
        <w:rPr>
          <w:rFonts w:hint="eastAsia" w:ascii="宋体" w:hAnsi="宋体" w:eastAsia="宋体" w:cs="宋体"/>
          <w:color w:val="auto"/>
          <w:sz w:val="24"/>
          <w:szCs w:val="24"/>
          <w:highlight w:val="none"/>
        </w:rPr>
      </w:pPr>
      <w:bookmarkStart w:id="147" w:name="_Toc6915"/>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－2－1　具有独立承担民事责任的能力的证明材料</w:t>
      </w:r>
      <w:bookmarkEnd w:id="147"/>
    </w:p>
    <w:p w14:paraId="634E090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供应商满足以下条件之一即可：</w:t>
      </w:r>
    </w:p>
    <w:p w14:paraId="0F151FB1">
      <w:pPr>
        <w:pStyle w:val="30"/>
        <w:tabs>
          <w:tab w:val="left" w:pos="3075"/>
        </w:tabs>
        <w:spacing w:line="360" w:lineRule="auto"/>
        <w:ind w:firstLine="44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供应商为企业（包括合伙企业）的，应提供有效的“营业执照”； 供应商为事业单位的，应提供有效的“事业单位法人证书”； 供应商是非企业机构的，应提供有效的“执业许可证”、“登记证书”等证明文件； 供应商是个体工商户的，应提供有效的“个体工商户营业执照”； 供应商是自然人的，应提供有效的自然人身份证明。</w:t>
      </w:r>
    </w:p>
    <w:p w14:paraId="7F675749">
      <w:pPr>
        <w:pStyle w:val="30"/>
        <w:tabs>
          <w:tab w:val="left" w:pos="3075"/>
        </w:tabs>
        <w:spacing w:line="360" w:lineRule="auto"/>
        <w:ind w:firstLine="440"/>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注：以上证明材料须</w:t>
      </w:r>
      <w:r>
        <w:rPr>
          <w:rFonts w:hint="eastAsia" w:ascii="宋体" w:hAnsi="宋体" w:eastAsia="宋体" w:cs="宋体"/>
          <w:color w:val="auto"/>
          <w:sz w:val="24"/>
          <w:highlight w:val="none"/>
        </w:rPr>
        <w:t>加盖公章</w:t>
      </w:r>
    </w:p>
    <w:p w14:paraId="2D34E357">
      <w:pPr>
        <w:pStyle w:val="5"/>
        <w:numPr>
          <w:ilvl w:val="2"/>
          <w:numId w:val="0"/>
        </w:numPr>
        <w:ind w:left="864" w:leftChars="0" w:hanging="864" w:firstLineChars="0"/>
        <w:rPr>
          <w:rFonts w:hint="eastAsia" w:ascii="宋体" w:hAnsi="宋体" w:eastAsia="宋体" w:cs="宋体"/>
          <w:color w:val="auto"/>
          <w:sz w:val="24"/>
          <w:szCs w:val="24"/>
          <w:highlight w:val="none"/>
        </w:rPr>
      </w:pPr>
      <w:bookmarkStart w:id="148" w:name="_Toc8344"/>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　具有良好的商业信誉和健全的财务会计制度的证明材料</w:t>
      </w:r>
      <w:bookmarkEnd w:id="148"/>
    </w:p>
    <w:p w14:paraId="038CA8D2">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供应商同时满足①和②</w:t>
      </w:r>
      <w:r>
        <w:rPr>
          <w:rFonts w:hint="eastAsia" w:ascii="宋体" w:hAnsi="宋体" w:eastAsia="宋体" w:cs="宋体"/>
          <w:b/>
          <w:bCs/>
          <w:color w:val="auto"/>
          <w:sz w:val="24"/>
          <w:highlight w:val="none"/>
          <w:lang w:eastAsia="zh-CN"/>
        </w:rPr>
        <w:t>：</w:t>
      </w:r>
    </w:p>
    <w:p w14:paraId="5C84B3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以开标截止时间点投标人未列入“信用中国”&lt;www.creditchina.gov.cn&gt;网站的“失信被执行人”和“重大税收违法失信主体”（投标人为自然人时无需提供）及“中国政府采购网”&lt;www.ccgp.gov.cn&gt;网站的“政府采购严重违法失信行为记录名单”；开标截止时间点，由采购代理公司统一登陆网站查询递交投标文件的供应商信誉情况，并以保存的网页查询截图为准。</w:t>
      </w:r>
    </w:p>
    <w:p w14:paraId="42F2F7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②银行出具的近1年内资信证明或2024年度</w:t>
      </w:r>
      <w:r>
        <w:rPr>
          <w:rFonts w:hint="eastAsia" w:ascii="宋体" w:hAnsi="宋体" w:cs="宋体"/>
          <w:color w:val="auto"/>
          <w:sz w:val="24"/>
          <w:szCs w:val="24"/>
          <w:highlight w:val="none"/>
          <w:lang w:val="en-US" w:eastAsia="zh-CN"/>
        </w:rPr>
        <w:t>或2025年度</w:t>
      </w:r>
      <w:r>
        <w:rPr>
          <w:rFonts w:hint="eastAsia" w:ascii="宋体" w:hAnsi="宋体" w:eastAsia="宋体" w:cs="宋体"/>
          <w:color w:val="auto"/>
          <w:sz w:val="24"/>
          <w:szCs w:val="24"/>
          <w:highlight w:val="none"/>
        </w:rPr>
        <w:t>经审计的财务报告，新成立企业无需提供。</w:t>
      </w:r>
    </w:p>
    <w:p w14:paraId="38F83B12">
      <w:pPr>
        <w:pStyle w:val="5"/>
        <w:numPr>
          <w:ilvl w:val="2"/>
          <w:numId w:val="0"/>
        </w:numPr>
        <w:ind w:left="864" w:leftChars="0" w:hanging="864" w:firstLineChars="0"/>
        <w:rPr>
          <w:rFonts w:hint="eastAsia" w:ascii="宋体" w:hAnsi="宋体" w:eastAsia="宋体" w:cs="宋体"/>
          <w:color w:val="auto"/>
          <w:sz w:val="24"/>
          <w:szCs w:val="24"/>
          <w:highlight w:val="none"/>
        </w:rPr>
      </w:pPr>
      <w:bookmarkStart w:id="149" w:name="_Toc15289"/>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－2－3　具备履行合同所必需的设备和专业技术能力的证明材料</w:t>
      </w:r>
      <w:bookmarkEnd w:id="149"/>
    </w:p>
    <w:p w14:paraId="5696E398">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供应商同时满足①和②</w:t>
      </w:r>
      <w:r>
        <w:rPr>
          <w:rFonts w:hint="eastAsia" w:ascii="宋体" w:hAnsi="宋体" w:eastAsia="宋体" w:cs="宋体"/>
          <w:b/>
          <w:bCs/>
          <w:color w:val="auto"/>
          <w:sz w:val="24"/>
          <w:highlight w:val="none"/>
          <w:lang w:eastAsia="zh-CN"/>
        </w:rPr>
        <w:t>：</w:t>
      </w:r>
    </w:p>
    <w:p w14:paraId="4C59EF8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①相关设备或设施的购置发票或单据（任一）或提供承诺函；</w:t>
      </w:r>
    </w:p>
    <w:p w14:paraId="0B452030">
      <w:pPr>
        <w:spacing w:line="360" w:lineRule="auto"/>
        <w:ind w:firstLine="480" w:firstLineChars="200"/>
        <w:rPr>
          <w:rFonts w:hint="eastAsia" w:ascii="宋体" w:hAnsi="宋体" w:eastAsia="宋体" w:cs="宋体"/>
          <w:b/>
          <w:bCs/>
          <w:color w:val="auto"/>
          <w:kern w:val="0"/>
          <w:sz w:val="24"/>
          <w:szCs w:val="24"/>
          <w:highlight w:val="none"/>
        </w:rPr>
      </w:pPr>
      <w:r>
        <w:rPr>
          <w:rFonts w:hint="eastAsia" w:ascii="宋体" w:hAnsi="宋体" w:cs="宋体"/>
          <w:color w:val="auto"/>
          <w:sz w:val="24"/>
          <w:highlight w:val="none"/>
        </w:rPr>
        <w:t>②</w:t>
      </w:r>
      <w:r>
        <w:rPr>
          <w:rFonts w:hint="eastAsia" w:ascii="宋体" w:hAnsi="宋体" w:cs="宋体"/>
          <w:color w:val="auto"/>
          <w:spacing w:val="-2"/>
          <w:sz w:val="24"/>
          <w:highlight w:val="none"/>
        </w:rPr>
        <w:t>提供具有履行合同所必需的设备和专业技术能力相关证明材料或声明</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w:t>
      </w:r>
    </w:p>
    <w:p w14:paraId="2443DB0D">
      <w:pPr>
        <w:pStyle w:val="5"/>
        <w:numPr>
          <w:ilvl w:val="2"/>
          <w:numId w:val="0"/>
        </w:numPr>
        <w:ind w:left="864" w:leftChars="0" w:hanging="864" w:firstLineChars="0"/>
        <w:rPr>
          <w:rFonts w:hint="eastAsia" w:ascii="宋体" w:hAnsi="宋体" w:eastAsia="宋体" w:cs="宋体"/>
          <w:color w:val="auto"/>
          <w:sz w:val="24"/>
          <w:szCs w:val="24"/>
          <w:highlight w:val="none"/>
        </w:rPr>
      </w:pPr>
      <w:bookmarkStart w:id="150" w:name="_Toc871"/>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有依法缴纳税收和社会保障资金的良好记录的证明材料</w:t>
      </w:r>
      <w:bookmarkEnd w:id="150"/>
    </w:p>
    <w:p w14:paraId="11940F84">
      <w:pPr>
        <w:spacing w:line="360" w:lineRule="auto"/>
        <w:ind w:firstLine="482" w:firstLineChars="200"/>
        <w:rPr>
          <w:rFonts w:hint="eastAsia" w:ascii="宋体" w:hAnsi="宋体" w:eastAsia="宋体" w:cs="宋体"/>
          <w:color w:val="auto"/>
          <w:sz w:val="24"/>
          <w:highlight w:val="none"/>
        </w:rPr>
      </w:pPr>
      <w:bookmarkStart w:id="151" w:name="_Toc19224"/>
      <w:r>
        <w:rPr>
          <w:rFonts w:hint="eastAsia" w:ascii="宋体" w:hAnsi="宋体" w:eastAsia="宋体" w:cs="宋体"/>
          <w:b/>
          <w:bCs/>
          <w:color w:val="auto"/>
          <w:sz w:val="24"/>
          <w:highlight w:val="none"/>
        </w:rPr>
        <w:t>供应商同时满足①和②</w:t>
      </w:r>
      <w:r>
        <w:rPr>
          <w:rFonts w:hint="eastAsia" w:ascii="宋体" w:hAnsi="宋体" w:eastAsia="宋体" w:cs="宋体"/>
          <w:b/>
          <w:bCs/>
          <w:color w:val="auto"/>
          <w:sz w:val="24"/>
          <w:highlight w:val="none"/>
          <w:lang w:eastAsia="zh-CN"/>
        </w:rPr>
        <w:t>：</w:t>
      </w:r>
    </w:p>
    <w:p w14:paraId="655D16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①近12个月内任意1个月已依法缴纳税收的凭据；</w:t>
      </w:r>
    </w:p>
    <w:p w14:paraId="30FB6C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②近12个月内任意1个月已依法缴纳社会保险的凭据（依法免税或不需要缴纳社会保障资金的投标人，应提供相应证明文件，新成立企业或自然人无需提供）。</w:t>
      </w:r>
    </w:p>
    <w:p w14:paraId="08456338">
      <w:pPr>
        <w:pStyle w:val="5"/>
        <w:keepNext w:val="0"/>
        <w:keepLines w:val="0"/>
        <w:pageBreakBefore w:val="0"/>
        <w:widowControl w:val="0"/>
        <w:numPr>
          <w:ilvl w:val="2"/>
          <w:numId w:val="0"/>
        </w:numPr>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－2－5</w:t>
      </w:r>
      <w:bookmarkEnd w:id="151"/>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参加政府采购活动近三年内在经营活动中没有重大违法记录的书面声明</w:t>
      </w:r>
    </w:p>
    <w:p w14:paraId="36A43858">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14:paraId="1D9B1780">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w:t>
      </w:r>
      <w:r>
        <w:rPr>
          <w:rFonts w:hint="eastAsia" w:ascii="宋体" w:hAnsi="宋体" w:eastAsia="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》第二十二条第一款第(五)项所称重大违法记录，包括：</w:t>
      </w:r>
    </w:p>
    <w:p w14:paraId="0309639B">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14:paraId="70957836">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BE3B209">
      <w:pPr>
        <w:pStyle w:val="14"/>
        <w:spacing w:line="360" w:lineRule="auto"/>
        <w:ind w:firstLine="480" w:firstLineChars="200"/>
        <w:rPr>
          <w:rFonts w:hint="eastAsia" w:ascii="宋体" w:hAnsi="宋体" w:eastAsia="宋体" w:cs="宋体"/>
          <w:color w:val="auto"/>
          <w:sz w:val="24"/>
          <w:szCs w:val="24"/>
          <w:highlight w:val="none"/>
        </w:rPr>
      </w:pPr>
    </w:p>
    <w:p w14:paraId="1411E9CB">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14:paraId="02780CE8">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14:paraId="14ACCF51">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14:paraId="37EB9856">
      <w:pPr>
        <w:pStyle w:val="14"/>
        <w:ind w:firstLine="480" w:firstLineChars="200"/>
        <w:rPr>
          <w:rFonts w:hint="eastAsia" w:ascii="宋体" w:hAnsi="宋体" w:eastAsia="宋体" w:cs="宋体"/>
          <w:color w:val="auto"/>
          <w:sz w:val="24"/>
          <w:szCs w:val="24"/>
          <w:highlight w:val="none"/>
        </w:rPr>
      </w:pPr>
    </w:p>
    <w:p w14:paraId="6A901491">
      <w:pPr>
        <w:pStyle w:val="14"/>
        <w:ind w:firstLine="480" w:firstLineChars="200"/>
        <w:rPr>
          <w:rFonts w:hint="eastAsia" w:ascii="宋体" w:hAnsi="宋体" w:eastAsia="宋体" w:cs="宋体"/>
          <w:color w:val="auto"/>
          <w:sz w:val="24"/>
          <w:szCs w:val="24"/>
          <w:highlight w:val="none"/>
        </w:rPr>
      </w:pPr>
    </w:p>
    <w:p w14:paraId="5ED0D1A5">
      <w:pPr>
        <w:pStyle w:val="14"/>
        <w:ind w:firstLine="480" w:firstLineChars="200"/>
        <w:rPr>
          <w:rFonts w:hint="eastAsia" w:ascii="宋体" w:hAnsi="宋体" w:eastAsia="宋体" w:cs="宋体"/>
          <w:color w:val="auto"/>
          <w:sz w:val="24"/>
          <w:szCs w:val="24"/>
          <w:highlight w:val="none"/>
        </w:rPr>
      </w:pPr>
    </w:p>
    <w:p w14:paraId="2EEDBB0E">
      <w:pPr>
        <w:pStyle w:val="14"/>
        <w:ind w:firstLine="480" w:firstLineChars="200"/>
        <w:rPr>
          <w:rFonts w:hint="eastAsia" w:ascii="宋体" w:hAnsi="宋体" w:eastAsia="宋体" w:cs="宋体"/>
          <w:color w:val="auto"/>
          <w:sz w:val="24"/>
          <w:szCs w:val="24"/>
          <w:highlight w:val="none"/>
        </w:rPr>
      </w:pPr>
    </w:p>
    <w:p w14:paraId="5C9174BC">
      <w:pPr>
        <w:pStyle w:val="14"/>
        <w:ind w:firstLine="480" w:firstLineChars="200"/>
        <w:rPr>
          <w:rFonts w:hint="eastAsia" w:ascii="宋体" w:hAnsi="宋体" w:eastAsia="宋体" w:cs="宋体"/>
          <w:color w:val="auto"/>
          <w:sz w:val="24"/>
          <w:szCs w:val="24"/>
          <w:highlight w:val="none"/>
        </w:rPr>
      </w:pPr>
    </w:p>
    <w:p w14:paraId="01C01BE8">
      <w:pPr>
        <w:pStyle w:val="14"/>
        <w:ind w:firstLine="480" w:firstLineChars="200"/>
        <w:rPr>
          <w:rFonts w:hint="eastAsia" w:ascii="宋体" w:hAnsi="宋体" w:eastAsia="宋体" w:cs="宋体"/>
          <w:color w:val="auto"/>
          <w:sz w:val="24"/>
          <w:szCs w:val="24"/>
          <w:highlight w:val="none"/>
        </w:rPr>
      </w:pPr>
    </w:p>
    <w:p w14:paraId="4FFAB927">
      <w:pPr>
        <w:pStyle w:val="14"/>
        <w:ind w:firstLine="480" w:firstLineChars="200"/>
        <w:rPr>
          <w:rFonts w:hint="eastAsia" w:ascii="宋体" w:hAnsi="宋体" w:eastAsia="宋体" w:cs="宋体"/>
          <w:color w:val="auto"/>
          <w:sz w:val="24"/>
          <w:szCs w:val="24"/>
          <w:highlight w:val="none"/>
        </w:rPr>
      </w:pPr>
    </w:p>
    <w:p w14:paraId="0DD212F5">
      <w:pPr>
        <w:pStyle w:val="14"/>
        <w:ind w:firstLine="480" w:firstLineChars="200"/>
        <w:rPr>
          <w:rFonts w:hint="eastAsia" w:ascii="宋体" w:hAnsi="宋体" w:eastAsia="宋体" w:cs="宋体"/>
          <w:color w:val="auto"/>
          <w:sz w:val="24"/>
          <w:szCs w:val="24"/>
          <w:highlight w:val="none"/>
        </w:rPr>
      </w:pPr>
    </w:p>
    <w:p w14:paraId="2D53A745">
      <w:pPr>
        <w:pStyle w:val="14"/>
        <w:ind w:firstLine="480" w:firstLineChars="200"/>
        <w:rPr>
          <w:rFonts w:hint="eastAsia" w:ascii="宋体" w:hAnsi="宋体" w:eastAsia="宋体" w:cs="宋体"/>
          <w:color w:val="auto"/>
          <w:sz w:val="24"/>
          <w:szCs w:val="24"/>
          <w:highlight w:val="none"/>
        </w:rPr>
      </w:pPr>
    </w:p>
    <w:p w14:paraId="5C50B4D6">
      <w:pPr>
        <w:pStyle w:val="14"/>
        <w:ind w:firstLine="480" w:firstLineChars="200"/>
        <w:rPr>
          <w:rFonts w:hint="eastAsia" w:ascii="宋体" w:hAnsi="宋体" w:eastAsia="宋体" w:cs="宋体"/>
          <w:color w:val="auto"/>
          <w:sz w:val="24"/>
          <w:szCs w:val="24"/>
          <w:highlight w:val="none"/>
        </w:rPr>
      </w:pPr>
    </w:p>
    <w:p w14:paraId="0732E1FC">
      <w:pPr>
        <w:pStyle w:val="14"/>
        <w:ind w:firstLine="480" w:firstLineChars="200"/>
        <w:rPr>
          <w:rFonts w:hint="eastAsia" w:ascii="宋体" w:hAnsi="宋体" w:eastAsia="宋体" w:cs="宋体"/>
          <w:color w:val="auto"/>
          <w:sz w:val="24"/>
          <w:szCs w:val="24"/>
          <w:highlight w:val="none"/>
        </w:rPr>
      </w:pPr>
    </w:p>
    <w:p w14:paraId="7D446AFC">
      <w:pPr>
        <w:pStyle w:val="14"/>
        <w:ind w:firstLine="480" w:firstLineChars="200"/>
        <w:rPr>
          <w:rFonts w:hint="eastAsia" w:ascii="宋体" w:hAnsi="宋体" w:eastAsia="宋体" w:cs="宋体"/>
          <w:color w:val="auto"/>
          <w:sz w:val="24"/>
          <w:szCs w:val="24"/>
          <w:highlight w:val="none"/>
        </w:rPr>
      </w:pPr>
    </w:p>
    <w:p w14:paraId="43F38FE2">
      <w:pPr>
        <w:pStyle w:val="14"/>
        <w:ind w:firstLine="480" w:firstLineChars="200"/>
        <w:rPr>
          <w:rFonts w:hint="eastAsia" w:ascii="宋体" w:hAnsi="宋体" w:eastAsia="宋体" w:cs="宋体"/>
          <w:color w:val="auto"/>
          <w:sz w:val="24"/>
          <w:szCs w:val="24"/>
          <w:highlight w:val="none"/>
        </w:rPr>
      </w:pPr>
    </w:p>
    <w:p w14:paraId="29EC2ECD">
      <w:pPr>
        <w:pStyle w:val="14"/>
        <w:ind w:firstLine="480" w:firstLineChars="200"/>
        <w:rPr>
          <w:rFonts w:hint="eastAsia" w:ascii="宋体" w:hAnsi="宋体" w:eastAsia="宋体" w:cs="宋体"/>
          <w:color w:val="auto"/>
          <w:sz w:val="24"/>
          <w:szCs w:val="24"/>
          <w:highlight w:val="none"/>
        </w:rPr>
      </w:pPr>
    </w:p>
    <w:p w14:paraId="28A8F4F5">
      <w:pPr>
        <w:pStyle w:val="14"/>
        <w:ind w:firstLine="480" w:firstLineChars="200"/>
        <w:rPr>
          <w:rFonts w:hint="eastAsia" w:ascii="宋体" w:hAnsi="宋体" w:eastAsia="宋体" w:cs="宋体"/>
          <w:color w:val="auto"/>
          <w:sz w:val="24"/>
          <w:szCs w:val="24"/>
          <w:highlight w:val="none"/>
        </w:rPr>
      </w:pPr>
    </w:p>
    <w:p w14:paraId="0D36B354">
      <w:pPr>
        <w:pStyle w:val="14"/>
        <w:ind w:firstLine="480" w:firstLineChars="200"/>
        <w:rPr>
          <w:rFonts w:hint="eastAsia" w:ascii="宋体" w:hAnsi="宋体" w:eastAsia="宋体" w:cs="宋体"/>
          <w:color w:val="auto"/>
          <w:sz w:val="24"/>
          <w:szCs w:val="24"/>
          <w:highlight w:val="none"/>
        </w:rPr>
      </w:pPr>
    </w:p>
    <w:p w14:paraId="6179256D">
      <w:pPr>
        <w:pStyle w:val="14"/>
        <w:ind w:firstLine="480" w:firstLineChars="200"/>
        <w:rPr>
          <w:rFonts w:hint="eastAsia" w:ascii="宋体" w:hAnsi="宋体" w:eastAsia="宋体" w:cs="宋体"/>
          <w:color w:val="auto"/>
          <w:sz w:val="24"/>
          <w:szCs w:val="24"/>
          <w:highlight w:val="none"/>
        </w:rPr>
      </w:pPr>
    </w:p>
    <w:p w14:paraId="25F32EFB">
      <w:pPr>
        <w:pStyle w:val="14"/>
        <w:ind w:firstLine="480" w:firstLineChars="200"/>
        <w:rPr>
          <w:rFonts w:hint="eastAsia" w:ascii="宋体" w:hAnsi="宋体" w:eastAsia="宋体" w:cs="宋体"/>
          <w:color w:val="auto"/>
          <w:sz w:val="24"/>
          <w:szCs w:val="24"/>
          <w:highlight w:val="none"/>
        </w:rPr>
      </w:pPr>
    </w:p>
    <w:p w14:paraId="020642E5">
      <w:pPr>
        <w:pStyle w:val="14"/>
        <w:ind w:firstLine="480" w:firstLineChars="200"/>
        <w:rPr>
          <w:rFonts w:hint="eastAsia" w:ascii="宋体" w:hAnsi="宋体" w:eastAsia="宋体" w:cs="宋体"/>
          <w:color w:val="auto"/>
          <w:sz w:val="24"/>
          <w:szCs w:val="24"/>
          <w:highlight w:val="none"/>
        </w:rPr>
      </w:pPr>
    </w:p>
    <w:p w14:paraId="5CE98297">
      <w:pPr>
        <w:pStyle w:val="14"/>
        <w:ind w:firstLine="480" w:firstLineChars="200"/>
        <w:rPr>
          <w:rFonts w:hint="eastAsia" w:ascii="宋体" w:hAnsi="宋体" w:eastAsia="宋体" w:cs="宋体"/>
          <w:color w:val="auto"/>
          <w:sz w:val="24"/>
          <w:szCs w:val="24"/>
          <w:highlight w:val="none"/>
        </w:rPr>
      </w:pPr>
    </w:p>
    <w:p w14:paraId="32ACEE3B">
      <w:pPr>
        <w:pStyle w:val="14"/>
        <w:ind w:firstLine="480" w:firstLineChars="200"/>
        <w:rPr>
          <w:rFonts w:hint="eastAsia" w:ascii="宋体" w:hAnsi="宋体" w:eastAsia="宋体" w:cs="宋体"/>
          <w:color w:val="auto"/>
          <w:sz w:val="24"/>
          <w:szCs w:val="24"/>
          <w:highlight w:val="none"/>
        </w:rPr>
      </w:pPr>
    </w:p>
    <w:p w14:paraId="70711528">
      <w:pPr>
        <w:pStyle w:val="14"/>
        <w:ind w:firstLine="480" w:firstLineChars="200"/>
        <w:rPr>
          <w:rFonts w:hint="eastAsia" w:ascii="宋体" w:hAnsi="宋体" w:eastAsia="宋体" w:cs="宋体"/>
          <w:color w:val="auto"/>
          <w:sz w:val="24"/>
          <w:szCs w:val="24"/>
          <w:highlight w:val="none"/>
        </w:rPr>
      </w:pPr>
    </w:p>
    <w:p w14:paraId="6C54C6E7">
      <w:pPr>
        <w:pStyle w:val="14"/>
        <w:ind w:firstLine="480" w:firstLineChars="200"/>
        <w:rPr>
          <w:rFonts w:hint="eastAsia" w:ascii="宋体" w:hAnsi="宋体" w:eastAsia="宋体" w:cs="宋体"/>
          <w:color w:val="auto"/>
          <w:sz w:val="24"/>
          <w:szCs w:val="24"/>
          <w:highlight w:val="none"/>
        </w:rPr>
      </w:pPr>
    </w:p>
    <w:p w14:paraId="027EBAAA">
      <w:pPr>
        <w:pStyle w:val="14"/>
        <w:spacing w:line="360" w:lineRule="auto"/>
        <w:ind w:firstLine="482" w:firstLineChars="200"/>
        <w:outlineLvl w:val="2"/>
        <w:rPr>
          <w:rFonts w:hint="eastAsia" w:ascii="宋体" w:hAnsi="宋体" w:eastAsia="宋体" w:cs="宋体"/>
          <w:b/>
          <w:bCs/>
          <w:color w:val="auto"/>
          <w:kern w:val="0"/>
          <w:sz w:val="24"/>
          <w:szCs w:val="24"/>
          <w:highlight w:val="none"/>
          <w:lang w:val="zh-CN" w:eastAsia="zh-CN" w:bidi="ar-SA"/>
        </w:rPr>
      </w:pPr>
      <w:bookmarkStart w:id="152" w:name="_Toc6661"/>
      <w:r>
        <w:rPr>
          <w:rFonts w:hint="eastAsia" w:ascii="宋体" w:hAnsi="宋体" w:eastAsia="宋体" w:cs="宋体"/>
          <w:b/>
          <w:bCs/>
          <w:color w:val="auto"/>
          <w:kern w:val="0"/>
          <w:sz w:val="24"/>
          <w:szCs w:val="24"/>
          <w:highlight w:val="none"/>
          <w:lang w:val="zh-CN" w:eastAsia="zh-CN" w:bidi="ar-SA"/>
        </w:rPr>
        <w:t>★附件</w:t>
      </w:r>
      <w:r>
        <w:rPr>
          <w:rFonts w:hint="eastAsia" w:hAnsi="宋体" w:cs="宋体"/>
          <w:b/>
          <w:bCs/>
          <w:color w:val="auto"/>
          <w:kern w:val="0"/>
          <w:sz w:val="24"/>
          <w:szCs w:val="24"/>
          <w:highlight w:val="none"/>
          <w:lang w:val="en-US" w:eastAsia="zh-CN" w:bidi="ar-SA"/>
        </w:rPr>
        <w:t>5</w:t>
      </w:r>
      <w:r>
        <w:rPr>
          <w:rFonts w:hint="eastAsia" w:ascii="宋体" w:hAnsi="宋体" w:eastAsia="宋体" w:cs="宋体"/>
          <w:b/>
          <w:bCs/>
          <w:color w:val="auto"/>
          <w:kern w:val="0"/>
          <w:sz w:val="24"/>
          <w:szCs w:val="24"/>
          <w:highlight w:val="none"/>
          <w:lang w:val="zh-CN" w:eastAsia="zh-CN" w:bidi="ar-SA"/>
        </w:rPr>
        <w:t>－2－6</w:t>
      </w:r>
      <w:bookmarkEnd w:id="152"/>
      <w:r>
        <w:rPr>
          <w:rFonts w:hint="eastAsia" w:ascii="宋体" w:hAnsi="宋体" w:eastAsia="宋体" w:cs="宋体"/>
          <w:b/>
          <w:bCs/>
          <w:color w:val="auto"/>
          <w:kern w:val="0"/>
          <w:sz w:val="24"/>
          <w:szCs w:val="24"/>
          <w:highlight w:val="none"/>
          <w:lang w:val="en-US" w:eastAsia="zh-CN" w:bidi="ar-SA"/>
        </w:rPr>
        <w:t xml:space="preserve">  </w:t>
      </w:r>
      <w:r>
        <w:rPr>
          <w:rFonts w:hint="eastAsia" w:ascii="宋体" w:hAnsi="宋体" w:eastAsia="宋体" w:cs="宋体"/>
          <w:b/>
          <w:bCs/>
          <w:color w:val="auto"/>
          <w:kern w:val="0"/>
          <w:sz w:val="24"/>
          <w:szCs w:val="24"/>
          <w:highlight w:val="none"/>
          <w:lang w:val="zh-CN" w:eastAsia="zh-CN" w:bidi="ar-SA"/>
        </w:rPr>
        <w:t>无不良信用记录承诺函(供应商自行查询适用)</w:t>
      </w:r>
    </w:p>
    <w:p w14:paraId="4B4C8AC8">
      <w:pPr>
        <w:pStyle w:val="14"/>
        <w:spacing w:line="360" w:lineRule="auto"/>
        <w:rPr>
          <w:rFonts w:hint="eastAsia" w:ascii="宋体" w:hAnsi="宋体" w:eastAsia="宋体" w:cs="宋体"/>
          <w:color w:val="auto"/>
          <w:sz w:val="24"/>
          <w:szCs w:val="24"/>
          <w:highlight w:val="none"/>
        </w:rPr>
      </w:pPr>
    </w:p>
    <w:p w14:paraId="5228C5D9">
      <w:pPr>
        <w:pStyle w:val="1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14:paraId="342B7898">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本单位郑重承诺，我单位无以下不良信用记录情形：</w:t>
      </w:r>
    </w:p>
    <w:p w14:paraId="066CDFFE">
      <w:pPr>
        <w:pStyle w:val="14"/>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.被税务部门列入</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w:t>
      </w:r>
    </w:p>
    <w:p w14:paraId="0E51411C">
      <w:pPr>
        <w:pStyle w:val="14"/>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.被政府采购监管部门列入政府采购严重违法失信行为记录名单；</w:t>
      </w:r>
    </w:p>
    <w:p w14:paraId="7E72A3ED">
      <w:pPr>
        <w:pStyle w:val="14"/>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》第二十二条规定的条件。</w:t>
      </w:r>
    </w:p>
    <w:p w14:paraId="110594A5">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我单位已就上述不良信用行为按照招标文件中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3D53B943">
      <w:pPr>
        <w:pStyle w:val="14"/>
        <w:spacing w:line="360" w:lineRule="auto"/>
        <w:ind w:firstLine="480" w:firstLineChars="200"/>
        <w:rPr>
          <w:rFonts w:hint="eastAsia" w:ascii="宋体" w:hAnsi="宋体" w:eastAsia="宋体" w:cs="宋体"/>
          <w:color w:val="auto"/>
          <w:sz w:val="24"/>
          <w:szCs w:val="24"/>
          <w:highlight w:val="none"/>
        </w:rPr>
      </w:pPr>
    </w:p>
    <w:p w14:paraId="40AFFA37">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名称(盖公章)：____________</w:t>
      </w:r>
    </w:p>
    <w:p w14:paraId="65A7BEAF">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14:paraId="59C17710">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14:paraId="7E7B3827">
      <w:pPr>
        <w:pStyle w:val="1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9C4111">
      <w:pPr>
        <w:pStyle w:val="14"/>
        <w:spacing w:line="360" w:lineRule="auto"/>
        <w:outlineLvl w:val="2"/>
        <w:rPr>
          <w:rFonts w:hint="eastAsia" w:ascii="宋体" w:hAnsi="宋体" w:eastAsia="宋体" w:cs="宋体"/>
          <w:b/>
          <w:bCs/>
          <w:color w:val="auto"/>
          <w:kern w:val="0"/>
          <w:sz w:val="24"/>
          <w:szCs w:val="24"/>
          <w:highlight w:val="none"/>
          <w:lang w:val="zh-CN" w:eastAsia="zh-CN" w:bidi="ar-SA"/>
        </w:rPr>
      </w:pPr>
      <w:bookmarkStart w:id="153" w:name="_Toc29871"/>
      <w:r>
        <w:rPr>
          <w:rFonts w:hint="eastAsia" w:ascii="宋体" w:hAnsi="宋体" w:eastAsia="宋体" w:cs="宋体"/>
          <w:b/>
          <w:bCs/>
          <w:color w:val="auto"/>
          <w:kern w:val="0"/>
          <w:sz w:val="24"/>
          <w:szCs w:val="24"/>
          <w:highlight w:val="none"/>
          <w:lang w:val="zh-CN" w:eastAsia="zh-CN" w:bidi="ar-SA"/>
        </w:rPr>
        <w:t>★附件</w:t>
      </w:r>
      <w:r>
        <w:rPr>
          <w:rFonts w:hint="eastAsia" w:hAnsi="宋体" w:cs="宋体"/>
          <w:b/>
          <w:bCs/>
          <w:color w:val="auto"/>
          <w:kern w:val="0"/>
          <w:sz w:val="24"/>
          <w:szCs w:val="24"/>
          <w:highlight w:val="none"/>
          <w:lang w:val="en-US" w:eastAsia="zh-CN" w:bidi="ar-SA"/>
        </w:rPr>
        <w:t>5</w:t>
      </w:r>
      <w:r>
        <w:rPr>
          <w:rFonts w:hint="eastAsia" w:ascii="宋体" w:hAnsi="宋体" w:eastAsia="宋体" w:cs="宋体"/>
          <w:b/>
          <w:bCs/>
          <w:color w:val="auto"/>
          <w:kern w:val="0"/>
          <w:sz w:val="24"/>
          <w:szCs w:val="24"/>
          <w:highlight w:val="none"/>
          <w:lang w:val="zh-CN" w:eastAsia="zh-CN" w:bidi="ar-SA"/>
        </w:rPr>
        <w:t>－2－7</w:t>
      </w:r>
      <w:r>
        <w:rPr>
          <w:rFonts w:hint="eastAsia" w:ascii="宋体" w:hAnsi="宋体" w:eastAsia="宋体" w:cs="宋体"/>
          <w:b/>
          <w:bCs/>
          <w:color w:val="auto"/>
          <w:kern w:val="0"/>
          <w:sz w:val="24"/>
          <w:szCs w:val="24"/>
          <w:highlight w:val="none"/>
          <w:lang w:val="en-US" w:eastAsia="zh-CN" w:bidi="ar-SA"/>
        </w:rPr>
        <w:t xml:space="preserve">  单位负责人为同一人或者存在直接控股、管理关系的不同投标人，不得参加同一合同项下的政府采购活动书面承诺</w:t>
      </w:r>
      <w:r>
        <w:rPr>
          <w:rFonts w:hint="eastAsia" w:ascii="宋体" w:hAnsi="宋体" w:eastAsia="宋体" w:cs="宋体"/>
          <w:b/>
          <w:bCs/>
          <w:color w:val="auto"/>
          <w:kern w:val="0"/>
          <w:sz w:val="24"/>
          <w:szCs w:val="24"/>
          <w:highlight w:val="none"/>
          <w:lang w:val="zh-CN" w:eastAsia="zh-CN" w:bidi="ar-SA"/>
        </w:rPr>
        <w:t>；</w:t>
      </w:r>
      <w:bookmarkEnd w:id="153"/>
    </w:p>
    <w:p w14:paraId="3F0F9ABF">
      <w:pPr>
        <w:spacing w:line="360" w:lineRule="auto"/>
        <w:rPr>
          <w:rFonts w:hint="eastAsia" w:ascii="宋体" w:hAnsi="宋体" w:cs="宋体"/>
          <w:color w:val="auto"/>
          <w:sz w:val="24"/>
          <w:szCs w:val="24"/>
          <w:highlight w:val="none"/>
          <w:lang w:val="en-US" w:eastAsia="zh-CN"/>
        </w:rPr>
      </w:pPr>
    </w:p>
    <w:p w14:paraId="34ABEF4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____________(采购人或采购代理机构)：</w:t>
      </w:r>
    </w:p>
    <w:p w14:paraId="41F487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我单位负责人</w:t>
      </w:r>
      <w:r>
        <w:rPr>
          <w:rFonts w:hint="eastAsia" w:ascii="宋体" w:hAnsi="宋体" w:eastAsia="宋体" w:cs="宋体"/>
          <w:color w:val="auto"/>
          <w:sz w:val="24"/>
          <w:szCs w:val="24"/>
          <w:highlight w:val="none"/>
          <w:u w:val="single"/>
        </w:rPr>
        <w:t>（负责人姓名、身份证号）</w:t>
      </w:r>
      <w:r>
        <w:rPr>
          <w:rFonts w:hint="eastAsia" w:ascii="宋体" w:hAnsi="宋体" w:eastAsia="宋体" w:cs="宋体"/>
          <w:color w:val="auto"/>
          <w:sz w:val="24"/>
          <w:szCs w:val="24"/>
          <w:highlight w:val="none"/>
        </w:rPr>
        <w:t>，不存在与我单位负责人为同一人的不同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同时参加本项目同一包投标的情形。</w:t>
      </w:r>
    </w:p>
    <w:p w14:paraId="7FCA93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与我单位存在直接控股、管理关系的单位</w:t>
      </w:r>
      <w:r>
        <w:rPr>
          <w:rFonts w:hint="eastAsia" w:ascii="宋体" w:hAnsi="宋体" w:eastAsia="宋体" w:cs="宋体"/>
          <w:color w:val="auto"/>
          <w:sz w:val="24"/>
          <w:szCs w:val="24"/>
          <w:highlight w:val="none"/>
          <w:u w:val="single"/>
        </w:rPr>
        <w:t>（单位名称，如没有填“无”）</w:t>
      </w:r>
      <w:r>
        <w:rPr>
          <w:rFonts w:hint="eastAsia" w:ascii="宋体" w:hAnsi="宋体" w:eastAsia="宋体" w:cs="宋体"/>
          <w:color w:val="auto"/>
          <w:sz w:val="24"/>
          <w:szCs w:val="24"/>
          <w:highlight w:val="none"/>
        </w:rPr>
        <w:t>，不存在与我单位存在直接控股、管理管理的不同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同时参加本项目同一包</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的情形。</w:t>
      </w:r>
    </w:p>
    <w:p w14:paraId="3EDB92C8">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我单位不为本项目某包提供整体设计、规范编制或者项目管理、监理、检测等服务的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231241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我单位确认本声明是真实的、正确的，如有虚假，相应后果和法律责任均由我单位承担。</w:t>
      </w:r>
    </w:p>
    <w:p w14:paraId="392821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3AFAC64">
      <w:pPr>
        <w:pStyle w:val="12"/>
        <w:spacing w:line="360" w:lineRule="auto"/>
        <w:ind w:firstLine="440"/>
        <w:rPr>
          <w:rFonts w:hint="eastAsia" w:ascii="宋体" w:hAnsi="宋体" w:eastAsia="宋体" w:cs="宋体"/>
          <w:color w:val="auto"/>
          <w:sz w:val="24"/>
          <w:szCs w:val="24"/>
          <w:highlight w:val="none"/>
        </w:rPr>
      </w:pPr>
    </w:p>
    <w:p w14:paraId="4BE45861">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法定代表人或授权代表（签字或盖章）：</w:t>
      </w:r>
    </w:p>
    <w:p w14:paraId="2C1D9265">
      <w:pPr>
        <w:pStyle w:val="12"/>
        <w:spacing w:line="360" w:lineRule="auto"/>
        <w:ind w:firstLine="440"/>
        <w:rPr>
          <w:rFonts w:hint="eastAsia" w:ascii="宋体" w:hAnsi="宋体" w:eastAsia="宋体" w:cs="宋体"/>
          <w:color w:val="auto"/>
          <w:sz w:val="24"/>
          <w:szCs w:val="24"/>
          <w:highlight w:val="none"/>
        </w:rPr>
      </w:pPr>
    </w:p>
    <w:p w14:paraId="1E6ED329">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名称（加盖单位公章）：</w:t>
      </w:r>
    </w:p>
    <w:p w14:paraId="647D9E98">
      <w:pPr>
        <w:pStyle w:val="12"/>
        <w:spacing w:line="360" w:lineRule="auto"/>
        <w:ind w:firstLine="440"/>
        <w:rPr>
          <w:rFonts w:hint="eastAsia" w:ascii="宋体" w:hAnsi="宋体" w:eastAsia="宋体" w:cs="宋体"/>
          <w:color w:val="auto"/>
          <w:sz w:val="24"/>
          <w:szCs w:val="24"/>
          <w:highlight w:val="none"/>
        </w:rPr>
      </w:pPr>
    </w:p>
    <w:p w14:paraId="1E6E691B">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D8C9048">
      <w:pPr>
        <w:pStyle w:val="14"/>
        <w:spacing w:line="360" w:lineRule="auto"/>
        <w:ind w:firstLine="480" w:firstLineChars="200"/>
        <w:rPr>
          <w:rFonts w:hint="eastAsia" w:ascii="宋体" w:hAnsi="宋体" w:eastAsia="宋体" w:cs="宋体"/>
          <w:color w:val="auto"/>
          <w:sz w:val="24"/>
          <w:szCs w:val="24"/>
          <w:highlight w:val="none"/>
        </w:rPr>
      </w:pPr>
    </w:p>
    <w:p w14:paraId="2881901E">
      <w:pPr>
        <w:pStyle w:val="14"/>
        <w:spacing w:line="360" w:lineRule="auto"/>
        <w:ind w:firstLine="480" w:firstLineChars="200"/>
        <w:rPr>
          <w:rFonts w:hint="eastAsia" w:ascii="宋体" w:hAnsi="宋体" w:eastAsia="宋体" w:cs="宋体"/>
          <w:color w:val="auto"/>
          <w:sz w:val="24"/>
          <w:szCs w:val="24"/>
          <w:highlight w:val="none"/>
        </w:rPr>
      </w:pPr>
    </w:p>
    <w:p w14:paraId="648466BB">
      <w:pPr>
        <w:pStyle w:val="14"/>
        <w:spacing w:line="360" w:lineRule="auto"/>
        <w:ind w:firstLine="480" w:firstLineChars="200"/>
        <w:rPr>
          <w:rFonts w:hint="eastAsia" w:ascii="宋体" w:hAnsi="宋体" w:eastAsia="宋体" w:cs="宋体"/>
          <w:color w:val="auto"/>
          <w:sz w:val="24"/>
          <w:szCs w:val="24"/>
          <w:highlight w:val="none"/>
        </w:rPr>
      </w:pPr>
    </w:p>
    <w:p w14:paraId="44F626A9">
      <w:pPr>
        <w:pStyle w:val="14"/>
        <w:spacing w:line="360" w:lineRule="auto"/>
        <w:ind w:firstLine="480" w:firstLineChars="200"/>
        <w:rPr>
          <w:rFonts w:hint="eastAsia" w:ascii="宋体" w:hAnsi="宋体" w:eastAsia="宋体" w:cs="宋体"/>
          <w:color w:val="auto"/>
          <w:sz w:val="24"/>
          <w:szCs w:val="24"/>
          <w:highlight w:val="none"/>
        </w:rPr>
      </w:pPr>
    </w:p>
    <w:p w14:paraId="5B32875A">
      <w:pPr>
        <w:pStyle w:val="14"/>
        <w:spacing w:line="360" w:lineRule="auto"/>
        <w:ind w:firstLine="480" w:firstLineChars="200"/>
        <w:rPr>
          <w:rFonts w:hint="eastAsia" w:ascii="宋体" w:hAnsi="宋体" w:eastAsia="宋体" w:cs="宋体"/>
          <w:color w:val="auto"/>
          <w:sz w:val="24"/>
          <w:szCs w:val="24"/>
          <w:highlight w:val="none"/>
        </w:rPr>
      </w:pPr>
    </w:p>
    <w:p w14:paraId="5E4DE6D0">
      <w:pPr>
        <w:pStyle w:val="14"/>
        <w:spacing w:line="360" w:lineRule="auto"/>
        <w:ind w:firstLine="480" w:firstLineChars="200"/>
        <w:rPr>
          <w:rFonts w:hint="eastAsia" w:ascii="宋体" w:hAnsi="宋体" w:eastAsia="宋体" w:cs="宋体"/>
          <w:color w:val="auto"/>
          <w:sz w:val="24"/>
          <w:szCs w:val="24"/>
          <w:highlight w:val="none"/>
        </w:rPr>
      </w:pPr>
    </w:p>
    <w:p w14:paraId="14F63A69">
      <w:pPr>
        <w:pStyle w:val="14"/>
        <w:spacing w:line="360" w:lineRule="auto"/>
        <w:ind w:firstLine="480" w:firstLineChars="200"/>
        <w:rPr>
          <w:rFonts w:hint="eastAsia" w:ascii="宋体" w:hAnsi="宋体" w:eastAsia="宋体" w:cs="宋体"/>
          <w:color w:val="auto"/>
          <w:sz w:val="24"/>
          <w:szCs w:val="24"/>
          <w:highlight w:val="none"/>
        </w:rPr>
      </w:pPr>
    </w:p>
    <w:p w14:paraId="66201DB2">
      <w:pPr>
        <w:pStyle w:val="14"/>
        <w:spacing w:line="360" w:lineRule="auto"/>
        <w:ind w:firstLine="480" w:firstLineChars="200"/>
        <w:rPr>
          <w:rFonts w:hint="eastAsia" w:ascii="宋体" w:hAnsi="宋体" w:eastAsia="宋体" w:cs="宋体"/>
          <w:color w:val="auto"/>
          <w:sz w:val="24"/>
          <w:szCs w:val="24"/>
          <w:highlight w:val="none"/>
        </w:rPr>
      </w:pPr>
    </w:p>
    <w:p w14:paraId="632CB582">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14:paraId="25AD22BE">
      <w:pPr>
        <w:adjustRightInd w:val="0"/>
        <w:spacing w:line="500" w:lineRule="exact"/>
        <w:ind w:firstLine="482" w:firstLineChars="200"/>
        <w:jc w:val="center"/>
        <w:outlineLvl w:val="1"/>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六</w:t>
      </w:r>
      <w:r>
        <w:rPr>
          <w:rFonts w:hint="eastAsia" w:ascii="宋体" w:hAnsi="宋体" w:eastAsia="宋体" w:cs="宋体"/>
          <w:b/>
          <w:color w:val="auto"/>
          <w:sz w:val="24"/>
          <w:szCs w:val="24"/>
          <w:highlight w:val="none"/>
        </w:rPr>
        <w:t>、投标人类似项目业绩一览表</w:t>
      </w:r>
      <w:bookmarkEnd w:id="146"/>
    </w:p>
    <w:p w14:paraId="0F6CD23D">
      <w:pPr>
        <w:spacing w:line="400" w:lineRule="exact"/>
        <w:rPr>
          <w:rFonts w:hint="eastAsia" w:ascii="宋体" w:hAnsi="宋体" w:eastAsia="宋体" w:cs="宋体"/>
          <w:color w:val="auto"/>
          <w:sz w:val="24"/>
          <w:szCs w:val="24"/>
          <w:highlight w:val="none"/>
        </w:rPr>
      </w:pPr>
    </w:p>
    <w:tbl>
      <w:tblPr>
        <w:tblStyle w:val="31"/>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1F59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noWrap w:val="0"/>
            <w:vAlign w:val="top"/>
          </w:tcPr>
          <w:p w14:paraId="05EEBDF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85" w:type="dxa"/>
            <w:noWrap w:val="0"/>
            <w:vAlign w:val="top"/>
          </w:tcPr>
          <w:p w14:paraId="3839235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业主名称</w:t>
            </w:r>
          </w:p>
        </w:tc>
        <w:tc>
          <w:tcPr>
            <w:tcW w:w="1530" w:type="dxa"/>
            <w:noWrap w:val="0"/>
            <w:vAlign w:val="top"/>
          </w:tcPr>
          <w:p w14:paraId="1039FC4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23" w:type="dxa"/>
            <w:noWrap w:val="0"/>
            <w:vAlign w:val="top"/>
          </w:tcPr>
          <w:p w14:paraId="3750E3E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w:t>
            </w:r>
          </w:p>
        </w:tc>
        <w:tc>
          <w:tcPr>
            <w:tcW w:w="1391" w:type="dxa"/>
            <w:noWrap w:val="0"/>
            <w:vAlign w:val="top"/>
          </w:tcPr>
          <w:p w14:paraId="739C6B6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签约及完成时间</w:t>
            </w:r>
          </w:p>
        </w:tc>
        <w:tc>
          <w:tcPr>
            <w:tcW w:w="2276" w:type="dxa"/>
            <w:noWrap w:val="0"/>
            <w:vAlign w:val="top"/>
          </w:tcPr>
          <w:p w14:paraId="7F94B4F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单位联系人及电话</w:t>
            </w:r>
          </w:p>
        </w:tc>
      </w:tr>
      <w:tr w14:paraId="5DA4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noWrap w:val="0"/>
            <w:vAlign w:val="top"/>
          </w:tcPr>
          <w:p w14:paraId="778BA730">
            <w:pPr>
              <w:spacing w:line="440" w:lineRule="exact"/>
              <w:jc w:val="center"/>
              <w:rPr>
                <w:rFonts w:hint="eastAsia" w:ascii="宋体" w:hAnsi="宋体" w:eastAsia="宋体" w:cs="宋体"/>
                <w:color w:val="auto"/>
                <w:sz w:val="24"/>
                <w:szCs w:val="24"/>
                <w:highlight w:val="none"/>
              </w:rPr>
            </w:pPr>
          </w:p>
          <w:p w14:paraId="5695AA3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85" w:type="dxa"/>
            <w:noWrap w:val="0"/>
            <w:vAlign w:val="top"/>
          </w:tcPr>
          <w:p w14:paraId="599B092E">
            <w:pPr>
              <w:spacing w:line="440" w:lineRule="exact"/>
              <w:jc w:val="center"/>
              <w:rPr>
                <w:rFonts w:hint="eastAsia" w:ascii="宋体" w:hAnsi="宋体" w:eastAsia="宋体" w:cs="宋体"/>
                <w:color w:val="auto"/>
                <w:sz w:val="24"/>
                <w:szCs w:val="24"/>
                <w:highlight w:val="none"/>
              </w:rPr>
            </w:pPr>
          </w:p>
        </w:tc>
        <w:tc>
          <w:tcPr>
            <w:tcW w:w="1530" w:type="dxa"/>
            <w:noWrap w:val="0"/>
            <w:vAlign w:val="top"/>
          </w:tcPr>
          <w:p w14:paraId="157A5A06">
            <w:pPr>
              <w:spacing w:line="440" w:lineRule="exact"/>
              <w:jc w:val="left"/>
              <w:rPr>
                <w:rFonts w:hint="eastAsia" w:ascii="宋体" w:hAnsi="宋体" w:eastAsia="宋体" w:cs="宋体"/>
                <w:color w:val="auto"/>
                <w:sz w:val="24"/>
                <w:szCs w:val="24"/>
                <w:highlight w:val="none"/>
              </w:rPr>
            </w:pPr>
          </w:p>
        </w:tc>
        <w:tc>
          <w:tcPr>
            <w:tcW w:w="1223" w:type="dxa"/>
            <w:noWrap w:val="0"/>
            <w:vAlign w:val="top"/>
          </w:tcPr>
          <w:p w14:paraId="289BF72D">
            <w:pPr>
              <w:spacing w:line="440" w:lineRule="exact"/>
              <w:jc w:val="center"/>
              <w:rPr>
                <w:rFonts w:hint="eastAsia" w:ascii="宋体" w:hAnsi="宋体" w:eastAsia="宋体" w:cs="宋体"/>
                <w:color w:val="auto"/>
                <w:sz w:val="24"/>
                <w:szCs w:val="24"/>
                <w:highlight w:val="none"/>
              </w:rPr>
            </w:pPr>
          </w:p>
        </w:tc>
        <w:tc>
          <w:tcPr>
            <w:tcW w:w="1391" w:type="dxa"/>
            <w:noWrap w:val="0"/>
            <w:vAlign w:val="top"/>
          </w:tcPr>
          <w:p w14:paraId="2E87DCC2">
            <w:pPr>
              <w:spacing w:line="440" w:lineRule="exact"/>
              <w:jc w:val="center"/>
              <w:rPr>
                <w:rFonts w:hint="eastAsia" w:ascii="宋体" w:hAnsi="宋体" w:eastAsia="宋体" w:cs="宋体"/>
                <w:color w:val="auto"/>
                <w:sz w:val="24"/>
                <w:szCs w:val="24"/>
                <w:highlight w:val="none"/>
              </w:rPr>
            </w:pPr>
          </w:p>
        </w:tc>
        <w:tc>
          <w:tcPr>
            <w:tcW w:w="2276" w:type="dxa"/>
            <w:noWrap w:val="0"/>
            <w:vAlign w:val="top"/>
          </w:tcPr>
          <w:p w14:paraId="23EDC2BC">
            <w:pPr>
              <w:spacing w:line="440" w:lineRule="exact"/>
              <w:jc w:val="center"/>
              <w:rPr>
                <w:rFonts w:hint="eastAsia" w:ascii="宋体" w:hAnsi="宋体" w:eastAsia="宋体" w:cs="宋体"/>
                <w:color w:val="auto"/>
                <w:sz w:val="24"/>
                <w:szCs w:val="24"/>
                <w:highlight w:val="none"/>
              </w:rPr>
            </w:pPr>
          </w:p>
        </w:tc>
      </w:tr>
      <w:tr w14:paraId="56AE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5B4BEBE8">
            <w:pPr>
              <w:spacing w:line="440" w:lineRule="exact"/>
              <w:jc w:val="center"/>
              <w:rPr>
                <w:rFonts w:hint="eastAsia" w:ascii="宋体" w:hAnsi="宋体" w:eastAsia="宋体" w:cs="宋体"/>
                <w:color w:val="auto"/>
                <w:sz w:val="24"/>
                <w:szCs w:val="24"/>
                <w:highlight w:val="none"/>
              </w:rPr>
            </w:pPr>
          </w:p>
          <w:p w14:paraId="22A0166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85" w:type="dxa"/>
            <w:noWrap w:val="0"/>
            <w:vAlign w:val="top"/>
          </w:tcPr>
          <w:p w14:paraId="7D2067BA">
            <w:pPr>
              <w:spacing w:line="440" w:lineRule="exact"/>
              <w:jc w:val="center"/>
              <w:rPr>
                <w:rFonts w:hint="eastAsia" w:ascii="宋体" w:hAnsi="宋体" w:eastAsia="宋体" w:cs="宋体"/>
                <w:color w:val="auto"/>
                <w:sz w:val="24"/>
                <w:szCs w:val="24"/>
                <w:highlight w:val="none"/>
              </w:rPr>
            </w:pPr>
          </w:p>
        </w:tc>
        <w:tc>
          <w:tcPr>
            <w:tcW w:w="1530" w:type="dxa"/>
            <w:noWrap w:val="0"/>
            <w:vAlign w:val="top"/>
          </w:tcPr>
          <w:p w14:paraId="73F0A1F9">
            <w:pPr>
              <w:spacing w:line="440" w:lineRule="exact"/>
              <w:jc w:val="left"/>
              <w:rPr>
                <w:rFonts w:hint="eastAsia" w:ascii="宋体" w:hAnsi="宋体" w:eastAsia="宋体" w:cs="宋体"/>
                <w:color w:val="auto"/>
                <w:sz w:val="24"/>
                <w:szCs w:val="24"/>
                <w:highlight w:val="none"/>
              </w:rPr>
            </w:pPr>
          </w:p>
        </w:tc>
        <w:tc>
          <w:tcPr>
            <w:tcW w:w="1223" w:type="dxa"/>
            <w:noWrap w:val="0"/>
            <w:vAlign w:val="top"/>
          </w:tcPr>
          <w:p w14:paraId="69E2AACC">
            <w:pPr>
              <w:spacing w:line="440" w:lineRule="exact"/>
              <w:jc w:val="center"/>
              <w:rPr>
                <w:rFonts w:hint="eastAsia" w:ascii="宋体" w:hAnsi="宋体" w:eastAsia="宋体" w:cs="宋体"/>
                <w:color w:val="auto"/>
                <w:sz w:val="24"/>
                <w:szCs w:val="24"/>
                <w:highlight w:val="none"/>
              </w:rPr>
            </w:pPr>
          </w:p>
        </w:tc>
        <w:tc>
          <w:tcPr>
            <w:tcW w:w="1391" w:type="dxa"/>
            <w:noWrap w:val="0"/>
            <w:vAlign w:val="top"/>
          </w:tcPr>
          <w:p w14:paraId="2EEF724E">
            <w:pPr>
              <w:spacing w:line="440" w:lineRule="exact"/>
              <w:jc w:val="center"/>
              <w:rPr>
                <w:rFonts w:hint="eastAsia" w:ascii="宋体" w:hAnsi="宋体" w:eastAsia="宋体" w:cs="宋体"/>
                <w:color w:val="auto"/>
                <w:sz w:val="24"/>
                <w:szCs w:val="24"/>
                <w:highlight w:val="none"/>
              </w:rPr>
            </w:pPr>
          </w:p>
        </w:tc>
        <w:tc>
          <w:tcPr>
            <w:tcW w:w="2276" w:type="dxa"/>
            <w:noWrap w:val="0"/>
            <w:vAlign w:val="top"/>
          </w:tcPr>
          <w:p w14:paraId="76841CBC">
            <w:pPr>
              <w:spacing w:line="440" w:lineRule="exact"/>
              <w:jc w:val="center"/>
              <w:rPr>
                <w:rFonts w:hint="eastAsia" w:ascii="宋体" w:hAnsi="宋体" w:eastAsia="宋体" w:cs="宋体"/>
                <w:color w:val="auto"/>
                <w:sz w:val="24"/>
                <w:szCs w:val="24"/>
                <w:highlight w:val="none"/>
              </w:rPr>
            </w:pPr>
          </w:p>
        </w:tc>
      </w:tr>
      <w:tr w14:paraId="3C55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703C5AA1">
            <w:pPr>
              <w:spacing w:line="440" w:lineRule="exact"/>
              <w:jc w:val="center"/>
              <w:rPr>
                <w:rFonts w:hint="eastAsia" w:ascii="宋体" w:hAnsi="宋体" w:eastAsia="宋体" w:cs="宋体"/>
                <w:color w:val="auto"/>
                <w:sz w:val="24"/>
                <w:szCs w:val="24"/>
                <w:highlight w:val="none"/>
              </w:rPr>
            </w:pPr>
          </w:p>
          <w:p w14:paraId="31761CF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85" w:type="dxa"/>
            <w:noWrap w:val="0"/>
            <w:vAlign w:val="top"/>
          </w:tcPr>
          <w:p w14:paraId="42AA2B60">
            <w:pPr>
              <w:spacing w:line="440" w:lineRule="exact"/>
              <w:jc w:val="center"/>
              <w:rPr>
                <w:rFonts w:hint="eastAsia" w:ascii="宋体" w:hAnsi="宋体" w:eastAsia="宋体" w:cs="宋体"/>
                <w:color w:val="auto"/>
                <w:sz w:val="24"/>
                <w:szCs w:val="24"/>
                <w:highlight w:val="none"/>
              </w:rPr>
            </w:pPr>
          </w:p>
        </w:tc>
        <w:tc>
          <w:tcPr>
            <w:tcW w:w="1530" w:type="dxa"/>
            <w:noWrap w:val="0"/>
            <w:vAlign w:val="top"/>
          </w:tcPr>
          <w:p w14:paraId="5E3A7A15">
            <w:pPr>
              <w:spacing w:line="440" w:lineRule="exact"/>
              <w:jc w:val="left"/>
              <w:rPr>
                <w:rFonts w:hint="eastAsia" w:ascii="宋体" w:hAnsi="宋体" w:eastAsia="宋体" w:cs="宋体"/>
                <w:color w:val="auto"/>
                <w:sz w:val="24"/>
                <w:szCs w:val="24"/>
                <w:highlight w:val="none"/>
              </w:rPr>
            </w:pPr>
          </w:p>
        </w:tc>
        <w:tc>
          <w:tcPr>
            <w:tcW w:w="1223" w:type="dxa"/>
            <w:noWrap w:val="0"/>
            <w:vAlign w:val="top"/>
          </w:tcPr>
          <w:p w14:paraId="0876CD8D">
            <w:pPr>
              <w:spacing w:line="440" w:lineRule="exact"/>
              <w:jc w:val="center"/>
              <w:rPr>
                <w:rFonts w:hint="eastAsia" w:ascii="宋体" w:hAnsi="宋体" w:eastAsia="宋体" w:cs="宋体"/>
                <w:color w:val="auto"/>
                <w:sz w:val="24"/>
                <w:szCs w:val="24"/>
                <w:highlight w:val="none"/>
              </w:rPr>
            </w:pPr>
          </w:p>
        </w:tc>
        <w:tc>
          <w:tcPr>
            <w:tcW w:w="1391" w:type="dxa"/>
            <w:noWrap w:val="0"/>
            <w:vAlign w:val="top"/>
          </w:tcPr>
          <w:p w14:paraId="675B3E6D">
            <w:pPr>
              <w:spacing w:line="440" w:lineRule="exact"/>
              <w:jc w:val="center"/>
              <w:rPr>
                <w:rFonts w:hint="eastAsia" w:ascii="宋体" w:hAnsi="宋体" w:eastAsia="宋体" w:cs="宋体"/>
                <w:color w:val="auto"/>
                <w:sz w:val="24"/>
                <w:szCs w:val="24"/>
                <w:highlight w:val="none"/>
              </w:rPr>
            </w:pPr>
          </w:p>
        </w:tc>
        <w:tc>
          <w:tcPr>
            <w:tcW w:w="2276" w:type="dxa"/>
            <w:noWrap w:val="0"/>
            <w:vAlign w:val="top"/>
          </w:tcPr>
          <w:p w14:paraId="50207448">
            <w:pPr>
              <w:spacing w:line="440" w:lineRule="exact"/>
              <w:jc w:val="center"/>
              <w:rPr>
                <w:rFonts w:hint="eastAsia" w:ascii="宋体" w:hAnsi="宋体" w:eastAsia="宋体" w:cs="宋体"/>
                <w:color w:val="auto"/>
                <w:sz w:val="24"/>
                <w:szCs w:val="24"/>
                <w:highlight w:val="none"/>
              </w:rPr>
            </w:pPr>
          </w:p>
        </w:tc>
      </w:tr>
      <w:tr w14:paraId="3179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1DBC83ED">
            <w:pPr>
              <w:spacing w:line="440" w:lineRule="exact"/>
              <w:jc w:val="center"/>
              <w:rPr>
                <w:rFonts w:hint="eastAsia" w:ascii="宋体" w:hAnsi="宋体" w:eastAsia="宋体" w:cs="宋体"/>
                <w:color w:val="auto"/>
                <w:sz w:val="24"/>
                <w:szCs w:val="24"/>
                <w:highlight w:val="none"/>
              </w:rPr>
            </w:pPr>
          </w:p>
          <w:p w14:paraId="1D0F5DF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85" w:type="dxa"/>
            <w:noWrap w:val="0"/>
            <w:vAlign w:val="top"/>
          </w:tcPr>
          <w:p w14:paraId="5EA6A619">
            <w:pPr>
              <w:spacing w:line="440" w:lineRule="exact"/>
              <w:jc w:val="center"/>
              <w:rPr>
                <w:rFonts w:hint="eastAsia" w:ascii="宋体" w:hAnsi="宋体" w:eastAsia="宋体" w:cs="宋体"/>
                <w:color w:val="auto"/>
                <w:sz w:val="24"/>
                <w:szCs w:val="24"/>
                <w:highlight w:val="none"/>
              </w:rPr>
            </w:pPr>
          </w:p>
        </w:tc>
        <w:tc>
          <w:tcPr>
            <w:tcW w:w="1530" w:type="dxa"/>
            <w:noWrap w:val="0"/>
            <w:vAlign w:val="top"/>
          </w:tcPr>
          <w:p w14:paraId="731532F7">
            <w:pPr>
              <w:spacing w:line="440" w:lineRule="exact"/>
              <w:jc w:val="left"/>
              <w:rPr>
                <w:rFonts w:hint="eastAsia" w:ascii="宋体" w:hAnsi="宋体" w:eastAsia="宋体" w:cs="宋体"/>
                <w:color w:val="auto"/>
                <w:sz w:val="24"/>
                <w:szCs w:val="24"/>
                <w:highlight w:val="none"/>
              </w:rPr>
            </w:pPr>
          </w:p>
        </w:tc>
        <w:tc>
          <w:tcPr>
            <w:tcW w:w="1223" w:type="dxa"/>
            <w:noWrap w:val="0"/>
            <w:vAlign w:val="top"/>
          </w:tcPr>
          <w:p w14:paraId="333C0A06">
            <w:pPr>
              <w:spacing w:line="440" w:lineRule="exact"/>
              <w:jc w:val="center"/>
              <w:rPr>
                <w:rFonts w:hint="eastAsia" w:ascii="宋体" w:hAnsi="宋体" w:eastAsia="宋体" w:cs="宋体"/>
                <w:color w:val="auto"/>
                <w:sz w:val="24"/>
                <w:szCs w:val="24"/>
                <w:highlight w:val="none"/>
              </w:rPr>
            </w:pPr>
          </w:p>
          <w:p w14:paraId="6625DF50">
            <w:pPr>
              <w:spacing w:line="440" w:lineRule="exact"/>
              <w:jc w:val="center"/>
              <w:rPr>
                <w:rFonts w:hint="eastAsia" w:ascii="宋体" w:hAnsi="宋体" w:eastAsia="宋体" w:cs="宋体"/>
                <w:color w:val="auto"/>
                <w:sz w:val="24"/>
                <w:szCs w:val="24"/>
                <w:highlight w:val="none"/>
              </w:rPr>
            </w:pPr>
          </w:p>
        </w:tc>
        <w:tc>
          <w:tcPr>
            <w:tcW w:w="1391" w:type="dxa"/>
            <w:noWrap w:val="0"/>
            <w:vAlign w:val="top"/>
          </w:tcPr>
          <w:p w14:paraId="6E3B1A8E">
            <w:pPr>
              <w:spacing w:line="440" w:lineRule="exact"/>
              <w:jc w:val="center"/>
              <w:rPr>
                <w:rFonts w:hint="eastAsia" w:ascii="宋体" w:hAnsi="宋体" w:eastAsia="宋体" w:cs="宋体"/>
                <w:color w:val="auto"/>
                <w:sz w:val="24"/>
                <w:szCs w:val="24"/>
                <w:highlight w:val="none"/>
              </w:rPr>
            </w:pPr>
          </w:p>
        </w:tc>
        <w:tc>
          <w:tcPr>
            <w:tcW w:w="2276" w:type="dxa"/>
            <w:noWrap w:val="0"/>
            <w:vAlign w:val="top"/>
          </w:tcPr>
          <w:p w14:paraId="7BAEA371">
            <w:pPr>
              <w:spacing w:line="440" w:lineRule="exact"/>
              <w:jc w:val="center"/>
              <w:rPr>
                <w:rFonts w:hint="eastAsia" w:ascii="宋体" w:hAnsi="宋体" w:eastAsia="宋体" w:cs="宋体"/>
                <w:color w:val="auto"/>
                <w:sz w:val="24"/>
                <w:szCs w:val="24"/>
                <w:highlight w:val="none"/>
              </w:rPr>
            </w:pPr>
          </w:p>
        </w:tc>
      </w:tr>
      <w:tr w14:paraId="44A1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775BAC4F">
            <w:pPr>
              <w:spacing w:line="440" w:lineRule="exact"/>
              <w:jc w:val="center"/>
              <w:rPr>
                <w:rFonts w:hint="eastAsia" w:ascii="宋体" w:hAnsi="宋体" w:eastAsia="宋体" w:cs="宋体"/>
                <w:color w:val="auto"/>
                <w:sz w:val="24"/>
                <w:szCs w:val="24"/>
                <w:highlight w:val="none"/>
              </w:rPr>
            </w:pPr>
          </w:p>
          <w:p w14:paraId="40636FB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85" w:type="dxa"/>
            <w:noWrap w:val="0"/>
            <w:vAlign w:val="top"/>
          </w:tcPr>
          <w:p w14:paraId="161CC164">
            <w:pPr>
              <w:spacing w:line="440" w:lineRule="exact"/>
              <w:jc w:val="center"/>
              <w:rPr>
                <w:rFonts w:hint="eastAsia" w:ascii="宋体" w:hAnsi="宋体" w:eastAsia="宋体" w:cs="宋体"/>
                <w:color w:val="auto"/>
                <w:sz w:val="24"/>
                <w:szCs w:val="24"/>
                <w:highlight w:val="none"/>
              </w:rPr>
            </w:pPr>
          </w:p>
        </w:tc>
        <w:tc>
          <w:tcPr>
            <w:tcW w:w="1530" w:type="dxa"/>
            <w:noWrap w:val="0"/>
            <w:vAlign w:val="top"/>
          </w:tcPr>
          <w:p w14:paraId="77D22E88">
            <w:pPr>
              <w:spacing w:line="440" w:lineRule="exact"/>
              <w:jc w:val="center"/>
              <w:rPr>
                <w:rFonts w:hint="eastAsia" w:ascii="宋体" w:hAnsi="宋体" w:eastAsia="宋体" w:cs="宋体"/>
                <w:color w:val="auto"/>
                <w:sz w:val="24"/>
                <w:szCs w:val="24"/>
                <w:highlight w:val="none"/>
              </w:rPr>
            </w:pPr>
          </w:p>
        </w:tc>
        <w:tc>
          <w:tcPr>
            <w:tcW w:w="1223" w:type="dxa"/>
            <w:noWrap w:val="0"/>
            <w:vAlign w:val="top"/>
          </w:tcPr>
          <w:p w14:paraId="2AE2530F">
            <w:pPr>
              <w:spacing w:line="440" w:lineRule="exact"/>
              <w:jc w:val="center"/>
              <w:rPr>
                <w:rFonts w:hint="eastAsia" w:ascii="宋体" w:hAnsi="宋体" w:eastAsia="宋体" w:cs="宋体"/>
                <w:color w:val="auto"/>
                <w:sz w:val="24"/>
                <w:szCs w:val="24"/>
                <w:highlight w:val="none"/>
              </w:rPr>
            </w:pPr>
          </w:p>
        </w:tc>
        <w:tc>
          <w:tcPr>
            <w:tcW w:w="1391" w:type="dxa"/>
            <w:noWrap w:val="0"/>
            <w:vAlign w:val="top"/>
          </w:tcPr>
          <w:p w14:paraId="50D605C8">
            <w:pPr>
              <w:spacing w:line="440" w:lineRule="exact"/>
              <w:jc w:val="center"/>
              <w:rPr>
                <w:rFonts w:hint="eastAsia" w:ascii="宋体" w:hAnsi="宋体" w:eastAsia="宋体" w:cs="宋体"/>
                <w:color w:val="auto"/>
                <w:sz w:val="24"/>
                <w:szCs w:val="24"/>
                <w:highlight w:val="none"/>
              </w:rPr>
            </w:pPr>
          </w:p>
        </w:tc>
        <w:tc>
          <w:tcPr>
            <w:tcW w:w="2276" w:type="dxa"/>
            <w:noWrap w:val="0"/>
            <w:vAlign w:val="top"/>
          </w:tcPr>
          <w:p w14:paraId="72B9E03F">
            <w:pPr>
              <w:spacing w:line="440" w:lineRule="exact"/>
              <w:jc w:val="center"/>
              <w:rPr>
                <w:rFonts w:hint="eastAsia" w:ascii="宋体" w:hAnsi="宋体" w:eastAsia="宋体" w:cs="宋体"/>
                <w:color w:val="auto"/>
                <w:sz w:val="24"/>
                <w:szCs w:val="24"/>
                <w:highlight w:val="none"/>
              </w:rPr>
            </w:pPr>
          </w:p>
        </w:tc>
      </w:tr>
      <w:tr w14:paraId="5C23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04B6810B">
            <w:pPr>
              <w:spacing w:line="440" w:lineRule="exact"/>
              <w:rPr>
                <w:rFonts w:hint="eastAsia" w:ascii="宋体" w:hAnsi="宋体" w:eastAsia="宋体" w:cs="宋体"/>
                <w:color w:val="auto"/>
                <w:sz w:val="24"/>
                <w:szCs w:val="24"/>
                <w:highlight w:val="none"/>
              </w:rPr>
            </w:pPr>
          </w:p>
          <w:p w14:paraId="2CB66F5A">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85" w:type="dxa"/>
            <w:noWrap w:val="0"/>
            <w:vAlign w:val="top"/>
          </w:tcPr>
          <w:p w14:paraId="7DFDB82B">
            <w:pPr>
              <w:spacing w:line="440" w:lineRule="exact"/>
              <w:jc w:val="center"/>
              <w:rPr>
                <w:rFonts w:hint="eastAsia" w:ascii="宋体" w:hAnsi="宋体" w:eastAsia="宋体" w:cs="宋体"/>
                <w:color w:val="auto"/>
                <w:sz w:val="24"/>
                <w:szCs w:val="24"/>
                <w:highlight w:val="none"/>
              </w:rPr>
            </w:pPr>
          </w:p>
          <w:p w14:paraId="4CB1973E">
            <w:pPr>
              <w:spacing w:line="440" w:lineRule="exact"/>
              <w:jc w:val="center"/>
              <w:rPr>
                <w:rFonts w:hint="eastAsia" w:ascii="宋体" w:hAnsi="宋体" w:eastAsia="宋体" w:cs="宋体"/>
                <w:color w:val="auto"/>
                <w:sz w:val="24"/>
                <w:szCs w:val="24"/>
                <w:highlight w:val="none"/>
              </w:rPr>
            </w:pPr>
          </w:p>
        </w:tc>
        <w:tc>
          <w:tcPr>
            <w:tcW w:w="1530" w:type="dxa"/>
            <w:noWrap w:val="0"/>
            <w:vAlign w:val="top"/>
          </w:tcPr>
          <w:p w14:paraId="1E72E71D">
            <w:pPr>
              <w:spacing w:line="440" w:lineRule="exact"/>
              <w:jc w:val="center"/>
              <w:rPr>
                <w:rFonts w:hint="eastAsia" w:ascii="宋体" w:hAnsi="宋体" w:eastAsia="宋体" w:cs="宋体"/>
                <w:color w:val="auto"/>
                <w:sz w:val="24"/>
                <w:szCs w:val="24"/>
                <w:highlight w:val="none"/>
              </w:rPr>
            </w:pPr>
          </w:p>
        </w:tc>
        <w:tc>
          <w:tcPr>
            <w:tcW w:w="1223" w:type="dxa"/>
            <w:noWrap w:val="0"/>
            <w:vAlign w:val="top"/>
          </w:tcPr>
          <w:p w14:paraId="098BA79A">
            <w:pPr>
              <w:spacing w:line="440" w:lineRule="exact"/>
              <w:jc w:val="center"/>
              <w:rPr>
                <w:rFonts w:hint="eastAsia" w:ascii="宋体" w:hAnsi="宋体" w:eastAsia="宋体" w:cs="宋体"/>
                <w:color w:val="auto"/>
                <w:sz w:val="24"/>
                <w:szCs w:val="24"/>
                <w:highlight w:val="none"/>
              </w:rPr>
            </w:pPr>
          </w:p>
        </w:tc>
        <w:tc>
          <w:tcPr>
            <w:tcW w:w="1391" w:type="dxa"/>
            <w:noWrap w:val="0"/>
            <w:vAlign w:val="top"/>
          </w:tcPr>
          <w:p w14:paraId="04796226">
            <w:pPr>
              <w:spacing w:line="440" w:lineRule="exact"/>
              <w:jc w:val="center"/>
              <w:rPr>
                <w:rFonts w:hint="eastAsia" w:ascii="宋体" w:hAnsi="宋体" w:eastAsia="宋体" w:cs="宋体"/>
                <w:color w:val="auto"/>
                <w:sz w:val="24"/>
                <w:szCs w:val="24"/>
                <w:highlight w:val="none"/>
              </w:rPr>
            </w:pPr>
          </w:p>
        </w:tc>
        <w:tc>
          <w:tcPr>
            <w:tcW w:w="2276" w:type="dxa"/>
            <w:noWrap w:val="0"/>
            <w:vAlign w:val="top"/>
          </w:tcPr>
          <w:p w14:paraId="54910832">
            <w:pPr>
              <w:spacing w:line="440" w:lineRule="exact"/>
              <w:jc w:val="center"/>
              <w:rPr>
                <w:rFonts w:hint="eastAsia" w:ascii="宋体" w:hAnsi="宋体" w:eastAsia="宋体" w:cs="宋体"/>
                <w:color w:val="auto"/>
                <w:sz w:val="24"/>
                <w:szCs w:val="24"/>
                <w:highlight w:val="none"/>
              </w:rPr>
            </w:pPr>
          </w:p>
        </w:tc>
      </w:tr>
      <w:tr w14:paraId="72B6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5D8F1F6E">
            <w:pPr>
              <w:spacing w:line="440" w:lineRule="exact"/>
              <w:jc w:val="center"/>
              <w:rPr>
                <w:rFonts w:hint="eastAsia" w:ascii="宋体" w:hAnsi="宋体" w:eastAsia="宋体" w:cs="宋体"/>
                <w:color w:val="auto"/>
                <w:sz w:val="24"/>
                <w:szCs w:val="24"/>
                <w:highlight w:val="none"/>
              </w:rPr>
            </w:pPr>
          </w:p>
          <w:p w14:paraId="2DF3297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85" w:type="dxa"/>
            <w:noWrap w:val="0"/>
            <w:vAlign w:val="top"/>
          </w:tcPr>
          <w:p w14:paraId="6E57631F">
            <w:pPr>
              <w:spacing w:line="440" w:lineRule="exact"/>
              <w:jc w:val="center"/>
              <w:rPr>
                <w:rFonts w:hint="eastAsia" w:ascii="宋体" w:hAnsi="宋体" w:eastAsia="宋体" w:cs="宋体"/>
                <w:color w:val="auto"/>
                <w:sz w:val="24"/>
                <w:szCs w:val="24"/>
                <w:highlight w:val="none"/>
              </w:rPr>
            </w:pPr>
          </w:p>
        </w:tc>
        <w:tc>
          <w:tcPr>
            <w:tcW w:w="1530" w:type="dxa"/>
            <w:noWrap w:val="0"/>
            <w:vAlign w:val="top"/>
          </w:tcPr>
          <w:p w14:paraId="26104939">
            <w:pPr>
              <w:spacing w:line="440" w:lineRule="exact"/>
              <w:jc w:val="center"/>
              <w:rPr>
                <w:rFonts w:hint="eastAsia" w:ascii="宋体" w:hAnsi="宋体" w:eastAsia="宋体" w:cs="宋体"/>
                <w:color w:val="auto"/>
                <w:sz w:val="24"/>
                <w:szCs w:val="24"/>
                <w:highlight w:val="none"/>
              </w:rPr>
            </w:pPr>
          </w:p>
        </w:tc>
        <w:tc>
          <w:tcPr>
            <w:tcW w:w="1223" w:type="dxa"/>
            <w:noWrap w:val="0"/>
            <w:vAlign w:val="top"/>
          </w:tcPr>
          <w:p w14:paraId="5923ED14">
            <w:pPr>
              <w:spacing w:line="440" w:lineRule="exact"/>
              <w:jc w:val="center"/>
              <w:rPr>
                <w:rFonts w:hint="eastAsia" w:ascii="宋体" w:hAnsi="宋体" w:eastAsia="宋体" w:cs="宋体"/>
                <w:color w:val="auto"/>
                <w:sz w:val="24"/>
                <w:szCs w:val="24"/>
                <w:highlight w:val="none"/>
              </w:rPr>
            </w:pPr>
          </w:p>
        </w:tc>
        <w:tc>
          <w:tcPr>
            <w:tcW w:w="1391" w:type="dxa"/>
            <w:noWrap w:val="0"/>
            <w:vAlign w:val="top"/>
          </w:tcPr>
          <w:p w14:paraId="0ACBC1AA">
            <w:pPr>
              <w:spacing w:line="440" w:lineRule="exact"/>
              <w:jc w:val="center"/>
              <w:rPr>
                <w:rFonts w:hint="eastAsia" w:ascii="宋体" w:hAnsi="宋体" w:eastAsia="宋体" w:cs="宋体"/>
                <w:color w:val="auto"/>
                <w:sz w:val="24"/>
                <w:szCs w:val="24"/>
                <w:highlight w:val="none"/>
              </w:rPr>
            </w:pPr>
          </w:p>
          <w:p w14:paraId="3F0EE5DE">
            <w:pPr>
              <w:spacing w:line="440" w:lineRule="exact"/>
              <w:jc w:val="center"/>
              <w:rPr>
                <w:rFonts w:hint="eastAsia" w:ascii="宋体" w:hAnsi="宋体" w:eastAsia="宋体" w:cs="宋体"/>
                <w:color w:val="auto"/>
                <w:sz w:val="24"/>
                <w:szCs w:val="24"/>
                <w:highlight w:val="none"/>
              </w:rPr>
            </w:pPr>
          </w:p>
        </w:tc>
        <w:tc>
          <w:tcPr>
            <w:tcW w:w="2276" w:type="dxa"/>
            <w:noWrap w:val="0"/>
            <w:vAlign w:val="top"/>
          </w:tcPr>
          <w:p w14:paraId="638B7098">
            <w:pPr>
              <w:tabs>
                <w:tab w:val="center" w:pos="767"/>
                <w:tab w:val="right" w:pos="1415"/>
              </w:tabs>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tc>
      </w:tr>
      <w:tr w14:paraId="3411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2F0C75AF">
            <w:pPr>
              <w:spacing w:line="440" w:lineRule="exact"/>
              <w:jc w:val="center"/>
              <w:rPr>
                <w:rFonts w:hint="eastAsia" w:ascii="宋体" w:hAnsi="宋体" w:eastAsia="宋体" w:cs="宋体"/>
                <w:color w:val="auto"/>
                <w:sz w:val="24"/>
                <w:szCs w:val="24"/>
                <w:highlight w:val="none"/>
              </w:rPr>
            </w:pPr>
          </w:p>
          <w:p w14:paraId="6251562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485" w:type="dxa"/>
            <w:noWrap w:val="0"/>
            <w:vAlign w:val="top"/>
          </w:tcPr>
          <w:p w14:paraId="2ACE134A">
            <w:pPr>
              <w:spacing w:line="440" w:lineRule="exact"/>
              <w:jc w:val="center"/>
              <w:rPr>
                <w:rFonts w:hint="eastAsia" w:ascii="宋体" w:hAnsi="宋体" w:eastAsia="宋体" w:cs="宋体"/>
                <w:color w:val="auto"/>
                <w:sz w:val="24"/>
                <w:szCs w:val="24"/>
                <w:highlight w:val="none"/>
              </w:rPr>
            </w:pPr>
          </w:p>
        </w:tc>
        <w:tc>
          <w:tcPr>
            <w:tcW w:w="1530" w:type="dxa"/>
            <w:noWrap w:val="0"/>
            <w:vAlign w:val="top"/>
          </w:tcPr>
          <w:p w14:paraId="6C03DB98">
            <w:pPr>
              <w:spacing w:line="440" w:lineRule="exact"/>
              <w:jc w:val="center"/>
              <w:rPr>
                <w:rFonts w:hint="eastAsia" w:ascii="宋体" w:hAnsi="宋体" w:eastAsia="宋体" w:cs="宋体"/>
                <w:color w:val="auto"/>
                <w:sz w:val="24"/>
                <w:szCs w:val="24"/>
                <w:highlight w:val="none"/>
              </w:rPr>
            </w:pPr>
          </w:p>
        </w:tc>
        <w:tc>
          <w:tcPr>
            <w:tcW w:w="1223" w:type="dxa"/>
            <w:noWrap w:val="0"/>
            <w:vAlign w:val="top"/>
          </w:tcPr>
          <w:p w14:paraId="33E09B30">
            <w:pPr>
              <w:spacing w:line="440" w:lineRule="exact"/>
              <w:jc w:val="center"/>
              <w:rPr>
                <w:rFonts w:hint="eastAsia" w:ascii="宋体" w:hAnsi="宋体" w:eastAsia="宋体" w:cs="宋体"/>
                <w:color w:val="auto"/>
                <w:sz w:val="24"/>
                <w:szCs w:val="24"/>
                <w:highlight w:val="none"/>
              </w:rPr>
            </w:pPr>
          </w:p>
        </w:tc>
        <w:tc>
          <w:tcPr>
            <w:tcW w:w="1391" w:type="dxa"/>
            <w:noWrap w:val="0"/>
            <w:vAlign w:val="top"/>
          </w:tcPr>
          <w:p w14:paraId="71C11E57">
            <w:pPr>
              <w:spacing w:line="440" w:lineRule="exact"/>
              <w:jc w:val="center"/>
              <w:rPr>
                <w:rFonts w:hint="eastAsia" w:ascii="宋体" w:hAnsi="宋体" w:eastAsia="宋体" w:cs="宋体"/>
                <w:color w:val="auto"/>
                <w:sz w:val="24"/>
                <w:szCs w:val="24"/>
                <w:highlight w:val="none"/>
              </w:rPr>
            </w:pPr>
          </w:p>
        </w:tc>
        <w:tc>
          <w:tcPr>
            <w:tcW w:w="2276" w:type="dxa"/>
            <w:noWrap w:val="0"/>
            <w:vAlign w:val="top"/>
          </w:tcPr>
          <w:p w14:paraId="00D7D6C8">
            <w:pPr>
              <w:spacing w:line="440" w:lineRule="exact"/>
              <w:jc w:val="center"/>
              <w:rPr>
                <w:rFonts w:hint="eastAsia" w:ascii="宋体" w:hAnsi="宋体" w:eastAsia="宋体" w:cs="宋体"/>
                <w:color w:val="auto"/>
                <w:sz w:val="24"/>
                <w:szCs w:val="24"/>
                <w:highlight w:val="none"/>
              </w:rPr>
            </w:pPr>
          </w:p>
        </w:tc>
      </w:tr>
    </w:tbl>
    <w:p w14:paraId="2115E585">
      <w:pPr>
        <w:spacing w:line="360" w:lineRule="auto"/>
        <w:jc w:val="left"/>
        <w:rPr>
          <w:rFonts w:hint="eastAsia" w:ascii="宋体" w:hAnsi="宋体" w:eastAsia="宋体" w:cs="宋体"/>
          <w:bCs/>
          <w:color w:val="auto"/>
          <w:sz w:val="24"/>
          <w:szCs w:val="24"/>
          <w:highlight w:val="none"/>
        </w:rPr>
      </w:pPr>
    </w:p>
    <w:p w14:paraId="7E6A15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491B1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1.本表后附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近三年完成的类似业绩</w:t>
      </w:r>
      <w:r>
        <w:rPr>
          <w:rFonts w:hint="eastAsia" w:ascii="宋体" w:hAnsi="宋体" w:eastAsia="宋体" w:cs="宋体"/>
          <w:bCs/>
          <w:color w:val="auto"/>
          <w:sz w:val="24"/>
          <w:szCs w:val="24"/>
          <w:highlight w:val="none"/>
        </w:rPr>
        <w:t>，</w:t>
      </w:r>
      <w:r>
        <w:rPr>
          <w:rFonts w:hint="eastAsia" w:ascii="宋体" w:hAnsi="宋体" w:cs="宋体"/>
          <w:color w:val="auto"/>
          <w:sz w:val="24"/>
          <w:szCs w:val="24"/>
          <w:highlight w:val="none"/>
        </w:rPr>
        <w:t>须提供</w:t>
      </w:r>
      <w:r>
        <w:rPr>
          <w:rFonts w:hint="eastAsia" w:ascii="宋体" w:hAnsi="宋体" w:cs="宋体"/>
          <w:color w:val="auto"/>
          <w:sz w:val="24"/>
          <w:szCs w:val="24"/>
          <w:highlight w:val="none"/>
          <w:lang w:val="en-US" w:eastAsia="zh-CN"/>
        </w:rPr>
        <w:t>服务合同</w:t>
      </w:r>
      <w:r>
        <w:rPr>
          <w:rFonts w:hint="eastAsia" w:ascii="宋体" w:hAnsi="宋体" w:cs="宋体"/>
          <w:color w:val="auto"/>
          <w:sz w:val="24"/>
          <w:szCs w:val="24"/>
          <w:highlight w:val="none"/>
        </w:rPr>
        <w:t>（至少包括合同首页、标的页、签字盖章页、</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内容页）</w:t>
      </w:r>
      <w:r>
        <w:rPr>
          <w:rFonts w:hint="eastAsia" w:ascii="宋体" w:hAnsi="宋体" w:cs="宋体"/>
          <w:color w:val="auto"/>
          <w:sz w:val="24"/>
          <w:szCs w:val="24"/>
          <w:highlight w:val="none"/>
          <w:lang w:eastAsia="zh-CN"/>
        </w:rPr>
        <w:t>扫描件</w:t>
      </w:r>
      <w:r>
        <w:rPr>
          <w:rFonts w:hint="eastAsia" w:ascii="宋体" w:hAnsi="宋体" w:cs="宋体"/>
          <w:color w:val="auto"/>
          <w:sz w:val="24"/>
          <w:szCs w:val="24"/>
          <w:highlight w:val="none"/>
        </w:rPr>
        <w:t>等证明材料</w:t>
      </w:r>
      <w:r>
        <w:rPr>
          <w:rFonts w:hint="eastAsia" w:ascii="宋体" w:hAnsi="宋体" w:eastAsia="宋体" w:cs="宋体"/>
          <w:color w:val="auto"/>
          <w:sz w:val="24"/>
          <w:szCs w:val="24"/>
          <w:highlight w:val="none"/>
        </w:rPr>
        <w:t>；</w:t>
      </w:r>
    </w:p>
    <w:p w14:paraId="13BBD7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2.具体年份要求：</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年0</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月01日-</w:t>
      </w:r>
      <w:r>
        <w:rPr>
          <w:rFonts w:hint="eastAsia" w:ascii="宋体" w:hAnsi="宋体" w:eastAsia="宋体" w:cs="宋体"/>
          <w:color w:val="auto"/>
          <w:sz w:val="24"/>
          <w:szCs w:val="24"/>
          <w:highlight w:val="none"/>
          <w:lang w:val="en-US" w:eastAsia="zh-CN"/>
        </w:rPr>
        <w:t>投标文件</w:t>
      </w:r>
      <w:r>
        <w:rPr>
          <w:rFonts w:hint="eastAsia" w:ascii="宋体" w:hAnsi="宋体" w:cs="宋体"/>
          <w:color w:val="auto"/>
          <w:sz w:val="24"/>
          <w:szCs w:val="24"/>
          <w:highlight w:val="none"/>
          <w:lang w:val="en-US" w:eastAsia="zh-CN"/>
        </w:rPr>
        <w:t>上传</w:t>
      </w:r>
      <w:r>
        <w:rPr>
          <w:rFonts w:hint="eastAsia" w:ascii="宋体" w:hAnsi="宋体" w:eastAsia="宋体" w:cs="宋体"/>
          <w:color w:val="auto"/>
          <w:sz w:val="24"/>
          <w:szCs w:val="24"/>
          <w:highlight w:val="none"/>
          <w:lang w:val="en-US" w:eastAsia="zh-CN"/>
        </w:rPr>
        <w:t>截止时间前</w:t>
      </w:r>
      <w:r>
        <w:rPr>
          <w:rFonts w:hint="eastAsia" w:ascii="宋体" w:hAnsi="宋体" w:eastAsia="宋体" w:cs="宋体"/>
          <w:color w:val="auto"/>
          <w:sz w:val="24"/>
          <w:szCs w:val="24"/>
          <w:highlight w:val="none"/>
        </w:rPr>
        <w:t>，业绩认定日期以</w:t>
      </w:r>
      <w:r>
        <w:rPr>
          <w:rFonts w:hint="eastAsia" w:ascii="宋体" w:hAnsi="宋体" w:eastAsia="宋体" w:cs="宋体"/>
          <w:color w:val="auto"/>
          <w:sz w:val="24"/>
          <w:szCs w:val="24"/>
          <w:highlight w:val="none"/>
          <w:lang w:val="en-US" w:eastAsia="zh-CN"/>
        </w:rPr>
        <w:t>合同签订日期</w:t>
      </w:r>
      <w:r>
        <w:rPr>
          <w:rFonts w:hint="eastAsia" w:ascii="宋体" w:hAnsi="宋体" w:eastAsia="宋体" w:cs="宋体"/>
          <w:color w:val="auto"/>
          <w:sz w:val="24"/>
          <w:szCs w:val="24"/>
          <w:highlight w:val="none"/>
        </w:rPr>
        <w:t>为准。</w:t>
      </w:r>
    </w:p>
    <w:p w14:paraId="4FFA3CBA">
      <w:pPr>
        <w:spacing w:line="400" w:lineRule="exact"/>
        <w:ind w:left="360"/>
        <w:jc w:val="center"/>
        <w:rPr>
          <w:rFonts w:hint="eastAsia" w:ascii="宋体" w:hAnsi="宋体" w:eastAsia="宋体" w:cs="宋体"/>
          <w:color w:val="auto"/>
          <w:sz w:val="24"/>
          <w:szCs w:val="24"/>
          <w:highlight w:val="none"/>
        </w:rPr>
      </w:pPr>
    </w:p>
    <w:p w14:paraId="6323D44F">
      <w:pPr>
        <w:adjustRightInd w:val="0"/>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1BC5550">
      <w:pPr>
        <w:rPr>
          <w:rFonts w:hint="eastAsia" w:ascii="宋体" w:hAnsi="宋体" w:eastAsia="宋体" w:cs="宋体"/>
          <w:bCs w:val="0"/>
          <w:color w:val="auto"/>
          <w:kern w:val="0"/>
          <w:sz w:val="24"/>
          <w:szCs w:val="24"/>
          <w:highlight w:val="none"/>
          <w:lang w:val="en-US" w:eastAsia="zh-CN"/>
        </w:rPr>
      </w:pPr>
      <w:bookmarkStart w:id="154" w:name="_Toc217446090"/>
      <w:bookmarkStart w:id="155" w:name="_Toc217446091"/>
      <w:r>
        <w:rPr>
          <w:rFonts w:hint="eastAsia" w:ascii="宋体" w:hAnsi="宋体" w:eastAsia="宋体" w:cs="宋体"/>
          <w:bCs w:val="0"/>
          <w:color w:val="auto"/>
          <w:kern w:val="0"/>
          <w:sz w:val="24"/>
          <w:szCs w:val="24"/>
          <w:highlight w:val="none"/>
        </w:rPr>
        <w:br w:type="page"/>
      </w:r>
      <w:bookmarkEnd w:id="154"/>
    </w:p>
    <w:p w14:paraId="5BC43960">
      <w:pPr>
        <w:numPr>
          <w:ilvl w:val="0"/>
          <w:numId w:val="0"/>
        </w:numPr>
        <w:spacing w:before="156" w:after="156" w:line="400" w:lineRule="exact"/>
        <w:jc w:val="center"/>
        <w:outlineLvl w:val="9"/>
        <w:rPr>
          <w:rFonts w:hint="eastAsia" w:ascii="宋体" w:hAnsi="宋体" w:cs="宋体"/>
          <w:bCs w:val="0"/>
          <w:color w:val="auto"/>
          <w:kern w:val="0"/>
          <w:sz w:val="24"/>
          <w:szCs w:val="24"/>
          <w:highlight w:val="none"/>
          <w:lang w:val="en-US" w:eastAsia="zh-CN"/>
        </w:rPr>
      </w:pPr>
    </w:p>
    <w:p w14:paraId="20295F48">
      <w:pPr>
        <w:pStyle w:val="4"/>
        <w:numPr>
          <w:ilvl w:val="0"/>
          <w:numId w:val="0"/>
        </w:numPr>
        <w:spacing w:before="156" w:after="156" w:line="400" w:lineRule="exact"/>
        <w:jc w:val="center"/>
        <w:rPr>
          <w:rFonts w:hint="eastAsia" w:ascii="宋体" w:hAnsi="宋体" w:eastAsia="宋体" w:cs="宋体"/>
          <w:color w:val="auto"/>
          <w:sz w:val="24"/>
          <w:szCs w:val="24"/>
          <w:highlight w:val="none"/>
        </w:rPr>
      </w:pPr>
      <w:r>
        <w:rPr>
          <w:rFonts w:hint="eastAsia" w:ascii="宋体" w:hAnsi="宋体" w:cs="宋体"/>
          <w:bCs w:val="0"/>
          <w:color w:val="auto"/>
          <w:kern w:val="0"/>
          <w:sz w:val="24"/>
          <w:szCs w:val="24"/>
          <w:highlight w:val="none"/>
          <w:lang w:val="en-US" w:eastAsia="zh-CN"/>
        </w:rPr>
        <w:t>七</w:t>
      </w:r>
      <w:r>
        <w:rPr>
          <w:rFonts w:hint="eastAsia" w:ascii="宋体" w:hAnsi="宋体" w:eastAsia="宋体" w:cs="宋体"/>
          <w:bCs w:val="0"/>
          <w:color w:val="auto"/>
          <w:kern w:val="0"/>
          <w:sz w:val="24"/>
          <w:szCs w:val="24"/>
          <w:highlight w:val="none"/>
          <w:lang w:val="en-US" w:eastAsia="zh-CN"/>
        </w:rPr>
        <w:t>、</w:t>
      </w:r>
      <w:r>
        <w:rPr>
          <w:rFonts w:hint="eastAsia" w:ascii="宋体" w:hAnsi="宋体" w:cs="宋体"/>
          <w:bCs w:val="0"/>
          <w:color w:val="auto"/>
          <w:kern w:val="0"/>
          <w:sz w:val="24"/>
          <w:szCs w:val="24"/>
          <w:highlight w:val="none"/>
          <w:lang w:val="en-US" w:eastAsia="zh-CN"/>
        </w:rPr>
        <w:t>技术规格、参数响应/偏离表</w:t>
      </w:r>
    </w:p>
    <w:p w14:paraId="47D04799">
      <w:pPr>
        <w:numPr>
          <w:ilvl w:val="0"/>
          <w:numId w:val="0"/>
        </w:numPr>
        <w:jc w:val="center"/>
        <w:rPr>
          <w:rFonts w:hint="eastAsia" w:ascii="宋体" w:hAnsi="宋体" w:eastAsia="宋体" w:cs="宋体"/>
          <w:b/>
          <w:bCs/>
          <w:color w:val="auto"/>
          <w:sz w:val="24"/>
          <w:szCs w:val="24"/>
          <w:highlight w:val="none"/>
        </w:rPr>
      </w:pPr>
    </w:p>
    <w:p w14:paraId="53BB84A2">
      <w:pPr>
        <w:numPr>
          <w:ilvl w:val="0"/>
          <w:numId w:val="0"/>
        </w:numPr>
        <w:jc w:val="center"/>
        <w:rPr>
          <w:rFonts w:hint="eastAsia" w:ascii="宋体" w:hAnsi="宋体" w:eastAsia="宋体" w:cs="宋体"/>
          <w:b/>
          <w:bCs/>
          <w:color w:val="auto"/>
          <w:sz w:val="24"/>
          <w:szCs w:val="24"/>
          <w:highlight w:val="none"/>
        </w:rPr>
      </w:pPr>
    </w:p>
    <w:p w14:paraId="2A40D58E">
      <w:pPr>
        <w:adjustRightInd w:val="0"/>
        <w:snapToGrid w:val="0"/>
        <w:spacing w:line="400" w:lineRule="exact"/>
        <w:ind w:firstLine="2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w:t>
      </w:r>
    </w:p>
    <w:p w14:paraId="5FAFC662">
      <w:pPr>
        <w:ind w:firstLine="266"/>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w:t>
      </w:r>
    </w:p>
    <w:tbl>
      <w:tblPr>
        <w:tblStyle w:val="31"/>
        <w:tblW w:w="0" w:type="auto"/>
        <w:jc w:val="center"/>
        <w:tblLayout w:type="fixed"/>
        <w:tblCellMar>
          <w:top w:w="0" w:type="dxa"/>
          <w:left w:w="0" w:type="dxa"/>
          <w:bottom w:w="0" w:type="dxa"/>
          <w:right w:w="0" w:type="dxa"/>
        </w:tblCellMar>
      </w:tblPr>
      <w:tblGrid>
        <w:gridCol w:w="668"/>
        <w:gridCol w:w="1559"/>
        <w:gridCol w:w="2440"/>
        <w:gridCol w:w="2552"/>
        <w:gridCol w:w="1134"/>
        <w:gridCol w:w="1313"/>
      </w:tblGrid>
      <w:tr w14:paraId="0BA1F14D">
        <w:tblPrEx>
          <w:tblCellMar>
            <w:top w:w="0" w:type="dxa"/>
            <w:left w:w="0" w:type="dxa"/>
            <w:bottom w:w="0" w:type="dxa"/>
            <w:right w:w="0" w:type="dxa"/>
          </w:tblCellMar>
        </w:tblPrEx>
        <w:trPr>
          <w:trHeight w:val="504" w:hRule="atLeast"/>
          <w:jc w:val="center"/>
        </w:trPr>
        <w:tc>
          <w:tcPr>
            <w:tcW w:w="668"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AE6A69C">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序号 </w:t>
            </w:r>
          </w:p>
        </w:tc>
        <w:tc>
          <w:tcPr>
            <w:tcW w:w="1559" w:type="dxa"/>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70E8D3D4">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货物名称 </w:t>
            </w:r>
          </w:p>
        </w:tc>
        <w:tc>
          <w:tcPr>
            <w:tcW w:w="2440" w:type="dxa"/>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7104D7CC">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招标文件的技术要求 </w:t>
            </w:r>
          </w:p>
        </w:tc>
        <w:tc>
          <w:tcPr>
            <w:tcW w:w="2552" w:type="dxa"/>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678CD161">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投标文件的技术响应 </w:t>
            </w:r>
          </w:p>
        </w:tc>
        <w:tc>
          <w:tcPr>
            <w:tcW w:w="1134" w:type="dxa"/>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3540F6BB">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响应/偏离 </w:t>
            </w:r>
          </w:p>
        </w:tc>
        <w:tc>
          <w:tcPr>
            <w:tcW w:w="1313" w:type="dxa"/>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16579924">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说明 </w:t>
            </w:r>
          </w:p>
        </w:tc>
      </w:tr>
      <w:tr w14:paraId="7CA07163">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80818F8">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59"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9FE406F">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440"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3383566">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552"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735D0BC">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34"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4BC9148">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13"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81C4C76">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4D4394DE">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914781C">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59"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C30D873">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440"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DDB77F2">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552"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ED75792">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34"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59360D0">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13"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A354D9A">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F982A3A">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2615060">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59"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2D372DD">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440"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EC9BFA5">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552"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598B940">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34"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594E5DE">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13"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988D074">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F5B10A8">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E74C238">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59"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BAE3BB9">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440"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167D2E8">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552"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33556DB">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34"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77DDF03">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13"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EB06C06">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A97F870">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1C21C40">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59"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0C4F234">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440"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6EFDC7A">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552"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90A35ED">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34"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242F976">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13"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189F481">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5E94A0B7">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A73D1A8">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59"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F93CDB9">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440"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EF25B7E">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552"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803F164">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34"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FF1AE54">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13"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9E0E647">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0B2A7FB">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590781F">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59"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4C12F70">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440"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4078847">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552"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6F21361">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34"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8279D7B">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13"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985817C">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BAA11D7">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889A916">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59"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038CE01">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440"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902E452">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552"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4331BD8">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34"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4AE9671">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13" w:type="dxa"/>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0985FA7">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341AE786">
      <w:pPr>
        <w:adjustRightInd w:val="0"/>
        <w:snapToGrid w:val="0"/>
        <w:spacing w:line="400" w:lineRule="exact"/>
        <w:ind w:firstLine="4095" w:firstLineChars="19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4C4B1C85">
      <w:pPr>
        <w:rPr>
          <w:rFonts w:hint="eastAsia" w:ascii="宋体" w:hAnsi="宋体" w:eastAsia="宋体" w:cs="宋体"/>
          <w:color w:val="auto"/>
          <w:highlight w:val="none"/>
        </w:rPr>
      </w:pPr>
    </w:p>
    <w:p w14:paraId="71FD24BE">
      <w:pPr>
        <w:rPr>
          <w:rFonts w:hint="eastAsia" w:ascii="宋体" w:hAnsi="宋体" w:eastAsia="宋体" w:cs="宋体"/>
          <w:color w:val="auto"/>
          <w:highlight w:val="none"/>
        </w:rPr>
      </w:pPr>
    </w:p>
    <w:p w14:paraId="387CC0B5">
      <w:pPr>
        <w:autoSpaceDE w:val="0"/>
        <w:autoSpaceDN w:val="0"/>
        <w:adjustRightInd w:val="0"/>
        <w:snapToGrid w:val="0"/>
        <w:spacing w:line="440" w:lineRule="exact"/>
        <w:ind w:right="16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（公章）</w:t>
      </w:r>
    </w:p>
    <w:p w14:paraId="3B056B6B">
      <w:pPr>
        <w:adjustRightInd w:val="0"/>
        <w:snapToGrid w:val="0"/>
        <w:spacing w:line="440" w:lineRule="exact"/>
        <w:ind w:right="96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2DA383C">
      <w:pPr>
        <w:adjustRightInd w:val="0"/>
        <w:snapToGrid w:val="0"/>
        <w:spacing w:line="400" w:lineRule="exact"/>
        <w:ind w:firstLine="4080" w:firstLineChars="1700"/>
        <w:rPr>
          <w:rFonts w:hint="eastAsia" w:ascii="宋体" w:hAnsi="宋体" w:eastAsia="宋体" w:cs="宋体"/>
          <w:color w:val="auto"/>
          <w:sz w:val="24"/>
          <w:szCs w:val="24"/>
          <w:highlight w:val="none"/>
        </w:rPr>
      </w:pPr>
    </w:p>
    <w:p w14:paraId="7817E991">
      <w:pPr>
        <w:adjustRightInd w:val="0"/>
        <w:snapToGrid w:val="0"/>
        <w:spacing w:line="400" w:lineRule="exac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注：1、“技术规格、参数响应/偏离表”，供应商应作详细的文字描述说明，不得简单填写“均响应”、“完全响应”等同等含义文字，否则，评标委员会将视为未响应。</w:t>
      </w:r>
    </w:p>
    <w:p w14:paraId="0BB142DA">
      <w:pP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2、“响应/偏离”栏应注明“响应”或“正/负偏离”。</w:t>
      </w:r>
    </w:p>
    <w:p w14:paraId="430A6E70">
      <w:pPr>
        <w:rPr>
          <w:rFonts w:hint="eastAsia" w:ascii="宋体" w:hAnsi="宋体" w:eastAsia="宋体" w:cs="宋体"/>
          <w:color w:val="auto"/>
          <w:sz w:val="24"/>
          <w:szCs w:val="24"/>
          <w:highlight w:val="none"/>
        </w:rPr>
      </w:pPr>
    </w:p>
    <w:p w14:paraId="523F60C2">
      <w:pPr>
        <w:spacing w:line="440" w:lineRule="exact"/>
        <w:rPr>
          <w:rFonts w:hint="eastAsia" w:ascii="宋体" w:hAnsi="宋体" w:eastAsia="宋体" w:cs="宋体"/>
          <w:b w:val="0"/>
          <w:bCs/>
          <w:color w:val="auto"/>
          <w:sz w:val="24"/>
          <w:szCs w:val="24"/>
          <w:highlight w:val="none"/>
        </w:rPr>
      </w:pPr>
    </w:p>
    <w:p w14:paraId="4EA5EB22">
      <w:pPr>
        <w:spacing w:line="360" w:lineRule="atLeast"/>
        <w:rPr>
          <w:rFonts w:hint="eastAsia" w:ascii="宋体" w:hAnsi="宋体" w:eastAsia="宋体" w:cs="宋体"/>
          <w:color w:val="auto"/>
          <w:sz w:val="24"/>
          <w:szCs w:val="24"/>
          <w:highlight w:val="none"/>
        </w:rPr>
      </w:pPr>
    </w:p>
    <w:p w14:paraId="2C303E75">
      <w:pPr>
        <w:spacing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bookmarkEnd w:id="155"/>
    <w:p w14:paraId="7EA80445">
      <w:pPr>
        <w:spacing w:line="440" w:lineRule="exact"/>
        <w:jc w:val="center"/>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br w:type="page"/>
      </w:r>
      <w:r>
        <w:rPr>
          <w:rFonts w:hint="eastAsia" w:ascii="宋体" w:hAnsi="宋体" w:cs="宋体"/>
          <w:b/>
          <w:bCs/>
          <w:color w:val="auto"/>
          <w:kern w:val="0"/>
          <w:sz w:val="24"/>
          <w:szCs w:val="24"/>
          <w:highlight w:val="none"/>
          <w:lang w:val="en-US" w:eastAsia="zh-CN"/>
        </w:rPr>
        <w:t>八、项目实施方案</w:t>
      </w:r>
    </w:p>
    <w:p w14:paraId="0EABAF7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bookmarkEnd w:id="142"/>
    <w:p w14:paraId="559466FB">
      <w:pPr>
        <w:pStyle w:val="8"/>
        <w:ind w:firstLine="0" w:firstLineChars="0"/>
        <w:jc w:val="center"/>
        <w:outlineLvl w:val="9"/>
        <w:rPr>
          <w:rFonts w:hint="eastAsia" w:ascii="宋体" w:hAnsi="宋体" w:cs="宋体"/>
          <w:b/>
          <w:bCs/>
          <w:color w:val="auto"/>
          <w:kern w:val="0"/>
          <w:sz w:val="24"/>
          <w:szCs w:val="24"/>
          <w:highlight w:val="none"/>
          <w:lang w:val="en-US" w:eastAsia="zh-CN"/>
        </w:rPr>
      </w:pPr>
      <w:bookmarkStart w:id="156" w:name="_Toc31271_WPSOffice_Level1"/>
      <w:r>
        <w:rPr>
          <w:rFonts w:hint="eastAsia" w:ascii="宋体" w:hAnsi="宋体" w:cs="宋体"/>
          <w:b/>
          <w:bCs/>
          <w:color w:val="auto"/>
          <w:kern w:val="0"/>
          <w:sz w:val="24"/>
          <w:szCs w:val="24"/>
          <w:highlight w:val="none"/>
          <w:lang w:val="en-US" w:eastAsia="zh-CN"/>
        </w:rPr>
        <w:t>根据第五章“评标办法”所需内容自拟格式</w:t>
      </w:r>
    </w:p>
    <w:p w14:paraId="4233FD5A">
      <w:pPr>
        <w:rPr>
          <w:rFonts w:hint="eastAsia" w:ascii="宋体" w:hAnsi="宋体" w:cs="宋体"/>
          <w:b/>
          <w:bCs/>
          <w:color w:val="auto"/>
          <w:kern w:val="0"/>
          <w:sz w:val="24"/>
          <w:szCs w:val="24"/>
          <w:highlight w:val="none"/>
          <w:lang w:val="en-US" w:eastAsia="zh-CN"/>
        </w:rPr>
      </w:pPr>
    </w:p>
    <w:p w14:paraId="3EC93570">
      <w:pPr>
        <w:rPr>
          <w:rFonts w:hint="eastAsia" w:ascii="宋体" w:hAnsi="宋体" w:cs="宋体"/>
          <w:b/>
          <w:bCs/>
          <w:color w:val="auto"/>
          <w:kern w:val="0"/>
          <w:sz w:val="24"/>
          <w:szCs w:val="24"/>
          <w:highlight w:val="none"/>
          <w:lang w:val="en-US" w:eastAsia="zh-CN"/>
        </w:rPr>
      </w:pPr>
    </w:p>
    <w:p w14:paraId="26024410">
      <w:pPr>
        <w:rPr>
          <w:rFonts w:hint="eastAsia" w:ascii="宋体" w:hAnsi="宋体" w:cs="宋体"/>
          <w:b/>
          <w:bCs/>
          <w:color w:val="auto"/>
          <w:kern w:val="0"/>
          <w:sz w:val="24"/>
          <w:szCs w:val="24"/>
          <w:highlight w:val="none"/>
          <w:lang w:val="en-US" w:eastAsia="zh-CN"/>
        </w:rPr>
      </w:pPr>
    </w:p>
    <w:p w14:paraId="58C963CA">
      <w:pPr>
        <w:spacing w:line="440" w:lineRule="exact"/>
        <w:jc w:val="center"/>
        <w:outlineLvl w:val="1"/>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九、项目设计方案</w:t>
      </w:r>
    </w:p>
    <w:p w14:paraId="1B6A9B0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662EAA6">
      <w:pPr>
        <w:pStyle w:val="8"/>
        <w:ind w:firstLine="0" w:firstLineChars="0"/>
        <w:jc w:val="center"/>
        <w:outlineLvl w:val="9"/>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根据第五章“评标办法”所需内容自拟格式</w:t>
      </w:r>
    </w:p>
    <w:p w14:paraId="5880827C">
      <w:pPr>
        <w:rPr>
          <w:rFonts w:hint="eastAsia" w:ascii="宋体" w:hAnsi="宋体" w:cs="宋体"/>
          <w:b/>
          <w:bCs/>
          <w:color w:val="auto"/>
          <w:kern w:val="0"/>
          <w:sz w:val="24"/>
          <w:szCs w:val="24"/>
          <w:highlight w:val="none"/>
          <w:lang w:val="en-US" w:eastAsia="zh-CN"/>
        </w:rPr>
      </w:pPr>
    </w:p>
    <w:p w14:paraId="3D5B1EFC">
      <w:pPr>
        <w:rPr>
          <w:rFonts w:hint="default" w:ascii="宋体" w:hAnsi="宋体" w:cs="宋体"/>
          <w:b/>
          <w:bCs/>
          <w:color w:val="auto"/>
          <w:kern w:val="0"/>
          <w:sz w:val="24"/>
          <w:szCs w:val="24"/>
          <w:highlight w:val="none"/>
          <w:lang w:val="en-US" w:eastAsia="zh-CN"/>
        </w:rPr>
      </w:pPr>
    </w:p>
    <w:p w14:paraId="4C48AF5D">
      <w:pPr>
        <w:rPr>
          <w:rFonts w:hint="default" w:ascii="宋体" w:hAnsi="宋体" w:cs="宋体"/>
          <w:b/>
          <w:bCs/>
          <w:color w:val="auto"/>
          <w:kern w:val="0"/>
          <w:sz w:val="24"/>
          <w:szCs w:val="24"/>
          <w:highlight w:val="none"/>
          <w:lang w:val="en-US" w:eastAsia="zh-CN"/>
        </w:rPr>
      </w:pPr>
    </w:p>
    <w:p w14:paraId="3EFC6A87">
      <w:pPr>
        <w:spacing w:line="440" w:lineRule="exact"/>
        <w:jc w:val="center"/>
        <w:outlineLvl w:val="1"/>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十、售后服务方案</w:t>
      </w:r>
    </w:p>
    <w:p w14:paraId="378DC98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534C553">
      <w:pPr>
        <w:pStyle w:val="8"/>
        <w:ind w:firstLine="0" w:firstLineChars="0"/>
        <w:jc w:val="center"/>
        <w:outlineLvl w:val="9"/>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根据第五章“评标办法”所需内容自拟格式</w:t>
      </w:r>
    </w:p>
    <w:p w14:paraId="46A69833">
      <w:pPr>
        <w:rPr>
          <w:rFonts w:hint="eastAsia" w:ascii="宋体" w:hAnsi="宋体" w:cs="宋体"/>
          <w:b/>
          <w:bCs/>
          <w:color w:val="auto"/>
          <w:kern w:val="0"/>
          <w:sz w:val="24"/>
          <w:szCs w:val="24"/>
          <w:highlight w:val="none"/>
          <w:lang w:val="en-US" w:eastAsia="zh-CN"/>
        </w:rPr>
      </w:pPr>
    </w:p>
    <w:p w14:paraId="1B1745E7">
      <w:pPr>
        <w:rPr>
          <w:rFonts w:hint="default" w:ascii="宋体" w:hAnsi="宋体" w:cs="宋体"/>
          <w:b/>
          <w:bCs/>
          <w:color w:val="auto"/>
          <w:kern w:val="0"/>
          <w:sz w:val="24"/>
          <w:szCs w:val="24"/>
          <w:highlight w:val="none"/>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9F6582D">
      <w:pPr>
        <w:pStyle w:val="8"/>
        <w:ind w:firstLine="0" w:firstLineChars="0"/>
        <w:jc w:val="center"/>
        <w:outlineLvl w:val="1"/>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十一</w:t>
      </w:r>
      <w:r>
        <w:rPr>
          <w:rFonts w:hint="eastAsia" w:ascii="宋体" w:hAnsi="宋体" w:eastAsia="宋体" w:cs="宋体"/>
          <w:b/>
          <w:bCs/>
          <w:color w:val="auto"/>
          <w:kern w:val="0"/>
          <w:sz w:val="24"/>
          <w:szCs w:val="24"/>
          <w:highlight w:val="none"/>
        </w:rPr>
        <w:t>、投标人认为需要提供的其他文件和资料</w:t>
      </w:r>
    </w:p>
    <w:p w14:paraId="06B0F644">
      <w:pPr>
        <w:spacing w:line="460" w:lineRule="exact"/>
        <w:rPr>
          <w:rFonts w:hint="eastAsia" w:ascii="宋体" w:hAnsi="宋体" w:eastAsia="宋体" w:cs="宋体"/>
          <w:bCs/>
          <w:color w:val="auto"/>
          <w:sz w:val="24"/>
          <w:szCs w:val="24"/>
          <w:highlight w:val="none"/>
        </w:rPr>
      </w:pPr>
    </w:p>
    <w:p w14:paraId="01FBDDBA">
      <w:pPr>
        <w:spacing w:line="46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1、以下《中小微企业声明函》、《监狱企业的证明文件》及《残疾人福利性单位声明函》投标人根据自身的实际情况选用（如有）。</w:t>
      </w:r>
    </w:p>
    <w:p w14:paraId="168EE0B4">
      <w:pPr>
        <w:spacing w:line="46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2、投标人同时为小型（或微型）企业、监狱企业、残疾人福利性单位任两种或以上情况的，评审中只享受一次价格扣除（或评审得分优惠），不重复进行价格扣除。</w:t>
      </w:r>
    </w:p>
    <w:p w14:paraId="3909BCDE">
      <w:pPr>
        <w:pStyle w:val="14"/>
        <w:spacing w:line="46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（一）中小企业声明函（货物）</w:t>
      </w:r>
    </w:p>
    <w:p w14:paraId="191E895B">
      <w:pPr>
        <w:pStyle w:val="14"/>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本公司（联合体）郑重声明，根据《政府采购促进中小企业发展管理办法》（财库﹝2020﹞46号）的规定，本公司（联合体）参加</w:t>
      </w:r>
    </w:p>
    <w:p w14:paraId="2159B902">
      <w:pPr>
        <w:pStyle w:val="14"/>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（单位名称）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采购活动，</w:t>
      </w:r>
      <w:r>
        <w:rPr>
          <w:rFonts w:hint="eastAsia" w:asciiTheme="minorEastAsia" w:hAnsiTheme="minorEastAsia" w:eastAsiaTheme="minorEastAsia" w:cstheme="minorEastAsia"/>
          <w:color w:val="auto"/>
          <w:sz w:val="24"/>
          <w:szCs w:val="24"/>
          <w:highlight w:val="none"/>
          <w:lang w:val="en-US" w:eastAsia="zh-CN"/>
        </w:rPr>
        <w:t>提供的货物</w:t>
      </w:r>
      <w:r>
        <w:rPr>
          <w:rFonts w:hint="eastAsia" w:asciiTheme="minorEastAsia" w:hAnsiTheme="minorEastAsia" w:eastAsiaTheme="minorEastAsia" w:cstheme="minorEastAsia"/>
          <w:color w:val="auto"/>
          <w:sz w:val="24"/>
          <w:szCs w:val="24"/>
          <w:highlight w:val="none"/>
        </w:rPr>
        <w:t>全部</w:t>
      </w:r>
      <w:r>
        <w:rPr>
          <w:rFonts w:hint="eastAsia" w:asciiTheme="minorEastAsia" w:hAnsiTheme="minorEastAsia" w:eastAsiaTheme="minorEastAsia" w:cstheme="minorEastAsia"/>
          <w:color w:val="auto"/>
          <w:sz w:val="24"/>
          <w:szCs w:val="24"/>
          <w:highlight w:val="none"/>
          <w:lang w:val="en-US" w:eastAsia="zh-CN"/>
        </w:rPr>
        <w:t>由</w:t>
      </w:r>
      <w:r>
        <w:rPr>
          <w:rFonts w:hint="eastAsia" w:asciiTheme="minorEastAsia" w:hAnsiTheme="minorEastAsia" w:eastAsiaTheme="minorEastAsia" w:cstheme="minorEastAsia"/>
          <w:color w:val="auto"/>
          <w:sz w:val="24"/>
          <w:szCs w:val="24"/>
          <w:highlight w:val="none"/>
        </w:rPr>
        <w:t>符合政策要求的中小企业</w:t>
      </w:r>
      <w:r>
        <w:rPr>
          <w:rFonts w:hint="eastAsia" w:asciiTheme="minorEastAsia" w:hAnsiTheme="minorEastAsia" w:eastAsiaTheme="minorEastAsia" w:cstheme="minorEastAsia"/>
          <w:color w:val="auto"/>
          <w:sz w:val="24"/>
          <w:szCs w:val="24"/>
          <w:highlight w:val="none"/>
          <w:lang w:val="en-US" w:eastAsia="zh-CN"/>
        </w:rPr>
        <w:t>制造。</w:t>
      </w:r>
      <w:r>
        <w:rPr>
          <w:rFonts w:hint="eastAsia" w:asciiTheme="minorEastAsia" w:hAnsiTheme="minorEastAsia" w:eastAsiaTheme="minorEastAsia" w:cstheme="minorEastAsia"/>
          <w:color w:val="auto"/>
          <w:sz w:val="24"/>
          <w:szCs w:val="24"/>
          <w:highlight w:val="none"/>
        </w:rPr>
        <w:t>相关企业（含联合体中的中小企业、签订分包意向协议的中小企业）的具体情况如下：</w:t>
      </w:r>
    </w:p>
    <w:p w14:paraId="1C3F8331">
      <w:pPr>
        <w:pStyle w:val="14"/>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 xml:space="preserve"> （标的名称）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招标文件</w:t>
      </w:r>
      <w:r>
        <w:rPr>
          <w:rFonts w:hint="eastAsia" w:asciiTheme="minorEastAsia" w:hAnsiTheme="minorEastAsia" w:eastAsiaTheme="minorEastAsia" w:cstheme="minorEastAsia"/>
          <w:color w:val="auto"/>
          <w:sz w:val="24"/>
          <w:szCs w:val="24"/>
          <w:highlight w:val="none"/>
          <w:u w:val="single"/>
        </w:rPr>
        <w:t>中明确的所属行业）</w:t>
      </w:r>
      <w:r>
        <w:rPr>
          <w:rFonts w:hint="eastAsia" w:asciiTheme="minorEastAsia" w:hAnsiTheme="minorEastAsia" w:eastAsiaTheme="minorEastAsia" w:cstheme="minorEastAsia"/>
          <w:color w:val="auto"/>
          <w:sz w:val="24"/>
          <w:szCs w:val="24"/>
          <w:highlight w:val="none"/>
          <w:u w:val="single"/>
          <w:lang w:val="en-US" w:eastAsia="zh-CN"/>
        </w:rPr>
        <w:t>行业</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制造商为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w:t>
      </w:r>
      <w:r>
        <w:rPr>
          <w:rFonts w:hint="eastAsia" w:asciiTheme="minorEastAsia" w:hAnsiTheme="minorEastAsia" w:eastAsiaTheme="minorEastAsia" w:cstheme="minorEastAsia"/>
          <w:color w:val="auto"/>
          <w:sz w:val="24"/>
          <w:szCs w:val="24"/>
          <w:highlight w:val="none"/>
          <w:vertAlign w:val="superscript"/>
        </w:rPr>
        <w:t>1</w:t>
      </w:r>
      <w:r>
        <w:rPr>
          <w:rFonts w:hint="eastAsia" w:asciiTheme="minorEastAsia" w:hAnsiTheme="minorEastAsia" w:eastAsiaTheme="minorEastAsia" w:cstheme="minorEastAsia"/>
          <w:color w:val="auto"/>
          <w:sz w:val="24"/>
          <w:szCs w:val="24"/>
          <w:highlight w:val="none"/>
        </w:rPr>
        <w:t>，属于（中型企业、小型企业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微型企业</w:t>
      </w:r>
      <w:r>
        <w:rPr>
          <w:rFonts w:hint="eastAsia" w:asciiTheme="minorEastAsia" w:hAnsiTheme="minorEastAsia" w:eastAsiaTheme="minorEastAsia" w:cstheme="minorEastAsia"/>
          <w:color w:val="auto"/>
          <w:sz w:val="24"/>
          <w:szCs w:val="24"/>
          <w:highlight w:val="none"/>
        </w:rPr>
        <w:t>）；</w:t>
      </w:r>
    </w:p>
    <w:p w14:paraId="3E899F27">
      <w:pPr>
        <w:pStyle w:val="14"/>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 xml:space="preserve"> （标的名称）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招标文件</w:t>
      </w:r>
      <w:r>
        <w:rPr>
          <w:rFonts w:hint="eastAsia" w:asciiTheme="minorEastAsia" w:hAnsiTheme="minorEastAsia" w:eastAsiaTheme="minorEastAsia" w:cstheme="minorEastAsia"/>
          <w:color w:val="auto"/>
          <w:sz w:val="24"/>
          <w:szCs w:val="24"/>
          <w:highlight w:val="none"/>
          <w:u w:val="single"/>
        </w:rPr>
        <w:t>中明确的所属行业）行业</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制造商为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color w:val="auto"/>
          <w:sz w:val="24"/>
          <w:szCs w:val="24"/>
          <w:highlight w:val="none"/>
          <w:u w:val="single"/>
        </w:rPr>
        <w:t>（中型企业、小型企业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en-US" w:eastAsia="zh-CN"/>
        </w:rPr>
        <w:t>微型企业</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w:t>
      </w:r>
    </w:p>
    <w:p w14:paraId="461D8877">
      <w:pPr>
        <w:pStyle w:val="14"/>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677924F3">
      <w:pPr>
        <w:pStyle w:val="14"/>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14:paraId="710556C6">
      <w:pPr>
        <w:pStyle w:val="14"/>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54B0EE8E">
      <w:pPr>
        <w:pStyle w:val="14"/>
        <w:spacing w:line="46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企业名称（盖章）：</w:t>
      </w:r>
    </w:p>
    <w:p w14:paraId="35587182">
      <w:pPr>
        <w:pStyle w:val="14"/>
        <w:spacing w:line="46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p>
    <w:p w14:paraId="558F4278">
      <w:pPr>
        <w:pStyle w:val="14"/>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从业人员、营业收入、资产总额填报上一年度数据，无上一年度数据的新成立企业可不填报</w:t>
      </w:r>
    </w:p>
    <w:p w14:paraId="2D347556">
      <w:pPr>
        <w:spacing w:line="460" w:lineRule="exact"/>
        <w:jc w:val="center"/>
        <w:rPr>
          <w:rFonts w:hint="eastAsia" w:asciiTheme="minorEastAsia" w:hAnsiTheme="minorEastAsia" w:eastAsiaTheme="minorEastAsia" w:cstheme="minorEastAsia"/>
          <w:b/>
          <w:bCs/>
          <w:color w:val="auto"/>
          <w:sz w:val="24"/>
          <w:szCs w:val="24"/>
          <w:highlight w:val="none"/>
        </w:rPr>
      </w:pPr>
    </w:p>
    <w:p w14:paraId="0F4AE03B">
      <w:pPr>
        <w:pStyle w:val="27"/>
        <w:keepNext w:val="0"/>
        <w:keepLines w:val="0"/>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sz w:val="24"/>
          <w:szCs w:val="24"/>
          <w:highlight w:val="none"/>
        </w:rPr>
      </w:pPr>
    </w:p>
    <w:p w14:paraId="7669E1AE">
      <w:pPr>
        <w:rPr>
          <w:rFonts w:hint="eastAsia" w:asciiTheme="minorEastAsia" w:hAnsiTheme="minorEastAsia" w:eastAsiaTheme="minorEastAsia" w:cstheme="minorEastAsia"/>
          <w:color w:val="auto"/>
          <w:sz w:val="24"/>
          <w:szCs w:val="24"/>
          <w:highlight w:val="none"/>
        </w:rPr>
      </w:pPr>
    </w:p>
    <w:p w14:paraId="023EF894">
      <w:pPr>
        <w:spacing w:line="460" w:lineRule="exact"/>
        <w:jc w:val="center"/>
        <w:rPr>
          <w:rFonts w:hint="eastAsia"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b/>
          <w:bCs/>
          <w:color w:val="auto"/>
          <w:sz w:val="24"/>
          <w:szCs w:val="24"/>
          <w:highlight w:val="none"/>
        </w:rPr>
        <w:t xml:space="preserve">（二） </w:t>
      </w:r>
      <w:bookmarkStart w:id="157" w:name="OLE_LINK14"/>
      <w:bookmarkStart w:id="158" w:name="OLE_LINK13"/>
      <w:r>
        <w:rPr>
          <w:rFonts w:hint="eastAsia" w:asciiTheme="minorEastAsia" w:hAnsiTheme="minorEastAsia" w:eastAsiaTheme="minorEastAsia" w:cstheme="minorEastAsia"/>
          <w:b/>
          <w:color w:val="auto"/>
          <w:spacing w:val="6"/>
          <w:sz w:val="24"/>
          <w:szCs w:val="24"/>
          <w:highlight w:val="none"/>
        </w:rPr>
        <w:t>残疾人福利性单位声明函</w:t>
      </w:r>
    </w:p>
    <w:bookmarkEnd w:id="157"/>
    <w:bookmarkEnd w:id="158"/>
    <w:p w14:paraId="197CA129">
      <w:pPr>
        <w:spacing w:line="460" w:lineRule="exact"/>
        <w:rPr>
          <w:rFonts w:hint="eastAsia" w:asciiTheme="minorEastAsia" w:hAnsiTheme="minorEastAsia" w:eastAsiaTheme="minorEastAsia" w:cstheme="minorEastAsia"/>
          <w:b/>
          <w:color w:val="auto"/>
          <w:spacing w:val="6"/>
          <w:sz w:val="24"/>
          <w:szCs w:val="24"/>
          <w:highlight w:val="none"/>
        </w:rPr>
      </w:pPr>
    </w:p>
    <w:p w14:paraId="40BE996A">
      <w:pPr>
        <w:spacing w:line="46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rPr>
        <w:t>〔2017〕 141</w:t>
      </w:r>
      <w:r>
        <w:rPr>
          <w:rFonts w:hint="eastAsia" w:asciiTheme="minorEastAsia" w:hAnsiTheme="minorEastAsia" w:eastAsiaTheme="minorEastAsia" w:cstheme="minorEastAsia"/>
          <w:color w:val="auto"/>
          <w:spacing w:val="6"/>
          <w:sz w:val="24"/>
          <w:szCs w:val="24"/>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单位的</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项目采购活动提供本单位制造的服务（由本单位承担工程/提供服务），或者提供其他残疾人福利性单位制造的货物（不包括使用非残疾人福利性单位注册商标的货物）。</w:t>
      </w:r>
    </w:p>
    <w:p w14:paraId="2FFA49F7">
      <w:pPr>
        <w:spacing w:line="46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本单位对上述声明的真实性负责。如有虚假，将依法承担相应责任。</w:t>
      </w:r>
    </w:p>
    <w:p w14:paraId="7875460D">
      <w:pPr>
        <w:spacing w:line="460" w:lineRule="exact"/>
        <w:ind w:firstLine="504" w:firstLineChars="200"/>
        <w:rPr>
          <w:rFonts w:hint="eastAsia" w:asciiTheme="minorEastAsia" w:hAnsiTheme="minorEastAsia" w:eastAsiaTheme="minorEastAsia" w:cstheme="minorEastAsia"/>
          <w:color w:val="auto"/>
          <w:spacing w:val="6"/>
          <w:sz w:val="24"/>
          <w:szCs w:val="24"/>
          <w:highlight w:val="none"/>
        </w:rPr>
      </w:pPr>
    </w:p>
    <w:p w14:paraId="652710B3">
      <w:pPr>
        <w:spacing w:line="460" w:lineRule="exact"/>
        <w:ind w:firstLine="504" w:firstLineChars="200"/>
        <w:rPr>
          <w:rFonts w:hint="eastAsia" w:asciiTheme="minorEastAsia" w:hAnsiTheme="minorEastAsia" w:eastAsiaTheme="minorEastAsia" w:cstheme="minorEastAsia"/>
          <w:color w:val="auto"/>
          <w:spacing w:val="6"/>
          <w:sz w:val="24"/>
          <w:szCs w:val="24"/>
          <w:highlight w:val="none"/>
        </w:rPr>
      </w:pPr>
    </w:p>
    <w:p w14:paraId="08B26763">
      <w:pPr>
        <w:tabs>
          <w:tab w:val="left" w:pos="4860"/>
        </w:tabs>
        <w:spacing w:line="460" w:lineRule="exact"/>
        <w:ind w:right="1560" w:firstLine="504" w:firstLineChars="200"/>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单位名称（盖章）：</w:t>
      </w:r>
    </w:p>
    <w:p w14:paraId="376FFAFD">
      <w:pPr>
        <w:tabs>
          <w:tab w:val="left" w:pos="4860"/>
        </w:tabs>
        <w:spacing w:line="460" w:lineRule="exact"/>
        <w:ind w:right="1560" w:firstLine="504" w:firstLineChars="200"/>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       日  期：</w:t>
      </w:r>
    </w:p>
    <w:p w14:paraId="6B98C2EB">
      <w:pPr>
        <w:widowControl/>
        <w:adjustRightInd w:val="0"/>
        <w:snapToGrid w:val="0"/>
        <w:spacing w:line="460" w:lineRule="exact"/>
        <w:rPr>
          <w:rFonts w:hint="eastAsia" w:asciiTheme="minorEastAsia" w:hAnsiTheme="minorEastAsia" w:eastAsiaTheme="minorEastAsia" w:cstheme="minorEastAsia"/>
          <w:color w:val="auto"/>
          <w:sz w:val="24"/>
          <w:szCs w:val="24"/>
          <w:highlight w:val="none"/>
        </w:rPr>
      </w:pPr>
    </w:p>
    <w:p w14:paraId="2800250E">
      <w:pPr>
        <w:spacing w:line="460" w:lineRule="exact"/>
        <w:jc w:val="left"/>
        <w:rPr>
          <w:rFonts w:hint="eastAsia" w:asciiTheme="minorEastAsia" w:hAnsiTheme="minorEastAsia" w:eastAsiaTheme="minorEastAsia" w:cstheme="minorEastAsia"/>
          <w:bCs/>
          <w:color w:val="auto"/>
          <w:sz w:val="24"/>
          <w:szCs w:val="24"/>
          <w:highlight w:val="none"/>
        </w:rPr>
      </w:pPr>
    </w:p>
    <w:p w14:paraId="326D124D">
      <w:pPr>
        <w:widowControl/>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备注</w:t>
      </w:r>
      <w:r>
        <w:rPr>
          <w:rFonts w:hint="eastAsia" w:asciiTheme="minorEastAsia" w:hAnsiTheme="minorEastAsia" w:eastAsiaTheme="minorEastAsia" w:cstheme="minorEastAsia"/>
          <w:color w:val="auto"/>
          <w:sz w:val="24"/>
          <w:szCs w:val="24"/>
          <w:highlight w:val="none"/>
        </w:rPr>
        <w:t>：须提供证明材料（能反映出企业残疾人的占比等情况的材料及残疾人证等）。</w:t>
      </w:r>
    </w:p>
    <w:p w14:paraId="276C100B">
      <w:pPr>
        <w:spacing w:line="460" w:lineRule="exact"/>
        <w:jc w:val="center"/>
        <w:rPr>
          <w:rFonts w:hint="eastAsia" w:asciiTheme="minorEastAsia" w:hAnsiTheme="minorEastAsia" w:eastAsiaTheme="minorEastAsia" w:cstheme="minorEastAsia"/>
          <w:b/>
          <w:bCs/>
          <w:color w:val="auto"/>
          <w:sz w:val="24"/>
          <w:szCs w:val="24"/>
          <w:highlight w:val="none"/>
        </w:rPr>
      </w:pPr>
    </w:p>
    <w:p w14:paraId="71691678">
      <w:pPr>
        <w:spacing w:line="460" w:lineRule="exact"/>
        <w:jc w:val="center"/>
        <w:rPr>
          <w:rFonts w:hint="eastAsia" w:asciiTheme="minorEastAsia" w:hAnsiTheme="minorEastAsia" w:eastAsiaTheme="minorEastAsia" w:cstheme="minorEastAsia"/>
          <w:b/>
          <w:bCs/>
          <w:color w:val="auto"/>
          <w:sz w:val="24"/>
          <w:szCs w:val="24"/>
          <w:highlight w:val="none"/>
        </w:rPr>
      </w:pPr>
    </w:p>
    <w:p w14:paraId="3643A062">
      <w:pPr>
        <w:widowControl/>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（三）监狱企业证明文件（如有）</w:t>
      </w:r>
    </w:p>
    <w:p w14:paraId="03985305">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70ECD8B7">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7DD8627">
      <w:pPr>
        <w:pStyle w:val="14"/>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2.证明材料加盖投标人公章。</w:t>
      </w:r>
    </w:p>
    <w:p w14:paraId="35F346F8">
      <w:pPr>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br w:type="page"/>
      </w:r>
    </w:p>
    <w:p w14:paraId="56A9396D">
      <w:pPr>
        <w:pStyle w:val="14"/>
        <w:pageBreakBefore w:val="0"/>
        <w:kinsoku/>
        <w:wordWrap/>
        <w:overflowPunct/>
        <w:topLinePunct w:val="0"/>
        <w:bidi w:val="0"/>
        <w:spacing w:after="0" w:line="500" w:lineRule="exact"/>
        <w:ind w:left="0" w:leftChars="0"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四</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关于符合本国产品标准的声明函</w:t>
      </w:r>
      <w:r>
        <w:rPr>
          <w:rFonts w:hint="eastAsia" w:asciiTheme="minorEastAsia" w:hAnsiTheme="minorEastAsia" w:eastAsiaTheme="minorEastAsia" w:cstheme="minorEastAsia"/>
          <w:b/>
          <w:color w:val="auto"/>
          <w:sz w:val="28"/>
          <w:szCs w:val="28"/>
          <w:highlight w:val="none"/>
        </w:rPr>
        <w:t>（如有）</w:t>
      </w:r>
    </w:p>
    <w:p w14:paraId="48E9E1C9">
      <w:pPr>
        <w:pStyle w:val="30"/>
        <w:pageBreakBefore w:val="0"/>
        <w:kinsoku/>
        <w:wordWrap/>
        <w:overflowPunct/>
        <w:topLinePunct w:val="0"/>
        <w:bidi w:val="0"/>
        <w:spacing w:line="500" w:lineRule="exact"/>
        <w:ind w:left="0" w:leftChars="0" w:firstLine="0" w:firstLineChars="0"/>
        <w:jc w:val="both"/>
        <w:rPr>
          <w:rFonts w:hint="eastAsia" w:asciiTheme="minorEastAsia" w:hAnsiTheme="minorEastAsia" w:eastAsiaTheme="minorEastAsia" w:cstheme="minorEastAsia"/>
          <w:b/>
          <w:bCs/>
          <w:color w:val="auto"/>
          <w:kern w:val="0"/>
          <w:sz w:val="28"/>
          <w:szCs w:val="28"/>
          <w:highlight w:val="none"/>
        </w:rPr>
      </w:pPr>
    </w:p>
    <w:p w14:paraId="2B9613E3">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r>
        <w:rPr>
          <w:rFonts w:hint="eastAsia" w:asciiTheme="minorEastAsia" w:hAnsiTheme="minorEastAsia" w:eastAsiaTheme="minorEastAsia" w:cstheme="minorEastAsia"/>
          <w:b w:val="0"/>
          <w:bCs w:val="0"/>
          <w:color w:val="auto"/>
          <w:kern w:val="0"/>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7BDF5CBA">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p>
    <w:p w14:paraId="60DD9F4D">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r>
        <w:rPr>
          <w:rFonts w:hint="eastAsia" w:asciiTheme="minorEastAsia" w:hAnsiTheme="minorEastAsia" w:eastAsiaTheme="minorEastAsia" w:cstheme="minorEastAsia"/>
          <w:b w:val="0"/>
          <w:bCs w:val="0"/>
          <w:color w:val="auto"/>
          <w:kern w:val="0"/>
          <w:sz w:val="28"/>
          <w:szCs w:val="28"/>
          <w:highlight w:val="none"/>
        </w:rPr>
        <w:t>1.</w:t>
      </w:r>
      <w:r>
        <w:rPr>
          <w:rFonts w:hint="eastAsia" w:asciiTheme="minorEastAsia" w:hAnsiTheme="minorEastAsia" w:eastAsiaTheme="minorEastAsia" w:cstheme="minorEastAsia"/>
          <w:b w:val="0"/>
          <w:bCs w:val="0"/>
          <w:color w:val="auto"/>
          <w:kern w:val="0"/>
          <w:sz w:val="28"/>
          <w:szCs w:val="28"/>
          <w:highlight w:val="none"/>
          <w:u w:val="single"/>
        </w:rPr>
        <w:t>（产品名称1）1</w:t>
      </w:r>
      <w:r>
        <w:rPr>
          <w:rFonts w:hint="eastAsia" w:asciiTheme="minorEastAsia" w:hAnsiTheme="minorEastAsia" w:eastAsiaTheme="minorEastAsia" w:cstheme="minorEastAsia"/>
          <w:b w:val="0"/>
          <w:bCs w:val="0"/>
          <w:color w:val="auto"/>
          <w:kern w:val="0"/>
          <w:sz w:val="28"/>
          <w:szCs w:val="28"/>
          <w:highlight w:val="none"/>
        </w:rPr>
        <w:t>，生产厂为</w:t>
      </w:r>
      <w:r>
        <w:rPr>
          <w:rFonts w:hint="eastAsia" w:asciiTheme="minorEastAsia" w:hAnsiTheme="minorEastAsia" w:eastAsiaTheme="minorEastAsia" w:cstheme="minorEastAsia"/>
          <w:b w:val="0"/>
          <w:bCs w:val="0"/>
          <w:color w:val="auto"/>
          <w:kern w:val="0"/>
          <w:sz w:val="28"/>
          <w:szCs w:val="28"/>
          <w:highlight w:val="none"/>
          <w:u w:val="single"/>
        </w:rPr>
        <w:t>（厂名）2</w:t>
      </w:r>
      <w:r>
        <w:rPr>
          <w:rFonts w:hint="eastAsia" w:asciiTheme="minorEastAsia" w:hAnsiTheme="minorEastAsia" w:eastAsiaTheme="minorEastAsia" w:cstheme="minorEastAsia"/>
          <w:b w:val="0"/>
          <w:bCs w:val="0"/>
          <w:color w:val="auto"/>
          <w:kern w:val="0"/>
          <w:sz w:val="28"/>
          <w:szCs w:val="28"/>
          <w:highlight w:val="none"/>
        </w:rPr>
        <w:t>，厂址为</w:t>
      </w:r>
      <w:r>
        <w:rPr>
          <w:rFonts w:hint="eastAsia" w:asciiTheme="minorEastAsia" w:hAnsiTheme="minorEastAsia" w:eastAsiaTheme="minorEastAsia" w:cstheme="minorEastAsia"/>
          <w:b w:val="0"/>
          <w:bCs w:val="0"/>
          <w:color w:val="auto"/>
          <w:kern w:val="0"/>
          <w:sz w:val="28"/>
          <w:szCs w:val="28"/>
          <w:highlight w:val="none"/>
          <w:u w:val="single"/>
        </w:rPr>
        <w:t>（生产厂址）</w:t>
      </w:r>
      <w:r>
        <w:rPr>
          <w:rFonts w:hint="eastAsia" w:asciiTheme="minorEastAsia" w:hAnsiTheme="minorEastAsia" w:eastAsiaTheme="minorEastAsia" w:cstheme="minorEastAsia"/>
          <w:b w:val="0"/>
          <w:bCs w:val="0"/>
          <w:color w:val="auto"/>
          <w:kern w:val="0"/>
          <w:sz w:val="28"/>
          <w:szCs w:val="28"/>
          <w:highlight w:val="none"/>
        </w:rPr>
        <w:t>。</w:t>
      </w:r>
      <w:r>
        <w:rPr>
          <w:rFonts w:hint="eastAsia" w:asciiTheme="minorEastAsia" w:hAnsiTheme="minorEastAsia" w:eastAsiaTheme="minorEastAsia" w:cstheme="minorEastAsia"/>
          <w:b w:val="0"/>
          <w:bCs w:val="0"/>
          <w:color w:val="auto"/>
          <w:kern w:val="0"/>
          <w:sz w:val="28"/>
          <w:szCs w:val="28"/>
          <w:highlight w:val="none"/>
          <w:u w:val="single"/>
        </w:rPr>
        <w:t>（产品名称1）</w:t>
      </w:r>
      <w:r>
        <w:rPr>
          <w:rFonts w:hint="eastAsia" w:asciiTheme="minorEastAsia" w:hAnsiTheme="minorEastAsia" w:eastAsiaTheme="minorEastAsia" w:cstheme="minorEastAsia"/>
          <w:b w:val="0"/>
          <w:bCs w:val="0"/>
          <w:color w:val="auto"/>
          <w:kern w:val="0"/>
          <w:sz w:val="28"/>
          <w:szCs w:val="28"/>
          <w:highlight w:val="none"/>
        </w:rPr>
        <w:t>的中国境内生产的组件成本占比≥</w:t>
      </w:r>
      <w:r>
        <w:rPr>
          <w:rFonts w:hint="eastAsia" w:asciiTheme="minorEastAsia" w:hAnsiTheme="minorEastAsia" w:eastAsiaTheme="minorEastAsia" w:cstheme="minorEastAsia"/>
          <w:b w:val="0"/>
          <w:bCs w:val="0"/>
          <w:color w:val="auto"/>
          <w:kern w:val="0"/>
          <w:sz w:val="28"/>
          <w:szCs w:val="28"/>
          <w:highlight w:val="none"/>
          <w:u w:val="single"/>
        </w:rPr>
        <w:t>（规定比例）3</w:t>
      </w:r>
      <w:r>
        <w:rPr>
          <w:rFonts w:hint="eastAsia" w:asciiTheme="minorEastAsia" w:hAnsiTheme="minorEastAsia" w:eastAsiaTheme="minorEastAsia" w:cstheme="minorEastAsia"/>
          <w:b w:val="0"/>
          <w:bCs w:val="0"/>
          <w:color w:val="auto"/>
          <w:kern w:val="0"/>
          <w:sz w:val="28"/>
          <w:szCs w:val="28"/>
          <w:highlight w:val="none"/>
        </w:rPr>
        <w:t>。</w:t>
      </w:r>
      <w:r>
        <w:rPr>
          <w:rFonts w:hint="eastAsia" w:asciiTheme="minorEastAsia" w:hAnsiTheme="minorEastAsia" w:eastAsiaTheme="minorEastAsia" w:cstheme="minorEastAsia"/>
          <w:b w:val="0"/>
          <w:bCs w:val="0"/>
          <w:color w:val="auto"/>
          <w:kern w:val="0"/>
          <w:sz w:val="28"/>
          <w:szCs w:val="28"/>
          <w:highlight w:val="none"/>
          <w:u w:val="single"/>
        </w:rPr>
        <w:t>（产品名称1）</w:t>
      </w:r>
      <w:r>
        <w:rPr>
          <w:rFonts w:hint="eastAsia" w:asciiTheme="minorEastAsia" w:hAnsiTheme="minorEastAsia" w:eastAsiaTheme="minorEastAsia" w:cstheme="minorEastAsia"/>
          <w:b w:val="0"/>
          <w:bCs w:val="0"/>
          <w:color w:val="auto"/>
          <w:kern w:val="0"/>
          <w:sz w:val="28"/>
          <w:szCs w:val="28"/>
          <w:highlight w:val="none"/>
        </w:rPr>
        <w:t>的</w:t>
      </w:r>
      <w:r>
        <w:rPr>
          <w:rFonts w:hint="eastAsia" w:asciiTheme="minorEastAsia" w:hAnsiTheme="minorEastAsia" w:eastAsiaTheme="minorEastAsia" w:cstheme="minorEastAsia"/>
          <w:b w:val="0"/>
          <w:bCs w:val="0"/>
          <w:color w:val="auto"/>
          <w:kern w:val="0"/>
          <w:sz w:val="28"/>
          <w:szCs w:val="28"/>
          <w:highlight w:val="none"/>
          <w:u w:val="single"/>
        </w:rPr>
        <w:t>（关键组件）4</w:t>
      </w:r>
      <w:r>
        <w:rPr>
          <w:rFonts w:hint="eastAsia" w:asciiTheme="minorEastAsia" w:hAnsiTheme="minorEastAsia" w:eastAsiaTheme="minorEastAsia" w:cstheme="minorEastAsia"/>
          <w:b w:val="0"/>
          <w:bCs w:val="0"/>
          <w:color w:val="auto"/>
          <w:kern w:val="0"/>
          <w:sz w:val="28"/>
          <w:szCs w:val="28"/>
          <w:highlight w:val="none"/>
        </w:rPr>
        <w:t>在中国境内生产。</w:t>
      </w:r>
      <w:r>
        <w:rPr>
          <w:rFonts w:hint="eastAsia" w:asciiTheme="minorEastAsia" w:hAnsiTheme="minorEastAsia" w:eastAsiaTheme="minorEastAsia" w:cstheme="minorEastAsia"/>
          <w:b w:val="0"/>
          <w:bCs w:val="0"/>
          <w:color w:val="auto"/>
          <w:kern w:val="0"/>
          <w:sz w:val="28"/>
          <w:szCs w:val="28"/>
          <w:highlight w:val="none"/>
          <w:u w:val="single"/>
        </w:rPr>
        <w:t>（产品名称1）</w:t>
      </w:r>
      <w:r>
        <w:rPr>
          <w:rFonts w:hint="eastAsia" w:asciiTheme="minorEastAsia" w:hAnsiTheme="minorEastAsia" w:eastAsiaTheme="minorEastAsia" w:cstheme="minorEastAsia"/>
          <w:b w:val="0"/>
          <w:bCs w:val="0"/>
          <w:color w:val="auto"/>
          <w:kern w:val="0"/>
          <w:sz w:val="28"/>
          <w:szCs w:val="28"/>
          <w:highlight w:val="none"/>
        </w:rPr>
        <w:t>的</w:t>
      </w:r>
      <w:r>
        <w:rPr>
          <w:rFonts w:hint="eastAsia" w:asciiTheme="minorEastAsia" w:hAnsiTheme="minorEastAsia" w:eastAsiaTheme="minorEastAsia" w:cstheme="minorEastAsia"/>
          <w:b w:val="0"/>
          <w:bCs w:val="0"/>
          <w:color w:val="auto"/>
          <w:kern w:val="0"/>
          <w:sz w:val="28"/>
          <w:szCs w:val="28"/>
          <w:highlight w:val="none"/>
          <w:u w:val="single"/>
        </w:rPr>
        <w:t>（关键工序）5</w:t>
      </w:r>
      <w:r>
        <w:rPr>
          <w:rFonts w:hint="eastAsia" w:asciiTheme="minorEastAsia" w:hAnsiTheme="minorEastAsia" w:eastAsiaTheme="minorEastAsia" w:cstheme="minorEastAsia"/>
          <w:b w:val="0"/>
          <w:bCs w:val="0"/>
          <w:color w:val="auto"/>
          <w:kern w:val="0"/>
          <w:sz w:val="28"/>
          <w:szCs w:val="28"/>
          <w:highlight w:val="none"/>
        </w:rPr>
        <w:t>在中国境内完成。</w:t>
      </w:r>
    </w:p>
    <w:p w14:paraId="4A6B8250">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r>
        <w:rPr>
          <w:rFonts w:hint="eastAsia" w:asciiTheme="minorEastAsia" w:hAnsiTheme="minorEastAsia" w:eastAsiaTheme="minorEastAsia" w:cstheme="minorEastAsia"/>
          <w:b w:val="0"/>
          <w:bCs w:val="0"/>
          <w:color w:val="auto"/>
          <w:kern w:val="0"/>
          <w:sz w:val="28"/>
          <w:szCs w:val="28"/>
          <w:highlight w:val="none"/>
        </w:rPr>
        <w:t>2.</w:t>
      </w:r>
      <w:r>
        <w:rPr>
          <w:rFonts w:hint="eastAsia" w:asciiTheme="minorEastAsia" w:hAnsiTheme="minorEastAsia" w:eastAsiaTheme="minorEastAsia" w:cstheme="minorEastAsia"/>
          <w:b w:val="0"/>
          <w:bCs w:val="0"/>
          <w:color w:val="auto"/>
          <w:kern w:val="0"/>
          <w:sz w:val="28"/>
          <w:szCs w:val="28"/>
          <w:highlight w:val="none"/>
          <w:u w:val="single"/>
        </w:rPr>
        <w:t>（产品名称2）</w:t>
      </w:r>
      <w:r>
        <w:rPr>
          <w:rFonts w:hint="eastAsia" w:asciiTheme="minorEastAsia" w:hAnsiTheme="minorEastAsia" w:eastAsiaTheme="minorEastAsia" w:cstheme="minorEastAsia"/>
          <w:b w:val="0"/>
          <w:bCs w:val="0"/>
          <w:color w:val="auto"/>
          <w:kern w:val="0"/>
          <w:sz w:val="28"/>
          <w:szCs w:val="28"/>
          <w:highlight w:val="none"/>
        </w:rPr>
        <w:t>，生产厂为</w:t>
      </w:r>
      <w:r>
        <w:rPr>
          <w:rFonts w:hint="eastAsia" w:asciiTheme="minorEastAsia" w:hAnsiTheme="minorEastAsia" w:eastAsiaTheme="minorEastAsia" w:cstheme="minorEastAsia"/>
          <w:b w:val="0"/>
          <w:bCs w:val="0"/>
          <w:color w:val="auto"/>
          <w:kern w:val="0"/>
          <w:sz w:val="28"/>
          <w:szCs w:val="28"/>
          <w:highlight w:val="none"/>
          <w:u w:val="single"/>
        </w:rPr>
        <w:t>（厂名）</w:t>
      </w:r>
      <w:r>
        <w:rPr>
          <w:rFonts w:hint="eastAsia" w:asciiTheme="minorEastAsia" w:hAnsiTheme="minorEastAsia" w:eastAsiaTheme="minorEastAsia" w:cstheme="minorEastAsia"/>
          <w:b w:val="0"/>
          <w:bCs w:val="0"/>
          <w:color w:val="auto"/>
          <w:kern w:val="0"/>
          <w:sz w:val="28"/>
          <w:szCs w:val="28"/>
          <w:highlight w:val="none"/>
        </w:rPr>
        <w:t>，厂址为</w:t>
      </w:r>
      <w:r>
        <w:rPr>
          <w:rFonts w:hint="eastAsia" w:asciiTheme="minorEastAsia" w:hAnsiTheme="minorEastAsia" w:eastAsiaTheme="minorEastAsia" w:cstheme="minorEastAsia"/>
          <w:b w:val="0"/>
          <w:bCs w:val="0"/>
          <w:color w:val="auto"/>
          <w:kern w:val="0"/>
          <w:sz w:val="28"/>
          <w:szCs w:val="28"/>
          <w:highlight w:val="none"/>
          <w:u w:val="single"/>
        </w:rPr>
        <w:t>（生产厂址）</w:t>
      </w:r>
      <w:r>
        <w:rPr>
          <w:rFonts w:hint="eastAsia" w:asciiTheme="minorEastAsia" w:hAnsiTheme="minorEastAsia" w:eastAsiaTheme="minorEastAsia" w:cstheme="minorEastAsia"/>
          <w:b w:val="0"/>
          <w:bCs w:val="0"/>
          <w:color w:val="auto"/>
          <w:kern w:val="0"/>
          <w:sz w:val="28"/>
          <w:szCs w:val="28"/>
          <w:highlight w:val="none"/>
        </w:rPr>
        <w:t>。</w:t>
      </w:r>
      <w:r>
        <w:rPr>
          <w:rFonts w:hint="eastAsia" w:asciiTheme="minorEastAsia" w:hAnsiTheme="minorEastAsia" w:eastAsiaTheme="minorEastAsia" w:cstheme="minorEastAsia"/>
          <w:b w:val="0"/>
          <w:bCs w:val="0"/>
          <w:color w:val="auto"/>
          <w:kern w:val="0"/>
          <w:sz w:val="28"/>
          <w:szCs w:val="28"/>
          <w:highlight w:val="none"/>
          <w:u w:val="single"/>
        </w:rPr>
        <w:t>（产品名称2）</w:t>
      </w:r>
      <w:r>
        <w:rPr>
          <w:rFonts w:hint="eastAsia" w:asciiTheme="minorEastAsia" w:hAnsiTheme="minorEastAsia" w:eastAsiaTheme="minorEastAsia" w:cstheme="minorEastAsia"/>
          <w:b w:val="0"/>
          <w:bCs w:val="0"/>
          <w:color w:val="auto"/>
          <w:kern w:val="0"/>
          <w:sz w:val="28"/>
          <w:szCs w:val="28"/>
          <w:highlight w:val="none"/>
        </w:rPr>
        <w:t>的中国境内生产的组件成本占比≥</w:t>
      </w:r>
      <w:r>
        <w:rPr>
          <w:rFonts w:hint="eastAsia" w:asciiTheme="minorEastAsia" w:hAnsiTheme="minorEastAsia" w:eastAsiaTheme="minorEastAsia" w:cstheme="minorEastAsia"/>
          <w:b w:val="0"/>
          <w:bCs w:val="0"/>
          <w:color w:val="auto"/>
          <w:kern w:val="0"/>
          <w:sz w:val="28"/>
          <w:szCs w:val="28"/>
          <w:highlight w:val="none"/>
          <w:u w:val="single"/>
        </w:rPr>
        <w:t>（规定比例）</w:t>
      </w:r>
      <w:r>
        <w:rPr>
          <w:rFonts w:hint="eastAsia" w:asciiTheme="minorEastAsia" w:hAnsiTheme="minorEastAsia" w:eastAsiaTheme="minorEastAsia" w:cstheme="minorEastAsia"/>
          <w:b w:val="0"/>
          <w:bCs w:val="0"/>
          <w:color w:val="auto"/>
          <w:kern w:val="0"/>
          <w:sz w:val="28"/>
          <w:szCs w:val="28"/>
          <w:highlight w:val="none"/>
        </w:rPr>
        <w:t>。</w:t>
      </w:r>
      <w:r>
        <w:rPr>
          <w:rFonts w:hint="eastAsia" w:asciiTheme="minorEastAsia" w:hAnsiTheme="minorEastAsia" w:eastAsiaTheme="minorEastAsia" w:cstheme="minorEastAsia"/>
          <w:b w:val="0"/>
          <w:bCs w:val="0"/>
          <w:color w:val="auto"/>
          <w:kern w:val="0"/>
          <w:sz w:val="28"/>
          <w:szCs w:val="28"/>
          <w:highlight w:val="none"/>
          <w:u w:val="single"/>
        </w:rPr>
        <w:t>（产品名称2）</w:t>
      </w:r>
      <w:r>
        <w:rPr>
          <w:rFonts w:hint="eastAsia" w:asciiTheme="minorEastAsia" w:hAnsiTheme="minorEastAsia" w:eastAsiaTheme="minorEastAsia" w:cstheme="minorEastAsia"/>
          <w:b w:val="0"/>
          <w:bCs w:val="0"/>
          <w:color w:val="auto"/>
          <w:kern w:val="0"/>
          <w:sz w:val="28"/>
          <w:szCs w:val="28"/>
          <w:highlight w:val="none"/>
        </w:rPr>
        <w:t>的</w:t>
      </w:r>
      <w:r>
        <w:rPr>
          <w:rFonts w:hint="eastAsia" w:asciiTheme="minorEastAsia" w:hAnsiTheme="minorEastAsia" w:eastAsiaTheme="minorEastAsia" w:cstheme="minorEastAsia"/>
          <w:b w:val="0"/>
          <w:bCs w:val="0"/>
          <w:color w:val="auto"/>
          <w:kern w:val="0"/>
          <w:sz w:val="28"/>
          <w:szCs w:val="28"/>
          <w:highlight w:val="none"/>
          <w:u w:val="single"/>
        </w:rPr>
        <w:t>（关键组件）</w:t>
      </w:r>
      <w:r>
        <w:rPr>
          <w:rFonts w:hint="eastAsia" w:asciiTheme="minorEastAsia" w:hAnsiTheme="minorEastAsia" w:eastAsiaTheme="minorEastAsia" w:cstheme="minorEastAsia"/>
          <w:b w:val="0"/>
          <w:bCs w:val="0"/>
          <w:color w:val="auto"/>
          <w:kern w:val="0"/>
          <w:sz w:val="28"/>
          <w:szCs w:val="28"/>
          <w:highlight w:val="none"/>
        </w:rPr>
        <w:t>在中国境内生产。</w:t>
      </w:r>
      <w:r>
        <w:rPr>
          <w:rFonts w:hint="eastAsia" w:asciiTheme="minorEastAsia" w:hAnsiTheme="minorEastAsia" w:eastAsiaTheme="minorEastAsia" w:cstheme="minorEastAsia"/>
          <w:b w:val="0"/>
          <w:bCs w:val="0"/>
          <w:color w:val="auto"/>
          <w:kern w:val="0"/>
          <w:sz w:val="28"/>
          <w:szCs w:val="28"/>
          <w:highlight w:val="none"/>
          <w:u w:val="single"/>
        </w:rPr>
        <w:t>（产品名称2）</w:t>
      </w:r>
      <w:r>
        <w:rPr>
          <w:rFonts w:hint="eastAsia" w:asciiTheme="minorEastAsia" w:hAnsiTheme="minorEastAsia" w:eastAsiaTheme="minorEastAsia" w:cstheme="minorEastAsia"/>
          <w:b w:val="0"/>
          <w:bCs w:val="0"/>
          <w:color w:val="auto"/>
          <w:kern w:val="0"/>
          <w:sz w:val="28"/>
          <w:szCs w:val="28"/>
          <w:highlight w:val="none"/>
        </w:rPr>
        <w:t>的</w:t>
      </w:r>
      <w:r>
        <w:rPr>
          <w:rFonts w:hint="eastAsia" w:asciiTheme="minorEastAsia" w:hAnsiTheme="minorEastAsia" w:eastAsiaTheme="minorEastAsia" w:cstheme="minorEastAsia"/>
          <w:b w:val="0"/>
          <w:bCs w:val="0"/>
          <w:color w:val="auto"/>
          <w:kern w:val="0"/>
          <w:sz w:val="28"/>
          <w:szCs w:val="28"/>
          <w:highlight w:val="none"/>
          <w:u w:val="single"/>
        </w:rPr>
        <w:t>（关键工序）</w:t>
      </w:r>
      <w:r>
        <w:rPr>
          <w:rFonts w:hint="eastAsia" w:asciiTheme="minorEastAsia" w:hAnsiTheme="minorEastAsia" w:eastAsiaTheme="minorEastAsia" w:cstheme="minorEastAsia"/>
          <w:b w:val="0"/>
          <w:bCs w:val="0"/>
          <w:color w:val="auto"/>
          <w:kern w:val="0"/>
          <w:sz w:val="28"/>
          <w:szCs w:val="28"/>
          <w:highlight w:val="none"/>
        </w:rPr>
        <w:t>在中国境内完成。</w:t>
      </w:r>
    </w:p>
    <w:p w14:paraId="41193524">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p>
    <w:p w14:paraId="7B00FEB3">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r>
        <w:rPr>
          <w:rFonts w:hint="eastAsia" w:asciiTheme="minorEastAsia" w:hAnsiTheme="minorEastAsia" w:eastAsiaTheme="minorEastAsia" w:cstheme="minorEastAsia"/>
          <w:b w:val="0"/>
          <w:bCs w:val="0"/>
          <w:color w:val="auto"/>
          <w:kern w:val="0"/>
          <w:sz w:val="28"/>
          <w:szCs w:val="28"/>
          <w:highlight w:val="none"/>
        </w:rPr>
        <w:t>……</w:t>
      </w:r>
    </w:p>
    <w:p w14:paraId="52E925CD">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p>
    <w:p w14:paraId="0FE43943">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r>
        <w:rPr>
          <w:rFonts w:hint="eastAsia" w:asciiTheme="minorEastAsia" w:hAnsiTheme="minorEastAsia" w:eastAsiaTheme="minorEastAsia" w:cstheme="minorEastAsia"/>
          <w:b w:val="0"/>
          <w:bCs w:val="0"/>
          <w:color w:val="auto"/>
          <w:kern w:val="0"/>
          <w:sz w:val="28"/>
          <w:szCs w:val="28"/>
          <w:highlight w:val="none"/>
        </w:rPr>
        <w:t>本公司（单位）对上述声明内容的真实性负责。如有虚假，愿承担相应法律责任。</w:t>
      </w:r>
    </w:p>
    <w:p w14:paraId="05196EE4">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p>
    <w:p w14:paraId="7B3DD5A2">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r>
        <w:rPr>
          <w:rFonts w:hint="eastAsia" w:asciiTheme="minorEastAsia" w:hAnsiTheme="minorEastAsia" w:eastAsiaTheme="minorEastAsia" w:cstheme="minorEastAsia"/>
          <w:b w:val="0"/>
          <w:bCs w:val="0"/>
          <w:color w:val="auto"/>
          <w:kern w:val="0"/>
          <w:sz w:val="28"/>
          <w:szCs w:val="28"/>
          <w:highlight w:val="none"/>
        </w:rPr>
        <w:t xml:space="preserve"> </w:t>
      </w:r>
    </w:p>
    <w:p w14:paraId="775BE5AD">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p>
    <w:p w14:paraId="1A6663C1">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r>
        <w:rPr>
          <w:rFonts w:hint="eastAsia" w:asciiTheme="minorEastAsia" w:hAnsiTheme="minorEastAsia" w:eastAsiaTheme="minorEastAsia" w:cstheme="minorEastAsia"/>
          <w:b w:val="0"/>
          <w:bCs w:val="0"/>
          <w:color w:val="auto"/>
          <w:kern w:val="0"/>
          <w:sz w:val="28"/>
          <w:szCs w:val="28"/>
          <w:highlight w:val="none"/>
        </w:rPr>
        <w:t>公司（单位）名称（盖章）：　        </w:t>
      </w:r>
    </w:p>
    <w:p w14:paraId="00ACD2A2">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p>
    <w:p w14:paraId="14BD23B9">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r>
        <w:rPr>
          <w:rFonts w:hint="eastAsia" w:asciiTheme="minorEastAsia" w:hAnsiTheme="minorEastAsia" w:eastAsiaTheme="minorEastAsia" w:cstheme="minorEastAsia"/>
          <w:b w:val="0"/>
          <w:bCs w:val="0"/>
          <w:color w:val="auto"/>
          <w:kern w:val="0"/>
          <w:sz w:val="28"/>
          <w:szCs w:val="28"/>
          <w:highlight w:val="none"/>
        </w:rPr>
        <w:t>日期：　     年　  月　  日         </w:t>
      </w:r>
    </w:p>
    <w:p w14:paraId="59C0B10F">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p>
    <w:p w14:paraId="5B34C35E">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r>
        <w:rPr>
          <w:rFonts w:hint="eastAsia" w:asciiTheme="minorEastAsia" w:hAnsiTheme="minorEastAsia" w:eastAsiaTheme="minorEastAsia" w:cstheme="minorEastAsia"/>
          <w:b w:val="0"/>
          <w:bCs w:val="0"/>
          <w:color w:val="auto"/>
          <w:kern w:val="0"/>
          <w:sz w:val="28"/>
          <w:szCs w:val="28"/>
          <w:highlight w:val="none"/>
        </w:rPr>
        <w:t>__________________</w:t>
      </w:r>
    </w:p>
    <w:p w14:paraId="43BBB8CD">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Theme="minorEastAsia" w:hAnsiTheme="minorEastAsia" w:eastAsiaTheme="minorEastAsia" w:cstheme="minorEastAsia"/>
          <w:b w:val="0"/>
          <w:bCs w:val="0"/>
          <w:color w:val="auto"/>
          <w:kern w:val="0"/>
          <w:sz w:val="28"/>
          <w:szCs w:val="28"/>
          <w:highlight w:val="none"/>
        </w:rPr>
      </w:pPr>
    </w:p>
    <w:p w14:paraId="028D1B70">
      <w:pPr>
        <w:pStyle w:val="30"/>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left"/>
        <w:textAlignment w:val="auto"/>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1.产品如有型号，请在“产品名称”栏一并填写。</w:t>
      </w:r>
    </w:p>
    <w:p w14:paraId="4DA51B06">
      <w:pPr>
        <w:pStyle w:val="30"/>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left"/>
        <w:textAlignment w:val="auto"/>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2.生产厂名与厂址应与生产厂营业执照载明的相关信息保持一致。</w:t>
      </w:r>
    </w:p>
    <w:p w14:paraId="7EB04C93">
      <w:pPr>
        <w:pStyle w:val="30"/>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left"/>
        <w:textAlignment w:val="auto"/>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3.该产品的中国境内生产的组件成本占比相关要求实施前，“规定比例”栏可不填，下同。</w:t>
      </w:r>
    </w:p>
    <w:p w14:paraId="1D26CAA1">
      <w:pPr>
        <w:pStyle w:val="30"/>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left"/>
        <w:textAlignment w:val="auto"/>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4.该产品的关键组件要求实施前，“关键组件”栏可不填，下同。</w:t>
      </w:r>
    </w:p>
    <w:p w14:paraId="5832D946">
      <w:pPr>
        <w:pStyle w:val="30"/>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left"/>
        <w:textAlignment w:val="auto"/>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5.该产品的关键工序要求实施前，“关键工序”栏可不填，下同。</w:t>
      </w:r>
    </w:p>
    <w:p w14:paraId="170A6D6F">
      <w:pPr>
        <w:pStyle w:val="14"/>
        <w:spacing w:line="460" w:lineRule="exact"/>
        <w:jc w:val="both"/>
        <w:rPr>
          <w:rFonts w:hint="eastAsia" w:asciiTheme="minorEastAsia" w:hAnsiTheme="minorEastAsia" w:eastAsiaTheme="minorEastAsia" w:cstheme="minorEastAsia"/>
          <w:b/>
          <w:bCs/>
          <w:color w:val="auto"/>
          <w:sz w:val="24"/>
          <w:szCs w:val="24"/>
          <w:highlight w:val="none"/>
        </w:rPr>
      </w:pPr>
    </w:p>
    <w:p w14:paraId="30CDC31B">
      <w:pPr>
        <w:pStyle w:val="14"/>
        <w:spacing w:line="460" w:lineRule="exact"/>
        <w:jc w:val="center"/>
        <w:rPr>
          <w:rFonts w:hint="eastAsia" w:asciiTheme="minorEastAsia" w:hAnsiTheme="minorEastAsia" w:eastAsiaTheme="minorEastAsia" w:cstheme="minorEastAsia"/>
          <w:b/>
          <w:bCs/>
          <w:color w:val="auto"/>
          <w:sz w:val="24"/>
          <w:szCs w:val="24"/>
          <w:highlight w:val="none"/>
        </w:rPr>
      </w:pPr>
    </w:p>
    <w:p w14:paraId="44176377">
      <w:pPr>
        <w:pStyle w:val="14"/>
        <w:spacing w:line="460" w:lineRule="exact"/>
        <w:jc w:val="center"/>
        <w:rPr>
          <w:rFonts w:hint="eastAsia" w:asciiTheme="minorEastAsia" w:hAnsiTheme="minorEastAsia" w:eastAsiaTheme="minorEastAsia" w:cstheme="minorEastAsia"/>
          <w:b/>
          <w:bCs/>
          <w:color w:val="auto"/>
          <w:sz w:val="24"/>
          <w:szCs w:val="24"/>
          <w:highlight w:val="none"/>
        </w:rPr>
      </w:pPr>
    </w:p>
    <w:p w14:paraId="30E2C576">
      <w:pPr>
        <w:pStyle w:val="14"/>
        <w:spacing w:line="460" w:lineRule="exact"/>
        <w:jc w:val="center"/>
        <w:rPr>
          <w:rFonts w:hint="eastAsia" w:asciiTheme="minorEastAsia" w:hAnsiTheme="minorEastAsia" w:eastAsiaTheme="minorEastAsia" w:cstheme="minorEastAsia"/>
          <w:b/>
          <w:bCs/>
          <w:color w:val="auto"/>
          <w:sz w:val="24"/>
          <w:szCs w:val="24"/>
          <w:highlight w:val="none"/>
        </w:rPr>
      </w:pPr>
    </w:p>
    <w:p w14:paraId="32FCE1AD">
      <w:pPr>
        <w:pStyle w:val="14"/>
        <w:spacing w:line="460" w:lineRule="exact"/>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rPr>
        <w:t>）投标保证金</w:t>
      </w:r>
      <w:r>
        <w:rPr>
          <w:rFonts w:hint="eastAsia" w:asciiTheme="minorEastAsia" w:hAnsiTheme="minorEastAsia" w:eastAsiaTheme="minorEastAsia" w:cstheme="minorEastAsia"/>
          <w:b/>
          <w:bCs/>
          <w:color w:val="auto"/>
          <w:sz w:val="24"/>
          <w:szCs w:val="24"/>
          <w:highlight w:val="none"/>
          <w:lang w:eastAsia="zh-CN"/>
        </w:rPr>
        <w:t>缴纳凭证</w:t>
      </w:r>
    </w:p>
    <w:p w14:paraId="121374DF">
      <w:pPr>
        <w:pStyle w:val="14"/>
        <w:spacing w:line="460" w:lineRule="exact"/>
        <w:jc w:val="center"/>
        <w:rPr>
          <w:rFonts w:hint="eastAsia" w:asciiTheme="minorEastAsia" w:hAnsiTheme="minorEastAsia" w:eastAsiaTheme="minorEastAsia" w:cstheme="minorEastAsia"/>
          <w:color w:val="auto"/>
          <w:sz w:val="24"/>
          <w:szCs w:val="24"/>
          <w:highlight w:val="none"/>
        </w:rPr>
      </w:pPr>
    </w:p>
    <w:tbl>
      <w:tblPr>
        <w:tblStyle w:val="31"/>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14D73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8522" w:type="dxa"/>
            <w:tcBorders>
              <w:top w:val="single" w:color="auto" w:sz="4" w:space="0"/>
              <w:bottom w:val="single" w:color="auto" w:sz="4" w:space="0"/>
            </w:tcBorders>
            <w:vAlign w:val="center"/>
          </w:tcPr>
          <w:p w14:paraId="225D7D4C">
            <w:pPr>
              <w:pStyle w:val="14"/>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投标保证金</w:t>
            </w:r>
            <w:r>
              <w:rPr>
                <w:rFonts w:hint="eastAsia" w:asciiTheme="minorEastAsia" w:hAnsiTheme="minorEastAsia" w:eastAsiaTheme="minorEastAsia" w:cstheme="minorEastAsia"/>
                <w:color w:val="auto"/>
                <w:sz w:val="24"/>
                <w:szCs w:val="24"/>
                <w:highlight w:val="none"/>
                <w:lang w:eastAsia="zh-CN"/>
              </w:rPr>
              <w:t>缴纳凭证</w:t>
            </w:r>
          </w:p>
        </w:tc>
      </w:tr>
    </w:tbl>
    <w:p w14:paraId="4344A34F">
      <w:pPr>
        <w:adjustRightInd w:val="0"/>
        <w:snapToGrid w:val="0"/>
        <w:spacing w:line="460" w:lineRule="exact"/>
        <w:ind w:firstLine="480" w:firstLineChars="200"/>
        <w:rPr>
          <w:rFonts w:hint="eastAsia" w:ascii="宋体" w:hAnsi="宋体" w:eastAsia="宋体" w:cs="宋体"/>
          <w:color w:val="auto"/>
          <w:sz w:val="24"/>
          <w:szCs w:val="24"/>
          <w:highlight w:val="none"/>
        </w:rPr>
      </w:pPr>
    </w:p>
    <w:p w14:paraId="64B70979">
      <w:pPr>
        <w:widowControl/>
        <w:shd w:val="clear" w:color="auto" w:fill="FFFFFF"/>
        <w:spacing w:line="460" w:lineRule="exact"/>
        <w:jc w:val="left"/>
        <w:rPr>
          <w:rFonts w:hint="eastAsia" w:ascii="宋体" w:hAnsi="宋体" w:eastAsia="宋体" w:cs="宋体"/>
          <w:color w:val="auto"/>
          <w:kern w:val="0"/>
          <w:sz w:val="24"/>
          <w:szCs w:val="24"/>
          <w:highlight w:val="none"/>
        </w:rPr>
      </w:pPr>
    </w:p>
    <w:p w14:paraId="42B06B3F">
      <w:pPr>
        <w:spacing w:line="460" w:lineRule="exact"/>
        <w:rPr>
          <w:rFonts w:hint="eastAsia" w:ascii="宋体" w:hAnsi="宋体" w:eastAsia="宋体" w:cs="宋体"/>
          <w:color w:val="auto"/>
          <w:sz w:val="24"/>
          <w:szCs w:val="24"/>
          <w:highlight w:val="none"/>
        </w:rPr>
      </w:pPr>
    </w:p>
    <w:bookmarkEnd w:id="156"/>
    <w:p w14:paraId="66EF5A39">
      <w:pPr>
        <w:pStyle w:val="14"/>
        <w:spacing w:line="460" w:lineRule="exact"/>
        <w:jc w:val="center"/>
        <w:rPr>
          <w:rFonts w:hint="eastAsia" w:ascii="宋体" w:hAnsi="宋体" w:eastAsia="宋体" w:cs="宋体"/>
          <w:b/>
          <w:bCs/>
          <w:color w:val="auto"/>
          <w:sz w:val="24"/>
          <w:szCs w:val="24"/>
          <w:highlight w:val="none"/>
          <w:lang w:eastAsia="zh-CN"/>
        </w:rPr>
      </w:pPr>
      <w:bookmarkStart w:id="159" w:name="_Toc2964"/>
      <w:r>
        <w:rPr>
          <w:rFonts w:hint="eastAsia" w:ascii="宋体" w:hAnsi="宋体" w:eastAsia="宋体" w:cs="宋体"/>
          <w:b/>
          <w:bCs/>
          <w:color w:val="auto"/>
          <w:sz w:val="24"/>
          <w:szCs w:val="24"/>
          <w:highlight w:val="none"/>
          <w:lang w:eastAsia="zh-CN"/>
        </w:rPr>
        <w:t>（</w:t>
      </w:r>
      <w:r>
        <w:rPr>
          <w:rFonts w:hint="eastAsia"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）其他</w:t>
      </w:r>
    </w:p>
    <w:bookmarkEnd w:id="159"/>
    <w:p w14:paraId="5821C65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b w:val="0"/>
          <w:bCs/>
          <w:color w:val="auto"/>
          <w:sz w:val="24"/>
          <w:szCs w:val="24"/>
          <w:highlight w:val="none"/>
          <w:shd w:val="clear" w:color="auto" w:fill="auto"/>
          <w:lang w:val="en-US" w:eastAsia="zh-CN"/>
        </w:rPr>
        <w:t>1.投标人</w:t>
      </w:r>
      <w:r>
        <w:rPr>
          <w:rFonts w:hint="eastAsia" w:ascii="宋体" w:hAnsi="宋体" w:eastAsia="宋体" w:cs="宋体"/>
          <w:b w:val="0"/>
          <w:bCs/>
          <w:color w:val="auto"/>
          <w:sz w:val="24"/>
          <w:szCs w:val="24"/>
          <w:highlight w:val="none"/>
          <w:shd w:val="clear" w:color="auto" w:fill="auto"/>
          <w:lang w:val="en-US" w:eastAsia="zh-CN"/>
        </w:rPr>
        <w:t>认为需提供的</w:t>
      </w:r>
      <w:r>
        <w:rPr>
          <w:rFonts w:hint="eastAsia" w:ascii="宋体" w:hAnsi="宋体" w:eastAsia="宋体" w:cs="宋体"/>
          <w:b/>
          <w:bCs w:val="0"/>
          <w:color w:val="auto"/>
          <w:sz w:val="24"/>
          <w:szCs w:val="24"/>
          <w:highlight w:val="none"/>
          <w:shd w:val="clear" w:color="auto" w:fill="auto"/>
          <w:lang w:val="en-US" w:eastAsia="zh-CN"/>
        </w:rPr>
        <w:t>资格审查</w:t>
      </w:r>
      <w:r>
        <w:rPr>
          <w:rFonts w:hint="eastAsia" w:ascii="宋体" w:hAnsi="宋体" w:cs="宋体"/>
          <w:b/>
          <w:bCs w:val="0"/>
          <w:color w:val="auto"/>
          <w:sz w:val="24"/>
          <w:szCs w:val="24"/>
          <w:highlight w:val="none"/>
          <w:shd w:val="clear" w:color="auto" w:fill="auto"/>
          <w:lang w:val="en-US" w:eastAsia="zh-CN"/>
        </w:rPr>
        <w:t>、评标办法所需承诺</w:t>
      </w:r>
      <w:r>
        <w:rPr>
          <w:rFonts w:hint="eastAsia" w:ascii="宋体" w:hAnsi="宋体" w:eastAsia="宋体" w:cs="宋体"/>
          <w:b w:val="0"/>
          <w:bCs/>
          <w:color w:val="auto"/>
          <w:sz w:val="24"/>
          <w:szCs w:val="24"/>
          <w:highlight w:val="none"/>
          <w:shd w:val="clear" w:color="auto" w:fill="auto"/>
          <w:lang w:val="en-US" w:eastAsia="zh-CN"/>
        </w:rPr>
        <w:t>及其他补充资料。</w:t>
      </w:r>
    </w:p>
    <w:p w14:paraId="52B15B0B">
      <w:pPr>
        <w:pStyle w:val="4"/>
        <w:bidi w:val="0"/>
        <w:jc w:val="center"/>
        <w:outlineLvl w:val="0"/>
        <w:rPr>
          <w:rFonts w:hint="eastAsia"/>
          <w:color w:val="auto"/>
          <w:highlight w:val="none"/>
          <w:lang w:eastAsia="zh-CN"/>
        </w:rPr>
      </w:pPr>
      <w:r>
        <w:rPr>
          <w:rFonts w:hint="eastAsia" w:ascii="宋体" w:hAnsi="宋体" w:eastAsia="宋体" w:cs="宋体"/>
          <w:b/>
          <w:color w:val="auto"/>
          <w:sz w:val="24"/>
          <w:szCs w:val="24"/>
          <w:highlight w:val="none"/>
          <w:lang w:eastAsia="zh-CN"/>
        </w:rPr>
        <w:br w:type="page"/>
      </w:r>
      <w:bookmarkStart w:id="160" w:name="_Toc21616"/>
      <w:bookmarkStart w:id="161" w:name="_Toc20068"/>
      <w:r>
        <w:rPr>
          <w:rFonts w:hint="eastAsia"/>
          <w:color w:val="auto"/>
          <w:highlight w:val="none"/>
          <w:lang w:eastAsia="zh-CN"/>
        </w:rPr>
        <w:t>第四章  招标项目技术要求</w:t>
      </w:r>
      <w:bookmarkEnd w:id="160"/>
      <w:bookmarkEnd w:id="161"/>
    </w:p>
    <w:tbl>
      <w:tblPr>
        <w:tblStyle w:val="31"/>
        <w:tblW w:w="88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7371"/>
        <w:gridCol w:w="789"/>
      </w:tblGrid>
      <w:tr w14:paraId="2AA28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blHeader/>
        </w:trPr>
        <w:tc>
          <w:tcPr>
            <w:tcW w:w="706" w:type="dxa"/>
            <w:noWrap w:val="0"/>
            <w:vAlign w:val="center"/>
          </w:tcPr>
          <w:p w14:paraId="14492766">
            <w:pPr>
              <w:widowControl/>
              <w:jc w:val="center"/>
              <w:rPr>
                <w:rFonts w:ascii="宋体"/>
                <w:b/>
                <w:color w:val="auto"/>
                <w:sz w:val="24"/>
                <w:szCs w:val="24"/>
                <w:highlight w:val="none"/>
              </w:rPr>
            </w:pPr>
            <w:bookmarkStart w:id="162" w:name="_Toc15082"/>
            <w:bookmarkStart w:id="163" w:name="_Toc17884_WPSOffice_Level1"/>
            <w:bookmarkStart w:id="164" w:name="_Toc27846"/>
            <w:r>
              <w:rPr>
                <w:rFonts w:hint="eastAsia" w:ascii="宋体" w:hAnsi="宋体"/>
                <w:b/>
                <w:color w:val="auto"/>
                <w:sz w:val="24"/>
                <w:szCs w:val="24"/>
                <w:highlight w:val="none"/>
              </w:rPr>
              <w:t>设备名称</w:t>
            </w:r>
          </w:p>
        </w:tc>
        <w:tc>
          <w:tcPr>
            <w:tcW w:w="7371" w:type="dxa"/>
            <w:tcBorders>
              <w:right w:val="single" w:color="auto" w:sz="4" w:space="0"/>
            </w:tcBorders>
            <w:noWrap w:val="0"/>
            <w:vAlign w:val="center"/>
          </w:tcPr>
          <w:p w14:paraId="4573EC8C">
            <w:pPr>
              <w:widowControl/>
              <w:jc w:val="center"/>
              <w:rPr>
                <w:rFonts w:ascii="宋体"/>
                <w:b/>
                <w:color w:val="auto"/>
                <w:sz w:val="24"/>
                <w:szCs w:val="24"/>
                <w:highlight w:val="none"/>
              </w:rPr>
            </w:pPr>
            <w:r>
              <w:rPr>
                <w:rFonts w:hint="eastAsia" w:ascii="宋体" w:hAnsi="宋体"/>
                <w:b/>
                <w:color w:val="auto"/>
                <w:sz w:val="24"/>
                <w:szCs w:val="24"/>
                <w:highlight w:val="none"/>
              </w:rPr>
              <w:t>技术要求</w:t>
            </w:r>
          </w:p>
        </w:tc>
        <w:tc>
          <w:tcPr>
            <w:tcW w:w="789" w:type="dxa"/>
            <w:tcBorders>
              <w:left w:val="single" w:color="auto" w:sz="4" w:space="0"/>
            </w:tcBorders>
            <w:noWrap w:val="0"/>
            <w:vAlign w:val="center"/>
          </w:tcPr>
          <w:p w14:paraId="1E8E267D">
            <w:pPr>
              <w:widowControl/>
              <w:jc w:val="center"/>
              <w:rPr>
                <w:rFonts w:ascii="宋体"/>
                <w:b/>
                <w:color w:val="auto"/>
                <w:sz w:val="24"/>
                <w:szCs w:val="24"/>
                <w:highlight w:val="none"/>
              </w:rPr>
            </w:pPr>
            <w:r>
              <w:rPr>
                <w:rFonts w:hint="eastAsia" w:ascii="宋体"/>
                <w:b/>
                <w:color w:val="auto"/>
                <w:sz w:val="24"/>
                <w:szCs w:val="24"/>
                <w:highlight w:val="none"/>
              </w:rPr>
              <w:t>数量</w:t>
            </w:r>
          </w:p>
        </w:tc>
      </w:tr>
      <w:tr w14:paraId="0B449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706" w:type="dxa"/>
            <w:vMerge w:val="restart"/>
            <w:noWrap w:val="0"/>
            <w:vAlign w:val="center"/>
          </w:tcPr>
          <w:p w14:paraId="02E703B8">
            <w:pPr>
              <w:widowControl/>
              <w:jc w:val="center"/>
              <w:rPr>
                <w:rFonts w:ascii="宋体"/>
                <w:color w:val="auto"/>
                <w:sz w:val="24"/>
                <w:szCs w:val="24"/>
                <w:highlight w:val="none"/>
              </w:rPr>
            </w:pPr>
            <w:r>
              <w:rPr>
                <w:rFonts w:hint="eastAsia" w:ascii="宋体" w:hAnsi="宋体"/>
                <w:color w:val="auto"/>
                <w:sz w:val="24"/>
                <w:szCs w:val="24"/>
                <w:highlight w:val="none"/>
              </w:rPr>
              <w:t>课桌</w:t>
            </w:r>
          </w:p>
        </w:tc>
        <w:tc>
          <w:tcPr>
            <w:tcW w:w="7371" w:type="dxa"/>
            <w:vMerge w:val="restart"/>
            <w:tcBorders>
              <w:right w:val="single" w:color="auto" w:sz="4" w:space="0"/>
            </w:tcBorders>
            <w:noWrap w:val="0"/>
            <w:vAlign w:val="center"/>
          </w:tcPr>
          <w:p w14:paraId="7369ECFE">
            <w:pPr>
              <w:widowControl/>
              <w:jc w:val="left"/>
              <w:rPr>
                <w:rFonts w:ascii="宋体" w:hAnsi="宋体"/>
                <w:color w:val="auto"/>
                <w:sz w:val="24"/>
                <w:szCs w:val="24"/>
                <w:highlight w:val="none"/>
              </w:rPr>
            </w:pPr>
            <w:r>
              <w:rPr>
                <w:rFonts w:hint="eastAsia" w:ascii="宋体" w:hAnsi="宋体"/>
                <w:color w:val="auto"/>
                <w:sz w:val="24"/>
                <w:szCs w:val="24"/>
                <w:highlight w:val="none"/>
              </w:rPr>
              <w:t>整体规格</w:t>
            </w:r>
            <w:r>
              <w:rPr>
                <w:rFonts w:hint="eastAsia" w:ascii="宋体" w:hAnsi="宋体"/>
                <w:color w:val="auto"/>
                <w:sz w:val="24"/>
                <w:szCs w:val="24"/>
                <w:highlight w:val="none"/>
                <w:lang w:eastAsia="zh-CN"/>
              </w:rPr>
              <w:t>：</w:t>
            </w: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0mm</w:t>
            </w: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lang w:val="en-US" w:eastAsia="zh-CN"/>
              </w:rPr>
              <w:t>5</w:t>
            </w:r>
            <w:r>
              <w:rPr>
                <w:rFonts w:ascii="宋体" w:hAnsi="宋体"/>
                <w:color w:val="auto"/>
                <w:sz w:val="24"/>
                <w:szCs w:val="24"/>
                <w:highlight w:val="none"/>
              </w:rPr>
              <w:t>0mm</w:t>
            </w:r>
            <w:r>
              <w:rPr>
                <w:rFonts w:hint="eastAsia" w:ascii="宋体" w:hAnsi="宋体"/>
                <w:color w:val="auto"/>
                <w:sz w:val="24"/>
                <w:szCs w:val="24"/>
                <w:highlight w:val="none"/>
              </w:rPr>
              <w:t>×（</w:t>
            </w:r>
            <w:r>
              <w:rPr>
                <w:rFonts w:ascii="宋体" w:hAnsi="宋体"/>
                <w:color w:val="auto"/>
                <w:sz w:val="24"/>
                <w:szCs w:val="24"/>
                <w:highlight w:val="none"/>
              </w:rPr>
              <w:t>670-760</w:t>
            </w:r>
            <w:r>
              <w:rPr>
                <w:rFonts w:hint="eastAsia" w:ascii="宋体" w:hAnsi="宋体"/>
                <w:color w:val="auto"/>
                <w:sz w:val="24"/>
                <w:szCs w:val="24"/>
                <w:highlight w:val="none"/>
              </w:rPr>
              <w:t>）</w:t>
            </w:r>
            <w:r>
              <w:rPr>
                <w:rFonts w:ascii="宋体" w:hAnsi="宋体"/>
                <w:color w:val="auto"/>
                <w:sz w:val="24"/>
                <w:szCs w:val="24"/>
                <w:highlight w:val="none"/>
              </w:rPr>
              <w:t>mm</w:t>
            </w:r>
            <w:r>
              <w:rPr>
                <w:rFonts w:ascii="宋体"/>
                <w:color w:val="auto"/>
                <w:sz w:val="24"/>
                <w:szCs w:val="24"/>
                <w:highlight w:val="none"/>
              </w:rPr>
              <w:t>,</w:t>
            </w:r>
            <w:r>
              <w:rPr>
                <w:rFonts w:hint="eastAsia" w:ascii="宋体" w:hAnsi="宋体"/>
                <w:color w:val="auto"/>
                <w:sz w:val="24"/>
                <w:szCs w:val="24"/>
                <w:highlight w:val="none"/>
              </w:rPr>
              <w:t>钢木结构、可升降（高度不超过</w:t>
            </w:r>
            <w:r>
              <w:rPr>
                <w:rFonts w:ascii="宋体" w:hAnsi="宋体"/>
                <w:color w:val="auto"/>
                <w:sz w:val="24"/>
                <w:szCs w:val="24"/>
                <w:highlight w:val="none"/>
              </w:rPr>
              <w:t>760mm,</w:t>
            </w:r>
            <w:r>
              <w:rPr>
                <w:rFonts w:hint="eastAsia" w:ascii="宋体" w:hAnsi="宋体"/>
                <w:color w:val="auto"/>
                <w:sz w:val="24"/>
                <w:szCs w:val="24"/>
                <w:highlight w:val="none"/>
              </w:rPr>
              <w:t>共</w:t>
            </w:r>
            <w:r>
              <w:rPr>
                <w:rFonts w:ascii="宋体" w:hAnsi="宋体"/>
                <w:color w:val="auto"/>
                <w:sz w:val="24"/>
                <w:szCs w:val="24"/>
                <w:highlight w:val="none"/>
              </w:rPr>
              <w:t>4</w:t>
            </w:r>
            <w:r>
              <w:rPr>
                <w:rFonts w:hint="eastAsia" w:ascii="宋体" w:hAnsi="宋体"/>
                <w:color w:val="auto"/>
                <w:sz w:val="24"/>
                <w:szCs w:val="24"/>
                <w:highlight w:val="none"/>
              </w:rPr>
              <w:t>档）</w:t>
            </w:r>
            <w:r>
              <w:rPr>
                <w:rFonts w:ascii="宋体"/>
                <w:color w:val="auto"/>
                <w:sz w:val="24"/>
                <w:szCs w:val="24"/>
                <w:highlight w:val="none"/>
              </w:rPr>
              <w:t>,</w:t>
            </w:r>
            <w:r>
              <w:rPr>
                <w:rFonts w:hint="eastAsia" w:ascii="宋体" w:hAnsi="宋体"/>
                <w:color w:val="auto"/>
                <w:sz w:val="24"/>
                <w:szCs w:val="24"/>
                <w:highlight w:val="none"/>
              </w:rPr>
              <w:t>单人课桌。</w:t>
            </w:r>
          </w:p>
          <w:p w14:paraId="162C16D2">
            <w:pPr>
              <w:widowControl/>
              <w:jc w:val="left"/>
              <w:rPr>
                <w:rFonts w:hint="default" w:ascii="宋体"/>
                <w:color w:val="auto"/>
                <w:sz w:val="24"/>
                <w:szCs w:val="24"/>
                <w:highlight w:val="none"/>
                <w:lang w:val="en-US"/>
              </w:rPr>
            </w:pPr>
            <w:r>
              <w:rPr>
                <w:rFonts w:hint="eastAsia" w:ascii="宋体" w:hAnsi="宋体"/>
                <w:color w:val="auto"/>
                <w:sz w:val="24"/>
                <w:szCs w:val="24"/>
                <w:highlight w:val="none"/>
              </w:rPr>
              <w:t>桌面规格的要求及附属设置</w:t>
            </w:r>
            <w:r>
              <w:rPr>
                <w:rFonts w:hint="eastAsia" w:ascii="宋体" w:hAnsi="宋体"/>
                <w:color w:val="auto"/>
                <w:sz w:val="24"/>
                <w:szCs w:val="24"/>
                <w:highlight w:val="none"/>
                <w:lang w:eastAsia="zh-CN"/>
              </w:rPr>
              <w:t>：</w:t>
            </w:r>
            <w:r>
              <w:rPr>
                <w:rFonts w:hint="eastAsia"/>
                <w:color w:val="auto"/>
                <w:sz w:val="24"/>
                <w:szCs w:val="24"/>
                <w:highlight w:val="none"/>
              </w:rPr>
              <w:t>课桌面板采用ABS耐冲击塑料一体射出成型，桌面外径规格长6</w:t>
            </w:r>
            <w:r>
              <w:rPr>
                <w:rFonts w:hint="eastAsia"/>
                <w:color w:val="auto"/>
                <w:sz w:val="24"/>
                <w:szCs w:val="24"/>
                <w:highlight w:val="none"/>
                <w:lang w:val="en-US" w:eastAsia="zh-CN"/>
              </w:rPr>
              <w:t>5</w:t>
            </w:r>
            <w:r>
              <w:rPr>
                <w:rFonts w:hint="eastAsia"/>
                <w:color w:val="auto"/>
                <w:sz w:val="24"/>
                <w:szCs w:val="24"/>
                <w:highlight w:val="none"/>
              </w:rPr>
              <w:t>0mm</w:t>
            </w:r>
            <w:r>
              <w:rPr>
                <w:color w:val="auto"/>
                <w:sz w:val="24"/>
                <w:szCs w:val="24"/>
                <w:highlight w:val="none"/>
              </w:rPr>
              <w:t>×</w:t>
            </w:r>
            <w:r>
              <w:rPr>
                <w:rFonts w:hint="eastAsia"/>
                <w:color w:val="auto"/>
                <w:sz w:val="24"/>
                <w:szCs w:val="24"/>
                <w:highlight w:val="none"/>
              </w:rPr>
              <w:t>宽4</w:t>
            </w:r>
            <w:r>
              <w:rPr>
                <w:rFonts w:hint="eastAsia"/>
                <w:color w:val="auto"/>
                <w:sz w:val="24"/>
                <w:szCs w:val="24"/>
                <w:highlight w:val="none"/>
                <w:lang w:val="en-US" w:eastAsia="zh-CN"/>
              </w:rPr>
              <w:t>5</w:t>
            </w:r>
            <w:r>
              <w:rPr>
                <w:rFonts w:hint="eastAsia"/>
                <w:color w:val="auto"/>
                <w:sz w:val="24"/>
                <w:szCs w:val="24"/>
                <w:highlight w:val="none"/>
              </w:rPr>
              <w:t>0mm</w:t>
            </w:r>
            <w:r>
              <w:rPr>
                <w:color w:val="auto"/>
                <w:sz w:val="24"/>
                <w:szCs w:val="24"/>
                <w:highlight w:val="none"/>
              </w:rPr>
              <w:t>×</w:t>
            </w:r>
            <w:r>
              <w:rPr>
                <w:rFonts w:hint="eastAsia"/>
                <w:color w:val="auto"/>
                <w:sz w:val="24"/>
                <w:szCs w:val="24"/>
                <w:highlight w:val="none"/>
              </w:rPr>
              <w:t>；桌面中间上方设有长不低于440mm的长笔槽，靠胸前之处有一内弧造型设计</w:t>
            </w:r>
            <w:r>
              <w:rPr>
                <w:rFonts w:hint="eastAsia"/>
                <w:color w:val="auto"/>
                <w:sz w:val="24"/>
                <w:szCs w:val="24"/>
                <w:highlight w:val="none"/>
                <w:lang w:val="en-US" w:eastAsia="zh-CN"/>
              </w:rPr>
              <w:t>，桌面四周</w:t>
            </w:r>
            <w:r>
              <w:rPr>
                <w:rFonts w:hint="eastAsia"/>
                <w:color w:val="auto"/>
                <w:sz w:val="24"/>
                <w:szCs w:val="24"/>
                <w:highlight w:val="none"/>
              </w:rPr>
              <w:t>并有坡度设计，面板</w:t>
            </w:r>
            <w:r>
              <w:rPr>
                <w:rFonts w:hint="eastAsia"/>
                <w:color w:val="auto"/>
                <w:sz w:val="24"/>
                <w:szCs w:val="24"/>
                <w:highlight w:val="none"/>
                <w:lang w:eastAsia="zh-CN"/>
              </w:rPr>
              <w:t>前面和</w:t>
            </w:r>
            <w:r>
              <w:rPr>
                <w:rFonts w:hint="eastAsia"/>
                <w:color w:val="auto"/>
                <w:sz w:val="24"/>
                <w:szCs w:val="24"/>
                <w:highlight w:val="none"/>
              </w:rPr>
              <w:t>左右有防滑凸条,长1</w:t>
            </w:r>
            <w:r>
              <w:rPr>
                <w:rFonts w:hint="eastAsia"/>
                <w:color w:val="auto"/>
                <w:sz w:val="24"/>
                <w:szCs w:val="24"/>
                <w:highlight w:val="none"/>
                <w:lang w:val="en-US" w:eastAsia="zh-CN"/>
              </w:rPr>
              <w:t>35</w:t>
            </w:r>
            <w:r>
              <w:rPr>
                <w:rFonts w:hint="eastAsia"/>
                <w:color w:val="auto"/>
                <w:sz w:val="24"/>
                <w:szCs w:val="24"/>
                <w:highlight w:val="none"/>
              </w:rPr>
              <w:t>mm,凸高5mm，不妨碍学生书写。最大程度满足学生需要。面板底部有強化承重设计，鑲入</w:t>
            </w:r>
            <w:r>
              <w:rPr>
                <w:rFonts w:hint="eastAsia"/>
                <w:color w:val="auto"/>
                <w:sz w:val="24"/>
                <w:szCs w:val="24"/>
                <w:highlight w:val="none"/>
                <w:lang w:eastAsia="zh-CN"/>
              </w:rPr>
              <w:t>一</w:t>
            </w:r>
            <w:r>
              <w:rPr>
                <w:rFonts w:hint="eastAsia"/>
                <w:color w:val="auto"/>
                <w:sz w:val="24"/>
                <w:szCs w:val="24"/>
                <w:highlight w:val="none"/>
              </w:rPr>
              <w:t>支扁钢。</w:t>
            </w:r>
            <w:r>
              <w:rPr>
                <w:rFonts w:hint="eastAsia" w:ascii="宋体" w:hAnsi="宋体" w:eastAsia="宋体" w:cs="宋体"/>
                <w:color w:val="auto"/>
                <w:sz w:val="24"/>
                <w:szCs w:val="24"/>
                <w:highlight w:val="none"/>
                <w:lang w:val="en-US" w:eastAsia="zh-CN"/>
              </w:rPr>
              <w:t>质量要求：提供具有CMA的桌面抗菌、防霉性能的检测报告，检验项目包含但不限于：抗菌性能：恶臭假单胞菌：抑菌率&gt;99%、金黄色葡萄球菌：抑菌率&gt;99%；防霉效果评估：杂色曲霉、黑曲霉防霉等级均0级；</w:t>
            </w:r>
            <w:r>
              <w:rPr>
                <w:rFonts w:hint="eastAsia" w:ascii="宋体" w:hAnsi="宋体" w:eastAsia="宋体" w:cs="宋体"/>
                <w:b/>
                <w:bCs/>
                <w:color w:val="auto"/>
                <w:sz w:val="24"/>
                <w:szCs w:val="24"/>
                <w:highlight w:val="none"/>
                <w:lang w:val="en-US" w:eastAsia="zh-CN"/>
              </w:rPr>
              <w:t>一年度内</w:t>
            </w:r>
            <w:r>
              <w:rPr>
                <w:rFonts w:hint="eastAsia" w:ascii="宋体" w:hAnsi="宋体" w:eastAsia="宋体" w:cs="宋体"/>
                <w:color w:val="auto"/>
                <w:sz w:val="24"/>
                <w:szCs w:val="24"/>
                <w:highlight w:val="none"/>
                <w:lang w:val="en-US" w:eastAsia="zh-CN"/>
              </w:rPr>
              <w:t>检验报告可进行二维码验证基础信息，并附认监委查询真伪截图</w:t>
            </w:r>
          </w:p>
          <w:p w14:paraId="1A9D1095">
            <w:pPr>
              <w:widowControl/>
              <w:jc w:val="left"/>
              <w:rPr>
                <w:rFonts w:hint="eastAsia" w:ascii="宋体" w:eastAsia="宋体"/>
                <w:color w:val="auto"/>
                <w:sz w:val="24"/>
                <w:szCs w:val="24"/>
                <w:highlight w:val="none"/>
                <w:lang w:eastAsia="zh-CN"/>
              </w:rPr>
            </w:pPr>
            <w:r>
              <w:rPr>
                <w:rFonts w:hint="eastAsia" w:ascii="宋体" w:hAnsi="宋体"/>
                <w:color w:val="auto"/>
                <w:sz w:val="24"/>
                <w:szCs w:val="24"/>
                <w:highlight w:val="none"/>
              </w:rPr>
              <w:t>桌斗规格</w:t>
            </w:r>
            <w:r>
              <w:rPr>
                <w:rFonts w:hint="eastAsia" w:ascii="宋体" w:hAnsi="宋体"/>
                <w:color w:val="auto"/>
                <w:sz w:val="24"/>
                <w:szCs w:val="24"/>
                <w:highlight w:val="none"/>
                <w:lang w:eastAsia="zh-CN"/>
              </w:rPr>
              <w:t>：</w:t>
            </w:r>
            <w:r>
              <w:rPr>
                <w:rFonts w:hint="eastAsia"/>
                <w:color w:val="auto"/>
                <w:sz w:val="24"/>
                <w:szCs w:val="24"/>
                <w:highlight w:val="none"/>
              </w:rPr>
              <w:t>书斗采用PP耐冲击塑料一体射出成型，外径尺寸为</w:t>
            </w:r>
            <w:r>
              <w:rPr>
                <w:rFonts w:hint="eastAsia"/>
                <w:color w:val="auto"/>
                <w:sz w:val="24"/>
                <w:szCs w:val="24"/>
                <w:highlight w:val="none"/>
                <w:lang w:val="en-US" w:eastAsia="zh-CN"/>
              </w:rPr>
              <w:t>604mm*420*150</w:t>
            </w:r>
            <w:r>
              <w:rPr>
                <w:rFonts w:hint="eastAsia"/>
                <w:color w:val="auto"/>
                <w:sz w:val="24"/>
                <w:szCs w:val="24"/>
                <w:highlight w:val="none"/>
              </w:rPr>
              <w:t>mm；书箱底部有排水槽缝之设计，不低于</w:t>
            </w:r>
            <w:r>
              <w:rPr>
                <w:rFonts w:hint="eastAsia"/>
                <w:color w:val="auto"/>
                <w:sz w:val="24"/>
                <w:szCs w:val="24"/>
                <w:highlight w:val="none"/>
                <w:lang w:val="en-US" w:eastAsia="zh-CN"/>
              </w:rPr>
              <w:t>40</w:t>
            </w:r>
            <w:r>
              <w:rPr>
                <w:rFonts w:hint="eastAsia"/>
                <w:color w:val="auto"/>
                <w:sz w:val="24"/>
                <w:szCs w:val="24"/>
                <w:highlight w:val="none"/>
              </w:rPr>
              <w:t>条排水槽缝。</w:t>
            </w:r>
            <w:r>
              <w:rPr>
                <w:rFonts w:hint="eastAsia"/>
                <w:color w:val="auto"/>
                <w:sz w:val="24"/>
                <w:szCs w:val="24"/>
                <w:highlight w:val="none"/>
                <w:lang w:eastAsia="zh-CN"/>
              </w:rPr>
              <w:t>两侧带固定书包勾，</w:t>
            </w:r>
            <w:r>
              <w:rPr>
                <w:rFonts w:hint="eastAsia" w:ascii="宋体" w:hAnsi="宋体" w:eastAsia="宋体" w:cs="宋体"/>
                <w:b/>
                <w:bCs/>
                <w:color w:val="auto"/>
                <w:sz w:val="24"/>
                <w:szCs w:val="24"/>
                <w:highlight w:val="none"/>
                <w:lang w:val="en-US" w:eastAsia="zh-CN"/>
              </w:rPr>
              <w:t>质量要求：提供</w:t>
            </w:r>
            <w:r>
              <w:rPr>
                <w:rFonts w:hint="eastAsia" w:ascii="宋体" w:hAnsi="宋体" w:eastAsia="宋体" w:cs="宋体"/>
                <w:b/>
                <w:bCs/>
                <w:color w:val="auto"/>
                <w:kern w:val="0"/>
                <w:sz w:val="24"/>
                <w:szCs w:val="24"/>
                <w:highlight w:val="none"/>
                <w:lang w:val="en-US" w:eastAsia="zh-CN"/>
              </w:rPr>
              <w:t>塑料书斗</w:t>
            </w:r>
            <w:r>
              <w:rPr>
                <w:rFonts w:hint="eastAsia" w:ascii="宋体" w:hAnsi="宋体" w:eastAsia="宋体" w:cs="宋体"/>
                <w:b/>
                <w:bCs/>
                <w:color w:val="auto"/>
                <w:sz w:val="24"/>
                <w:szCs w:val="24"/>
                <w:highlight w:val="none"/>
                <w:lang w:val="en-US" w:eastAsia="zh-CN"/>
              </w:rPr>
              <w:t>的由带 CMA 资质的检验检测机构出具的产品符</w:t>
            </w:r>
            <w:r>
              <w:rPr>
                <w:rFonts w:hint="eastAsia" w:ascii="宋体" w:hAnsi="宋体" w:eastAsia="宋体" w:cs="宋体"/>
                <w:b/>
                <w:bCs/>
                <w:color w:val="auto"/>
                <w:kern w:val="0"/>
                <w:sz w:val="24"/>
                <w:szCs w:val="24"/>
                <w:highlight w:val="none"/>
              </w:rPr>
              <w:t>符合GB-28481-2012《塑料家具中有害物质限量》其中邻苯二甲酸脂不高于0.1％，</w:t>
            </w:r>
            <w:r>
              <w:rPr>
                <w:rFonts w:hint="eastAsia" w:ascii="宋体" w:hAnsi="宋体" w:eastAsia="宋体" w:cs="宋体"/>
                <w:b/>
                <w:bCs/>
                <w:color w:val="auto"/>
                <w:kern w:val="0"/>
                <w:sz w:val="24"/>
                <w:szCs w:val="24"/>
                <w:highlight w:val="none"/>
                <w:lang w:val="en-US" w:eastAsia="zh-Hans"/>
              </w:rPr>
              <w:t>重金属可溶性铅不高于</w:t>
            </w:r>
            <w:r>
              <w:rPr>
                <w:rFonts w:hint="eastAsia" w:ascii="宋体" w:hAnsi="宋体" w:eastAsia="宋体" w:cs="宋体"/>
                <w:b/>
                <w:bCs/>
                <w:color w:val="auto"/>
                <w:kern w:val="0"/>
                <w:sz w:val="24"/>
                <w:szCs w:val="24"/>
                <w:highlight w:val="none"/>
                <w:lang w:eastAsia="zh-Hans"/>
              </w:rPr>
              <w:t>90</w:t>
            </w:r>
            <w:r>
              <w:rPr>
                <w:rFonts w:hint="eastAsia" w:ascii="宋体" w:hAnsi="宋体" w:eastAsia="宋体" w:cs="宋体"/>
                <w:b/>
                <w:bCs/>
                <w:color w:val="auto"/>
                <w:kern w:val="0"/>
                <w:sz w:val="24"/>
                <w:szCs w:val="24"/>
                <w:highlight w:val="none"/>
                <w:lang w:val="en-US" w:eastAsia="zh-Hans"/>
              </w:rPr>
              <w:t>mg</w:t>
            </w:r>
            <w:r>
              <w:rPr>
                <w:rFonts w:hint="eastAsia" w:ascii="宋体" w:hAnsi="宋体" w:eastAsia="宋体" w:cs="宋体"/>
                <w:b/>
                <w:bCs/>
                <w:color w:val="auto"/>
                <w:kern w:val="0"/>
                <w:sz w:val="24"/>
                <w:szCs w:val="24"/>
                <w:highlight w:val="none"/>
                <w:lang w:eastAsia="zh-Hans"/>
              </w:rPr>
              <w:t>/kg,</w:t>
            </w:r>
            <w:r>
              <w:rPr>
                <w:rFonts w:hint="eastAsia" w:ascii="宋体" w:hAnsi="宋体" w:eastAsia="宋体" w:cs="宋体"/>
                <w:b/>
                <w:bCs/>
                <w:color w:val="auto"/>
                <w:kern w:val="0"/>
                <w:sz w:val="24"/>
                <w:szCs w:val="24"/>
                <w:highlight w:val="none"/>
                <w:lang w:val="en-US" w:eastAsia="zh-Hans"/>
              </w:rPr>
              <w:t>可溶性铬不高于</w:t>
            </w:r>
            <w:r>
              <w:rPr>
                <w:rFonts w:hint="eastAsia" w:ascii="宋体" w:hAnsi="宋体" w:eastAsia="宋体" w:cs="宋体"/>
                <w:b/>
                <w:bCs/>
                <w:color w:val="auto"/>
                <w:kern w:val="0"/>
                <w:sz w:val="24"/>
                <w:szCs w:val="24"/>
                <w:highlight w:val="none"/>
                <w:lang w:eastAsia="zh-Hans"/>
              </w:rPr>
              <w:t>60</w:t>
            </w:r>
            <w:r>
              <w:rPr>
                <w:rFonts w:hint="eastAsia" w:ascii="宋体" w:hAnsi="宋体" w:eastAsia="宋体" w:cs="宋体"/>
                <w:b/>
                <w:bCs/>
                <w:color w:val="auto"/>
                <w:kern w:val="0"/>
                <w:sz w:val="24"/>
                <w:szCs w:val="24"/>
                <w:highlight w:val="none"/>
                <w:lang w:val="en-US" w:eastAsia="zh-Hans"/>
              </w:rPr>
              <w:t>mg</w:t>
            </w:r>
            <w:r>
              <w:rPr>
                <w:rFonts w:hint="eastAsia" w:ascii="宋体" w:hAnsi="宋体" w:eastAsia="宋体" w:cs="宋体"/>
                <w:b/>
                <w:bCs/>
                <w:color w:val="auto"/>
                <w:kern w:val="0"/>
                <w:sz w:val="24"/>
                <w:szCs w:val="24"/>
                <w:highlight w:val="none"/>
                <w:lang w:eastAsia="zh-Hans"/>
              </w:rPr>
              <w:t>/kg,</w:t>
            </w:r>
            <w:r>
              <w:rPr>
                <w:rFonts w:hint="eastAsia" w:ascii="宋体" w:hAnsi="宋体" w:eastAsia="宋体" w:cs="宋体"/>
                <w:b/>
                <w:bCs/>
                <w:color w:val="auto"/>
                <w:kern w:val="0"/>
                <w:sz w:val="24"/>
                <w:szCs w:val="24"/>
                <w:highlight w:val="none"/>
              </w:rPr>
              <w:t>重金属可溶性镉</w:t>
            </w:r>
            <w:r>
              <w:rPr>
                <w:rFonts w:hint="eastAsia" w:ascii="宋体" w:hAnsi="宋体" w:eastAsia="宋体" w:cs="宋体"/>
                <w:b/>
                <w:bCs/>
                <w:color w:val="auto"/>
                <w:kern w:val="0"/>
                <w:sz w:val="24"/>
                <w:szCs w:val="24"/>
                <w:highlight w:val="none"/>
                <w:lang w:eastAsia="zh-CN"/>
              </w:rPr>
              <w:t>不高于</w:t>
            </w:r>
            <w:r>
              <w:rPr>
                <w:rFonts w:hint="eastAsia" w:ascii="宋体" w:hAnsi="宋体" w:eastAsia="宋体" w:cs="宋体"/>
                <w:b/>
                <w:bCs/>
                <w:color w:val="auto"/>
                <w:kern w:val="0"/>
                <w:sz w:val="24"/>
                <w:szCs w:val="24"/>
                <w:highlight w:val="none"/>
                <w:lang w:val="en-US" w:eastAsia="zh-CN"/>
              </w:rPr>
              <w:t>75</w:t>
            </w:r>
            <w:r>
              <w:rPr>
                <w:rFonts w:hint="eastAsia" w:ascii="宋体" w:hAnsi="宋体" w:eastAsia="宋体" w:cs="宋体"/>
                <w:b/>
                <w:bCs/>
                <w:color w:val="auto"/>
                <w:kern w:val="0"/>
                <w:sz w:val="24"/>
                <w:szCs w:val="24"/>
                <w:highlight w:val="none"/>
                <w:lang w:val="en-US" w:eastAsia="zh-Hans"/>
              </w:rPr>
              <w:t>mg</w:t>
            </w:r>
            <w:r>
              <w:rPr>
                <w:rFonts w:hint="eastAsia" w:ascii="宋体" w:hAnsi="宋体" w:eastAsia="宋体" w:cs="宋体"/>
                <w:b/>
                <w:bCs/>
                <w:color w:val="auto"/>
                <w:kern w:val="0"/>
                <w:sz w:val="24"/>
                <w:szCs w:val="24"/>
                <w:highlight w:val="none"/>
                <w:lang w:eastAsia="zh-Hans"/>
              </w:rPr>
              <w:t>/kg</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可溶性</w:t>
            </w:r>
            <w:r>
              <w:rPr>
                <w:rFonts w:hint="eastAsia" w:ascii="宋体" w:hAnsi="宋体" w:eastAsia="宋体" w:cs="宋体"/>
                <w:b/>
                <w:bCs/>
                <w:color w:val="auto"/>
                <w:kern w:val="0"/>
                <w:sz w:val="24"/>
                <w:szCs w:val="24"/>
                <w:highlight w:val="none"/>
              </w:rPr>
              <w:t>汞</w:t>
            </w:r>
            <w:r>
              <w:rPr>
                <w:rFonts w:hint="eastAsia" w:ascii="宋体" w:hAnsi="宋体" w:eastAsia="宋体" w:cs="宋体"/>
                <w:b/>
                <w:bCs/>
                <w:color w:val="auto"/>
                <w:kern w:val="0"/>
                <w:sz w:val="24"/>
                <w:szCs w:val="24"/>
                <w:highlight w:val="none"/>
                <w:lang w:val="en-US" w:eastAsia="zh-Hans"/>
              </w:rPr>
              <w:t>不高于</w:t>
            </w:r>
            <w:r>
              <w:rPr>
                <w:rFonts w:hint="eastAsia" w:ascii="宋体" w:hAnsi="宋体" w:eastAsia="宋体" w:cs="宋体"/>
                <w:b/>
                <w:bCs/>
                <w:color w:val="auto"/>
                <w:kern w:val="0"/>
                <w:sz w:val="24"/>
                <w:szCs w:val="24"/>
                <w:highlight w:val="none"/>
                <w:lang w:eastAsia="zh-Hans"/>
              </w:rPr>
              <w:t>60</w:t>
            </w:r>
            <w:r>
              <w:rPr>
                <w:rFonts w:hint="eastAsia" w:ascii="宋体" w:hAnsi="宋体" w:eastAsia="宋体" w:cs="宋体"/>
                <w:b/>
                <w:bCs/>
                <w:color w:val="auto"/>
                <w:kern w:val="0"/>
                <w:sz w:val="24"/>
                <w:szCs w:val="24"/>
                <w:highlight w:val="none"/>
                <w:lang w:val="en-US" w:eastAsia="zh-Hans"/>
              </w:rPr>
              <w:t>mg</w:t>
            </w:r>
            <w:r>
              <w:rPr>
                <w:rFonts w:hint="eastAsia" w:ascii="宋体" w:hAnsi="宋体" w:eastAsia="宋体" w:cs="宋体"/>
                <w:b/>
                <w:bCs/>
                <w:color w:val="auto"/>
                <w:kern w:val="0"/>
                <w:sz w:val="24"/>
                <w:szCs w:val="24"/>
                <w:highlight w:val="none"/>
                <w:lang w:eastAsia="zh-Hans"/>
              </w:rPr>
              <w:t>/kg</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sz w:val="24"/>
                <w:szCs w:val="24"/>
                <w:highlight w:val="none"/>
                <w:lang w:val="en-US" w:eastAsia="zh-CN"/>
              </w:rPr>
              <w:t>的标准要求的一年度内检测报告。检验报告可进行二维码验证基础信息</w:t>
            </w:r>
          </w:p>
          <w:p w14:paraId="456E1AA3">
            <w:pPr>
              <w:widowControl/>
              <w:jc w:val="left"/>
              <w:rPr>
                <w:rFonts w:ascii="宋体"/>
                <w:color w:val="auto"/>
                <w:sz w:val="24"/>
                <w:szCs w:val="24"/>
                <w:highlight w:val="none"/>
              </w:rPr>
            </w:pPr>
            <w:r>
              <w:rPr>
                <w:rFonts w:hint="eastAsia" w:ascii="宋体" w:hAnsi="宋体"/>
                <w:color w:val="auto"/>
                <w:sz w:val="24"/>
                <w:szCs w:val="24"/>
                <w:highlight w:val="none"/>
              </w:rPr>
              <w:t>桌架</w:t>
            </w:r>
            <w:r>
              <w:rPr>
                <w:rFonts w:hint="eastAsia" w:ascii="宋体" w:hAnsi="宋体"/>
                <w:color w:val="auto"/>
                <w:sz w:val="24"/>
                <w:szCs w:val="24"/>
                <w:highlight w:val="none"/>
                <w:lang w:eastAsia="zh-CN"/>
              </w:rPr>
              <w:t>：</w:t>
            </w:r>
            <w:r>
              <w:rPr>
                <w:rFonts w:hint="eastAsia" w:ascii="宋体" w:hAnsi="宋体"/>
                <w:color w:val="auto"/>
                <w:sz w:val="24"/>
                <w:szCs w:val="24"/>
                <w:highlight w:val="none"/>
              </w:rPr>
              <w:t>桌腿立柱管采用≥</w:t>
            </w:r>
            <w:r>
              <w:rPr>
                <w:rFonts w:hint="eastAsia" w:ascii="宋体" w:hAnsi="宋体"/>
                <w:color w:val="auto"/>
                <w:sz w:val="24"/>
                <w:szCs w:val="24"/>
                <w:highlight w:val="none"/>
                <w:lang w:val="en-US" w:eastAsia="zh-CN"/>
              </w:rPr>
              <w:t>60</w:t>
            </w:r>
            <w:r>
              <w:rPr>
                <w:rFonts w:ascii="宋体" w:hAnsi="宋体"/>
                <w:color w:val="auto"/>
                <w:sz w:val="24"/>
                <w:szCs w:val="24"/>
                <w:highlight w:val="none"/>
              </w:rPr>
              <w:t>mm</w:t>
            </w:r>
            <w:r>
              <w:rPr>
                <w:rFonts w:hint="eastAsia" w:ascii="宋体" w:hAnsi="宋体"/>
                <w:color w:val="auto"/>
                <w:sz w:val="24"/>
                <w:szCs w:val="24"/>
                <w:highlight w:val="none"/>
              </w:rPr>
              <w:t>×</w:t>
            </w:r>
            <w:r>
              <w:rPr>
                <w:rFonts w:ascii="宋体" w:hAnsi="宋体"/>
                <w:color w:val="auto"/>
                <w:sz w:val="24"/>
                <w:szCs w:val="24"/>
                <w:highlight w:val="none"/>
              </w:rPr>
              <w:t>30mm</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mm</w:t>
            </w:r>
            <w:r>
              <w:rPr>
                <w:rFonts w:hint="eastAsia" w:ascii="宋体" w:hAnsi="宋体"/>
                <w:color w:val="auto"/>
                <w:sz w:val="24"/>
                <w:szCs w:val="24"/>
                <w:highlight w:val="none"/>
              </w:rPr>
              <w:t>的椭圆钢管。升降管采用≥2</w:t>
            </w:r>
            <w:r>
              <w:rPr>
                <w:rFonts w:hint="eastAsia" w:ascii="宋体" w:hAnsi="宋体"/>
                <w:color w:val="auto"/>
                <w:sz w:val="24"/>
                <w:szCs w:val="24"/>
                <w:highlight w:val="none"/>
                <w:lang w:val="en-US" w:eastAsia="zh-CN"/>
              </w:rPr>
              <w:t>0</w:t>
            </w:r>
            <w:r>
              <w:rPr>
                <w:rFonts w:ascii="宋体" w:hAnsi="宋体"/>
                <w:color w:val="auto"/>
                <w:sz w:val="24"/>
                <w:szCs w:val="24"/>
                <w:highlight w:val="none"/>
              </w:rPr>
              <w:t>mm</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50</w:t>
            </w:r>
            <w:r>
              <w:rPr>
                <w:rFonts w:ascii="宋体" w:hAnsi="宋体"/>
                <w:color w:val="auto"/>
                <w:sz w:val="24"/>
                <w:szCs w:val="24"/>
                <w:highlight w:val="none"/>
              </w:rPr>
              <w:t>mm</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mm</w:t>
            </w:r>
            <w:r>
              <w:rPr>
                <w:rFonts w:hint="eastAsia" w:ascii="宋体" w:hAnsi="宋体"/>
                <w:color w:val="auto"/>
                <w:sz w:val="24"/>
                <w:szCs w:val="24"/>
                <w:highlight w:val="none"/>
              </w:rPr>
              <w:t>的椭圆钢管，桌脚采用≥</w:t>
            </w:r>
            <w:r>
              <w:rPr>
                <w:rFonts w:hint="eastAsia" w:ascii="宋体" w:hAnsi="宋体"/>
                <w:color w:val="auto"/>
                <w:sz w:val="24"/>
                <w:szCs w:val="24"/>
                <w:highlight w:val="none"/>
                <w:lang w:val="en-US" w:eastAsia="zh-CN"/>
              </w:rPr>
              <w:t>30</w:t>
            </w:r>
            <w:r>
              <w:rPr>
                <w:rFonts w:ascii="宋体" w:hAnsi="宋体"/>
                <w:color w:val="auto"/>
                <w:sz w:val="24"/>
                <w:szCs w:val="24"/>
                <w:highlight w:val="none"/>
              </w:rPr>
              <w:t>mm</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60</w:t>
            </w:r>
            <w:r>
              <w:rPr>
                <w:rFonts w:ascii="宋体" w:hAnsi="宋体"/>
                <w:color w:val="auto"/>
                <w:sz w:val="24"/>
                <w:szCs w:val="24"/>
                <w:highlight w:val="none"/>
              </w:rPr>
              <w:t>mm</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lang w:val="en-US" w:eastAsia="zh-CN"/>
              </w:rPr>
              <w:t>2</w:t>
            </w:r>
            <w:r>
              <w:rPr>
                <w:rFonts w:ascii="宋体" w:hAnsi="宋体"/>
                <w:color w:val="auto"/>
                <w:sz w:val="24"/>
                <w:szCs w:val="24"/>
                <w:highlight w:val="none"/>
              </w:rPr>
              <w:t>mm</w:t>
            </w:r>
            <w:r>
              <w:rPr>
                <w:rFonts w:hint="eastAsia" w:ascii="宋体" w:hAnsi="宋体"/>
                <w:color w:val="auto"/>
                <w:sz w:val="24"/>
                <w:szCs w:val="24"/>
                <w:highlight w:val="none"/>
              </w:rPr>
              <w:t>的椭圆钢管，升降管采用拉伸攻丝螺母连接，</w:t>
            </w:r>
            <w:r>
              <w:rPr>
                <w:rFonts w:hint="eastAsia" w:ascii="宋体" w:hAnsi="宋体"/>
                <w:color w:val="auto"/>
                <w:sz w:val="24"/>
                <w:szCs w:val="24"/>
                <w:highlight w:val="none"/>
                <w:lang w:eastAsia="zh-CN"/>
              </w:rPr>
              <w:t>桌架上叉采用优质</w:t>
            </w:r>
            <w:r>
              <w:rPr>
                <w:rFonts w:hint="eastAsia" w:ascii="宋体" w:hAnsi="宋体"/>
                <w:color w:val="auto"/>
                <w:sz w:val="24"/>
                <w:szCs w:val="24"/>
                <w:highlight w:val="none"/>
                <w:lang w:val="en-US" w:eastAsia="zh-CN"/>
              </w:rPr>
              <w:t>20*40的椭圆</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各焊接处光滑平整无虚焊现象。</w:t>
            </w:r>
            <w:r>
              <w:rPr>
                <w:rFonts w:hint="eastAsia" w:ascii="宋体" w:hAnsi="宋体" w:eastAsia="宋体" w:cs="宋体"/>
                <w:color w:val="auto"/>
                <w:sz w:val="24"/>
                <w:szCs w:val="24"/>
                <w:highlight w:val="none"/>
                <w:lang w:val="en-US" w:eastAsia="zh-CN"/>
              </w:rPr>
              <w:t>质量要求：提供钢管的由带</w:t>
            </w:r>
            <w:r>
              <w:rPr>
                <w:rFonts w:ascii="宋体" w:hAnsi="宋体" w:eastAsia="宋体" w:cs="宋体"/>
                <w:color w:val="auto"/>
                <w:sz w:val="24"/>
                <w:szCs w:val="24"/>
                <w:highlight w:val="none"/>
              </w:rPr>
              <w:t>CMA 资质的检验检测机构</w:t>
            </w:r>
            <w:r>
              <w:rPr>
                <w:rFonts w:hint="eastAsia" w:ascii="宋体" w:hAnsi="宋体" w:eastAsia="宋体" w:cs="宋体"/>
                <w:color w:val="auto"/>
                <w:sz w:val="24"/>
                <w:szCs w:val="24"/>
                <w:highlight w:val="none"/>
                <w:lang w:val="en-US" w:eastAsia="zh-CN"/>
              </w:rPr>
              <w:t>出具的产品符合GB/T 3325-2017 《金属家具通用技术条件》的标准要求的2024年度检测报告。</w:t>
            </w:r>
          </w:p>
          <w:p w14:paraId="5938D936">
            <w:pPr>
              <w:widowControl/>
              <w:jc w:val="left"/>
              <w:rPr>
                <w:rFonts w:ascii="宋体"/>
                <w:color w:val="auto"/>
                <w:sz w:val="24"/>
                <w:szCs w:val="24"/>
                <w:highlight w:val="none"/>
              </w:rPr>
            </w:pPr>
            <w:r>
              <w:rPr>
                <w:rFonts w:hint="eastAsia" w:ascii="宋体" w:hAnsi="宋体"/>
                <w:color w:val="auto"/>
                <w:sz w:val="24"/>
                <w:szCs w:val="24"/>
                <w:highlight w:val="none"/>
              </w:rPr>
              <w:t>升降</w:t>
            </w:r>
            <w:r>
              <w:rPr>
                <w:rFonts w:hint="eastAsia" w:ascii="宋体" w:hAnsi="宋体"/>
                <w:color w:val="auto"/>
                <w:sz w:val="24"/>
                <w:szCs w:val="24"/>
                <w:highlight w:val="none"/>
                <w:lang w:eastAsia="zh-CN"/>
              </w:rPr>
              <w:t>：</w:t>
            </w:r>
            <w:r>
              <w:rPr>
                <w:rFonts w:hint="eastAsia" w:ascii="宋体" w:hAnsi="宋体"/>
                <w:color w:val="auto"/>
                <w:sz w:val="24"/>
                <w:szCs w:val="24"/>
                <w:highlight w:val="none"/>
              </w:rPr>
              <w:t>升降接口采用内塞式全新</w:t>
            </w:r>
            <w:r>
              <w:rPr>
                <w:rFonts w:hint="eastAsia" w:ascii="宋体" w:hAnsi="宋体"/>
                <w:color w:val="auto"/>
                <w:sz w:val="24"/>
                <w:szCs w:val="24"/>
                <w:highlight w:val="none"/>
                <w:lang w:val="en-US" w:eastAsia="zh-CN"/>
              </w:rPr>
              <w:t>pp</w:t>
            </w:r>
            <w:r>
              <w:rPr>
                <w:rFonts w:hint="eastAsia" w:ascii="宋体" w:hAnsi="宋体"/>
                <w:color w:val="auto"/>
                <w:sz w:val="24"/>
                <w:szCs w:val="24"/>
                <w:highlight w:val="none"/>
              </w:rPr>
              <w:t>工程塑料一次注塑成型封头，接口结合紧密，无摇晃。采用高强度圆头螺栓连接</w:t>
            </w:r>
            <w:r>
              <w:rPr>
                <w:rFonts w:hint="eastAsia" w:ascii="宋体" w:hAnsi="宋体"/>
                <w:color w:val="auto"/>
                <w:sz w:val="24"/>
                <w:szCs w:val="24"/>
                <w:highlight w:val="none"/>
                <w:lang w:eastAsia="zh-CN"/>
              </w:rPr>
              <w:t>穿过升降塑料件，防止套件脱落</w:t>
            </w:r>
            <w:r>
              <w:rPr>
                <w:rFonts w:hint="eastAsia" w:ascii="宋体" w:hAnsi="宋体"/>
                <w:color w:val="auto"/>
                <w:sz w:val="24"/>
                <w:szCs w:val="24"/>
                <w:highlight w:val="none"/>
              </w:rPr>
              <w:t>。</w:t>
            </w:r>
          </w:p>
          <w:p w14:paraId="614A34B3">
            <w:pPr>
              <w:widowControl/>
              <w:jc w:val="left"/>
              <w:rPr>
                <w:rFonts w:ascii="宋体"/>
                <w:color w:val="auto"/>
                <w:sz w:val="24"/>
                <w:szCs w:val="24"/>
                <w:highlight w:val="none"/>
              </w:rPr>
            </w:pPr>
            <w:r>
              <w:rPr>
                <w:rFonts w:hint="eastAsia" w:ascii="宋体" w:hAnsi="宋体"/>
                <w:color w:val="auto"/>
                <w:sz w:val="24"/>
                <w:szCs w:val="24"/>
                <w:highlight w:val="none"/>
              </w:rPr>
              <w:t>脚套</w:t>
            </w:r>
            <w:r>
              <w:rPr>
                <w:rFonts w:hint="eastAsia" w:ascii="宋体" w:hAnsi="宋体"/>
                <w:color w:val="auto"/>
                <w:sz w:val="24"/>
                <w:szCs w:val="24"/>
                <w:highlight w:val="none"/>
                <w:lang w:eastAsia="zh-CN"/>
              </w:rPr>
              <w:t>：</w:t>
            </w:r>
            <w:r>
              <w:rPr>
                <w:rFonts w:hint="eastAsia" w:ascii="宋体" w:hAnsi="宋体"/>
                <w:color w:val="auto"/>
                <w:sz w:val="24"/>
                <w:szCs w:val="24"/>
                <w:highlight w:val="none"/>
              </w:rPr>
              <w:t>采用全新</w:t>
            </w:r>
            <w:r>
              <w:rPr>
                <w:rFonts w:hint="eastAsia" w:ascii="宋体" w:hAnsi="宋体"/>
                <w:color w:val="auto"/>
                <w:sz w:val="24"/>
                <w:szCs w:val="24"/>
                <w:highlight w:val="none"/>
                <w:lang w:val="en-US" w:eastAsia="zh-CN"/>
              </w:rPr>
              <w:t>pp</w:t>
            </w:r>
            <w:r>
              <w:rPr>
                <w:rFonts w:hint="eastAsia" w:ascii="宋体" w:hAnsi="宋体"/>
                <w:color w:val="auto"/>
                <w:sz w:val="24"/>
                <w:szCs w:val="24"/>
                <w:highlight w:val="none"/>
              </w:rPr>
              <w:t>工程塑料一次注塑成型，</w:t>
            </w:r>
            <w:r>
              <w:rPr>
                <w:rFonts w:hint="eastAsia" w:ascii="宋体" w:hAnsi="宋体"/>
                <w:color w:val="auto"/>
                <w:sz w:val="24"/>
                <w:szCs w:val="24"/>
                <w:highlight w:val="none"/>
                <w:lang w:eastAsia="zh-CN"/>
              </w:rPr>
              <w:t>胶套尺寸</w:t>
            </w:r>
            <w:r>
              <w:rPr>
                <w:rFonts w:hint="eastAsia" w:ascii="宋体" w:hAnsi="宋体"/>
                <w:color w:val="auto"/>
                <w:sz w:val="24"/>
                <w:szCs w:val="24"/>
                <w:highlight w:val="none"/>
                <w:lang w:val="en-US" w:eastAsia="zh-CN"/>
              </w:rPr>
              <w:t>45mm*71mm*104mm，</w:t>
            </w:r>
            <w:r>
              <w:rPr>
                <w:rFonts w:hint="eastAsia" w:ascii="宋体" w:hAnsi="宋体"/>
                <w:color w:val="auto"/>
                <w:sz w:val="24"/>
                <w:szCs w:val="24"/>
                <w:highlight w:val="none"/>
              </w:rPr>
              <w:t>采用</w:t>
            </w:r>
            <w:r>
              <w:rPr>
                <w:rFonts w:hint="eastAsia" w:ascii="宋体" w:hAnsi="宋体"/>
                <w:color w:val="auto"/>
                <w:sz w:val="24"/>
                <w:szCs w:val="24"/>
                <w:highlight w:val="none"/>
                <w:lang w:eastAsia="zh-CN"/>
              </w:rPr>
              <w:t>自锁</w:t>
            </w:r>
            <w:r>
              <w:rPr>
                <w:rFonts w:hint="eastAsia" w:ascii="宋体" w:hAnsi="宋体"/>
                <w:color w:val="auto"/>
                <w:sz w:val="24"/>
                <w:szCs w:val="24"/>
                <w:highlight w:val="none"/>
              </w:rPr>
              <w:t>固定，牢固耐磨。</w:t>
            </w:r>
            <w:r>
              <w:rPr>
                <w:rFonts w:hint="eastAsia" w:ascii="宋体" w:hAnsi="宋体" w:eastAsia="宋体" w:cs="宋体"/>
                <w:color w:val="auto"/>
                <w:spacing w:val="-8"/>
                <w:sz w:val="24"/>
                <w:szCs w:val="24"/>
                <w:highlight w:val="none"/>
              </w:rPr>
              <w:t>质量要求：提供由具有</w:t>
            </w:r>
            <w:r>
              <w:rPr>
                <w:rFonts w:ascii="宋体" w:hAnsi="宋体" w:eastAsia="宋体" w:cs="宋体"/>
                <w:color w:val="auto"/>
                <w:sz w:val="24"/>
                <w:szCs w:val="24"/>
                <w:highlight w:val="none"/>
              </w:rPr>
              <w:t>CMA 资质的检验检测机构</w:t>
            </w:r>
            <w:r>
              <w:rPr>
                <w:rFonts w:hint="eastAsia" w:ascii="宋体" w:hAnsi="宋体" w:eastAsia="宋体" w:cs="宋体"/>
                <w:color w:val="auto"/>
                <w:spacing w:val="-8"/>
                <w:sz w:val="24"/>
                <w:szCs w:val="24"/>
                <w:highlight w:val="none"/>
              </w:rPr>
              <w:t>出具的塑料</w:t>
            </w:r>
            <w:r>
              <w:rPr>
                <w:rFonts w:hint="eastAsia" w:ascii="宋体" w:hAnsi="宋体" w:eastAsia="宋体" w:cs="宋体"/>
                <w:color w:val="auto"/>
                <w:spacing w:val="-8"/>
                <w:sz w:val="24"/>
                <w:szCs w:val="24"/>
                <w:highlight w:val="none"/>
                <w:lang w:eastAsia="zh-CN"/>
              </w:rPr>
              <w:t>套件</w:t>
            </w:r>
            <w:r>
              <w:rPr>
                <w:rFonts w:hint="eastAsia" w:ascii="宋体" w:hAnsi="宋体" w:eastAsia="宋体" w:cs="宋体"/>
                <w:color w:val="auto"/>
                <w:spacing w:val="-8"/>
                <w:sz w:val="24"/>
                <w:szCs w:val="24"/>
                <w:highlight w:val="none"/>
              </w:rPr>
              <w:t>符合GB 28481-2012 《塑料家具中有害物质限量》的标准要求的2024年度检测报告，检验项目包含但不限于：邻苯二甲酸酯(DBP、BBP、DEHP、DNOP、DINP、DIDP)、重金属(可溶性铅、可溶性镉</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可溶性铬、可溶性汞)。检验报告可进行二维码验证基础信息。</w:t>
            </w:r>
          </w:p>
          <w:p w14:paraId="25F6DD15">
            <w:pPr>
              <w:widowControl/>
              <w:jc w:val="left"/>
              <w:rPr>
                <w:rFonts w:ascii="宋体" w:hAnsi="宋体"/>
                <w:color w:val="auto"/>
                <w:sz w:val="24"/>
                <w:szCs w:val="24"/>
                <w:highlight w:val="none"/>
              </w:rPr>
            </w:pPr>
            <w:r>
              <w:rPr>
                <w:rFonts w:hint="eastAsia" w:ascii="宋体" w:hAnsi="宋体"/>
                <w:color w:val="auto"/>
                <w:sz w:val="24"/>
                <w:szCs w:val="24"/>
                <w:highlight w:val="none"/>
              </w:rPr>
              <w:t>工艺</w:t>
            </w:r>
            <w:r>
              <w:rPr>
                <w:rFonts w:hint="eastAsia" w:ascii="宋体" w:hAnsi="宋体"/>
                <w:color w:val="auto"/>
                <w:sz w:val="24"/>
                <w:szCs w:val="24"/>
                <w:highlight w:val="none"/>
                <w:lang w:eastAsia="zh-CN"/>
              </w:rPr>
              <w:t>：</w:t>
            </w:r>
            <w:r>
              <w:rPr>
                <w:rFonts w:hint="eastAsia" w:ascii="宋体" w:hAnsi="宋体"/>
                <w:color w:val="auto"/>
                <w:sz w:val="24"/>
                <w:szCs w:val="24"/>
                <w:highlight w:val="none"/>
              </w:rPr>
              <w:t>钢材采用</w:t>
            </w:r>
            <w:r>
              <w:rPr>
                <w:rFonts w:ascii="宋体" w:hAnsi="宋体"/>
                <w:color w:val="auto"/>
                <w:sz w:val="24"/>
                <w:szCs w:val="24"/>
                <w:highlight w:val="none"/>
              </w:rPr>
              <w:t>CO₂</w:t>
            </w:r>
            <w:r>
              <w:rPr>
                <w:rFonts w:hint="eastAsia" w:ascii="宋体" w:hAnsi="宋体"/>
                <w:color w:val="auto"/>
                <w:sz w:val="24"/>
                <w:szCs w:val="24"/>
                <w:highlight w:val="none"/>
              </w:rPr>
              <w:t>保护焊焊接，表层采用酸洗、磷化、喷塑工艺处理，防止生锈，各焊接处光滑平整无突出。</w:t>
            </w:r>
          </w:p>
          <w:p w14:paraId="56C37805">
            <w:pPr>
              <w:widowControl/>
              <w:jc w:val="left"/>
              <w:rPr>
                <w:rFonts w:ascii="宋体"/>
                <w:color w:val="auto"/>
                <w:sz w:val="24"/>
                <w:szCs w:val="24"/>
                <w:highlight w:val="none"/>
              </w:rPr>
            </w:pPr>
            <w:r>
              <w:rPr>
                <w:rFonts w:hint="eastAsia" w:ascii="宋体" w:hAnsi="宋体"/>
                <w:color w:val="auto"/>
                <w:sz w:val="24"/>
                <w:szCs w:val="24"/>
                <w:highlight w:val="none"/>
              </w:rPr>
              <w:t>外观</w:t>
            </w:r>
            <w:r>
              <w:rPr>
                <w:rFonts w:hint="eastAsia" w:ascii="宋体" w:hAnsi="宋体"/>
                <w:color w:val="auto"/>
                <w:sz w:val="24"/>
                <w:szCs w:val="24"/>
                <w:highlight w:val="none"/>
                <w:lang w:eastAsia="zh-CN"/>
              </w:rPr>
              <w:t>：</w:t>
            </w:r>
            <w:r>
              <w:rPr>
                <w:rFonts w:hint="eastAsia" w:ascii="宋体" w:hAnsi="宋体"/>
                <w:color w:val="auto"/>
                <w:sz w:val="24"/>
                <w:szCs w:val="24"/>
                <w:highlight w:val="none"/>
              </w:rPr>
              <w:t>钢材表面涂层均匀牢固，无流挂、气泡等缺陷。塑料件表面平整、色彩均匀、有光泽。整体着色采用亮色搭配，美观大方，符合青少年身心发展特点。塑料件颜色一致无色差。桌架内侧无螺丝外露，防止挂蹭。</w:t>
            </w:r>
          </w:p>
          <w:p w14:paraId="7FE996F6">
            <w:pPr>
              <w:widowControl/>
              <w:jc w:val="left"/>
              <w:rPr>
                <w:rFonts w:ascii="宋体"/>
                <w:color w:val="auto"/>
                <w:sz w:val="24"/>
                <w:szCs w:val="24"/>
                <w:highlight w:val="none"/>
              </w:rPr>
            </w:pPr>
            <w:r>
              <w:rPr>
                <w:rFonts w:hint="eastAsia" w:ascii="宋体" w:hAnsi="宋体"/>
                <w:color w:val="auto"/>
                <w:sz w:val="24"/>
                <w:szCs w:val="24"/>
                <w:highlight w:val="none"/>
              </w:rPr>
              <w:t>整体规格</w:t>
            </w:r>
            <w:r>
              <w:rPr>
                <w:rFonts w:hint="eastAsia" w:ascii="宋体" w:hAnsi="宋体"/>
                <w:color w:val="auto"/>
                <w:sz w:val="24"/>
                <w:szCs w:val="24"/>
                <w:highlight w:val="none"/>
                <w:lang w:eastAsia="zh-CN"/>
              </w:rPr>
              <w:t>：</w:t>
            </w:r>
            <w:r>
              <w:rPr>
                <w:rFonts w:hint="eastAsia" w:ascii="宋体" w:hAnsi="宋体"/>
                <w:color w:val="auto"/>
                <w:sz w:val="24"/>
                <w:szCs w:val="24"/>
                <w:highlight w:val="none"/>
              </w:rPr>
              <w:t>椅背</w:t>
            </w:r>
            <w:r>
              <w:rPr>
                <w:rFonts w:hint="eastAsia" w:ascii="宋体" w:hAnsi="宋体"/>
                <w:color w:val="auto"/>
                <w:sz w:val="24"/>
                <w:szCs w:val="24"/>
                <w:highlight w:val="none"/>
                <w:lang w:val="en-US" w:eastAsia="zh-CN"/>
              </w:rPr>
              <w:t>434</w:t>
            </w:r>
            <w:r>
              <w:rPr>
                <w:rFonts w:hint="eastAsia" w:ascii="宋体" w:hAnsi="宋体"/>
                <w:color w:val="auto"/>
                <w:sz w:val="24"/>
                <w:szCs w:val="24"/>
                <w:highlight w:val="none"/>
              </w:rPr>
              <w:t>*33</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mm、椅座</w:t>
            </w:r>
            <w:r>
              <w:rPr>
                <w:rFonts w:hint="eastAsia" w:ascii="宋体" w:hAnsi="宋体"/>
                <w:color w:val="auto"/>
                <w:sz w:val="24"/>
                <w:szCs w:val="24"/>
                <w:highlight w:val="none"/>
                <w:lang w:val="en-US" w:eastAsia="zh-CN"/>
              </w:rPr>
              <w:t>425</w:t>
            </w: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0mm </w:t>
            </w:r>
            <w:r>
              <w:rPr>
                <w:rFonts w:hint="eastAsia" w:ascii="宋体" w:hAnsi="宋体"/>
                <w:color w:val="auto"/>
                <w:sz w:val="24"/>
                <w:szCs w:val="24"/>
                <w:highlight w:val="none"/>
                <w:lang w:val="en-US" w:eastAsia="zh-CN"/>
              </w:rPr>
              <w:t>,（±10mm）</w:t>
            </w:r>
            <w:r>
              <w:rPr>
                <w:rFonts w:hint="eastAsia" w:ascii="宋体" w:hAnsi="宋体"/>
                <w:color w:val="auto"/>
                <w:sz w:val="24"/>
                <w:szCs w:val="24"/>
                <w:highlight w:val="none"/>
              </w:rPr>
              <w:t>塑钢结构、可升降、单人课椅座</w:t>
            </w:r>
            <w:r>
              <w:rPr>
                <w:rFonts w:ascii="宋体" w:hAnsi="宋体"/>
                <w:color w:val="auto"/>
                <w:sz w:val="24"/>
                <w:szCs w:val="24"/>
                <w:highlight w:val="none"/>
              </w:rPr>
              <w:t>(</w:t>
            </w:r>
            <w:r>
              <w:rPr>
                <w:rFonts w:hint="eastAsia" w:ascii="宋体" w:hAnsi="宋体"/>
                <w:color w:val="auto"/>
                <w:sz w:val="24"/>
                <w:szCs w:val="24"/>
                <w:highlight w:val="none"/>
              </w:rPr>
              <w:t>高不超过</w:t>
            </w:r>
            <w:r>
              <w:rPr>
                <w:rFonts w:ascii="宋体" w:hAnsi="宋体"/>
                <w:color w:val="auto"/>
                <w:sz w:val="24"/>
                <w:szCs w:val="24"/>
                <w:highlight w:val="none"/>
              </w:rPr>
              <w:t>440mm</w:t>
            </w:r>
            <w:r>
              <w:rPr>
                <w:rFonts w:hint="eastAsia" w:ascii="宋体" w:hAnsi="宋体"/>
                <w:color w:val="auto"/>
                <w:sz w:val="24"/>
                <w:szCs w:val="24"/>
                <w:highlight w:val="none"/>
              </w:rPr>
              <w:t>，共</w:t>
            </w:r>
            <w:r>
              <w:rPr>
                <w:rFonts w:ascii="宋体" w:hAnsi="宋体"/>
                <w:color w:val="auto"/>
                <w:sz w:val="24"/>
                <w:szCs w:val="24"/>
                <w:highlight w:val="none"/>
              </w:rPr>
              <w:t>4</w:t>
            </w:r>
            <w:r>
              <w:rPr>
                <w:rFonts w:hint="eastAsia" w:ascii="宋体" w:hAnsi="宋体"/>
                <w:color w:val="auto"/>
                <w:sz w:val="24"/>
                <w:szCs w:val="24"/>
                <w:highlight w:val="none"/>
              </w:rPr>
              <w:t>档</w:t>
            </w:r>
            <w:r>
              <w:rPr>
                <w:rFonts w:ascii="宋体" w:hAnsi="宋体"/>
                <w:color w:val="auto"/>
                <w:sz w:val="24"/>
                <w:szCs w:val="24"/>
                <w:highlight w:val="none"/>
              </w:rPr>
              <w:t>)</w:t>
            </w:r>
            <w:r>
              <w:rPr>
                <w:rFonts w:hint="eastAsia" w:ascii="宋体" w:hAnsi="宋体"/>
                <w:color w:val="auto"/>
                <w:sz w:val="24"/>
                <w:szCs w:val="24"/>
                <w:highlight w:val="none"/>
              </w:rPr>
              <w:t>。</w:t>
            </w:r>
          </w:p>
          <w:p w14:paraId="60FE7953">
            <w:pPr>
              <w:widowControl/>
              <w:jc w:val="left"/>
              <w:rPr>
                <w:rFonts w:ascii="宋体"/>
                <w:color w:val="auto"/>
                <w:sz w:val="24"/>
                <w:szCs w:val="24"/>
                <w:highlight w:val="none"/>
              </w:rPr>
            </w:pPr>
            <w:r>
              <w:rPr>
                <w:rFonts w:hint="eastAsia" w:ascii="宋体" w:hAnsi="宋体"/>
                <w:color w:val="auto"/>
                <w:sz w:val="24"/>
                <w:szCs w:val="24"/>
                <w:highlight w:val="none"/>
                <w:lang w:eastAsia="zh-CN"/>
              </w:rPr>
              <w:t>椅</w:t>
            </w:r>
            <w:r>
              <w:rPr>
                <w:rFonts w:hint="eastAsia" w:ascii="宋体" w:hAnsi="宋体"/>
                <w:color w:val="auto"/>
                <w:sz w:val="24"/>
                <w:szCs w:val="24"/>
                <w:highlight w:val="none"/>
              </w:rPr>
              <w:t>面规格</w:t>
            </w:r>
            <w:r>
              <w:rPr>
                <w:rFonts w:hint="eastAsia" w:ascii="宋体" w:hAnsi="宋体"/>
                <w:color w:val="auto"/>
                <w:sz w:val="24"/>
                <w:szCs w:val="24"/>
                <w:highlight w:val="none"/>
                <w:lang w:eastAsia="zh-CN"/>
              </w:rPr>
              <w:t>：</w:t>
            </w:r>
            <w:r>
              <w:rPr>
                <w:rFonts w:hint="eastAsia" w:ascii="宋体" w:hAnsi="宋体"/>
                <w:b/>
                <w:bCs/>
                <w:i w:val="0"/>
                <w:iCs w:val="0"/>
                <w:color w:val="auto"/>
                <w:sz w:val="24"/>
                <w:szCs w:val="24"/>
                <w:highlight w:val="none"/>
              </w:rPr>
              <w:t>规格：椅背</w:t>
            </w:r>
            <w:r>
              <w:rPr>
                <w:rFonts w:hint="eastAsia" w:ascii="宋体" w:hAnsi="宋体"/>
                <w:b/>
                <w:bCs/>
                <w:i w:val="0"/>
                <w:iCs w:val="0"/>
                <w:color w:val="auto"/>
                <w:sz w:val="24"/>
                <w:szCs w:val="24"/>
                <w:highlight w:val="none"/>
                <w:lang w:val="en-US" w:eastAsia="zh-CN"/>
              </w:rPr>
              <w:t>434</w:t>
            </w:r>
            <w:r>
              <w:rPr>
                <w:rFonts w:hint="eastAsia" w:ascii="宋体" w:hAnsi="宋体"/>
                <w:b/>
                <w:bCs/>
                <w:i w:val="0"/>
                <w:iCs w:val="0"/>
                <w:color w:val="auto"/>
                <w:sz w:val="24"/>
                <w:szCs w:val="24"/>
                <w:highlight w:val="none"/>
              </w:rPr>
              <w:t>*33</w:t>
            </w:r>
            <w:r>
              <w:rPr>
                <w:rFonts w:hint="eastAsia" w:ascii="宋体" w:hAnsi="宋体"/>
                <w:b/>
                <w:bCs/>
                <w:i w:val="0"/>
                <w:iCs w:val="0"/>
                <w:color w:val="auto"/>
                <w:sz w:val="24"/>
                <w:szCs w:val="24"/>
                <w:highlight w:val="none"/>
                <w:lang w:val="en-US" w:eastAsia="zh-CN"/>
              </w:rPr>
              <w:t>8</w:t>
            </w:r>
            <w:r>
              <w:rPr>
                <w:rFonts w:hint="eastAsia" w:ascii="宋体" w:hAnsi="宋体"/>
                <w:b/>
                <w:bCs/>
                <w:i w:val="0"/>
                <w:iCs w:val="0"/>
                <w:color w:val="auto"/>
                <w:sz w:val="24"/>
                <w:szCs w:val="24"/>
                <w:highlight w:val="none"/>
              </w:rPr>
              <w:t>mm、椅座</w:t>
            </w:r>
            <w:r>
              <w:rPr>
                <w:rFonts w:hint="eastAsia" w:ascii="宋体" w:hAnsi="宋体"/>
                <w:b/>
                <w:bCs/>
                <w:i w:val="0"/>
                <w:iCs w:val="0"/>
                <w:color w:val="auto"/>
                <w:sz w:val="24"/>
                <w:szCs w:val="24"/>
                <w:highlight w:val="none"/>
                <w:lang w:val="en-US" w:eastAsia="zh-CN"/>
              </w:rPr>
              <w:t>425</w:t>
            </w:r>
            <w:r>
              <w:rPr>
                <w:rFonts w:hint="eastAsia" w:ascii="宋体" w:hAnsi="宋体"/>
                <w:b/>
                <w:bCs/>
                <w:i w:val="0"/>
                <w:iCs w:val="0"/>
                <w:color w:val="auto"/>
                <w:sz w:val="24"/>
                <w:szCs w:val="24"/>
                <w:highlight w:val="none"/>
              </w:rPr>
              <w:t>*3</w:t>
            </w:r>
            <w:r>
              <w:rPr>
                <w:rFonts w:hint="eastAsia" w:ascii="宋体" w:hAnsi="宋体"/>
                <w:b/>
                <w:bCs/>
                <w:i w:val="0"/>
                <w:iCs w:val="0"/>
                <w:color w:val="auto"/>
                <w:sz w:val="24"/>
                <w:szCs w:val="24"/>
                <w:highlight w:val="none"/>
                <w:lang w:val="en-US" w:eastAsia="zh-CN"/>
              </w:rPr>
              <w:t>6</w:t>
            </w:r>
            <w:r>
              <w:rPr>
                <w:rFonts w:hint="eastAsia" w:ascii="宋体" w:hAnsi="宋体"/>
                <w:b/>
                <w:bCs/>
                <w:i w:val="0"/>
                <w:iCs w:val="0"/>
                <w:color w:val="auto"/>
                <w:sz w:val="24"/>
                <w:szCs w:val="24"/>
                <w:highlight w:val="none"/>
              </w:rPr>
              <w:t>0mm （±</w:t>
            </w:r>
            <w:r>
              <w:rPr>
                <w:rFonts w:hint="eastAsia"/>
                <w:b/>
                <w:bCs/>
                <w:i w:val="0"/>
                <w:iCs w:val="0"/>
                <w:color w:val="auto"/>
                <w:sz w:val="24"/>
                <w:szCs w:val="24"/>
                <w:highlight w:val="none"/>
                <w:lang w:val="en-US" w:eastAsia="zh-CN"/>
              </w:rPr>
              <w:t>10</w:t>
            </w:r>
            <w:r>
              <w:rPr>
                <w:rFonts w:hint="eastAsia" w:ascii="宋体" w:hAnsi="宋体"/>
                <w:b/>
                <w:bCs/>
                <w:i w:val="0"/>
                <w:iCs w:val="0"/>
                <w:color w:val="auto"/>
                <w:sz w:val="24"/>
                <w:szCs w:val="24"/>
                <w:highlight w:val="none"/>
              </w:rPr>
              <w:t>mm）</w:t>
            </w:r>
            <w:r>
              <w:rPr>
                <w:rFonts w:hint="eastAsia" w:ascii="宋体" w:hAnsi="宋体"/>
                <w:color w:val="auto"/>
                <w:sz w:val="24"/>
                <w:szCs w:val="24"/>
                <w:highlight w:val="none"/>
              </w:rPr>
              <w:t>材质为优质工程pp经大型设备加工一次注塑成型。面板与椅架采用高强度圆头螺栓连接。</w:t>
            </w:r>
            <w:r>
              <w:rPr>
                <w:rFonts w:ascii="宋体" w:hAnsi="宋体"/>
                <w:color w:val="auto"/>
                <w:sz w:val="24"/>
                <w:szCs w:val="24"/>
                <w:highlight w:val="none"/>
              </w:rPr>
              <w:t xml:space="preserve"> </w:t>
            </w:r>
            <w:r>
              <w:rPr>
                <w:rFonts w:hint="eastAsia" w:ascii="宋体" w:hAnsi="宋体" w:eastAsia="宋体" w:cs="宋体"/>
                <w:color w:val="auto"/>
                <w:spacing w:val="-8"/>
                <w:sz w:val="24"/>
                <w:szCs w:val="24"/>
                <w:highlight w:val="none"/>
              </w:rPr>
              <w:t>质量要求：提供由具有</w:t>
            </w:r>
            <w:r>
              <w:rPr>
                <w:rFonts w:ascii="宋体" w:hAnsi="宋体" w:eastAsia="宋体" w:cs="宋体"/>
                <w:color w:val="auto"/>
                <w:sz w:val="24"/>
                <w:szCs w:val="24"/>
                <w:highlight w:val="none"/>
              </w:rPr>
              <w:t>CMA 资质的检验检测机构</w:t>
            </w:r>
            <w:r>
              <w:rPr>
                <w:rFonts w:hint="eastAsia" w:ascii="宋体" w:hAnsi="宋体" w:eastAsia="宋体" w:cs="宋体"/>
                <w:color w:val="auto"/>
                <w:spacing w:val="-8"/>
                <w:sz w:val="24"/>
                <w:szCs w:val="24"/>
                <w:highlight w:val="none"/>
              </w:rPr>
              <w:t>出具的塑料桌椅面符合GB 28481-2012 《塑料家具中有害物质限量》的标准要求的2024年度检测报告，检验项目包含但不限于：邻苯二甲酸酯(DBP、BBP、DEHP、DNOP、DINP、DIDP)、重金属(可溶性铅、可溶性镉</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可溶性铬、可溶性汞)。检验报告可进行二维码验证基础信息</w:t>
            </w:r>
          </w:p>
          <w:p w14:paraId="67484386">
            <w:pPr>
              <w:widowControl/>
              <w:jc w:val="left"/>
              <w:rPr>
                <w:rFonts w:ascii="宋体"/>
                <w:color w:val="auto"/>
                <w:sz w:val="24"/>
                <w:szCs w:val="24"/>
                <w:highlight w:val="none"/>
              </w:rPr>
            </w:pPr>
            <w:r>
              <w:rPr>
                <w:rFonts w:hint="eastAsia" w:ascii="宋体" w:hAnsi="宋体"/>
                <w:color w:val="auto"/>
                <w:sz w:val="24"/>
                <w:szCs w:val="24"/>
                <w:highlight w:val="none"/>
              </w:rPr>
              <w:t>椅架</w:t>
            </w:r>
            <w:r>
              <w:rPr>
                <w:rFonts w:hint="eastAsia" w:ascii="宋体" w:hAnsi="宋体"/>
                <w:color w:val="auto"/>
                <w:sz w:val="24"/>
                <w:szCs w:val="24"/>
                <w:highlight w:val="none"/>
                <w:lang w:eastAsia="zh-CN"/>
              </w:rPr>
              <w:t>：椅</w:t>
            </w:r>
            <w:r>
              <w:rPr>
                <w:rFonts w:hint="eastAsia" w:ascii="宋体" w:hAnsi="宋体"/>
                <w:color w:val="auto"/>
                <w:sz w:val="24"/>
                <w:szCs w:val="24"/>
                <w:highlight w:val="none"/>
              </w:rPr>
              <w:t>腿立柱外管采用≥</w:t>
            </w:r>
            <w:r>
              <w:rPr>
                <w:rFonts w:hint="eastAsia" w:ascii="宋体" w:hAnsi="宋体"/>
                <w:color w:val="auto"/>
                <w:sz w:val="24"/>
                <w:szCs w:val="24"/>
                <w:highlight w:val="none"/>
                <w:lang w:val="en-US" w:eastAsia="zh-CN"/>
              </w:rPr>
              <w:t>60</w:t>
            </w:r>
            <w:r>
              <w:rPr>
                <w:rFonts w:ascii="宋体" w:hAnsi="宋体"/>
                <w:color w:val="auto"/>
                <w:sz w:val="24"/>
                <w:szCs w:val="24"/>
                <w:highlight w:val="none"/>
              </w:rPr>
              <w:t>mm</w:t>
            </w:r>
            <w:r>
              <w:rPr>
                <w:rFonts w:hint="eastAsia" w:ascii="宋体" w:hAnsi="宋体"/>
                <w:color w:val="auto"/>
                <w:sz w:val="24"/>
                <w:szCs w:val="24"/>
                <w:highlight w:val="none"/>
              </w:rPr>
              <w:t>×</w:t>
            </w:r>
            <w:r>
              <w:rPr>
                <w:rFonts w:ascii="宋体" w:hAnsi="宋体"/>
                <w:color w:val="auto"/>
                <w:sz w:val="24"/>
                <w:szCs w:val="24"/>
                <w:highlight w:val="none"/>
              </w:rPr>
              <w:t>30mm</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mm</w:t>
            </w:r>
            <w:r>
              <w:rPr>
                <w:rFonts w:hint="eastAsia" w:ascii="宋体" w:hAnsi="宋体"/>
                <w:color w:val="auto"/>
                <w:sz w:val="24"/>
                <w:szCs w:val="24"/>
                <w:highlight w:val="none"/>
              </w:rPr>
              <w:t>的椭圆钢管。升降管内管采用≥</w:t>
            </w:r>
            <w:r>
              <w:rPr>
                <w:rFonts w:hint="eastAsia" w:ascii="宋体" w:hAnsi="宋体"/>
                <w:color w:val="auto"/>
                <w:sz w:val="24"/>
                <w:szCs w:val="24"/>
                <w:highlight w:val="none"/>
                <w:lang w:val="en-US" w:eastAsia="zh-CN"/>
              </w:rPr>
              <w:t>50</w:t>
            </w:r>
            <w:r>
              <w:rPr>
                <w:rFonts w:ascii="宋体" w:hAnsi="宋体"/>
                <w:color w:val="auto"/>
                <w:sz w:val="24"/>
                <w:szCs w:val="24"/>
                <w:highlight w:val="none"/>
              </w:rPr>
              <w:t>mm</w:t>
            </w: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0</w:t>
            </w:r>
            <w:r>
              <w:rPr>
                <w:rFonts w:ascii="宋体" w:hAnsi="宋体"/>
                <w:color w:val="auto"/>
                <w:sz w:val="24"/>
                <w:szCs w:val="24"/>
                <w:highlight w:val="none"/>
              </w:rPr>
              <w:t>mm</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mm</w:t>
            </w:r>
            <w:r>
              <w:rPr>
                <w:rFonts w:hint="eastAsia" w:ascii="宋体" w:hAnsi="宋体"/>
                <w:color w:val="auto"/>
                <w:sz w:val="24"/>
                <w:szCs w:val="24"/>
                <w:highlight w:val="none"/>
              </w:rPr>
              <w:t>的椭圆钢管，桌脚采用≥</w:t>
            </w:r>
            <w:r>
              <w:rPr>
                <w:rFonts w:hint="eastAsia" w:ascii="宋体" w:hAnsi="宋体"/>
                <w:color w:val="auto"/>
                <w:sz w:val="24"/>
                <w:szCs w:val="24"/>
                <w:highlight w:val="none"/>
                <w:lang w:val="en-US" w:eastAsia="zh-CN"/>
              </w:rPr>
              <w:t>30</w:t>
            </w:r>
            <w:r>
              <w:rPr>
                <w:rFonts w:ascii="宋体" w:hAnsi="宋体"/>
                <w:color w:val="auto"/>
                <w:sz w:val="24"/>
                <w:szCs w:val="24"/>
                <w:highlight w:val="none"/>
              </w:rPr>
              <w:t>mm</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60</w:t>
            </w:r>
            <w:r>
              <w:rPr>
                <w:rFonts w:ascii="宋体" w:hAnsi="宋体"/>
                <w:color w:val="auto"/>
                <w:sz w:val="24"/>
                <w:szCs w:val="24"/>
                <w:highlight w:val="none"/>
              </w:rPr>
              <w:t>mm</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lang w:val="en-US" w:eastAsia="zh-CN"/>
              </w:rPr>
              <w:t>2</w:t>
            </w:r>
            <w:r>
              <w:rPr>
                <w:rFonts w:ascii="宋体" w:hAnsi="宋体"/>
                <w:color w:val="auto"/>
                <w:sz w:val="24"/>
                <w:szCs w:val="24"/>
                <w:highlight w:val="none"/>
              </w:rPr>
              <w:t>mm</w:t>
            </w:r>
            <w:r>
              <w:rPr>
                <w:rFonts w:hint="eastAsia" w:ascii="宋体" w:hAnsi="宋体"/>
                <w:color w:val="auto"/>
                <w:sz w:val="24"/>
                <w:szCs w:val="24"/>
                <w:highlight w:val="none"/>
              </w:rPr>
              <w:t>的椭圆钢管。横撑与立管连接处焊接固定。升降管采用拉伸攻丝螺母连接。</w:t>
            </w:r>
            <w:r>
              <w:rPr>
                <w:rFonts w:hint="eastAsia" w:ascii="宋体" w:hAnsi="宋体"/>
                <w:color w:val="auto"/>
                <w:sz w:val="24"/>
                <w:szCs w:val="24"/>
                <w:highlight w:val="none"/>
                <w:lang w:eastAsia="zh-CN"/>
              </w:rPr>
              <w:t>，更加稳固。</w:t>
            </w:r>
            <w:r>
              <w:rPr>
                <w:rFonts w:hint="eastAsia" w:ascii="宋体" w:hAnsi="宋体"/>
                <w:color w:val="auto"/>
                <w:sz w:val="24"/>
                <w:szCs w:val="24"/>
                <w:highlight w:val="none"/>
              </w:rPr>
              <w:t>各焊接处光滑平整无虚焊现象。</w:t>
            </w:r>
          </w:p>
          <w:p w14:paraId="131F1233">
            <w:pPr>
              <w:widowControl/>
              <w:jc w:val="left"/>
              <w:rPr>
                <w:rFonts w:ascii="宋体"/>
                <w:color w:val="auto"/>
                <w:sz w:val="24"/>
                <w:szCs w:val="24"/>
                <w:highlight w:val="none"/>
              </w:rPr>
            </w:pPr>
            <w:r>
              <w:rPr>
                <w:rFonts w:hint="eastAsia" w:ascii="宋体" w:hAnsi="宋体"/>
                <w:color w:val="auto"/>
                <w:sz w:val="24"/>
                <w:szCs w:val="24"/>
                <w:highlight w:val="none"/>
              </w:rPr>
              <w:t>背管</w:t>
            </w:r>
            <w:r>
              <w:rPr>
                <w:rFonts w:hint="eastAsia" w:ascii="宋体" w:hAnsi="宋体"/>
                <w:color w:val="auto"/>
                <w:sz w:val="24"/>
                <w:szCs w:val="24"/>
                <w:highlight w:val="none"/>
                <w:lang w:eastAsia="zh-CN"/>
              </w:rPr>
              <w:t>：</w:t>
            </w:r>
            <w:r>
              <w:rPr>
                <w:rFonts w:hint="eastAsia" w:ascii="宋体" w:hAnsi="宋体"/>
                <w:color w:val="auto"/>
                <w:sz w:val="24"/>
                <w:szCs w:val="24"/>
                <w:highlight w:val="none"/>
              </w:rPr>
              <w:t>背管采用≥</w:t>
            </w:r>
            <w:r>
              <w:rPr>
                <w:rFonts w:hint="eastAsia" w:ascii="宋体" w:hAnsi="宋体"/>
                <w:color w:val="auto"/>
                <w:sz w:val="24"/>
                <w:szCs w:val="24"/>
                <w:highlight w:val="none"/>
                <w:lang w:val="en-US" w:eastAsia="zh-CN"/>
              </w:rPr>
              <w:t>20</w:t>
            </w:r>
            <w:r>
              <w:rPr>
                <w:rFonts w:ascii="宋体" w:hAnsi="宋体"/>
                <w:color w:val="auto"/>
                <w:sz w:val="24"/>
                <w:szCs w:val="24"/>
                <w:highlight w:val="none"/>
              </w:rPr>
              <w:t>mm</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40</w:t>
            </w:r>
            <w:r>
              <w:rPr>
                <w:rFonts w:ascii="宋体" w:hAnsi="宋体"/>
                <w:color w:val="auto"/>
                <w:sz w:val="24"/>
                <w:szCs w:val="24"/>
                <w:highlight w:val="none"/>
              </w:rPr>
              <w:t>mm</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mm</w:t>
            </w:r>
            <w:r>
              <w:rPr>
                <w:rFonts w:hint="eastAsia" w:ascii="宋体" w:hAnsi="宋体"/>
                <w:color w:val="auto"/>
                <w:sz w:val="24"/>
                <w:szCs w:val="24"/>
                <w:highlight w:val="none"/>
              </w:rPr>
              <w:t>的椭圆</w:t>
            </w:r>
            <w:r>
              <w:rPr>
                <w:rFonts w:hint="eastAsia" w:ascii="宋体" w:hAnsi="宋体"/>
                <w:color w:val="auto"/>
                <w:sz w:val="24"/>
                <w:szCs w:val="24"/>
                <w:highlight w:val="none"/>
                <w:lang w:eastAsia="zh-CN"/>
              </w:rPr>
              <w:t>，折弯成型</w:t>
            </w:r>
            <w:r>
              <w:rPr>
                <w:rFonts w:hint="eastAsia" w:ascii="宋体" w:hAnsi="宋体"/>
                <w:color w:val="auto"/>
                <w:sz w:val="24"/>
                <w:szCs w:val="24"/>
                <w:highlight w:val="none"/>
              </w:rPr>
              <w:t>。</w:t>
            </w:r>
          </w:p>
          <w:p w14:paraId="1E42069C">
            <w:pPr>
              <w:widowControl/>
              <w:jc w:val="left"/>
              <w:rPr>
                <w:rFonts w:ascii="宋体"/>
                <w:color w:val="auto"/>
                <w:sz w:val="24"/>
                <w:szCs w:val="24"/>
                <w:highlight w:val="none"/>
              </w:rPr>
            </w:pPr>
            <w:r>
              <w:rPr>
                <w:rFonts w:hint="eastAsia" w:ascii="宋体" w:hAnsi="宋体"/>
                <w:color w:val="auto"/>
                <w:sz w:val="24"/>
                <w:szCs w:val="24"/>
                <w:highlight w:val="none"/>
              </w:rPr>
              <w:t>升降</w:t>
            </w:r>
            <w:r>
              <w:rPr>
                <w:rFonts w:hint="eastAsia" w:ascii="宋体" w:hAnsi="宋体"/>
                <w:color w:val="auto"/>
                <w:sz w:val="24"/>
                <w:szCs w:val="24"/>
                <w:highlight w:val="none"/>
                <w:lang w:eastAsia="zh-CN"/>
              </w:rPr>
              <w:t>：</w:t>
            </w:r>
            <w:r>
              <w:rPr>
                <w:rFonts w:hint="eastAsia" w:ascii="宋体" w:hAnsi="宋体"/>
                <w:color w:val="auto"/>
                <w:sz w:val="24"/>
                <w:szCs w:val="24"/>
                <w:highlight w:val="none"/>
              </w:rPr>
              <w:t>升降接口采用内塞式全新</w:t>
            </w:r>
            <w:r>
              <w:rPr>
                <w:rFonts w:hint="eastAsia" w:ascii="宋体" w:hAnsi="宋体"/>
                <w:color w:val="auto"/>
                <w:sz w:val="24"/>
                <w:szCs w:val="24"/>
                <w:highlight w:val="none"/>
                <w:lang w:val="en-US" w:eastAsia="zh-CN"/>
              </w:rPr>
              <w:t>pp</w:t>
            </w:r>
            <w:r>
              <w:rPr>
                <w:rFonts w:hint="eastAsia" w:ascii="宋体" w:hAnsi="宋体"/>
                <w:color w:val="auto"/>
                <w:sz w:val="24"/>
                <w:szCs w:val="24"/>
                <w:highlight w:val="none"/>
              </w:rPr>
              <w:t>工程塑料一次注塑成型封头，接口结合紧密，无摇晃。采用高强度圆头螺栓连接</w:t>
            </w:r>
            <w:r>
              <w:rPr>
                <w:rFonts w:hint="eastAsia" w:ascii="宋体" w:hAnsi="宋体"/>
                <w:color w:val="auto"/>
                <w:sz w:val="24"/>
                <w:szCs w:val="24"/>
                <w:highlight w:val="none"/>
                <w:lang w:eastAsia="zh-CN"/>
              </w:rPr>
              <w:t>穿过升降塑料件，防止套件脱落</w:t>
            </w:r>
            <w:r>
              <w:rPr>
                <w:rFonts w:hint="eastAsia" w:ascii="宋体" w:hAnsi="宋体"/>
                <w:color w:val="auto"/>
                <w:sz w:val="24"/>
                <w:szCs w:val="24"/>
                <w:highlight w:val="none"/>
              </w:rPr>
              <w:t>。</w:t>
            </w:r>
          </w:p>
          <w:p w14:paraId="1105B928">
            <w:pPr>
              <w:widowControl/>
              <w:jc w:val="left"/>
              <w:rPr>
                <w:rFonts w:ascii="宋体"/>
                <w:color w:val="auto"/>
                <w:sz w:val="24"/>
                <w:szCs w:val="24"/>
                <w:highlight w:val="none"/>
              </w:rPr>
            </w:pPr>
            <w:r>
              <w:rPr>
                <w:rFonts w:hint="eastAsia" w:ascii="宋体" w:hAnsi="宋体"/>
                <w:color w:val="auto"/>
                <w:sz w:val="24"/>
                <w:szCs w:val="24"/>
                <w:highlight w:val="none"/>
              </w:rPr>
              <w:t>脚套</w:t>
            </w:r>
            <w:r>
              <w:rPr>
                <w:rFonts w:hint="eastAsia" w:ascii="宋体" w:hAnsi="宋体"/>
                <w:color w:val="auto"/>
                <w:sz w:val="24"/>
                <w:szCs w:val="24"/>
                <w:highlight w:val="none"/>
                <w:lang w:eastAsia="zh-CN"/>
              </w:rPr>
              <w:t>：</w:t>
            </w:r>
            <w:r>
              <w:rPr>
                <w:rFonts w:hint="eastAsia" w:ascii="宋体" w:hAnsi="宋体"/>
                <w:color w:val="auto"/>
                <w:sz w:val="24"/>
                <w:szCs w:val="24"/>
                <w:highlight w:val="none"/>
              </w:rPr>
              <w:t>采用全新</w:t>
            </w:r>
            <w:r>
              <w:rPr>
                <w:rFonts w:hint="eastAsia" w:ascii="宋体" w:hAnsi="宋体"/>
                <w:color w:val="auto"/>
                <w:sz w:val="24"/>
                <w:szCs w:val="24"/>
                <w:highlight w:val="none"/>
                <w:lang w:val="en-US" w:eastAsia="zh-CN"/>
              </w:rPr>
              <w:t>pp</w:t>
            </w:r>
            <w:r>
              <w:rPr>
                <w:rFonts w:hint="eastAsia" w:ascii="宋体" w:hAnsi="宋体"/>
                <w:color w:val="auto"/>
                <w:sz w:val="24"/>
                <w:szCs w:val="24"/>
                <w:highlight w:val="none"/>
              </w:rPr>
              <w:t>工程塑料一次注塑成型，</w:t>
            </w:r>
            <w:r>
              <w:rPr>
                <w:rFonts w:hint="eastAsia" w:ascii="宋体" w:hAnsi="宋体"/>
                <w:color w:val="auto"/>
                <w:sz w:val="24"/>
                <w:szCs w:val="24"/>
                <w:highlight w:val="none"/>
                <w:lang w:eastAsia="zh-CN"/>
              </w:rPr>
              <w:t>胶套尺寸</w:t>
            </w:r>
            <w:r>
              <w:rPr>
                <w:rFonts w:hint="eastAsia" w:ascii="宋体" w:hAnsi="宋体"/>
                <w:color w:val="auto"/>
                <w:sz w:val="24"/>
                <w:szCs w:val="24"/>
                <w:highlight w:val="none"/>
                <w:lang w:val="en-US" w:eastAsia="zh-CN"/>
              </w:rPr>
              <w:t>45mm*71mm*104mm，</w:t>
            </w:r>
            <w:r>
              <w:rPr>
                <w:rFonts w:hint="eastAsia" w:ascii="宋体" w:hAnsi="宋体"/>
                <w:color w:val="auto"/>
                <w:sz w:val="24"/>
                <w:szCs w:val="24"/>
                <w:highlight w:val="none"/>
              </w:rPr>
              <w:t>采用</w:t>
            </w:r>
            <w:r>
              <w:rPr>
                <w:rFonts w:hint="eastAsia" w:ascii="宋体" w:hAnsi="宋体"/>
                <w:color w:val="auto"/>
                <w:sz w:val="24"/>
                <w:szCs w:val="24"/>
                <w:highlight w:val="none"/>
                <w:lang w:eastAsia="zh-CN"/>
              </w:rPr>
              <w:t>自锁</w:t>
            </w:r>
            <w:r>
              <w:rPr>
                <w:rFonts w:hint="eastAsia" w:ascii="宋体" w:hAnsi="宋体"/>
                <w:color w:val="auto"/>
                <w:sz w:val="24"/>
                <w:szCs w:val="24"/>
                <w:highlight w:val="none"/>
              </w:rPr>
              <w:t>固定，牢固耐磨。</w:t>
            </w:r>
          </w:p>
          <w:p w14:paraId="696A54E8">
            <w:pPr>
              <w:widowControl/>
              <w:jc w:val="left"/>
              <w:rPr>
                <w:rFonts w:ascii="宋体" w:hAnsi="宋体"/>
                <w:color w:val="auto"/>
                <w:sz w:val="24"/>
                <w:szCs w:val="24"/>
                <w:highlight w:val="none"/>
              </w:rPr>
            </w:pPr>
            <w:r>
              <w:rPr>
                <w:rFonts w:hint="eastAsia" w:ascii="宋体" w:hAnsi="宋体"/>
                <w:color w:val="auto"/>
                <w:sz w:val="24"/>
                <w:szCs w:val="24"/>
                <w:highlight w:val="none"/>
              </w:rPr>
              <w:t>工艺</w:t>
            </w:r>
            <w:r>
              <w:rPr>
                <w:rFonts w:hint="eastAsia" w:ascii="宋体" w:hAnsi="宋体"/>
                <w:color w:val="auto"/>
                <w:sz w:val="24"/>
                <w:szCs w:val="24"/>
                <w:highlight w:val="none"/>
                <w:lang w:eastAsia="zh-CN"/>
              </w:rPr>
              <w:t>：</w:t>
            </w:r>
            <w:r>
              <w:rPr>
                <w:rFonts w:hint="eastAsia" w:ascii="宋体" w:hAnsi="宋体"/>
                <w:color w:val="auto"/>
                <w:sz w:val="24"/>
                <w:szCs w:val="24"/>
                <w:highlight w:val="none"/>
              </w:rPr>
              <w:t>钢材采用</w:t>
            </w:r>
            <w:r>
              <w:rPr>
                <w:rFonts w:ascii="宋体" w:hAnsi="宋体"/>
                <w:color w:val="auto"/>
                <w:sz w:val="24"/>
                <w:szCs w:val="24"/>
                <w:highlight w:val="none"/>
              </w:rPr>
              <w:t>CO₂</w:t>
            </w:r>
            <w:r>
              <w:rPr>
                <w:rFonts w:hint="eastAsia" w:ascii="宋体" w:hAnsi="宋体"/>
                <w:color w:val="auto"/>
                <w:sz w:val="24"/>
                <w:szCs w:val="24"/>
                <w:highlight w:val="none"/>
              </w:rPr>
              <w:t>保护焊焊接，表层采用酸洗、磷化、喷塑工艺处理，防止生锈。</w:t>
            </w:r>
            <w:r>
              <w:rPr>
                <w:rFonts w:hint="eastAsia" w:ascii="宋体" w:hAnsi="宋体"/>
                <w:color w:val="auto"/>
                <w:sz w:val="24"/>
                <w:szCs w:val="24"/>
                <w:highlight w:val="none"/>
                <w:lang w:eastAsia="zh-CN"/>
              </w:rPr>
              <w:t>座板与铁架采用自攻钉链接，</w:t>
            </w:r>
            <w:r>
              <w:rPr>
                <w:rFonts w:hint="eastAsia" w:ascii="宋体" w:hAnsi="宋体"/>
                <w:color w:val="auto"/>
                <w:sz w:val="24"/>
                <w:szCs w:val="24"/>
                <w:highlight w:val="none"/>
                <w:lang w:val="en-US" w:eastAsia="zh-CN"/>
              </w:rPr>
              <w:t>起稳定作用</w:t>
            </w:r>
          </w:p>
          <w:p w14:paraId="27BFAB1D">
            <w:pPr>
              <w:widowControl/>
              <w:jc w:val="left"/>
              <w:rPr>
                <w:rFonts w:ascii="宋体"/>
                <w:color w:val="auto"/>
                <w:sz w:val="24"/>
                <w:szCs w:val="24"/>
                <w:highlight w:val="none"/>
              </w:rPr>
            </w:pPr>
            <w:r>
              <w:rPr>
                <w:rFonts w:hint="eastAsia" w:ascii="宋体" w:hAnsi="宋体"/>
                <w:color w:val="auto"/>
                <w:sz w:val="24"/>
                <w:szCs w:val="24"/>
                <w:highlight w:val="none"/>
              </w:rPr>
              <w:t>外观</w:t>
            </w:r>
            <w:r>
              <w:rPr>
                <w:rFonts w:hint="eastAsia" w:ascii="宋体" w:hAnsi="宋体"/>
                <w:color w:val="auto"/>
                <w:sz w:val="24"/>
                <w:szCs w:val="24"/>
                <w:highlight w:val="none"/>
                <w:lang w:eastAsia="zh-CN"/>
              </w:rPr>
              <w:t>：</w:t>
            </w:r>
            <w:r>
              <w:rPr>
                <w:rFonts w:hint="eastAsia" w:ascii="宋体" w:hAnsi="宋体"/>
                <w:color w:val="auto"/>
                <w:sz w:val="24"/>
                <w:szCs w:val="24"/>
                <w:highlight w:val="none"/>
              </w:rPr>
              <w:t>钢材表面涂层均匀牢固，无流挂、气泡等缺陷。塑料件表面平整、色彩均匀、光泽。整体着色采用亮色搭配，美观大方，符合青少年身心发展特点。塑料件颜色一致无色差。凳架内侧无螺丝外露，防止挂蹭。</w:t>
            </w:r>
            <w:r>
              <w:rPr>
                <w:rFonts w:hint="eastAsia" w:ascii="宋体" w:hAnsi="宋体" w:eastAsia="宋体" w:cs="宋体"/>
                <w:color w:val="auto"/>
                <w:sz w:val="24"/>
                <w:szCs w:val="24"/>
                <w:highlight w:val="none"/>
                <w:lang w:val="en-US" w:eastAsia="zh-CN"/>
              </w:rPr>
              <w:t>质量要求：提供塑粉由带</w:t>
            </w:r>
            <w:r>
              <w:rPr>
                <w:rFonts w:ascii="宋体" w:hAnsi="宋体" w:eastAsia="宋体" w:cs="宋体"/>
                <w:color w:val="auto"/>
                <w:sz w:val="24"/>
                <w:szCs w:val="24"/>
                <w:highlight w:val="none"/>
              </w:rPr>
              <w:t>CMA 资质的检验检测机构</w:t>
            </w:r>
            <w:r>
              <w:rPr>
                <w:rFonts w:hint="eastAsia" w:ascii="宋体" w:hAnsi="宋体" w:eastAsia="宋体" w:cs="宋体"/>
                <w:color w:val="auto"/>
                <w:sz w:val="24"/>
                <w:szCs w:val="24"/>
                <w:highlight w:val="none"/>
                <w:lang w:val="en-US" w:eastAsia="zh-CN"/>
              </w:rPr>
              <w:t>出具的</w:t>
            </w:r>
            <w:r>
              <w:rPr>
                <w:rFonts w:hint="eastAsia" w:ascii="宋体" w:hAnsi="宋体" w:eastAsia="宋体" w:cs="宋体"/>
                <w:color w:val="auto"/>
                <w:sz w:val="24"/>
                <w:szCs w:val="24"/>
                <w:highlight w:val="none"/>
                <w:vertAlign w:val="baseline"/>
                <w:lang w:val="en-US" w:eastAsia="zh-CN"/>
              </w:rPr>
              <w:t xml:space="preserve">符合GB/T3325-2017 </w:t>
            </w:r>
            <w:r>
              <w:rPr>
                <w:rFonts w:hint="eastAsia" w:ascii="宋体" w:hAnsi="宋体" w:eastAsia="宋体" w:cs="宋体"/>
                <w:color w:val="auto"/>
                <w:sz w:val="24"/>
                <w:szCs w:val="24"/>
                <w:highlight w:val="none"/>
                <w:vertAlign w:val="baseline"/>
              </w:rPr>
              <w:t>《</w:t>
            </w:r>
            <w:r>
              <w:rPr>
                <w:rFonts w:hint="eastAsia" w:ascii="宋体" w:hAnsi="宋体" w:eastAsia="宋体" w:cs="宋体"/>
                <w:color w:val="auto"/>
                <w:sz w:val="24"/>
                <w:szCs w:val="24"/>
                <w:highlight w:val="none"/>
                <w:vertAlign w:val="baseline"/>
                <w:lang w:val="en-US" w:eastAsia="zh-CN"/>
              </w:rPr>
              <w:t>金属家具通用技术条件</w:t>
            </w:r>
            <w:r>
              <w:rPr>
                <w:rFonts w:hint="eastAsia" w:ascii="宋体" w:hAnsi="宋体" w:eastAsia="宋体" w:cs="宋体"/>
                <w:color w:val="auto"/>
                <w:sz w:val="24"/>
                <w:szCs w:val="24"/>
                <w:highlight w:val="none"/>
                <w:vertAlign w:val="baseline"/>
              </w:rPr>
              <w:t>》</w:t>
            </w:r>
            <w:r>
              <w:rPr>
                <w:rFonts w:hint="eastAsia" w:ascii="宋体" w:hAnsi="宋体" w:eastAsia="宋体" w:cs="宋体"/>
                <w:color w:val="auto"/>
                <w:sz w:val="24"/>
                <w:szCs w:val="24"/>
                <w:highlight w:val="none"/>
                <w:vertAlign w:val="baseline"/>
                <w:lang w:val="en-US" w:eastAsia="zh-CN"/>
              </w:rPr>
              <w:t>标准要求，检测项目包括但不限于重金属铅、镉、铬、汞等有害物质限量；</w:t>
            </w:r>
          </w:p>
          <w:p w14:paraId="54ABF54B">
            <w:pPr>
              <w:widowControl/>
              <w:jc w:val="left"/>
              <w:rPr>
                <w:rFonts w:ascii="宋体"/>
                <w:color w:val="auto"/>
                <w:sz w:val="24"/>
                <w:szCs w:val="24"/>
                <w:highlight w:val="none"/>
              </w:rPr>
            </w:pPr>
            <w:r>
              <w:rPr>
                <w:rFonts w:hint="eastAsia" w:ascii="宋体" w:hAnsi="宋体"/>
                <w:color w:val="auto"/>
                <w:sz w:val="24"/>
                <w:szCs w:val="24"/>
                <w:highlight w:val="none"/>
              </w:rPr>
              <w:t>要</w:t>
            </w:r>
            <w:r>
              <w:rPr>
                <w:rFonts w:ascii="宋体" w:hAnsi="宋体"/>
                <w:color w:val="auto"/>
                <w:sz w:val="24"/>
                <w:szCs w:val="24"/>
                <w:highlight w:val="none"/>
              </w:rPr>
              <w:t xml:space="preserve"> </w:t>
            </w:r>
            <w:r>
              <w:rPr>
                <w:rFonts w:hint="eastAsia" w:ascii="宋体" w:hAnsi="宋体"/>
                <w:color w:val="auto"/>
                <w:sz w:val="24"/>
                <w:szCs w:val="24"/>
                <w:highlight w:val="none"/>
              </w:rPr>
              <w:t>求</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投标单位开标现场需提供样品一套，及零部件样块一套。材料、工艺，整体安全性、表面理化性能、力学性能等要求必须符合相关国家标准。规格型号适用于中小学通用。</w:t>
            </w:r>
            <w:r>
              <w:rPr>
                <w:rFonts w:hint="eastAsia" w:ascii="宋体" w:hAnsi="宋体" w:eastAsia="宋体" w:cs="宋体"/>
                <w:color w:val="auto"/>
                <w:sz w:val="24"/>
                <w:szCs w:val="24"/>
                <w:highlight w:val="none"/>
                <w:vertAlign w:val="baseline"/>
                <w:lang w:val="en-US" w:eastAsia="zh-CN"/>
              </w:rPr>
              <w:t>提供所供塑钢课椅由带</w:t>
            </w:r>
            <w:r>
              <w:rPr>
                <w:rFonts w:ascii="宋体" w:hAnsi="宋体" w:eastAsia="宋体" w:cs="宋体"/>
                <w:color w:val="auto"/>
                <w:sz w:val="24"/>
                <w:szCs w:val="24"/>
                <w:highlight w:val="none"/>
              </w:rPr>
              <w:t>CMA 资质的检验检测机构</w:t>
            </w:r>
            <w:r>
              <w:rPr>
                <w:rFonts w:hint="eastAsia" w:ascii="宋体" w:hAnsi="宋体" w:eastAsia="宋体" w:cs="宋体"/>
                <w:color w:val="auto"/>
                <w:sz w:val="24"/>
                <w:szCs w:val="24"/>
                <w:highlight w:val="none"/>
                <w:vertAlign w:val="baseline"/>
                <w:lang w:val="en-US" w:eastAsia="zh-CN"/>
              </w:rPr>
              <w:t>出具的全项检测报告；产品检验依据：QB/T 4071-2021《课桌椅》，检测项目包含但不限于主要尺寸和尺寸偏差、形状与位置公差、安装尺寸偏差、外观（塑料件外观、金属件外观）、安全要求、力学性能、表面理化性能要求、有害物质限量。</w:t>
            </w:r>
          </w:p>
        </w:tc>
        <w:tc>
          <w:tcPr>
            <w:tcW w:w="789" w:type="dxa"/>
            <w:vMerge w:val="restart"/>
            <w:tcBorders>
              <w:left w:val="single" w:color="auto" w:sz="4" w:space="0"/>
            </w:tcBorders>
            <w:noWrap w:val="0"/>
            <w:vAlign w:val="center"/>
          </w:tcPr>
          <w:p w14:paraId="4B28E8D2">
            <w:pPr>
              <w:widowControl/>
              <w:jc w:val="center"/>
              <w:rPr>
                <w:rFonts w:ascii="宋体" w:hAnsi="宋体"/>
                <w:color w:val="auto"/>
                <w:sz w:val="24"/>
                <w:szCs w:val="24"/>
                <w:highlight w:val="none"/>
              </w:rPr>
            </w:pPr>
          </w:p>
        </w:tc>
      </w:tr>
      <w:tr w14:paraId="33E9F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6" w:type="dxa"/>
            <w:noWrap w:val="0"/>
            <w:vAlign w:val="center"/>
          </w:tcPr>
          <w:p w14:paraId="352BAA67">
            <w:pPr>
              <w:widowControl/>
              <w:jc w:val="center"/>
              <w:rPr>
                <w:rFonts w:ascii="宋体"/>
                <w:color w:val="auto"/>
                <w:sz w:val="24"/>
                <w:szCs w:val="24"/>
                <w:highlight w:val="none"/>
              </w:rPr>
            </w:pPr>
            <w:r>
              <w:rPr>
                <w:rFonts w:hint="eastAsia" w:ascii="宋体" w:hAnsi="宋体"/>
                <w:color w:val="auto"/>
                <w:sz w:val="24"/>
                <w:szCs w:val="24"/>
                <w:highlight w:val="none"/>
              </w:rPr>
              <w:t>课椅</w:t>
            </w:r>
          </w:p>
        </w:tc>
        <w:tc>
          <w:tcPr>
            <w:tcW w:w="7371" w:type="dxa"/>
            <w:vMerge w:val="continue"/>
            <w:tcBorders>
              <w:right w:val="single" w:color="auto" w:sz="4" w:space="0"/>
            </w:tcBorders>
            <w:noWrap w:val="0"/>
            <w:vAlign w:val="center"/>
          </w:tcPr>
          <w:p w14:paraId="4A0F5C6E">
            <w:pPr>
              <w:widowControl/>
              <w:jc w:val="left"/>
              <w:rPr>
                <w:rFonts w:ascii="宋体"/>
                <w:color w:val="auto"/>
                <w:sz w:val="24"/>
                <w:szCs w:val="24"/>
                <w:highlight w:val="none"/>
              </w:rPr>
            </w:pPr>
          </w:p>
        </w:tc>
        <w:tc>
          <w:tcPr>
            <w:tcW w:w="789" w:type="dxa"/>
            <w:vMerge w:val="continue"/>
            <w:tcBorders>
              <w:left w:val="single" w:color="auto" w:sz="4" w:space="0"/>
            </w:tcBorders>
            <w:noWrap w:val="0"/>
            <w:vAlign w:val="center"/>
          </w:tcPr>
          <w:p w14:paraId="7DD39187">
            <w:pPr>
              <w:widowControl/>
              <w:jc w:val="center"/>
              <w:rPr>
                <w:rFonts w:ascii="宋体"/>
                <w:color w:val="auto"/>
                <w:sz w:val="24"/>
                <w:szCs w:val="24"/>
                <w:highlight w:val="none"/>
              </w:rPr>
            </w:pPr>
          </w:p>
        </w:tc>
      </w:tr>
    </w:tbl>
    <w:p w14:paraId="7167278E">
      <w:pPr>
        <w:bidi w:val="0"/>
        <w:jc w:val="center"/>
        <w:outlineLvl w:val="9"/>
        <w:rPr>
          <w:rFonts w:hint="eastAsia"/>
          <w:color w:val="auto"/>
          <w:highlight w:val="none"/>
        </w:rPr>
      </w:pPr>
      <w:r>
        <w:rPr>
          <w:rFonts w:hint="eastAsia"/>
          <w:color w:val="auto"/>
          <w:highlight w:val="none"/>
        </w:rPr>
        <w:t>投标人须提供与技术需求相应的证明材料，如产品检测报告、测试报告、产品合格证、鉴定证书、制造商产品彩页、制造商官网截图、制造商产品说明书或相应实物照片等。</w:t>
      </w:r>
    </w:p>
    <w:p w14:paraId="6A8E4550">
      <w:pPr>
        <w:pStyle w:val="8"/>
        <w:rPr>
          <w:rFonts w:hint="eastAsia"/>
          <w:color w:val="auto"/>
          <w:highlight w:val="none"/>
        </w:rPr>
      </w:pPr>
      <w:r>
        <w:rPr>
          <w:rFonts w:hint="eastAsia" w:eastAsia="宋体"/>
          <w:color w:val="auto"/>
          <w:highlight w:val="none"/>
          <w:lang w:eastAsia="zh-CN"/>
        </w:rPr>
        <w:drawing>
          <wp:inline distT="0" distB="0" distL="114300" distR="114300">
            <wp:extent cx="5264785" cy="3947160"/>
            <wp:effectExtent l="0" t="0" r="12065" b="15240"/>
            <wp:docPr id="3" name="图片 1" descr="d390a9d0790acd65c044ebbd70fbe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390a9d0790acd65c044ebbd70fbeae"/>
                    <pic:cNvPicPr>
                      <a:picLocks noChangeAspect="1"/>
                    </pic:cNvPicPr>
                  </pic:nvPicPr>
                  <pic:blipFill>
                    <a:blip r:embed="rId14"/>
                    <a:stretch>
                      <a:fillRect/>
                    </a:stretch>
                  </pic:blipFill>
                  <pic:spPr>
                    <a:xfrm>
                      <a:off x="0" y="0"/>
                      <a:ext cx="5264785" cy="3947160"/>
                    </a:xfrm>
                    <a:prstGeom prst="rect">
                      <a:avLst/>
                    </a:prstGeom>
                    <a:noFill/>
                    <a:ln>
                      <a:noFill/>
                    </a:ln>
                  </pic:spPr>
                </pic:pic>
              </a:graphicData>
            </a:graphic>
          </wp:inline>
        </w:drawing>
      </w:r>
    </w:p>
    <w:p w14:paraId="5CAAFDB6">
      <w:pPr>
        <w:bidi w:val="0"/>
        <w:jc w:val="center"/>
        <w:outlineLvl w:val="9"/>
        <w:rPr>
          <w:rFonts w:hint="eastAsia"/>
          <w:color w:val="auto"/>
          <w:highlight w:val="none"/>
        </w:rPr>
      </w:pPr>
    </w:p>
    <w:p w14:paraId="61B2F031">
      <w:pPr>
        <w:rPr>
          <w:rFonts w:hint="eastAsia"/>
          <w:color w:val="auto"/>
          <w:highlight w:val="none"/>
        </w:rPr>
      </w:pPr>
      <w:r>
        <w:rPr>
          <w:rFonts w:hint="eastAsia"/>
          <w:color w:val="auto"/>
          <w:highlight w:val="none"/>
        </w:rPr>
        <w:br w:type="page"/>
      </w:r>
    </w:p>
    <w:p w14:paraId="181FB341">
      <w:pPr>
        <w:pStyle w:val="4"/>
        <w:bidi w:val="0"/>
        <w:jc w:val="center"/>
        <w:outlineLvl w:val="0"/>
        <w:rPr>
          <w:rFonts w:hint="eastAsia"/>
          <w:color w:val="auto"/>
          <w:highlight w:val="none"/>
        </w:rPr>
      </w:pPr>
      <w:r>
        <w:rPr>
          <w:rFonts w:hint="eastAsia"/>
          <w:color w:val="auto"/>
          <w:highlight w:val="none"/>
        </w:rPr>
        <w:t>第五章  评标办法</w:t>
      </w:r>
      <w:bookmarkEnd w:id="162"/>
      <w:bookmarkEnd w:id="163"/>
      <w:bookmarkEnd w:id="164"/>
      <w:bookmarkStart w:id="165" w:name="_Hlt101846155"/>
      <w:bookmarkEnd w:id="165"/>
      <w:bookmarkStart w:id="166" w:name="_Toc183582280"/>
      <w:bookmarkStart w:id="167" w:name="_Toc217446097"/>
      <w:bookmarkStart w:id="168" w:name="_Toc208849007"/>
      <w:bookmarkStart w:id="169" w:name="_Toc183682415"/>
    </w:p>
    <w:p w14:paraId="0613FA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166"/>
      <w:bookmarkEnd w:id="167"/>
      <w:bookmarkEnd w:id="168"/>
      <w:bookmarkEnd w:id="169"/>
    </w:p>
    <w:p w14:paraId="62DEE9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根据《中华人民共和国政府采购法》、《中华人民共和国政府采购法实施条例》和《政府采购货物和服务招标投标管理办法》（财政部第87号令）等法律法规、规章和相关规定，结合招标项目特点制定本评标办法。</w:t>
      </w:r>
    </w:p>
    <w:p w14:paraId="154F9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bCs/>
          <w:color w:val="auto"/>
          <w:sz w:val="24"/>
          <w:szCs w:val="24"/>
          <w:highlight w:val="none"/>
        </w:rPr>
        <w:t>评标工作由采购人负责组织，具体评标工作由采购人依法组建的评标委员会负责。评标委员会由采购人代表和有关技术、经济等方面的专家组成。</w:t>
      </w:r>
    </w:p>
    <w:p w14:paraId="67415F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评标工作应遵循公平、公正、科学及择优的原则。</w:t>
      </w:r>
    </w:p>
    <w:p w14:paraId="141DCD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评标委员会按照招标文件规定的评标方法和标准进行评标，并独立履行下列职责：</w:t>
      </w:r>
    </w:p>
    <w:p w14:paraId="4409C3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（1）审查投标文件是否符合招标文件要求，并作出评价；</w:t>
      </w:r>
    </w:p>
    <w:p w14:paraId="57E806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（2）要求投标投标人对投标文件有关事项作出解释或者澄清；</w:t>
      </w:r>
    </w:p>
    <w:p w14:paraId="77D7F2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（3）推荐中标候选投标人名单，或者受采购人委托按照事先确定的办法直接确定中标投标人；</w:t>
      </w:r>
    </w:p>
    <w:p w14:paraId="7199A1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（4）向采购人或者有关部门报告非法干预评标工作的行为。</w:t>
      </w:r>
      <w:bookmarkStart w:id="170" w:name="_Toc217446098"/>
    </w:p>
    <w:p w14:paraId="2D33D7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评标过程严格保密。投标人对评标委员会的评标过程或合同授予决定施加影响的任何行为都可能导致其投标被拒绝。</w:t>
      </w:r>
    </w:p>
    <w:p w14:paraId="598E1E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1.6评标委员会决定投标文件的响应性应依据投标文件本身的内容，而不寻求外部的证据。</w:t>
      </w:r>
    </w:p>
    <w:p w14:paraId="082B62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1.7评标委员会发现招标文件表述不明确或需要说明的事项，可提请采购人书面解释说明。发现招标文件违反法律、法规、规章和相关规定的，可以拒绝评标，并向采购人书面说明情况。</w:t>
      </w:r>
    </w:p>
    <w:p w14:paraId="52D799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评标方法</w:t>
      </w:r>
    </w:p>
    <w:p w14:paraId="55DA17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本项目评标方法为：综合评分法。</w:t>
      </w:r>
    </w:p>
    <w:p w14:paraId="09844F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评标程序</w:t>
      </w:r>
      <w:bookmarkEnd w:id="170"/>
    </w:p>
    <w:p w14:paraId="49408A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171" w:name="_Toc217446099"/>
      <w:r>
        <w:rPr>
          <w:rFonts w:hint="eastAsia" w:ascii="宋体" w:hAnsi="宋体" w:eastAsia="宋体" w:cs="宋体"/>
          <w:color w:val="auto"/>
          <w:sz w:val="24"/>
          <w:szCs w:val="24"/>
          <w:highlight w:val="none"/>
        </w:rPr>
        <w:t>3.1资格审查</w:t>
      </w:r>
    </w:p>
    <w:p w14:paraId="597B005B">
      <w:pPr>
        <w:keepNext/>
        <w:keepLines/>
        <w:pageBreakBefore w:val="0"/>
        <w:kinsoku/>
        <w:wordWrap/>
        <w:overflowPunct/>
        <w:topLinePunct w:val="0"/>
        <w:autoSpaceDE/>
        <w:autoSpaceDN/>
        <w:bidi w:val="0"/>
        <w:adjustRightInd/>
        <w:spacing w:line="380" w:lineRule="exact"/>
        <w:jc w:val="center"/>
        <w:outlineLvl w:val="1"/>
        <w:rPr>
          <w:rFonts w:hint="eastAsia"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
          <w:bCs w:val="0"/>
          <w:color w:val="auto"/>
          <w:sz w:val="24"/>
          <w:szCs w:val="24"/>
          <w:highlight w:val="none"/>
        </w:rPr>
        <w:t>资格审查表</w:t>
      </w:r>
    </w:p>
    <w:tbl>
      <w:tblPr>
        <w:tblStyle w:val="31"/>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6691"/>
        <w:gridCol w:w="687"/>
        <w:gridCol w:w="748"/>
      </w:tblGrid>
      <w:tr w14:paraId="6344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532" w:type="dxa"/>
            <w:vMerge w:val="restart"/>
            <w:vAlign w:val="center"/>
          </w:tcPr>
          <w:p w14:paraId="4F2D440B">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691" w:type="dxa"/>
            <w:vMerge w:val="restart"/>
            <w:vAlign w:val="center"/>
          </w:tcPr>
          <w:p w14:paraId="5D715A2D">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   查   标   准</w:t>
            </w:r>
          </w:p>
        </w:tc>
        <w:tc>
          <w:tcPr>
            <w:tcW w:w="1435" w:type="dxa"/>
            <w:gridSpan w:val="2"/>
            <w:vAlign w:val="center"/>
          </w:tcPr>
          <w:p w14:paraId="1D6A9746">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w:t>
            </w:r>
          </w:p>
        </w:tc>
      </w:tr>
      <w:tr w14:paraId="3658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532" w:type="dxa"/>
            <w:vMerge w:val="continue"/>
            <w:vAlign w:val="center"/>
          </w:tcPr>
          <w:p w14:paraId="59DA1154">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c>
          <w:tcPr>
            <w:tcW w:w="6691" w:type="dxa"/>
            <w:vMerge w:val="continue"/>
            <w:vAlign w:val="center"/>
          </w:tcPr>
          <w:p w14:paraId="04C19849">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c>
          <w:tcPr>
            <w:tcW w:w="687" w:type="dxa"/>
            <w:vAlign w:val="center"/>
          </w:tcPr>
          <w:p w14:paraId="231413B3">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w:t>
            </w:r>
          </w:p>
        </w:tc>
        <w:tc>
          <w:tcPr>
            <w:tcW w:w="748" w:type="dxa"/>
            <w:vAlign w:val="center"/>
          </w:tcPr>
          <w:p w14:paraId="7B0F4496">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w:t>
            </w:r>
          </w:p>
        </w:tc>
      </w:tr>
      <w:tr w14:paraId="5202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4D43B05B">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6691" w:type="dxa"/>
            <w:shd w:val="clear" w:color="auto" w:fill="auto"/>
            <w:vAlign w:val="center"/>
          </w:tcPr>
          <w:p w14:paraId="44E586EF">
            <w:pPr>
              <w:pStyle w:val="52"/>
              <w:spacing w:line="380" w:lineRule="exact"/>
              <w:textAlignment w:val="center"/>
              <w:rPr>
                <w:rFonts w:ascii="宋体" w:hAnsi="宋体" w:cs="宋体"/>
                <w:color w:val="auto"/>
                <w:highlight w:val="none"/>
              </w:rPr>
            </w:pPr>
            <w:r>
              <w:rPr>
                <w:rFonts w:hint="eastAsia" w:ascii="宋体" w:hAnsi="宋体" w:cs="宋体"/>
                <w:color w:val="auto"/>
                <w:highlight w:val="none"/>
              </w:rPr>
              <w:t>具有独立承担民事责任的能力；</w:t>
            </w:r>
          </w:p>
          <w:p w14:paraId="0532C525">
            <w:pPr>
              <w:pStyle w:val="52"/>
              <w:spacing w:line="380" w:lineRule="exac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highlight w:val="none"/>
              </w:rPr>
              <w:t>【供应商满足以下条件之一即可：供应商为企业（包括合伙企业）的，应提供有效的“营业执照”； 供应商为事业单位的，应提供有效的“事业单位法人证书”； 供应商是非企业机构的，应提供有效的“执业许可证”、“登记证书”等证明文件； 供应商是个体工商户的，应提供有效的“个体工商户营业执照”； 供应商是自然人的，应提供有效的自然人身份证明。】</w:t>
            </w:r>
          </w:p>
        </w:tc>
        <w:tc>
          <w:tcPr>
            <w:tcW w:w="687" w:type="dxa"/>
            <w:vAlign w:val="center"/>
          </w:tcPr>
          <w:p w14:paraId="040364BE">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c>
          <w:tcPr>
            <w:tcW w:w="748" w:type="dxa"/>
            <w:vAlign w:val="center"/>
          </w:tcPr>
          <w:p w14:paraId="0E4EDE5B">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r>
      <w:tr w14:paraId="458F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2BB3EC2E">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6691" w:type="dxa"/>
            <w:shd w:val="clear" w:color="auto" w:fill="auto"/>
            <w:vAlign w:val="center"/>
          </w:tcPr>
          <w:p w14:paraId="56BA268F">
            <w:pPr>
              <w:widowControl/>
              <w:spacing w:line="380" w:lineRule="exact"/>
              <w:rPr>
                <w:rFonts w:ascii="宋体" w:hAnsi="宋体" w:cs="宋体"/>
                <w:color w:val="auto"/>
                <w:sz w:val="24"/>
                <w:highlight w:val="none"/>
              </w:rPr>
            </w:pPr>
            <w:r>
              <w:rPr>
                <w:rFonts w:hint="eastAsia" w:ascii="宋体" w:hAnsi="宋体" w:cs="宋体"/>
                <w:color w:val="auto"/>
                <w:sz w:val="24"/>
                <w:highlight w:val="none"/>
              </w:rPr>
              <w:t>具有良好的商业信誉和健全的财务会计制度（供应商同时满足①和②）；</w:t>
            </w:r>
          </w:p>
          <w:p w14:paraId="0A8986E4">
            <w:pPr>
              <w:widowControl/>
              <w:spacing w:line="38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①以开标截止时间点投标人未列入“信用中国”&lt;www.creditchina.gov.cn&gt;网站的“失信被执行人”和“重大税收违法失信主体”（投标人为自然人时无需提供）及“中国政府采购网”&lt;www.ccgp.gov.cn&gt;网站的“政府采购严重违法失信行为记录名单”；开标截止时间点，由采购代理公司统一登陆网站查询递交投标文件的供应商信誉情况，并以保存的网页查询截图为准。②银行出具的近1年内资信证明或2024年度</w:t>
            </w:r>
            <w:r>
              <w:rPr>
                <w:rFonts w:hint="eastAsia" w:ascii="宋体" w:hAnsi="宋体" w:cs="宋体"/>
                <w:color w:val="auto"/>
                <w:sz w:val="24"/>
                <w:highlight w:val="none"/>
                <w:lang w:val="en-US" w:eastAsia="zh-CN"/>
              </w:rPr>
              <w:t>或2025年度</w:t>
            </w:r>
            <w:r>
              <w:rPr>
                <w:rFonts w:hint="eastAsia" w:ascii="宋体" w:hAnsi="宋体" w:cs="宋体"/>
                <w:color w:val="auto"/>
                <w:sz w:val="24"/>
                <w:highlight w:val="none"/>
              </w:rPr>
              <w:t>经审计的财务报告，新成立企业无需提供。】</w:t>
            </w:r>
          </w:p>
        </w:tc>
        <w:tc>
          <w:tcPr>
            <w:tcW w:w="687" w:type="dxa"/>
            <w:vAlign w:val="center"/>
          </w:tcPr>
          <w:p w14:paraId="5EE862DA">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c>
          <w:tcPr>
            <w:tcW w:w="748" w:type="dxa"/>
            <w:vAlign w:val="center"/>
          </w:tcPr>
          <w:p w14:paraId="7B2A70A4">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r>
      <w:tr w14:paraId="5605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229DA0AD">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6691" w:type="dxa"/>
            <w:shd w:val="clear" w:color="auto" w:fill="auto"/>
            <w:vAlign w:val="center"/>
          </w:tcPr>
          <w:p w14:paraId="40540128">
            <w:pPr>
              <w:widowControl/>
              <w:spacing w:line="380" w:lineRule="exact"/>
              <w:rPr>
                <w:rFonts w:ascii="宋体" w:hAnsi="宋体" w:cs="宋体"/>
                <w:color w:val="auto"/>
                <w:sz w:val="24"/>
                <w:highlight w:val="none"/>
              </w:rPr>
            </w:pPr>
            <w:r>
              <w:rPr>
                <w:rFonts w:hint="eastAsia" w:ascii="宋体" w:hAnsi="宋体" w:cs="宋体"/>
                <w:color w:val="auto"/>
                <w:sz w:val="24"/>
                <w:highlight w:val="none"/>
              </w:rPr>
              <w:t>具有履行合同所必需的设备和专业技术能力（供应商同时满足①和②）；</w:t>
            </w:r>
          </w:p>
          <w:p w14:paraId="7A09C976">
            <w:pPr>
              <w:widowControl/>
              <w:spacing w:line="38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【须提供：①相关设备或设施的购置发票或单据（任一）或提供承诺函；②</w:t>
            </w:r>
            <w:r>
              <w:rPr>
                <w:rFonts w:hint="eastAsia" w:ascii="宋体" w:hAnsi="宋体" w:cs="宋体"/>
                <w:color w:val="auto"/>
                <w:spacing w:val="-2"/>
                <w:sz w:val="24"/>
                <w:highlight w:val="none"/>
              </w:rPr>
              <w:t>提供具有履行合同所必需的设备和专业技术能力相关证明材料或声明</w:t>
            </w:r>
            <w:r>
              <w:rPr>
                <w:rFonts w:hint="eastAsia" w:ascii="宋体" w:hAnsi="宋体" w:cs="宋体"/>
                <w:color w:val="auto"/>
                <w:sz w:val="24"/>
                <w:highlight w:val="none"/>
              </w:rPr>
              <w:t>。】</w:t>
            </w:r>
          </w:p>
        </w:tc>
        <w:tc>
          <w:tcPr>
            <w:tcW w:w="687" w:type="dxa"/>
            <w:vAlign w:val="center"/>
          </w:tcPr>
          <w:p w14:paraId="66B88AA3">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c>
          <w:tcPr>
            <w:tcW w:w="748" w:type="dxa"/>
            <w:vAlign w:val="center"/>
          </w:tcPr>
          <w:p w14:paraId="60565444">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r>
      <w:tr w14:paraId="0830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0D6E7AE2">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6691" w:type="dxa"/>
            <w:shd w:val="clear" w:color="auto" w:fill="auto"/>
            <w:vAlign w:val="center"/>
          </w:tcPr>
          <w:p w14:paraId="2BEB1C17">
            <w:pPr>
              <w:pStyle w:val="12"/>
              <w:widowControl/>
              <w:spacing w:line="380" w:lineRule="exact"/>
              <w:rPr>
                <w:rFonts w:ascii="宋体" w:hAnsi="宋体" w:cs="宋体"/>
                <w:color w:val="auto"/>
                <w:sz w:val="24"/>
                <w:highlight w:val="none"/>
              </w:rPr>
            </w:pPr>
            <w:r>
              <w:rPr>
                <w:rFonts w:hint="eastAsia" w:ascii="宋体" w:hAnsi="宋体" w:cs="宋体"/>
                <w:color w:val="auto"/>
                <w:sz w:val="24"/>
                <w:highlight w:val="none"/>
              </w:rPr>
              <w:t>有依法缴纳税收和社会保障资金的良好记录（供应商同时满足①和②）；</w:t>
            </w:r>
          </w:p>
          <w:p w14:paraId="187894F9">
            <w:pPr>
              <w:pStyle w:val="12"/>
              <w:widowControl/>
              <w:spacing w:line="38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须提供：①近12个月内任意1个月已依法缴纳税收的凭据；②近12个月内任意1个月已依法缴纳社会保险的凭据（依法免税或不需要缴纳社会保障资金的投标人，应提供相应证明文件，新成立企业或自然人无需提供）。】</w:t>
            </w:r>
          </w:p>
        </w:tc>
        <w:tc>
          <w:tcPr>
            <w:tcW w:w="687" w:type="dxa"/>
            <w:vAlign w:val="center"/>
          </w:tcPr>
          <w:p w14:paraId="1577AD1C">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c>
          <w:tcPr>
            <w:tcW w:w="748" w:type="dxa"/>
            <w:vAlign w:val="center"/>
          </w:tcPr>
          <w:p w14:paraId="19D4907E">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r>
      <w:tr w14:paraId="5009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60CCC1FF">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6691" w:type="dxa"/>
            <w:shd w:val="clear" w:color="auto" w:fill="auto"/>
            <w:vAlign w:val="center"/>
          </w:tcPr>
          <w:p w14:paraId="5D5A36C5">
            <w:pPr>
              <w:widowControl/>
              <w:spacing w:line="380" w:lineRule="exact"/>
              <w:rPr>
                <w:rFonts w:ascii="宋体" w:hAnsi="宋体" w:cs="宋体"/>
                <w:color w:val="auto"/>
                <w:sz w:val="24"/>
                <w:highlight w:val="none"/>
              </w:rPr>
            </w:pPr>
            <w:r>
              <w:rPr>
                <w:rFonts w:hint="eastAsia" w:ascii="宋体" w:hAnsi="宋体" w:cs="宋体"/>
                <w:color w:val="auto"/>
                <w:sz w:val="24"/>
                <w:highlight w:val="none"/>
              </w:rPr>
              <w:t>参加本次政府采购活动前三年内，在经营活动中没有重大违法记录；</w:t>
            </w:r>
          </w:p>
          <w:p w14:paraId="63C020F5">
            <w:pPr>
              <w:widowControl/>
              <w:spacing w:line="38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 xml:space="preserve">【须提供：书面声明（投标人自行承诺并承担后果，声明不实的，按《政府采购法》及相关法律法规中提供虚假材料的有关规定处理。】 </w:t>
            </w:r>
          </w:p>
        </w:tc>
        <w:tc>
          <w:tcPr>
            <w:tcW w:w="687" w:type="dxa"/>
            <w:vAlign w:val="center"/>
          </w:tcPr>
          <w:p w14:paraId="5D665395">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c>
          <w:tcPr>
            <w:tcW w:w="748" w:type="dxa"/>
            <w:vAlign w:val="center"/>
          </w:tcPr>
          <w:p w14:paraId="47B4DF9C">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r>
      <w:tr w14:paraId="280E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70406186">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6691" w:type="dxa"/>
            <w:shd w:val="clear" w:color="auto" w:fill="auto"/>
            <w:vAlign w:val="center"/>
          </w:tcPr>
          <w:p w14:paraId="3029E181">
            <w:pPr>
              <w:widowControl/>
              <w:spacing w:line="38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本项目不接受联合体投标；【无</w:t>
            </w:r>
            <w:r>
              <w:rPr>
                <w:rFonts w:hint="eastAsia" w:ascii="宋体" w:hAnsi="宋体" w:cs="宋体"/>
                <w:color w:val="auto"/>
                <w:sz w:val="24"/>
                <w:highlight w:val="none"/>
                <w:lang w:val="en-US" w:eastAsia="zh-CN"/>
              </w:rPr>
              <w:t>须</w:t>
            </w:r>
            <w:r>
              <w:rPr>
                <w:rFonts w:hint="eastAsia" w:ascii="宋体" w:hAnsi="宋体" w:cs="宋体"/>
                <w:color w:val="auto"/>
                <w:sz w:val="24"/>
                <w:highlight w:val="none"/>
              </w:rPr>
              <w:t xml:space="preserve">提供任何证明材料。】 </w:t>
            </w:r>
          </w:p>
        </w:tc>
        <w:tc>
          <w:tcPr>
            <w:tcW w:w="687" w:type="dxa"/>
            <w:vAlign w:val="center"/>
          </w:tcPr>
          <w:p w14:paraId="3038C422">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c>
          <w:tcPr>
            <w:tcW w:w="748" w:type="dxa"/>
            <w:vAlign w:val="center"/>
          </w:tcPr>
          <w:p w14:paraId="7C5E2EB0">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r>
      <w:tr w14:paraId="47A4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7A652741">
            <w:pPr>
              <w:pStyle w:val="52"/>
              <w:pageBreakBefore w:val="0"/>
              <w:kinsoku/>
              <w:wordWrap/>
              <w:overflowPunct/>
              <w:topLinePunct w:val="0"/>
              <w:autoSpaceDE/>
              <w:autoSpaceDN/>
              <w:bidi w:val="0"/>
              <w:adjustRightInd/>
              <w:spacing w:line="240" w:lineRule="auto"/>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p>
        </w:tc>
        <w:tc>
          <w:tcPr>
            <w:tcW w:w="6691" w:type="dxa"/>
            <w:shd w:val="clear" w:color="auto" w:fill="auto"/>
            <w:vAlign w:val="center"/>
          </w:tcPr>
          <w:p w14:paraId="74D46088">
            <w:pPr>
              <w:widowControl/>
              <w:spacing w:line="380" w:lineRule="exact"/>
              <w:rPr>
                <w:rFonts w:ascii="宋体" w:hAnsi="宋体" w:cs="宋体"/>
                <w:color w:val="auto"/>
                <w:sz w:val="24"/>
                <w:highlight w:val="none"/>
              </w:rPr>
            </w:pPr>
            <w:r>
              <w:rPr>
                <w:rFonts w:hint="eastAsia" w:ascii="宋体" w:hAnsi="宋体" w:cs="宋体"/>
                <w:color w:val="auto"/>
                <w:sz w:val="24"/>
                <w:highlight w:val="none"/>
              </w:rPr>
              <w:t>单位负责人为同一人或者存在直接控股、管理关系的不同投标人，不得参加同一合同项下的政府采购活动；</w:t>
            </w:r>
          </w:p>
          <w:p w14:paraId="60AA40A2">
            <w:pPr>
              <w:widowControl/>
              <w:spacing w:line="38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 xml:space="preserve">【须提供：书面声明（投标人自行承诺并承担后果，声明函不实的，按《政府采购法》及相关法律法规中提供虚假材料的有关规定处理。】 </w:t>
            </w:r>
          </w:p>
        </w:tc>
        <w:tc>
          <w:tcPr>
            <w:tcW w:w="687" w:type="dxa"/>
            <w:vAlign w:val="center"/>
          </w:tcPr>
          <w:p w14:paraId="4763FB0E">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c>
          <w:tcPr>
            <w:tcW w:w="748" w:type="dxa"/>
            <w:vAlign w:val="center"/>
          </w:tcPr>
          <w:p w14:paraId="2F924593">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r>
      <w:tr w14:paraId="2C16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49349510">
            <w:pPr>
              <w:pStyle w:val="52"/>
              <w:pageBreakBefore w:val="0"/>
              <w:kinsoku/>
              <w:wordWrap/>
              <w:overflowPunct/>
              <w:topLinePunct w:val="0"/>
              <w:autoSpaceDE/>
              <w:autoSpaceDN/>
              <w:bidi w:val="0"/>
              <w:adjustRightInd/>
              <w:spacing w:line="240" w:lineRule="auto"/>
              <w:jc w:val="center"/>
              <w:textAlignment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p>
        </w:tc>
        <w:tc>
          <w:tcPr>
            <w:tcW w:w="6691" w:type="dxa"/>
            <w:shd w:val="clear" w:color="auto" w:fill="auto"/>
            <w:vAlign w:val="center"/>
          </w:tcPr>
          <w:p w14:paraId="7067D13B">
            <w:pPr>
              <w:widowControl/>
              <w:spacing w:line="380" w:lineRule="exact"/>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本项目</w:t>
            </w:r>
            <w:r>
              <w:rPr>
                <w:rFonts w:hint="eastAsia" w:ascii="宋体" w:hAnsi="宋体" w:eastAsia="宋体" w:cs="宋体"/>
                <w:b w:val="0"/>
                <w:bCs/>
                <w:color w:val="auto"/>
                <w:sz w:val="24"/>
                <w:szCs w:val="24"/>
                <w:highlight w:val="none"/>
                <w:shd w:val="clear" w:color="auto" w:fill="auto"/>
              </w:rPr>
              <w:t>为专门面向</w:t>
            </w:r>
            <w:r>
              <w:rPr>
                <w:rFonts w:hint="eastAsia" w:ascii="宋体" w:hAnsi="宋体" w:eastAsia="宋体" w:cs="宋体"/>
                <w:b w:val="0"/>
                <w:bCs/>
                <w:color w:val="auto"/>
                <w:sz w:val="24"/>
                <w:szCs w:val="24"/>
                <w:highlight w:val="none"/>
                <w:shd w:val="clear" w:color="auto" w:fill="auto"/>
                <w:lang w:val="en-US" w:eastAsia="zh-CN"/>
              </w:rPr>
              <w:t>中小</w:t>
            </w:r>
            <w:r>
              <w:rPr>
                <w:rFonts w:hint="eastAsia" w:ascii="宋体" w:hAnsi="宋体" w:eastAsia="宋体" w:cs="宋体"/>
                <w:b w:val="0"/>
                <w:bCs/>
                <w:color w:val="auto"/>
                <w:sz w:val="24"/>
                <w:szCs w:val="24"/>
                <w:highlight w:val="none"/>
                <w:shd w:val="clear" w:color="auto" w:fill="auto"/>
              </w:rPr>
              <w:t>企业（含中型、小型、微型企业）采购的项目，</w:t>
            </w:r>
            <w:r>
              <w:rPr>
                <w:rFonts w:hint="eastAsia" w:ascii="宋体" w:hAnsi="宋体" w:eastAsia="宋体" w:cs="宋体"/>
                <w:b w:val="0"/>
                <w:bCs/>
                <w:color w:val="auto"/>
                <w:sz w:val="24"/>
                <w:szCs w:val="24"/>
                <w:highlight w:val="none"/>
                <w:shd w:val="clear" w:color="auto" w:fill="auto"/>
                <w:lang w:val="en-US" w:eastAsia="zh-CN"/>
              </w:rPr>
              <w:t>供应商</w:t>
            </w:r>
            <w:r>
              <w:rPr>
                <w:rFonts w:hint="eastAsia" w:ascii="宋体" w:hAnsi="宋体" w:eastAsia="宋体" w:cs="宋体"/>
                <w:b w:val="0"/>
                <w:bCs/>
                <w:color w:val="auto"/>
                <w:sz w:val="24"/>
                <w:szCs w:val="24"/>
                <w:highlight w:val="none"/>
                <w:shd w:val="clear" w:color="auto" w:fill="auto"/>
              </w:rPr>
              <w:t>应为</w:t>
            </w:r>
            <w:r>
              <w:rPr>
                <w:rFonts w:hint="eastAsia" w:ascii="宋体" w:hAnsi="宋体" w:eastAsia="宋体" w:cs="宋体"/>
                <w:b w:val="0"/>
                <w:bCs/>
                <w:color w:val="auto"/>
                <w:sz w:val="24"/>
                <w:szCs w:val="24"/>
                <w:highlight w:val="none"/>
                <w:shd w:val="clear" w:color="auto" w:fill="auto"/>
                <w:lang w:val="en-US" w:eastAsia="zh-CN"/>
              </w:rPr>
              <w:t>中小</w:t>
            </w:r>
            <w:r>
              <w:rPr>
                <w:rFonts w:hint="eastAsia" w:ascii="宋体" w:hAnsi="宋体" w:eastAsia="宋体" w:cs="宋体"/>
                <w:b w:val="0"/>
                <w:bCs/>
                <w:color w:val="auto"/>
                <w:sz w:val="24"/>
                <w:szCs w:val="24"/>
                <w:highlight w:val="none"/>
                <w:shd w:val="clear" w:color="auto" w:fill="auto"/>
              </w:rPr>
              <w:t>企业或监狱企业或残疾人福利性单位</w:t>
            </w: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eastAsia="宋体" w:cs="宋体"/>
                <w:b w:val="0"/>
                <w:bCs/>
                <w:color w:val="auto"/>
                <w:sz w:val="24"/>
                <w:szCs w:val="24"/>
                <w:highlight w:val="none"/>
                <w:shd w:val="clear" w:color="auto" w:fill="auto"/>
                <w:lang w:val="en-US" w:eastAsia="zh-CN"/>
              </w:rPr>
              <w:t>根据《政府采购促进中小企业发展管理办法》（财库[2020]46 号）的规定，不再执行价格评审优惠的扶持政策</w:t>
            </w:r>
            <w:r>
              <w:rPr>
                <w:rFonts w:hint="eastAsia" w:ascii="宋体" w:hAnsi="宋体" w:eastAsia="宋体" w:cs="宋体"/>
                <w:b w:val="0"/>
                <w:bCs/>
                <w:color w:val="auto"/>
                <w:sz w:val="24"/>
                <w:szCs w:val="24"/>
                <w:highlight w:val="none"/>
                <w:shd w:val="clear" w:color="auto" w:fill="auto"/>
              </w:rPr>
              <w:t>。</w:t>
            </w:r>
          </w:p>
          <w:p w14:paraId="626EAC41">
            <w:pPr>
              <w:widowControl/>
              <w:spacing w:line="380" w:lineRule="exact"/>
              <w:rPr>
                <w:rFonts w:hint="eastAsia" w:ascii="宋体" w:hAnsi="宋体" w:cs="宋体"/>
                <w:color w:val="auto"/>
                <w:sz w:val="24"/>
                <w:highlight w:val="none"/>
              </w:rPr>
            </w:pPr>
            <w:r>
              <w:rPr>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color w:val="auto"/>
                <w:sz w:val="24"/>
                <w:szCs w:val="24"/>
                <w:highlight w:val="none"/>
              </w:rPr>
              <w:t>满足条件的企业需在投标文件中提供《中小企业声明函》、《残疾人福利性单位声明函》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或省级以上监狱管理局、戒毒管理局（含新疆生产建设兵团）出具的属于监狱企业的证明文件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b w:val="0"/>
                <w:bCs/>
                <w:color w:val="auto"/>
                <w:sz w:val="24"/>
                <w:szCs w:val="24"/>
                <w:highlight w:val="none"/>
                <w:shd w:val="clear" w:color="auto" w:fill="auto"/>
              </w:rPr>
              <w:t>】</w:t>
            </w:r>
          </w:p>
        </w:tc>
        <w:tc>
          <w:tcPr>
            <w:tcW w:w="687" w:type="dxa"/>
            <w:vAlign w:val="center"/>
          </w:tcPr>
          <w:p w14:paraId="7163A4F7">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c>
          <w:tcPr>
            <w:tcW w:w="748" w:type="dxa"/>
            <w:vAlign w:val="center"/>
          </w:tcPr>
          <w:p w14:paraId="747B30A9">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r>
      <w:tr w14:paraId="435E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23" w:type="dxa"/>
            <w:gridSpan w:val="2"/>
            <w:vAlign w:val="center"/>
          </w:tcPr>
          <w:p w14:paraId="6E678070">
            <w:pPr>
              <w:pageBreakBefore w:val="0"/>
              <w:widowControl/>
              <w:kinsoku/>
              <w:wordWrap/>
              <w:overflowPunct/>
              <w:topLinePunct w:val="0"/>
              <w:autoSpaceDE/>
              <w:autoSpaceDN/>
              <w:bidi w:val="0"/>
              <w:adjustRightInd/>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审查结果（通过/不通过）</w:t>
            </w:r>
          </w:p>
        </w:tc>
        <w:tc>
          <w:tcPr>
            <w:tcW w:w="687" w:type="dxa"/>
            <w:vAlign w:val="center"/>
          </w:tcPr>
          <w:p w14:paraId="4D6CBB01">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c>
          <w:tcPr>
            <w:tcW w:w="748" w:type="dxa"/>
            <w:vAlign w:val="center"/>
          </w:tcPr>
          <w:p w14:paraId="6A78E365">
            <w:pPr>
              <w:pStyle w:val="52"/>
              <w:pageBreakBefore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highlight w:val="none"/>
              </w:rPr>
            </w:pPr>
          </w:p>
        </w:tc>
      </w:tr>
      <w:tr w14:paraId="6721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8658" w:type="dxa"/>
            <w:gridSpan w:val="4"/>
            <w:vAlign w:val="center"/>
          </w:tcPr>
          <w:p w14:paraId="718D6379">
            <w:pPr>
              <w:pStyle w:val="52"/>
              <w:pageBreakBefore w:val="0"/>
              <w:kinsoku/>
              <w:wordWrap/>
              <w:overflowPunct/>
              <w:topLinePunct w:val="0"/>
              <w:autoSpaceDE/>
              <w:autoSpaceDN/>
              <w:bidi w:val="0"/>
              <w:adjustRightInd/>
              <w:spacing w:line="24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备注：如果</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中有一项未通过上述审查标准，</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将认定整个</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不响应</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件而予以无效处理，并且不允许</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通过修改或撤销其不符合要求的差异或保留，使之成为具有响应性的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w:t>
            </w:r>
          </w:p>
        </w:tc>
      </w:tr>
    </w:tbl>
    <w:p w14:paraId="539EEF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3.2符合性审查。依据招标文件的规定，从投标文件的有效性、完整性和对招标文件的响应程度进行审查，以确定是否对招标文件的实质性要求作出响应。</w:t>
      </w:r>
    </w:p>
    <w:p w14:paraId="7A8AAD63">
      <w:pPr>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bl>
      <w:tblPr>
        <w:tblStyle w:val="31"/>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6100"/>
        <w:gridCol w:w="782"/>
        <w:gridCol w:w="853"/>
      </w:tblGrid>
      <w:tr w14:paraId="5129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16" w:type="dxa"/>
            <w:vMerge w:val="restart"/>
            <w:vAlign w:val="center"/>
          </w:tcPr>
          <w:p w14:paraId="0559E16A">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100" w:type="dxa"/>
            <w:vMerge w:val="restart"/>
            <w:vAlign w:val="center"/>
          </w:tcPr>
          <w:p w14:paraId="55B53D88">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   查   标   准</w:t>
            </w:r>
          </w:p>
        </w:tc>
        <w:tc>
          <w:tcPr>
            <w:tcW w:w="1635" w:type="dxa"/>
            <w:gridSpan w:val="2"/>
            <w:vAlign w:val="center"/>
          </w:tcPr>
          <w:p w14:paraId="6E5FB715">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w:t>
            </w:r>
          </w:p>
        </w:tc>
      </w:tr>
      <w:tr w14:paraId="1F22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616" w:type="dxa"/>
            <w:vMerge w:val="continue"/>
            <w:vAlign w:val="center"/>
          </w:tcPr>
          <w:p w14:paraId="64ECA23B">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6100" w:type="dxa"/>
            <w:vMerge w:val="continue"/>
            <w:vAlign w:val="center"/>
          </w:tcPr>
          <w:p w14:paraId="72C55914">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782" w:type="dxa"/>
            <w:vAlign w:val="center"/>
          </w:tcPr>
          <w:p w14:paraId="0FB9BF14">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w:t>
            </w:r>
          </w:p>
        </w:tc>
        <w:tc>
          <w:tcPr>
            <w:tcW w:w="853" w:type="dxa"/>
            <w:vAlign w:val="center"/>
          </w:tcPr>
          <w:p w14:paraId="5277F31F">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w:t>
            </w:r>
          </w:p>
        </w:tc>
      </w:tr>
      <w:tr w14:paraId="2A64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63AACA22">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100" w:type="dxa"/>
            <w:vAlign w:val="center"/>
          </w:tcPr>
          <w:p w14:paraId="6C04A9D1">
            <w:pPr>
              <w:pStyle w:val="52"/>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w:t>
            </w:r>
            <w:r>
              <w:rPr>
                <w:rFonts w:hint="eastAsia" w:ascii="宋体" w:hAnsi="宋体" w:cs="宋体"/>
                <w:color w:val="auto"/>
                <w:sz w:val="24"/>
                <w:szCs w:val="24"/>
                <w:highlight w:val="none"/>
                <w:lang w:val="en-US" w:eastAsia="zh-CN"/>
              </w:rPr>
              <w:t>编制</w:t>
            </w:r>
            <w:r>
              <w:rPr>
                <w:rFonts w:hint="eastAsia" w:ascii="宋体" w:hAnsi="宋体" w:eastAsia="宋体" w:cs="宋体"/>
                <w:color w:val="auto"/>
                <w:sz w:val="24"/>
                <w:szCs w:val="24"/>
                <w:highlight w:val="none"/>
              </w:rPr>
              <w:t>符合招标文件要求；</w:t>
            </w:r>
          </w:p>
        </w:tc>
        <w:tc>
          <w:tcPr>
            <w:tcW w:w="782" w:type="dxa"/>
            <w:vAlign w:val="center"/>
          </w:tcPr>
          <w:p w14:paraId="7B270F15">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853" w:type="dxa"/>
            <w:vAlign w:val="center"/>
          </w:tcPr>
          <w:p w14:paraId="3D15699F">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7B14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0DDA29A2">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100" w:type="dxa"/>
            <w:vAlign w:val="center"/>
          </w:tcPr>
          <w:p w14:paraId="047DBDBB">
            <w:pPr>
              <w:pStyle w:val="52"/>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按照招标文件规定和要求</w:t>
            </w:r>
            <w:r>
              <w:rPr>
                <w:rFonts w:hint="eastAsia" w:ascii="宋体" w:hAnsi="宋体" w:cs="宋体"/>
                <w:color w:val="auto"/>
                <w:sz w:val="24"/>
                <w:szCs w:val="24"/>
                <w:highlight w:val="none"/>
                <w:lang w:val="en-US" w:eastAsia="zh-CN"/>
              </w:rPr>
              <w:t>加密</w:t>
            </w:r>
            <w:r>
              <w:rPr>
                <w:rFonts w:hint="eastAsia" w:ascii="宋体" w:hAnsi="宋体" w:eastAsia="宋体" w:cs="宋体"/>
                <w:color w:val="auto"/>
                <w:sz w:val="24"/>
                <w:szCs w:val="24"/>
                <w:highlight w:val="none"/>
              </w:rPr>
              <w:t>、签章；</w:t>
            </w:r>
          </w:p>
        </w:tc>
        <w:tc>
          <w:tcPr>
            <w:tcW w:w="782" w:type="dxa"/>
            <w:vAlign w:val="center"/>
          </w:tcPr>
          <w:p w14:paraId="71E0FCEC">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853" w:type="dxa"/>
            <w:vAlign w:val="center"/>
          </w:tcPr>
          <w:p w14:paraId="7D368ABE">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0853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4D5F0716">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100" w:type="dxa"/>
            <w:vAlign w:val="center"/>
          </w:tcPr>
          <w:p w14:paraId="01F8DE39">
            <w:pPr>
              <w:pStyle w:val="52"/>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按照招标文件规定缴纳投标保证金；</w:t>
            </w:r>
          </w:p>
        </w:tc>
        <w:tc>
          <w:tcPr>
            <w:tcW w:w="782" w:type="dxa"/>
            <w:vAlign w:val="center"/>
          </w:tcPr>
          <w:p w14:paraId="0B51B8B8">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853" w:type="dxa"/>
            <w:vAlign w:val="center"/>
          </w:tcPr>
          <w:p w14:paraId="0D54E311">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0CAA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7367EC74">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100" w:type="dxa"/>
            <w:vAlign w:val="center"/>
          </w:tcPr>
          <w:p w14:paraId="098726D0">
            <w:pPr>
              <w:pStyle w:val="52"/>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投标报价不得高于设定的最高限价；</w:t>
            </w:r>
          </w:p>
        </w:tc>
        <w:tc>
          <w:tcPr>
            <w:tcW w:w="782" w:type="dxa"/>
            <w:vAlign w:val="center"/>
          </w:tcPr>
          <w:p w14:paraId="04FE8278">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853" w:type="dxa"/>
            <w:vAlign w:val="center"/>
          </w:tcPr>
          <w:p w14:paraId="3238D55C">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625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525527DF">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100" w:type="dxa"/>
            <w:vAlign w:val="center"/>
          </w:tcPr>
          <w:p w14:paraId="6F06D0DD">
            <w:pPr>
              <w:pStyle w:val="52"/>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供货期限</w:t>
            </w:r>
            <w:r>
              <w:rPr>
                <w:rFonts w:hint="eastAsia" w:ascii="宋体" w:hAnsi="宋体" w:eastAsia="宋体" w:cs="宋体"/>
                <w:color w:val="auto"/>
                <w:sz w:val="24"/>
                <w:szCs w:val="24"/>
                <w:highlight w:val="none"/>
              </w:rPr>
              <w:t>符合招标文件规定期限；</w:t>
            </w:r>
          </w:p>
        </w:tc>
        <w:tc>
          <w:tcPr>
            <w:tcW w:w="782" w:type="dxa"/>
            <w:vAlign w:val="center"/>
          </w:tcPr>
          <w:p w14:paraId="02C7B792">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853" w:type="dxa"/>
            <w:vAlign w:val="center"/>
          </w:tcPr>
          <w:p w14:paraId="0CB82C5C">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165E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exact"/>
          <w:jc w:val="center"/>
        </w:trPr>
        <w:tc>
          <w:tcPr>
            <w:tcW w:w="616" w:type="dxa"/>
            <w:vAlign w:val="center"/>
          </w:tcPr>
          <w:p w14:paraId="1B6FF5F2">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100" w:type="dxa"/>
            <w:vAlign w:val="center"/>
          </w:tcPr>
          <w:p w14:paraId="140C71B5">
            <w:pPr>
              <w:pStyle w:val="52"/>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按照招标文件规定的格式要求编制投标文件，实质性响应招标文件内容；</w:t>
            </w:r>
          </w:p>
        </w:tc>
        <w:tc>
          <w:tcPr>
            <w:tcW w:w="782" w:type="dxa"/>
            <w:vAlign w:val="center"/>
          </w:tcPr>
          <w:p w14:paraId="4C25D216">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853" w:type="dxa"/>
            <w:vAlign w:val="center"/>
          </w:tcPr>
          <w:p w14:paraId="62AA48F0">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0529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616" w:type="dxa"/>
            <w:vAlign w:val="center"/>
          </w:tcPr>
          <w:p w14:paraId="68D3521F">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6100" w:type="dxa"/>
            <w:vAlign w:val="center"/>
          </w:tcPr>
          <w:p w14:paraId="2CD7C89F">
            <w:pPr>
              <w:pStyle w:val="52"/>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投标文件不得附有采购人不能接受的条件</w:t>
            </w:r>
            <w:r>
              <w:rPr>
                <w:rFonts w:hint="eastAsia" w:ascii="宋体" w:hAnsi="宋体" w:eastAsia="宋体" w:cs="宋体"/>
                <w:color w:val="auto"/>
                <w:sz w:val="24"/>
                <w:szCs w:val="24"/>
                <w:highlight w:val="none"/>
                <w:lang w:eastAsia="zh-CN"/>
              </w:rPr>
              <w:t>。</w:t>
            </w:r>
          </w:p>
        </w:tc>
        <w:tc>
          <w:tcPr>
            <w:tcW w:w="782" w:type="dxa"/>
            <w:vAlign w:val="center"/>
          </w:tcPr>
          <w:p w14:paraId="0D8D15A0">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853" w:type="dxa"/>
            <w:vAlign w:val="center"/>
          </w:tcPr>
          <w:p w14:paraId="781C4E3A">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4A54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6716" w:type="dxa"/>
            <w:gridSpan w:val="2"/>
            <w:vAlign w:val="center"/>
          </w:tcPr>
          <w:p w14:paraId="09EDB238">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审查结果（通过/不通过）</w:t>
            </w:r>
          </w:p>
        </w:tc>
        <w:tc>
          <w:tcPr>
            <w:tcW w:w="782" w:type="dxa"/>
            <w:vAlign w:val="center"/>
          </w:tcPr>
          <w:p w14:paraId="45631344">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853" w:type="dxa"/>
            <w:vAlign w:val="center"/>
          </w:tcPr>
          <w:p w14:paraId="5346B143">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4214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8351" w:type="dxa"/>
            <w:gridSpan w:val="4"/>
            <w:vAlign w:val="center"/>
          </w:tcPr>
          <w:p w14:paraId="0FFD6F24">
            <w:pPr>
              <w:pStyle w:val="52"/>
              <w:pageBreakBefore w:val="0"/>
              <w:kinsoku/>
              <w:wordWrap/>
              <w:overflowPunct/>
              <w:topLinePunct w:val="0"/>
              <w:autoSpaceDE/>
              <w:autoSpaceDN/>
              <w:bidi w:val="0"/>
              <w:adjustRightInd/>
              <w:spacing w:line="3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备注：如果投标文件中有一项未通过上述审查标准，评标委员会将认定整个投标文件不响应招标文件而予以无效处理，并且不允许投标人通过修改或撤销其不符合要求的差异或保留，使之成为具有响应性的投标。</w:t>
            </w:r>
          </w:p>
        </w:tc>
      </w:tr>
    </w:tbl>
    <w:p w14:paraId="3F6BACA8">
      <w:pPr>
        <w:pStyle w:val="13"/>
        <w:keepNext w:val="0"/>
        <w:keepLines w:val="0"/>
        <w:pageBreakBefore w:val="0"/>
        <w:widowControl w:val="0"/>
        <w:tabs>
          <w:tab w:val="left" w:pos="6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3.2.1在投标文件符合性审查过程中，如果出现评标委员会成员意见不一致的情况，按照少数服从多数的原则确定，但不得违背政府采购基本原则和招标文件规定。</w:t>
      </w:r>
    </w:p>
    <w:p w14:paraId="1119397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72" w:name="_Toc183682422"/>
      <w:bookmarkStart w:id="173" w:name="_Toc217446104"/>
      <w:bookmarkStart w:id="174" w:name="_Toc183582287"/>
    </w:p>
    <w:bookmarkEnd w:id="172"/>
    <w:bookmarkEnd w:id="173"/>
    <w:bookmarkEnd w:id="174"/>
    <w:p w14:paraId="29B1F50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3.4比较与评价。按招</w:t>
      </w:r>
      <w:r>
        <w:rPr>
          <w:rFonts w:hint="eastAsia" w:ascii="宋体" w:hAnsi="宋体" w:eastAsia="宋体" w:cs="宋体"/>
          <w:b w:val="0"/>
          <w:bCs w:val="0"/>
          <w:color w:val="auto"/>
          <w:sz w:val="24"/>
          <w:szCs w:val="24"/>
          <w:highlight w:val="none"/>
        </w:rPr>
        <w:t>标文件中规定的评标方法和标准，对符合性审查合格的投标文件进行综合比较与评价。</w:t>
      </w:r>
    </w:p>
    <w:p w14:paraId="4093D7C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3.5推荐中标候选人名单。中标候选人数量应当根据招标文件确定，但必须按顺序排列中标候选人。</w:t>
      </w:r>
    </w:p>
    <w:p w14:paraId="72DFFE5C">
      <w:pPr>
        <w:pStyle w:val="46"/>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b w:val="0"/>
          <w:bCs w:val="0"/>
          <w:color w:val="auto"/>
          <w:sz w:val="24"/>
          <w:szCs w:val="24"/>
          <w:highlight w:val="none"/>
          <w:shd w:val="clear" w:color="auto" w:fill="FAFAFA"/>
        </w:rPr>
        <w:t>，按照技术指标优劣顺序推荐</w:t>
      </w:r>
      <w:r>
        <w:rPr>
          <w:rFonts w:hint="eastAsia" w:ascii="宋体" w:hAnsi="宋体" w:eastAsia="宋体" w:cs="宋体"/>
          <w:b w:val="0"/>
          <w:bCs w:val="0"/>
          <w:color w:val="auto"/>
          <w:sz w:val="24"/>
          <w:szCs w:val="24"/>
          <w:highlight w:val="none"/>
        </w:rPr>
        <w:t>。</w:t>
      </w:r>
    </w:p>
    <w:p w14:paraId="6F31569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3.6编写评标报告。评标报告是评标委员会根据评标委员成员签字的原始评标记录和评标结果编写的报告，其主要内容包括：</w:t>
      </w:r>
    </w:p>
    <w:p w14:paraId="666F58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（1）项目概况、开标日期和地点；</w:t>
      </w:r>
    </w:p>
    <w:p w14:paraId="2BC0319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（2）参与竞争的的投标人名单和评标委员会成员名单；</w:t>
      </w:r>
    </w:p>
    <w:p w14:paraId="477D255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（3）评审因素和评分标准；</w:t>
      </w:r>
    </w:p>
    <w:p w14:paraId="2897968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（4）开标记录和评标情况及说明，包括投标无效投标人名单及原因；</w:t>
      </w:r>
    </w:p>
    <w:p w14:paraId="6CB7670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（5）评标结果和中标候选人排序。</w:t>
      </w:r>
    </w:p>
    <w:p w14:paraId="464AD60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bookmarkStart w:id="175" w:name="_Toc217446103"/>
      <w:r>
        <w:rPr>
          <w:rFonts w:hint="eastAsia" w:ascii="宋体" w:hAnsi="宋体" w:eastAsia="宋体" w:cs="宋体"/>
          <w:b w:val="0"/>
          <w:bCs w:val="0"/>
          <w:color w:val="auto"/>
          <w:sz w:val="24"/>
          <w:szCs w:val="24"/>
          <w:highlight w:val="none"/>
        </w:rPr>
        <w:t>4. 评标细则及标准</w:t>
      </w:r>
      <w:bookmarkEnd w:id="175"/>
    </w:p>
    <w:p w14:paraId="75C318C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 评标委员会只对通过符合性审查的投标文件，根据招标文件的要求采用相同的评标程序、评分办法及标准进行评价和比较。</w:t>
      </w:r>
    </w:p>
    <w:p w14:paraId="6D1F5F0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 本次综合评分的因素是：商务、价格、技术服务、业绩、对招标文件的响应程度以及投标文件规范性等。</w:t>
      </w:r>
    </w:p>
    <w:p w14:paraId="66080A2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4.3 除价格因素外，评标委员会成员应依据投标文件规定的评审因素和评分标准进行比较打分。</w:t>
      </w:r>
    </w:p>
    <w:p w14:paraId="4B9FE17F">
      <w:pPr>
        <w:pStyle w:val="13"/>
        <w:keepNext w:val="0"/>
        <w:keepLines w:val="0"/>
        <w:pageBreakBefore w:val="0"/>
        <w:widowControl w:val="0"/>
        <w:tabs>
          <w:tab w:val="left" w:pos="6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4.4评标细则及标准的制定以科学合理、降低评标委员会自由裁量权为原则。</w:t>
      </w:r>
    </w:p>
    <w:p w14:paraId="77E55398">
      <w:pPr>
        <w:pStyle w:val="13"/>
        <w:keepNext w:val="0"/>
        <w:keepLines w:val="0"/>
        <w:pageBreakBefore w:val="0"/>
        <w:widowControl w:val="0"/>
        <w:tabs>
          <w:tab w:val="left" w:pos="6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4.5评标委员会将按照下述评分标准对通过符合性审查的投标文件进行详细评标，投标人评标得分等于所有评委评分的算术平均值，结果保留两位小数。</w:t>
      </w:r>
    </w:p>
    <w:p w14:paraId="2F434497">
      <w:pPr>
        <w:pStyle w:val="13"/>
        <w:tabs>
          <w:tab w:val="left" w:pos="600"/>
        </w:tabs>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评审因素权重表</w:t>
      </w:r>
    </w:p>
    <w:tbl>
      <w:tblPr>
        <w:tblStyle w:val="3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74"/>
        <w:gridCol w:w="2241"/>
        <w:gridCol w:w="2698"/>
      </w:tblGrid>
      <w:tr w14:paraId="6334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134F5DDB">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序号</w:t>
            </w:r>
          </w:p>
        </w:tc>
        <w:tc>
          <w:tcPr>
            <w:tcW w:w="1974" w:type="dxa"/>
            <w:tcBorders>
              <w:top w:val="single" w:color="auto" w:sz="4" w:space="0"/>
              <w:left w:val="single" w:color="auto" w:sz="4" w:space="0"/>
              <w:bottom w:val="single" w:color="auto" w:sz="4" w:space="0"/>
              <w:right w:val="single" w:color="auto" w:sz="4" w:space="0"/>
            </w:tcBorders>
            <w:vAlign w:val="center"/>
          </w:tcPr>
          <w:p w14:paraId="356D8728">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1</w:t>
            </w:r>
          </w:p>
        </w:tc>
        <w:tc>
          <w:tcPr>
            <w:tcW w:w="2241" w:type="dxa"/>
            <w:tcBorders>
              <w:top w:val="single" w:color="auto" w:sz="4" w:space="0"/>
              <w:left w:val="single" w:color="auto" w:sz="4" w:space="0"/>
              <w:bottom w:val="single" w:color="auto" w:sz="4" w:space="0"/>
              <w:right w:val="single" w:color="auto" w:sz="4" w:space="0"/>
            </w:tcBorders>
            <w:vAlign w:val="center"/>
          </w:tcPr>
          <w:p w14:paraId="3DA44174">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2</w:t>
            </w:r>
          </w:p>
        </w:tc>
        <w:tc>
          <w:tcPr>
            <w:tcW w:w="2698" w:type="dxa"/>
            <w:tcBorders>
              <w:top w:val="single" w:color="auto" w:sz="4" w:space="0"/>
              <w:left w:val="single" w:color="auto" w:sz="4" w:space="0"/>
              <w:bottom w:val="single" w:color="auto" w:sz="4" w:space="0"/>
              <w:right w:val="single" w:color="auto" w:sz="4" w:space="0"/>
            </w:tcBorders>
            <w:vAlign w:val="center"/>
          </w:tcPr>
          <w:p w14:paraId="2D3F32C0">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3</w:t>
            </w:r>
          </w:p>
        </w:tc>
      </w:tr>
      <w:tr w14:paraId="7AA5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270CAC77">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评审因素</w:t>
            </w:r>
          </w:p>
        </w:tc>
        <w:tc>
          <w:tcPr>
            <w:tcW w:w="1974" w:type="dxa"/>
            <w:tcBorders>
              <w:top w:val="single" w:color="auto" w:sz="4" w:space="0"/>
              <w:left w:val="single" w:color="auto" w:sz="4" w:space="0"/>
              <w:bottom w:val="single" w:color="auto" w:sz="4" w:space="0"/>
              <w:right w:val="single" w:color="auto" w:sz="4" w:space="0"/>
            </w:tcBorders>
            <w:vAlign w:val="center"/>
          </w:tcPr>
          <w:p w14:paraId="4033133F">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投标报价</w:t>
            </w:r>
          </w:p>
        </w:tc>
        <w:tc>
          <w:tcPr>
            <w:tcW w:w="2241" w:type="dxa"/>
            <w:tcBorders>
              <w:top w:val="single" w:color="auto" w:sz="4" w:space="0"/>
              <w:left w:val="single" w:color="auto" w:sz="4" w:space="0"/>
              <w:bottom w:val="single" w:color="auto" w:sz="4" w:space="0"/>
              <w:right w:val="single" w:color="auto" w:sz="4" w:space="0"/>
            </w:tcBorders>
            <w:vAlign w:val="center"/>
          </w:tcPr>
          <w:p w14:paraId="00EA700E">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技术、商务部分</w:t>
            </w:r>
          </w:p>
        </w:tc>
        <w:tc>
          <w:tcPr>
            <w:tcW w:w="2698" w:type="dxa"/>
            <w:tcBorders>
              <w:top w:val="single" w:color="auto" w:sz="4" w:space="0"/>
              <w:left w:val="single" w:color="auto" w:sz="4" w:space="0"/>
              <w:bottom w:val="single" w:color="auto" w:sz="4" w:space="0"/>
              <w:right w:val="single" w:color="auto" w:sz="4" w:space="0"/>
            </w:tcBorders>
            <w:vAlign w:val="center"/>
          </w:tcPr>
          <w:p w14:paraId="2C904721">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合计</w:t>
            </w:r>
          </w:p>
        </w:tc>
      </w:tr>
      <w:tr w14:paraId="4F88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6D5B27D1">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权重</w:t>
            </w:r>
          </w:p>
        </w:tc>
        <w:tc>
          <w:tcPr>
            <w:tcW w:w="1974" w:type="dxa"/>
            <w:tcBorders>
              <w:top w:val="single" w:color="auto" w:sz="4" w:space="0"/>
              <w:left w:val="single" w:color="auto" w:sz="4" w:space="0"/>
              <w:bottom w:val="single" w:color="auto" w:sz="4" w:space="0"/>
              <w:right w:val="single" w:color="auto" w:sz="4" w:space="0"/>
            </w:tcBorders>
            <w:vAlign w:val="center"/>
          </w:tcPr>
          <w:p w14:paraId="16533B79">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cs="宋体"/>
                <w:b w:val="0"/>
                <w:bCs w:val="0"/>
                <w:color w:val="auto"/>
                <w:spacing w:val="6"/>
                <w:kern w:val="0"/>
                <w:sz w:val="24"/>
                <w:szCs w:val="24"/>
                <w:highlight w:val="none"/>
                <w:lang w:val="en-US" w:eastAsia="zh-CN"/>
              </w:rPr>
              <w:t>30</w:t>
            </w:r>
            <w:r>
              <w:rPr>
                <w:rFonts w:hint="eastAsia" w:ascii="宋体" w:hAnsi="宋体" w:eastAsia="宋体" w:cs="宋体"/>
                <w:b w:val="0"/>
                <w:bCs w:val="0"/>
                <w:color w:val="auto"/>
                <w:spacing w:val="6"/>
                <w:kern w:val="0"/>
                <w:sz w:val="24"/>
                <w:szCs w:val="24"/>
                <w:highlight w:val="none"/>
              </w:rPr>
              <w:t>%</w:t>
            </w:r>
          </w:p>
        </w:tc>
        <w:tc>
          <w:tcPr>
            <w:tcW w:w="2241" w:type="dxa"/>
            <w:tcBorders>
              <w:top w:val="single" w:color="auto" w:sz="4" w:space="0"/>
              <w:left w:val="single" w:color="auto" w:sz="4" w:space="0"/>
              <w:bottom w:val="single" w:color="auto" w:sz="4" w:space="0"/>
              <w:right w:val="single" w:color="auto" w:sz="4" w:space="0"/>
            </w:tcBorders>
            <w:vAlign w:val="center"/>
          </w:tcPr>
          <w:p w14:paraId="617D1713">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cs="宋体"/>
                <w:b w:val="0"/>
                <w:bCs w:val="0"/>
                <w:color w:val="auto"/>
                <w:spacing w:val="6"/>
                <w:kern w:val="0"/>
                <w:sz w:val="24"/>
                <w:szCs w:val="24"/>
                <w:highlight w:val="none"/>
                <w:lang w:val="en-US" w:eastAsia="zh-CN"/>
              </w:rPr>
              <w:t>70</w:t>
            </w:r>
            <w:r>
              <w:rPr>
                <w:rFonts w:hint="eastAsia" w:ascii="宋体" w:hAnsi="宋体" w:eastAsia="宋体" w:cs="宋体"/>
                <w:b w:val="0"/>
                <w:bCs w:val="0"/>
                <w:color w:val="auto"/>
                <w:spacing w:val="6"/>
                <w:kern w:val="0"/>
                <w:sz w:val="24"/>
                <w:szCs w:val="24"/>
                <w:highlight w:val="none"/>
              </w:rPr>
              <w:t>%</w:t>
            </w:r>
          </w:p>
        </w:tc>
        <w:tc>
          <w:tcPr>
            <w:tcW w:w="2698" w:type="dxa"/>
            <w:tcBorders>
              <w:top w:val="single" w:color="auto" w:sz="4" w:space="0"/>
              <w:left w:val="single" w:color="auto" w:sz="4" w:space="0"/>
              <w:bottom w:val="single" w:color="auto" w:sz="4" w:space="0"/>
              <w:right w:val="single" w:color="auto" w:sz="4" w:space="0"/>
            </w:tcBorders>
            <w:vAlign w:val="center"/>
          </w:tcPr>
          <w:p w14:paraId="5EA0870B">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100%</w:t>
            </w:r>
          </w:p>
        </w:tc>
      </w:tr>
    </w:tbl>
    <w:p w14:paraId="74A27805">
      <w:pPr>
        <w:pStyle w:val="18"/>
        <w:rPr>
          <w:rFonts w:hint="eastAsia" w:ascii="宋体" w:hAnsi="宋体" w:eastAsia="宋体" w:cs="宋体"/>
          <w:b w:val="0"/>
          <w:bCs w:val="0"/>
          <w:color w:val="auto"/>
          <w:sz w:val="24"/>
          <w:szCs w:val="24"/>
          <w:highlight w:val="none"/>
        </w:rPr>
      </w:pPr>
    </w:p>
    <w:p w14:paraId="455DE7D8">
      <w:pPr>
        <w:pStyle w:val="18"/>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商务、技术部分评审标准（</w:t>
      </w:r>
      <w:r>
        <w:rPr>
          <w:rFonts w:hint="eastAsia" w:ascii="宋体" w:hAnsi="宋体" w:cs="宋体"/>
          <w:b/>
          <w:bCs/>
          <w:color w:val="auto"/>
          <w:sz w:val="24"/>
          <w:szCs w:val="24"/>
          <w:highlight w:val="none"/>
          <w:lang w:val="en-US" w:eastAsia="zh-CN"/>
        </w:rPr>
        <w:t>70</w:t>
      </w:r>
      <w:r>
        <w:rPr>
          <w:rFonts w:hint="eastAsia" w:ascii="宋体" w:hAnsi="宋体" w:eastAsia="宋体" w:cs="宋体"/>
          <w:b/>
          <w:bCs/>
          <w:color w:val="auto"/>
          <w:sz w:val="24"/>
          <w:szCs w:val="24"/>
          <w:highlight w:val="none"/>
        </w:rPr>
        <w:t>分）</w:t>
      </w:r>
    </w:p>
    <w:tbl>
      <w:tblPr>
        <w:tblStyle w:val="31"/>
        <w:tblpPr w:leftFromText="180" w:rightFromText="180" w:vertAnchor="text" w:horzAnchor="page" w:tblpX="1756" w:tblpY="447"/>
        <w:tblOverlap w:val="never"/>
        <w:tblW w:w="8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249"/>
        <w:gridCol w:w="850"/>
      </w:tblGrid>
      <w:tr w14:paraId="7A98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413" w:type="dxa"/>
            <w:tcBorders>
              <w:top w:val="single" w:color="auto" w:sz="4" w:space="0"/>
              <w:left w:val="single" w:color="auto" w:sz="4" w:space="0"/>
              <w:bottom w:val="single" w:color="auto" w:sz="4" w:space="0"/>
              <w:right w:val="single" w:color="auto" w:sz="4" w:space="0"/>
            </w:tcBorders>
            <w:vAlign w:val="center"/>
          </w:tcPr>
          <w:p w14:paraId="4C392973">
            <w:pPr>
              <w:spacing w:line="240" w:lineRule="auto"/>
              <w:rPr>
                <w:rFonts w:ascii="宋体" w:hAnsi="宋体" w:eastAsia="等线" w:cs="宋体"/>
                <w:b/>
                <w:bCs/>
                <w:snapToGrid w:val="0"/>
                <w:color w:val="auto"/>
                <w:kern w:val="0"/>
                <w:sz w:val="24"/>
                <w:szCs w:val="24"/>
                <w:highlight w:val="none"/>
                <w:lang w:val="zh-CN"/>
              </w:rPr>
            </w:pPr>
            <w:r>
              <w:rPr>
                <w:rFonts w:hint="eastAsia" w:ascii="宋体" w:hAnsi="宋体" w:eastAsia="宋体" w:cs="宋体"/>
                <w:b w:val="0"/>
                <w:bCs w:val="0"/>
                <w:color w:val="auto"/>
                <w:sz w:val="24"/>
                <w:szCs w:val="24"/>
                <w:highlight w:val="none"/>
              </w:rPr>
              <w:br w:type="page"/>
            </w:r>
            <w:r>
              <w:rPr>
                <w:rFonts w:hint="eastAsia" w:ascii="宋体" w:hAnsi="宋体" w:eastAsia="等线" w:cs="宋体"/>
                <w:b/>
                <w:bCs/>
                <w:snapToGrid w:val="0"/>
                <w:color w:val="auto"/>
                <w:kern w:val="0"/>
                <w:sz w:val="24"/>
                <w:szCs w:val="24"/>
                <w:highlight w:val="none"/>
              </w:rPr>
              <w:t>评分项目</w:t>
            </w:r>
          </w:p>
        </w:tc>
        <w:tc>
          <w:tcPr>
            <w:tcW w:w="6249" w:type="dxa"/>
            <w:tcBorders>
              <w:top w:val="single" w:color="auto" w:sz="4" w:space="0"/>
              <w:left w:val="single" w:color="auto" w:sz="4" w:space="0"/>
              <w:bottom w:val="single" w:color="auto" w:sz="4" w:space="0"/>
              <w:right w:val="single" w:color="auto" w:sz="4" w:space="0"/>
            </w:tcBorders>
            <w:vAlign w:val="center"/>
          </w:tcPr>
          <w:p w14:paraId="08C155B0">
            <w:pPr>
              <w:widowControl/>
              <w:kinsoku w:val="0"/>
              <w:autoSpaceDE w:val="0"/>
              <w:autoSpaceDN w:val="0"/>
              <w:adjustRightInd w:val="0"/>
              <w:snapToGrid w:val="0"/>
              <w:spacing w:line="240" w:lineRule="auto"/>
              <w:jc w:val="center"/>
              <w:textAlignment w:val="baseline"/>
              <w:rPr>
                <w:rFonts w:ascii="宋体" w:hAnsi="宋体" w:eastAsia="等线" w:cs="宋体"/>
                <w:b/>
                <w:bCs/>
                <w:snapToGrid w:val="0"/>
                <w:color w:val="auto"/>
                <w:kern w:val="0"/>
                <w:sz w:val="24"/>
                <w:szCs w:val="24"/>
                <w:highlight w:val="none"/>
                <w:lang w:val="zh-CN"/>
              </w:rPr>
            </w:pPr>
            <w:r>
              <w:rPr>
                <w:rFonts w:hint="eastAsia" w:ascii="宋体" w:hAnsi="宋体" w:eastAsia="等线" w:cs="宋体"/>
                <w:b/>
                <w:bCs/>
                <w:snapToGrid w:val="0"/>
                <w:color w:val="auto"/>
                <w:kern w:val="0"/>
                <w:sz w:val="24"/>
                <w:szCs w:val="24"/>
                <w:highlight w:val="none"/>
                <w:lang w:val="zh-CN"/>
              </w:rPr>
              <w:t>标准</w:t>
            </w:r>
          </w:p>
        </w:tc>
        <w:tc>
          <w:tcPr>
            <w:tcW w:w="850" w:type="dxa"/>
            <w:tcBorders>
              <w:top w:val="single" w:color="auto" w:sz="4" w:space="0"/>
              <w:left w:val="single" w:color="auto" w:sz="4" w:space="0"/>
              <w:bottom w:val="single" w:color="auto" w:sz="4" w:space="0"/>
              <w:right w:val="single" w:color="auto" w:sz="4" w:space="0"/>
            </w:tcBorders>
            <w:vAlign w:val="center"/>
          </w:tcPr>
          <w:p w14:paraId="19EA44F0">
            <w:pPr>
              <w:widowControl/>
              <w:kinsoku w:val="0"/>
              <w:autoSpaceDE w:val="0"/>
              <w:autoSpaceDN w:val="0"/>
              <w:adjustRightInd w:val="0"/>
              <w:snapToGrid w:val="0"/>
              <w:spacing w:line="240" w:lineRule="auto"/>
              <w:jc w:val="center"/>
              <w:textAlignment w:val="baseline"/>
              <w:rPr>
                <w:rFonts w:hint="eastAsia" w:ascii="宋体" w:hAnsi="宋体" w:eastAsia="等线" w:cs="宋体"/>
                <w:b/>
                <w:bCs/>
                <w:snapToGrid w:val="0"/>
                <w:color w:val="auto"/>
                <w:kern w:val="0"/>
                <w:sz w:val="24"/>
                <w:szCs w:val="24"/>
                <w:highlight w:val="none"/>
                <w:lang w:val="en-US" w:eastAsia="zh-CN"/>
              </w:rPr>
            </w:pPr>
            <w:r>
              <w:rPr>
                <w:rFonts w:hint="eastAsia" w:ascii="宋体" w:hAnsi="宋体" w:eastAsia="等线" w:cs="宋体"/>
                <w:b/>
                <w:bCs/>
                <w:snapToGrid w:val="0"/>
                <w:color w:val="auto"/>
                <w:kern w:val="0"/>
                <w:sz w:val="24"/>
                <w:szCs w:val="24"/>
                <w:highlight w:val="none"/>
                <w:lang w:val="en-US" w:eastAsia="zh-CN"/>
              </w:rPr>
              <w:t>分值</w:t>
            </w:r>
          </w:p>
        </w:tc>
      </w:tr>
      <w:tr w14:paraId="3C52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13" w:type="dxa"/>
            <w:tcBorders>
              <w:left w:val="single" w:color="auto" w:sz="4" w:space="0"/>
              <w:right w:val="single" w:color="auto" w:sz="4" w:space="0"/>
            </w:tcBorders>
            <w:shd w:val="clear" w:color="auto" w:fill="auto"/>
            <w:vAlign w:val="center"/>
          </w:tcPr>
          <w:p w14:paraId="1B3BE494">
            <w:pPr>
              <w:adjustRightInd w:val="0"/>
              <w:snapToGrid w:val="0"/>
              <w:spacing w:line="240" w:lineRule="auto"/>
              <w:jc w:val="center"/>
              <w:rPr>
                <w:rFonts w:hint="eastAsia" w:eastAsia="宋体" w:asciiTheme="minorEastAsia" w:hAnsiTheme="minorEastAsia" w:cstheme="minorEastAsia"/>
                <w:color w:val="auto"/>
                <w:kern w:val="0"/>
                <w:sz w:val="24"/>
                <w:szCs w:val="24"/>
                <w:highlight w:val="none"/>
                <w:lang w:val="zh-CN" w:eastAsia="zh-CN" w:bidi="ar-SA"/>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val="en-US" w:eastAsia="zh-CN"/>
              </w:rPr>
              <w:t>证明</w:t>
            </w:r>
          </w:p>
        </w:tc>
        <w:tc>
          <w:tcPr>
            <w:tcW w:w="6249" w:type="dxa"/>
            <w:tcBorders>
              <w:top w:val="single" w:color="auto" w:sz="4" w:space="0"/>
              <w:left w:val="single" w:color="auto" w:sz="4" w:space="0"/>
              <w:right w:val="single" w:color="auto" w:sz="4" w:space="0"/>
            </w:tcBorders>
            <w:shd w:val="clear" w:color="auto" w:fill="auto"/>
            <w:vAlign w:val="center"/>
          </w:tcPr>
          <w:p w14:paraId="7355360A">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4"/>
                <w:szCs w:val="24"/>
                <w:highlight w:val="none"/>
                <w:lang w:eastAsia="zh-CN"/>
              </w:rPr>
            </w:pPr>
            <w:r>
              <w:rPr>
                <w:rFonts w:hint="eastAsia"/>
                <w:b w:val="0"/>
                <w:bCs w:val="0"/>
                <w:color w:val="auto"/>
                <w:sz w:val="24"/>
                <w:szCs w:val="24"/>
                <w:highlight w:val="none"/>
              </w:rPr>
              <w:t>投标人</w:t>
            </w:r>
            <w:r>
              <w:rPr>
                <w:rFonts w:hint="eastAsia" w:ascii="Times New Roman" w:hAnsi="Times New Roman" w:eastAsia="宋体" w:cs="Times New Roman"/>
                <w:color w:val="auto"/>
                <w:sz w:val="24"/>
                <w:szCs w:val="24"/>
                <w:highlight w:val="none"/>
                <w:lang w:eastAsia="zh-CN"/>
              </w:rPr>
              <w:t>近三年内（</w:t>
            </w:r>
            <w:r>
              <w:rPr>
                <w:rFonts w:hint="eastAsia" w:cs="Times New Roman"/>
                <w:color w:val="auto"/>
                <w:sz w:val="24"/>
                <w:szCs w:val="24"/>
                <w:highlight w:val="none"/>
                <w:lang w:val="en-US" w:eastAsia="zh-CN"/>
              </w:rPr>
              <w:t>2023</w:t>
            </w:r>
            <w:r>
              <w:rPr>
                <w:rFonts w:hint="eastAsia" w:cs="Times New Roman"/>
                <w:color w:val="auto"/>
                <w:sz w:val="24"/>
                <w:szCs w:val="24"/>
                <w:highlight w:val="none"/>
                <w:lang w:eastAsia="zh-CN"/>
              </w:rPr>
              <w:t>年</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月</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投标文件</w:t>
            </w:r>
            <w:r>
              <w:rPr>
                <w:rFonts w:hint="eastAsia" w:ascii="宋体" w:hAnsi="宋体" w:cs="宋体"/>
                <w:color w:val="auto"/>
                <w:sz w:val="24"/>
                <w:szCs w:val="24"/>
                <w:highlight w:val="none"/>
                <w:lang w:val="en-US" w:eastAsia="zh-CN"/>
              </w:rPr>
              <w:t>上传</w:t>
            </w:r>
            <w:r>
              <w:rPr>
                <w:rFonts w:hint="eastAsia" w:ascii="宋体" w:hAnsi="宋体" w:eastAsia="宋体" w:cs="宋体"/>
                <w:color w:val="auto"/>
                <w:sz w:val="24"/>
                <w:szCs w:val="24"/>
                <w:highlight w:val="none"/>
                <w:lang w:val="en-US" w:eastAsia="zh-CN"/>
              </w:rPr>
              <w:t>截止时间前</w:t>
            </w:r>
            <w:r>
              <w:rPr>
                <w:rFonts w:hint="eastAsia" w:ascii="Times New Roman" w:hAnsi="Times New Roman" w:eastAsia="宋体" w:cs="Times New Roman"/>
                <w:color w:val="auto"/>
                <w:sz w:val="24"/>
                <w:szCs w:val="24"/>
                <w:highlight w:val="none"/>
                <w:lang w:eastAsia="zh-CN"/>
              </w:rPr>
              <w:t>，以合同签订日期为准）完成类似项目的业绩，每个项目业绩得</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eastAsia="zh-CN"/>
              </w:rPr>
              <w:t>分，最多得</w:t>
            </w:r>
            <w:r>
              <w:rPr>
                <w:rFonts w:hint="eastAsia" w:ascii="Times New Roman" w:hAnsi="Times New Roman"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CN"/>
              </w:rPr>
              <w:t>分。</w:t>
            </w:r>
          </w:p>
          <w:p w14:paraId="3A4DB2AE">
            <w:pPr>
              <w:adjustRightInd w:val="0"/>
              <w:snapToGrid w:val="0"/>
              <w:spacing w:line="240" w:lineRule="auto"/>
              <w:jc w:val="left"/>
              <w:rPr>
                <w:rFonts w:hint="default" w:ascii="宋体" w:hAnsi="宋体" w:cs="宋体" w:eastAsiaTheme="minorEastAsia"/>
                <w:b/>
                <w:bCs/>
                <w:color w:val="auto"/>
                <w:kern w:val="0"/>
                <w:sz w:val="24"/>
                <w:szCs w:val="24"/>
                <w:highlight w:val="none"/>
                <w:lang w:val="zh-CN" w:eastAsia="zh-CN" w:bidi="ar-SA"/>
              </w:rPr>
            </w:pPr>
            <w:r>
              <w:rPr>
                <w:rFonts w:hint="eastAsia" w:ascii="Times New Roman" w:hAnsi="Times New Roman" w:eastAsia="宋体" w:cs="Times New Roman"/>
                <w:b/>
                <w:bCs/>
                <w:color w:val="auto"/>
                <w:sz w:val="24"/>
                <w:szCs w:val="24"/>
                <w:highlight w:val="none"/>
                <w:lang w:val="en-US" w:eastAsia="zh-CN"/>
              </w:rPr>
              <w:t>注：</w:t>
            </w:r>
            <w:r>
              <w:rPr>
                <w:rFonts w:hint="eastAsia" w:ascii="Times New Roman" w:eastAsia="宋体" w:cs="Times New Roman"/>
                <w:b/>
                <w:bCs/>
                <w:color w:val="auto"/>
                <w:sz w:val="24"/>
                <w:szCs w:val="24"/>
                <w:highlight w:val="none"/>
                <w:lang w:val="en-US" w:eastAsia="zh-CN"/>
              </w:rPr>
              <w:t>须提供</w:t>
            </w:r>
            <w:r>
              <w:rPr>
                <w:rFonts w:hint="eastAsia" w:ascii="Times New Roman" w:cs="Times New Roman"/>
                <w:b/>
                <w:bCs/>
                <w:color w:val="auto"/>
                <w:sz w:val="24"/>
                <w:szCs w:val="24"/>
                <w:highlight w:val="none"/>
                <w:lang w:val="en-US" w:eastAsia="zh-CN"/>
              </w:rPr>
              <w:t>服务合同</w:t>
            </w:r>
            <w:r>
              <w:rPr>
                <w:rFonts w:hint="eastAsia" w:ascii="Times New Roman" w:eastAsia="宋体" w:cs="Times New Roman"/>
                <w:b/>
                <w:bCs/>
                <w:color w:val="auto"/>
                <w:sz w:val="24"/>
                <w:szCs w:val="24"/>
                <w:highlight w:val="none"/>
                <w:lang w:val="en-US" w:eastAsia="zh-CN"/>
              </w:rPr>
              <w:t>（至少包括合同首页、标的页、签字盖章页、采购内容页）</w:t>
            </w:r>
            <w:r>
              <w:rPr>
                <w:rFonts w:hint="eastAsia" w:ascii="Times New Roman" w:cs="Times New Roman"/>
                <w:b/>
                <w:bCs/>
                <w:color w:val="auto"/>
                <w:sz w:val="24"/>
                <w:szCs w:val="24"/>
                <w:highlight w:val="none"/>
                <w:lang w:val="en-US" w:eastAsia="zh-CN"/>
              </w:rPr>
              <w:t>扫描件</w:t>
            </w:r>
            <w:r>
              <w:rPr>
                <w:rFonts w:hint="eastAsia" w:ascii="Times New Roman" w:hAnsi="Times New Roman" w:eastAsia="宋体" w:cs="Times New Roman"/>
                <w:b/>
                <w:bCs/>
                <w:color w:val="auto"/>
                <w:sz w:val="24"/>
                <w:szCs w:val="24"/>
                <w:highlight w:val="none"/>
                <w:lang w:val="en-US" w:eastAsia="zh-CN"/>
              </w:rPr>
              <w:t>，未按要求提供不得分；</w:t>
            </w:r>
          </w:p>
        </w:tc>
        <w:tc>
          <w:tcPr>
            <w:tcW w:w="850" w:type="dxa"/>
            <w:tcBorders>
              <w:top w:val="single" w:color="auto" w:sz="4" w:space="0"/>
              <w:left w:val="single" w:color="auto" w:sz="4" w:space="0"/>
              <w:right w:val="single" w:color="auto" w:sz="4" w:space="0"/>
            </w:tcBorders>
            <w:shd w:val="clear" w:color="auto" w:fill="auto"/>
            <w:vAlign w:val="center"/>
          </w:tcPr>
          <w:p w14:paraId="13583C7E">
            <w:pPr>
              <w:widowControl/>
              <w:jc w:val="center"/>
              <w:rPr>
                <w:rFonts w:hint="eastAsia" w:ascii="Times New Roman" w:hAnsi="Times New Roman" w:eastAsia="宋体" w:cs="Times New Roman"/>
                <w:b/>
                <w:bCs/>
                <w:color w:val="auto"/>
                <w:sz w:val="24"/>
                <w:szCs w:val="24"/>
                <w:highlight w:val="none"/>
                <w:lang w:val="en-US" w:eastAsia="zh-CN"/>
              </w:rPr>
            </w:pPr>
            <w:r>
              <w:rPr>
                <w:rFonts w:ascii="Times New Roman" w:hAnsi="Times New Roman" w:eastAsia="仿宋_GB2312"/>
                <w:color w:val="auto"/>
                <w:kern w:val="0"/>
                <w:sz w:val="24"/>
                <w:szCs w:val="24"/>
                <w:highlight w:val="none"/>
              </w:rPr>
              <w:t>6</w:t>
            </w:r>
          </w:p>
        </w:tc>
      </w:tr>
      <w:tr w14:paraId="6818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13" w:type="dxa"/>
            <w:tcBorders>
              <w:left w:val="single" w:color="auto" w:sz="4" w:space="0"/>
              <w:right w:val="single" w:color="auto" w:sz="4" w:space="0"/>
            </w:tcBorders>
            <w:shd w:val="clear" w:color="auto" w:fill="auto"/>
            <w:vAlign w:val="center"/>
          </w:tcPr>
          <w:p w14:paraId="23D72065">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环境标志产品认证</w:t>
            </w:r>
          </w:p>
        </w:tc>
        <w:tc>
          <w:tcPr>
            <w:tcW w:w="6249" w:type="dxa"/>
            <w:tcBorders>
              <w:top w:val="single" w:color="auto" w:sz="4" w:space="0"/>
              <w:left w:val="single" w:color="auto" w:sz="4" w:space="0"/>
              <w:right w:val="single" w:color="auto" w:sz="4" w:space="0"/>
            </w:tcBorders>
            <w:shd w:val="clear" w:color="auto" w:fill="auto"/>
            <w:vAlign w:val="center"/>
          </w:tcPr>
          <w:p w14:paraId="737518CF">
            <w:pPr>
              <w:adjustRightInd w:val="0"/>
              <w:snapToGrid w:val="0"/>
              <w:spacing w:line="240" w:lineRule="auto"/>
              <w:jc w:val="left"/>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招标</w:t>
            </w:r>
            <w:r>
              <w:rPr>
                <w:rFonts w:hint="eastAsia" w:ascii="Times New Roman" w:hAnsi="Times New Roman" w:eastAsia="宋体" w:cs="Times New Roman"/>
                <w:b w:val="0"/>
                <w:bCs w:val="0"/>
                <w:color w:val="auto"/>
                <w:sz w:val="24"/>
                <w:szCs w:val="24"/>
                <w:highlight w:val="none"/>
                <w:lang w:val="en-US" w:eastAsia="zh-CN"/>
              </w:rPr>
              <w:t>人采购的产品属于环境标志产品品目清单范围的，提供国家确定的认证机构出具的、处于有效期之内的环境标志产品认证证书，在评标时予以优先采购，具体优惠措施为：每有一项产品为政府采购环境标志产品得2分，最多得4分。</w:t>
            </w:r>
          </w:p>
        </w:tc>
        <w:tc>
          <w:tcPr>
            <w:tcW w:w="850" w:type="dxa"/>
            <w:tcBorders>
              <w:top w:val="single" w:color="auto" w:sz="4" w:space="0"/>
              <w:left w:val="single" w:color="auto" w:sz="4" w:space="0"/>
              <w:right w:val="single" w:color="auto" w:sz="4" w:space="0"/>
            </w:tcBorders>
            <w:shd w:val="clear" w:color="auto" w:fill="auto"/>
            <w:vAlign w:val="center"/>
          </w:tcPr>
          <w:p w14:paraId="4E2B546C">
            <w:pPr>
              <w:widowControl/>
              <w:jc w:val="center"/>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eastAsia="仿宋_GB2312"/>
                <w:color w:val="auto"/>
                <w:kern w:val="0"/>
                <w:sz w:val="24"/>
                <w:szCs w:val="24"/>
                <w:highlight w:val="none"/>
                <w:lang w:val="en-US" w:eastAsia="zh-CN"/>
              </w:rPr>
              <w:t>4</w:t>
            </w:r>
          </w:p>
        </w:tc>
      </w:tr>
      <w:tr w14:paraId="47AA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13" w:type="dxa"/>
            <w:tcBorders>
              <w:left w:val="single" w:color="auto" w:sz="4" w:space="0"/>
              <w:right w:val="single" w:color="auto" w:sz="4" w:space="0"/>
            </w:tcBorders>
            <w:shd w:val="clear" w:color="auto" w:fill="auto"/>
            <w:vAlign w:val="center"/>
          </w:tcPr>
          <w:p w14:paraId="01F9614E">
            <w:pPr>
              <w:widowControl/>
              <w:spacing w:line="240" w:lineRule="auto"/>
              <w:jc w:val="center"/>
              <w:textAlignment w:val="center"/>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宋体" w:hAnsi="宋体" w:eastAsia="宋体" w:cs="宋体"/>
                <w:color w:val="auto"/>
                <w:sz w:val="24"/>
                <w:highlight w:val="none"/>
              </w:rPr>
              <w:t>配置及性能指标</w:t>
            </w:r>
          </w:p>
        </w:tc>
        <w:tc>
          <w:tcPr>
            <w:tcW w:w="6249" w:type="dxa"/>
            <w:tcBorders>
              <w:top w:val="single" w:color="auto" w:sz="4" w:space="0"/>
              <w:left w:val="single" w:color="auto" w:sz="4" w:space="0"/>
              <w:bottom w:val="single" w:color="auto" w:sz="4" w:space="0"/>
              <w:right w:val="single" w:color="auto" w:sz="4" w:space="0"/>
            </w:tcBorders>
            <w:shd w:val="clear" w:color="auto" w:fill="auto"/>
            <w:vAlign w:val="center"/>
          </w:tcPr>
          <w:p w14:paraId="5A964DC4">
            <w:pPr>
              <w:pStyle w:val="24"/>
              <w:ind w:firstLine="480" w:firstLineChars="200"/>
              <w:rPr>
                <w:rFonts w:hint="default" w:asciiTheme="minorEastAsia" w:hAnsiTheme="minorEastAsia" w:eastAsiaTheme="minorEastAsia" w:cstheme="minorEastAsia"/>
                <w:b w:val="0"/>
                <w:bCs w:val="0"/>
                <w:color w:val="auto"/>
                <w:kern w:val="0"/>
                <w:sz w:val="24"/>
                <w:szCs w:val="24"/>
                <w:highlight w:val="none"/>
                <w:lang w:val="en-US" w:eastAsia="zh-CN"/>
              </w:rPr>
            </w:pPr>
            <w:r>
              <w:rPr>
                <w:rFonts w:hint="eastAsia" w:ascii="宋体" w:hAnsi="宋体" w:cs="宋体" w:eastAsiaTheme="minorEastAsia"/>
                <w:b w:val="0"/>
                <w:bCs w:val="0"/>
                <w:color w:val="auto"/>
                <w:kern w:val="0"/>
                <w:sz w:val="24"/>
                <w:szCs w:val="24"/>
                <w:highlight w:val="none"/>
                <w:lang w:eastAsia="zh-CN"/>
              </w:rPr>
              <w:t>对照第</w:t>
            </w:r>
            <w:r>
              <w:rPr>
                <w:rFonts w:hint="eastAsia" w:ascii="宋体" w:hAnsi="宋体" w:cs="宋体" w:eastAsiaTheme="minorEastAsia"/>
                <w:b w:val="0"/>
                <w:bCs w:val="0"/>
                <w:color w:val="auto"/>
                <w:kern w:val="0"/>
                <w:sz w:val="24"/>
                <w:szCs w:val="24"/>
                <w:highlight w:val="none"/>
                <w:lang w:val="en-US" w:eastAsia="zh-CN"/>
              </w:rPr>
              <w:t>四</w:t>
            </w:r>
            <w:r>
              <w:rPr>
                <w:rFonts w:hint="eastAsia" w:ascii="宋体" w:hAnsi="宋体" w:cs="宋体" w:eastAsiaTheme="minorEastAsia"/>
                <w:b w:val="0"/>
                <w:bCs w:val="0"/>
                <w:color w:val="auto"/>
                <w:kern w:val="0"/>
                <w:sz w:val="24"/>
                <w:szCs w:val="24"/>
                <w:highlight w:val="none"/>
                <w:lang w:eastAsia="zh-CN"/>
              </w:rPr>
              <w:t>章“</w:t>
            </w:r>
            <w:r>
              <w:rPr>
                <w:rFonts w:hint="eastAsia" w:asciiTheme="minorEastAsia" w:hAnsiTheme="minorEastAsia" w:eastAsiaTheme="minorEastAsia" w:cstheme="minorEastAsia"/>
                <w:bCs/>
                <w:color w:val="auto"/>
                <w:sz w:val="24"/>
                <w:szCs w:val="24"/>
                <w:highlight w:val="none"/>
              </w:rPr>
              <w:t>招标项目技术要求</w:t>
            </w:r>
            <w:r>
              <w:rPr>
                <w:rFonts w:hint="eastAsia" w:ascii="宋体" w:hAnsi="宋体" w:cs="宋体" w:eastAsiaTheme="minorEastAsia"/>
                <w:b w:val="0"/>
                <w:bCs w:val="0"/>
                <w:color w:val="auto"/>
                <w:kern w:val="0"/>
                <w:sz w:val="24"/>
                <w:szCs w:val="24"/>
                <w:highlight w:val="none"/>
                <w:lang w:eastAsia="zh-CN"/>
              </w:rPr>
              <w:t>”</w:t>
            </w:r>
            <w:r>
              <w:rPr>
                <w:rFonts w:hint="eastAsia" w:ascii="宋体" w:hAnsi="宋体" w:cs="宋体" w:eastAsiaTheme="minorEastAsia"/>
                <w:b w:val="0"/>
                <w:bCs w:val="0"/>
                <w:color w:val="auto"/>
                <w:kern w:val="0"/>
                <w:sz w:val="24"/>
                <w:szCs w:val="24"/>
                <w:highlight w:val="none"/>
                <w:lang w:val="en-US" w:eastAsia="zh-CN"/>
              </w:rPr>
              <w:t>的技术参数，</w:t>
            </w:r>
            <w:r>
              <w:rPr>
                <w:rFonts w:hint="eastAsia" w:asciiTheme="minorEastAsia" w:hAnsiTheme="minorEastAsia" w:eastAsiaTheme="minorEastAsia" w:cstheme="minorEastAsia"/>
                <w:b w:val="0"/>
                <w:bCs w:val="0"/>
                <w:color w:val="auto"/>
                <w:kern w:val="0"/>
                <w:sz w:val="24"/>
                <w:szCs w:val="24"/>
                <w:highlight w:val="none"/>
                <w:lang w:val="en-US" w:eastAsia="zh-CN"/>
              </w:rPr>
              <w:t>技术参数</w:t>
            </w:r>
            <w:r>
              <w:rPr>
                <w:rFonts w:hint="eastAsia" w:asciiTheme="minorEastAsia" w:hAnsiTheme="minorEastAsia" w:cstheme="minorEastAsia"/>
                <w:b w:val="0"/>
                <w:bCs w:val="0"/>
                <w:color w:val="auto"/>
                <w:sz w:val="24"/>
                <w:szCs w:val="24"/>
                <w:highlight w:val="none"/>
                <w:lang w:val="en-US" w:eastAsia="zh-CN"/>
              </w:rPr>
              <w:t>存在负偏离的，每一条扣3分最多扣25分；</w:t>
            </w:r>
          </w:p>
          <w:p w14:paraId="136811C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default" w:ascii="宋体" w:hAnsi="宋体" w:cs="宋体" w:eastAsiaTheme="minorEastAsia"/>
                <w:b/>
                <w:bCs/>
                <w:color w:val="auto"/>
                <w:kern w:val="0"/>
                <w:sz w:val="24"/>
                <w:szCs w:val="24"/>
                <w:highlight w:val="none"/>
                <w:lang w:eastAsia="zh-CN"/>
              </w:rPr>
              <w:t>注：负偏离评审依据：</w:t>
            </w:r>
            <w:r>
              <w:rPr>
                <w:rFonts w:hint="eastAsia" w:ascii="宋体" w:hAnsi="宋体" w:cs="宋体" w:eastAsiaTheme="minorEastAsia"/>
                <w:b/>
                <w:bCs/>
                <w:color w:val="auto"/>
                <w:kern w:val="0"/>
                <w:sz w:val="24"/>
                <w:szCs w:val="24"/>
                <w:highlight w:val="none"/>
                <w:lang w:val="en-US" w:eastAsia="zh-CN"/>
              </w:rPr>
              <w:t>①</w:t>
            </w:r>
            <w:r>
              <w:rPr>
                <w:rFonts w:hint="default" w:ascii="宋体" w:hAnsi="宋体" w:cs="宋体" w:eastAsiaTheme="minorEastAsia"/>
                <w:b/>
                <w:bCs/>
                <w:color w:val="auto"/>
                <w:kern w:val="0"/>
                <w:sz w:val="24"/>
                <w:szCs w:val="24"/>
                <w:highlight w:val="none"/>
                <w:lang w:val="en-US" w:eastAsia="zh-CN"/>
              </w:rPr>
              <w:t>所</w:t>
            </w:r>
            <w:r>
              <w:rPr>
                <w:rFonts w:hint="eastAsia" w:ascii="宋体" w:hAnsi="宋体" w:cs="宋体" w:eastAsiaTheme="minorEastAsia"/>
                <w:b/>
                <w:bCs/>
                <w:color w:val="auto"/>
                <w:kern w:val="0"/>
                <w:sz w:val="24"/>
                <w:szCs w:val="24"/>
                <w:highlight w:val="none"/>
                <w:lang w:val="en-US" w:eastAsia="zh-CN"/>
              </w:rPr>
              <w:t>提供</w:t>
            </w:r>
            <w:r>
              <w:rPr>
                <w:rFonts w:hint="default" w:ascii="宋体" w:hAnsi="宋体" w:cs="宋体" w:eastAsiaTheme="minorEastAsia"/>
                <w:b/>
                <w:bCs/>
                <w:color w:val="auto"/>
                <w:kern w:val="0"/>
                <w:sz w:val="24"/>
                <w:szCs w:val="24"/>
                <w:highlight w:val="none"/>
                <w:lang w:val="en-US" w:eastAsia="zh-CN"/>
              </w:rPr>
              <w:t>产品技术参数低于</w:t>
            </w:r>
            <w:r>
              <w:rPr>
                <w:rFonts w:hint="eastAsia" w:ascii="宋体" w:hAnsi="宋体" w:cs="宋体" w:eastAsiaTheme="minorEastAsia"/>
                <w:b/>
                <w:bCs/>
                <w:color w:val="auto"/>
                <w:kern w:val="0"/>
                <w:sz w:val="24"/>
                <w:szCs w:val="24"/>
                <w:highlight w:val="none"/>
                <w:lang w:val="en-US" w:eastAsia="zh-CN"/>
              </w:rPr>
              <w:t>招标</w:t>
            </w:r>
            <w:r>
              <w:rPr>
                <w:rFonts w:hint="default" w:ascii="宋体" w:hAnsi="宋体" w:cs="宋体" w:eastAsiaTheme="minorEastAsia"/>
                <w:b/>
                <w:bCs/>
                <w:color w:val="auto"/>
                <w:kern w:val="0"/>
                <w:sz w:val="24"/>
                <w:szCs w:val="24"/>
                <w:highlight w:val="none"/>
                <w:lang w:val="en-US" w:eastAsia="zh-CN"/>
              </w:rPr>
              <w:t>文件要求的，视为负偏离；</w:t>
            </w:r>
            <w:r>
              <w:rPr>
                <w:rFonts w:hint="eastAsia" w:ascii="宋体" w:hAnsi="宋体" w:cs="宋体" w:eastAsiaTheme="minorEastAsia"/>
                <w:b/>
                <w:bCs/>
                <w:color w:val="auto"/>
                <w:kern w:val="0"/>
                <w:sz w:val="24"/>
                <w:szCs w:val="24"/>
                <w:highlight w:val="none"/>
                <w:lang w:val="en-US" w:eastAsia="zh-CN"/>
              </w:rPr>
              <w:t>②</w:t>
            </w:r>
            <w:r>
              <w:rPr>
                <w:rFonts w:hint="default" w:ascii="宋体" w:hAnsi="宋体" w:cs="宋体" w:eastAsiaTheme="minorEastAsia"/>
                <w:b/>
                <w:bCs/>
                <w:color w:val="auto"/>
                <w:kern w:val="0"/>
                <w:sz w:val="24"/>
                <w:szCs w:val="24"/>
                <w:highlight w:val="none"/>
                <w:lang w:val="en-US" w:eastAsia="zh-CN"/>
              </w:rPr>
              <w:t>技术参数响应条款</w:t>
            </w:r>
            <w:r>
              <w:rPr>
                <w:rFonts w:hint="eastAsia" w:ascii="宋体" w:hAnsi="宋体" w:cs="宋体" w:eastAsiaTheme="minorEastAsia"/>
                <w:b/>
                <w:bCs/>
                <w:color w:val="auto"/>
                <w:kern w:val="0"/>
                <w:sz w:val="24"/>
                <w:szCs w:val="24"/>
                <w:highlight w:val="none"/>
                <w:lang w:val="en-US" w:eastAsia="zh-CN"/>
              </w:rPr>
              <w:t>（以投标文件内技术偏离表为准）</w:t>
            </w:r>
            <w:r>
              <w:rPr>
                <w:rFonts w:hint="default" w:ascii="宋体" w:hAnsi="宋体" w:cs="宋体" w:eastAsiaTheme="minorEastAsia"/>
                <w:b/>
                <w:bCs/>
                <w:color w:val="auto"/>
                <w:kern w:val="0"/>
                <w:sz w:val="24"/>
                <w:szCs w:val="24"/>
                <w:highlight w:val="none"/>
                <w:lang w:val="en-US" w:eastAsia="zh-CN"/>
              </w:rPr>
              <w:t>与</w:t>
            </w:r>
            <w:r>
              <w:rPr>
                <w:rFonts w:hint="eastAsia" w:ascii="宋体" w:hAnsi="宋体" w:cs="宋体" w:eastAsiaTheme="minorEastAsia"/>
                <w:b/>
                <w:bCs/>
                <w:color w:val="auto"/>
                <w:kern w:val="0"/>
                <w:sz w:val="24"/>
                <w:szCs w:val="24"/>
                <w:highlight w:val="none"/>
                <w:lang w:val="en-US" w:eastAsia="zh-CN"/>
              </w:rPr>
              <w:t>招标</w:t>
            </w:r>
            <w:r>
              <w:rPr>
                <w:rFonts w:hint="default" w:ascii="宋体" w:hAnsi="宋体" w:cs="宋体" w:eastAsiaTheme="minorEastAsia"/>
                <w:b/>
                <w:bCs/>
                <w:color w:val="auto"/>
                <w:kern w:val="0"/>
                <w:sz w:val="24"/>
                <w:szCs w:val="24"/>
                <w:highlight w:val="none"/>
                <w:lang w:val="en-US" w:eastAsia="zh-CN"/>
              </w:rPr>
              <w:t>文件对比有缺项、漏项的，视为负偏离；</w:t>
            </w:r>
            <w:r>
              <w:rPr>
                <w:rFonts w:hint="eastAsia" w:ascii="宋体" w:hAnsi="宋体" w:cs="宋体" w:eastAsiaTheme="minorEastAsia"/>
                <w:b/>
                <w:bCs/>
                <w:color w:val="auto"/>
                <w:kern w:val="0"/>
                <w:sz w:val="24"/>
                <w:szCs w:val="24"/>
                <w:highlight w:val="none"/>
                <w:lang w:val="en-US" w:eastAsia="zh-CN"/>
              </w:rPr>
              <w:t>③投标文件内技术偏离表完全复制招标文件技术参数的（不涉及具体参数指标的描述性技术要求除外），视为负偏离；④投标人</w:t>
            </w:r>
            <w:r>
              <w:rPr>
                <w:rFonts w:hint="default" w:ascii="宋体" w:hAnsi="宋体" w:cs="宋体" w:eastAsiaTheme="minorEastAsia"/>
                <w:b/>
                <w:bCs/>
                <w:color w:val="auto"/>
                <w:kern w:val="0"/>
                <w:sz w:val="24"/>
                <w:szCs w:val="24"/>
                <w:highlight w:val="none"/>
                <w:lang w:val="en-US" w:eastAsia="zh-CN"/>
              </w:rPr>
              <w:t>提供的</w:t>
            </w:r>
            <w:r>
              <w:rPr>
                <w:rFonts w:hint="eastAsia" w:ascii="宋体" w:hAnsi="宋体" w:cs="宋体" w:eastAsiaTheme="minorEastAsia"/>
                <w:b/>
                <w:bCs/>
                <w:color w:val="auto"/>
                <w:kern w:val="0"/>
                <w:sz w:val="24"/>
                <w:szCs w:val="24"/>
                <w:highlight w:val="none"/>
                <w:lang w:val="en-US" w:eastAsia="zh-CN"/>
              </w:rPr>
              <w:t>投标</w:t>
            </w:r>
            <w:r>
              <w:rPr>
                <w:rFonts w:hint="default" w:ascii="宋体" w:hAnsi="宋体" w:cs="宋体" w:eastAsiaTheme="minorEastAsia"/>
                <w:b/>
                <w:bCs/>
                <w:color w:val="auto"/>
                <w:kern w:val="0"/>
                <w:sz w:val="24"/>
                <w:szCs w:val="24"/>
                <w:highlight w:val="none"/>
                <w:lang w:val="en-US" w:eastAsia="zh-CN"/>
              </w:rPr>
              <w:t>文件中产品技术偏离表、产品技术规格书和产品检测报告内描述的同一产品技术参数响应值不一致的，视为负偏离</w:t>
            </w:r>
            <w:r>
              <w:rPr>
                <w:rFonts w:hint="eastAsia" w:ascii="宋体" w:hAnsi="宋体" w:cs="宋体" w:eastAsiaTheme="minorEastAsia"/>
                <w:b/>
                <w:bCs/>
                <w:color w:val="auto"/>
                <w:kern w:val="0"/>
                <w:sz w:val="24"/>
                <w:szCs w:val="24"/>
                <w:highlight w:val="none"/>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B9DEB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highlight w:val="none"/>
                <w:lang w:val="en-US" w:eastAsia="zh-CN"/>
              </w:rPr>
            </w:pPr>
            <w:r>
              <w:rPr>
                <w:rFonts w:hint="eastAsia" w:ascii="Times New Roman" w:hAnsi="Times New Roman" w:eastAsia="仿宋_GB2312"/>
                <w:color w:val="auto"/>
                <w:kern w:val="0"/>
                <w:sz w:val="24"/>
                <w:szCs w:val="24"/>
                <w:highlight w:val="none"/>
                <w:lang w:val="en-US" w:eastAsia="zh-CN"/>
              </w:rPr>
              <w:t>25</w:t>
            </w:r>
          </w:p>
        </w:tc>
      </w:tr>
      <w:tr w14:paraId="530A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trPr>
        <w:tc>
          <w:tcPr>
            <w:tcW w:w="1413" w:type="dxa"/>
            <w:tcBorders>
              <w:left w:val="single" w:color="auto" w:sz="4" w:space="0"/>
              <w:right w:val="single" w:color="auto" w:sz="4" w:space="0"/>
            </w:tcBorders>
            <w:shd w:val="clear" w:color="auto" w:fill="auto"/>
            <w:vAlign w:val="center"/>
          </w:tcPr>
          <w:p w14:paraId="4F0A87F6">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实施</w:t>
            </w:r>
            <w:r>
              <w:rPr>
                <w:rFonts w:hint="eastAsia" w:ascii="宋体" w:hAnsi="宋体" w:eastAsia="宋体" w:cs="宋体"/>
                <w:color w:val="auto"/>
                <w:kern w:val="0"/>
                <w:sz w:val="24"/>
                <w:szCs w:val="24"/>
                <w:highlight w:val="none"/>
              </w:rPr>
              <w:t>方案</w:t>
            </w:r>
          </w:p>
        </w:tc>
        <w:tc>
          <w:tcPr>
            <w:tcW w:w="6249" w:type="dxa"/>
            <w:tcBorders>
              <w:top w:val="single" w:color="auto" w:sz="4" w:space="0"/>
              <w:left w:val="single" w:color="auto" w:sz="4" w:space="0"/>
              <w:bottom w:val="single" w:color="auto" w:sz="4" w:space="0"/>
              <w:right w:val="single" w:color="auto" w:sz="4" w:space="0"/>
            </w:tcBorders>
            <w:shd w:val="clear" w:color="auto" w:fill="auto"/>
            <w:vAlign w:val="center"/>
          </w:tcPr>
          <w:p w14:paraId="72A97E27">
            <w:pPr>
              <w:widowControl/>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投标人对项目提供实施方案包括但不限于</w:t>
            </w:r>
            <w:r>
              <w:rPr>
                <w:rFonts w:hint="eastAsia" w:ascii="宋体" w:hAnsi="宋体" w:eastAsia="宋体" w:cs="宋体"/>
                <w:color w:val="auto"/>
                <w:kern w:val="0"/>
                <w:sz w:val="24"/>
                <w:szCs w:val="24"/>
                <w:highlight w:val="none"/>
              </w:rPr>
              <w:t>:①</w:t>
            </w:r>
            <w:r>
              <w:rPr>
                <w:rFonts w:hint="eastAsia" w:ascii="宋体" w:hAnsi="宋体" w:eastAsia="宋体" w:cs="宋体"/>
                <w:color w:val="auto"/>
                <w:kern w:val="0"/>
                <w:sz w:val="24"/>
                <w:szCs w:val="24"/>
                <w:highlight w:val="none"/>
                <w:lang w:val="en-US" w:eastAsia="zh-CN"/>
              </w:rPr>
              <w:t>安装</w:t>
            </w:r>
            <w:r>
              <w:rPr>
                <w:rFonts w:hint="eastAsia" w:ascii="宋体" w:hAnsi="宋体" w:eastAsia="宋体" w:cs="宋体"/>
                <w:color w:val="auto"/>
                <w:kern w:val="0"/>
                <w:sz w:val="24"/>
                <w:szCs w:val="24"/>
                <w:highlight w:val="none"/>
              </w:rPr>
              <w:t>人员配备</w:t>
            </w:r>
            <w:r>
              <w:rPr>
                <w:rFonts w:hint="eastAsia" w:ascii="宋体" w:hAnsi="宋体" w:eastAsia="宋体" w:cs="宋体"/>
                <w:color w:val="auto"/>
                <w:kern w:val="0"/>
                <w:sz w:val="24"/>
                <w:szCs w:val="24"/>
                <w:highlight w:val="none"/>
                <w:lang w:val="en-US" w:eastAsia="zh-CN"/>
              </w:rPr>
              <w:t>齐全</w:t>
            </w:r>
            <w:r>
              <w:rPr>
                <w:rFonts w:hint="eastAsia" w:ascii="宋体" w:hAnsi="宋体" w:eastAsia="宋体" w:cs="宋体"/>
                <w:color w:val="auto"/>
                <w:kern w:val="0"/>
                <w:sz w:val="24"/>
                <w:szCs w:val="24"/>
                <w:highlight w:val="none"/>
              </w:rPr>
              <w:t>及安排②建设进度计划及保证措施③安装调试程序④质量保证措施⑤</w:t>
            </w:r>
            <w:r>
              <w:rPr>
                <w:rFonts w:hint="eastAsia" w:ascii="宋体" w:hAnsi="宋体" w:eastAsia="宋体" w:cs="宋体"/>
                <w:color w:val="auto"/>
                <w:kern w:val="0"/>
                <w:sz w:val="24"/>
                <w:szCs w:val="24"/>
                <w:highlight w:val="none"/>
                <w:lang w:val="en-US" w:eastAsia="zh-CN"/>
              </w:rPr>
              <w:t>产品运输预案</w:t>
            </w:r>
            <w:r>
              <w:rPr>
                <w:rFonts w:hint="eastAsia" w:ascii="宋体" w:hAnsi="宋体" w:eastAsia="宋体" w:cs="宋体"/>
                <w:color w:val="auto"/>
                <w:kern w:val="0"/>
                <w:sz w:val="24"/>
                <w:szCs w:val="24"/>
                <w:highlight w:val="none"/>
              </w:rPr>
              <w:t>。方案详尽、细致、全面，满足采购人的需求，得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分；每缺一项内容减</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每有一项内容存在缺陷（</w:t>
            </w:r>
            <w:r>
              <w:rPr>
                <w:rFonts w:hint="eastAsia" w:ascii="宋体" w:hAnsi="宋体" w:eastAsia="宋体" w:cs="宋体"/>
                <w:color w:val="auto"/>
                <w:kern w:val="0"/>
                <w:sz w:val="24"/>
                <w:szCs w:val="24"/>
                <w:highlight w:val="none"/>
                <w:lang w:val="en-US" w:eastAsia="zh-CN"/>
              </w:rPr>
              <w:t>缺陷是指：前后内容不一致、存在凭空编造、前后逻辑错误、涉及的规范及标准错误、项目名称或实施地点区域 错误、内容简略或与本项目无关等任意一种情形等</w:t>
            </w:r>
            <w:r>
              <w:rPr>
                <w:rFonts w:hint="eastAsia" w:ascii="宋体" w:hAnsi="宋体" w:eastAsia="宋体" w:cs="宋体"/>
                <w:color w:val="auto"/>
                <w:kern w:val="0"/>
                <w:sz w:val="24"/>
                <w:szCs w:val="24"/>
                <w:highlight w:val="none"/>
              </w:rPr>
              <w:t>）的减</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rPr>
              <w:t>，减完为止</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未提供方案得0分。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DB8AF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olor w:val="auto"/>
                <w:kern w:val="0"/>
                <w:sz w:val="24"/>
                <w:szCs w:val="24"/>
                <w:highlight w:val="none"/>
                <w:lang w:val="en-US" w:eastAsia="zh-CN"/>
              </w:rPr>
            </w:pPr>
            <w:r>
              <w:rPr>
                <w:rFonts w:hint="eastAsia" w:ascii="Times New Roman" w:hAnsi="Times New Roman" w:eastAsia="仿宋_GB2312"/>
                <w:color w:val="auto"/>
                <w:kern w:val="0"/>
                <w:sz w:val="24"/>
                <w:szCs w:val="24"/>
                <w:highlight w:val="none"/>
                <w:lang w:val="en-US" w:eastAsia="zh-CN"/>
              </w:rPr>
              <w:t>5</w:t>
            </w:r>
          </w:p>
        </w:tc>
      </w:tr>
      <w:tr w14:paraId="2F55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trPr>
        <w:tc>
          <w:tcPr>
            <w:tcW w:w="1413" w:type="dxa"/>
            <w:tcBorders>
              <w:left w:val="single" w:color="auto" w:sz="4" w:space="0"/>
              <w:right w:val="single" w:color="auto" w:sz="4" w:space="0"/>
            </w:tcBorders>
            <w:shd w:val="clear" w:color="auto" w:fill="auto"/>
            <w:vAlign w:val="center"/>
          </w:tcPr>
          <w:p w14:paraId="56101FDD">
            <w:pPr>
              <w:widowControl/>
              <w:spacing w:line="240" w:lineRule="auto"/>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项目设计方案</w:t>
            </w:r>
          </w:p>
        </w:tc>
        <w:tc>
          <w:tcPr>
            <w:tcW w:w="6249" w:type="dxa"/>
            <w:tcBorders>
              <w:top w:val="single" w:color="auto" w:sz="4" w:space="0"/>
              <w:left w:val="single" w:color="auto" w:sz="4" w:space="0"/>
              <w:bottom w:val="single" w:color="auto" w:sz="4" w:space="0"/>
              <w:right w:val="single" w:color="auto" w:sz="4" w:space="0"/>
            </w:tcBorders>
            <w:shd w:val="clear" w:color="auto" w:fill="auto"/>
            <w:vAlign w:val="center"/>
          </w:tcPr>
          <w:p w14:paraId="7376AC2B">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投标人对项目提供的设计方案包括但不限于:①设计合理（功能的实用性、人体工学适配等），②外观工艺（无瑕疵，做工精细），③创新性（如空间利用率，人性化设计）④牢固性（桌面与桌架、桌腿和桌脚连接部分要连接牢固）方案详尽、细致、全面，满足采购人的需求，得</w:t>
            </w:r>
            <w:r>
              <w:rPr>
                <w:rFonts w:hint="eastAsia" w:ascii="Times New Roman" w:hAnsi="Times New Roman"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en-US" w:eastAsia="zh-CN"/>
              </w:rPr>
              <w:t>分；每缺一项内容减</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分</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每有一项内容存在缺陷（缺陷是指：前后内容不一致、存在凭空编造、前后逻辑错误、涉及的规范及标准错误、项目名称或实施地点区域 错误、内容简略或与本项目无关等任意一种情形等）的减</w:t>
            </w:r>
            <w:r>
              <w:rPr>
                <w:rFonts w:hint="eastAsia"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分，减完为止</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未提供方案得0分。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38CB35E">
            <w:pPr>
              <w:widowControl/>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olor w:val="auto"/>
                <w:kern w:val="0"/>
                <w:sz w:val="24"/>
                <w:szCs w:val="24"/>
                <w:highlight w:val="none"/>
                <w:lang w:val="en-US" w:eastAsia="zh-CN"/>
              </w:rPr>
              <w:t>8</w:t>
            </w:r>
          </w:p>
        </w:tc>
      </w:tr>
      <w:tr w14:paraId="2D97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9" w:hRule="atLeast"/>
        </w:trPr>
        <w:tc>
          <w:tcPr>
            <w:tcW w:w="1413" w:type="dxa"/>
            <w:tcBorders>
              <w:left w:val="single" w:color="auto" w:sz="4" w:space="0"/>
              <w:right w:val="single" w:color="auto" w:sz="4" w:space="0"/>
            </w:tcBorders>
            <w:shd w:val="clear" w:color="auto" w:fill="auto"/>
            <w:vAlign w:val="center"/>
          </w:tcPr>
          <w:p w14:paraId="120C4196">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售后服务</w:t>
            </w:r>
            <w:r>
              <w:rPr>
                <w:rFonts w:hint="eastAsia" w:ascii="宋体" w:hAnsi="宋体" w:eastAsia="宋体" w:cs="宋体"/>
                <w:color w:val="auto"/>
                <w:kern w:val="0"/>
                <w:sz w:val="24"/>
                <w:szCs w:val="24"/>
                <w:highlight w:val="none"/>
                <w:lang w:val="en-US" w:eastAsia="zh-CN"/>
              </w:rPr>
              <w:t>方案</w:t>
            </w:r>
          </w:p>
        </w:tc>
        <w:tc>
          <w:tcPr>
            <w:tcW w:w="6249" w:type="dxa"/>
            <w:tcBorders>
              <w:top w:val="single" w:color="auto" w:sz="4" w:space="0"/>
              <w:left w:val="single" w:color="auto" w:sz="4" w:space="0"/>
              <w:bottom w:val="single" w:color="auto" w:sz="4" w:space="0"/>
              <w:right w:val="single" w:color="auto" w:sz="4" w:space="0"/>
            </w:tcBorders>
            <w:shd w:val="clear" w:color="auto" w:fill="auto"/>
            <w:vAlign w:val="center"/>
          </w:tcPr>
          <w:p w14:paraId="7956F25E">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投标人提供售后服务方案，包括</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环保跟踪（提供甲醛释放量复检服务，确保符合环保标准）</w:t>
            </w:r>
            <w:r>
              <w:rPr>
                <w:rFonts w:hint="eastAsia" w:ascii="宋体" w:hAnsi="宋体" w:eastAsia="宋体" w:cs="宋体"/>
                <w:color w:val="auto"/>
                <w:kern w:val="0"/>
                <w:sz w:val="24"/>
                <w:szCs w:val="24"/>
                <w:highlight w:val="none"/>
              </w:rPr>
              <w:t>（2）质量保障措施、（3）验收方案</w:t>
            </w:r>
          </w:p>
          <w:p w14:paraId="5B21AE1E">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（4）售后服务团队规模（5）维修响应时间、（6）</w:t>
            </w:r>
            <w:r>
              <w:rPr>
                <w:rFonts w:hint="eastAsia" w:ascii="宋体" w:hAnsi="宋体" w:eastAsia="宋体" w:cs="宋体"/>
                <w:color w:val="auto"/>
                <w:kern w:val="0"/>
                <w:sz w:val="24"/>
                <w:szCs w:val="24"/>
                <w:highlight w:val="none"/>
                <w:lang w:val="en-US" w:eastAsia="zh-CN"/>
              </w:rPr>
              <w:t>定期巡检（每年定期上门检查家具使用状态，如螺丝紧固度，结构稳定性预防潜在风险）</w:t>
            </w:r>
            <w:r>
              <w:rPr>
                <w:rFonts w:hint="eastAsia" w:ascii="宋体" w:hAnsi="宋体" w:eastAsia="宋体" w:cs="宋体"/>
                <w:color w:val="auto"/>
                <w:kern w:val="0"/>
                <w:sz w:val="24"/>
                <w:szCs w:val="24"/>
                <w:highlight w:val="none"/>
              </w:rPr>
              <w:t>以及其它优惠的售后服务措施等；方案详尽、细致、全面，满足采购人的需求，得</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分；每缺一项内容减2分</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每有一项内容存在缺陷（</w:t>
            </w:r>
            <w:r>
              <w:rPr>
                <w:rFonts w:hint="eastAsia" w:ascii="宋体" w:hAnsi="宋体" w:eastAsia="宋体" w:cs="宋体"/>
                <w:color w:val="auto"/>
                <w:kern w:val="0"/>
                <w:sz w:val="24"/>
                <w:szCs w:val="24"/>
                <w:highlight w:val="none"/>
                <w:lang w:val="en-US" w:eastAsia="zh-CN"/>
              </w:rPr>
              <w:t>缺陷是指：前后内容不一致、存在凭空编造、前后逻辑错误、涉及的规范及标准错误、项目名称或实施地点区域 错误、内容简略或与本项目无关等任意一种情形等</w:t>
            </w:r>
            <w:r>
              <w:rPr>
                <w:rFonts w:hint="eastAsia" w:ascii="宋体" w:hAnsi="宋体" w:eastAsia="宋体" w:cs="宋体"/>
                <w:color w:val="auto"/>
                <w:kern w:val="0"/>
                <w:sz w:val="24"/>
                <w:szCs w:val="24"/>
                <w:highlight w:val="none"/>
              </w:rPr>
              <w:t>）的减1分，减完为止</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未提供方案得0分。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8A27C14">
            <w:pPr>
              <w:widowControl/>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olor w:val="auto"/>
                <w:kern w:val="0"/>
                <w:sz w:val="24"/>
                <w:szCs w:val="24"/>
                <w:highlight w:val="none"/>
                <w:lang w:val="en-US" w:eastAsia="zh-CN"/>
              </w:rPr>
              <w:t>12</w:t>
            </w:r>
          </w:p>
        </w:tc>
      </w:tr>
      <w:tr w14:paraId="641E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413" w:type="dxa"/>
            <w:tcBorders>
              <w:left w:val="single" w:color="auto" w:sz="4" w:space="0"/>
              <w:right w:val="single" w:color="auto" w:sz="4" w:space="0"/>
            </w:tcBorders>
            <w:shd w:val="clear" w:color="auto" w:fill="auto"/>
            <w:vAlign w:val="center"/>
          </w:tcPr>
          <w:p w14:paraId="771662C3">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样品</w:t>
            </w:r>
          </w:p>
        </w:tc>
        <w:tc>
          <w:tcPr>
            <w:tcW w:w="6249" w:type="dxa"/>
            <w:tcBorders>
              <w:top w:val="single" w:color="auto" w:sz="4" w:space="0"/>
              <w:left w:val="single" w:color="auto" w:sz="4" w:space="0"/>
              <w:bottom w:val="single" w:color="auto" w:sz="4" w:space="0"/>
              <w:right w:val="single" w:color="auto" w:sz="4" w:space="0"/>
            </w:tcBorders>
            <w:shd w:val="clear" w:color="auto" w:fill="auto"/>
            <w:vAlign w:val="center"/>
          </w:tcPr>
          <w:p w14:paraId="48EF50A5">
            <w:pPr>
              <w:widowControl/>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w:t>
            </w:r>
            <w:r>
              <w:rPr>
                <w:rFonts w:hint="eastAsia" w:ascii="宋体" w:hAnsi="宋体" w:eastAsia="宋体" w:cs="宋体"/>
                <w:color w:val="auto"/>
                <w:kern w:val="0"/>
                <w:sz w:val="24"/>
                <w:szCs w:val="24"/>
                <w:highlight w:val="none"/>
                <w:lang w:val="en-US" w:eastAsia="zh-CN"/>
              </w:rPr>
              <w:t>标人提供样品的整体性能进行评审：1.符合人体设计工学、样品逐条按照技术参数提供。且</w:t>
            </w:r>
            <w:r>
              <w:rPr>
                <w:rFonts w:ascii="宋体" w:hAnsi="宋体" w:eastAsia="宋体" w:cs="宋体"/>
                <w:sz w:val="24"/>
                <w:szCs w:val="24"/>
              </w:rPr>
              <w:t>材质手感厚实、韧性好，无薄脆、发软、变形现象</w:t>
            </w:r>
            <w:r>
              <w:rPr>
                <w:rFonts w:hint="eastAsia" w:ascii="宋体" w:hAnsi="宋体" w:eastAsia="宋体" w:cs="宋体"/>
                <w:color w:val="auto"/>
                <w:kern w:val="0"/>
                <w:sz w:val="24"/>
                <w:szCs w:val="24"/>
                <w:highlight w:val="none"/>
                <w:lang w:val="en-US" w:eastAsia="zh-CN"/>
              </w:rPr>
              <w:t>；2.</w:t>
            </w:r>
            <w:r>
              <w:rPr>
                <w:rFonts w:ascii="宋体" w:hAnsi="宋体" w:eastAsia="宋体" w:cs="宋体"/>
                <w:sz w:val="24"/>
                <w:szCs w:val="24"/>
              </w:rPr>
              <w:t>表面光滑平整、无毛刺、无缩痕、无气泡、无色差，无飞边</w:t>
            </w:r>
            <w:r>
              <w:rPr>
                <w:rFonts w:hint="eastAsia" w:ascii="宋体" w:hAnsi="宋体" w:eastAsia="宋体" w:cs="宋体"/>
                <w:color w:val="auto"/>
                <w:kern w:val="0"/>
                <w:sz w:val="24"/>
                <w:szCs w:val="24"/>
                <w:highlight w:val="none"/>
                <w:lang w:val="en-US" w:eastAsia="zh-CN"/>
              </w:rPr>
              <w:t>；3.</w:t>
            </w:r>
            <w:r>
              <w:rPr>
                <w:rFonts w:ascii="宋体" w:hAnsi="宋体" w:eastAsia="宋体" w:cs="宋体"/>
                <w:sz w:val="24"/>
                <w:szCs w:val="24"/>
              </w:rPr>
              <w:t>整体结构稳固，无晃动、无松动，边角圆弧过渡，无尖锐部位</w:t>
            </w:r>
            <w:r>
              <w:rPr>
                <w:rFonts w:hint="eastAsia" w:ascii="宋体" w:hAnsi="宋体" w:eastAsia="宋体" w:cs="宋体"/>
                <w:color w:val="auto"/>
                <w:kern w:val="0"/>
                <w:sz w:val="24"/>
                <w:szCs w:val="24"/>
                <w:highlight w:val="none"/>
                <w:lang w:val="en-US" w:eastAsia="zh-CN"/>
              </w:rPr>
              <w:t>各项性能完备的得 8分，每有一项存在瑕疵或不符合采购人使用需求的，扣 3分，扣完为止，不提供样品则不得分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6C4D694">
            <w:pPr>
              <w:widowControl/>
              <w:jc w:val="center"/>
              <w:rPr>
                <w:rFonts w:hint="eastAsia" w:ascii="Times New Roman" w:hAnsi="Times New Roman"/>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8</w:t>
            </w:r>
          </w:p>
        </w:tc>
      </w:tr>
      <w:tr w14:paraId="1B68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413" w:type="dxa"/>
            <w:tcBorders>
              <w:left w:val="single" w:color="auto" w:sz="4" w:space="0"/>
              <w:right w:val="single" w:color="auto" w:sz="4" w:space="0"/>
            </w:tcBorders>
            <w:shd w:val="clear" w:color="auto" w:fill="auto"/>
            <w:vAlign w:val="center"/>
          </w:tcPr>
          <w:p w14:paraId="658671E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质保期</w:t>
            </w:r>
          </w:p>
        </w:tc>
        <w:tc>
          <w:tcPr>
            <w:tcW w:w="6249" w:type="dxa"/>
            <w:tcBorders>
              <w:top w:val="single" w:color="auto" w:sz="4" w:space="0"/>
              <w:left w:val="single" w:color="auto" w:sz="4" w:space="0"/>
              <w:bottom w:val="single" w:color="auto" w:sz="4" w:space="0"/>
              <w:right w:val="single" w:color="auto" w:sz="4" w:space="0"/>
            </w:tcBorders>
            <w:shd w:val="clear" w:color="auto" w:fill="auto"/>
            <w:vAlign w:val="center"/>
          </w:tcPr>
          <w:p w14:paraId="1EF0A264">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质保期年限为</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年，在此基础上每延长1年，得</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分，此项最高分</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CD6BDD3">
            <w:pPr>
              <w:widowControl/>
              <w:jc w:val="center"/>
              <w:rPr>
                <w:rFonts w:hint="eastAsia" w:ascii="Times New Roman" w:hAnsi="Times New Roman"/>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2</w:t>
            </w:r>
          </w:p>
        </w:tc>
      </w:tr>
    </w:tbl>
    <w:p w14:paraId="40200FE6">
      <w:pPr>
        <w:pStyle w:val="13"/>
        <w:tabs>
          <w:tab w:val="left" w:pos="600"/>
        </w:tabs>
        <w:spacing w:line="360" w:lineRule="auto"/>
        <w:ind w:firstLine="482" w:firstLineChars="200"/>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报价部分评</w:t>
      </w:r>
      <w:r>
        <w:rPr>
          <w:rFonts w:hint="eastAsia" w:ascii="宋体" w:hAnsi="宋体" w:eastAsia="宋体" w:cs="宋体"/>
          <w:b/>
          <w:bCs/>
          <w:color w:val="auto"/>
          <w:sz w:val="24"/>
          <w:szCs w:val="24"/>
          <w:highlight w:val="none"/>
          <w:lang w:val="zh-CN"/>
        </w:rPr>
        <w:t>审</w:t>
      </w:r>
      <w:r>
        <w:rPr>
          <w:rFonts w:hint="eastAsia" w:ascii="宋体" w:hAnsi="宋体" w:eastAsia="宋体" w:cs="宋体"/>
          <w:b/>
          <w:bCs/>
          <w:color w:val="auto"/>
          <w:sz w:val="24"/>
          <w:szCs w:val="24"/>
          <w:highlight w:val="none"/>
        </w:rPr>
        <w:t>标准（</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tbl>
      <w:tblPr>
        <w:tblStyle w:val="3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557"/>
        <w:gridCol w:w="1104"/>
        <w:gridCol w:w="6301"/>
      </w:tblGrid>
      <w:tr w14:paraId="67CA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Align w:val="center"/>
          </w:tcPr>
          <w:p w14:paraId="1D8C1F90">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661" w:type="dxa"/>
            <w:gridSpan w:val="2"/>
            <w:vAlign w:val="center"/>
          </w:tcPr>
          <w:p w14:paraId="386EA328">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评审因素</w:t>
            </w:r>
          </w:p>
        </w:tc>
        <w:tc>
          <w:tcPr>
            <w:tcW w:w="6301" w:type="dxa"/>
            <w:vAlign w:val="center"/>
          </w:tcPr>
          <w:p w14:paraId="2AEDD794">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评审标准</w:t>
            </w:r>
          </w:p>
        </w:tc>
      </w:tr>
      <w:tr w14:paraId="32DA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Merge w:val="restart"/>
            <w:vAlign w:val="center"/>
          </w:tcPr>
          <w:p w14:paraId="24F71A9E">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p>
        </w:tc>
        <w:tc>
          <w:tcPr>
            <w:tcW w:w="1661" w:type="dxa"/>
            <w:gridSpan w:val="2"/>
            <w:vMerge w:val="restart"/>
            <w:vAlign w:val="center"/>
          </w:tcPr>
          <w:p w14:paraId="1AA914AC">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投标报价</w:t>
            </w:r>
          </w:p>
        </w:tc>
        <w:tc>
          <w:tcPr>
            <w:tcW w:w="6301" w:type="dxa"/>
            <w:vAlign w:val="center"/>
          </w:tcPr>
          <w:p w14:paraId="5D2701A7">
            <w:pPr>
              <w:autoSpaceDE w:val="0"/>
              <w:autoSpaceDN w:val="0"/>
              <w:adjustRightInd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评标基准价即满足招标文件要求且投标价格最低的投标报价。</w:t>
            </w:r>
          </w:p>
          <w:p w14:paraId="6F29AC3C">
            <w:pPr>
              <w:autoSpaceDE w:val="0"/>
              <w:autoSpaceDN w:val="0"/>
              <w:adjustRightIn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投标报价得分=（评标基准价/投标报价）×</w:t>
            </w:r>
            <w:r>
              <w:rPr>
                <w:rFonts w:hint="eastAsia" w:ascii="宋体" w:hAnsi="宋体" w:cs="宋体"/>
                <w:color w:val="auto"/>
                <w:sz w:val="24"/>
                <w:szCs w:val="24"/>
                <w:highlight w:val="none"/>
                <w:lang w:val="en-US" w:eastAsia="zh-CN"/>
              </w:rPr>
              <w:t>30</w:t>
            </w:r>
          </w:p>
        </w:tc>
      </w:tr>
      <w:tr w14:paraId="1147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55" w:type="dxa"/>
            <w:vMerge w:val="continue"/>
            <w:vAlign w:val="center"/>
          </w:tcPr>
          <w:p w14:paraId="1CF6CC57">
            <w:pPr>
              <w:autoSpaceDE w:val="0"/>
              <w:autoSpaceDN w:val="0"/>
              <w:adjustRightInd w:val="0"/>
              <w:jc w:val="center"/>
              <w:rPr>
                <w:rFonts w:hint="eastAsia" w:ascii="宋体" w:hAnsi="宋体" w:eastAsia="宋体" w:cs="宋体"/>
                <w:bCs/>
                <w:color w:val="auto"/>
                <w:sz w:val="24"/>
                <w:szCs w:val="24"/>
                <w:highlight w:val="none"/>
                <w:lang w:val="zh-CN"/>
              </w:rPr>
            </w:pPr>
          </w:p>
        </w:tc>
        <w:tc>
          <w:tcPr>
            <w:tcW w:w="1661" w:type="dxa"/>
            <w:gridSpan w:val="2"/>
            <w:vMerge w:val="continue"/>
            <w:vAlign w:val="center"/>
          </w:tcPr>
          <w:p w14:paraId="5140DF2F">
            <w:pPr>
              <w:autoSpaceDE w:val="0"/>
              <w:autoSpaceDN w:val="0"/>
              <w:adjustRightInd w:val="0"/>
              <w:jc w:val="center"/>
              <w:rPr>
                <w:rFonts w:hint="eastAsia" w:ascii="宋体" w:hAnsi="宋体" w:eastAsia="宋体" w:cs="宋体"/>
                <w:color w:val="auto"/>
                <w:sz w:val="24"/>
                <w:szCs w:val="24"/>
                <w:highlight w:val="none"/>
                <w:lang w:val="zh-CN"/>
              </w:rPr>
            </w:pPr>
          </w:p>
        </w:tc>
        <w:tc>
          <w:tcPr>
            <w:tcW w:w="6301" w:type="dxa"/>
            <w:vAlign w:val="center"/>
          </w:tcPr>
          <w:p w14:paraId="369B01D5">
            <w:pPr>
              <w:autoSpaceDE w:val="0"/>
              <w:autoSpaceDN w:val="0"/>
              <w:adjustRightInd w:val="0"/>
              <w:rPr>
                <w:rFonts w:hint="eastAsia" w:ascii="宋体" w:hAnsi="宋体" w:eastAsia="宋体" w:cs="宋体"/>
                <w:b/>
                <w:bCs/>
                <w:color w:val="auto"/>
                <w:sz w:val="24"/>
                <w:szCs w:val="24"/>
                <w:highlight w:val="none"/>
                <w:lang w:val="zh-CN" w:eastAsia="zh-CN"/>
              </w:rPr>
            </w:pP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zh-CN"/>
              </w:rPr>
              <w:t>本项目为专门面向中小企业采购项目，不再</w:t>
            </w:r>
            <w:r>
              <w:rPr>
                <w:rFonts w:hint="eastAsia" w:ascii="宋体" w:hAnsi="宋体" w:eastAsia="宋体" w:cs="宋体"/>
                <w:b/>
                <w:bCs/>
                <w:color w:val="auto"/>
                <w:sz w:val="24"/>
                <w:szCs w:val="24"/>
                <w:highlight w:val="none"/>
                <w:lang w:val="zh-CN" w:eastAsia="zh-CN"/>
              </w:rPr>
              <w:t>执行价格扣除优惠政策。</w:t>
            </w:r>
          </w:p>
          <w:p w14:paraId="6BBBB235">
            <w:pPr>
              <w:autoSpaceDE w:val="0"/>
              <w:autoSpaceDN w:val="0"/>
              <w:adjustRightInd w:val="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（2）根据《国务院办公厅关于在政府采购中实施本国产品标准及相关政策的通知》（国办发[2025]34号），对符合规定的本国产品报价给予20%的扣除，用扣除后的价格参加评审。</w:t>
            </w:r>
          </w:p>
        </w:tc>
      </w:tr>
      <w:tr w14:paraId="59C2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restart"/>
            <w:vAlign w:val="center"/>
          </w:tcPr>
          <w:p w14:paraId="45987BA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7" w:type="dxa"/>
            <w:vMerge w:val="restart"/>
            <w:vAlign w:val="center"/>
          </w:tcPr>
          <w:p w14:paraId="2C0E8F8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政府采购价格折扣优惠政策说明</w:t>
            </w:r>
          </w:p>
        </w:tc>
        <w:tc>
          <w:tcPr>
            <w:tcW w:w="1104" w:type="dxa"/>
            <w:vAlign w:val="center"/>
          </w:tcPr>
          <w:p w14:paraId="20A0D9B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6301" w:type="dxa"/>
            <w:vAlign w:val="center"/>
          </w:tcPr>
          <w:p w14:paraId="3275B0F2">
            <w:pPr>
              <w:rPr>
                <w:rFonts w:hint="eastAsia" w:ascii="宋体" w:hAnsi="宋体" w:eastAsia="宋体" w:cs="宋体"/>
                <w:bCs/>
                <w:color w:val="auto"/>
                <w:sz w:val="24"/>
                <w:szCs w:val="24"/>
                <w:highlight w:val="none"/>
              </w:rPr>
            </w:pPr>
            <w:r>
              <w:rPr>
                <w:rFonts w:hint="eastAsia" w:ascii="宋体" w:hAnsi="宋体" w:cs="宋体"/>
                <w:color w:val="auto"/>
                <w:sz w:val="24"/>
                <w:highlight w:val="none"/>
              </w:rPr>
              <w:t>根据工信部等部委发布的《关于印发中小企业划型标准规定的通知》（工信部联企业〔2011〕300号），按照本次采购标的所属行业的划型标准，符合条件的中小企业须提供自拟格式的《中小企业声明函》。</w:t>
            </w:r>
          </w:p>
        </w:tc>
      </w:tr>
      <w:tr w14:paraId="39C7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2372C4E3">
            <w:pPr>
              <w:jc w:val="center"/>
              <w:rPr>
                <w:rFonts w:hint="eastAsia" w:ascii="宋体" w:hAnsi="宋体" w:eastAsia="宋体" w:cs="宋体"/>
                <w:color w:val="auto"/>
                <w:sz w:val="24"/>
                <w:szCs w:val="24"/>
                <w:highlight w:val="none"/>
              </w:rPr>
            </w:pPr>
          </w:p>
        </w:tc>
        <w:tc>
          <w:tcPr>
            <w:tcW w:w="557" w:type="dxa"/>
            <w:vMerge w:val="continue"/>
            <w:vAlign w:val="center"/>
          </w:tcPr>
          <w:p w14:paraId="65C6744A">
            <w:pPr>
              <w:jc w:val="center"/>
              <w:rPr>
                <w:rFonts w:hint="eastAsia" w:ascii="宋体" w:hAnsi="宋体" w:eastAsia="宋体" w:cs="宋体"/>
                <w:color w:val="auto"/>
                <w:sz w:val="24"/>
                <w:szCs w:val="24"/>
                <w:highlight w:val="none"/>
              </w:rPr>
            </w:pPr>
          </w:p>
        </w:tc>
        <w:tc>
          <w:tcPr>
            <w:tcW w:w="1104" w:type="dxa"/>
            <w:vAlign w:val="center"/>
          </w:tcPr>
          <w:p w14:paraId="5B78106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w:t>
            </w:r>
          </w:p>
        </w:tc>
        <w:tc>
          <w:tcPr>
            <w:tcW w:w="6301" w:type="dxa"/>
            <w:vAlign w:val="center"/>
          </w:tcPr>
          <w:p w14:paraId="701E507A">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根据财库〔2014〕68号《财政部司法部关于政府采购支持监狱企业发展有关问题的通知》，能够</w:t>
            </w:r>
            <w:r>
              <w:rPr>
                <w:rFonts w:hint="eastAsia" w:ascii="宋体" w:hAnsi="宋体" w:eastAsia="宋体" w:cs="宋体"/>
                <w:color w:val="auto"/>
                <w:sz w:val="24"/>
                <w:szCs w:val="24"/>
                <w:highlight w:val="none"/>
              </w:rPr>
              <w:t>提供由省级以上监狱管理局、戒毒管理局（含新疆生产建设兵团）出具的“属于监狱企业的证明文件”的监狱企业，</w:t>
            </w:r>
            <w:r>
              <w:rPr>
                <w:rFonts w:hint="eastAsia" w:ascii="宋体" w:hAnsi="宋体" w:eastAsia="宋体" w:cs="宋体"/>
                <w:bCs/>
                <w:color w:val="auto"/>
                <w:sz w:val="24"/>
                <w:szCs w:val="24"/>
                <w:highlight w:val="none"/>
              </w:rPr>
              <w:t>视同小型。</w:t>
            </w:r>
          </w:p>
        </w:tc>
      </w:tr>
      <w:tr w14:paraId="3E20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77A19912">
            <w:pPr>
              <w:jc w:val="center"/>
              <w:rPr>
                <w:rFonts w:hint="eastAsia" w:ascii="宋体" w:hAnsi="宋体" w:eastAsia="宋体" w:cs="宋体"/>
                <w:color w:val="auto"/>
                <w:sz w:val="24"/>
                <w:szCs w:val="24"/>
                <w:highlight w:val="none"/>
              </w:rPr>
            </w:pPr>
          </w:p>
        </w:tc>
        <w:tc>
          <w:tcPr>
            <w:tcW w:w="557" w:type="dxa"/>
            <w:vMerge w:val="continue"/>
            <w:vAlign w:val="center"/>
          </w:tcPr>
          <w:p w14:paraId="05C23A9A">
            <w:pPr>
              <w:jc w:val="center"/>
              <w:rPr>
                <w:rFonts w:hint="eastAsia" w:ascii="宋体" w:hAnsi="宋体" w:eastAsia="宋体" w:cs="宋体"/>
                <w:color w:val="auto"/>
                <w:sz w:val="24"/>
                <w:szCs w:val="24"/>
                <w:highlight w:val="none"/>
              </w:rPr>
            </w:pPr>
          </w:p>
        </w:tc>
        <w:tc>
          <w:tcPr>
            <w:tcW w:w="1104" w:type="dxa"/>
            <w:vAlign w:val="center"/>
          </w:tcPr>
          <w:p w14:paraId="2A007BD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福利企业</w:t>
            </w:r>
          </w:p>
        </w:tc>
        <w:tc>
          <w:tcPr>
            <w:tcW w:w="6301" w:type="dxa"/>
            <w:vAlign w:val="center"/>
          </w:tcPr>
          <w:p w14:paraId="1700C459">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auto"/>
                <w:sz w:val="24"/>
                <w:szCs w:val="24"/>
                <w:highlight w:val="none"/>
              </w:rPr>
              <w:t>自拟格式的</w:t>
            </w:r>
            <w:r>
              <w:rPr>
                <w:rFonts w:hint="eastAsia" w:ascii="宋体" w:hAnsi="宋体" w:eastAsia="宋体" w:cs="宋体"/>
                <w:bCs/>
                <w:color w:val="auto"/>
                <w:sz w:val="24"/>
                <w:szCs w:val="24"/>
                <w:highlight w:val="none"/>
              </w:rPr>
              <w:t>《残疾人福利性单位声明函》的残疾人福利性单位，视同小型。</w:t>
            </w:r>
          </w:p>
        </w:tc>
      </w:tr>
      <w:tr w14:paraId="168B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517" w:type="dxa"/>
            <w:gridSpan w:val="4"/>
            <w:vAlign w:val="center"/>
          </w:tcPr>
          <w:p w14:paraId="0BE3FB5E">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评分注意事项：</w:t>
            </w:r>
          </w:p>
          <w:p w14:paraId="4A00A562">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 xml:space="preserve">    </w:t>
            </w:r>
            <w:r>
              <w:rPr>
                <w:rFonts w:hint="eastAsia" w:ascii="宋体" w:hAnsi="宋体" w:eastAsia="宋体" w:cs="宋体"/>
                <w:color w:val="auto"/>
                <w:sz w:val="24"/>
                <w:szCs w:val="24"/>
                <w:highlight w:val="none"/>
                <w:lang w:val="zh-CN"/>
              </w:rPr>
              <w:t>因落实政府采购政策进行价格调整的，评标委员会应记录价格调整的依据、计算过程及计算结果。</w:t>
            </w:r>
          </w:p>
        </w:tc>
      </w:tr>
    </w:tbl>
    <w:p w14:paraId="6871EC1A">
      <w:pPr>
        <w:pStyle w:val="13"/>
        <w:keepNext w:val="0"/>
        <w:keepLines w:val="0"/>
        <w:pageBreakBefore w:val="0"/>
        <w:tabs>
          <w:tab w:val="left" w:pos="600"/>
        </w:tabs>
        <w:kinsoku/>
        <w:wordWrap/>
        <w:overflowPunct/>
        <w:topLinePunct w:val="0"/>
        <w:bidi w:val="0"/>
        <w:adjustRightInd/>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4.5.1</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总分=报价部分得分+技术、商务部分得分，结果保留两位小数。</w:t>
      </w:r>
    </w:p>
    <w:p w14:paraId="35BBF81B">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b w:val="0"/>
          <w:bCs w:val="0"/>
          <w:color w:val="auto"/>
          <w:sz w:val="24"/>
          <w:szCs w:val="24"/>
          <w:highlight w:val="none"/>
        </w:rPr>
      </w:pPr>
      <w:bookmarkStart w:id="176" w:name="_Toc217446060"/>
      <w:r>
        <w:rPr>
          <w:rFonts w:hint="eastAsia" w:ascii="宋体" w:hAnsi="宋体" w:eastAsia="宋体" w:cs="宋体"/>
          <w:b w:val="0"/>
          <w:bCs w:val="0"/>
          <w:color w:val="auto"/>
          <w:sz w:val="24"/>
          <w:szCs w:val="24"/>
          <w:highlight w:val="none"/>
        </w:rPr>
        <w:t>5. 终止招标</w:t>
      </w:r>
    </w:p>
    <w:p w14:paraId="60CE9EC4">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采购人、采购代理机构在发布招标公告、资格预审公告或者发出投标邀请书后，除因重大变故采购任务取消情况外，不得擅自终止招标活动。</w:t>
      </w:r>
    </w:p>
    <w:p w14:paraId="72DCFFCD">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6933A266">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 定标</w:t>
      </w:r>
      <w:bookmarkEnd w:id="176"/>
      <w:bookmarkStart w:id="177" w:name="_Toc217446061"/>
    </w:p>
    <w:p w14:paraId="37DD8ACA">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6.1. 定标原则</w:t>
      </w:r>
      <w:bookmarkEnd w:id="177"/>
      <w:r>
        <w:rPr>
          <w:rFonts w:hint="eastAsia" w:ascii="宋体" w:hAnsi="宋体" w:eastAsia="宋体" w:cs="宋体"/>
          <w:b w:val="0"/>
          <w:bCs w:val="0"/>
          <w:color w:val="auto"/>
          <w:sz w:val="24"/>
          <w:szCs w:val="24"/>
          <w:highlight w:val="none"/>
        </w:rPr>
        <w:t>：本项目根据评标委员会推荐的中标候选人名单，按顺序确定中标人。</w:t>
      </w:r>
    </w:p>
    <w:p w14:paraId="218B1ED2">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b w:val="0"/>
          <w:bCs w:val="0"/>
          <w:color w:val="auto"/>
          <w:sz w:val="24"/>
          <w:szCs w:val="24"/>
          <w:highlight w:val="none"/>
        </w:rPr>
      </w:pPr>
      <w:bookmarkStart w:id="178" w:name="_Toc217446062"/>
      <w:r>
        <w:rPr>
          <w:rFonts w:hint="eastAsia" w:ascii="宋体" w:hAnsi="宋体" w:eastAsia="宋体" w:cs="宋体"/>
          <w:b w:val="0"/>
          <w:bCs w:val="0"/>
          <w:color w:val="auto"/>
          <w:sz w:val="24"/>
          <w:szCs w:val="24"/>
          <w:highlight w:val="none"/>
        </w:rPr>
        <w:t>6.2. 定标程序</w:t>
      </w:r>
      <w:bookmarkEnd w:id="178"/>
    </w:p>
    <w:p w14:paraId="2C1755D4">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20F71A4B">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 采购代理机构在评标结束后两个工作日内将评标报告送至采购人。</w:t>
      </w:r>
    </w:p>
    <w:p w14:paraId="1C321D20">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 采购人应当自收到评标报告之日起5个工作日内在评标报告推荐的中标候选人中按顺序确定中标人。</w:t>
      </w:r>
    </w:p>
    <w:p w14:paraId="23C08E0A">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 根据采购人确定的中标人，采购人在招标公告发布的媒体上发布中标公告，同时向中标人发出中标通知书。</w:t>
      </w:r>
    </w:p>
    <w:p w14:paraId="2CBF8CA3">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采购人不退回投标文件和其他投标资料。</w:t>
      </w:r>
    </w:p>
    <w:bookmarkEnd w:id="171"/>
    <w:p w14:paraId="13A112EC">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bookmarkStart w:id="179" w:name="_Toc217446105"/>
      <w:bookmarkStart w:id="180" w:name="_Toc183682432"/>
      <w:bookmarkStart w:id="181" w:name="_Toc183582297"/>
      <w:bookmarkStart w:id="182" w:name="_Toc208849022"/>
      <w:r>
        <w:rPr>
          <w:rFonts w:hint="eastAsia" w:ascii="宋体" w:hAnsi="宋体" w:eastAsia="宋体" w:cs="宋体"/>
          <w:color w:val="auto"/>
          <w:sz w:val="24"/>
          <w:szCs w:val="24"/>
          <w:highlight w:val="none"/>
        </w:rPr>
        <w:t xml:space="preserve">7. </w:t>
      </w:r>
      <w:bookmarkEnd w:id="179"/>
      <w:bookmarkEnd w:id="180"/>
      <w:bookmarkEnd w:id="181"/>
      <w:bookmarkEnd w:id="182"/>
      <w:r>
        <w:rPr>
          <w:rFonts w:hint="eastAsia" w:ascii="宋体" w:hAnsi="宋体" w:eastAsia="宋体" w:cs="宋体"/>
          <w:color w:val="auto"/>
          <w:sz w:val="24"/>
          <w:szCs w:val="24"/>
          <w:highlight w:val="none"/>
        </w:rPr>
        <w:t>评标专家在政府采购活动中承担以下义务：</w:t>
      </w:r>
    </w:p>
    <w:p w14:paraId="3EFA4F91">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遵纪守法，客观、公正、廉洁地履行职责。</w:t>
      </w:r>
    </w:p>
    <w:p w14:paraId="7510663D">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予签字确认。</w:t>
      </w:r>
    </w:p>
    <w:p w14:paraId="34FFBB4D">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保守秘密。不得透露招标项目情况，不得泄漏投标人的投标文件及知悉的商业秘密，不得向投标人透露评标情况。</w:t>
      </w:r>
    </w:p>
    <w:p w14:paraId="7F945177">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发现投标人在政府采购活动中有不正当竞争或恶意串通等违规行为，及时向政府采购评标工作的组织者或财政部门报告并加以制止。</w:t>
      </w:r>
    </w:p>
    <w:p w14:paraId="6F44FED5">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发现采购人、采购代理机构及其工作人员在招标活动中有干预评标、发表倾向性和歧视性言论、受贿或者接受投标人的其他好处及其他违法违规行为，及时向财政部门报告。</w:t>
      </w:r>
    </w:p>
    <w:p w14:paraId="31399442">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配合采购人或者采购代理机构答复投标人质疑，配合投诉处理工作等事宜。</w:t>
      </w:r>
    </w:p>
    <w:p w14:paraId="3D4B9083">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法律、法规和规章规定的其他义务。</w:t>
      </w:r>
    </w:p>
    <w:p w14:paraId="68F54B46">
      <w:pPr>
        <w:keepNext w:val="0"/>
        <w:keepLines w:val="0"/>
        <w:pageBreakBefore w:val="0"/>
        <w:widowControl/>
        <w:kinsoku/>
        <w:wordWrap/>
        <w:overflowPunct/>
        <w:topLinePunct w:val="0"/>
        <w:autoSpaceDE w:val="0"/>
        <w:autoSpaceDN w:val="0"/>
        <w:bidi w:val="0"/>
        <w:adjustRightInd/>
        <w:snapToGrid/>
        <w:spacing w:line="360" w:lineRule="auto"/>
        <w:ind w:firstLine="482"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评标专家在招标活动中应当遵守以下工作纪律：</w:t>
      </w:r>
    </w:p>
    <w:p w14:paraId="15769F1A">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应邀按时参加评标活动。遇特殊情况不能出席或途中遇阻不能按时参加评标的，应及时告知财政部门或者采购人或者采购代理机构，不得私自转托他人。</w:t>
      </w:r>
    </w:p>
    <w:p w14:paraId="03D58455">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不得参加与自己有利害关系的招标项目的评标活动。对与自己有利害关系的评标项目，如受到邀请，应主动提出回避。财政部门、采购人或采购代理机构也可要求该评标专家回避。</w:t>
      </w:r>
    </w:p>
    <w:p w14:paraId="52FA9A85">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2C95BE24">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评标过程中关闭通讯设备，不得与外界联系。</w:t>
      </w:r>
    </w:p>
    <w:p w14:paraId="5686DF37">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29BA631B">
      <w:pPr>
        <w:pStyle w:val="4"/>
        <w:bidi w:val="0"/>
        <w:jc w:val="center"/>
        <w:outlineLvl w:val="0"/>
        <w:rPr>
          <w:rFonts w:hint="eastAsia"/>
          <w:color w:val="auto"/>
          <w:highlight w:val="none"/>
        </w:rPr>
      </w:pPr>
      <w:r>
        <w:rPr>
          <w:rFonts w:hint="eastAsia" w:ascii="宋体" w:hAnsi="宋体" w:eastAsia="宋体" w:cs="宋体"/>
          <w:b w:val="0"/>
          <w:bCs w:val="0"/>
          <w:color w:val="auto"/>
          <w:szCs w:val="24"/>
          <w:highlight w:val="none"/>
        </w:rPr>
        <w:br w:type="page"/>
      </w:r>
      <w:bookmarkStart w:id="183" w:name="_Toc7810"/>
      <w:bookmarkStart w:id="184" w:name="_Toc22113"/>
      <w:r>
        <w:rPr>
          <w:rFonts w:hint="eastAsia"/>
          <w:color w:val="auto"/>
          <w:highlight w:val="none"/>
        </w:rPr>
        <w:t>第六章  拟签订的合同文本</w:t>
      </w:r>
      <w:bookmarkEnd w:id="183"/>
      <w:bookmarkEnd w:id="184"/>
    </w:p>
    <w:p w14:paraId="6726255A">
      <w:pPr>
        <w:pStyle w:val="8"/>
        <w:ind w:firstLine="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本合同仅供参考，最终以与采购人实际签订合同为准</w:t>
      </w:r>
    </w:p>
    <w:p w14:paraId="2B023655">
      <w:pPr>
        <w:wordWrap w:val="0"/>
        <w:adjustRightInd/>
        <w:ind w:firstLine="480" w:firstLineChars="200"/>
        <w:contextualSpacing/>
        <w:jc w:val="left"/>
        <w:rPr>
          <w:rFonts w:hint="eastAsia" w:ascii="宋体" w:hAnsi="宋体" w:eastAsia="宋体" w:cs="宋体"/>
          <w:color w:val="auto"/>
          <w:sz w:val="24"/>
          <w:szCs w:val="24"/>
          <w:highlight w:val="none"/>
        </w:rPr>
      </w:pPr>
    </w:p>
    <w:p w14:paraId="5A51D507">
      <w:pPr>
        <w:pStyle w:val="12"/>
        <w:spacing w:after="0"/>
        <w:jc w:val="center"/>
        <w:rPr>
          <w:rFonts w:hint="eastAsia" w:ascii="宋体" w:hAnsi="宋体" w:eastAsia="宋体" w:cs="宋体"/>
          <w:b/>
          <w:bCs/>
          <w:color w:val="auto"/>
          <w:spacing w:val="-20"/>
          <w:kern w:val="44"/>
          <w:sz w:val="48"/>
          <w:szCs w:val="48"/>
          <w:highlight w:val="none"/>
        </w:rPr>
      </w:pPr>
    </w:p>
    <w:p w14:paraId="36D89690">
      <w:pPr>
        <w:pStyle w:val="12"/>
        <w:spacing w:after="0"/>
        <w:jc w:val="center"/>
        <w:rPr>
          <w:rFonts w:hint="eastAsia" w:ascii="宋体" w:hAnsi="宋体" w:eastAsia="宋体" w:cs="宋体"/>
          <w:b/>
          <w:bCs/>
          <w:color w:val="auto"/>
          <w:spacing w:val="-20"/>
          <w:kern w:val="44"/>
          <w:sz w:val="48"/>
          <w:szCs w:val="48"/>
          <w:highlight w:val="none"/>
        </w:rPr>
      </w:pPr>
    </w:p>
    <w:p w14:paraId="07A7E867">
      <w:pPr>
        <w:pStyle w:val="12"/>
        <w:spacing w:after="0"/>
        <w:jc w:val="center"/>
        <w:rPr>
          <w:rFonts w:hint="eastAsia" w:ascii="宋体" w:hAnsi="宋体" w:eastAsia="宋体" w:cs="宋体"/>
          <w:b/>
          <w:bCs/>
          <w:color w:val="auto"/>
          <w:spacing w:val="-20"/>
          <w:kern w:val="44"/>
          <w:sz w:val="48"/>
          <w:szCs w:val="48"/>
          <w:highlight w:val="none"/>
        </w:rPr>
      </w:pPr>
    </w:p>
    <w:p w14:paraId="4412ACB6">
      <w:pPr>
        <w:pStyle w:val="12"/>
        <w:spacing w:after="0"/>
        <w:jc w:val="center"/>
        <w:rPr>
          <w:rFonts w:hint="eastAsia" w:ascii="宋体" w:hAnsi="宋体" w:eastAsia="宋体" w:cs="宋体"/>
          <w:b/>
          <w:bCs/>
          <w:color w:val="auto"/>
          <w:spacing w:val="-20"/>
          <w:kern w:val="44"/>
          <w:sz w:val="48"/>
          <w:szCs w:val="48"/>
          <w:highlight w:val="none"/>
        </w:rPr>
      </w:pPr>
    </w:p>
    <w:p w14:paraId="6FEF1B0A">
      <w:pPr>
        <w:pStyle w:val="1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w:t>
      </w:r>
      <w:r>
        <w:rPr>
          <w:rFonts w:hint="eastAsia" w:ascii="宋体" w:hAnsi="宋体" w:eastAsia="宋体" w:cs="宋体"/>
          <w:b/>
          <w:bCs/>
          <w:color w:val="auto"/>
          <w:spacing w:val="-20"/>
          <w:kern w:val="44"/>
          <w:sz w:val="48"/>
          <w:szCs w:val="48"/>
          <w:highlight w:val="none"/>
          <w:lang w:eastAsia="zh-CN"/>
        </w:rPr>
        <w:t>货物买卖</w:t>
      </w:r>
      <w:r>
        <w:rPr>
          <w:rFonts w:hint="eastAsia" w:ascii="宋体" w:hAnsi="宋体" w:eastAsia="宋体" w:cs="宋体"/>
          <w:b/>
          <w:bCs/>
          <w:color w:val="auto"/>
          <w:spacing w:val="-20"/>
          <w:kern w:val="44"/>
          <w:sz w:val="48"/>
          <w:szCs w:val="48"/>
          <w:highlight w:val="none"/>
        </w:rPr>
        <w:t>合同</w:t>
      </w:r>
    </w:p>
    <w:p w14:paraId="6D22463D">
      <w:pPr>
        <w:pStyle w:val="12"/>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eastAsia="宋体" w:cs="宋体"/>
          <w:b/>
          <w:bCs/>
          <w:color w:val="auto"/>
          <w:spacing w:val="-20"/>
          <w:kern w:val="44"/>
          <w:sz w:val="48"/>
          <w:szCs w:val="48"/>
          <w:highlight w:val="none"/>
          <w:lang w:eastAsia="zh-CN"/>
        </w:rPr>
        <w:t>（试行）</w:t>
      </w:r>
    </w:p>
    <w:p w14:paraId="25D6907D">
      <w:pPr>
        <w:rPr>
          <w:rFonts w:hint="eastAsia" w:ascii="宋体" w:hAnsi="宋体" w:eastAsia="宋体" w:cs="宋体"/>
          <w:b/>
          <w:bCs/>
          <w:color w:val="auto"/>
          <w:spacing w:val="-20"/>
          <w:kern w:val="44"/>
          <w:sz w:val="40"/>
          <w:szCs w:val="40"/>
          <w:highlight w:val="none"/>
        </w:rPr>
      </w:pPr>
    </w:p>
    <w:p w14:paraId="1AD7D096">
      <w:pPr>
        <w:rPr>
          <w:rFonts w:hint="eastAsia" w:ascii="宋体" w:hAnsi="宋体" w:eastAsia="宋体" w:cs="宋体"/>
          <w:b/>
          <w:bCs/>
          <w:color w:val="auto"/>
          <w:spacing w:val="-20"/>
          <w:kern w:val="44"/>
          <w:sz w:val="40"/>
          <w:szCs w:val="40"/>
          <w:highlight w:val="none"/>
        </w:rPr>
      </w:pPr>
    </w:p>
    <w:p w14:paraId="762C5CB2">
      <w:pPr>
        <w:rPr>
          <w:rFonts w:hint="eastAsia" w:ascii="宋体" w:hAnsi="宋体" w:eastAsia="宋体" w:cs="宋体"/>
          <w:b/>
          <w:bCs/>
          <w:color w:val="auto"/>
          <w:spacing w:val="-20"/>
          <w:kern w:val="44"/>
          <w:sz w:val="40"/>
          <w:szCs w:val="40"/>
          <w:highlight w:val="none"/>
        </w:rPr>
      </w:pPr>
    </w:p>
    <w:p w14:paraId="2353B06E">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5961CAB6">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398855E4">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3245B787">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35FFD9A9">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2374D6EF">
      <w:pPr>
        <w:rPr>
          <w:rFonts w:hint="eastAsia" w:ascii="宋体" w:hAnsi="宋体" w:eastAsia="宋体" w:cs="宋体"/>
          <w:color w:val="auto"/>
          <w:highlight w:val="none"/>
        </w:rPr>
      </w:pPr>
    </w:p>
    <w:p w14:paraId="11EF47A8">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1BD6E3AE">
      <w:pPr>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使</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用</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说</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明</w:t>
      </w:r>
    </w:p>
    <w:p w14:paraId="07E1E8BA">
      <w:pPr>
        <w:ind w:firstLine="640" w:firstLineChars="200"/>
        <w:rPr>
          <w:rFonts w:hint="eastAsia" w:ascii="宋体" w:hAnsi="宋体" w:eastAsia="宋体" w:cs="宋体"/>
          <w:color w:val="auto"/>
          <w:sz w:val="32"/>
          <w:szCs w:val="32"/>
          <w:highlight w:val="none"/>
          <w:lang w:val="en-US" w:eastAsia="zh-CN"/>
        </w:rPr>
      </w:pPr>
    </w:p>
    <w:p w14:paraId="07AFD68B">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1.本合同标准文本适用于购买现成货物的采购项目，不包括需要供应商定制开发、创新研发的货物采购项目。</w:t>
      </w:r>
    </w:p>
    <w:p w14:paraId="5EDED672">
      <w:pPr>
        <w:ind w:firstLine="0" w:firstLineChars="0"/>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32"/>
          <w:szCs w:val="32"/>
          <w:highlight w:val="none"/>
          <w:lang w:val="en-US" w:eastAsia="zh-CN"/>
        </w:rPr>
        <w:t>2.本合同标准文本为政府采购货物买卖合同编制提供参考，可以结合采购项目具体情况，对文本作必要的调整修订后使用。</w:t>
      </w:r>
    </w:p>
    <w:p w14:paraId="40474A0D">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20931DE5">
      <w:pPr>
        <w:ind w:firstLine="880" w:firstLineChars="200"/>
        <w:jc w:val="both"/>
        <w:rPr>
          <w:rFonts w:hint="eastAsia" w:ascii="宋体" w:hAnsi="宋体" w:eastAsia="宋体" w:cs="宋体"/>
          <w:color w:val="auto"/>
          <w:sz w:val="44"/>
          <w:szCs w:val="44"/>
          <w:highlight w:val="non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0D922C4">
      <w:pPr>
        <w:adjustRightInd w:val="0"/>
        <w:snapToGrid w:val="0"/>
        <w:spacing w:beforeLines="0" w:line="400" w:lineRule="exact"/>
        <w:jc w:val="center"/>
        <w:outlineLvl w:val="9"/>
        <w:rPr>
          <w:rFonts w:hint="eastAsia" w:ascii="宋体" w:hAnsi="宋体" w:eastAsia="宋体" w:cs="宋体"/>
          <w:b w:val="0"/>
          <w:bCs w:val="0"/>
          <w:color w:val="auto"/>
          <w:sz w:val="28"/>
          <w:szCs w:val="28"/>
          <w:highlight w:val="none"/>
        </w:rPr>
      </w:pPr>
      <w:bookmarkStart w:id="185" w:name="_Toc22209"/>
      <w:r>
        <w:rPr>
          <w:rFonts w:hint="eastAsia" w:ascii="宋体" w:hAnsi="宋体" w:eastAsia="宋体" w:cs="宋体"/>
          <w:b w:val="0"/>
          <w:bCs w:val="0"/>
          <w:color w:val="auto"/>
          <w:sz w:val="28"/>
          <w:szCs w:val="28"/>
          <w:highlight w:val="none"/>
        </w:rPr>
        <w:t>第一节 政府采购合同协议书</w:t>
      </w:r>
      <w:bookmarkEnd w:id="185"/>
    </w:p>
    <w:p w14:paraId="0464DB81">
      <w:pPr>
        <w:adjustRightInd w:val="0"/>
        <w:snapToGrid w:val="0"/>
        <w:spacing w:beforeLines="0" w:line="400" w:lineRule="exact"/>
        <w:jc w:val="center"/>
        <w:outlineLvl w:val="9"/>
        <w:rPr>
          <w:rFonts w:hint="eastAsia" w:ascii="宋体" w:hAnsi="宋体" w:eastAsia="宋体" w:cs="宋体"/>
          <w:b w:val="0"/>
          <w:bCs w:val="0"/>
          <w:color w:val="auto"/>
          <w:sz w:val="28"/>
          <w:szCs w:val="28"/>
          <w:highlight w:val="none"/>
        </w:rPr>
      </w:pPr>
    </w:p>
    <w:p w14:paraId="049AE23B">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w:t>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文件约定的合同甲方）</w:t>
      </w:r>
    </w:p>
    <w:p w14:paraId="2CF80858">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w:t>
      </w:r>
    </w:p>
    <w:p w14:paraId="0022FEFA">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乙方2（全称）：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47473082">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乙方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lang w:val="en-US" w:eastAsia="zh-CN"/>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37755033">
      <w:pPr>
        <w:spacing w:beforeLines="0" w:line="400" w:lineRule="exact"/>
        <w:rPr>
          <w:rFonts w:hint="eastAsia" w:ascii="宋体" w:hAnsi="宋体" w:eastAsia="宋体" w:cs="宋体"/>
          <w:color w:val="auto"/>
          <w:highlight w:val="none"/>
          <w:lang w:val="en-US" w:eastAsia="zh-CN"/>
        </w:rPr>
      </w:pPr>
    </w:p>
    <w:p w14:paraId="207AC7F8">
      <w:pPr>
        <w:pStyle w:val="13"/>
        <w:tabs>
          <w:tab w:val="left" w:pos="3075"/>
        </w:tabs>
        <w:adjustRightInd w:val="0"/>
        <w:snapToGrid w:val="0"/>
        <w:spacing w:before="0" w:beforeLines="0" w:after="0" w:line="400" w:lineRule="exact"/>
        <w:ind w:left="0" w:leftChars="0" w:firstLine="6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依据《中华人民共和国民法典》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《中华人民共和国政府采购法》等有关的法律法规，以及</w:t>
      </w:r>
      <w:r>
        <w:rPr>
          <w:rFonts w:hint="eastAsia" w:ascii="宋体" w:hAnsi="宋体" w:eastAsia="宋体" w:cs="宋体"/>
          <w:i w:val="0"/>
          <w:iCs w:val="0"/>
          <w:color w:val="auto"/>
          <w:szCs w:val="21"/>
          <w:highlight w:val="none"/>
          <w:u w:val="none"/>
          <w:lang w:eastAsia="zh-CN"/>
        </w:rPr>
        <w:t>本采购项目</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eastAsia="zh-CN"/>
        </w:rPr>
        <w:t>文件等</w:t>
      </w:r>
      <w:r>
        <w:rPr>
          <w:rFonts w:hint="eastAsia" w:ascii="宋体" w:hAnsi="宋体" w:eastAsia="宋体" w:cs="宋体"/>
          <w:color w:val="auto"/>
          <w:szCs w:val="21"/>
          <w:highlight w:val="none"/>
        </w:rPr>
        <w:t>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乙方的《投标（响应）文件》及《中标（成交）通知书》，甲乙双方同意签订本合同。具体情况及要求如下：     </w:t>
      </w:r>
    </w:p>
    <w:p w14:paraId="2534C861">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14:paraId="3A322EC8">
      <w:pPr>
        <w:pStyle w:val="13"/>
        <w:numPr>
          <w:ilvl w:val="0"/>
          <w:numId w:val="8"/>
        </w:numPr>
        <w:tabs>
          <w:tab w:val="left" w:pos="3075"/>
        </w:tabs>
        <w:adjustRightInd w:val="0"/>
        <w:snapToGrid w:val="0"/>
        <w:spacing w:before="0" w:beforeLines="0" w:after="0" w:line="400" w:lineRule="exact"/>
        <w:ind w:left="0" w:leftChars="0" w:firstLine="64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14:paraId="05F596B8">
      <w:pPr>
        <w:pStyle w:val="13"/>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         采购项目编号：</w:t>
      </w:r>
      <w:r>
        <w:rPr>
          <w:rFonts w:hint="eastAsia" w:ascii="宋体" w:hAnsi="宋体" w:eastAsia="宋体" w:cs="宋体"/>
          <w:color w:val="auto"/>
          <w:szCs w:val="21"/>
          <w:highlight w:val="none"/>
          <w:u w:val="single"/>
        </w:rPr>
        <w:t xml:space="preserve">                                          </w:t>
      </w:r>
    </w:p>
    <w:p w14:paraId="6545186E">
      <w:pPr>
        <w:pStyle w:val="13"/>
        <w:tabs>
          <w:tab w:val="left" w:pos="3075"/>
        </w:tabs>
        <w:adjustRightInd w:val="0"/>
        <w:snapToGrid w:val="0"/>
        <w:spacing w:before="0" w:beforeLines="0" w:after="0" w:line="400" w:lineRule="exact"/>
        <w:ind w:left="0" w:leftChars="0" w:firstLine="6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（2）采购计划编号：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0E5B579">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w:t>
      </w:r>
    </w:p>
    <w:p w14:paraId="54B3D258">
      <w:pPr>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采购标的及数量</w:t>
      </w:r>
      <w:r>
        <w:rPr>
          <w:rFonts w:hint="eastAsia" w:ascii="宋体" w:hAnsi="宋体" w:eastAsia="宋体" w:cs="宋体"/>
          <w:color w:val="auto"/>
          <w:szCs w:val="21"/>
          <w:highlight w:val="none"/>
          <w:lang w:val="en-US" w:eastAsia="zh-CN"/>
        </w:rPr>
        <w:t>（台/套</w:t>
      </w:r>
      <w:r>
        <w:rPr>
          <w:rFonts w:hint="eastAsia" w:ascii="宋体" w:hAnsi="宋体" w:eastAsia="宋体" w:cs="宋体"/>
          <w:color w:val="auto"/>
          <w:szCs w:val="21"/>
          <w:highlight w:val="none"/>
          <w:lang w:val="en" w:eastAsia="zh-CN"/>
        </w:rPr>
        <w:t>/个/架/组等</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ED0EE71">
      <w:pPr>
        <w:numPr>
          <w:ilvl w:val="0"/>
          <w:numId w:val="0"/>
        </w:numPr>
        <w:adjustRightInd w:val="0"/>
        <w:snapToGrid w:val="0"/>
        <w:spacing w:before="0" w:beforeLines="0" w:line="400" w:lineRule="exact"/>
        <w:ind w:firstLine="420" w:firstLineChars="200"/>
        <w:rPr>
          <w:rFonts w:hint="eastAsia" w:ascii="宋体" w:hAnsi="宋体" w:eastAsia="宋体" w:cs="宋体"/>
          <w:color w:val="auto"/>
          <w:szCs w:val="21"/>
          <w:highlight w:val="none"/>
          <w:lang w:val="en"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 w:eastAsia="zh-CN"/>
        </w:rPr>
        <w:t xml:space="preserve">     </w:t>
      </w:r>
      <w:r>
        <w:rPr>
          <w:rFonts w:hint="eastAsia" w:ascii="宋体" w:hAnsi="宋体" w:eastAsia="宋体" w:cs="宋体"/>
          <w:color w:val="auto"/>
          <w:szCs w:val="21"/>
          <w:highlight w:val="none"/>
          <w:lang w:val="en-US" w:eastAsia="zh-CN"/>
        </w:rPr>
        <w:t>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p>
    <w:p w14:paraId="6944D05C">
      <w:pPr>
        <w:adjustRightInd w:val="0"/>
        <w:snapToGrid w:val="0"/>
        <w:spacing w:before="0" w:beforeLines="0" w:line="400" w:lineRule="exact"/>
        <w:ind w:firstLine="945" w:firstLineChars="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采购标的的技术要求、商务要求具体见附件。</w:t>
      </w:r>
    </w:p>
    <w:p w14:paraId="6D18BB53">
      <w:pPr>
        <w:numPr>
          <w:ilvl w:val="0"/>
          <w:numId w:val="0"/>
        </w:numPr>
        <w:adjustRightInd w:val="0"/>
        <w:snapToGrid w:val="0"/>
        <w:spacing w:before="0" w:beforeLines="0" w:line="400" w:lineRule="exact"/>
        <w:ind w:firstLine="945" w:firstLineChars="4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①涉及信息类产品，请填写该产品关键部件的品牌、型号：</w:t>
      </w:r>
    </w:p>
    <w:p w14:paraId="1F56904A">
      <w:pPr>
        <w:numPr>
          <w:ilvl w:val="0"/>
          <w:numId w:val="0"/>
        </w:numPr>
        <w:adjustRightInd w:val="0"/>
        <w:snapToGrid w:val="0"/>
        <w:spacing w:before="0" w:beforeLines="0" w:line="400" w:lineRule="exact"/>
        <w:ind w:firstLine="420" w:firstLineChars="200"/>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lang w:val="en-US" w:eastAsia="zh-CN"/>
        </w:rPr>
        <w:t xml:space="preserve">     标的名称：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 w:eastAsia="zh-CN"/>
        </w:rPr>
        <w:t xml:space="preserve">               </w:t>
      </w:r>
      <w:r>
        <w:rPr>
          <w:rFonts w:hint="eastAsia" w:ascii="宋体" w:hAnsi="宋体" w:eastAsia="宋体" w:cs="宋体"/>
          <w:color w:val="auto"/>
          <w:kern w:val="0"/>
          <w:szCs w:val="21"/>
          <w:highlight w:val="none"/>
          <w:u w:val="single"/>
          <w:lang w:val="en-US" w:eastAsia="zh-CN"/>
        </w:rPr>
        <w:t xml:space="preserve">    </w:t>
      </w:r>
    </w:p>
    <w:p w14:paraId="0D00D88D">
      <w:pPr>
        <w:numPr>
          <w:ilvl w:val="0"/>
          <w:numId w:val="0"/>
        </w:numPr>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关键部件：</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73F25AF8">
      <w:pPr>
        <w:pStyle w:val="37"/>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6844320">
      <w:pPr>
        <w:pStyle w:val="37"/>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58A95159">
      <w:pPr>
        <w:pStyle w:val="37"/>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E669673">
      <w:pPr>
        <w:pStyle w:val="37"/>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1562EEF9">
      <w:pPr>
        <w:pStyle w:val="37"/>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531CFBC5">
      <w:pPr>
        <w:pStyle w:val="37"/>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0A17D5AD">
      <w:pPr>
        <w:pStyle w:val="37"/>
        <w:numPr>
          <w:ilvl w:val="0"/>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03343032">
      <w:pPr>
        <w:pStyle w:val="37"/>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3CBFBE09">
      <w:pPr>
        <w:pStyle w:val="37"/>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524A2315">
      <w:pPr>
        <w:pStyle w:val="37"/>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144478B0">
      <w:pPr>
        <w:pStyle w:val="37"/>
        <w:numPr>
          <w:ilvl w:val="0"/>
          <w:numId w:val="0"/>
        </w:numPr>
        <w:adjustRightInd w:val="0"/>
        <w:snapToGrid w:val="0"/>
        <w:spacing w:before="0" w:beforeLines="0" w:line="400" w:lineRule="exact"/>
        <w:ind w:firstLine="22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17B0B773">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w w:val="100"/>
          <w:szCs w:val="21"/>
          <w:highlight w:val="none"/>
          <w:lang w:val="en-US" w:eastAsia="zh-CN"/>
        </w:rPr>
        <w:t xml:space="preserve">         本合同</w:t>
      </w:r>
      <w:r>
        <w:rPr>
          <w:rFonts w:hint="eastAsia" w:ascii="宋体" w:hAnsi="宋体" w:eastAsia="宋体" w:cs="宋体"/>
          <w:color w:val="auto"/>
          <w:w w:val="100"/>
          <w:szCs w:val="21"/>
          <w:highlight w:val="none"/>
        </w:rPr>
        <w:t>是否</w:t>
      </w:r>
      <w:r>
        <w:rPr>
          <w:rFonts w:hint="eastAsia" w:ascii="宋体" w:hAnsi="宋体" w:eastAsia="宋体" w:cs="宋体"/>
          <w:color w:val="auto"/>
          <w:w w:val="100"/>
          <w:szCs w:val="21"/>
          <w:highlight w:val="none"/>
          <w:lang w:eastAsia="zh-CN"/>
        </w:rPr>
        <w:t>为专门面向</w:t>
      </w:r>
      <w:r>
        <w:rPr>
          <w:rFonts w:hint="eastAsia" w:ascii="宋体" w:hAnsi="宋体" w:eastAsia="宋体" w:cs="宋体"/>
          <w:color w:val="auto"/>
          <w:w w:val="100"/>
          <w:szCs w:val="21"/>
          <w:highlight w:val="none"/>
        </w:rPr>
        <w:t>中小企业</w:t>
      </w:r>
      <w:r>
        <w:rPr>
          <w:rFonts w:hint="eastAsia" w:ascii="宋体" w:hAnsi="宋体" w:eastAsia="宋体" w:cs="宋体"/>
          <w:color w:val="auto"/>
          <w:w w:val="100"/>
          <w:szCs w:val="21"/>
          <w:highlight w:val="none"/>
          <w:lang w:eastAsia="zh-CN"/>
        </w:rPr>
        <w:t>的采</w:t>
      </w:r>
      <w:r>
        <w:rPr>
          <w:rFonts w:hint="eastAsia" w:ascii="宋体" w:hAnsi="宋体" w:eastAsia="宋体" w:cs="宋体"/>
          <w:color w:val="auto"/>
          <w:w w:val="100"/>
          <w:szCs w:val="21"/>
          <w:highlight w:val="none"/>
          <w:shd w:val="clear" w:color="auto" w:fill="auto"/>
          <w:lang w:eastAsia="zh-CN"/>
        </w:rPr>
        <w:t>购</w:t>
      </w:r>
      <w:r>
        <w:rPr>
          <w:rFonts w:hint="eastAsia" w:ascii="宋体" w:hAnsi="宋体" w:eastAsia="宋体" w:cs="宋体"/>
          <w:color w:val="auto"/>
          <w:w w:val="100"/>
          <w:szCs w:val="21"/>
          <w:highlight w:val="none"/>
          <w:shd w:val="clear" w:color="auto" w:fill="auto"/>
        </w:rPr>
        <w:t>合同</w:t>
      </w:r>
      <w:r>
        <w:rPr>
          <w:rFonts w:hint="eastAsia" w:ascii="宋体" w:hAnsi="宋体" w:eastAsia="宋体" w:cs="宋体"/>
          <w:color w:val="auto"/>
          <w:w w:val="100"/>
          <w:szCs w:val="21"/>
          <w:highlight w:val="none"/>
          <w:shd w:val="clear" w:color="auto" w:fill="auto"/>
          <w:lang w:eastAsia="zh-CN"/>
        </w:rPr>
        <w:t>（中小企业预留合同）</w:t>
      </w:r>
      <w:r>
        <w:rPr>
          <w:rFonts w:hint="eastAsia" w:ascii="宋体" w:hAnsi="宋体" w:eastAsia="宋体" w:cs="宋体"/>
          <w:color w:val="auto"/>
          <w:szCs w:val="21"/>
          <w:highlight w:val="none"/>
          <w:shd w:val="clear" w:color="auto" w:fill="auto"/>
        </w:rPr>
        <w:t>：</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509A0DC6">
      <w:pPr>
        <w:numPr>
          <w:ilvl w:val="0"/>
          <w:numId w:val="0"/>
        </w:numPr>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若本项目不专门面向中小企业采购，是否给予小微企业评审优惠：</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58EE6297">
      <w:pPr>
        <w:numPr>
          <w:ilvl w:val="0"/>
          <w:numId w:val="0"/>
        </w:numPr>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中标（成交）采购标的制造商是否为残疾人福利性单位：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46A7B0DF">
      <w:pPr>
        <w:numPr>
          <w:ilvl w:val="0"/>
          <w:numId w:val="0"/>
        </w:numPr>
        <w:snapToGrid w:val="0"/>
        <w:spacing w:beforeLines="0" w:line="400" w:lineRule="exact"/>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中标（成交）采购标的制造商是否为监狱企业：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419B893">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 w:eastAsia="zh-CN"/>
        </w:rPr>
        <w:t>7</w:t>
      </w:r>
      <w:r>
        <w:rPr>
          <w:rFonts w:hint="eastAsia" w:ascii="宋体" w:hAnsi="宋体" w:eastAsia="宋体" w:cs="宋体"/>
          <w:color w:val="auto"/>
          <w:szCs w:val="21"/>
          <w:highlight w:val="none"/>
        </w:rPr>
        <w:t>）合同是否分包：</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9FE82EE">
      <w:p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分包主要内容：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412F55F">
      <w:pPr>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（如供应商和制造商不同，请分别填写）</w:t>
      </w:r>
      <w:r>
        <w:rPr>
          <w:rFonts w:hint="eastAsia" w:ascii="宋体" w:hAnsi="宋体" w:eastAsia="宋体" w:cs="宋体"/>
          <w:color w:val="auto"/>
          <w:szCs w:val="21"/>
          <w:highlight w:val="none"/>
        </w:rPr>
        <w:t>：</w:t>
      </w:r>
    </w:p>
    <w:p w14:paraId="17850084">
      <w:p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41AF2F9F">
      <w:pPr>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类型</w:t>
      </w:r>
      <w:r>
        <w:rPr>
          <w:rFonts w:hint="eastAsia" w:ascii="宋体" w:hAnsi="宋体" w:eastAsia="宋体" w:cs="宋体"/>
          <w:color w:val="auto"/>
          <w:szCs w:val="21"/>
          <w:highlight w:val="none"/>
          <w:lang w:eastAsia="zh-CN"/>
        </w:rPr>
        <w:t>（如果供应商和制造商不同，只填写制造商类型）</w:t>
      </w:r>
      <w:r>
        <w:rPr>
          <w:rFonts w:hint="eastAsia" w:ascii="宋体" w:hAnsi="宋体" w:eastAsia="宋体" w:cs="宋体"/>
          <w:color w:val="auto"/>
          <w:szCs w:val="21"/>
          <w:highlight w:val="none"/>
        </w:rPr>
        <w:t>：</w:t>
      </w:r>
    </w:p>
    <w:p w14:paraId="02F54B89">
      <w:pPr>
        <w:adjustRightInd w:val="0"/>
        <w:snapToGrid w:val="0"/>
        <w:spacing w:beforeLines="0" w:line="400" w:lineRule="exact"/>
        <w:ind w:firstLine="840" w:firstLineChars="40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小微型企业</w:t>
      </w:r>
      <w:r>
        <w:rPr>
          <w:rFonts w:hint="eastAsia" w:ascii="宋体" w:hAnsi="宋体" w:eastAsia="宋体" w:cs="宋体"/>
          <w:iCs/>
          <w:color w:val="auto"/>
          <w:szCs w:val="21"/>
          <w:highlight w:val="none"/>
          <w:lang w:val="en-US" w:eastAsia="zh-CN"/>
        </w:rPr>
        <w:t xml:space="preserve">  </w:t>
      </w:r>
    </w:p>
    <w:p w14:paraId="610A436C">
      <w:pPr>
        <w:adjustRightInd w:val="0"/>
        <w:snapToGrid w:val="0"/>
        <w:spacing w:beforeLines="0" w:line="400" w:lineRule="exact"/>
        <w:ind w:firstLine="840" w:firstLineChars="400"/>
        <w:rPr>
          <w:rFonts w:hint="eastAsia" w:ascii="宋体" w:hAnsi="宋体" w:eastAsia="宋体" w:cs="宋体"/>
          <w:color w:val="auto"/>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残疾人福利性单位</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监狱</w:t>
      </w:r>
      <w:r>
        <w:rPr>
          <w:rFonts w:hint="eastAsia" w:ascii="宋体" w:hAnsi="宋体" w:eastAsia="宋体" w:cs="宋体"/>
          <w:iCs/>
          <w:color w:val="auto"/>
          <w:szCs w:val="21"/>
          <w:highlight w:val="none"/>
        </w:rPr>
        <w:t>企业</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p>
    <w:p w14:paraId="06A735E6">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lang w:val="en" w:eastAsia="zh-CN"/>
        </w:rPr>
        <w:t>8</w:t>
      </w:r>
      <w:r>
        <w:rPr>
          <w:rFonts w:hint="eastAsia" w:ascii="宋体" w:hAnsi="宋体" w:eastAsia="宋体" w:cs="宋体"/>
          <w:color w:val="auto"/>
          <w:szCs w:val="21"/>
          <w:highlight w:val="none"/>
          <w:u w:val="none"/>
          <w:lang w:val="en-US" w:eastAsia="zh-CN"/>
        </w:rPr>
        <w:t>）中标（成交）供应商是否为外商投资企业：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7FFEF263">
      <w:pPr>
        <w:pStyle w:val="37"/>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423073F6">
      <w:pPr>
        <w:numPr>
          <w:ilvl w:val="0"/>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1C1E7E4A">
      <w:pPr>
        <w:numPr>
          <w:ilvl w:val="0"/>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金额：</w:t>
      </w:r>
      <w:r>
        <w:rPr>
          <w:rFonts w:hint="eastAsia" w:ascii="宋体" w:hAnsi="宋体" w:eastAsia="宋体" w:cs="宋体"/>
          <w:color w:val="auto"/>
          <w:szCs w:val="21"/>
          <w:highlight w:val="none"/>
          <w:u w:val="single"/>
          <w:lang w:val="en-US" w:eastAsia="zh-CN"/>
        </w:rPr>
        <w:t xml:space="preserve">        </w:t>
      </w:r>
    </w:p>
    <w:p w14:paraId="64766643">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Cs w:val="21"/>
          <w:highlight w:val="none"/>
        </w:rPr>
      </w:pPr>
      <w:r>
        <w:rPr>
          <w:rFonts w:hint="eastAsia" w:ascii="宋体" w:hAnsi="宋体" w:eastAsia="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val="0"/>
          <w:color w:val="auto"/>
          <w:szCs w:val="21"/>
          <w:highlight w:val="none"/>
        </w:rPr>
        <w:t xml:space="preserve">      </w:t>
      </w:r>
    </w:p>
    <w:p w14:paraId="169E88A2">
      <w:pPr>
        <w:adjustRightInd w:val="0"/>
        <w:snapToGrid w:val="0"/>
        <w:spacing w:before="0" w:beforeLines="0" w:line="400" w:lineRule="exact"/>
        <w:ind w:firstLine="840" w:firstLineChars="400"/>
        <w:rPr>
          <w:rFonts w:hint="eastAsia" w:ascii="宋体" w:hAnsi="宋体" w:eastAsia="宋体" w:cs="宋体"/>
          <w:color w:val="auto"/>
          <w:szCs w:val="21"/>
          <w:highlight w:val="none"/>
          <w:u w:val="non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否</w:t>
      </w:r>
    </w:p>
    <w:p w14:paraId="0884927A">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6014C75A">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，《节能产品政府采购品目清单》的底级品目名称：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4EEAC9CC">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188C0B1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Cs w:val="21"/>
          <w:highlight w:val="none"/>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44AC0A9E">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01F3B0E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，《环境标志产品政府采购品目清单》的底级品目名称：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5C968B7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2D6A398D">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7C3F8F4F">
      <w:pPr>
        <w:pStyle w:val="37"/>
        <w:numPr>
          <w:ilvl w:val="0"/>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3803C70D">
      <w:pPr>
        <w:pStyle w:val="37"/>
        <w:spacing w:beforeLines="0"/>
        <w:ind w:firstLine="42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Cs w:val="21"/>
          <w:highlight w:val="none"/>
          <w:u w:val="single"/>
          <w:lang w:val="en-US" w:eastAsia="zh-CN"/>
        </w:rPr>
        <w:t xml:space="preserve">         </w:t>
      </w:r>
    </w:p>
    <w:p w14:paraId="34814D60">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5050E071">
      <w:pPr>
        <w:pStyle w:val="37"/>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3550A9FD">
      <w:pPr>
        <w:numPr>
          <w:ilvl w:val="0"/>
          <w:numId w:val="0"/>
        </w:numPr>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（1</w:t>
      </w:r>
      <w:r>
        <w:rPr>
          <w:rFonts w:hint="eastAsia" w:ascii="宋体" w:hAnsi="宋体" w:eastAsia="宋体" w:cs="宋体"/>
          <w:color w:val="auto"/>
          <w:szCs w:val="21"/>
          <w:highlight w:val="none"/>
          <w:lang w:val="en" w:eastAsia="zh-CN"/>
        </w:rPr>
        <w:t>1</w:t>
      </w:r>
      <w:r>
        <w:rPr>
          <w:rFonts w:hint="eastAsia" w:ascii="宋体" w:hAnsi="宋体" w:eastAsia="宋体" w:cs="宋体"/>
          <w:color w:val="auto"/>
          <w:szCs w:val="21"/>
          <w:highlight w:val="none"/>
          <w:lang w:val="en-US" w:eastAsia="zh-CN"/>
        </w:rPr>
        <w:t>）涉及商品包装和快递包装的，是否参考</w:t>
      </w:r>
      <w:r>
        <w:rPr>
          <w:rFonts w:hint="eastAsia" w:ascii="宋体" w:hAnsi="宋体" w:eastAsia="宋体" w:cs="宋体"/>
          <w:color w:val="auto"/>
          <w:szCs w:val="21"/>
          <w:highlight w:val="none"/>
        </w:rPr>
        <w:t>《商品包装政府采购需求标准（试行）》、《快递包装政府采购需求标准（试行）》</w:t>
      </w:r>
      <w:r>
        <w:rPr>
          <w:rFonts w:hint="eastAsia" w:ascii="宋体" w:hAnsi="宋体" w:eastAsia="宋体" w:cs="宋体"/>
          <w:color w:val="auto"/>
          <w:szCs w:val="21"/>
          <w:highlight w:val="none"/>
          <w:lang w:eastAsia="zh-CN"/>
        </w:rPr>
        <w:t>明确产品及相关快递服务的具体包装要求：</w:t>
      </w:r>
    </w:p>
    <w:p w14:paraId="6BA37396">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Cs w:val="21"/>
          <w:highlight w:val="none"/>
          <w:lang w:val="en-US" w:eastAsia="zh-CN"/>
        </w:rPr>
      </w:pP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 xml:space="preserve">是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不涉及</w:t>
      </w:r>
    </w:p>
    <w:p w14:paraId="696B25EC">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4544A92C">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（1）合同金额小写：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5CA74BB3">
      <w:pPr>
        <w:adjustRightInd w:val="0"/>
        <w:snapToGrid w:val="0"/>
        <w:spacing w:before="0" w:beforeLines="0" w:line="400" w:lineRule="exact"/>
        <w:ind w:left="0"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5B58E06">
      <w:pPr>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分包金额</w:t>
      </w:r>
      <w:r>
        <w:rPr>
          <w:rFonts w:hint="eastAsia" w:ascii="宋体" w:hAnsi="宋体" w:eastAsia="宋体" w:cs="宋体"/>
          <w:color w:val="auto"/>
          <w:szCs w:val="21"/>
          <w:highlight w:val="none"/>
          <w:lang w:eastAsia="zh-CN"/>
        </w:rPr>
        <w:t>（如有）</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p>
    <w:p w14:paraId="35BF1732">
      <w:pPr>
        <w:adjustRightInd w:val="0"/>
        <w:snapToGrid w:val="0"/>
        <w:spacing w:before="0" w:beforeLines="0" w:line="4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04A42C28">
      <w:pPr>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（注：固定单价合同应填写单价和最高限价）</w:t>
      </w:r>
    </w:p>
    <w:p w14:paraId="29B471E2">
      <w:pPr>
        <w:numPr>
          <w:ilvl w:val="0"/>
          <w:numId w:val="0"/>
        </w:numPr>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合同定价方式</w:t>
      </w:r>
      <w:r>
        <w:rPr>
          <w:rFonts w:hint="eastAsia" w:ascii="宋体" w:hAnsi="宋体" w:eastAsia="宋体" w:cs="宋体"/>
          <w:color w:val="auto"/>
          <w:szCs w:val="21"/>
          <w:highlight w:val="none"/>
          <w:lang w:eastAsia="zh-CN"/>
        </w:rPr>
        <w:t>（采用组合定价方式的，可以勾选多项）</w:t>
      </w:r>
      <w:r>
        <w:rPr>
          <w:rFonts w:hint="eastAsia" w:ascii="宋体" w:hAnsi="宋体" w:eastAsia="宋体" w:cs="宋体"/>
          <w:color w:val="auto"/>
          <w:szCs w:val="21"/>
          <w:highlight w:val="none"/>
        </w:rPr>
        <w:t>：</w:t>
      </w:r>
    </w:p>
    <w:p w14:paraId="0B1E2A45">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固定单价</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固定费率</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绩效激励</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r>
        <w:rPr>
          <w:rFonts w:hint="eastAsia" w:ascii="宋体" w:hAnsi="宋体" w:eastAsia="宋体" w:cs="宋体"/>
          <w:color w:val="auto"/>
          <w:szCs w:val="21"/>
          <w:highlight w:val="none"/>
          <w:u w:val="single"/>
        </w:rPr>
        <w:t xml:space="preserve">       </w:t>
      </w:r>
    </w:p>
    <w:p w14:paraId="5D0D36A0">
      <w:pPr>
        <w:pStyle w:val="50"/>
        <w:spacing w:beforeLines="0" w:line="400" w:lineRule="exac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）付款方式（按项目实际勾选填写）：</w:t>
      </w:r>
    </w:p>
    <w:p w14:paraId="1ADFDB49">
      <w:pPr>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（应</w:t>
      </w:r>
      <w:r>
        <w:rPr>
          <w:rFonts w:hint="eastAsia" w:ascii="宋体" w:hAnsi="宋体" w:eastAsia="宋体" w:cs="宋体"/>
          <w:color w:val="auto"/>
          <w:szCs w:val="21"/>
          <w:highlight w:val="none"/>
          <w:u w:val="single"/>
          <w:lang w:eastAsia="zh-CN"/>
        </w:rPr>
        <w:t>明确</w:t>
      </w:r>
      <w:r>
        <w:rPr>
          <w:rFonts w:hint="eastAsia" w:ascii="宋体" w:hAnsi="宋体" w:eastAsia="宋体" w:cs="宋体"/>
          <w:color w:val="auto"/>
          <w:szCs w:val="21"/>
          <w:highlight w:val="none"/>
          <w:u w:val="single"/>
        </w:rPr>
        <w:t>一次性支付合同款项</w:t>
      </w:r>
      <w:r>
        <w:rPr>
          <w:rFonts w:hint="eastAsia" w:ascii="宋体" w:hAnsi="宋体" w:eastAsia="宋体" w:cs="宋体"/>
          <w:color w:val="auto"/>
          <w:szCs w:val="21"/>
          <w:highlight w:val="none"/>
          <w:u w:val="single"/>
          <w:lang w:eastAsia="zh-CN"/>
        </w:rPr>
        <w:t>的条件</w:t>
      </w:r>
      <w:r>
        <w:rPr>
          <w:rFonts w:hint="eastAsia" w:ascii="宋体" w:hAnsi="宋体" w:eastAsia="宋体" w:cs="宋体"/>
          <w:color w:val="auto"/>
          <w:szCs w:val="21"/>
          <w:highlight w:val="none"/>
          <w:u w:val="single"/>
        </w:rPr>
        <w:t xml:space="preserve">）                    </w:t>
      </w:r>
    </w:p>
    <w:p w14:paraId="02969443">
      <w:pPr>
        <w:snapToGrid w:val="0"/>
        <w:spacing w:beforeLines="0"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分期付款：</w:t>
      </w:r>
      <w:r>
        <w:rPr>
          <w:rFonts w:hint="eastAsia" w:ascii="宋体" w:hAnsi="宋体" w:eastAsia="宋体" w:cs="宋体"/>
          <w:color w:val="auto"/>
          <w:szCs w:val="21"/>
          <w:highlight w:val="none"/>
          <w:u w:val="single"/>
        </w:rPr>
        <w:t xml:space="preserve">  （应明确分期支付合同款项的各期比例和支付条件</w:t>
      </w:r>
      <w:r>
        <w:rPr>
          <w:rFonts w:hint="eastAsia" w:ascii="宋体" w:hAnsi="宋体" w:eastAsia="宋体" w:cs="宋体"/>
          <w:color w:val="auto"/>
          <w:szCs w:val="21"/>
          <w:highlight w:val="none"/>
          <w:u w:val="single"/>
          <w:lang w:eastAsia="zh-CN"/>
        </w:rPr>
        <w:t>，各期支付条件应与分期履约验收情况挂钩</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lang w:eastAsia="zh-CN"/>
        </w:rPr>
        <w:t>其中涉及预付款的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（应明确预付款的支付比例和支付条件） </w:t>
      </w:r>
    </w:p>
    <w:p w14:paraId="2F27B641">
      <w:pPr>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49198385">
      <w:pPr>
        <w:adjustRightInd w:val="0"/>
        <w:snapToGrid w:val="0"/>
        <w:spacing w:before="0" w:beforeLines="0"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2E0CEC3D">
      <w:pPr>
        <w:numPr>
          <w:ilvl w:val="0"/>
          <w:numId w:val="7"/>
        </w:numPr>
        <w:adjustRightInd w:val="0"/>
        <w:snapToGrid w:val="0"/>
        <w:spacing w:before="0" w:beforeLines="0" w:line="400" w:lineRule="exact"/>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rPr>
        <w:t>合同履行</w:t>
      </w:r>
    </w:p>
    <w:p w14:paraId="7849599A">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日，完成日期：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200E54C">
      <w:pPr>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履约</w:t>
      </w:r>
      <w:r>
        <w:rPr>
          <w:rFonts w:hint="eastAsia" w:ascii="宋体" w:hAnsi="宋体" w:eastAsia="宋体" w:cs="宋体"/>
          <w:color w:val="auto"/>
          <w:szCs w:val="21"/>
          <w:highlight w:val="none"/>
        </w:rPr>
        <w:t>地点</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u w:val="single"/>
        </w:rPr>
        <w:t xml:space="preserve">                             </w:t>
      </w:r>
    </w:p>
    <w:p w14:paraId="342F319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52DC1033">
      <w:pPr>
        <w:pStyle w:val="37"/>
        <w:spacing w:beforeLines="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45D70906">
      <w:pPr>
        <w:pStyle w:val="37"/>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1929FA8A">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履约担保期限</w:t>
      </w:r>
      <w:r>
        <w:rPr>
          <w:rFonts w:hint="eastAsia" w:ascii="宋体" w:hAnsi="宋体" w:eastAsia="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0F6A0043">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p>
    <w:p w14:paraId="174E71EB">
      <w:pPr>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CN"/>
        </w:rPr>
        <w:t>风险处置措施和替代方案</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u w:val="single"/>
        </w:rPr>
        <w:t xml:space="preserve">                                                               </w:t>
      </w:r>
    </w:p>
    <w:p w14:paraId="07805B7D">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合同验收</w:t>
      </w:r>
    </w:p>
    <w:p w14:paraId="6D5B11CD">
      <w:pPr>
        <w:numPr>
          <w:ilvl w:val="0"/>
          <w:numId w:val="9"/>
        </w:num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委托第三方组织</w:t>
      </w:r>
    </w:p>
    <w:p w14:paraId="222A1D98">
      <w:pPr>
        <w:numPr>
          <w:ilvl w:val="0"/>
          <w:numId w:val="0"/>
        </w:numPr>
        <w:adjustRightInd w:val="0"/>
        <w:snapToGrid w:val="0"/>
        <w:spacing w:before="0" w:beforeLines="0"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验收主体：</w:t>
      </w:r>
      <w:r>
        <w:rPr>
          <w:rFonts w:hint="eastAsia" w:ascii="宋体" w:hAnsi="宋体" w:eastAsia="宋体" w:cs="宋体"/>
          <w:bCs/>
          <w:color w:val="auto"/>
          <w:szCs w:val="21"/>
          <w:highlight w:val="none"/>
          <w:u w:val="single"/>
        </w:rPr>
        <w:t xml:space="preserve">                  </w:t>
      </w:r>
    </w:p>
    <w:p w14:paraId="185AF654">
      <w:pPr>
        <w:adjustRightInd w:val="0"/>
        <w:snapToGrid w:val="0"/>
        <w:spacing w:before="0" w:beforeLines="0"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是否邀请本项目的其他供应商</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13291917">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0A7B96BC">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65DD4539">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51E81DD1">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，抽查比例：</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4D95E19E">
      <w:pPr>
        <w:adjustRightInd w:val="0"/>
        <w:snapToGrid w:val="0"/>
        <w:spacing w:before="0" w:beforeLines="0" w:line="400" w:lineRule="exact"/>
        <w:ind w:firstLine="840" w:firstLineChars="400"/>
        <w:rPr>
          <w:rFonts w:hint="eastAsia" w:ascii="宋体" w:hAnsi="宋体" w:eastAsia="宋体" w:cs="宋体"/>
          <w:bCs/>
          <w:color w:val="auto"/>
          <w:szCs w:val="21"/>
          <w:highlight w:val="none"/>
          <w:u w:val="single"/>
          <w:lang w:eastAsia="zh-CN"/>
        </w:rPr>
      </w:pPr>
      <w:r>
        <w:rPr>
          <w:rFonts w:hint="eastAsia" w:ascii="宋体" w:hAnsi="宋体" w:eastAsia="宋体" w:cs="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lang w:eastAsia="zh-CN"/>
        </w:rPr>
        <w:t>（应明确对被破坏的检测产品的处理方式）</w:t>
      </w:r>
    </w:p>
    <w:p w14:paraId="27B3ED68">
      <w:pPr>
        <w:adjustRightInd w:val="0"/>
        <w:snapToGrid w:val="0"/>
        <w:spacing w:before="0" w:beforeLines="0" w:line="400" w:lineRule="exact"/>
        <w:ind w:firstLine="840" w:firstLineChars="4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460320DE">
      <w:pPr>
        <w:adjustRightInd w:val="0"/>
        <w:snapToGrid w:val="0"/>
        <w:spacing w:before="0" w:beforeLines="0" w:line="400" w:lineRule="exact"/>
        <w:ind w:firstLine="840"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r>
        <w:rPr>
          <w:rFonts w:hint="eastAsia" w:ascii="宋体" w:hAnsi="宋体" w:eastAsia="宋体" w:cs="宋体"/>
          <w:bCs/>
          <w:color w:val="auto"/>
          <w:szCs w:val="21"/>
          <w:highlight w:val="none"/>
          <w:u w:val="single"/>
        </w:rPr>
        <w:t xml:space="preserve">                </w:t>
      </w:r>
    </w:p>
    <w:p w14:paraId="58E34F67">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（计划于何时验收/供应商提出验收申请之日起   日内组织验收）</w:t>
      </w:r>
      <w:r>
        <w:rPr>
          <w:rFonts w:hint="eastAsia" w:ascii="宋体" w:hAnsi="宋体" w:eastAsia="宋体" w:cs="宋体"/>
          <w:bCs/>
          <w:color w:val="auto"/>
          <w:szCs w:val="21"/>
          <w:highlight w:val="none"/>
          <w:u w:val="single"/>
          <w:lang w:val="en-US" w:eastAsia="zh-CN"/>
        </w:rPr>
        <w:t xml:space="preserve"> </w:t>
      </w:r>
    </w:p>
    <w:p w14:paraId="7F6FE1FA">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一次性验收         </w:t>
      </w:r>
    </w:p>
    <w:p w14:paraId="5B47690C">
      <w:pPr>
        <w:adjustRightInd w:val="0"/>
        <w:snapToGrid w:val="0"/>
        <w:spacing w:before="0" w:beforeLines="0" w:line="400" w:lineRule="exact"/>
        <w:ind w:firstLine="0" w:firstLineChars="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（应明确分期</w:t>
      </w:r>
      <w:r>
        <w:rPr>
          <w:rFonts w:hint="eastAsia" w:ascii="宋体" w:hAnsi="宋体" w:eastAsia="宋体" w:cs="宋体"/>
          <w:bCs/>
          <w:color w:val="auto"/>
          <w:szCs w:val="21"/>
          <w:highlight w:val="none"/>
          <w:u w:val="single"/>
          <w:lang w:val="en" w:eastAsia="zh-CN"/>
        </w:rPr>
        <w:t>/分项验收的工作安排</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p>
    <w:p w14:paraId="09CD4225">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（4）履约验收程序：</w:t>
      </w:r>
      <w:r>
        <w:rPr>
          <w:rFonts w:hint="eastAsia" w:ascii="宋体" w:hAnsi="宋体" w:eastAsia="宋体" w:cs="宋体"/>
          <w:bCs/>
          <w:color w:val="auto"/>
          <w:szCs w:val="21"/>
          <w:highlight w:val="none"/>
          <w:u w:val="single"/>
        </w:rPr>
        <w:t xml:space="preserve">                                         </w:t>
      </w:r>
    </w:p>
    <w:p w14:paraId="1BDF04CD">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Cs w:val="21"/>
          <w:highlight w:val="none"/>
          <w:u w:val="single"/>
        </w:rPr>
        <w:t xml:space="preserve">                                      </w:t>
      </w:r>
    </w:p>
    <w:p w14:paraId="2EF57ECE">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r>
        <w:rPr>
          <w:rFonts w:hint="eastAsia" w:ascii="宋体" w:hAnsi="宋体" w:eastAsia="宋体" w:cs="宋体"/>
          <w:bCs/>
          <w:color w:val="auto"/>
          <w:szCs w:val="21"/>
          <w:highlight w:val="none"/>
          <w:u w:val="single"/>
        </w:rPr>
        <w:t xml:space="preserve">                                         </w:t>
      </w:r>
    </w:p>
    <w:p w14:paraId="7AA66537">
      <w:pPr>
        <w:pStyle w:val="37"/>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C6F614B">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 xml:space="preserve">      </w:t>
      </w:r>
      <w:r>
        <w:rPr>
          <w:rFonts w:hint="eastAsia" w:ascii="宋体" w:hAnsi="宋体" w:eastAsia="宋体" w:cs="宋体"/>
          <w:bCs/>
          <w:i w:val="0"/>
          <w:iCs w:val="0"/>
          <w:color w:val="auto"/>
          <w:szCs w:val="21"/>
          <w:highlight w:val="none"/>
          <w:u w:val="single"/>
        </w:rPr>
        <w:t>（产权过户登记等）</w:t>
      </w:r>
      <w:r>
        <w:rPr>
          <w:rFonts w:hint="eastAsia" w:ascii="宋体" w:hAnsi="宋体" w:eastAsia="宋体" w:cs="宋体"/>
          <w:bCs/>
          <w:color w:val="auto"/>
          <w:szCs w:val="21"/>
          <w:highlight w:val="none"/>
          <w:u w:val="single"/>
        </w:rPr>
        <w:t xml:space="preserve">          </w:t>
      </w:r>
    </w:p>
    <w:p w14:paraId="5ACBE2F5">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组成合同的文件</w:t>
      </w:r>
    </w:p>
    <w:p w14:paraId="13E7119F">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734368A4">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p>
    <w:p w14:paraId="56A980E1">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）政府采购合同专用条款</w:t>
      </w:r>
    </w:p>
    <w:p w14:paraId="04A0E4FE">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）政府采购合同通用条款</w:t>
      </w:r>
    </w:p>
    <w:p w14:paraId="69ADCEC1">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p>
    <w:p w14:paraId="1D3D9E44">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）投标（响应）文件</w:t>
      </w:r>
    </w:p>
    <w:p w14:paraId="25DE1823">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1D629026">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1B13F75E">
      <w:pPr>
        <w:pStyle w:val="37"/>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7640A476">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w:t>
      </w:r>
    </w:p>
    <w:p w14:paraId="07BE15FF">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生效。</w:t>
      </w:r>
    </w:p>
    <w:p w14:paraId="7121C337">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015D06FD">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7C158B08">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107EE76">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w:t>
      </w:r>
      <w:r>
        <w:rPr>
          <w:rFonts w:hint="eastAsia" w:ascii="宋体" w:hAnsi="宋体" w:eastAsia="宋体" w:cs="宋体"/>
          <w:color w:val="auto"/>
          <w:szCs w:val="21"/>
          <w:highlight w:val="none"/>
          <w:u w:val="single"/>
        </w:rPr>
        <w:t xml:space="preserve">                           </w:t>
      </w:r>
    </w:p>
    <w:p w14:paraId="1D6571B8">
      <w:pPr>
        <w:adjustRightInd w:val="0"/>
        <w:snapToGrid w:val="0"/>
        <w:spacing w:before="0" w:beforeLines="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附件：具体标</w:t>
      </w:r>
      <w:r>
        <w:rPr>
          <w:rFonts w:hint="eastAsia" w:ascii="宋体" w:hAnsi="宋体" w:eastAsia="宋体" w:cs="宋体"/>
          <w:color w:val="auto"/>
          <w:szCs w:val="21"/>
          <w:highlight w:val="none"/>
          <w:lang w:eastAsia="zh-CN"/>
        </w:rPr>
        <w:t>的及其</w:t>
      </w:r>
      <w:r>
        <w:rPr>
          <w:rFonts w:hint="eastAsia" w:ascii="宋体" w:hAnsi="宋体" w:eastAsia="宋体" w:cs="宋体"/>
          <w:color w:val="auto"/>
          <w:szCs w:val="21"/>
          <w:highlight w:val="none"/>
          <w:u w:val="none"/>
          <w:lang w:val="en-US" w:eastAsia="zh-CN"/>
        </w:rPr>
        <w:t>技术要求和商务要求</w:t>
      </w:r>
      <w:r>
        <w:rPr>
          <w:rFonts w:hint="eastAsia" w:ascii="宋体" w:hAnsi="宋体" w:eastAsia="宋体" w:cs="宋体"/>
          <w:color w:val="auto"/>
          <w:szCs w:val="21"/>
          <w:highlight w:val="none"/>
        </w:rPr>
        <w:t>、联合协议、分包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协议等。</w:t>
      </w:r>
    </w:p>
    <w:p w14:paraId="30B69A29">
      <w:pPr>
        <w:pStyle w:val="50"/>
        <w:spacing w:beforeLines="0" w:line="400" w:lineRule="exact"/>
        <w:rPr>
          <w:rFonts w:hint="eastAsia" w:ascii="宋体" w:hAnsi="宋体" w:eastAsia="宋体" w:cs="宋体"/>
          <w:color w:val="auto"/>
          <w:highlight w:val="none"/>
        </w:rPr>
      </w:pPr>
    </w:p>
    <w:p w14:paraId="630C7F66">
      <w:pPr>
        <w:spacing w:beforeLines="0" w:line="400" w:lineRule="exac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lang w:val="en"/>
        </w:rPr>
        <w:t xml:space="preserve">   </w:t>
      </w:r>
    </w:p>
    <w:p w14:paraId="62B14EA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A341D27">
      <w:pPr>
        <w:pStyle w:val="50"/>
        <w:rPr>
          <w:rFonts w:hint="eastAsia" w:ascii="宋体" w:hAnsi="宋体" w:eastAsia="宋体" w:cs="宋体"/>
          <w:color w:val="auto"/>
          <w:highlight w:val="none"/>
        </w:rPr>
      </w:pPr>
    </w:p>
    <w:tbl>
      <w:tblPr>
        <w:tblStyle w:val="3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8"/>
        <w:gridCol w:w="2420"/>
        <w:gridCol w:w="1985"/>
        <w:gridCol w:w="2124"/>
      </w:tblGrid>
      <w:tr w14:paraId="608297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4A0FBFFC">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59131985">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乙方（供应商）</w:t>
            </w:r>
          </w:p>
        </w:tc>
      </w:tr>
      <w:tr w14:paraId="2C653D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68BBEFCC">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CF157F5">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3E1213C">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1D22BF1B">
            <w:pPr>
              <w:adjustRightInd w:val="0"/>
              <w:snapToGrid w:val="0"/>
              <w:spacing w:line="300" w:lineRule="exact"/>
              <w:jc w:val="center"/>
              <w:rPr>
                <w:rFonts w:hint="eastAsia" w:ascii="宋体" w:hAnsi="宋体" w:eastAsia="宋体" w:cs="宋体"/>
                <w:color w:val="auto"/>
                <w:spacing w:val="20"/>
                <w:szCs w:val="21"/>
                <w:highlight w:val="none"/>
              </w:rPr>
            </w:pPr>
          </w:p>
        </w:tc>
      </w:tr>
      <w:tr w14:paraId="37A71F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879198F">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27F5B49C">
            <w:pPr>
              <w:adjustRightInd w:val="0"/>
              <w:snapToGrid w:val="0"/>
              <w:spacing w:line="300" w:lineRule="exact"/>
              <w:ind w:firstLine="100"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086BB0BA">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1992CC4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2FD074F4">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59F72F42">
            <w:pPr>
              <w:adjustRightInd w:val="0"/>
              <w:snapToGrid w:val="0"/>
              <w:spacing w:line="300" w:lineRule="exact"/>
              <w:jc w:val="center"/>
              <w:rPr>
                <w:rFonts w:hint="eastAsia" w:ascii="宋体" w:hAnsi="宋体" w:eastAsia="宋体" w:cs="宋体"/>
                <w:color w:val="auto"/>
                <w:szCs w:val="21"/>
                <w:highlight w:val="none"/>
              </w:rPr>
            </w:pPr>
          </w:p>
        </w:tc>
      </w:tr>
      <w:tr w14:paraId="39B4D7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0CE58FA3">
            <w:pPr>
              <w:adjustRightInd w:val="0"/>
              <w:snapToGrid w:val="0"/>
              <w:spacing w:line="300" w:lineRule="exact"/>
              <w:jc w:val="center"/>
              <w:rPr>
                <w:rFonts w:hint="eastAsia" w:ascii="宋体" w:hAnsi="宋体" w:eastAsia="宋体" w:cs="宋体"/>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531ADBDE">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8AFFEBD">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64CF3896">
            <w:pPr>
              <w:adjustRightInd w:val="0"/>
              <w:snapToGrid w:val="0"/>
              <w:spacing w:line="300" w:lineRule="exact"/>
              <w:jc w:val="center"/>
              <w:rPr>
                <w:rFonts w:hint="eastAsia" w:ascii="宋体" w:hAnsi="宋体" w:eastAsia="宋体" w:cs="宋体"/>
                <w:color w:val="auto"/>
                <w:spacing w:val="20"/>
                <w:szCs w:val="21"/>
                <w:highlight w:val="none"/>
              </w:rPr>
            </w:pPr>
          </w:p>
        </w:tc>
      </w:tr>
      <w:tr w14:paraId="5D8B5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6DE88A7">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67B0AFA">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9A016BF">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5E0176FE">
            <w:pPr>
              <w:adjustRightInd w:val="0"/>
              <w:snapToGrid w:val="0"/>
              <w:spacing w:line="300" w:lineRule="exact"/>
              <w:jc w:val="center"/>
              <w:rPr>
                <w:rFonts w:hint="eastAsia" w:ascii="宋体" w:hAnsi="宋体" w:eastAsia="宋体" w:cs="宋体"/>
                <w:color w:val="auto"/>
                <w:spacing w:val="20"/>
                <w:szCs w:val="21"/>
                <w:highlight w:val="none"/>
              </w:rPr>
            </w:pPr>
          </w:p>
        </w:tc>
      </w:tr>
      <w:tr w14:paraId="0ED897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A3380A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EC680ED">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8DECDF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0532ECC0">
            <w:pPr>
              <w:adjustRightInd w:val="0"/>
              <w:snapToGrid w:val="0"/>
              <w:spacing w:line="300" w:lineRule="exact"/>
              <w:jc w:val="center"/>
              <w:rPr>
                <w:rFonts w:hint="eastAsia" w:ascii="宋体" w:hAnsi="宋体" w:eastAsia="宋体" w:cs="宋体"/>
                <w:color w:val="auto"/>
                <w:spacing w:val="20"/>
                <w:szCs w:val="21"/>
                <w:highlight w:val="none"/>
              </w:rPr>
            </w:pPr>
          </w:p>
        </w:tc>
      </w:tr>
      <w:tr w14:paraId="1A0E13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023B69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E211A0">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803A50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33A92FC">
            <w:pPr>
              <w:adjustRightInd w:val="0"/>
              <w:snapToGrid w:val="0"/>
              <w:spacing w:line="300" w:lineRule="exact"/>
              <w:jc w:val="center"/>
              <w:rPr>
                <w:rFonts w:hint="eastAsia" w:ascii="宋体" w:hAnsi="宋体" w:eastAsia="宋体" w:cs="宋体"/>
                <w:color w:val="auto"/>
                <w:spacing w:val="20"/>
                <w:szCs w:val="21"/>
                <w:highlight w:val="none"/>
              </w:rPr>
            </w:pPr>
          </w:p>
        </w:tc>
      </w:tr>
      <w:tr w14:paraId="1B2776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6877C51">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DB73DC">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7E7EC9D">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152E7AD7">
            <w:pPr>
              <w:adjustRightInd w:val="0"/>
              <w:snapToGrid w:val="0"/>
              <w:spacing w:line="300" w:lineRule="exact"/>
              <w:jc w:val="center"/>
              <w:rPr>
                <w:rFonts w:hint="eastAsia" w:ascii="宋体" w:hAnsi="宋体" w:eastAsia="宋体" w:cs="宋体"/>
                <w:color w:val="auto"/>
                <w:spacing w:val="20"/>
                <w:szCs w:val="21"/>
                <w:highlight w:val="none"/>
              </w:rPr>
            </w:pPr>
          </w:p>
        </w:tc>
      </w:tr>
      <w:tr w14:paraId="0EEA65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6A0C58A">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92AD36F">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4D6B87F">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429EFBC3">
            <w:pPr>
              <w:adjustRightInd w:val="0"/>
              <w:snapToGrid w:val="0"/>
              <w:spacing w:line="300" w:lineRule="exact"/>
              <w:jc w:val="center"/>
              <w:rPr>
                <w:rFonts w:hint="eastAsia" w:ascii="宋体" w:hAnsi="宋体" w:eastAsia="宋体" w:cs="宋体"/>
                <w:color w:val="auto"/>
                <w:spacing w:val="20"/>
                <w:szCs w:val="21"/>
                <w:highlight w:val="none"/>
              </w:rPr>
            </w:pPr>
          </w:p>
        </w:tc>
      </w:tr>
      <w:tr w14:paraId="1B59A2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0D8A52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86C8363">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D88795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6E897D81">
            <w:pPr>
              <w:adjustRightInd w:val="0"/>
              <w:snapToGrid w:val="0"/>
              <w:spacing w:line="300" w:lineRule="exact"/>
              <w:jc w:val="center"/>
              <w:rPr>
                <w:rFonts w:hint="eastAsia" w:ascii="宋体" w:hAnsi="宋体" w:eastAsia="宋体" w:cs="宋体"/>
                <w:color w:val="auto"/>
                <w:spacing w:val="20"/>
                <w:szCs w:val="21"/>
                <w:highlight w:val="none"/>
              </w:rPr>
            </w:pPr>
          </w:p>
        </w:tc>
      </w:tr>
      <w:tr w14:paraId="70FFB8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76E8CD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E0B9B4C">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706BB2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32E453AD">
            <w:pPr>
              <w:adjustRightInd w:val="0"/>
              <w:snapToGrid w:val="0"/>
              <w:spacing w:line="300" w:lineRule="exact"/>
              <w:jc w:val="center"/>
              <w:rPr>
                <w:rFonts w:hint="eastAsia" w:ascii="宋体" w:hAnsi="宋体" w:eastAsia="宋体" w:cs="宋体"/>
                <w:color w:val="auto"/>
                <w:spacing w:val="20"/>
                <w:szCs w:val="21"/>
                <w:highlight w:val="none"/>
              </w:rPr>
            </w:pPr>
          </w:p>
        </w:tc>
      </w:tr>
      <w:tr w14:paraId="6D38C6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099BBFA">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74A3F09">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A12ADF8">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1081CF83">
            <w:pPr>
              <w:adjustRightInd w:val="0"/>
              <w:snapToGrid w:val="0"/>
              <w:spacing w:line="300" w:lineRule="exact"/>
              <w:jc w:val="center"/>
              <w:rPr>
                <w:rFonts w:hint="eastAsia" w:ascii="宋体" w:hAnsi="宋体" w:eastAsia="宋体" w:cs="宋体"/>
                <w:color w:val="auto"/>
                <w:spacing w:val="20"/>
                <w:szCs w:val="21"/>
                <w:highlight w:val="none"/>
              </w:rPr>
            </w:pPr>
          </w:p>
        </w:tc>
      </w:tr>
      <w:tr w14:paraId="70817B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7CD5B87">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CCA5A73">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F005484">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600E6CCD">
            <w:pPr>
              <w:adjustRightInd w:val="0"/>
              <w:snapToGrid w:val="0"/>
              <w:spacing w:line="300" w:lineRule="exact"/>
              <w:jc w:val="center"/>
              <w:rPr>
                <w:rFonts w:hint="eastAsia" w:ascii="宋体" w:hAnsi="宋体" w:eastAsia="宋体" w:cs="宋体"/>
                <w:color w:val="auto"/>
                <w:spacing w:val="20"/>
                <w:szCs w:val="21"/>
                <w:highlight w:val="none"/>
              </w:rPr>
            </w:pPr>
          </w:p>
        </w:tc>
      </w:tr>
      <w:tr w14:paraId="3023BB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B80F69C">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5DF271A">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945A6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5A915BB9">
            <w:pPr>
              <w:adjustRightInd w:val="0"/>
              <w:snapToGrid w:val="0"/>
              <w:spacing w:line="300" w:lineRule="exact"/>
              <w:jc w:val="center"/>
              <w:rPr>
                <w:rFonts w:hint="eastAsia" w:ascii="宋体" w:hAnsi="宋体" w:eastAsia="宋体" w:cs="宋体"/>
                <w:color w:val="auto"/>
                <w:spacing w:val="20"/>
                <w:szCs w:val="21"/>
                <w:highlight w:val="none"/>
              </w:rPr>
            </w:pPr>
          </w:p>
        </w:tc>
      </w:tr>
      <w:tr w14:paraId="346156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2EBC37CF">
            <w:pPr>
              <w:pStyle w:val="13"/>
              <w:tabs>
                <w:tab w:val="left" w:pos="3075"/>
              </w:tabs>
              <w:adjustRightInd w:val="0"/>
              <w:snapToGrid w:val="0"/>
              <w:spacing w:before="156" w:beforeLines="50" w:after="0" w:line="360" w:lineRule="auto"/>
              <w:ind w:left="0" w:leftChars="0"/>
              <w:jc w:val="lef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注：涉及联合体或其他合同主体的信息应按上表格式加列。</w:t>
            </w:r>
          </w:p>
        </w:tc>
      </w:tr>
    </w:tbl>
    <w:p w14:paraId="54108D3C">
      <w:pPr>
        <w:adjustRightInd w:val="0"/>
        <w:snapToGrid w:val="0"/>
        <w:spacing w:before="156" w:beforeLines="50"/>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186" w:name="_Toc27624"/>
      <w:r>
        <w:rPr>
          <w:rFonts w:hint="eastAsia" w:ascii="宋体" w:hAnsi="宋体" w:eastAsia="宋体" w:cs="宋体"/>
          <w:b w:val="0"/>
          <w:bCs w:val="0"/>
          <w:color w:val="auto"/>
          <w:sz w:val="28"/>
          <w:szCs w:val="28"/>
          <w:highlight w:val="none"/>
        </w:rPr>
        <w:t>第二节 政府采购合同通用条款</w:t>
      </w:r>
      <w:bookmarkEnd w:id="186"/>
    </w:p>
    <w:p w14:paraId="7F077B2C">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bCs/>
          <w:color w:val="auto"/>
          <w:sz w:val="24"/>
          <w:highlight w:val="none"/>
        </w:rPr>
        <w:t>定义</w:t>
      </w:r>
    </w:p>
    <w:p w14:paraId="419E989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14:paraId="5834DE5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3D1CCE0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13C262B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5ED75701">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0F252A0F">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r>
        <w:rPr>
          <w:rFonts w:hint="eastAsia" w:ascii="宋体" w:hAnsi="宋体" w:eastAsia="宋体" w:cs="宋体"/>
          <w:color w:val="auto"/>
          <w:szCs w:val="21"/>
          <w:highlight w:val="none"/>
        </w:rPr>
        <w:t>政府采购合同专用条款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政府采购合同通用条款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投标（响应）文件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有关技术文件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图纸</w:t>
      </w:r>
      <w:r>
        <w:rPr>
          <w:rFonts w:hint="eastAsia" w:ascii="宋体" w:hAnsi="宋体" w:eastAsia="宋体" w:cs="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Cs w:val="21"/>
          <w:highlight w:val="none"/>
        </w:rPr>
        <w:t>。</w:t>
      </w:r>
    </w:p>
    <w:p w14:paraId="25CF0C7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53A1CBBE">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技术资料和材料</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p>
    <w:p w14:paraId="45237D2A">
      <w:pPr>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服务”系指根据合同规定，乙方应提供的</w:t>
      </w:r>
      <w:r>
        <w:rPr>
          <w:rFonts w:hint="eastAsia" w:ascii="宋体" w:hAnsi="宋体" w:eastAsia="宋体" w:cs="宋体"/>
          <w:color w:val="auto"/>
          <w:szCs w:val="21"/>
          <w:highlight w:val="none"/>
          <w:lang w:val="en-US" w:eastAsia="zh-CN"/>
        </w:rPr>
        <w:t>与货物有关的</w:t>
      </w:r>
      <w:r>
        <w:rPr>
          <w:rFonts w:hint="eastAsia" w:ascii="宋体" w:hAnsi="宋体" w:eastAsia="宋体" w:cs="宋体"/>
          <w:color w:val="auto"/>
          <w:szCs w:val="21"/>
          <w:highlight w:val="none"/>
        </w:rPr>
        <w:t>技术、管理和</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服务，包括但不限于：管理和质量保证、运输、保险、检验、现场准备、安装、集成、调试、培训、维修、</w:t>
      </w:r>
      <w:r>
        <w:rPr>
          <w:rFonts w:hint="eastAsia" w:ascii="宋体" w:hAnsi="宋体" w:eastAsia="宋体" w:cs="宋体"/>
          <w:color w:val="auto"/>
          <w:szCs w:val="21"/>
          <w:highlight w:val="none"/>
          <w:lang w:eastAsia="zh-CN"/>
        </w:rPr>
        <w:t>废弃处置、</w:t>
      </w:r>
      <w:r>
        <w:rPr>
          <w:rFonts w:hint="eastAsia" w:ascii="宋体" w:hAnsi="宋体" w:eastAsia="宋体" w:cs="宋体"/>
          <w:color w:val="auto"/>
          <w:szCs w:val="21"/>
          <w:highlight w:val="none"/>
        </w:rPr>
        <w:t>技术支持等以及合同中规定乙方应承担的</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义务。</w:t>
      </w:r>
    </w:p>
    <w:p w14:paraId="448E8E83">
      <w:pPr>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）“分包”系指中标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供应商按采购文件、投标（响应）文件的规定，根据分包意向协议，将中标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项目中的部分履约内容，分给具有相应资质条件的供应商履行合同的行为。</w:t>
      </w:r>
    </w:p>
    <w:p w14:paraId="5F8E009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）“联合体”系指</w:t>
      </w:r>
      <w:r>
        <w:rPr>
          <w:rFonts w:hint="eastAsia" w:ascii="宋体" w:hAnsi="宋体" w:eastAsia="宋体" w:cs="宋体"/>
          <w:color w:val="auto"/>
          <w:szCs w:val="21"/>
          <w:highlight w:val="none"/>
          <w:lang w:eastAsia="zh-CN"/>
        </w:rPr>
        <w:t>由</w:t>
      </w:r>
      <w:r>
        <w:rPr>
          <w:rFonts w:hint="eastAsia" w:ascii="宋体" w:hAnsi="宋体" w:eastAsia="宋体" w:cs="宋体"/>
          <w:color w:val="auto"/>
          <w:szCs w:val="21"/>
          <w:highlight w:val="none"/>
        </w:rPr>
        <w:t>两个以上的自然人、法人或者</w:t>
      </w:r>
      <w:r>
        <w:rPr>
          <w:rFonts w:hint="eastAsia" w:ascii="宋体" w:hAnsi="宋体" w:eastAsia="宋体" w:cs="宋体"/>
          <w:color w:val="auto"/>
          <w:szCs w:val="21"/>
          <w:highlight w:val="none"/>
          <w:lang w:val="en-US" w:eastAsia="zh-CN"/>
        </w:rPr>
        <w:t>非法人</w:t>
      </w:r>
      <w:r>
        <w:rPr>
          <w:rFonts w:hint="eastAsia" w:ascii="宋体" w:hAnsi="宋体" w:eastAsia="宋体" w:cs="宋体"/>
          <w:color w:val="auto"/>
          <w:szCs w:val="21"/>
          <w:highlight w:val="none"/>
        </w:rPr>
        <w:t>组织组成，</w:t>
      </w:r>
      <w:r>
        <w:rPr>
          <w:rFonts w:hint="eastAsia" w:ascii="宋体" w:hAnsi="宋体" w:eastAsia="宋体" w:cs="宋体"/>
          <w:color w:val="auto"/>
          <w:szCs w:val="21"/>
          <w:highlight w:val="none"/>
          <w:lang w:eastAsia="zh-CN"/>
        </w:rPr>
        <w:t>以一个供应商的身份共同参加政府采购的主体。</w:t>
      </w:r>
      <w:r>
        <w:rPr>
          <w:rFonts w:hint="eastAsia" w:ascii="宋体" w:hAnsi="宋体" w:eastAsia="宋体" w:cs="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05545F4E">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1607A461">
      <w:pPr>
        <w:numPr>
          <w:ilvl w:val="0"/>
          <w:numId w:val="10"/>
        </w:num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合同标的及金额</w:t>
      </w:r>
    </w:p>
    <w:p w14:paraId="35B55D92">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.1 合同标的及金额应与中标（成交）结果一致。乙方为履行本合同而发生的所有费用均应包含在合同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中，甲方不再另行支付</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任何费用。</w:t>
      </w:r>
    </w:p>
    <w:p w14:paraId="08DC79D4">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履行合同的时间、地点和方式</w:t>
      </w:r>
    </w:p>
    <w:p w14:paraId="729EC9E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.1 乙方应当在约定的时间、地点</w:t>
      </w:r>
      <w:r>
        <w:rPr>
          <w:rFonts w:hint="eastAsia" w:ascii="宋体" w:hAnsi="宋体" w:eastAsia="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64FC36AF">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甲方的权利和义务</w:t>
      </w:r>
    </w:p>
    <w:p w14:paraId="65034F1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签署合同后，甲方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，负责与本合同有关的事务。甲方有权对乙方的履约行为进行检查，并及时确认乙方提交的事项。甲方应当配合乙方完成相关项目实施工作。</w:t>
      </w:r>
    </w:p>
    <w:p w14:paraId="3E290C7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314238B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.3 甲方有权要求乙方对缺陷部分予以修复，并按合同约定享有货物保修及其他合同约定的权利。</w:t>
      </w:r>
    </w:p>
    <w:p w14:paraId="5087599C">
      <w:pPr>
        <w:snapToGrid w:val="0"/>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4.4 甲方应当按照合同约定及时对交付的货物进行验收，</w:t>
      </w:r>
      <w:r>
        <w:rPr>
          <w:rFonts w:hint="eastAsia" w:ascii="宋体" w:hAnsi="宋体" w:eastAsia="宋体" w:cs="宋体"/>
          <w:b w:val="0"/>
          <w:bCs w:val="0"/>
          <w:color w:val="auto"/>
          <w:szCs w:val="21"/>
          <w:highlight w:val="none"/>
          <w:lang w:eastAsia="zh-CN"/>
        </w:rPr>
        <w:t>未</w:t>
      </w:r>
      <w:r>
        <w:rPr>
          <w:rFonts w:hint="eastAsia" w:ascii="宋体" w:hAnsi="宋体" w:eastAsia="宋体" w:cs="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约定的期限内对乙方履约提出任何异议或者向乙方作出任何说明的，</w:t>
      </w:r>
      <w:r>
        <w:rPr>
          <w:rFonts w:hint="eastAsia" w:ascii="宋体" w:hAnsi="宋体" w:eastAsia="宋体" w:cs="宋体"/>
          <w:color w:val="auto"/>
          <w:szCs w:val="21"/>
          <w:highlight w:val="none"/>
          <w:lang w:val="en-US" w:eastAsia="zh-CN"/>
        </w:rPr>
        <w:t>视为验收通过。</w:t>
      </w:r>
    </w:p>
    <w:p w14:paraId="7BBE1C1F">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甲方应当根据合同约定</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时向乙方支付</w:t>
      </w:r>
      <w:r>
        <w:rPr>
          <w:rFonts w:hint="eastAsia" w:ascii="宋体" w:hAnsi="宋体" w:eastAsia="宋体" w:cs="宋体"/>
          <w:color w:val="auto"/>
          <w:szCs w:val="21"/>
          <w:highlight w:val="none"/>
          <w:lang w:eastAsia="zh-CN"/>
        </w:rPr>
        <w:t>合同价款，不得以内部人员变更、履行内部付款流程等为由，拒绝或迟延支付。</w:t>
      </w:r>
    </w:p>
    <w:p w14:paraId="3330029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lang w:eastAsia="zh-CN"/>
        </w:rPr>
        <w:t>约定应</w:t>
      </w:r>
      <w:r>
        <w:rPr>
          <w:rFonts w:hint="eastAsia" w:ascii="宋体" w:hAnsi="宋体" w:eastAsia="宋体" w:cs="宋体"/>
          <w:color w:val="auto"/>
          <w:szCs w:val="21"/>
          <w:highlight w:val="none"/>
        </w:rPr>
        <w:t>由甲方承担的其他义务和责任。</w:t>
      </w:r>
    </w:p>
    <w:p w14:paraId="2D0A6AF7">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乙方的权利和义务</w:t>
      </w:r>
    </w:p>
    <w:p w14:paraId="4B43EE6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.1 签署合同后，乙方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w:t>
      </w:r>
    </w:p>
    <w:p w14:paraId="3F0485D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.2 乙方应按照合同要求履约，充分合理安排，确保提供的货物</w:t>
      </w:r>
      <w:r>
        <w:rPr>
          <w:rFonts w:hint="eastAsia" w:ascii="宋体" w:hAnsi="宋体" w:eastAsia="宋体" w:cs="宋体"/>
          <w:color w:val="auto"/>
          <w:szCs w:val="21"/>
          <w:highlight w:val="none"/>
          <w:lang w:eastAsia="zh-CN"/>
        </w:rPr>
        <w:t>及相关</w:t>
      </w:r>
      <w:r>
        <w:rPr>
          <w:rFonts w:hint="eastAsia" w:ascii="宋体" w:hAnsi="宋体" w:eastAsia="宋体" w:cs="宋体"/>
          <w:color w:val="auto"/>
          <w:szCs w:val="21"/>
          <w:highlight w:val="none"/>
        </w:rPr>
        <w:t>服务符合合同</w:t>
      </w:r>
      <w:r>
        <w:rPr>
          <w:rFonts w:hint="eastAsia" w:ascii="宋体" w:hAnsi="宋体" w:eastAsia="宋体" w:cs="宋体"/>
          <w:color w:val="auto"/>
          <w:szCs w:val="21"/>
          <w:highlight w:val="none"/>
          <w:lang w:eastAsia="zh-CN"/>
        </w:rPr>
        <w:t>有关</w:t>
      </w:r>
      <w:r>
        <w:rPr>
          <w:rFonts w:hint="eastAsia" w:ascii="宋体" w:hAnsi="宋体" w:eastAsia="宋体" w:cs="宋体"/>
          <w:color w:val="auto"/>
          <w:szCs w:val="21"/>
          <w:highlight w:val="none"/>
        </w:rPr>
        <w:t>要求。接受项目行业管理部门及政府有关部门的指导，配合甲方的履约检查</w:t>
      </w:r>
      <w:r>
        <w:rPr>
          <w:rFonts w:hint="eastAsia" w:ascii="宋体" w:hAnsi="宋体" w:eastAsia="宋体" w:cs="宋体"/>
          <w:color w:val="auto"/>
          <w:szCs w:val="21"/>
          <w:highlight w:val="none"/>
          <w:lang w:eastAsia="zh-CN"/>
        </w:rPr>
        <w:t>及验收</w:t>
      </w:r>
      <w:r>
        <w:rPr>
          <w:rFonts w:hint="eastAsia" w:ascii="宋体" w:hAnsi="宋体" w:eastAsia="宋体" w:cs="宋体"/>
          <w:color w:val="auto"/>
          <w:szCs w:val="21"/>
          <w:highlight w:val="none"/>
        </w:rPr>
        <w:t>，并负责项目实施过程中的所有协调工作。</w:t>
      </w:r>
    </w:p>
    <w:p w14:paraId="2A2B7437">
      <w:pPr>
        <w:pStyle w:val="12"/>
        <w:spacing w:after="0" w:line="400" w:lineRule="exact"/>
        <w:ind w:firstLine="369"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.3乙方有权根据合同约定向甲方收取</w:t>
      </w:r>
      <w:r>
        <w:rPr>
          <w:rFonts w:hint="eastAsia" w:ascii="宋体" w:hAnsi="宋体" w:eastAsia="宋体" w:cs="宋体"/>
          <w:color w:val="auto"/>
          <w:szCs w:val="21"/>
          <w:highlight w:val="none"/>
          <w:lang w:eastAsia="zh-CN"/>
        </w:rPr>
        <w:t>合同价款</w:t>
      </w:r>
      <w:r>
        <w:rPr>
          <w:rFonts w:hint="eastAsia" w:ascii="宋体" w:hAnsi="宋体" w:eastAsia="宋体" w:cs="宋体"/>
          <w:color w:val="auto"/>
          <w:szCs w:val="21"/>
          <w:highlight w:val="none"/>
        </w:rPr>
        <w:t>。</w:t>
      </w:r>
    </w:p>
    <w:p w14:paraId="3C8FD6D7">
      <w:pPr>
        <w:pStyle w:val="12"/>
        <w:spacing w:after="0" w:line="400" w:lineRule="exact"/>
        <w:ind w:firstLine="369"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.4国家法律法规规定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约定应</w:t>
      </w:r>
      <w:r>
        <w:rPr>
          <w:rFonts w:hint="eastAsia" w:ascii="宋体" w:hAnsi="宋体" w:eastAsia="宋体" w:cs="宋体"/>
          <w:color w:val="auto"/>
          <w:szCs w:val="21"/>
          <w:highlight w:val="none"/>
        </w:rPr>
        <w:t>由乙方承担的其他义务和责任。</w:t>
      </w:r>
    </w:p>
    <w:p w14:paraId="12998BD4">
      <w:pPr>
        <w:numPr>
          <w:ilvl w:val="0"/>
          <w:numId w:val="11"/>
        </w:num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合同履</w:t>
      </w:r>
      <w:r>
        <w:rPr>
          <w:rFonts w:hint="eastAsia" w:ascii="宋体" w:hAnsi="宋体" w:eastAsia="宋体" w:cs="宋体"/>
          <w:b/>
          <w:bCs/>
          <w:color w:val="auto"/>
          <w:sz w:val="24"/>
          <w:highlight w:val="none"/>
          <w:lang w:val="en-US" w:eastAsia="zh-CN"/>
        </w:rPr>
        <w:t>行</w:t>
      </w:r>
    </w:p>
    <w:p w14:paraId="1F895AD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0329CEF5">
      <w:pPr>
        <w:autoSpaceDE w:val="0"/>
        <w:autoSpaceDN w:val="0"/>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3C920C7E">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7</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货物包装、运输</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保险</w:t>
      </w:r>
      <w:r>
        <w:rPr>
          <w:rFonts w:hint="eastAsia" w:ascii="宋体" w:hAnsi="宋体" w:eastAsia="宋体" w:cs="宋体"/>
          <w:b/>
          <w:bCs/>
          <w:color w:val="auto"/>
          <w:sz w:val="24"/>
          <w:highlight w:val="none"/>
          <w:lang w:eastAsia="zh-CN"/>
        </w:rPr>
        <w:t>和交付</w:t>
      </w:r>
      <w:r>
        <w:rPr>
          <w:rFonts w:hint="eastAsia" w:ascii="宋体" w:hAnsi="宋体" w:eastAsia="宋体" w:cs="宋体"/>
          <w:b/>
          <w:bCs/>
          <w:color w:val="auto"/>
          <w:sz w:val="24"/>
          <w:highlight w:val="none"/>
        </w:rPr>
        <w:t>要求</w:t>
      </w:r>
    </w:p>
    <w:p w14:paraId="38E5043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.1 本合同</w:t>
      </w:r>
      <w:r>
        <w:rPr>
          <w:rFonts w:hint="eastAsia" w:ascii="宋体" w:hAnsi="宋体" w:eastAsia="宋体" w:cs="宋体"/>
          <w:bCs/>
          <w:color w:val="auto"/>
          <w:szCs w:val="21"/>
          <w:highlight w:val="none"/>
        </w:rPr>
        <w:t>涉及商品包装</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约定的</w:t>
      </w:r>
      <w:r>
        <w:rPr>
          <w:rFonts w:hint="eastAsia" w:ascii="宋体" w:hAnsi="宋体" w:eastAsia="宋体" w:cs="宋体"/>
          <w:color w:val="auto"/>
          <w:szCs w:val="21"/>
          <w:highlight w:val="none"/>
        </w:rPr>
        <w:t>指定现场。</w:t>
      </w:r>
    </w:p>
    <w:p w14:paraId="2EA7E4BD">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乙方负责办理将货物运抵本合同规定的交货地点</w:t>
      </w:r>
      <w:r>
        <w:rPr>
          <w:rFonts w:hint="eastAsia" w:ascii="宋体" w:hAnsi="宋体" w:eastAsia="宋体" w:cs="宋体"/>
          <w:color w:val="auto"/>
          <w:szCs w:val="21"/>
          <w:highlight w:val="none"/>
          <w:lang w:eastAsia="zh-CN"/>
        </w:rPr>
        <w:t>，并装卸、交付至甲方</w:t>
      </w:r>
      <w:r>
        <w:rPr>
          <w:rFonts w:hint="eastAsia" w:ascii="宋体" w:hAnsi="宋体" w:eastAsia="宋体" w:cs="宋体"/>
          <w:color w:val="auto"/>
          <w:szCs w:val="21"/>
          <w:highlight w:val="none"/>
        </w:rPr>
        <w:t>的一切运输事项，相关费用应</w:t>
      </w:r>
      <w:r>
        <w:rPr>
          <w:rFonts w:hint="eastAsia" w:ascii="宋体" w:hAnsi="宋体" w:eastAsia="宋体" w:cs="宋体"/>
          <w:color w:val="auto"/>
          <w:szCs w:val="21"/>
          <w:highlight w:val="none"/>
          <w:lang w:eastAsia="zh-CN"/>
        </w:rPr>
        <w:t>包含</w:t>
      </w:r>
      <w:r>
        <w:rPr>
          <w:rFonts w:hint="eastAsia" w:ascii="宋体" w:hAnsi="宋体" w:eastAsia="宋体" w:cs="宋体"/>
          <w:color w:val="auto"/>
          <w:szCs w:val="21"/>
          <w:highlight w:val="none"/>
        </w:rPr>
        <w:t>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w:t>
      </w:r>
    </w:p>
    <w:p w14:paraId="11F119C8">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224591F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en-US" w:eastAsia="zh-CN"/>
        </w:rPr>
        <w:t>除采购活动</w:t>
      </w:r>
      <w:r>
        <w:rPr>
          <w:rFonts w:hint="eastAsia" w:ascii="宋体" w:hAnsi="宋体" w:eastAsia="宋体" w:cs="宋体"/>
          <w:color w:val="auto"/>
          <w:szCs w:val="21"/>
          <w:highlight w:val="none"/>
        </w:rPr>
        <w:t>对商品包装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w:t>
      </w:r>
      <w:r>
        <w:rPr>
          <w:rFonts w:hint="eastAsia" w:ascii="宋体" w:hAnsi="宋体" w:eastAsia="宋体" w:cs="宋体"/>
          <w:color w:val="auto"/>
          <w:szCs w:val="21"/>
          <w:highlight w:val="none"/>
          <w:lang w:val="en-US" w:eastAsia="zh-CN"/>
        </w:rPr>
        <w:t>达成具体约定外</w:t>
      </w:r>
      <w:r>
        <w:rPr>
          <w:rFonts w:hint="eastAsia" w:ascii="宋体" w:hAnsi="宋体" w:eastAsia="宋体" w:cs="宋体"/>
          <w:color w:val="auto"/>
          <w:szCs w:val="21"/>
          <w:highlight w:val="none"/>
        </w:rPr>
        <w:t>，乙方提供产品及相关快递服务</w:t>
      </w:r>
      <w:r>
        <w:rPr>
          <w:rFonts w:hint="eastAsia" w:ascii="宋体" w:hAnsi="宋体" w:eastAsia="宋体" w:cs="宋体"/>
          <w:color w:val="auto"/>
          <w:szCs w:val="21"/>
          <w:highlight w:val="none"/>
          <w:lang w:val="en-US" w:eastAsia="zh-CN"/>
        </w:rPr>
        <w:t>涉及到</w:t>
      </w:r>
      <w:r>
        <w:rPr>
          <w:rFonts w:hint="eastAsia" w:ascii="宋体" w:hAnsi="宋体" w:eastAsia="宋体" w:cs="宋体"/>
          <w:color w:val="auto"/>
          <w:szCs w:val="21"/>
          <w:highlight w:val="none"/>
        </w:rPr>
        <w:t>具体包装要求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不低于</w:t>
      </w:r>
      <w:r>
        <w:rPr>
          <w:rFonts w:hint="eastAsia" w:ascii="宋体" w:hAnsi="宋体" w:eastAsia="宋体" w:cs="宋体"/>
          <w:color w:val="auto"/>
          <w:szCs w:val="21"/>
          <w:highlight w:val="none"/>
        </w:rPr>
        <w:t>《商品包装政府采购需求标准（试行）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快递包装政府采购需求标准（试行）》</w:t>
      </w:r>
      <w:r>
        <w:rPr>
          <w:rFonts w:hint="eastAsia" w:ascii="宋体" w:hAnsi="宋体" w:eastAsia="宋体" w:cs="宋体"/>
          <w:color w:val="auto"/>
          <w:szCs w:val="21"/>
          <w:highlight w:val="none"/>
          <w:lang w:val="en-US" w:eastAsia="zh-CN"/>
        </w:rPr>
        <w:t>标准</w:t>
      </w:r>
      <w:r>
        <w:rPr>
          <w:rFonts w:hint="eastAsia" w:ascii="宋体" w:hAnsi="宋体" w:eastAsia="宋体" w:cs="宋体"/>
          <w:color w:val="auto"/>
          <w:szCs w:val="21"/>
          <w:highlight w:val="none"/>
        </w:rPr>
        <w:t>，并作为履约验收的内容，必要时甲方可以要求乙方在履约验收环节出具检测报告。</w:t>
      </w:r>
    </w:p>
    <w:p w14:paraId="3DA568C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eastAsia="宋体" w:cs="宋体"/>
          <w:color w:val="auto"/>
          <w:szCs w:val="21"/>
          <w:highlight w:val="none"/>
          <w:lang w:eastAsia="zh-CN"/>
        </w:rPr>
        <w:t>，甲方配合乙方做好货物的接收工作。</w:t>
      </w:r>
    </w:p>
    <w:p w14:paraId="1FF13CEE">
      <w:pPr>
        <w:pStyle w:val="37"/>
        <w:rPr>
          <w:rFonts w:hint="eastAsia" w:ascii="宋体" w:hAnsi="宋体" w:eastAsia="宋体" w:cs="宋体"/>
          <w:color w:val="auto"/>
          <w:sz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119847C1">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8</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质量标准和保证</w:t>
      </w:r>
    </w:p>
    <w:p w14:paraId="518B764D">
      <w:pPr>
        <w:pStyle w:val="14"/>
        <w:adjustRightInd w:val="0"/>
        <w:snapToGrid w:val="0"/>
        <w:spacing w:before="0" w:line="400" w:lineRule="exact"/>
        <w:ind w:firstLine="42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54F0358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合同约</w:t>
      </w:r>
      <w:r>
        <w:rPr>
          <w:rFonts w:hint="eastAsia" w:ascii="宋体" w:hAnsi="宋体" w:eastAsia="宋体" w:cs="宋体"/>
          <w:color w:val="auto"/>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6A7B1384">
      <w:pPr>
        <w:pStyle w:val="14"/>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5C329D7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48EC269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01CA214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6E04C63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3E8BF4E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4656197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3CA29F2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.1条规定以书面形式</w:t>
      </w:r>
      <w:r>
        <w:rPr>
          <w:rFonts w:hint="eastAsia" w:ascii="宋体" w:hAnsi="宋体" w:eastAsia="宋体" w:cs="宋体"/>
          <w:color w:val="auto"/>
          <w:szCs w:val="21"/>
          <w:highlight w:val="none"/>
          <w:lang w:eastAsia="zh-CN"/>
        </w:rPr>
        <w:t>追究</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的违约责任</w:t>
      </w:r>
      <w:r>
        <w:rPr>
          <w:rFonts w:hint="eastAsia" w:ascii="宋体" w:hAnsi="宋体" w:eastAsia="宋体" w:cs="宋体"/>
          <w:color w:val="auto"/>
          <w:szCs w:val="21"/>
          <w:highlight w:val="none"/>
        </w:rPr>
        <w:t>。</w:t>
      </w:r>
    </w:p>
    <w:p w14:paraId="11935CE9">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47DE1766">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权利瑕疵担保</w:t>
      </w:r>
    </w:p>
    <w:p w14:paraId="11C9266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.1 乙方保证对其出售的货物享有合法的权利。</w:t>
      </w:r>
    </w:p>
    <w:p w14:paraId="0C1F3C7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57E030F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.3 如甲方使用</w:t>
      </w:r>
      <w:r>
        <w:rPr>
          <w:rFonts w:hint="eastAsia" w:ascii="宋体" w:hAnsi="宋体" w:eastAsia="宋体" w:cs="宋体"/>
          <w:color w:val="auto"/>
          <w:szCs w:val="21"/>
          <w:highlight w:val="none"/>
          <w:lang w:val="en-US" w:eastAsia="zh-CN"/>
        </w:rPr>
        <w:t>上述</w:t>
      </w:r>
      <w:r>
        <w:rPr>
          <w:rFonts w:hint="eastAsia" w:ascii="宋体" w:hAnsi="宋体" w:eastAsia="宋体" w:cs="宋体"/>
          <w:color w:val="auto"/>
          <w:szCs w:val="21"/>
          <w:highlight w:val="none"/>
        </w:rPr>
        <w:t>货物构成</w:t>
      </w:r>
      <w:r>
        <w:rPr>
          <w:rFonts w:hint="eastAsia" w:ascii="宋体" w:hAnsi="宋体" w:eastAsia="宋体" w:cs="宋体"/>
          <w:color w:val="auto"/>
          <w:szCs w:val="21"/>
          <w:highlight w:val="none"/>
          <w:lang w:val="en-US" w:eastAsia="zh-CN"/>
        </w:rPr>
        <w:t>对第三人</w:t>
      </w:r>
      <w:r>
        <w:rPr>
          <w:rFonts w:hint="eastAsia" w:ascii="宋体" w:hAnsi="宋体" w:eastAsia="宋体" w:cs="宋体"/>
          <w:color w:val="auto"/>
          <w:szCs w:val="21"/>
          <w:highlight w:val="none"/>
        </w:rPr>
        <w:t>侵权的，则由乙方承担全部责任。</w:t>
      </w:r>
    </w:p>
    <w:p w14:paraId="3A28D69C">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0</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知识产权保护</w:t>
      </w:r>
    </w:p>
    <w:p w14:paraId="7181344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.1 乙方对其所销售的货物应当享有知识产权或经权利人合法授权，保证没有侵犯任何第三人的知识产权等权利。</w:t>
      </w:r>
      <w:bookmarkStart w:id="187"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187"/>
      <w:r>
        <w:rPr>
          <w:rFonts w:hint="eastAsia" w:ascii="宋体" w:hAnsi="宋体" w:eastAsia="宋体" w:cs="宋体"/>
          <w:color w:val="auto"/>
          <w:szCs w:val="21"/>
          <w:highlight w:val="none"/>
        </w:rPr>
        <w:t>。</w:t>
      </w:r>
    </w:p>
    <w:p w14:paraId="3F47AB6D">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7F1E35D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eastAsia="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eastAsia="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eastAsia="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eastAsia="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0BC6B06E">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20A8A85D">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2F0654F9">
      <w:pPr>
        <w:spacing w:line="400" w:lineRule="exact"/>
        <w:ind w:firstLine="420" w:firstLineChars="200"/>
        <w:outlineLvl w:val="9"/>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37688485">
      <w:pPr>
        <w:pStyle w:val="12"/>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1160954E">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0A422D8D">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eastAsia="宋体" w:cs="宋体"/>
          <w:b w:val="0"/>
          <w:bCs w:val="0"/>
          <w:color w:val="auto"/>
          <w:szCs w:val="15"/>
          <w:highlight w:val="none"/>
          <w:lang w:eastAsia="zh-CN"/>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4F28EEDF">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6A977557">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2519270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2C744A2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101FC00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33D9710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2E988C7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color w:val="auto"/>
          <w:szCs w:val="15"/>
          <w:highlight w:val="none"/>
          <w:lang w:eastAsia="zh-CN"/>
        </w:rPr>
        <w:t>；</w:t>
      </w:r>
    </w:p>
    <w:p w14:paraId="4D31DED8">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67B27B7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217A3B1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179F0D6D">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5026EAE5">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14B45B2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64305F13">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0037559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1ABF040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047422B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7C9E5C0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36156AC6">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2730B2BF">
      <w:pPr>
        <w:numPr>
          <w:ilvl w:val="0"/>
          <w:numId w:val="12"/>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7E0BED46">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54C31EE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0CC7F4AA">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09AE15E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394B76E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6FBBF09A">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7EEEB8A9">
      <w:pPr>
        <w:snapToGrid w:val="0"/>
        <w:spacing w:line="400" w:lineRule="exact"/>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6F95D943">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2103C7B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1DFAB6A7">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eastAsia="宋体" w:cs="宋体"/>
          <w:color w:val="auto"/>
          <w:szCs w:val="21"/>
          <w:highlight w:val="none"/>
          <w:lang w:val="en-US" w:eastAsia="zh-CN"/>
        </w:rPr>
        <w:t>任</w:t>
      </w:r>
      <w:r>
        <w:rPr>
          <w:rFonts w:hint="eastAsia" w:ascii="宋体" w:hAnsi="宋体" w:eastAsia="宋体" w:cs="宋体"/>
          <w:color w:val="auto"/>
          <w:szCs w:val="21"/>
          <w:highlight w:val="none"/>
        </w:rPr>
        <w:t>。</w:t>
      </w:r>
    </w:p>
    <w:p w14:paraId="7250071C">
      <w:pPr>
        <w:pStyle w:val="3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0E3A6901">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3403B421">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5622E4F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0217787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47F7E025">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345E8FB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0220652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5CB5CD7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25ECDA49">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6272F3FC">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078AF205">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5657DF28">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196A70D1">
      <w:pPr>
        <w:autoSpaceDE w:val="0"/>
        <w:autoSpaceDN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2E02E1E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76379DD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621F255E">
      <w:pPr>
        <w:pStyle w:val="12"/>
        <w:spacing w:after="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5E9BBB8">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449EFDCE">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5BCFA6C8">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7FFB4B31">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71C534BA">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13BD4FCD">
      <w:pPr>
        <w:pStyle w:val="37"/>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7711ABF2">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2971C565">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56F6F154">
      <w:pPr>
        <w:numPr>
          <w:ilvl w:val="0"/>
          <w:numId w:val="13"/>
        </w:num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6EBB257F">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1DB1240F">
      <w:pPr>
        <w:adjustRightInd w:val="0"/>
        <w:snapToGrid w:val="0"/>
        <w:spacing w:line="40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188" w:name="_Toc20313"/>
    </w:p>
    <w:p w14:paraId="1D61FA3B">
      <w:pPr>
        <w:adjustRightInd w:val="0"/>
        <w:snapToGrid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br w:type="page"/>
      </w:r>
    </w:p>
    <w:p w14:paraId="01F22D8F">
      <w:pPr>
        <w:adjustRightInd w:val="0"/>
        <w:snapToGrid w:val="0"/>
        <w:jc w:val="center"/>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第三节 政府采购合同专用条款</w:t>
      </w:r>
      <w:bookmarkEnd w:id="188"/>
    </w:p>
    <w:tbl>
      <w:tblPr>
        <w:tblStyle w:val="3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ADC1E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13D671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A23BB3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noWrap w:val="0"/>
            <w:vAlign w:val="center"/>
          </w:tcPr>
          <w:p w14:paraId="4212C09A">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联合体具体要求</w:t>
            </w:r>
          </w:p>
        </w:tc>
        <w:tc>
          <w:tcPr>
            <w:tcW w:w="5170" w:type="dxa"/>
            <w:noWrap w:val="0"/>
            <w:vAlign w:val="center"/>
          </w:tcPr>
          <w:p w14:paraId="2E975B90">
            <w:pPr>
              <w:adjustRightInd w:val="0"/>
              <w:snapToGrid w:val="0"/>
              <w:jc w:val="left"/>
              <w:rPr>
                <w:rFonts w:hint="eastAsia" w:ascii="宋体" w:hAnsi="宋体" w:eastAsia="宋体" w:cs="宋体"/>
                <w:color w:val="auto"/>
                <w:szCs w:val="21"/>
                <w:highlight w:val="none"/>
              </w:rPr>
            </w:pPr>
          </w:p>
        </w:tc>
      </w:tr>
      <w:tr w14:paraId="0D0A46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4E8D8EA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C13AD57">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w:t>
            </w:r>
          </w:p>
        </w:tc>
        <w:tc>
          <w:tcPr>
            <w:tcW w:w="1742" w:type="dxa"/>
            <w:noWrap w:val="0"/>
            <w:vAlign w:val="center"/>
          </w:tcPr>
          <w:p w14:paraId="7BC48A8A">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其他术语解释</w:t>
            </w:r>
          </w:p>
        </w:tc>
        <w:tc>
          <w:tcPr>
            <w:tcW w:w="5170" w:type="dxa"/>
            <w:noWrap w:val="0"/>
            <w:vAlign w:val="center"/>
          </w:tcPr>
          <w:p w14:paraId="23A261F7">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35DBDB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9E7657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F64F7A0">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4.4款</w:t>
            </w:r>
          </w:p>
        </w:tc>
        <w:tc>
          <w:tcPr>
            <w:tcW w:w="1742" w:type="dxa"/>
            <w:noWrap w:val="0"/>
            <w:vAlign w:val="center"/>
          </w:tcPr>
          <w:p w14:paraId="12BD1C73">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履约验收中甲方提出异议或作出说明的期限</w:t>
            </w:r>
          </w:p>
        </w:tc>
        <w:tc>
          <w:tcPr>
            <w:tcW w:w="5170" w:type="dxa"/>
            <w:noWrap w:val="0"/>
            <w:vAlign w:val="center"/>
          </w:tcPr>
          <w:p w14:paraId="1BD8714A">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2F1ADA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F41877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6FB532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4.6款</w:t>
            </w:r>
          </w:p>
        </w:tc>
        <w:tc>
          <w:tcPr>
            <w:tcW w:w="1742" w:type="dxa"/>
            <w:noWrap w:val="0"/>
            <w:vAlign w:val="center"/>
          </w:tcPr>
          <w:p w14:paraId="4EAB3B85">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约定甲方承担的其他义务和责任</w:t>
            </w:r>
          </w:p>
        </w:tc>
        <w:tc>
          <w:tcPr>
            <w:tcW w:w="5170" w:type="dxa"/>
            <w:noWrap w:val="0"/>
            <w:vAlign w:val="center"/>
          </w:tcPr>
          <w:p w14:paraId="3A491F38">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4B6CEC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F4F6BD">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0ED86492">
            <w:pPr>
              <w:snapToGrid w:val="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5.4款</w:t>
            </w:r>
          </w:p>
        </w:tc>
        <w:tc>
          <w:tcPr>
            <w:tcW w:w="1742" w:type="dxa"/>
            <w:noWrap w:val="0"/>
            <w:vAlign w:val="center"/>
          </w:tcPr>
          <w:p w14:paraId="6A6EF61D">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约定乙方承担的其他义务和责任</w:t>
            </w:r>
          </w:p>
        </w:tc>
        <w:tc>
          <w:tcPr>
            <w:tcW w:w="5170" w:type="dxa"/>
            <w:noWrap w:val="0"/>
            <w:vAlign w:val="center"/>
          </w:tcPr>
          <w:p w14:paraId="74FFADE6">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1B4144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FC4B913">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12DE0BCF">
            <w:pPr>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6.1款</w:t>
            </w:r>
          </w:p>
        </w:tc>
        <w:tc>
          <w:tcPr>
            <w:tcW w:w="1742" w:type="dxa"/>
            <w:noWrap w:val="0"/>
            <w:vAlign w:val="center"/>
          </w:tcPr>
          <w:p w14:paraId="3EBA779F">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履行合同义务的顺序</w:t>
            </w:r>
          </w:p>
        </w:tc>
        <w:tc>
          <w:tcPr>
            <w:tcW w:w="5170" w:type="dxa"/>
            <w:noWrap w:val="0"/>
            <w:vAlign w:val="center"/>
          </w:tcPr>
          <w:p w14:paraId="1B61D97F">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37A5FE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1A0319A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8EE892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款</w:t>
            </w:r>
          </w:p>
        </w:tc>
        <w:tc>
          <w:tcPr>
            <w:tcW w:w="1742" w:type="dxa"/>
            <w:noWrap w:val="0"/>
            <w:vAlign w:val="center"/>
          </w:tcPr>
          <w:p w14:paraId="7CE943B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w:t>
            </w:r>
            <w:r>
              <w:rPr>
                <w:rFonts w:hint="eastAsia" w:ascii="宋体" w:hAnsi="宋体" w:eastAsia="宋体" w:cs="宋体"/>
                <w:color w:val="auto"/>
                <w:szCs w:val="21"/>
                <w:highlight w:val="none"/>
                <w:lang w:eastAsia="zh-CN"/>
              </w:rPr>
              <w:t>特殊要求</w:t>
            </w:r>
          </w:p>
        </w:tc>
        <w:tc>
          <w:tcPr>
            <w:tcW w:w="5170" w:type="dxa"/>
            <w:noWrap w:val="0"/>
            <w:vAlign w:val="center"/>
          </w:tcPr>
          <w:p w14:paraId="2B401B04">
            <w:pPr>
              <w:rPr>
                <w:rFonts w:hint="eastAsia" w:ascii="宋体" w:hAnsi="宋体" w:eastAsia="宋体" w:cs="宋体"/>
                <w:color w:val="auto"/>
                <w:highlight w:val="none"/>
              </w:rPr>
            </w:pPr>
          </w:p>
        </w:tc>
      </w:tr>
      <w:tr w14:paraId="1BBF0F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495D2059">
            <w:pPr>
              <w:adjustRightInd w:val="0"/>
              <w:snapToGrid w:val="0"/>
              <w:jc w:val="center"/>
              <w:rPr>
                <w:rFonts w:hint="eastAsia" w:ascii="宋体" w:hAnsi="宋体" w:eastAsia="宋体" w:cs="宋体"/>
                <w:color w:val="auto"/>
                <w:szCs w:val="21"/>
                <w:highlight w:val="none"/>
              </w:rPr>
            </w:pPr>
          </w:p>
        </w:tc>
        <w:tc>
          <w:tcPr>
            <w:tcW w:w="1742" w:type="dxa"/>
            <w:noWrap w:val="0"/>
            <w:vAlign w:val="center"/>
          </w:tcPr>
          <w:p w14:paraId="3644D226">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指定现场</w:t>
            </w:r>
          </w:p>
        </w:tc>
        <w:tc>
          <w:tcPr>
            <w:tcW w:w="5170" w:type="dxa"/>
            <w:noWrap w:val="0"/>
            <w:vAlign w:val="center"/>
          </w:tcPr>
          <w:p w14:paraId="4524918D">
            <w:pPr>
              <w:rPr>
                <w:rFonts w:hint="eastAsia" w:ascii="宋体" w:hAnsi="宋体" w:eastAsia="宋体" w:cs="宋体"/>
                <w:color w:val="auto"/>
                <w:highlight w:val="none"/>
              </w:rPr>
            </w:pPr>
          </w:p>
        </w:tc>
      </w:tr>
      <w:tr w14:paraId="112414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61BD208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51994D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noWrap w:val="0"/>
            <w:vAlign w:val="center"/>
          </w:tcPr>
          <w:p w14:paraId="200A4863">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运输特殊要求</w:t>
            </w:r>
          </w:p>
        </w:tc>
        <w:tc>
          <w:tcPr>
            <w:tcW w:w="5170" w:type="dxa"/>
            <w:noWrap w:val="0"/>
            <w:vAlign w:val="center"/>
          </w:tcPr>
          <w:p w14:paraId="43836C29">
            <w:pPr>
              <w:rPr>
                <w:rFonts w:hint="eastAsia" w:ascii="宋体" w:hAnsi="宋体" w:eastAsia="宋体" w:cs="宋体"/>
                <w:color w:val="auto"/>
                <w:highlight w:val="none"/>
              </w:rPr>
            </w:pPr>
          </w:p>
        </w:tc>
      </w:tr>
      <w:tr w14:paraId="4912C5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228A245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D595C1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款</w:t>
            </w:r>
          </w:p>
        </w:tc>
        <w:tc>
          <w:tcPr>
            <w:tcW w:w="1742" w:type="dxa"/>
            <w:noWrap w:val="0"/>
            <w:vAlign w:val="center"/>
          </w:tcPr>
          <w:p w14:paraId="2D3CF032">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保险要求</w:t>
            </w:r>
          </w:p>
        </w:tc>
        <w:tc>
          <w:tcPr>
            <w:tcW w:w="5170" w:type="dxa"/>
            <w:noWrap w:val="0"/>
            <w:vAlign w:val="center"/>
          </w:tcPr>
          <w:p w14:paraId="34B86F30">
            <w:pPr>
              <w:rPr>
                <w:rFonts w:hint="eastAsia" w:ascii="宋体" w:hAnsi="宋体" w:eastAsia="宋体" w:cs="宋体"/>
                <w:color w:val="auto"/>
                <w:highlight w:val="none"/>
              </w:rPr>
            </w:pPr>
          </w:p>
        </w:tc>
      </w:tr>
      <w:tr w14:paraId="36F1EC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711038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9B8C64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.2（1）项</w:t>
            </w:r>
          </w:p>
        </w:tc>
        <w:tc>
          <w:tcPr>
            <w:tcW w:w="1742" w:type="dxa"/>
            <w:noWrap w:val="0"/>
            <w:vAlign w:val="center"/>
          </w:tcPr>
          <w:p w14:paraId="1F9F980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170" w:type="dxa"/>
            <w:noWrap w:val="0"/>
            <w:vAlign w:val="center"/>
          </w:tcPr>
          <w:p w14:paraId="01B87EE4">
            <w:pPr>
              <w:autoSpaceDE w:val="0"/>
              <w:autoSpaceDN w:val="0"/>
              <w:adjustRightInd w:val="0"/>
              <w:snapToGrid w:val="0"/>
              <w:ind w:firstLine="420" w:firstLineChars="200"/>
              <w:jc w:val="left"/>
              <w:rPr>
                <w:rFonts w:hint="eastAsia" w:ascii="宋体" w:hAnsi="宋体" w:eastAsia="宋体" w:cs="宋体"/>
                <w:color w:val="auto"/>
                <w:szCs w:val="21"/>
                <w:highlight w:val="none"/>
              </w:rPr>
            </w:pPr>
          </w:p>
        </w:tc>
      </w:tr>
      <w:tr w14:paraId="71FE0D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21026E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35B3D9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.2（3）项</w:t>
            </w:r>
          </w:p>
        </w:tc>
        <w:tc>
          <w:tcPr>
            <w:tcW w:w="1742" w:type="dxa"/>
            <w:noWrap w:val="0"/>
            <w:vAlign w:val="center"/>
          </w:tcPr>
          <w:p w14:paraId="5A40BBEA">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货物质量缺陷</w:t>
            </w:r>
          </w:p>
          <w:p w14:paraId="6398C20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170" w:type="dxa"/>
            <w:noWrap w:val="0"/>
            <w:vAlign w:val="center"/>
          </w:tcPr>
          <w:p w14:paraId="6C71076F">
            <w:pPr>
              <w:adjustRightInd w:val="0"/>
              <w:snapToGrid w:val="0"/>
              <w:jc w:val="left"/>
              <w:rPr>
                <w:rFonts w:hint="eastAsia" w:ascii="宋体" w:hAnsi="宋体" w:eastAsia="宋体" w:cs="宋体"/>
                <w:color w:val="auto"/>
                <w:szCs w:val="21"/>
                <w:highlight w:val="none"/>
              </w:rPr>
            </w:pPr>
          </w:p>
        </w:tc>
      </w:tr>
      <w:tr w14:paraId="7CA7A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98D290">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第二节</w:t>
            </w:r>
          </w:p>
          <w:p w14:paraId="4AA8249E">
            <w:pPr>
              <w:pStyle w:val="37"/>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noWrap w:val="0"/>
            <w:vAlign w:val="center"/>
          </w:tcPr>
          <w:p w14:paraId="65B74F7D">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其他应当保密的信息</w:t>
            </w:r>
          </w:p>
        </w:tc>
        <w:tc>
          <w:tcPr>
            <w:tcW w:w="5170" w:type="dxa"/>
            <w:noWrap w:val="0"/>
            <w:vAlign w:val="center"/>
          </w:tcPr>
          <w:p w14:paraId="33C8D42D">
            <w:pPr>
              <w:adjustRightInd w:val="0"/>
              <w:snapToGrid w:val="0"/>
              <w:jc w:val="left"/>
              <w:rPr>
                <w:rFonts w:hint="eastAsia" w:ascii="宋体" w:hAnsi="宋体" w:eastAsia="宋体" w:cs="宋体"/>
                <w:color w:val="auto"/>
                <w:szCs w:val="21"/>
                <w:highlight w:val="none"/>
              </w:rPr>
            </w:pPr>
          </w:p>
        </w:tc>
      </w:tr>
      <w:tr w14:paraId="6F80FC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C9875E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B6EB40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.2款</w:t>
            </w:r>
          </w:p>
        </w:tc>
        <w:tc>
          <w:tcPr>
            <w:tcW w:w="1742" w:type="dxa"/>
            <w:noWrap w:val="0"/>
            <w:vAlign w:val="center"/>
          </w:tcPr>
          <w:p w14:paraId="70251E61">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合同价款支付</w:t>
            </w:r>
            <w:r>
              <w:rPr>
                <w:rFonts w:hint="eastAsia" w:ascii="宋体" w:hAnsi="宋体" w:eastAsia="宋体" w:cs="宋体"/>
                <w:color w:val="auto"/>
                <w:szCs w:val="21"/>
                <w:highlight w:val="none"/>
                <w:lang w:eastAsia="zh-CN"/>
              </w:rPr>
              <w:t>时间</w:t>
            </w:r>
          </w:p>
        </w:tc>
        <w:tc>
          <w:tcPr>
            <w:tcW w:w="5170" w:type="dxa"/>
            <w:noWrap w:val="0"/>
            <w:vAlign w:val="center"/>
          </w:tcPr>
          <w:p w14:paraId="5EE9B2B2">
            <w:pPr>
              <w:adjustRightInd w:val="0"/>
              <w:snapToGrid w:val="0"/>
              <w:jc w:val="left"/>
              <w:rPr>
                <w:rFonts w:hint="eastAsia" w:ascii="宋体" w:hAnsi="宋体" w:eastAsia="宋体" w:cs="宋体"/>
                <w:color w:val="auto"/>
                <w:szCs w:val="21"/>
                <w:highlight w:val="none"/>
              </w:rPr>
            </w:pPr>
          </w:p>
        </w:tc>
      </w:tr>
      <w:tr w14:paraId="3A90E3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D75D7B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9AAB0F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13.2</w:t>
            </w:r>
            <w:r>
              <w:rPr>
                <w:rFonts w:hint="eastAsia" w:ascii="宋体" w:hAnsi="宋体" w:eastAsia="宋体" w:cs="宋体"/>
                <w:color w:val="auto"/>
                <w:szCs w:val="21"/>
                <w:highlight w:val="none"/>
              </w:rPr>
              <w:t>款</w:t>
            </w:r>
          </w:p>
        </w:tc>
        <w:tc>
          <w:tcPr>
            <w:tcW w:w="1742" w:type="dxa"/>
            <w:noWrap w:val="0"/>
            <w:vAlign w:val="center"/>
          </w:tcPr>
          <w:p w14:paraId="73F20143">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履约保证金不予退还的情形</w:t>
            </w:r>
          </w:p>
        </w:tc>
        <w:tc>
          <w:tcPr>
            <w:tcW w:w="5170" w:type="dxa"/>
            <w:noWrap w:val="0"/>
            <w:vAlign w:val="center"/>
          </w:tcPr>
          <w:p w14:paraId="38792E03">
            <w:pPr>
              <w:adjustRightInd w:val="0"/>
              <w:snapToGrid w:val="0"/>
              <w:jc w:val="left"/>
              <w:rPr>
                <w:rFonts w:hint="eastAsia" w:ascii="宋体" w:hAnsi="宋体" w:eastAsia="宋体" w:cs="宋体"/>
                <w:color w:val="auto"/>
                <w:szCs w:val="21"/>
                <w:highlight w:val="none"/>
              </w:rPr>
            </w:pPr>
          </w:p>
        </w:tc>
      </w:tr>
      <w:tr w14:paraId="0FFD11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9BB2CB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DA623B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13.3</w:t>
            </w:r>
            <w:r>
              <w:rPr>
                <w:rFonts w:hint="eastAsia" w:ascii="宋体" w:hAnsi="宋体" w:eastAsia="宋体" w:cs="宋体"/>
                <w:color w:val="auto"/>
                <w:szCs w:val="21"/>
                <w:highlight w:val="none"/>
              </w:rPr>
              <w:t>款</w:t>
            </w:r>
          </w:p>
        </w:tc>
        <w:tc>
          <w:tcPr>
            <w:tcW w:w="1742" w:type="dxa"/>
            <w:noWrap w:val="0"/>
            <w:vAlign w:val="center"/>
          </w:tcPr>
          <w:p w14:paraId="202046EE">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w:t>
            </w:r>
            <w:r>
              <w:rPr>
                <w:rFonts w:hint="eastAsia" w:ascii="宋体" w:hAnsi="宋体" w:eastAsia="宋体" w:cs="宋体"/>
                <w:color w:val="auto"/>
                <w:szCs w:val="21"/>
                <w:highlight w:val="none"/>
                <w:lang w:eastAsia="zh-CN"/>
              </w:rPr>
              <w:t>逾期退还的</w:t>
            </w:r>
            <w:r>
              <w:rPr>
                <w:rFonts w:hint="eastAsia" w:ascii="宋体" w:hAnsi="宋体" w:eastAsia="宋体" w:cs="宋体"/>
                <w:color w:val="auto"/>
                <w:szCs w:val="21"/>
                <w:highlight w:val="none"/>
              </w:rPr>
              <w:t>违约金</w:t>
            </w:r>
          </w:p>
        </w:tc>
        <w:tc>
          <w:tcPr>
            <w:tcW w:w="5170" w:type="dxa"/>
            <w:noWrap w:val="0"/>
            <w:vAlign w:val="center"/>
          </w:tcPr>
          <w:p w14:paraId="213E964A">
            <w:pPr>
              <w:adjustRightInd w:val="0"/>
              <w:snapToGrid w:val="0"/>
              <w:jc w:val="left"/>
              <w:rPr>
                <w:rFonts w:hint="eastAsia" w:ascii="宋体" w:hAnsi="宋体" w:eastAsia="宋体" w:cs="宋体"/>
                <w:color w:val="auto"/>
                <w:szCs w:val="21"/>
                <w:highlight w:val="none"/>
              </w:rPr>
            </w:pPr>
          </w:p>
        </w:tc>
      </w:tr>
      <w:tr w14:paraId="723F0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D6938C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B0491E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w:t>
            </w:r>
          </w:p>
        </w:tc>
        <w:tc>
          <w:tcPr>
            <w:tcW w:w="1742" w:type="dxa"/>
            <w:noWrap w:val="0"/>
            <w:vAlign w:val="center"/>
          </w:tcPr>
          <w:p w14:paraId="0B7FDF2C">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运行监督、维修期限</w:t>
            </w:r>
          </w:p>
        </w:tc>
        <w:tc>
          <w:tcPr>
            <w:tcW w:w="5170" w:type="dxa"/>
            <w:noWrap w:val="0"/>
            <w:vAlign w:val="center"/>
          </w:tcPr>
          <w:p w14:paraId="7BBF9AC2">
            <w:pPr>
              <w:adjustRightInd w:val="0"/>
              <w:snapToGrid w:val="0"/>
              <w:jc w:val="left"/>
              <w:rPr>
                <w:rFonts w:hint="eastAsia" w:ascii="宋体" w:hAnsi="宋体" w:eastAsia="宋体" w:cs="宋体"/>
                <w:color w:val="auto"/>
                <w:szCs w:val="21"/>
                <w:highlight w:val="none"/>
              </w:rPr>
            </w:pPr>
          </w:p>
        </w:tc>
      </w:tr>
      <w:tr w14:paraId="5815A3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A9E132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4E2543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）项</w:t>
            </w:r>
          </w:p>
        </w:tc>
        <w:tc>
          <w:tcPr>
            <w:tcW w:w="1742" w:type="dxa"/>
            <w:noWrap w:val="0"/>
            <w:vAlign w:val="center"/>
          </w:tcPr>
          <w:p w14:paraId="33C083A9">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货物回收的约定</w:t>
            </w:r>
          </w:p>
        </w:tc>
        <w:tc>
          <w:tcPr>
            <w:tcW w:w="5170" w:type="dxa"/>
            <w:noWrap w:val="0"/>
            <w:vAlign w:val="center"/>
          </w:tcPr>
          <w:p w14:paraId="420E3AD4">
            <w:pPr>
              <w:adjustRightInd w:val="0"/>
              <w:snapToGrid w:val="0"/>
              <w:jc w:val="left"/>
              <w:rPr>
                <w:rFonts w:hint="eastAsia" w:ascii="宋体" w:hAnsi="宋体" w:eastAsia="宋体" w:cs="宋体"/>
                <w:color w:val="auto"/>
                <w:szCs w:val="21"/>
                <w:highlight w:val="none"/>
              </w:rPr>
            </w:pPr>
          </w:p>
        </w:tc>
      </w:tr>
      <w:tr w14:paraId="3308CD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AB2D64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CAF56A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noWrap w:val="0"/>
            <w:vAlign w:val="center"/>
          </w:tcPr>
          <w:p w14:paraId="5540CE0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170" w:type="dxa"/>
            <w:noWrap w:val="0"/>
            <w:vAlign w:val="center"/>
          </w:tcPr>
          <w:p w14:paraId="5863EC55">
            <w:pPr>
              <w:adjustRightInd w:val="0"/>
              <w:snapToGrid w:val="0"/>
              <w:jc w:val="left"/>
              <w:rPr>
                <w:rFonts w:hint="eastAsia" w:ascii="宋体" w:hAnsi="宋体" w:eastAsia="宋体" w:cs="宋体"/>
                <w:color w:val="auto"/>
                <w:szCs w:val="21"/>
                <w:highlight w:val="none"/>
              </w:rPr>
            </w:pPr>
          </w:p>
        </w:tc>
      </w:tr>
      <w:tr w14:paraId="1A62AF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3B669D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07B8FB7">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1款</w:t>
            </w:r>
          </w:p>
        </w:tc>
        <w:tc>
          <w:tcPr>
            <w:tcW w:w="1742" w:type="dxa"/>
            <w:noWrap w:val="0"/>
            <w:vAlign w:val="center"/>
          </w:tcPr>
          <w:p w14:paraId="49E03C61">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修理、重作、更换相关具体规定</w:t>
            </w:r>
          </w:p>
        </w:tc>
        <w:tc>
          <w:tcPr>
            <w:tcW w:w="5170" w:type="dxa"/>
            <w:noWrap w:val="0"/>
            <w:vAlign w:val="center"/>
          </w:tcPr>
          <w:p w14:paraId="6DEB07B8">
            <w:pPr>
              <w:adjustRightInd w:val="0"/>
              <w:snapToGrid w:val="0"/>
              <w:jc w:val="left"/>
              <w:rPr>
                <w:rFonts w:hint="eastAsia" w:ascii="宋体" w:hAnsi="宋体" w:eastAsia="宋体" w:cs="宋体"/>
                <w:color w:val="auto"/>
                <w:szCs w:val="21"/>
                <w:highlight w:val="none"/>
              </w:rPr>
            </w:pPr>
          </w:p>
        </w:tc>
      </w:tr>
      <w:tr w14:paraId="3DD1CF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67DB4B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118C39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.2（2）项</w:t>
            </w:r>
          </w:p>
        </w:tc>
        <w:tc>
          <w:tcPr>
            <w:tcW w:w="1742" w:type="dxa"/>
            <w:noWrap w:val="0"/>
            <w:vAlign w:val="center"/>
          </w:tcPr>
          <w:p w14:paraId="0ABBE96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5170" w:type="dxa"/>
            <w:noWrap w:val="0"/>
            <w:vAlign w:val="center"/>
          </w:tcPr>
          <w:p w14:paraId="1080DF61">
            <w:pPr>
              <w:adjustRightInd w:val="0"/>
              <w:snapToGrid w:val="0"/>
              <w:jc w:val="left"/>
              <w:rPr>
                <w:rFonts w:hint="eastAsia" w:ascii="宋体" w:hAnsi="宋体" w:eastAsia="宋体" w:cs="宋体"/>
                <w:color w:val="auto"/>
                <w:szCs w:val="21"/>
                <w:highlight w:val="none"/>
                <w:u w:val="single"/>
              </w:rPr>
            </w:pPr>
          </w:p>
        </w:tc>
      </w:tr>
      <w:tr w14:paraId="3770FE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2997E6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0F550D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3款</w:t>
            </w:r>
          </w:p>
        </w:tc>
        <w:tc>
          <w:tcPr>
            <w:tcW w:w="1742" w:type="dxa"/>
            <w:noWrap w:val="0"/>
            <w:vAlign w:val="center"/>
          </w:tcPr>
          <w:p w14:paraId="38987FE3">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5170" w:type="dxa"/>
            <w:noWrap w:val="0"/>
            <w:vAlign w:val="center"/>
          </w:tcPr>
          <w:p w14:paraId="35A30F68">
            <w:pPr>
              <w:adjustRightInd w:val="0"/>
              <w:snapToGrid w:val="0"/>
              <w:jc w:val="left"/>
              <w:rPr>
                <w:rFonts w:hint="eastAsia" w:ascii="宋体" w:hAnsi="宋体" w:eastAsia="宋体" w:cs="宋体"/>
                <w:color w:val="auto"/>
                <w:szCs w:val="21"/>
                <w:highlight w:val="none"/>
                <w:u w:val="single"/>
              </w:rPr>
            </w:pPr>
          </w:p>
        </w:tc>
      </w:tr>
      <w:tr w14:paraId="3FDF85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7A22092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2AA084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1AEDC0F3">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3D7940EA">
            <w:pPr>
              <w:adjustRightInd w:val="0"/>
              <w:snapToGrid w:val="0"/>
              <w:jc w:val="left"/>
              <w:rPr>
                <w:rFonts w:hint="eastAsia" w:ascii="宋体" w:hAnsi="宋体" w:eastAsia="宋体" w:cs="宋体"/>
                <w:color w:val="auto"/>
                <w:szCs w:val="21"/>
                <w:highlight w:val="none"/>
                <w:u w:val="single"/>
              </w:rPr>
            </w:pPr>
          </w:p>
        </w:tc>
      </w:tr>
      <w:tr w14:paraId="5E89D4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1A6E2E4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0A8546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0D49E21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1B2E7196">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34860322">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127735B6">
            <w:pPr>
              <w:adjustRightInd w:val="0"/>
              <w:snapToGrid w:val="0"/>
              <w:ind w:firstLine="0" w:firstLineChars="0"/>
              <w:jc w:val="left"/>
              <w:rPr>
                <w:rFonts w:hint="eastAsia" w:ascii="宋体" w:hAnsi="宋体" w:eastAsia="宋体" w:cs="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75DE3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450CBC8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6AC8B2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lang w:eastAsia="zh-CN"/>
              </w:rPr>
              <w:t>款</w:t>
            </w:r>
          </w:p>
        </w:tc>
        <w:tc>
          <w:tcPr>
            <w:tcW w:w="1742" w:type="dxa"/>
            <w:noWrap w:val="0"/>
            <w:vAlign w:val="center"/>
          </w:tcPr>
          <w:p w14:paraId="5E1C925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eastAsia="zh-CN"/>
              </w:rPr>
              <w:t>其他专用条款</w:t>
            </w:r>
          </w:p>
        </w:tc>
        <w:tc>
          <w:tcPr>
            <w:tcW w:w="5170" w:type="dxa"/>
            <w:noWrap w:val="0"/>
            <w:vAlign w:val="center"/>
          </w:tcPr>
          <w:p w14:paraId="7B04C355">
            <w:pPr>
              <w:adjustRightInd w:val="0"/>
              <w:snapToGrid w:val="0"/>
              <w:jc w:val="left"/>
              <w:rPr>
                <w:rFonts w:hint="eastAsia" w:ascii="宋体" w:hAnsi="宋体" w:eastAsia="宋体" w:cs="宋体"/>
                <w:color w:val="auto"/>
                <w:szCs w:val="21"/>
                <w:highlight w:val="none"/>
                <w:lang w:val="en-US" w:eastAsia="zh-CN"/>
              </w:rPr>
            </w:pPr>
          </w:p>
        </w:tc>
      </w:tr>
    </w:tbl>
    <w:p w14:paraId="1377ABBD">
      <w:pPr>
        <w:overflowPunct w:val="0"/>
        <w:spacing w:line="440" w:lineRule="exact"/>
        <w:rPr>
          <w:rFonts w:hint="eastAsia" w:ascii="宋体" w:hAnsi="宋体" w:eastAsia="宋体" w:cs="宋体"/>
          <w:color w:val="auto"/>
          <w:sz w:val="24"/>
          <w:szCs w:val="24"/>
          <w:highlight w:val="none"/>
        </w:rPr>
      </w:pPr>
    </w:p>
    <w:p w14:paraId="5E8B5AB7">
      <w:pPr>
        <w:pStyle w:val="37"/>
        <w:rPr>
          <w:rFonts w:hint="eastAsia"/>
          <w:color w:val="auto"/>
          <w:highlight w:val="none"/>
        </w:rPr>
      </w:pPr>
    </w:p>
    <w:p w14:paraId="68790DD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346C1A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left"/>
        <w:textAlignment w:val="baseline"/>
        <w:outlineLvl w:val="0"/>
        <w:rPr>
          <w:rFonts w:hint="eastAsia" w:asciiTheme="minorEastAsia" w:hAnsiTheme="minorEastAsia" w:eastAsiaTheme="minorEastAsia" w:cstheme="minorEastAsia"/>
          <w:snapToGrid w:val="0"/>
          <w:color w:val="auto"/>
          <w:spacing w:val="-9"/>
          <w:kern w:val="0"/>
          <w:sz w:val="28"/>
          <w:szCs w:val="28"/>
          <w:highlight w:val="none"/>
          <w:lang w:eastAsia="en-US"/>
        </w:rPr>
      </w:pPr>
      <w:bookmarkStart w:id="189" w:name="_Toc7538"/>
      <w:bookmarkStart w:id="190" w:name="_Toc30479"/>
      <w:r>
        <w:rPr>
          <w:rFonts w:hint="eastAsia" w:asciiTheme="minorEastAsia" w:hAnsiTheme="minorEastAsia" w:eastAsiaTheme="minorEastAsia" w:cstheme="minorEastAsia"/>
          <w:snapToGrid w:val="0"/>
          <w:color w:val="auto"/>
          <w:spacing w:val="-9"/>
          <w:kern w:val="0"/>
          <w:sz w:val="28"/>
          <w:szCs w:val="28"/>
          <w:highlight w:val="none"/>
          <w:lang w:eastAsia="en-US"/>
        </w:rPr>
        <w:t>附件</w:t>
      </w:r>
      <w:r>
        <w:rPr>
          <w:rFonts w:hint="eastAsia" w:asciiTheme="minorEastAsia" w:hAnsiTheme="minorEastAsia" w:eastAsiaTheme="minorEastAsia" w:cstheme="minorEastAsia"/>
          <w:snapToGrid w:val="0"/>
          <w:color w:val="auto"/>
          <w:spacing w:val="-9"/>
          <w:kern w:val="0"/>
          <w:sz w:val="28"/>
          <w:szCs w:val="28"/>
          <w:highlight w:val="none"/>
          <w:lang w:val="en-US" w:eastAsia="zh-CN"/>
        </w:rPr>
        <w:t>1：</w:t>
      </w:r>
      <w:r>
        <w:rPr>
          <w:rFonts w:hint="eastAsia" w:asciiTheme="minorEastAsia" w:hAnsiTheme="minorEastAsia" w:eastAsiaTheme="minorEastAsia" w:cstheme="minorEastAsia"/>
          <w:snapToGrid w:val="0"/>
          <w:color w:val="auto"/>
          <w:spacing w:val="-9"/>
          <w:kern w:val="0"/>
          <w:sz w:val="28"/>
          <w:szCs w:val="28"/>
          <w:highlight w:val="none"/>
          <w:lang w:eastAsia="en-US"/>
        </w:rPr>
        <w:t>政府采购促进中小企业发展管理办法</w:t>
      </w:r>
      <w:bookmarkEnd w:id="189"/>
      <w:bookmarkEnd w:id="190"/>
    </w:p>
    <w:p w14:paraId="0ED230E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center"/>
        <w:textAlignment w:val="baseline"/>
        <w:outlineLvl w:val="9"/>
        <w:rPr>
          <w:rFonts w:hint="eastAsia" w:asciiTheme="minorEastAsia" w:hAnsiTheme="minorEastAsia" w:eastAsiaTheme="minorEastAsia" w:cstheme="minorEastAsia"/>
          <w:b/>
          <w:bCs/>
          <w:snapToGrid w:val="0"/>
          <w:color w:val="auto"/>
          <w:spacing w:val="-9"/>
          <w:kern w:val="0"/>
          <w:sz w:val="28"/>
          <w:szCs w:val="28"/>
          <w:highlight w:val="none"/>
          <w:lang w:eastAsia="en-US"/>
        </w:rPr>
      </w:pPr>
      <w:r>
        <w:rPr>
          <w:rFonts w:hint="eastAsia" w:asciiTheme="minorEastAsia" w:hAnsiTheme="minorEastAsia" w:eastAsiaTheme="minorEastAsia" w:cstheme="minorEastAsia"/>
          <w:b/>
          <w:bCs/>
          <w:snapToGrid w:val="0"/>
          <w:color w:val="auto"/>
          <w:spacing w:val="-9"/>
          <w:kern w:val="0"/>
          <w:sz w:val="28"/>
          <w:szCs w:val="28"/>
          <w:highlight w:val="none"/>
          <w:lang w:eastAsia="en-US"/>
        </w:rPr>
        <w:t>政府采购促进中小企业发展管理办法</w:t>
      </w:r>
    </w:p>
    <w:p w14:paraId="4A66B8F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0"/>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第一条  为了发挥政府采购的政策功能，</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促进中小企业</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健康发展，根据《中华人民共和国政府采购法</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》、《中华人民</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共和国中小企业促进法》等有关法律法规，制定本办法。</w:t>
      </w:r>
    </w:p>
    <w:p w14:paraId="169DFFA9">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第二条  本办法所称中小企业，是指在中华人民共和国</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境内依法设立，依据国务院批准的中小企业划分标准确定的中型企业、小型企业和微型企业，但与大企业的负责人为同一人，或者与大企业存在直接控股、管理关系的除外。</w:t>
      </w:r>
    </w:p>
    <w:p w14:paraId="0A78E129">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righ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position w:val="15"/>
          <w:sz w:val="28"/>
          <w:szCs w:val="28"/>
          <w:highlight w:val="none"/>
          <w:lang w:val="en-US" w:eastAsia="en-US" w:bidi="ar-SA"/>
        </w:rPr>
        <w:t>符合中小企业划分标准的个体工商户，在政府采购活动</w:t>
      </w:r>
    </w:p>
    <w:p w14:paraId="1CBBA898">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kern w:val="0"/>
          <w:sz w:val="28"/>
          <w:szCs w:val="28"/>
          <w:highlight w:val="none"/>
          <w:lang w:val="en-US" w:eastAsia="en-US" w:bidi="ar-SA"/>
        </w:rPr>
        <w:t>中视同中小企业。</w:t>
      </w:r>
    </w:p>
    <w:p w14:paraId="006CD00D">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第三条  采购人在政府采购活动中应当通过</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加强采购</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需求管理，落实预留采购份额、价格评审优惠、优先采购等措施，提高中小企业在政府采购中的份额，支持中小企业发</w:t>
      </w:r>
      <w:r>
        <w:rPr>
          <w:rFonts w:hint="eastAsia" w:asciiTheme="minorEastAsia" w:hAnsiTheme="minorEastAsia" w:eastAsiaTheme="minorEastAsia" w:cstheme="minorEastAsia"/>
          <w:snapToGrid w:val="0"/>
          <w:color w:val="auto"/>
          <w:spacing w:val="-7"/>
          <w:kern w:val="0"/>
          <w:sz w:val="28"/>
          <w:szCs w:val="28"/>
          <w:highlight w:val="none"/>
          <w:lang w:val="en-US" w:eastAsia="en-US" w:bidi="ar-SA"/>
        </w:rPr>
        <w:t>展。</w:t>
      </w:r>
    </w:p>
    <w:p w14:paraId="2A751546">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4"/>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第四条  在政府采购活动中，</w:t>
      </w:r>
      <w:r>
        <w:rPr>
          <w:rFonts w:hint="eastAsia" w:asciiTheme="minorEastAsia" w:hAnsiTheme="minorEastAsia" w:eastAsiaTheme="minorEastAsia" w:cstheme="minorEastAsia"/>
          <w:snapToGrid w:val="0"/>
          <w:color w:val="auto"/>
          <w:spacing w:val="5"/>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提供的货物、工程</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或者服务符合下列情形的，享受本办法规定的中小企业扶持</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政策：</w:t>
      </w:r>
    </w:p>
    <w:p w14:paraId="4C6F2D7B">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both"/>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（一）在货物采购项目中，货物由中小企业制造，即货</w:t>
      </w:r>
    </w:p>
    <w:p w14:paraId="36161DDB">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物由中小企业生产且使用该中小企业商号或者注册商标；</w:t>
      </w:r>
    </w:p>
    <w:p w14:paraId="63D3A8F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both"/>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（二）在工程采购项目中，工程由中小企业承建，即工</w:t>
      </w:r>
    </w:p>
    <w:p w14:paraId="082185D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程施工单位为中小企业；</w:t>
      </w:r>
    </w:p>
    <w:p w14:paraId="1018EC52">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4"/>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（三）在服务采购项目中，服务由中小企业承接，即提供服务的人员为中小企业依照《中华人民共和国劳动合同法》订立劳动合同的从业人员。</w:t>
      </w:r>
    </w:p>
    <w:p w14:paraId="5AC9BB58">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4"/>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在货物采购项目中，</w:t>
      </w:r>
      <w:r>
        <w:rPr>
          <w:rFonts w:hint="eastAsia" w:asciiTheme="minorEastAsia" w:hAnsiTheme="minorEastAsia" w:eastAsiaTheme="minorEastAsia" w:cstheme="minorEastAsia"/>
          <w:snapToGrid w:val="0"/>
          <w:color w:val="auto"/>
          <w:spacing w:val="5"/>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提供的货物既有中小企业制造货物，也有大型企业制造货物的，不享受本办法规定的中小企业扶持政策。</w:t>
      </w:r>
    </w:p>
    <w:p w14:paraId="262DC543">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4"/>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以联合体形式参加政府采购活动，联合体各方均为中小企业的，联合体视同中小企业。其中，联合体各方</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均为小微</w:t>
      </w:r>
      <w:r>
        <w:rPr>
          <w:rFonts w:hint="eastAsia" w:asciiTheme="minorEastAsia" w:hAnsiTheme="minorEastAsia" w:eastAsiaTheme="minorEastAsia" w:cstheme="minorEastAsia"/>
          <w:snapToGrid w:val="0"/>
          <w:color w:val="auto"/>
          <w:spacing w:val="7"/>
          <w:kern w:val="0"/>
          <w:sz w:val="28"/>
          <w:szCs w:val="28"/>
          <w:highlight w:val="none"/>
          <w:lang w:val="en-US" w:eastAsia="en-US" w:bidi="ar-SA"/>
        </w:rPr>
        <w:t>企业的，联合体视同小微企业。</w:t>
      </w:r>
    </w:p>
    <w:p w14:paraId="0476A6EA">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第五条  采购人在政府采购活动中应当合理</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确定采购</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项目的采购需求，不得以企业注册资本、资产总额、营业收入、从业人员、利润、纳税额等规模条件和财务指标作为</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的资格要求或者评审因素，不得在企业股权结构、经营年限等方面对中小企业实行差别待遇或者歧视待遇。</w:t>
      </w:r>
    </w:p>
    <w:p w14:paraId="3A99458A">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第六条  主管预算单位应当组织评估本部门</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及所属单</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位政府采购项目，统筹制定面向中小企业预留采购份额的具体方案，对适宜由中小企业提供的采购项目和采购包，预留采购份额专门面向中小企业采购，并在政府采购预算中单独</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列示。</w:t>
      </w:r>
    </w:p>
    <w:p w14:paraId="1894455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36" w:firstLineChars="200"/>
        <w:jc w:val="left"/>
        <w:textAlignment w:val="baseline"/>
        <w:rPr>
          <w:rFonts w:hint="eastAsia" w:asciiTheme="minorEastAsia" w:hAnsiTheme="minorEastAsia" w:eastAsiaTheme="minorEastAsia" w:cstheme="minorEastAsia"/>
          <w:snapToGrid w:val="0"/>
          <w:color w:val="auto"/>
          <w:spacing w:val="19"/>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符合下列情形之一的，可不专门面向中小企业预留采购份额：</w:t>
      </w:r>
    </w:p>
    <w:p w14:paraId="6991698F">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36" w:firstLineChars="200"/>
        <w:jc w:val="left"/>
        <w:textAlignment w:val="baseline"/>
        <w:rPr>
          <w:rFonts w:hint="eastAsia" w:asciiTheme="minorEastAsia" w:hAnsiTheme="minorEastAsia" w:eastAsiaTheme="minorEastAsia" w:cstheme="minorEastAsia"/>
          <w:snapToGrid w:val="0"/>
          <w:color w:val="auto"/>
          <w:spacing w:val="19"/>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（一）法律法规和国家有关政策明确规定优先或者应当面向事业单位、社会组织等非企业主体采购的；</w:t>
      </w:r>
    </w:p>
    <w:p w14:paraId="55D095AF">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（二）因确需使用不可替代的专利、专有技术，基础设施限制，或者提供特定公共服务等原因，只能从中小企业之外的</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处采购的；</w:t>
      </w:r>
    </w:p>
    <w:p w14:paraId="3FF26F75">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（三）按照本办法规定预留采购份额无法确保充分供应、充分竞争，或者存在可能影响政府采购目标实现的情形；</w:t>
      </w:r>
    </w:p>
    <w:p w14:paraId="74B3E8C9">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（四）框架协议采购项目；</w:t>
      </w:r>
    </w:p>
    <w:p w14:paraId="3A76622A">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（五）省级以上人民政府财政部门规定的其他情形。</w:t>
      </w:r>
    </w:p>
    <w:p w14:paraId="7C1D1942">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除上述情形外，其他均为适宜由中小企业提供的情形。</w:t>
      </w:r>
    </w:p>
    <w:p w14:paraId="239CDC95">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7"/>
          <w:kern w:val="0"/>
          <w:sz w:val="28"/>
          <w:szCs w:val="28"/>
          <w:highlight w:val="none"/>
          <w:lang w:val="en-US" w:eastAsia="en-US" w:bidi="ar-SA"/>
        </w:rPr>
        <w:t>第七条  采购限额标准以上，200</w:t>
      </w:r>
      <w:r>
        <w:rPr>
          <w:rFonts w:hint="eastAsia" w:asciiTheme="minorEastAsia" w:hAnsiTheme="minorEastAsia" w:eastAsiaTheme="minorEastAsia" w:cstheme="minorEastAsia"/>
          <w:snapToGrid w:val="0"/>
          <w:color w:val="auto"/>
          <w:spacing w:val="-38"/>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7"/>
          <w:kern w:val="0"/>
          <w:sz w:val="28"/>
          <w:szCs w:val="28"/>
          <w:highlight w:val="none"/>
          <w:lang w:val="en-US" w:eastAsia="en-US" w:bidi="ar-SA"/>
        </w:rPr>
        <w:t>万元以下的货物和服</w:t>
      </w:r>
      <w:r>
        <w:rPr>
          <w:rFonts w:hint="eastAsia" w:asciiTheme="minorEastAsia" w:hAnsiTheme="minorEastAsia" w:eastAsiaTheme="minorEastAsia" w:cstheme="minorEastAsia"/>
          <w:snapToGrid w:val="0"/>
          <w:color w:val="auto"/>
          <w:spacing w:val="9"/>
          <w:kern w:val="0"/>
          <w:sz w:val="28"/>
          <w:szCs w:val="28"/>
          <w:highlight w:val="none"/>
          <w:lang w:val="en-US" w:eastAsia="en-US" w:bidi="ar-SA"/>
        </w:rPr>
        <w:t>务采购项目、400</w:t>
      </w:r>
      <w:r>
        <w:rPr>
          <w:rFonts w:hint="eastAsia" w:asciiTheme="minorEastAsia" w:hAnsiTheme="minorEastAsia" w:eastAsiaTheme="minorEastAsia" w:cstheme="minorEastAsia"/>
          <w:snapToGrid w:val="0"/>
          <w:color w:val="auto"/>
          <w:spacing w:val="-31"/>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9"/>
          <w:kern w:val="0"/>
          <w:sz w:val="28"/>
          <w:szCs w:val="28"/>
          <w:highlight w:val="none"/>
          <w:lang w:val="en-US" w:eastAsia="en-US" w:bidi="ar-SA"/>
        </w:rPr>
        <w:t>万元以下的工程采购项目，适宜由中小企</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业提供的，采购人应当专门面向中小企业采购。</w:t>
      </w:r>
    </w:p>
    <w:p w14:paraId="748B1C57">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1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5"/>
          <w:kern w:val="0"/>
          <w:sz w:val="28"/>
          <w:szCs w:val="28"/>
          <w:highlight w:val="none"/>
          <w:lang w:val="en-US" w:eastAsia="en-US" w:bidi="ar-SA"/>
        </w:rPr>
        <w:t>第八条  超过</w:t>
      </w:r>
      <w:r>
        <w:rPr>
          <w:rFonts w:hint="eastAsia" w:asciiTheme="minorEastAsia" w:hAnsiTheme="minorEastAsia" w:eastAsiaTheme="minorEastAsia" w:cstheme="minorEastAsia"/>
          <w:snapToGrid w:val="0"/>
          <w:color w:val="auto"/>
          <w:spacing w:val="-37"/>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5"/>
          <w:kern w:val="0"/>
          <w:sz w:val="28"/>
          <w:szCs w:val="28"/>
          <w:highlight w:val="none"/>
          <w:lang w:val="en-US" w:eastAsia="en-US" w:bidi="ar-SA"/>
        </w:rPr>
        <w:t>200</w:t>
      </w:r>
      <w:r>
        <w:rPr>
          <w:rFonts w:hint="eastAsia" w:asciiTheme="minorEastAsia" w:hAnsiTheme="minorEastAsia" w:eastAsiaTheme="minorEastAsia" w:cstheme="minorEastAsia"/>
          <w:snapToGrid w:val="0"/>
          <w:color w:val="auto"/>
          <w:spacing w:val="-41"/>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5"/>
          <w:kern w:val="0"/>
          <w:sz w:val="28"/>
          <w:szCs w:val="28"/>
          <w:highlight w:val="none"/>
          <w:lang w:val="en-US" w:eastAsia="en-US" w:bidi="ar-SA"/>
        </w:rPr>
        <w:t>万元的货物和服务采购项目、超过</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400</w:t>
      </w:r>
      <w:r>
        <w:rPr>
          <w:rFonts w:hint="eastAsia" w:asciiTheme="minorEastAsia" w:hAnsiTheme="minorEastAsia" w:eastAsiaTheme="minorEastAsia" w:cstheme="minorEastAsia"/>
          <w:snapToGrid w:val="0"/>
          <w:color w:val="auto"/>
          <w:spacing w:val="-38"/>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万元的工程采购项目中适宜由中小企业提供的，预留该</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部分采购项目预算总额的</w:t>
      </w:r>
      <w:r>
        <w:rPr>
          <w:rFonts w:hint="eastAsia" w:asciiTheme="minorEastAsia" w:hAnsiTheme="minorEastAsia" w:eastAsiaTheme="minorEastAsia" w:cstheme="minorEastAsia"/>
          <w:snapToGrid w:val="0"/>
          <w:color w:val="auto"/>
          <w:spacing w:val="-55"/>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30%以上专门面向</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中小企业采购，</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其中预留给小微企业的比例不低于</w:t>
      </w:r>
      <w:r>
        <w:rPr>
          <w:rFonts w:hint="eastAsia" w:asciiTheme="minorEastAsia" w:hAnsiTheme="minorEastAsia" w:eastAsiaTheme="minorEastAsia" w:cstheme="minorEastAsia"/>
          <w:snapToGrid w:val="0"/>
          <w:color w:val="auto"/>
          <w:spacing w:val="-59"/>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60%。预留份额通</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过下列</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措施进行：</w:t>
      </w:r>
    </w:p>
    <w:p w14:paraId="18331142">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00" w:firstLineChars="200"/>
        <w:jc w:val="left"/>
        <w:textAlignment w:val="baseline"/>
        <w:rPr>
          <w:rFonts w:hint="eastAsia" w:asciiTheme="minorEastAsia" w:hAnsiTheme="minorEastAsia" w:eastAsiaTheme="minorEastAsia" w:cstheme="minorEastAsia"/>
          <w:snapToGrid w:val="0"/>
          <w:color w:val="auto"/>
          <w:spacing w:val="10"/>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（一）将采购项目整体或者设置采购包专门面向中小企业采购；</w:t>
      </w:r>
    </w:p>
    <w:p w14:paraId="5B38E6C6">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00" w:firstLineChars="200"/>
        <w:jc w:val="left"/>
        <w:textAlignment w:val="baseline"/>
        <w:rPr>
          <w:rFonts w:hint="eastAsia" w:asciiTheme="minorEastAsia" w:hAnsiTheme="minorEastAsia" w:eastAsiaTheme="minorEastAsia" w:cstheme="minorEastAsia"/>
          <w:snapToGrid w:val="0"/>
          <w:color w:val="auto"/>
          <w:spacing w:val="10"/>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（二）要求</w:t>
      </w:r>
      <w:r>
        <w:rPr>
          <w:rFonts w:hint="eastAsia" w:asciiTheme="minorEastAsia" w:hAnsiTheme="minorEastAsia" w:eastAsiaTheme="minorEastAsia" w:cstheme="minorEastAsia"/>
          <w:snapToGrid w:val="0"/>
          <w:color w:val="auto"/>
          <w:spacing w:val="10"/>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以联合体形式参加采购活动，且联合体中中小企业承担的部分达到一定比例；</w:t>
      </w:r>
    </w:p>
    <w:p w14:paraId="2E6EDAA0">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00" w:firstLineChars="200"/>
        <w:jc w:val="left"/>
        <w:textAlignment w:val="baseline"/>
        <w:rPr>
          <w:rFonts w:hint="eastAsia" w:asciiTheme="minorEastAsia" w:hAnsiTheme="minorEastAsia" w:eastAsiaTheme="minorEastAsia" w:cstheme="minorEastAsia"/>
          <w:snapToGrid w:val="0"/>
          <w:color w:val="auto"/>
          <w:spacing w:val="10"/>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（三）要求获得采购合同的</w:t>
      </w:r>
      <w:r>
        <w:rPr>
          <w:rFonts w:hint="eastAsia" w:asciiTheme="minorEastAsia" w:hAnsiTheme="minorEastAsia" w:eastAsiaTheme="minorEastAsia" w:cstheme="minorEastAsia"/>
          <w:snapToGrid w:val="0"/>
          <w:color w:val="auto"/>
          <w:spacing w:val="10"/>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将采购项目中的一定比例分包给一家或者多家中小企业。组成联合体或者接受分包合同的中小企业与联合体内其他企业、分包企业之间不得存在直接控股、管理关系。</w:t>
      </w:r>
    </w:p>
    <w:p w14:paraId="6AEABB82">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第九条  对于经主管预算单位统筹后未预留</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份额专门</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面向中小企业采购的采购项目，以及预留份额项目中的非预留部分采购包，采购人、采购代理机构应当对符合本办法规</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定的小微企业报价给予</w:t>
      </w:r>
      <w:r>
        <w:rPr>
          <w:rFonts w:hint="eastAsia" w:asciiTheme="minorEastAsia" w:hAnsiTheme="minorEastAsia" w:eastAsiaTheme="minorEastAsia" w:cstheme="minorEastAsia"/>
          <w:snapToGrid w:val="0"/>
          <w:color w:val="auto"/>
          <w:spacing w:val="-59"/>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6%—</w:t>
      </w:r>
      <w:r>
        <w:rPr>
          <w:rFonts w:hint="eastAsia" w:asciiTheme="minorEastAsia" w:hAnsiTheme="minorEastAsia" w:eastAsiaTheme="minorEastAsia" w:cstheme="minorEastAsia"/>
          <w:snapToGrid w:val="0"/>
          <w:color w:val="auto"/>
          <w:spacing w:val="-121"/>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10%（工程项</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目为3%—5%）的扣</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除，用扣除后的价格参加评审。适用招标投标法的政府采购</w:t>
      </w:r>
      <w:r>
        <w:rPr>
          <w:rFonts w:hint="eastAsia" w:asciiTheme="minorEastAsia" w:hAnsiTheme="minorEastAsia" w:eastAsiaTheme="minorEastAsia" w:cstheme="minorEastAsia"/>
          <w:snapToGrid w:val="0"/>
          <w:color w:val="auto"/>
          <w:spacing w:val="1"/>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工程建设项目，采用综合评估法但未采用低价优先法计算价格分的，评标时应当在采用原报价进行评分的基础上增加其</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价格得分的</w:t>
      </w:r>
      <w:r>
        <w:rPr>
          <w:rFonts w:hint="eastAsia" w:asciiTheme="minorEastAsia" w:hAnsiTheme="minorEastAsia" w:eastAsiaTheme="minorEastAsia" w:cstheme="minorEastAsia"/>
          <w:snapToGrid w:val="0"/>
          <w:color w:val="auto"/>
          <w:spacing w:val="-44"/>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3%—5%作为其价格分。</w:t>
      </w:r>
    </w:p>
    <w:p w14:paraId="4EA6B6E5">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1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接受大中型企业与小微企业组成联合体或者允许大中</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型企业向一家或者多家小微企业分包的采购项目，对于联合</w:t>
      </w:r>
      <w:r>
        <w:rPr>
          <w:rFonts w:hint="eastAsia" w:asciiTheme="minorEastAsia" w:hAnsiTheme="minorEastAsia" w:eastAsiaTheme="minorEastAsia" w:cstheme="minorEastAsia"/>
          <w:snapToGrid w:val="0"/>
          <w:color w:val="auto"/>
          <w:spacing w:val="21"/>
          <w:kern w:val="0"/>
          <w:sz w:val="28"/>
          <w:szCs w:val="28"/>
          <w:highlight w:val="none"/>
          <w:lang w:val="en-US" w:eastAsia="en-US" w:bidi="ar-SA"/>
        </w:rPr>
        <w:t>协议或者分包意向协议约定小微企业的合同份额占到合同</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总金额</w:t>
      </w:r>
      <w:r>
        <w:rPr>
          <w:rFonts w:hint="eastAsia" w:asciiTheme="minorEastAsia" w:hAnsiTheme="minorEastAsia" w:eastAsiaTheme="minorEastAsia" w:cstheme="minorEastAsia"/>
          <w:snapToGrid w:val="0"/>
          <w:color w:val="auto"/>
          <w:spacing w:val="-45"/>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30%以上的，采购人、采购代理机构应当对联合体或</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者大中型企业的报价给予</w:t>
      </w:r>
      <w:r>
        <w:rPr>
          <w:rFonts w:hint="eastAsia" w:asciiTheme="minorEastAsia" w:hAnsiTheme="minorEastAsia" w:eastAsiaTheme="minorEastAsia" w:cstheme="minorEastAsia"/>
          <w:snapToGrid w:val="0"/>
          <w:color w:val="auto"/>
          <w:spacing w:val="-44"/>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2%-3%（工程项目为</w:t>
      </w:r>
      <w:r>
        <w:rPr>
          <w:rFonts w:hint="eastAsia" w:asciiTheme="minorEastAsia" w:hAnsiTheme="minorEastAsia" w:eastAsiaTheme="minorEastAsia" w:cstheme="minorEastAsia"/>
          <w:snapToGrid w:val="0"/>
          <w:color w:val="auto"/>
          <w:spacing w:val="-39"/>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1%—2%）的扣</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除，用扣除后的价格参加评审。适用招标投标法的政府采购工程建设项目，采用综合评估法但未采用低价优先法计算价格分的，评标时应当在采用原报价进行评分的基础上增加其</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价格得分的</w:t>
      </w:r>
      <w:r>
        <w:rPr>
          <w:rFonts w:hint="eastAsia" w:asciiTheme="minorEastAsia" w:hAnsiTheme="minorEastAsia" w:eastAsiaTheme="minorEastAsia" w:cstheme="minorEastAsia"/>
          <w:snapToGrid w:val="0"/>
          <w:color w:val="auto"/>
          <w:spacing w:val="-38"/>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1%—2%作为其价格分。组成联合</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体或者接受分包</w:t>
      </w:r>
      <w:r>
        <w:rPr>
          <w:rFonts w:hint="eastAsia" w:asciiTheme="minorEastAsia" w:hAnsiTheme="minorEastAsia" w:eastAsiaTheme="minorEastAsia" w:cstheme="minorEastAsia"/>
          <w:snapToGrid w:val="0"/>
          <w:color w:val="auto"/>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的小微企业与联合体内其他企业、分包企业之间存在直接控股、管理关系的，不享受价格扣除优惠政策。</w:t>
      </w:r>
    </w:p>
    <w:p w14:paraId="7E6E05AD">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8"/>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价格扣除比例或者价格分加分比例对小型企业和微型</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企业同等对待，不作区分。具体采购项目的价格扣除比例或者价格分加分比例，由采购人根据采购标的相关行业平均利润率、市场竞争状况等，在本办法规定的幅度内确定。</w:t>
      </w:r>
    </w:p>
    <w:p w14:paraId="6C4D1E4F">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第十条  采购人应当严格按照本办法规定和</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主管预算</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单位制定的预留采购份额具体方案开展采购活动。预留份额的采购项目或者采购包，通过发布公告方式邀请</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后，</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符合资格条件的中小企业数量不足</w:t>
      </w:r>
      <w:r>
        <w:rPr>
          <w:rFonts w:hint="eastAsia" w:asciiTheme="minorEastAsia" w:hAnsiTheme="minorEastAsia" w:eastAsiaTheme="minorEastAsia" w:cstheme="minorEastAsia"/>
          <w:snapToGrid w:val="0"/>
          <w:color w:val="auto"/>
          <w:spacing w:val="-47"/>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3</w:t>
      </w:r>
      <w:r>
        <w:rPr>
          <w:rFonts w:hint="eastAsia" w:asciiTheme="minorEastAsia" w:hAnsiTheme="minorEastAsia" w:eastAsiaTheme="minorEastAsia" w:cstheme="minorEastAsia"/>
          <w:snapToGrid w:val="0"/>
          <w:color w:val="auto"/>
          <w:spacing w:val="-49"/>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家的，应当中止采购活</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动，视同未预留份额的采购项目或者采购包，按照本办法第</w:t>
      </w:r>
      <w:r>
        <w:rPr>
          <w:rFonts w:hint="eastAsia" w:asciiTheme="minorEastAsia" w:hAnsiTheme="minorEastAsia" w:eastAsiaTheme="minorEastAsia" w:cstheme="minorEastAsia"/>
          <w:snapToGrid w:val="0"/>
          <w:color w:val="auto"/>
          <w:spacing w:val="7"/>
          <w:kern w:val="0"/>
          <w:sz w:val="28"/>
          <w:szCs w:val="28"/>
          <w:highlight w:val="none"/>
          <w:lang w:val="en-US" w:eastAsia="en-US" w:bidi="ar-SA"/>
        </w:rPr>
        <w:t>九条有关规定重新组织采购活动。</w:t>
      </w:r>
    </w:p>
    <w:p w14:paraId="4AB4FF1C">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第十一条</w:t>
      </w:r>
      <w:r>
        <w:rPr>
          <w:rFonts w:hint="eastAsia" w:asciiTheme="minorEastAsia" w:hAnsiTheme="minorEastAsia" w:eastAsiaTheme="minorEastAsia" w:cstheme="minorEastAsia"/>
          <w:snapToGrid w:val="0"/>
          <w:color w:val="auto"/>
          <w:spacing w:val="37"/>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中小企业参加政府采购活动，应当出具本办</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法规定的《中小企业声明函》（附</w:t>
      </w:r>
      <w:r>
        <w:rPr>
          <w:rFonts w:hint="eastAsia" w:asciiTheme="minorEastAsia" w:hAnsiTheme="minorEastAsia" w:eastAsiaTheme="minorEastAsia" w:cstheme="minorEastAsia"/>
          <w:snapToGrid w:val="0"/>
          <w:color w:val="auto"/>
          <w:spacing w:val="-36"/>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1</w:t>
      </w:r>
      <w:r>
        <w:rPr>
          <w:rFonts w:hint="eastAsia" w:asciiTheme="minorEastAsia" w:hAnsiTheme="minorEastAsia" w:eastAsiaTheme="minorEastAsia" w:cstheme="minorEastAsia"/>
          <w:snapToGrid w:val="0"/>
          <w:color w:val="auto"/>
          <w:spacing w:val="-50"/>
          <w:kern w:val="0"/>
          <w:sz w:val="28"/>
          <w:szCs w:val="28"/>
          <w:highlight w:val="none"/>
          <w:lang w:val="en-US" w:eastAsia="en-US" w:bidi="ar-SA"/>
        </w:rPr>
        <w:t>），</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否则不得享受相关中</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小企业扶持政策。任何单位和个人不得要求</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提供《中小企业声明函》之外的中小企业身份证明文件。</w:t>
      </w:r>
    </w:p>
    <w:p w14:paraId="75972C13">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Theme="minorEastAsia" w:hAnsiTheme="minorEastAsia" w:eastAsiaTheme="minorEastAsia" w:cstheme="minorEastAsia"/>
          <w:snapToGrid w:val="0"/>
          <w:color w:val="auto"/>
          <w:spacing w:val="2"/>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 xml:space="preserve">第十二条  </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采购项目涉及中小企业采购的，采购文件应当明确以下内容：</w:t>
      </w:r>
    </w:p>
    <w:p w14:paraId="42D1CAC4">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（一）预留份额的采购项目或者采购包，明确该项目或</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相关采购包专门面向中小企业采购，以及相关标的及预算金</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额；</w:t>
      </w:r>
    </w:p>
    <w:p w14:paraId="21B8954B">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（二）要求以联合体形式参加或者合同分包的，明确联 合协议或者分包意向协议中中小企业合同金额应当达到的比例，并作为</w:t>
      </w:r>
      <w:r>
        <w:rPr>
          <w:rFonts w:hint="eastAsia" w:asciiTheme="minorEastAsia" w:hAnsiTheme="minorEastAsia" w:eastAsiaTheme="minorEastAsia" w:cstheme="minorEastAsia"/>
          <w:snapToGrid w:val="0"/>
          <w:color w:val="auto"/>
          <w:spacing w:val="5"/>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资格条件；</w:t>
      </w:r>
    </w:p>
    <w:p w14:paraId="58E092C1">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（三）非预留份额的采购项目或者采购包，明确有关价格扣除比例或者价格分加分比例；</w:t>
      </w:r>
    </w:p>
    <w:p w14:paraId="0075A801">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（四）规定依据本办法规定享受扶持政策获得政府采购合同的，小微企业不得将合同分包给大中型企业，中型企业不得将合同分包给大型企业；</w:t>
      </w:r>
    </w:p>
    <w:p w14:paraId="3186BF13">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（五）采购人认为具备相关条件的，明确对中小企业在资金支付期限、预付款比例等方面的优惠措施；</w:t>
      </w:r>
    </w:p>
    <w:p w14:paraId="42A18C98">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（六）明确采购标的对应的中小企业划分标准所属行业；</w:t>
      </w:r>
    </w:p>
    <w:p w14:paraId="2BB8EC53">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（七）法律法规和省级以上人民政府财政部门规定的其他事项。</w:t>
      </w:r>
    </w:p>
    <w:p w14:paraId="677B5012">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703"/>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第十三条</w:t>
      </w:r>
      <w:r>
        <w:rPr>
          <w:rFonts w:hint="eastAsia" w:asciiTheme="minorEastAsia" w:hAnsiTheme="minorEastAsia" w:eastAsiaTheme="minorEastAsia" w:cstheme="minorEastAsia"/>
          <w:snapToGrid w:val="0"/>
          <w:color w:val="auto"/>
          <w:spacing w:val="36"/>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中标、成交</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享受本办法规定的中小企业扶持政策的，采购人、采购代理机构应当随中标、成交结果公开中标、成交</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的《中小企业声明函》。</w:t>
      </w:r>
    </w:p>
    <w:p w14:paraId="02DF4494">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703"/>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适用招标投标法的政府采购工程建设项目，应当在公示中标候选人时公开中标候选</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人的《中小企业声明函》。</w:t>
      </w:r>
    </w:p>
    <w:p w14:paraId="56A69180">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第十四条  对于通过预留采购项目、预留专门采购包、</w:t>
      </w:r>
      <w:r>
        <w:rPr>
          <w:rFonts w:hint="eastAsia" w:asciiTheme="minorEastAsia" w:hAnsiTheme="minorEastAsia" w:eastAsiaTheme="minorEastAsia" w:cstheme="minorEastAsia"/>
          <w:snapToGrid w:val="0"/>
          <w:color w:val="auto"/>
          <w:spacing w:val="21"/>
          <w:kern w:val="0"/>
          <w:sz w:val="28"/>
          <w:szCs w:val="28"/>
          <w:highlight w:val="none"/>
          <w:lang w:val="en-US" w:eastAsia="en-US" w:bidi="ar-SA"/>
        </w:rPr>
        <w:t>要求以联合体形式参加或者合同分包等措施签订的采购合</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同，应当明确标注本合同为中小企业预留合同。其中，要求以联合体形式参加采购活动或者合同分包的，应当将联合协议或者分包意向协议作为采购合同的组成部分。</w:t>
      </w:r>
    </w:p>
    <w:p w14:paraId="7A1A5713">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第十五条  鼓励各地区、各部门在采购活动中允许中小</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企业引入信用担保手段，为中小企业在投标（响应）保证、履约保证等方面提供专业化服务。鼓励中小企业依法合规通</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过政府采购合同融资。</w:t>
      </w:r>
    </w:p>
    <w:p w14:paraId="5B8B94FC">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第十六条  政府采购监督检查、投诉处理及政府采购行</w:t>
      </w:r>
      <w:r>
        <w:rPr>
          <w:rFonts w:hint="eastAsia" w:asciiTheme="minorEastAsia" w:hAnsiTheme="minorEastAsia" w:eastAsiaTheme="minorEastAsia" w:cstheme="minorEastAsia"/>
          <w:snapToGrid w:val="0"/>
          <w:color w:val="auto"/>
          <w:spacing w:val="17"/>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政处罚中对中小企业的认定，由货物制造商或者工程、服务</w:t>
      </w:r>
      <w:r>
        <w:rPr>
          <w:rFonts w:hint="eastAsia" w:asciiTheme="minorEastAsia" w:hAnsiTheme="minorEastAsia" w:eastAsiaTheme="minorEastAsia" w:cstheme="minorEastAsia"/>
          <w:snapToGrid w:val="0"/>
          <w:color w:val="auto"/>
          <w:spacing w:val="21"/>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21"/>
          <w:kern w:val="0"/>
          <w:sz w:val="28"/>
          <w:szCs w:val="28"/>
          <w:highlight w:val="none"/>
          <w:lang w:val="en-US" w:eastAsia="en-US" w:bidi="ar-SA"/>
        </w:rPr>
        <w:t>注册登记所在地的县级以上人民政府中小企业主管</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部门负责。</w:t>
      </w:r>
    </w:p>
    <w:p w14:paraId="1AD0FFB2">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50"/>
        <w:jc w:val="left"/>
        <w:textAlignment w:val="baseline"/>
        <w:rPr>
          <w:rFonts w:hint="eastAsia" w:asciiTheme="minorEastAsia" w:hAnsiTheme="minorEastAsia" w:eastAsiaTheme="minorEastAsia" w:cstheme="minorEastAsia"/>
          <w:snapToGrid w:val="0"/>
          <w:color w:val="auto"/>
          <w:spacing w:val="6"/>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7"/>
          <w:kern w:val="0"/>
          <w:sz w:val="28"/>
          <w:szCs w:val="28"/>
          <w:highlight w:val="none"/>
          <w:lang w:val="en-US" w:eastAsia="en-US" w:bidi="ar-SA"/>
        </w:rPr>
        <w:t>中小企业主管部门应当在收到财政部门或者有关招标</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投标行政监督部门关于协助开展中小企业认定函后10</w:t>
      </w:r>
      <w:r>
        <w:rPr>
          <w:rFonts w:hint="eastAsia" w:asciiTheme="minorEastAsia" w:hAnsiTheme="minorEastAsia" w:eastAsiaTheme="minorEastAsia" w:cstheme="minorEastAsia"/>
          <w:snapToGrid w:val="0"/>
          <w:color w:val="auto"/>
          <w:spacing w:val="-48"/>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个工</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作日内做出书面答复。</w:t>
      </w:r>
    </w:p>
    <w:p w14:paraId="14AC2846">
      <w:pPr>
        <w:keepNext w:val="0"/>
        <w:keepLines w:val="0"/>
        <w:pageBreakBefore w:val="0"/>
        <w:numPr>
          <w:ilvl w:val="0"/>
          <w:numId w:val="0"/>
        </w:numPr>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50" w:firstLineChars="0"/>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第十七条</w:t>
      </w:r>
      <w:r>
        <w:rPr>
          <w:rFonts w:hint="eastAsia" w:asciiTheme="minorEastAsia" w:hAnsiTheme="minorEastAsia" w:eastAsiaTheme="minorEastAsia" w:cstheme="minorEastAsia"/>
          <w:snapToGrid w:val="0"/>
          <w:color w:val="auto"/>
          <w:spacing w:val="5"/>
          <w:kern w:val="0"/>
          <w:sz w:val="28"/>
          <w:szCs w:val="28"/>
          <w:highlight w:val="none"/>
          <w:lang w:val="en-US" w:eastAsia="zh-CN" w:bidi="ar-SA"/>
        </w:rPr>
        <w:t xml:space="preserve"> </w:t>
      </w:r>
      <w:r>
        <w:rPr>
          <w:rFonts w:hint="eastAsia" w:asciiTheme="minorEastAsia" w:hAnsiTheme="minorEastAsia" w:eastAsiaTheme="minorEastAsia" w:cstheme="minorEastAsia"/>
          <w:snapToGrid w:val="0"/>
          <w:color w:val="auto"/>
          <w:spacing w:val="17"/>
          <w:kern w:val="0"/>
          <w:sz w:val="28"/>
          <w:szCs w:val="28"/>
          <w:highlight w:val="none"/>
          <w:lang w:val="en-US" w:eastAsia="en-US" w:bidi="ar-SA"/>
        </w:rPr>
        <w:t xml:space="preserve"> 各地区、各部门应当对涉及中小企业采购的预算项目实施全过</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程绩效管理，合理设置绩效目标和指标，落实扶持中小企业有关政策要求，定期开展绩效监控和评价，强化绩效评价结果应用。</w:t>
      </w:r>
    </w:p>
    <w:p w14:paraId="6FC4763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Autospacing="0" w:line="480" w:lineRule="exact"/>
        <w:ind w:right="0" w:rightChars="0" w:firstLine="592" w:firstLineChars="200"/>
        <w:jc w:val="left"/>
        <w:textAlignment w:val="baseline"/>
        <w:rPr>
          <w:rFonts w:hint="eastAsia" w:asciiTheme="minorEastAsia" w:hAnsiTheme="minorEastAsia" w:eastAsiaTheme="minorEastAsia" w:cstheme="minorEastAsia"/>
          <w:snapToGrid w:val="0"/>
          <w:color w:val="auto"/>
          <w:spacing w:val="8"/>
          <w:kern w:val="0"/>
          <w:position w:val="18"/>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position w:val="18"/>
          <w:sz w:val="28"/>
          <w:szCs w:val="28"/>
          <w:highlight w:val="none"/>
          <w:lang w:val="en-US" w:eastAsia="en-US" w:bidi="ar-SA"/>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65E578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Autospacing="0" w:line="480" w:lineRule="exact"/>
        <w:ind w:right="0" w:rightChars="0" w:firstLine="636" w:firstLineChars="20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第十九条  采购人未按本办法规定为中小企</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业预留采</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购份额，采购人、采购代理机构未按照本办法规定要求实施价格扣除或者价格分加分的，属于未按照规定执行政府采购政策，依照《中华人民共和国政府采购法》等国家有关规定</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追究法律责任。</w:t>
      </w:r>
    </w:p>
    <w:p w14:paraId="2064BA9D">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 xml:space="preserve">第二十条  </w:t>
      </w:r>
      <w:r>
        <w:rPr>
          <w:rFonts w:hint="eastAsia" w:asciiTheme="minorEastAsia" w:hAnsiTheme="minorEastAsia" w:eastAsiaTheme="minorEastAsia" w:cstheme="minorEastAsia"/>
          <w:snapToGrid w:val="0"/>
          <w:color w:val="auto"/>
          <w:spacing w:val="19"/>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按照本办法规定提供声明</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函内容不</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实的，属于提供虚假材料谋取中标、成交，依照《中华人民共和国政府采购法》等国家有关规定追究相应责任。</w:t>
      </w:r>
    </w:p>
    <w:p w14:paraId="1067C457">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38"/>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适用招标投标法的政府采购工程建设项目，投标人按照本办法规定提供声明函内容不实的，属于弄虚作假骗取</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中标，</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依照《中华人民共和国招标投标法》等国家有关规定追究相</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应责任。</w:t>
      </w:r>
    </w:p>
    <w:p w14:paraId="63A16CC5">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2"/>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第二十一条  财政部门、中小企业主管部门及其工作人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员在履行职责中违反本办法规定及存在其他滥用职权、玩忽职守、徇私舞弊等违法违纪行为的，依照《</w: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begin"/>
      </w:r>
      <w:r>
        <w:rPr>
          <w:rFonts w:hint="eastAsia" w:asciiTheme="minorEastAsia" w:hAnsiTheme="minorEastAsia" w:eastAsiaTheme="minorEastAsia" w:cstheme="minorEastAsia"/>
          <w:snapToGrid w:val="0"/>
          <w:color w:val="auto"/>
          <w:kern w:val="0"/>
          <w:sz w:val="28"/>
          <w:szCs w:val="28"/>
          <w:highlight w:val="none"/>
          <w:lang w:val="en-US" w:eastAsia="en-US" w:bidi="ar-SA"/>
        </w:rPr>
        <w:instrText xml:space="preserve"> HYPERLINK "http://10.162.100.18:168/golaw?dbnm=gjfg&amp;flid=1116012014128049" </w:instrTex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separate"/>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中华人民共和国</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fldChar w:fldCharType="end"/>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t>政府采购法》、《</w: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begin"/>
      </w:r>
      <w:r>
        <w:rPr>
          <w:rFonts w:hint="eastAsia" w:asciiTheme="minorEastAsia" w:hAnsiTheme="minorEastAsia" w:eastAsiaTheme="minorEastAsia" w:cstheme="minorEastAsia"/>
          <w:snapToGrid w:val="0"/>
          <w:color w:val="auto"/>
          <w:kern w:val="0"/>
          <w:sz w:val="28"/>
          <w:szCs w:val="28"/>
          <w:highlight w:val="none"/>
          <w:lang w:val="en-US" w:eastAsia="en-US" w:bidi="ar-SA"/>
        </w:rPr>
        <w:instrText xml:space="preserve"> HYPERLINK "http://10.162.100.18:168/golaw?dbnm=gjfg&amp;flid=111601200501" </w:instrTex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separate"/>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t>中华人民共和国公务员法</w:t>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fldChar w:fldCharType="end"/>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t>》、《</w: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begin"/>
      </w:r>
      <w:r>
        <w:rPr>
          <w:rFonts w:hint="eastAsia" w:asciiTheme="minorEastAsia" w:hAnsiTheme="minorEastAsia" w:eastAsiaTheme="minorEastAsia" w:cstheme="minorEastAsia"/>
          <w:snapToGrid w:val="0"/>
          <w:color w:val="auto"/>
          <w:kern w:val="0"/>
          <w:sz w:val="28"/>
          <w:szCs w:val="28"/>
          <w:highlight w:val="none"/>
          <w:lang w:val="en-US" w:eastAsia="en-US" w:bidi="ar-SA"/>
        </w:rPr>
        <w:instrText xml:space="preserve"> HYPERLINK "http://10.162.100.18:168/golaw?dbnm=gjfg&amp;flid=1117032010100014" </w:instrTex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separate"/>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t>中华人民共和</w:t>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fldChar w:fldCharType="end"/>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国监察法》、《</w: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begin"/>
      </w:r>
      <w:r>
        <w:rPr>
          <w:rFonts w:hint="eastAsia" w:asciiTheme="minorEastAsia" w:hAnsiTheme="minorEastAsia" w:eastAsiaTheme="minorEastAsia" w:cstheme="minorEastAsia"/>
          <w:snapToGrid w:val="0"/>
          <w:color w:val="auto"/>
          <w:kern w:val="0"/>
          <w:sz w:val="28"/>
          <w:szCs w:val="28"/>
          <w:highlight w:val="none"/>
          <w:lang w:val="en-US" w:eastAsia="en-US" w:bidi="ar-SA"/>
        </w:rPr>
        <w:instrText xml:space="preserve"> HYPERLINK "http://10.162.100.18:168/golaw?dbnm=gjfg&amp;flid=1129012015130679" </w:instrTex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separate"/>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中华人民共和国政府采购法实施条例</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fldChar w:fldCharType="end"/>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》等</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国家</w:t>
      </w:r>
      <w:r>
        <w:rPr>
          <w:rFonts w:hint="eastAsia" w:asciiTheme="minorEastAsia" w:hAnsiTheme="minorEastAsia" w:eastAsiaTheme="minorEastAsia" w:cstheme="minorEastAsia"/>
          <w:snapToGrid w:val="0"/>
          <w:color w:val="auto"/>
          <w:spacing w:val="9"/>
          <w:kern w:val="0"/>
          <w:sz w:val="28"/>
          <w:szCs w:val="28"/>
          <w:highlight w:val="none"/>
          <w:lang w:val="en-US" w:eastAsia="en-US" w:bidi="ar-SA"/>
        </w:rPr>
        <w:t>有关规定追究相应责任；涉嫌犯罪的，依法</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移送有关国家机</w:t>
      </w:r>
      <w:r>
        <w:rPr>
          <w:rFonts w:hint="eastAsia" w:asciiTheme="minorEastAsia" w:hAnsiTheme="minorEastAsia" w:eastAsiaTheme="minorEastAsia" w:cstheme="minorEastAsia"/>
          <w:snapToGrid w:val="0"/>
          <w:color w:val="auto"/>
          <w:spacing w:val="-1"/>
          <w:kern w:val="0"/>
          <w:sz w:val="28"/>
          <w:szCs w:val="28"/>
          <w:highlight w:val="none"/>
          <w:lang w:val="en-US" w:eastAsia="en-US" w:bidi="ar-SA"/>
        </w:rPr>
        <w:t>关处理。</w:t>
      </w:r>
    </w:p>
    <w:p w14:paraId="3B77A1A2">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第二十二条</w:t>
      </w:r>
      <w:r>
        <w:rPr>
          <w:rFonts w:hint="eastAsia" w:asciiTheme="minorEastAsia" w:hAnsiTheme="minorEastAsia" w:eastAsiaTheme="minorEastAsia" w:cstheme="minorEastAsia"/>
          <w:b/>
          <w:bCs/>
          <w:snapToGrid w:val="0"/>
          <w:color w:val="auto"/>
          <w:spacing w:val="8"/>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对外援助项目、国家相关资格或者资质管理制度另有规定的项目，不适用本办法。</w:t>
      </w:r>
    </w:p>
    <w:p w14:paraId="7C3BE97C">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both"/>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第二十三条</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 xml:space="preserve">  关于视同中小企业的其他主体的政府采</w:t>
      </w:r>
    </w:p>
    <w:p w14:paraId="396DAD38">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购扶持政策，由财政部会同有关部门另行规定。</w:t>
      </w:r>
    </w:p>
    <w:p w14:paraId="48907A9A">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第二十四条</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 xml:space="preserve">  省级财政部门可以会同中小企业主管部门根据本办法的规定制定具体实施办法。</w:t>
      </w:r>
    </w:p>
    <w:p w14:paraId="7C9BAF30">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第二十五条</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 xml:space="preserve">  本办法自2021年1月1日起施行。《财政部工业和信息化部关于印发〈政府采购促进中小企业发展暂行办法〉的通知》（财库（2011﹞181号）同时废止。</w:t>
      </w:r>
    </w:p>
    <w:p w14:paraId="1A691CD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exact"/>
        <w:ind w:left="0" w:leftChars="0" w:right="0" w:rightChars="0"/>
        <w:jc w:val="left"/>
        <w:textAlignment w:val="baseline"/>
        <w:rPr>
          <w:rFonts w:hint="eastAsia" w:asciiTheme="minorEastAsia" w:hAnsiTheme="minorEastAsia" w:eastAsiaTheme="minorEastAsia" w:cstheme="minorEastAsia"/>
          <w:snapToGrid w:val="0"/>
          <w:color w:val="auto"/>
          <w:kern w:val="0"/>
          <w:sz w:val="28"/>
          <w:szCs w:val="28"/>
          <w:highlight w:val="none"/>
          <w:lang w:eastAsia="en-US"/>
        </w:rPr>
      </w:pPr>
    </w:p>
    <w:p w14:paraId="5B7081DD">
      <w:pPr>
        <w:keepNext w:val="0"/>
        <w:keepLines w:val="0"/>
        <w:pageBreakBefore w:val="0"/>
        <w:kinsoku w:val="0"/>
        <w:wordWrap/>
        <w:overflowPunct/>
        <w:topLinePunct w:val="0"/>
        <w:autoSpaceDE w:val="0"/>
        <w:autoSpaceDN w:val="0"/>
        <w:bidi w:val="0"/>
        <w:adjustRightInd w:val="0"/>
        <w:snapToGrid w:val="0"/>
        <w:spacing w:before="0" w:beforeAutospacing="0" w:afterAutospacing="0" w:line="500" w:lineRule="exact"/>
        <w:ind w:left="0" w:leftChars="0" w:right="0" w:rightChars="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p>
    <w:p w14:paraId="28ACD5C3">
      <w:pPr>
        <w:keepNext w:val="0"/>
        <w:keepLines w:val="0"/>
        <w:pageBreakBefore w:val="0"/>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color w:val="auto"/>
          <w:sz w:val="28"/>
          <w:szCs w:val="28"/>
          <w:highlight w:val="none"/>
        </w:rPr>
        <w:sectPr>
          <w:headerReference r:id="rId10" w:type="default"/>
          <w:footerReference r:id="rId11" w:type="default"/>
          <w:pgSz w:w="11906" w:h="16839"/>
          <w:pgMar w:top="1431" w:right="1785" w:bottom="1378" w:left="1785" w:header="0" w:footer="1212" w:gutter="0"/>
          <w:pgNumType w:fmt="decimal"/>
          <w:cols w:space="720" w:num="1"/>
        </w:sectPr>
      </w:pPr>
    </w:p>
    <w:p w14:paraId="15011F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exact"/>
        <w:ind w:left="0" w:leftChars="0" w:right="0" w:rightChars="0"/>
        <w:jc w:val="left"/>
        <w:textAlignment w:val="baseline"/>
        <w:outlineLvl w:val="0"/>
        <w:rPr>
          <w:rFonts w:hint="eastAsia" w:asciiTheme="minorEastAsia" w:hAnsiTheme="minorEastAsia" w:eastAsiaTheme="minorEastAsia" w:cstheme="minorEastAsia"/>
          <w:snapToGrid w:val="0"/>
          <w:color w:val="auto"/>
          <w:spacing w:val="-9"/>
          <w:kern w:val="0"/>
          <w:sz w:val="28"/>
          <w:szCs w:val="28"/>
          <w:highlight w:val="none"/>
          <w:lang w:val="en-US" w:eastAsia="zh-CN"/>
        </w:rPr>
      </w:pPr>
      <w:bookmarkStart w:id="191" w:name="_Toc25114"/>
      <w:bookmarkStart w:id="192" w:name="_Toc8107"/>
      <w:r>
        <w:rPr>
          <w:rFonts w:hint="eastAsia" w:asciiTheme="minorEastAsia" w:hAnsiTheme="minorEastAsia" w:eastAsiaTheme="minorEastAsia" w:cstheme="minorEastAsia"/>
          <w:snapToGrid w:val="0"/>
          <w:color w:val="auto"/>
          <w:spacing w:val="-9"/>
          <w:kern w:val="0"/>
          <w:sz w:val="28"/>
          <w:szCs w:val="28"/>
          <w:highlight w:val="none"/>
          <w:lang w:eastAsia="en-US"/>
        </w:rPr>
        <w:t>附件</w:t>
      </w:r>
      <w:r>
        <w:rPr>
          <w:rFonts w:hint="eastAsia" w:asciiTheme="minorEastAsia" w:hAnsiTheme="minorEastAsia" w:eastAsiaTheme="minorEastAsia" w:cstheme="minorEastAsia"/>
          <w:snapToGrid w:val="0"/>
          <w:color w:val="auto"/>
          <w:spacing w:val="-9"/>
          <w:kern w:val="0"/>
          <w:sz w:val="28"/>
          <w:szCs w:val="28"/>
          <w:highlight w:val="none"/>
          <w:lang w:val="en-US" w:eastAsia="zh-CN"/>
        </w:rPr>
        <w:t>2：关于进一步加大政府采购支持中小企业力度的通知</w:t>
      </w:r>
      <w:bookmarkEnd w:id="191"/>
      <w:bookmarkEnd w:id="192"/>
    </w:p>
    <w:p w14:paraId="38A0CE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Autospacing="0" w:line="500" w:lineRule="exact"/>
        <w:ind w:left="0" w:right="0" w:firstLine="0"/>
        <w:jc w:val="center"/>
        <w:textAlignment w:val="baseline"/>
        <w:rPr>
          <w:rFonts w:hint="eastAsia" w:asciiTheme="minorEastAsia" w:hAnsiTheme="minorEastAsia" w:eastAsiaTheme="minorEastAsia" w:cstheme="minorEastAsia"/>
          <w:b/>
          <w:bCs/>
          <w:i w:val="0"/>
          <w:iCs w:val="0"/>
          <w:caps w:val="0"/>
          <w:color w:val="auto"/>
          <w:spacing w:val="0"/>
          <w:sz w:val="28"/>
          <w:szCs w:val="28"/>
          <w:highlight w:val="none"/>
        </w:rPr>
      </w:pPr>
      <w:r>
        <w:rPr>
          <w:rFonts w:hint="eastAsia" w:asciiTheme="minorEastAsia" w:hAnsiTheme="minorEastAsia" w:eastAsiaTheme="minorEastAsia" w:cstheme="minorEastAsia"/>
          <w:b/>
          <w:bCs/>
          <w:i w:val="0"/>
          <w:iCs w:val="0"/>
          <w:caps w:val="0"/>
          <w:color w:val="auto"/>
          <w:spacing w:val="0"/>
          <w:kern w:val="0"/>
          <w:sz w:val="28"/>
          <w:szCs w:val="28"/>
          <w:highlight w:val="none"/>
          <w:shd w:val="clear" w:color="auto" w:fill="FFFFFF"/>
          <w:vertAlign w:val="baseline"/>
          <w:lang w:val="en-US" w:eastAsia="zh-CN"/>
        </w:rPr>
        <w:t>关于进一步加大政府采购支持中小企业力度的通知</w:t>
      </w:r>
    </w:p>
    <w:p w14:paraId="3DC351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Autospacing="0" w:line="500" w:lineRule="exact"/>
        <w:ind w:left="0" w:right="0" w:firstLine="0"/>
        <w:jc w:val="center"/>
        <w:textAlignment w:val="baseline"/>
        <w:rPr>
          <w:rFonts w:hint="eastAsia" w:asciiTheme="minorEastAsia" w:hAnsiTheme="minorEastAsia" w:eastAsiaTheme="minorEastAsia" w:cstheme="minorEastAsia"/>
          <w:i w:val="0"/>
          <w:iCs w:val="0"/>
          <w:caps w:val="0"/>
          <w:color w:val="auto"/>
          <w:spacing w:val="0"/>
          <w:sz w:val="28"/>
          <w:szCs w:val="28"/>
          <w:highlight w:val="none"/>
          <w:u w:val="none"/>
        </w:rPr>
      </w:pPr>
      <w:r>
        <w:rPr>
          <w:rFonts w:hint="eastAsia" w:asciiTheme="minorEastAsia" w:hAnsiTheme="minorEastAsia" w:eastAsiaTheme="minorEastAsia" w:cstheme="minorEastAsia"/>
          <w:b/>
          <w:bCs/>
          <w:i w:val="0"/>
          <w:iCs w:val="0"/>
          <w:caps w:val="0"/>
          <w:color w:val="auto"/>
          <w:spacing w:val="0"/>
          <w:kern w:val="0"/>
          <w:sz w:val="28"/>
          <w:szCs w:val="28"/>
          <w:highlight w:val="none"/>
          <w:u w:val="none"/>
          <w:shd w:val="clear" w:color="auto" w:fill="FFFFFF"/>
          <w:vertAlign w:val="baseline"/>
          <w:lang w:val="en-US" w:eastAsia="zh-CN"/>
        </w:rPr>
        <w:t>财库〔2022〕19号</w:t>
      </w:r>
    </w:p>
    <w:p w14:paraId="01CFA75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各中央预算单位，各省、自治区、直辖市、计划单列市财政厅（局），新疆生产建设兵团财政局：</w:t>
      </w:r>
    </w:p>
    <w:p w14:paraId="2D75E8E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72EB39B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w:t>
      </w:r>
      <w:r>
        <w:rPr>
          <w:rFonts w:hint="eastAsia" w:asciiTheme="minorEastAsia" w:hAnsiTheme="minorEastAsia" w:eastAsiaTheme="minorEastAsia" w:cstheme="minorEastAsia"/>
          <w:b/>
          <w:bCs/>
          <w:i w:val="0"/>
          <w:iCs w:val="0"/>
          <w:caps w:val="0"/>
          <w:color w:val="auto"/>
          <w:spacing w:val="0"/>
          <w:sz w:val="28"/>
          <w:szCs w:val="28"/>
          <w:highlight w:val="none"/>
          <w:u w:val="none"/>
          <w:shd w:val="clear" w:color="auto" w:fill="FFFFFF"/>
          <w:vertAlign w:val="baseline"/>
        </w:rPr>
        <w:t>一、严格落实支持中小企业政府采购政策。</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10A512F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w:t>
      </w:r>
      <w:r>
        <w:rPr>
          <w:rFonts w:hint="eastAsia" w:asciiTheme="minorEastAsia" w:hAnsiTheme="minorEastAsia" w:eastAsiaTheme="minorEastAsia" w:cstheme="minorEastAsia"/>
          <w:b/>
          <w:bCs/>
          <w:i w:val="0"/>
          <w:iCs w:val="0"/>
          <w:caps w:val="0"/>
          <w:color w:val="auto"/>
          <w:spacing w:val="0"/>
          <w:sz w:val="28"/>
          <w:szCs w:val="28"/>
          <w:highlight w:val="none"/>
          <w:u w:val="none"/>
          <w:shd w:val="clear" w:color="auto" w:fill="FFFFFF"/>
          <w:vertAlign w:val="baseline"/>
        </w:rPr>
        <w:t>二、调整对小微企业的价格评审优惠幅度。</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2A52195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w:t>
      </w:r>
      <w:r>
        <w:rPr>
          <w:rFonts w:hint="eastAsia" w:asciiTheme="minorEastAsia" w:hAnsiTheme="minorEastAsia" w:eastAsiaTheme="minorEastAsia" w:cstheme="minorEastAsia"/>
          <w:b/>
          <w:bCs/>
          <w:i w:val="0"/>
          <w:iCs w:val="0"/>
          <w:caps w:val="0"/>
          <w:color w:val="auto"/>
          <w:spacing w:val="0"/>
          <w:sz w:val="28"/>
          <w:szCs w:val="28"/>
          <w:highlight w:val="none"/>
          <w:u w:val="none"/>
          <w:shd w:val="clear" w:color="auto" w:fill="FFFFFF"/>
          <w:vertAlign w:val="baseline"/>
        </w:rPr>
        <w:t>三、提高政府采购工程面向中小企业预留份额。</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7263967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w:t>
      </w:r>
      <w:r>
        <w:rPr>
          <w:rFonts w:hint="eastAsia" w:asciiTheme="minorEastAsia" w:hAnsiTheme="minorEastAsia" w:eastAsiaTheme="minorEastAsia" w:cstheme="minorEastAsia"/>
          <w:b/>
          <w:bCs/>
          <w:i w:val="0"/>
          <w:iCs w:val="0"/>
          <w:caps w:val="0"/>
          <w:color w:val="auto"/>
          <w:spacing w:val="0"/>
          <w:sz w:val="28"/>
          <w:szCs w:val="28"/>
          <w:highlight w:val="none"/>
          <w:u w:val="none"/>
          <w:shd w:val="clear" w:color="auto" w:fill="FFFFFF"/>
          <w:vertAlign w:val="baseline"/>
        </w:rPr>
        <w:t>四、认真做好组织实施。</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各地区、各部门应当加强组织领导，明确工作责任，细化执行要求，强化监督检查，确保国务院部署落实到位，对通知执行中出现的问题要及时向财政部报告。</w:t>
      </w:r>
    </w:p>
    <w:p w14:paraId="2F54569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本通知自2022年7月1日起执行。</w:t>
      </w:r>
    </w:p>
    <w:p w14:paraId="5414008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right"/>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财 政 部</w:t>
      </w:r>
    </w:p>
    <w:p w14:paraId="52B3542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right"/>
        <w:textAlignment w:val="baseline"/>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2022年5月30日</w:t>
      </w:r>
    </w:p>
    <w:p w14:paraId="02D37F96">
      <w:pPr>
        <w:keepNext w:val="0"/>
        <w:keepLines w:val="0"/>
        <w:pageBreakBefore w:val="0"/>
        <w:wordWrap/>
        <w:overflowPunct/>
        <w:topLinePunct w:val="0"/>
        <w:bidi w:val="0"/>
        <w:spacing w:beforeAutospacing="0" w:afterAutospacing="0" w:line="500" w:lineRule="exact"/>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page"/>
      </w:r>
    </w:p>
    <w:p w14:paraId="044435B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exact"/>
        <w:ind w:left="0" w:leftChars="0" w:right="0" w:rightChars="0"/>
        <w:jc w:val="left"/>
        <w:textAlignment w:val="baseline"/>
        <w:outlineLvl w:val="0"/>
        <w:rPr>
          <w:rFonts w:hint="eastAsia" w:asciiTheme="minorEastAsia" w:hAnsiTheme="minorEastAsia" w:eastAsiaTheme="minorEastAsia" w:cstheme="minorEastAsia"/>
          <w:snapToGrid w:val="0"/>
          <w:color w:val="auto"/>
          <w:spacing w:val="-9"/>
          <w:kern w:val="0"/>
          <w:sz w:val="28"/>
          <w:szCs w:val="28"/>
          <w:highlight w:val="none"/>
          <w:lang w:val="en-US" w:eastAsia="zh-CN"/>
        </w:rPr>
      </w:pPr>
      <w:bookmarkStart w:id="193" w:name="_Toc11667"/>
      <w:bookmarkStart w:id="194" w:name="_Toc6417"/>
      <w:r>
        <w:rPr>
          <w:rFonts w:hint="eastAsia" w:asciiTheme="minorEastAsia" w:hAnsiTheme="minorEastAsia" w:eastAsiaTheme="minorEastAsia" w:cstheme="minorEastAsia"/>
          <w:snapToGrid w:val="0"/>
          <w:color w:val="auto"/>
          <w:spacing w:val="-9"/>
          <w:kern w:val="0"/>
          <w:sz w:val="28"/>
          <w:szCs w:val="28"/>
          <w:highlight w:val="none"/>
          <w:lang w:val="en-US" w:eastAsia="zh-CN"/>
        </w:rPr>
        <w:t>附件3：关于印发中小企业划型标准规定的通知</w:t>
      </w:r>
      <w:bookmarkEnd w:id="193"/>
      <w:bookmarkEnd w:id="194"/>
    </w:p>
    <w:p w14:paraId="0D604F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Autospacing="0" w:line="500" w:lineRule="exact"/>
        <w:ind w:left="0" w:right="0" w:firstLine="0"/>
        <w:jc w:val="center"/>
        <w:textAlignment w:val="baseline"/>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b/>
          <w:bCs/>
          <w:i w:val="0"/>
          <w:iCs w:val="0"/>
          <w:caps w:val="0"/>
          <w:color w:val="auto"/>
          <w:spacing w:val="0"/>
          <w:kern w:val="0"/>
          <w:sz w:val="28"/>
          <w:szCs w:val="28"/>
          <w:highlight w:val="none"/>
          <w:shd w:val="clear" w:color="auto" w:fill="FFFFFF"/>
          <w:vertAlign w:val="baseline"/>
          <w:lang w:val="en-US" w:eastAsia="zh-CN"/>
        </w:rPr>
        <w:t>关于印发中小企业划型标准规定的通知</w:t>
      </w:r>
    </w:p>
    <w:p w14:paraId="05407B2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Autospacing="0" w:line="500" w:lineRule="exact"/>
        <w:ind w:left="0" w:right="0"/>
        <w:jc w:val="center"/>
        <w:textAlignment w:val="baseline"/>
        <w:outlineLvl w:val="9"/>
        <w:rPr>
          <w:rFonts w:hint="eastAsia" w:asciiTheme="minorEastAsia" w:hAnsiTheme="minorEastAsia" w:eastAsiaTheme="minorEastAsia" w:cstheme="minorEastAsia"/>
          <w:b w:val="0"/>
          <w:bCs w:val="0"/>
          <w:color w:val="auto"/>
          <w:sz w:val="28"/>
          <w:szCs w:val="28"/>
          <w:highlight w:val="none"/>
          <w:u w:val="none"/>
        </w:rPr>
      </w:pPr>
      <w:r>
        <w:rPr>
          <w:rFonts w:hint="eastAsia" w:asciiTheme="minorEastAsia" w:hAnsiTheme="minorEastAsia" w:eastAsiaTheme="minorEastAsia" w:cstheme="minorEastAsia"/>
          <w:b w:val="0"/>
          <w:bCs w:val="0"/>
          <w:i w:val="0"/>
          <w:iCs w:val="0"/>
          <w:caps w:val="0"/>
          <w:color w:val="auto"/>
          <w:spacing w:val="0"/>
          <w:sz w:val="28"/>
          <w:szCs w:val="28"/>
          <w:highlight w:val="none"/>
          <w:u w:val="none"/>
          <w:shd w:val="clear" w:color="auto" w:fill="FFFFFF"/>
          <w:vertAlign w:val="baseline"/>
        </w:rPr>
        <w:t>工信部联企业〔2011〕300号</w:t>
      </w:r>
    </w:p>
    <w:p w14:paraId="49BC0B5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各省、自治区、直辖市人民政府，国务院各部委、各直属机构及有关单位：</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E45930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right"/>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工业和信息化部</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国家统计局</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国家发展和改革委员会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财政部</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二○一一年六月十八日</w:t>
      </w:r>
    </w:p>
    <w:p w14:paraId="140FEE4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center"/>
        <w:textAlignment w:val="baseline"/>
        <w:rPr>
          <w:rFonts w:hint="eastAsia" w:asciiTheme="minorEastAsia" w:hAnsiTheme="minorEastAsia" w:eastAsiaTheme="minorEastAsia" w:cstheme="minorEastAsia"/>
          <w:color w:val="auto"/>
          <w:sz w:val="28"/>
          <w:szCs w:val="28"/>
          <w:highlight w:val="none"/>
        </w:rPr>
      </w:pPr>
      <w:r>
        <w:rPr>
          <w:rStyle w:val="34"/>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中小企业划型标准规定</w:t>
      </w:r>
    </w:p>
    <w:p w14:paraId="0C4F961C">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一、根据《中华人民共和国中小企业促进法》和《国务院关于进一步促进中小企业发展的若干意见》(国发〔2009〕36号)，制定本规定。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二、中小企业划分为中型、小型、微型三种类型，具体标准根据企业从业人员、营业收入、资产总额等指标，结合行业特点制定。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四、各行业划型标准为：</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（一）农、林、牧、渔业。营业收入20000万元以下的为中小微型企业。其中，营业收入500万元及以上的为中型企业，营业收入50万元及以上的为小型企业，营业收入50万元以下的为微型企业。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（十六）其他未列明行业。从业人员300人以下的为中小微型企业。其中，从业人员100人及以上的为中型企业；从业人员10人及以上的为小型企业；从业人员10人以下的为微型企业。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五、企业类型的划分以统计部门的统计数据为依据。</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六、本规定适用于在中华人民共和国境内依法设立的各类所有制和各种组织形式的企业。个体工商户和本规定以外的行业，参照本规定进行划型。</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八、本规定由工业和信息化部、国家统计局会同有关部门根据《国民经济行业分类》修订情况和企业发展变化情况适时修订。</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九、本规定由工业和信息化部、国家统计局会同有关部门负责解释。</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十、本规定自发布之日起执行，原国家经贸委、原国家计委、财政部和国家统计局2003年颁布的《中小企业标准暂行规定》同时废止。</w:t>
      </w:r>
    </w:p>
    <w:p w14:paraId="337E4E47">
      <w:pPr>
        <w:pStyle w:val="12"/>
        <w:keepNext w:val="0"/>
        <w:keepLines w:val="0"/>
        <w:pageBreakBefore w:val="0"/>
        <w:wordWrap/>
        <w:overflowPunct/>
        <w:topLinePunct w:val="0"/>
        <w:bidi w:val="0"/>
        <w:spacing w:beforeAutospacing="0" w:after="0" w:afterAutospacing="0" w:line="500" w:lineRule="exact"/>
        <w:rPr>
          <w:rFonts w:hint="eastAsia" w:asciiTheme="minorEastAsia" w:hAnsiTheme="minorEastAsia" w:eastAsiaTheme="minorEastAsia" w:cstheme="minorEastAsia"/>
          <w:color w:val="auto"/>
          <w:sz w:val="28"/>
          <w:szCs w:val="28"/>
          <w:highlight w:val="none"/>
          <w:lang w:eastAsia="en-US"/>
        </w:rPr>
      </w:pPr>
    </w:p>
    <w:p w14:paraId="096A4B92">
      <w:pPr>
        <w:keepNext w:val="0"/>
        <w:keepLines w:val="0"/>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281" w:firstLineChars="100"/>
        <w:jc w:val="center"/>
        <w:textAlignment w:val="auto"/>
        <w:outlineLvl w:val="9"/>
        <w:rPr>
          <w:rFonts w:hint="eastAsia" w:asciiTheme="minorEastAsia" w:hAnsiTheme="minorEastAsia" w:eastAsiaTheme="minorEastAsia" w:cstheme="minorEastAsia"/>
          <w:b/>
          <w:bCs/>
          <w:i w:val="0"/>
          <w:iCs w:val="0"/>
          <w:color w:val="auto"/>
          <w:sz w:val="28"/>
          <w:szCs w:val="28"/>
          <w:highlight w:val="none"/>
          <w:shd w:val="clear" w:color="auto" w:fill="auto"/>
        </w:rPr>
      </w:pPr>
    </w:p>
    <w:p w14:paraId="2C140AD7">
      <w:pPr>
        <w:keepNext w:val="0"/>
        <w:keepLines w:val="0"/>
        <w:pageBreakBefore w:val="0"/>
        <w:tabs>
          <w:tab w:val="left" w:pos="3544"/>
        </w:tabs>
        <w:kinsoku/>
        <w:wordWrap/>
        <w:overflowPunct/>
        <w:topLinePunct w:val="0"/>
        <w:bidi w:val="0"/>
        <w:spacing w:beforeAutospacing="0" w:afterAutospacing="0" w:line="500" w:lineRule="exact"/>
        <w:ind w:left="0" w:leftChars="0"/>
        <w:jc w:val="left"/>
        <w:rPr>
          <w:rFonts w:hint="eastAsia" w:asciiTheme="minorEastAsia" w:hAnsiTheme="minorEastAsia" w:eastAsiaTheme="minorEastAsia" w:cstheme="minorEastAsia"/>
          <w:sz w:val="28"/>
          <w:szCs w:val="28"/>
          <w:highlight w:val="none"/>
          <w:lang w:eastAsia="zh-CN"/>
        </w:rPr>
      </w:pPr>
    </w:p>
    <w:p w14:paraId="2E57B596">
      <w:pPr>
        <w:keepNext w:val="0"/>
        <w:keepLines w:val="0"/>
        <w:pageBreakBefore w:val="0"/>
        <w:kinsoku/>
        <w:wordWrap/>
        <w:overflowPunct/>
        <w:topLinePunct w:val="0"/>
        <w:bidi w:val="0"/>
        <w:spacing w:beforeAutospacing="0" w:afterAutospacing="0" w:line="500" w:lineRule="exact"/>
        <w:ind w:left="0" w:leftChars="0"/>
        <w:rPr>
          <w:rFonts w:hint="eastAsia" w:asciiTheme="minorEastAsia" w:hAnsiTheme="minorEastAsia" w:eastAsiaTheme="minorEastAsia" w:cstheme="minorEastAsia"/>
          <w:sz w:val="28"/>
          <w:szCs w:val="28"/>
        </w:rPr>
      </w:pPr>
    </w:p>
    <w:p w14:paraId="025E6FBC">
      <w:pPr>
        <w:rPr>
          <w:rFonts w:hint="eastAsia"/>
        </w:rPr>
      </w:pPr>
    </w:p>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2000000000000000000"/>
    <w:charset w:val="86"/>
    <w:family w:val="auto"/>
    <w:pitch w:val="default"/>
    <w:sig w:usb0="00000000" w:usb1="00000000"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A653F">
    <w:pPr>
      <w:pStyle w:val="17"/>
    </w:pPr>
    <w:r>
      <w:rPr>
        <w:rStyle w:val="41"/>
        <w:rFonts w:hint="eastAsia" w:ascii="宋体" w:hAnsi="宋体"/>
        <w:bCs/>
        <w:sz w:val="24"/>
      </w:rPr>
      <w:t>地址：乌鲁木齐市</w:t>
    </w:r>
    <w:r>
      <w:rPr>
        <w:rStyle w:val="41"/>
        <w:rFonts w:hint="eastAsia" w:ascii="宋体" w:hAnsi="宋体"/>
        <w:bCs/>
        <w:color w:val="000000"/>
        <w:sz w:val="24"/>
      </w:rPr>
      <w:t>水磨沟区龙盛街898号万科中央公园S6栋5层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83A7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3259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64945">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364945">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E8D40">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EF689">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40EF689">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ECD7">
    <w:pPr>
      <w:widowControl/>
      <w:kinsoku w:val="0"/>
      <w:autoSpaceDE w:val="0"/>
      <w:autoSpaceDN w:val="0"/>
      <w:adjustRightInd w:val="0"/>
      <w:snapToGrid w:val="0"/>
      <w:spacing w:line="169" w:lineRule="auto"/>
      <w:ind w:left="4127"/>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2E041">
                          <w:pPr>
                            <w:pStyle w:val="17"/>
                            <w:tabs>
                              <w:tab w:val="center" w:pos="4140"/>
                              <w:tab w:val="right" w:pos="8300"/>
                              <w:tab w:val="clear" w:pos="4153"/>
                              <w:tab w:val="clear" w:pos="8306"/>
                            </w:tabs>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42E041">
                    <w:pPr>
                      <w:pStyle w:val="17"/>
                      <w:tabs>
                        <w:tab w:val="center" w:pos="4140"/>
                        <w:tab w:val="right" w:pos="8300"/>
                        <w:tab w:val="clear" w:pos="4153"/>
                        <w:tab w:val="clear" w:pos="8306"/>
                      </w:tabs>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DEA5">
    <w:pPr>
      <w:autoSpaceDE w:val="0"/>
      <w:autoSpaceDN w:val="0"/>
      <w:adjustRightInd w:val="0"/>
      <w:spacing w:line="200" w:lineRule="exact"/>
      <w:jc w:val="left"/>
      <w:rPr>
        <w:rFonts w:hint="default" w:ascii="Times New Roman" w:eastAsia="Times New Roman"/>
        <w:kern w:val="0"/>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308B7">
                          <w:pPr>
                            <w:pStyle w:val="1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22308B7">
                    <w:pPr>
                      <w:pStyle w:val="1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2282E">
    <w:pPr>
      <w:pStyle w:val="19"/>
      <w:pBdr>
        <w:bottom w:val="none" w:color="000000" w:sz="0" w:space="1"/>
      </w:pBdr>
      <w:rPr>
        <w:rStyle w:val="41"/>
        <w:sz w:val="24"/>
      </w:rPr>
    </w:pPr>
    <w:r>
      <w:rPr>
        <w:rStyle w:val="41"/>
        <w:rFonts w:hint="eastAsia"/>
        <w:sz w:val="24"/>
      </w:rPr>
      <w:t xml:space="preserve"> </w:t>
    </w:r>
    <w:r>
      <w:rPr>
        <w:rStyle w:val="41"/>
        <w:sz w:val="24"/>
      </w:rPr>
      <w:drawing>
        <wp:inline distT="0" distB="0" distL="114300" distR="114300">
          <wp:extent cx="374015" cy="375920"/>
          <wp:effectExtent l="0" t="0" r="6985" b="5080"/>
          <wp:docPr id="1" name="图片 1"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41"/>
        <w:rFonts w:hint="eastAsia"/>
        <w:sz w:val="24"/>
      </w:rPr>
      <w:t xml:space="preserve">                                         新疆拓源工程管理咨询有限公司</w:t>
    </w:r>
  </w:p>
  <w:p w14:paraId="581DBE81">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8FC0">
    <w:pPr>
      <w:pStyle w:val="19"/>
      <w:jc w:val="right"/>
    </w:pPr>
    <w:r>
      <w:rPr>
        <w:rStyle w:val="41"/>
        <w:rFonts w:hint="eastAsia"/>
        <w:sz w:val="24"/>
      </w:rPr>
      <w:t xml:space="preserve">  </w:t>
    </w:r>
    <w:r>
      <w:rPr>
        <w:rStyle w:val="41"/>
        <w:sz w:val="24"/>
      </w:rPr>
      <w:drawing>
        <wp:inline distT="0" distB="0" distL="114300" distR="114300">
          <wp:extent cx="374015" cy="375920"/>
          <wp:effectExtent l="0" t="0" r="6985" b="5080"/>
          <wp:docPr id="2"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41"/>
        <w:rFonts w:hint="eastAsia"/>
        <w:sz w:val="24"/>
      </w:rPr>
      <w:t xml:space="preserve">                                新疆拓源工程管理咨询有限公司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090CD">
    <w:pPr>
      <w:pStyle w:val="19"/>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4304">
    <w:pPr>
      <w:pStyle w:val="19"/>
      <w:pBdr>
        <w:bottom w:val="none" w:color="auto" w:sz="0" w:space="1"/>
      </w:pBdr>
      <w:jc w:val="both"/>
    </w:pPr>
    <w:r>
      <w:rPr>
        <w:rStyle w:val="41"/>
        <w:rFonts w:hint="eastAsia"/>
        <w:sz w:val="24"/>
        <w:szCs w:val="24"/>
      </w:rPr>
      <w:t xml:space="preserve">  </w:t>
    </w:r>
    <w:r>
      <w:rPr>
        <w:rStyle w:val="41"/>
        <w:sz w:val="24"/>
        <w:szCs w:val="24"/>
      </w:rPr>
      <w:drawing>
        <wp:inline distT="0" distB="0" distL="0" distR="0">
          <wp:extent cx="374015" cy="375920"/>
          <wp:effectExtent l="0" t="0" r="6985" b="5080"/>
          <wp:docPr id="4099" name="图片 2"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9" name="图片 2"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41"/>
        <w:rFonts w:hint="eastAsia"/>
        <w:sz w:val="24"/>
        <w:szCs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7A35"/>
    <w:multiLevelType w:val="singleLevel"/>
    <w:tmpl w:val="83B97A35"/>
    <w:lvl w:ilvl="0" w:tentative="0">
      <w:start w:val="2"/>
      <w:numFmt w:val="chineseCounting"/>
      <w:suff w:val="nothing"/>
      <w:lvlText w:val="%1、"/>
      <w:lvlJc w:val="left"/>
      <w:rPr>
        <w:rFonts w:hint="eastAsia"/>
      </w:rPr>
    </w:lvl>
  </w:abstractNum>
  <w:abstractNum w:abstractNumId="1">
    <w:nsid w:val="9A37F64A"/>
    <w:multiLevelType w:val="singleLevel"/>
    <w:tmpl w:val="9A37F64A"/>
    <w:lvl w:ilvl="0" w:tentative="0">
      <w:start w:val="1"/>
      <w:numFmt w:val="decimal"/>
      <w:suff w:val="nothing"/>
      <w:lvlText w:val="%1、"/>
      <w:lvlJc w:val="left"/>
    </w:lvl>
  </w:abstractNum>
  <w:abstractNum w:abstractNumId="2">
    <w:nsid w:val="A145CCAE"/>
    <w:multiLevelType w:val="singleLevel"/>
    <w:tmpl w:val="A145CCAE"/>
    <w:lvl w:ilvl="0" w:tentative="0">
      <w:start w:val="1"/>
      <w:numFmt w:val="decimal"/>
      <w:suff w:val="nothing"/>
      <w:lvlText w:val="%1、"/>
      <w:lvlJc w:val="left"/>
    </w:lvl>
  </w:abstractNum>
  <w:abstractNum w:abstractNumId="3">
    <w:nsid w:val="A7D08F78"/>
    <w:multiLevelType w:val="multilevel"/>
    <w:tmpl w:val="A7D08F78"/>
    <w:lvl w:ilvl="0" w:tentative="0">
      <w:start w:val="1"/>
      <w:numFmt w:val="chineseCounting"/>
      <w:suff w:val="nothing"/>
      <w:lvlText w:val="第%1章 "/>
      <w:lvlJc w:val="left"/>
      <w:pPr>
        <w:ind w:left="4685" w:hanging="432"/>
      </w:pPr>
      <w:rPr>
        <w:rFonts w:hint="eastAsia"/>
      </w:rPr>
    </w:lvl>
    <w:lvl w:ilvl="1" w:tentative="0">
      <w:start w:val="1"/>
      <w:numFmt w:val="decimal"/>
      <w:isLgl/>
      <w:lvlText w:val="%1.%2."/>
      <w:lvlJc w:val="left"/>
      <w:pPr>
        <w:ind w:left="1285" w:hanging="575"/>
      </w:pPr>
      <w:rPr>
        <w:rFonts w:hint="eastAsia"/>
      </w:rPr>
    </w:lvl>
    <w:lvl w:ilvl="2" w:tentative="0">
      <w:start w:val="1"/>
      <w:numFmt w:val="decimal"/>
      <w:pStyle w:val="5"/>
      <w:isLgl/>
      <w:lvlText w:val="%1.%2.%3."/>
      <w:lvlJc w:val="left"/>
      <w:pPr>
        <w:ind w:left="2422"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6"/>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11">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63"/>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A0F6431"/>
    <w:multiLevelType w:val="singleLevel"/>
    <w:tmpl w:val="7A0F6431"/>
    <w:lvl w:ilvl="0" w:tentative="0">
      <w:start w:val="1"/>
      <w:numFmt w:val="decimal"/>
      <w:suff w:val="space"/>
      <w:lvlText w:val="%1."/>
      <w:lvlJc w:val="left"/>
    </w:lvl>
  </w:abstractNum>
  <w:num w:numId="1">
    <w:abstractNumId w:val="3"/>
  </w:num>
  <w:num w:numId="2">
    <w:abstractNumId w:val="10"/>
  </w:num>
  <w:num w:numId="3">
    <w:abstractNumId w:val="11"/>
  </w:num>
  <w:num w:numId="4">
    <w:abstractNumId w:val="2"/>
  </w:num>
  <w:num w:numId="5">
    <w:abstractNumId w:val="1"/>
  </w:num>
  <w:num w:numId="6">
    <w:abstractNumId w:val="0"/>
  </w:num>
  <w:num w:numId="7">
    <w:abstractNumId w:val="12"/>
  </w:num>
  <w:num w:numId="8">
    <w:abstractNumId w:val="5"/>
  </w:num>
  <w:num w:numId="9">
    <w:abstractNumId w:val="9"/>
  </w:num>
  <w:num w:numId="10">
    <w:abstractNumId w:val="7"/>
  </w:num>
  <w:num w:numId="11">
    <w:abstractNumId w:val="6"/>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lODJmOWRhY2NiNzlhMTVlZjFmNmM0YTRiZjkxZmEifQ=="/>
    <w:docVar w:name="KSO_WPS_MARK_KEY" w:val="2542d0e4-db01-47bc-9e30-3b31ec68f3a9"/>
  </w:docVars>
  <w:rsids>
    <w:rsidRoot w:val="006D6F44"/>
    <w:rsid w:val="00083A7D"/>
    <w:rsid w:val="00085DA1"/>
    <w:rsid w:val="001119CD"/>
    <w:rsid w:val="001343B1"/>
    <w:rsid w:val="00177ECA"/>
    <w:rsid w:val="002021CC"/>
    <w:rsid w:val="0022674C"/>
    <w:rsid w:val="00252FC0"/>
    <w:rsid w:val="003577A2"/>
    <w:rsid w:val="003C111D"/>
    <w:rsid w:val="00436CBC"/>
    <w:rsid w:val="0049263D"/>
    <w:rsid w:val="004D5BB6"/>
    <w:rsid w:val="005F58DE"/>
    <w:rsid w:val="00634FF2"/>
    <w:rsid w:val="006351B6"/>
    <w:rsid w:val="006B79D1"/>
    <w:rsid w:val="006D6F44"/>
    <w:rsid w:val="00754BD2"/>
    <w:rsid w:val="008D4EE8"/>
    <w:rsid w:val="00971785"/>
    <w:rsid w:val="00A21929"/>
    <w:rsid w:val="00AD511E"/>
    <w:rsid w:val="00BD6145"/>
    <w:rsid w:val="00CC135F"/>
    <w:rsid w:val="00D651EE"/>
    <w:rsid w:val="00DF7C4C"/>
    <w:rsid w:val="00F846DC"/>
    <w:rsid w:val="011A058D"/>
    <w:rsid w:val="014001AC"/>
    <w:rsid w:val="015529D7"/>
    <w:rsid w:val="01FE02D2"/>
    <w:rsid w:val="023B0973"/>
    <w:rsid w:val="02563B57"/>
    <w:rsid w:val="02731484"/>
    <w:rsid w:val="02B20C36"/>
    <w:rsid w:val="02BC7D06"/>
    <w:rsid w:val="037D56E7"/>
    <w:rsid w:val="03870C59"/>
    <w:rsid w:val="040C416E"/>
    <w:rsid w:val="04477AA3"/>
    <w:rsid w:val="04A96068"/>
    <w:rsid w:val="04AB0032"/>
    <w:rsid w:val="04C82992"/>
    <w:rsid w:val="055F0D07"/>
    <w:rsid w:val="05681A7F"/>
    <w:rsid w:val="057C2119"/>
    <w:rsid w:val="05C56F4C"/>
    <w:rsid w:val="05EC445F"/>
    <w:rsid w:val="06371391"/>
    <w:rsid w:val="06815A00"/>
    <w:rsid w:val="07174993"/>
    <w:rsid w:val="07235BE6"/>
    <w:rsid w:val="07294B7B"/>
    <w:rsid w:val="0734173C"/>
    <w:rsid w:val="079F3753"/>
    <w:rsid w:val="082F62F4"/>
    <w:rsid w:val="094665B2"/>
    <w:rsid w:val="09C75A8B"/>
    <w:rsid w:val="09C82F26"/>
    <w:rsid w:val="0A1931E8"/>
    <w:rsid w:val="0A7A30C9"/>
    <w:rsid w:val="0A8366CB"/>
    <w:rsid w:val="0B084C39"/>
    <w:rsid w:val="0B0D4C33"/>
    <w:rsid w:val="0B1229A8"/>
    <w:rsid w:val="0BEA7692"/>
    <w:rsid w:val="0C71390F"/>
    <w:rsid w:val="0CB47CA0"/>
    <w:rsid w:val="0D2027B6"/>
    <w:rsid w:val="0D850FBB"/>
    <w:rsid w:val="0D86113E"/>
    <w:rsid w:val="0D8853B5"/>
    <w:rsid w:val="0DBA12E6"/>
    <w:rsid w:val="0DC83A03"/>
    <w:rsid w:val="0DD87DE8"/>
    <w:rsid w:val="0E2B3F92"/>
    <w:rsid w:val="0E5F3020"/>
    <w:rsid w:val="0EB16245"/>
    <w:rsid w:val="0EDC703A"/>
    <w:rsid w:val="0EEF4FBF"/>
    <w:rsid w:val="0F2310FF"/>
    <w:rsid w:val="0F887012"/>
    <w:rsid w:val="0F900E67"/>
    <w:rsid w:val="10246EEB"/>
    <w:rsid w:val="104A6951"/>
    <w:rsid w:val="109D1177"/>
    <w:rsid w:val="10B85FB1"/>
    <w:rsid w:val="11001706"/>
    <w:rsid w:val="116A4DD1"/>
    <w:rsid w:val="124B4C03"/>
    <w:rsid w:val="12BE7F9E"/>
    <w:rsid w:val="12C33AC5"/>
    <w:rsid w:val="1415056B"/>
    <w:rsid w:val="14AE262C"/>
    <w:rsid w:val="14B27574"/>
    <w:rsid w:val="14F00AA2"/>
    <w:rsid w:val="15655FDB"/>
    <w:rsid w:val="15802E15"/>
    <w:rsid w:val="15DA2525"/>
    <w:rsid w:val="16161E94"/>
    <w:rsid w:val="161F43DC"/>
    <w:rsid w:val="16393655"/>
    <w:rsid w:val="16B65467"/>
    <w:rsid w:val="1763654B"/>
    <w:rsid w:val="176A3598"/>
    <w:rsid w:val="178722FE"/>
    <w:rsid w:val="17C90AA4"/>
    <w:rsid w:val="17D82A95"/>
    <w:rsid w:val="17E71A50"/>
    <w:rsid w:val="18A04871"/>
    <w:rsid w:val="18B43502"/>
    <w:rsid w:val="18E831AB"/>
    <w:rsid w:val="1934019F"/>
    <w:rsid w:val="19403168"/>
    <w:rsid w:val="1BB750B7"/>
    <w:rsid w:val="1BD46B05"/>
    <w:rsid w:val="1BF846A0"/>
    <w:rsid w:val="1C0D1768"/>
    <w:rsid w:val="1C111736"/>
    <w:rsid w:val="1C37598E"/>
    <w:rsid w:val="1C8E3164"/>
    <w:rsid w:val="1D5252D9"/>
    <w:rsid w:val="1DC57731"/>
    <w:rsid w:val="1DD957B9"/>
    <w:rsid w:val="1DE226F6"/>
    <w:rsid w:val="1E395337"/>
    <w:rsid w:val="1EDA6996"/>
    <w:rsid w:val="1EEE29A8"/>
    <w:rsid w:val="1EFA59E6"/>
    <w:rsid w:val="1F280811"/>
    <w:rsid w:val="1F51312D"/>
    <w:rsid w:val="1FC55FF4"/>
    <w:rsid w:val="1FD47FE6"/>
    <w:rsid w:val="1FDB5753"/>
    <w:rsid w:val="20001D6A"/>
    <w:rsid w:val="20523600"/>
    <w:rsid w:val="206A5E42"/>
    <w:rsid w:val="209B24B9"/>
    <w:rsid w:val="211A4921"/>
    <w:rsid w:val="2139587A"/>
    <w:rsid w:val="21691664"/>
    <w:rsid w:val="21F66585"/>
    <w:rsid w:val="22DB49BE"/>
    <w:rsid w:val="22E67C91"/>
    <w:rsid w:val="22E744D4"/>
    <w:rsid w:val="22ED7C37"/>
    <w:rsid w:val="23056708"/>
    <w:rsid w:val="24065489"/>
    <w:rsid w:val="240D764B"/>
    <w:rsid w:val="244C35C8"/>
    <w:rsid w:val="246C62EA"/>
    <w:rsid w:val="24AE1898"/>
    <w:rsid w:val="24F5768F"/>
    <w:rsid w:val="250F1AC0"/>
    <w:rsid w:val="25317169"/>
    <w:rsid w:val="25423C43"/>
    <w:rsid w:val="256F4866"/>
    <w:rsid w:val="25E92311"/>
    <w:rsid w:val="2658285C"/>
    <w:rsid w:val="26592325"/>
    <w:rsid w:val="267C3185"/>
    <w:rsid w:val="26E52AD8"/>
    <w:rsid w:val="27072C08"/>
    <w:rsid w:val="27416F3C"/>
    <w:rsid w:val="27A5743F"/>
    <w:rsid w:val="27AF63B3"/>
    <w:rsid w:val="27BC2A5B"/>
    <w:rsid w:val="27C41578"/>
    <w:rsid w:val="27D03788"/>
    <w:rsid w:val="27E40FE2"/>
    <w:rsid w:val="27E47234"/>
    <w:rsid w:val="2863070C"/>
    <w:rsid w:val="28687E65"/>
    <w:rsid w:val="28D601EB"/>
    <w:rsid w:val="28EC2915"/>
    <w:rsid w:val="29134581"/>
    <w:rsid w:val="2927562A"/>
    <w:rsid w:val="299F1664"/>
    <w:rsid w:val="29DE5D3A"/>
    <w:rsid w:val="29FB11D2"/>
    <w:rsid w:val="2A104310"/>
    <w:rsid w:val="2A6B59EA"/>
    <w:rsid w:val="2A7C60C8"/>
    <w:rsid w:val="2AEC5A97"/>
    <w:rsid w:val="2B1A4D1A"/>
    <w:rsid w:val="2BB55527"/>
    <w:rsid w:val="2BC32A58"/>
    <w:rsid w:val="2C806A51"/>
    <w:rsid w:val="2D10499E"/>
    <w:rsid w:val="2DB87198"/>
    <w:rsid w:val="2E385BE3"/>
    <w:rsid w:val="2E8E614B"/>
    <w:rsid w:val="2E986820"/>
    <w:rsid w:val="2ECB6A58"/>
    <w:rsid w:val="2ED718A0"/>
    <w:rsid w:val="2EF42085"/>
    <w:rsid w:val="2F68699C"/>
    <w:rsid w:val="2F6D548A"/>
    <w:rsid w:val="2F9028FF"/>
    <w:rsid w:val="2FB4672A"/>
    <w:rsid w:val="2FB971F8"/>
    <w:rsid w:val="301A2DFD"/>
    <w:rsid w:val="30403475"/>
    <w:rsid w:val="306B247C"/>
    <w:rsid w:val="307E1C61"/>
    <w:rsid w:val="30BF25EC"/>
    <w:rsid w:val="310F3486"/>
    <w:rsid w:val="312406A1"/>
    <w:rsid w:val="31436D79"/>
    <w:rsid w:val="31AB69D8"/>
    <w:rsid w:val="31AD06C5"/>
    <w:rsid w:val="31D609DB"/>
    <w:rsid w:val="31E01A47"/>
    <w:rsid w:val="31EB5616"/>
    <w:rsid w:val="32024E86"/>
    <w:rsid w:val="32382833"/>
    <w:rsid w:val="329E236C"/>
    <w:rsid w:val="32EC50D1"/>
    <w:rsid w:val="337F6063"/>
    <w:rsid w:val="33FF6CC7"/>
    <w:rsid w:val="3492329A"/>
    <w:rsid w:val="34E97A94"/>
    <w:rsid w:val="352F2BEC"/>
    <w:rsid w:val="356D3F4F"/>
    <w:rsid w:val="35DB7EC8"/>
    <w:rsid w:val="35DF103A"/>
    <w:rsid w:val="35E46E43"/>
    <w:rsid w:val="36FB1EA4"/>
    <w:rsid w:val="372907BF"/>
    <w:rsid w:val="374271D8"/>
    <w:rsid w:val="3776528F"/>
    <w:rsid w:val="3777428F"/>
    <w:rsid w:val="37C47CD5"/>
    <w:rsid w:val="37C624B2"/>
    <w:rsid w:val="37D739CE"/>
    <w:rsid w:val="37FE0133"/>
    <w:rsid w:val="385B52F0"/>
    <w:rsid w:val="38662298"/>
    <w:rsid w:val="388D51B3"/>
    <w:rsid w:val="38E01351"/>
    <w:rsid w:val="394C4C39"/>
    <w:rsid w:val="396E1FE5"/>
    <w:rsid w:val="39804AD4"/>
    <w:rsid w:val="39F37552"/>
    <w:rsid w:val="3A08355D"/>
    <w:rsid w:val="3A52002D"/>
    <w:rsid w:val="3AC0768C"/>
    <w:rsid w:val="3ADE2D8C"/>
    <w:rsid w:val="3B756F45"/>
    <w:rsid w:val="3B895CD0"/>
    <w:rsid w:val="3C1C6B44"/>
    <w:rsid w:val="3C4D45BB"/>
    <w:rsid w:val="3D2F4655"/>
    <w:rsid w:val="3D347CED"/>
    <w:rsid w:val="3E3C34CE"/>
    <w:rsid w:val="3E742C68"/>
    <w:rsid w:val="3E854E75"/>
    <w:rsid w:val="3E916962"/>
    <w:rsid w:val="3EA76402"/>
    <w:rsid w:val="3EBC7034"/>
    <w:rsid w:val="3F143436"/>
    <w:rsid w:val="3FF35E0E"/>
    <w:rsid w:val="3FF658FE"/>
    <w:rsid w:val="40A50767"/>
    <w:rsid w:val="41016309"/>
    <w:rsid w:val="412E1653"/>
    <w:rsid w:val="41306BEE"/>
    <w:rsid w:val="41AD023F"/>
    <w:rsid w:val="42336996"/>
    <w:rsid w:val="423A5F76"/>
    <w:rsid w:val="428C078D"/>
    <w:rsid w:val="42EE6E5E"/>
    <w:rsid w:val="42FA2DD7"/>
    <w:rsid w:val="434370AD"/>
    <w:rsid w:val="44696B82"/>
    <w:rsid w:val="4476700E"/>
    <w:rsid w:val="44BB02A4"/>
    <w:rsid w:val="44F71EFD"/>
    <w:rsid w:val="45107462"/>
    <w:rsid w:val="457F30CA"/>
    <w:rsid w:val="45DC4237"/>
    <w:rsid w:val="46290CE3"/>
    <w:rsid w:val="46BB51AC"/>
    <w:rsid w:val="471A0124"/>
    <w:rsid w:val="472E08A8"/>
    <w:rsid w:val="47E0136E"/>
    <w:rsid w:val="480908C5"/>
    <w:rsid w:val="481B23A6"/>
    <w:rsid w:val="4825684B"/>
    <w:rsid w:val="4828061F"/>
    <w:rsid w:val="48855A71"/>
    <w:rsid w:val="48B00A3D"/>
    <w:rsid w:val="48CA1527"/>
    <w:rsid w:val="49005572"/>
    <w:rsid w:val="49153B3D"/>
    <w:rsid w:val="493C2385"/>
    <w:rsid w:val="495C67D2"/>
    <w:rsid w:val="49AB391A"/>
    <w:rsid w:val="4B210482"/>
    <w:rsid w:val="4B5F07FC"/>
    <w:rsid w:val="4B833E6A"/>
    <w:rsid w:val="4B881494"/>
    <w:rsid w:val="4BF36A46"/>
    <w:rsid w:val="4C0B634F"/>
    <w:rsid w:val="4C15185F"/>
    <w:rsid w:val="4C1E11AD"/>
    <w:rsid w:val="4C993E74"/>
    <w:rsid w:val="4CC27294"/>
    <w:rsid w:val="4CC63226"/>
    <w:rsid w:val="4D9C1893"/>
    <w:rsid w:val="4DDD1F01"/>
    <w:rsid w:val="4E0B6A19"/>
    <w:rsid w:val="4E2C0B7D"/>
    <w:rsid w:val="4F166C4D"/>
    <w:rsid w:val="4F253B0A"/>
    <w:rsid w:val="4F443F90"/>
    <w:rsid w:val="4F8D1BA3"/>
    <w:rsid w:val="50180913"/>
    <w:rsid w:val="5042188F"/>
    <w:rsid w:val="50BC224C"/>
    <w:rsid w:val="514D15D6"/>
    <w:rsid w:val="515B2E61"/>
    <w:rsid w:val="51EE6435"/>
    <w:rsid w:val="5223325C"/>
    <w:rsid w:val="52BF3272"/>
    <w:rsid w:val="530E3233"/>
    <w:rsid w:val="53195734"/>
    <w:rsid w:val="53852DC9"/>
    <w:rsid w:val="5386726D"/>
    <w:rsid w:val="53B84F4D"/>
    <w:rsid w:val="53EB70D0"/>
    <w:rsid w:val="540519ED"/>
    <w:rsid w:val="541029EC"/>
    <w:rsid w:val="54DB4AA8"/>
    <w:rsid w:val="55435F41"/>
    <w:rsid w:val="55A7171D"/>
    <w:rsid w:val="55E661CC"/>
    <w:rsid w:val="56015FA8"/>
    <w:rsid w:val="56102EB5"/>
    <w:rsid w:val="564B1272"/>
    <w:rsid w:val="567E11E9"/>
    <w:rsid w:val="56933C1B"/>
    <w:rsid w:val="56955A19"/>
    <w:rsid w:val="56A63FEE"/>
    <w:rsid w:val="56CE6835"/>
    <w:rsid w:val="574F7976"/>
    <w:rsid w:val="576458AF"/>
    <w:rsid w:val="57883566"/>
    <w:rsid w:val="586B76F6"/>
    <w:rsid w:val="58D00F8B"/>
    <w:rsid w:val="59044790"/>
    <w:rsid w:val="5910333F"/>
    <w:rsid w:val="59611BE3"/>
    <w:rsid w:val="59875AED"/>
    <w:rsid w:val="59AC0B12"/>
    <w:rsid w:val="5A1629CD"/>
    <w:rsid w:val="5A517EA9"/>
    <w:rsid w:val="5A700229"/>
    <w:rsid w:val="5AE42ACB"/>
    <w:rsid w:val="5AEB1782"/>
    <w:rsid w:val="5AFA22EF"/>
    <w:rsid w:val="5B2578B9"/>
    <w:rsid w:val="5B266F2F"/>
    <w:rsid w:val="5BCA1926"/>
    <w:rsid w:val="5C5D3D2F"/>
    <w:rsid w:val="5CE42047"/>
    <w:rsid w:val="5CFE4C15"/>
    <w:rsid w:val="5D3F048D"/>
    <w:rsid w:val="5D4D78EE"/>
    <w:rsid w:val="5D79574D"/>
    <w:rsid w:val="5DBD1BFF"/>
    <w:rsid w:val="5DBF3AD3"/>
    <w:rsid w:val="5E826883"/>
    <w:rsid w:val="5F806C73"/>
    <w:rsid w:val="5FE330BE"/>
    <w:rsid w:val="60077FCA"/>
    <w:rsid w:val="611D1FCC"/>
    <w:rsid w:val="616427FD"/>
    <w:rsid w:val="61837512"/>
    <w:rsid w:val="62031A89"/>
    <w:rsid w:val="6211064A"/>
    <w:rsid w:val="63606B41"/>
    <w:rsid w:val="641451FA"/>
    <w:rsid w:val="643C6AED"/>
    <w:rsid w:val="64A07A63"/>
    <w:rsid w:val="64CC50D8"/>
    <w:rsid w:val="659737D4"/>
    <w:rsid w:val="65FC516D"/>
    <w:rsid w:val="67430B7A"/>
    <w:rsid w:val="675E2E21"/>
    <w:rsid w:val="676527E4"/>
    <w:rsid w:val="6793565D"/>
    <w:rsid w:val="679A4CC9"/>
    <w:rsid w:val="67DB2DD0"/>
    <w:rsid w:val="693F4F4A"/>
    <w:rsid w:val="6A0639A7"/>
    <w:rsid w:val="6A1D7E55"/>
    <w:rsid w:val="6A2C64D9"/>
    <w:rsid w:val="6B2B3DFF"/>
    <w:rsid w:val="6C092392"/>
    <w:rsid w:val="6C183D6E"/>
    <w:rsid w:val="6C376397"/>
    <w:rsid w:val="6C5A7C87"/>
    <w:rsid w:val="6C8859AD"/>
    <w:rsid w:val="6CBE13CE"/>
    <w:rsid w:val="6CE54BAD"/>
    <w:rsid w:val="6D083A4D"/>
    <w:rsid w:val="6DA35DF8"/>
    <w:rsid w:val="6DC24EEE"/>
    <w:rsid w:val="6DCB0E05"/>
    <w:rsid w:val="6E1B015A"/>
    <w:rsid w:val="6E5E6B69"/>
    <w:rsid w:val="6F542632"/>
    <w:rsid w:val="6F682EDB"/>
    <w:rsid w:val="6F767D3E"/>
    <w:rsid w:val="6F9474E1"/>
    <w:rsid w:val="6FF46AC3"/>
    <w:rsid w:val="703379DD"/>
    <w:rsid w:val="7065389B"/>
    <w:rsid w:val="707A1AB0"/>
    <w:rsid w:val="70841E70"/>
    <w:rsid w:val="70D95DDC"/>
    <w:rsid w:val="715856A4"/>
    <w:rsid w:val="724E21E5"/>
    <w:rsid w:val="74493C73"/>
    <w:rsid w:val="744A50EF"/>
    <w:rsid w:val="74A54E21"/>
    <w:rsid w:val="74F160B9"/>
    <w:rsid w:val="75662603"/>
    <w:rsid w:val="757B4FC6"/>
    <w:rsid w:val="757B6040"/>
    <w:rsid w:val="75E11C8A"/>
    <w:rsid w:val="7654306E"/>
    <w:rsid w:val="76F31C74"/>
    <w:rsid w:val="778525FB"/>
    <w:rsid w:val="779B7F76"/>
    <w:rsid w:val="786077DD"/>
    <w:rsid w:val="78743289"/>
    <w:rsid w:val="79450781"/>
    <w:rsid w:val="795641A9"/>
    <w:rsid w:val="796B08F5"/>
    <w:rsid w:val="7A8157E9"/>
    <w:rsid w:val="7B152F32"/>
    <w:rsid w:val="7B8E6410"/>
    <w:rsid w:val="7BEC2219"/>
    <w:rsid w:val="7C6F6241"/>
    <w:rsid w:val="7CB14B4A"/>
    <w:rsid w:val="7D9F0FBC"/>
    <w:rsid w:val="7DBF0B02"/>
    <w:rsid w:val="7E3C65F7"/>
    <w:rsid w:val="7E554132"/>
    <w:rsid w:val="7E927FC5"/>
    <w:rsid w:val="7EE27891"/>
    <w:rsid w:val="7F9164CE"/>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link w:val="48"/>
    <w:autoRedefine/>
    <w:qFormat/>
    <w:uiPriority w:val="0"/>
    <w:pPr>
      <w:keepNext/>
      <w:keepLines/>
      <w:spacing w:before="340" w:after="330" w:line="578" w:lineRule="auto"/>
    </w:pPr>
    <w:rPr>
      <w:rFonts w:ascii="Calibri" w:hAnsi="Calibri"/>
      <w:kern w:val="44"/>
      <w:sz w:val="44"/>
      <w:szCs w:val="44"/>
    </w:rPr>
  </w:style>
  <w:style w:type="paragraph" w:styleId="4">
    <w:name w:val="heading 2"/>
    <w:basedOn w:val="1"/>
    <w:next w:val="1"/>
    <w:autoRedefine/>
    <w:qFormat/>
    <w:uiPriority w:val="0"/>
    <w:pPr>
      <w:keepLines/>
      <w:spacing w:before="260" w:after="260" w:line="360" w:lineRule="auto"/>
      <w:jc w:val="center"/>
      <w:outlineLvl w:val="1"/>
    </w:pPr>
    <w:rPr>
      <w:rFonts w:ascii="Arial" w:hAnsi="Arial" w:eastAsia="宋体"/>
      <w:b/>
      <w:bCs/>
      <w:sz w:val="30"/>
      <w:szCs w:val="32"/>
    </w:rPr>
  </w:style>
  <w:style w:type="paragraph" w:styleId="5">
    <w:name w:val="heading 3"/>
    <w:basedOn w:val="1"/>
    <w:next w:val="1"/>
    <w:link w:val="86"/>
    <w:autoRedefine/>
    <w:unhideWhenUsed/>
    <w:qFormat/>
    <w:uiPriority w:val="0"/>
    <w:pPr>
      <w:keepNext/>
      <w:keepLines/>
      <w:numPr>
        <w:ilvl w:val="2"/>
        <w:numId w:val="1"/>
      </w:numPr>
      <w:spacing w:before="100" w:after="100" w:line="560" w:lineRule="exact"/>
      <w:outlineLvl w:val="2"/>
    </w:pPr>
    <w:rPr>
      <w:rFonts w:ascii="Times New Roman" w:hAnsi="Times New Roman" w:eastAsia="楷体" w:cs="Times New Roman"/>
      <w:b/>
      <w:bCs/>
      <w:kern w:val="0"/>
      <w:sz w:val="32"/>
      <w:szCs w:val="32"/>
      <w:lang w:val="zh-CN"/>
    </w:rPr>
  </w:style>
  <w:style w:type="paragraph" w:styleId="6">
    <w:name w:val="heading 4"/>
    <w:basedOn w:val="1"/>
    <w:next w:val="1"/>
    <w:autoRedefine/>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cs="Times New Roman"/>
      <w:b/>
      <w:sz w:val="28"/>
    </w:rPr>
  </w:style>
  <w:style w:type="paragraph" w:styleId="7">
    <w:name w:val="heading 5"/>
    <w:basedOn w:val="1"/>
    <w:next w:val="1"/>
    <w:autoRedefine/>
    <w:qFormat/>
    <w:uiPriority w:val="0"/>
    <w:pPr>
      <w:keepNext/>
      <w:keepLines/>
      <w:tabs>
        <w:tab w:val="left" w:pos="1440"/>
      </w:tabs>
      <w:spacing w:before="280" w:after="290" w:line="372" w:lineRule="auto"/>
      <w:ind w:left="1440" w:hanging="900"/>
      <w:outlineLvl w:val="4"/>
    </w:pPr>
    <w:rPr>
      <w:b/>
      <w:sz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3">
    <w:name w:val="C503-正文格式"/>
    <w:basedOn w:val="1"/>
    <w:autoRedefine/>
    <w:qFormat/>
    <w:uiPriority w:val="0"/>
    <w:pPr>
      <w:spacing w:line="360" w:lineRule="auto"/>
      <w:ind w:firstLine="480" w:firstLineChars="200"/>
    </w:pPr>
    <w:rPr>
      <w:rFonts w:ascii="Times New Roman" w:hAnsi="Times New Roman" w:eastAsia="宋体" w:cs="Times New Roman"/>
      <w:sz w:val="24"/>
      <w:szCs w:val="20"/>
      <w:lang w:val="zh-CN"/>
    </w:rPr>
  </w:style>
  <w:style w:type="paragraph" w:styleId="8">
    <w:name w:val="Normal Indent"/>
    <w:basedOn w:val="1"/>
    <w:next w:val="1"/>
    <w:autoRedefine/>
    <w:qFormat/>
    <w:uiPriority w:val="0"/>
    <w:pPr>
      <w:ind w:firstLine="420" w:firstLineChars="200"/>
    </w:pPr>
  </w:style>
  <w:style w:type="paragraph" w:styleId="9">
    <w:name w:val="caption"/>
    <w:basedOn w:val="1"/>
    <w:next w:val="1"/>
    <w:autoRedefine/>
    <w:qFormat/>
    <w:uiPriority w:val="0"/>
    <w:rPr>
      <w:rFonts w:ascii="Arial" w:hAnsi="Arial" w:eastAsia="黑体" w:cs="Arial"/>
      <w:sz w:val="20"/>
      <w:szCs w:val="20"/>
    </w:rPr>
  </w:style>
  <w:style w:type="paragraph" w:styleId="10">
    <w:name w:val="toa heading"/>
    <w:basedOn w:val="1"/>
    <w:next w:val="1"/>
    <w:autoRedefine/>
    <w:qFormat/>
    <w:uiPriority w:val="0"/>
    <w:pPr>
      <w:spacing w:before="120"/>
    </w:pPr>
    <w:rPr>
      <w:rFonts w:ascii="Cambria" w:hAnsi="Cambria"/>
      <w:sz w:val="24"/>
    </w:rPr>
  </w:style>
  <w:style w:type="paragraph" w:styleId="11">
    <w:name w:val="annotation text"/>
    <w:basedOn w:val="1"/>
    <w:link w:val="58"/>
    <w:autoRedefine/>
    <w:qFormat/>
    <w:uiPriority w:val="0"/>
    <w:pPr>
      <w:jc w:val="left"/>
    </w:pPr>
  </w:style>
  <w:style w:type="paragraph" w:styleId="12">
    <w:name w:val="Body Text"/>
    <w:basedOn w:val="1"/>
    <w:autoRedefine/>
    <w:qFormat/>
    <w:uiPriority w:val="0"/>
    <w:pPr>
      <w:spacing w:after="120"/>
    </w:pPr>
  </w:style>
  <w:style w:type="paragraph" w:styleId="13">
    <w:name w:val="Body Text Indent"/>
    <w:basedOn w:val="1"/>
    <w:next w:val="1"/>
    <w:autoRedefine/>
    <w:qFormat/>
    <w:uiPriority w:val="0"/>
    <w:pPr>
      <w:ind w:firstLine="630"/>
    </w:pPr>
    <w:rPr>
      <w:sz w:val="32"/>
      <w:szCs w:val="20"/>
    </w:rPr>
  </w:style>
  <w:style w:type="paragraph" w:styleId="14">
    <w:name w:val="Plain Text"/>
    <w:basedOn w:val="1"/>
    <w:autoRedefine/>
    <w:qFormat/>
    <w:uiPriority w:val="0"/>
    <w:rPr>
      <w:rFonts w:ascii="宋体" w:hAnsi="Courier New"/>
      <w:szCs w:val="20"/>
    </w:rPr>
  </w:style>
  <w:style w:type="paragraph" w:styleId="15">
    <w:name w:val="Body Text Indent 2"/>
    <w:basedOn w:val="1"/>
    <w:autoRedefine/>
    <w:qFormat/>
    <w:uiPriority w:val="0"/>
    <w:pPr>
      <w:spacing w:after="120" w:line="480" w:lineRule="auto"/>
      <w:ind w:left="420" w:leftChars="200"/>
    </w:pPr>
  </w:style>
  <w:style w:type="paragraph" w:styleId="16">
    <w:name w:val="Balloon Text"/>
    <w:basedOn w:val="1"/>
    <w:link w:val="5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envelope return"/>
    <w:basedOn w:val="1"/>
    <w:autoRedefine/>
    <w:qFormat/>
    <w:uiPriority w:val="99"/>
    <w:pPr>
      <w:snapToGrid w:val="0"/>
    </w:pPr>
    <w:rPr>
      <w:rFonts w:ascii="Arial" w:hAnsi="Arial" w:cs="Arial"/>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autoRedefine/>
    <w:qFormat/>
    <w:uiPriority w:val="0"/>
    <w:pPr>
      <w:spacing w:line="480" w:lineRule="auto"/>
    </w:pPr>
    <w:rPr>
      <w:rFonts w:ascii="Times New Roman" w:hAnsi="Times New Roman"/>
      <w:sz w:val="30"/>
    </w:rPr>
  </w:style>
  <w:style w:type="paragraph" w:styleId="21">
    <w:name w:val="toc 4"/>
    <w:basedOn w:val="1"/>
    <w:next w:val="1"/>
    <w:autoRedefine/>
    <w:qFormat/>
    <w:uiPriority w:val="0"/>
    <w:pPr>
      <w:ind w:left="1260" w:leftChars="600"/>
    </w:pPr>
  </w:style>
  <w:style w:type="paragraph" w:styleId="22">
    <w:name w:val="index heading"/>
    <w:basedOn w:val="1"/>
    <w:next w:val="23"/>
    <w:autoRedefine/>
    <w:qFormat/>
    <w:uiPriority w:val="0"/>
    <w:pPr>
      <w:adjustRightInd w:val="0"/>
      <w:spacing w:line="312" w:lineRule="atLeast"/>
      <w:textAlignment w:val="baseline"/>
    </w:pPr>
    <w:rPr>
      <w:rFonts w:ascii="Arial" w:hAnsi="Arial" w:eastAsia="仿宋" w:cs="Arial"/>
      <w:b/>
      <w:bCs/>
      <w:kern w:val="0"/>
      <w:sz w:val="32"/>
      <w:szCs w:val="20"/>
    </w:rPr>
  </w:style>
  <w:style w:type="paragraph" w:styleId="23">
    <w:name w:val="index 1"/>
    <w:basedOn w:val="1"/>
    <w:next w:val="1"/>
    <w:autoRedefine/>
    <w:unhideWhenUsed/>
    <w:qFormat/>
    <w:uiPriority w:val="0"/>
  </w:style>
  <w:style w:type="paragraph" w:styleId="24">
    <w:name w:val="footnote text"/>
    <w:basedOn w:val="1"/>
    <w:autoRedefine/>
    <w:qFormat/>
    <w:uiPriority w:val="0"/>
    <w:pPr>
      <w:snapToGrid w:val="0"/>
      <w:jc w:val="left"/>
    </w:pPr>
    <w:rPr>
      <w:sz w:val="18"/>
    </w:rPr>
  </w:style>
  <w:style w:type="paragraph" w:styleId="25">
    <w:name w:val="List 5"/>
    <w:basedOn w:val="1"/>
    <w:autoRedefine/>
    <w:qFormat/>
    <w:uiPriority w:val="0"/>
    <w:pPr>
      <w:ind w:left="2100" w:hanging="420"/>
    </w:pPr>
    <w:rPr>
      <w:rFonts w:eastAsia="楷体_GB2312"/>
      <w:sz w:val="32"/>
      <w:szCs w:val="20"/>
    </w:rPr>
  </w:style>
  <w:style w:type="paragraph" w:styleId="26">
    <w:name w:val="Normal (Web)"/>
    <w:basedOn w:val="1"/>
    <w:next w:val="1"/>
    <w:autoRedefine/>
    <w:qFormat/>
    <w:uiPriority w:val="0"/>
    <w:pPr>
      <w:widowControl/>
      <w:spacing w:before="100" w:beforeAutospacing="1" w:after="100" w:afterAutospacing="1"/>
      <w:jc w:val="left"/>
    </w:pPr>
    <w:rPr>
      <w:rFonts w:ascii="宋体" w:hAnsi="宋体"/>
      <w:kern w:val="0"/>
      <w:sz w:val="18"/>
      <w:szCs w:val="18"/>
    </w:rPr>
  </w:style>
  <w:style w:type="paragraph" w:styleId="27">
    <w:name w:val="Title"/>
    <w:basedOn w:val="1"/>
    <w:next w:val="1"/>
    <w:autoRedefine/>
    <w:qFormat/>
    <w:uiPriority w:val="10"/>
    <w:pPr>
      <w:spacing w:before="240" w:after="60"/>
      <w:jc w:val="center"/>
      <w:outlineLvl w:val="0"/>
    </w:pPr>
    <w:rPr>
      <w:rFonts w:ascii="Cambria" w:hAnsi="Cambria"/>
      <w:b/>
      <w:bCs/>
      <w:sz w:val="32"/>
      <w:szCs w:val="32"/>
    </w:rPr>
  </w:style>
  <w:style w:type="paragraph" w:styleId="28">
    <w:name w:val="annotation subject"/>
    <w:basedOn w:val="11"/>
    <w:next w:val="11"/>
    <w:link w:val="59"/>
    <w:autoRedefine/>
    <w:qFormat/>
    <w:uiPriority w:val="0"/>
    <w:rPr>
      <w:b/>
      <w:bCs/>
    </w:rPr>
  </w:style>
  <w:style w:type="paragraph" w:styleId="29">
    <w:name w:val="Body Text First Indent"/>
    <w:basedOn w:val="12"/>
    <w:next w:val="1"/>
    <w:autoRedefine/>
    <w:qFormat/>
    <w:uiPriority w:val="0"/>
    <w:pPr>
      <w:ind w:firstLine="420" w:firstLineChars="100"/>
    </w:pPr>
  </w:style>
  <w:style w:type="paragraph" w:styleId="30">
    <w:name w:val="Body Text First Indent 2"/>
    <w:basedOn w:val="13"/>
    <w:next w:val="1"/>
    <w:autoRedefine/>
    <w:qFormat/>
    <w:uiPriority w:val="0"/>
    <w:pPr>
      <w:ind w:firstLine="420"/>
    </w:p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22"/>
    <w:rPr>
      <w:b/>
      <w:bCs/>
    </w:rPr>
  </w:style>
  <w:style w:type="character" w:styleId="35">
    <w:name w:val="Hyperlink"/>
    <w:basedOn w:val="33"/>
    <w:autoRedefine/>
    <w:qFormat/>
    <w:uiPriority w:val="0"/>
    <w:rPr>
      <w:rFonts w:ascii="Times New Roman" w:hAnsi="Times New Roman" w:eastAsia="微软雅黑" w:cs="Times New Roman"/>
      <w:color w:val="0000FF"/>
      <w:u w:val="single"/>
    </w:rPr>
  </w:style>
  <w:style w:type="character" w:styleId="36">
    <w:name w:val="annotation reference"/>
    <w:basedOn w:val="33"/>
    <w:autoRedefine/>
    <w:qFormat/>
    <w:uiPriority w:val="0"/>
    <w:rPr>
      <w:sz w:val="21"/>
      <w:szCs w:val="21"/>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_Style 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styleId="39">
    <w:name w:val="Quote"/>
    <w:basedOn w:val="1"/>
    <w:next w:val="1"/>
    <w:autoRedefine/>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customStyle="1" w:styleId="40">
    <w:name w:val="3）三级标题 与下段同页"/>
    <w:basedOn w:val="1"/>
    <w:autoRedefine/>
    <w:qFormat/>
    <w:uiPriority w:val="0"/>
    <w:pPr>
      <w:keepNext/>
      <w:spacing w:beforeLines="50" w:afterLines="50"/>
      <w:jc w:val="center"/>
      <w:outlineLvl w:val="2"/>
    </w:pPr>
    <w:rPr>
      <w:rFonts w:ascii="仿宋_GB2312" w:eastAsia="仿宋_GB2312"/>
      <w:b/>
      <w:sz w:val="32"/>
    </w:rPr>
  </w:style>
  <w:style w:type="character" w:customStyle="1" w:styleId="41">
    <w:name w:val="NormalCharacter"/>
    <w:link w:val="42"/>
    <w:autoRedefine/>
    <w:qFormat/>
    <w:uiPriority w:val="0"/>
    <w:rPr>
      <w:rFonts w:ascii="Verdana" w:hAnsi="Verdana" w:eastAsia="仿宋_GB2312" w:cs="Times New Roman"/>
      <w:kern w:val="0"/>
      <w:sz w:val="24"/>
      <w:szCs w:val="20"/>
      <w:lang w:eastAsia="en-US"/>
    </w:rPr>
  </w:style>
  <w:style w:type="paragraph" w:customStyle="1" w:styleId="42">
    <w:name w:val="UserStyle_20"/>
    <w:basedOn w:val="1"/>
    <w:link w:val="41"/>
    <w:qFormat/>
    <w:uiPriority w:val="0"/>
    <w:pPr>
      <w:spacing w:after="160" w:line="240" w:lineRule="exact"/>
      <w:jc w:val="left"/>
    </w:pPr>
    <w:rPr>
      <w:rFonts w:ascii="Verdana" w:hAnsi="Verdana" w:eastAsia="仿宋_GB2312" w:cs="Times New Roman"/>
      <w:kern w:val="0"/>
      <w:sz w:val="24"/>
      <w:szCs w:val="20"/>
      <w:lang w:eastAsia="en-US"/>
    </w:rPr>
  </w:style>
  <w:style w:type="paragraph" w:customStyle="1" w:styleId="43">
    <w:name w:val="UserStyle_5"/>
    <w:basedOn w:val="1"/>
    <w:link w:val="41"/>
    <w:autoRedefine/>
    <w:qFormat/>
    <w:uiPriority w:val="0"/>
    <w:pPr>
      <w:widowControl/>
      <w:spacing w:after="160" w:line="240" w:lineRule="exact"/>
      <w:jc w:val="left"/>
      <w:textAlignment w:val="baseline"/>
    </w:pPr>
  </w:style>
  <w:style w:type="character" w:customStyle="1" w:styleId="44">
    <w:name w:val="UserStyle_3"/>
    <w:autoRedefine/>
    <w:qFormat/>
    <w:uiPriority w:val="0"/>
    <w:rPr>
      <w:rFonts w:ascii="宋体" w:hAnsi="宋体" w:eastAsia="宋体"/>
      <w:b/>
      <w:sz w:val="32"/>
      <w:szCs w:val="32"/>
    </w:rPr>
  </w:style>
  <w:style w:type="paragraph" w:customStyle="1" w:styleId="4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4正文"/>
    <w:basedOn w:val="1"/>
    <w:autoRedefine/>
    <w:qFormat/>
    <w:uiPriority w:val="0"/>
    <w:pPr>
      <w:snapToGrid w:val="0"/>
      <w:spacing w:line="360" w:lineRule="auto"/>
      <w:ind w:firstLine="480" w:firstLineChars="200"/>
    </w:pPr>
    <w:rPr>
      <w:rFonts w:eastAsia="仿宋"/>
      <w:sz w:val="24"/>
    </w:rPr>
  </w:style>
  <w:style w:type="paragraph" w:customStyle="1" w:styleId="47">
    <w:name w:val="首行缩进:  0.85 厘米"/>
    <w:basedOn w:val="1"/>
    <w:autoRedefine/>
    <w:qFormat/>
    <w:uiPriority w:val="0"/>
    <w:pPr>
      <w:widowControl/>
      <w:spacing w:after="100" w:line="360" w:lineRule="auto"/>
      <w:ind w:firstLine="482"/>
      <w:jc w:val="left"/>
    </w:pPr>
    <w:rPr>
      <w:kern w:val="0"/>
      <w:sz w:val="24"/>
      <w:lang w:eastAsia="en-US"/>
    </w:rPr>
  </w:style>
  <w:style w:type="character" w:customStyle="1" w:styleId="48">
    <w:name w:val="标题 1 Char"/>
    <w:link w:val="2"/>
    <w:autoRedefine/>
    <w:qFormat/>
    <w:uiPriority w:val="0"/>
    <w:rPr>
      <w:rFonts w:ascii="Calibri" w:hAnsi="Calibri" w:eastAsia="宋体" w:cs="Times New Roman"/>
      <w:kern w:val="44"/>
      <w:sz w:val="44"/>
      <w:szCs w:val="44"/>
    </w:rPr>
  </w:style>
  <w:style w:type="paragraph" w:customStyle="1" w:styleId="49">
    <w:name w:val="Table Paragraph"/>
    <w:basedOn w:val="1"/>
    <w:autoRedefine/>
    <w:unhideWhenUsed/>
    <w:qFormat/>
    <w:uiPriority w:val="1"/>
    <w:rPr>
      <w:sz w:val="24"/>
    </w:rPr>
  </w:style>
  <w:style w:type="paragraph" w:customStyle="1" w:styleId="50">
    <w:name w:val="列出段落1"/>
    <w:basedOn w:val="1"/>
    <w:autoRedefine/>
    <w:qFormat/>
    <w:uiPriority w:val="0"/>
    <w:pPr>
      <w:spacing w:line="360" w:lineRule="auto"/>
      <w:ind w:firstLine="420" w:firstLineChars="200"/>
    </w:pPr>
    <w:rPr>
      <w:rFonts w:ascii="等线" w:hAnsi="等线"/>
      <w:szCs w:val="22"/>
    </w:rPr>
  </w:style>
  <w:style w:type="paragraph" w:customStyle="1" w:styleId="51">
    <w:name w:val="样式 正文缩进 + 首行缩进:  2 字符"/>
    <w:basedOn w:val="8"/>
    <w:autoRedefine/>
    <w:qFormat/>
    <w:uiPriority w:val="0"/>
    <w:pPr>
      <w:spacing w:line="360" w:lineRule="auto"/>
      <w:ind w:firstLine="200"/>
    </w:pPr>
    <w:rPr>
      <w:rFonts w:cs="宋体"/>
      <w:sz w:val="24"/>
      <w:szCs w:val="20"/>
    </w:rPr>
  </w:style>
  <w:style w:type="paragraph" w:customStyle="1" w:styleId="52">
    <w:name w:val="WPS Plain"/>
    <w:basedOn w:val="1"/>
    <w:autoRedefine/>
    <w:qFormat/>
    <w:uiPriority w:val="0"/>
    <w:pPr>
      <w:widowControl/>
      <w:jc w:val="left"/>
    </w:pPr>
    <w:rPr>
      <w:rFonts w:ascii="Times New Roman"/>
      <w:sz w:val="24"/>
    </w:rPr>
  </w:style>
  <w:style w:type="paragraph" w:customStyle="1" w:styleId="53">
    <w:name w:val="普通(网站)1"/>
    <w:basedOn w:val="1"/>
    <w:autoRedefine/>
    <w:qFormat/>
    <w:uiPriority w:val="0"/>
    <w:pPr>
      <w:jc w:val="left"/>
    </w:pPr>
    <w:rPr>
      <w:kern w:val="0"/>
      <w:sz w:val="24"/>
    </w:rPr>
  </w:style>
  <w:style w:type="paragraph" w:customStyle="1" w:styleId="54">
    <w:name w:val="Body text|1"/>
    <w:basedOn w:val="1"/>
    <w:autoRedefine/>
    <w:qFormat/>
    <w:uiPriority w:val="0"/>
    <w:pPr>
      <w:spacing w:line="290" w:lineRule="auto"/>
      <w:ind w:firstLine="400"/>
    </w:pPr>
    <w:rPr>
      <w:rFonts w:ascii="宋体" w:hAnsi="宋体" w:cs="宋体"/>
      <w:sz w:val="22"/>
      <w:szCs w:val="22"/>
      <w:lang w:val="zh-CN" w:bidi="zh-CN"/>
    </w:rPr>
  </w:style>
  <w:style w:type="paragraph" w:customStyle="1" w:styleId="55">
    <w:name w:val="纯文本1"/>
    <w:basedOn w:val="1"/>
    <w:autoRedefine/>
    <w:qFormat/>
    <w:uiPriority w:val="0"/>
    <w:rPr>
      <w:rFonts w:ascii="宋体" w:hAnsi="Courier New"/>
      <w:szCs w:val="22"/>
    </w:rPr>
  </w:style>
  <w:style w:type="paragraph" w:styleId="56">
    <w:name w:val="List Paragraph"/>
    <w:basedOn w:val="1"/>
    <w:autoRedefine/>
    <w:qFormat/>
    <w:uiPriority w:val="99"/>
    <w:pPr>
      <w:ind w:firstLine="420" w:firstLineChars="200"/>
    </w:pPr>
  </w:style>
  <w:style w:type="character" w:customStyle="1" w:styleId="57">
    <w:name w:val="批注框文本 Char"/>
    <w:basedOn w:val="33"/>
    <w:link w:val="16"/>
    <w:autoRedefine/>
    <w:qFormat/>
    <w:uiPriority w:val="0"/>
    <w:rPr>
      <w:rFonts w:ascii="Calibri" w:hAnsi="Calibri"/>
      <w:kern w:val="2"/>
      <w:sz w:val="18"/>
      <w:szCs w:val="18"/>
    </w:rPr>
  </w:style>
  <w:style w:type="character" w:customStyle="1" w:styleId="58">
    <w:name w:val="批注文字 Char"/>
    <w:basedOn w:val="33"/>
    <w:link w:val="11"/>
    <w:autoRedefine/>
    <w:qFormat/>
    <w:uiPriority w:val="0"/>
    <w:rPr>
      <w:rFonts w:ascii="Calibri" w:hAnsi="Calibri"/>
      <w:kern w:val="2"/>
      <w:sz w:val="21"/>
      <w:szCs w:val="24"/>
    </w:rPr>
  </w:style>
  <w:style w:type="character" w:customStyle="1" w:styleId="59">
    <w:name w:val="批注主题 Char"/>
    <w:basedOn w:val="58"/>
    <w:link w:val="28"/>
    <w:autoRedefine/>
    <w:qFormat/>
    <w:uiPriority w:val="0"/>
    <w:rPr>
      <w:rFonts w:ascii="Calibri" w:hAnsi="Calibri"/>
      <w:b/>
      <w:bCs/>
      <w:kern w:val="2"/>
      <w:sz w:val="21"/>
      <w:szCs w:val="24"/>
    </w:rPr>
  </w:style>
  <w:style w:type="paragraph" w:customStyle="1" w:styleId="60">
    <w:name w:val="普通(网站)2"/>
    <w:basedOn w:val="1"/>
    <w:autoRedefine/>
    <w:qFormat/>
    <w:uiPriority w:val="0"/>
    <w:pPr>
      <w:jc w:val="left"/>
    </w:pPr>
    <w:rPr>
      <w:rFonts w:ascii="Times New Roman" w:hAnsi="Times New Roman"/>
      <w:kern w:val="0"/>
      <w:sz w:val="24"/>
    </w:rPr>
  </w:style>
  <w:style w:type="paragraph" w:customStyle="1" w:styleId="61">
    <w:name w:val="Normal (Web)"/>
    <w:basedOn w:val="1"/>
    <w:autoRedefine/>
    <w:qFormat/>
    <w:uiPriority w:val="0"/>
    <w:pPr>
      <w:spacing w:before="0" w:beforeLines="0" w:beforeAutospacing="0" w:after="0" w:afterLines="0" w:afterAutospacing="0"/>
      <w:ind w:left="0" w:right="0"/>
      <w:jc w:val="left"/>
    </w:pPr>
    <w:rPr>
      <w:kern w:val="0"/>
      <w:sz w:val="24"/>
      <w:lang w:val="en-US" w:eastAsia="zh-CN"/>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题注5"/>
    <w:basedOn w:val="1"/>
    <w:next w:val="9"/>
    <w:autoRedefine/>
    <w:qFormat/>
    <w:uiPriority w:val="0"/>
    <w:pPr>
      <w:numPr>
        <w:ilvl w:val="1"/>
        <w:numId w:val="3"/>
      </w:numPr>
      <w:tabs>
        <w:tab w:val="left" w:pos="0"/>
        <w:tab w:val="left" w:pos="720"/>
      </w:tabs>
      <w:spacing w:line="360" w:lineRule="auto"/>
      <w:ind w:left="720" w:hanging="720"/>
    </w:pPr>
    <w:rPr>
      <w:b/>
      <w:color w:val="000000"/>
      <w:sz w:val="28"/>
      <w:szCs w:val="28"/>
    </w:rPr>
  </w:style>
  <w:style w:type="paragraph" w:customStyle="1" w:styleId="64">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5">
    <w:name w:val="正文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6">
    <w:name w:val="列表段落1"/>
    <w:basedOn w:val="1"/>
    <w:autoRedefine/>
    <w:qFormat/>
    <w:uiPriority w:val="0"/>
    <w:pPr>
      <w:ind w:firstLine="420" w:firstLineChars="200"/>
    </w:pPr>
    <w:rPr>
      <w:rFonts w:ascii="Calibri" w:hAnsi="Calibri" w:cs="黑体"/>
      <w:szCs w:val="22"/>
    </w:rPr>
  </w:style>
  <w:style w:type="character" w:customStyle="1" w:styleId="67">
    <w:name w:val="font41"/>
    <w:basedOn w:val="33"/>
    <w:autoRedefine/>
    <w:qFormat/>
    <w:uiPriority w:val="0"/>
    <w:rPr>
      <w:rFonts w:ascii="Arial" w:hAnsi="Arial" w:cs="Arial"/>
      <w:color w:val="000000"/>
      <w:sz w:val="20"/>
      <w:szCs w:val="20"/>
      <w:u w:val="none"/>
    </w:rPr>
  </w:style>
  <w:style w:type="character" w:customStyle="1" w:styleId="68">
    <w:name w:val="font241"/>
    <w:basedOn w:val="33"/>
    <w:autoRedefine/>
    <w:qFormat/>
    <w:uiPriority w:val="0"/>
    <w:rPr>
      <w:rFonts w:ascii="方正黑体_GBK" w:hAnsi="方正黑体_GBK" w:eastAsia="方正黑体_GBK" w:cs="方正黑体_GBK"/>
      <w:color w:val="000000"/>
      <w:sz w:val="44"/>
      <w:szCs w:val="44"/>
      <w:u w:val="none"/>
    </w:rPr>
  </w:style>
  <w:style w:type="character" w:customStyle="1" w:styleId="69">
    <w:name w:val="font11"/>
    <w:basedOn w:val="33"/>
    <w:autoRedefine/>
    <w:qFormat/>
    <w:uiPriority w:val="0"/>
    <w:rPr>
      <w:rFonts w:hint="default" w:ascii="Times New Roman" w:hAnsi="Times New Roman" w:cs="Times New Roman"/>
      <w:color w:val="000000"/>
      <w:sz w:val="44"/>
      <w:szCs w:val="44"/>
      <w:u w:val="none"/>
    </w:rPr>
  </w:style>
  <w:style w:type="character" w:customStyle="1" w:styleId="70">
    <w:name w:val="font91"/>
    <w:basedOn w:val="33"/>
    <w:autoRedefine/>
    <w:qFormat/>
    <w:uiPriority w:val="0"/>
    <w:rPr>
      <w:rFonts w:hint="default" w:ascii="Times New Roman" w:hAnsi="Times New Roman" w:cs="Times New Roman"/>
      <w:color w:val="000000"/>
      <w:sz w:val="28"/>
      <w:szCs w:val="28"/>
      <w:u w:val="none"/>
    </w:rPr>
  </w:style>
  <w:style w:type="character" w:customStyle="1" w:styleId="71">
    <w:name w:val="font121"/>
    <w:basedOn w:val="33"/>
    <w:autoRedefine/>
    <w:qFormat/>
    <w:uiPriority w:val="0"/>
    <w:rPr>
      <w:rFonts w:hint="eastAsia" w:ascii="宋体" w:hAnsi="宋体" w:eastAsia="宋体" w:cs="宋体"/>
      <w:color w:val="000000"/>
      <w:sz w:val="28"/>
      <w:szCs w:val="28"/>
      <w:u w:val="none"/>
    </w:rPr>
  </w:style>
  <w:style w:type="character" w:customStyle="1" w:styleId="72">
    <w:name w:val="font251"/>
    <w:basedOn w:val="33"/>
    <w:autoRedefine/>
    <w:qFormat/>
    <w:uiPriority w:val="0"/>
    <w:rPr>
      <w:rFonts w:hint="default" w:ascii="Times New Roman" w:hAnsi="Times New Roman" w:cs="Times New Roman"/>
      <w:color w:val="000000"/>
      <w:sz w:val="44"/>
      <w:szCs w:val="44"/>
      <w:u w:val="none"/>
    </w:rPr>
  </w:style>
  <w:style w:type="character" w:customStyle="1" w:styleId="73">
    <w:name w:val="font101"/>
    <w:basedOn w:val="33"/>
    <w:autoRedefine/>
    <w:qFormat/>
    <w:uiPriority w:val="0"/>
    <w:rPr>
      <w:rFonts w:hint="eastAsia" w:ascii="方正仿宋_GBK" w:hAnsi="方正仿宋_GBK" w:eastAsia="方正仿宋_GBK" w:cs="方正仿宋_GBK"/>
      <w:color w:val="000000"/>
      <w:sz w:val="44"/>
      <w:szCs w:val="44"/>
      <w:u w:val="none"/>
    </w:rPr>
  </w:style>
  <w:style w:type="character" w:customStyle="1" w:styleId="74">
    <w:name w:val="font131"/>
    <w:basedOn w:val="33"/>
    <w:autoRedefine/>
    <w:qFormat/>
    <w:uiPriority w:val="0"/>
    <w:rPr>
      <w:rFonts w:hint="eastAsia" w:ascii="方正仿宋_GBK" w:hAnsi="方正仿宋_GBK" w:eastAsia="方正仿宋_GBK" w:cs="方正仿宋_GBK"/>
      <w:color w:val="000000"/>
      <w:sz w:val="28"/>
      <w:szCs w:val="28"/>
      <w:u w:val="none"/>
    </w:rPr>
  </w:style>
  <w:style w:type="character" w:customStyle="1" w:styleId="75">
    <w:name w:val="font261"/>
    <w:basedOn w:val="33"/>
    <w:autoRedefine/>
    <w:qFormat/>
    <w:uiPriority w:val="0"/>
    <w:rPr>
      <w:rFonts w:ascii="Arial" w:hAnsi="Arial" w:cs="Arial"/>
      <w:color w:val="000000"/>
      <w:sz w:val="28"/>
      <w:szCs w:val="28"/>
      <w:u w:val="none"/>
    </w:rPr>
  </w:style>
  <w:style w:type="character" w:customStyle="1" w:styleId="76">
    <w:name w:val="font191"/>
    <w:basedOn w:val="33"/>
    <w:autoRedefine/>
    <w:qFormat/>
    <w:uiPriority w:val="0"/>
    <w:rPr>
      <w:rFonts w:hint="eastAsia" w:ascii="宋体" w:hAnsi="宋体" w:eastAsia="宋体" w:cs="宋体"/>
      <w:color w:val="000000"/>
      <w:sz w:val="28"/>
      <w:szCs w:val="28"/>
      <w:u w:val="none"/>
    </w:rPr>
  </w:style>
  <w:style w:type="character" w:customStyle="1" w:styleId="77">
    <w:name w:val="font271"/>
    <w:basedOn w:val="33"/>
    <w:autoRedefine/>
    <w:qFormat/>
    <w:uiPriority w:val="0"/>
    <w:rPr>
      <w:rFonts w:hint="default" w:ascii="Times New Roman" w:hAnsi="Times New Roman" w:cs="Times New Roman"/>
      <w:color w:val="000000"/>
      <w:sz w:val="28"/>
      <w:szCs w:val="28"/>
      <w:u w:val="none"/>
    </w:rPr>
  </w:style>
  <w:style w:type="character" w:customStyle="1" w:styleId="78">
    <w:name w:val="font231"/>
    <w:basedOn w:val="33"/>
    <w:autoRedefine/>
    <w:qFormat/>
    <w:uiPriority w:val="0"/>
    <w:rPr>
      <w:rFonts w:hint="eastAsia" w:ascii="方正仿宋_GBK" w:hAnsi="方正仿宋_GBK" w:eastAsia="方正仿宋_GBK" w:cs="方正仿宋_GBK"/>
      <w:color w:val="000000"/>
      <w:sz w:val="48"/>
      <w:szCs w:val="48"/>
      <w:u w:val="none"/>
    </w:rPr>
  </w:style>
  <w:style w:type="character" w:customStyle="1" w:styleId="79">
    <w:name w:val="font81"/>
    <w:basedOn w:val="33"/>
    <w:autoRedefine/>
    <w:qFormat/>
    <w:uiPriority w:val="0"/>
    <w:rPr>
      <w:rFonts w:hint="default" w:ascii="Times New Roman" w:hAnsi="Times New Roman" w:cs="Times New Roman"/>
      <w:color w:val="000000"/>
      <w:sz w:val="48"/>
      <w:szCs w:val="48"/>
      <w:u w:val="none"/>
    </w:rPr>
  </w:style>
  <w:style w:type="character" w:customStyle="1" w:styleId="80">
    <w:name w:val="font51"/>
    <w:basedOn w:val="33"/>
    <w:qFormat/>
    <w:uiPriority w:val="0"/>
    <w:rPr>
      <w:rFonts w:hint="default" w:ascii="方正仿宋_GBK" w:hAnsi="方正仿宋_GBK" w:eastAsia="方正仿宋_GBK" w:cs="方正仿宋_GBK"/>
      <w:color w:val="000000"/>
      <w:sz w:val="22"/>
      <w:szCs w:val="22"/>
      <w:u w:val="none"/>
    </w:rPr>
  </w:style>
  <w:style w:type="character" w:customStyle="1" w:styleId="81">
    <w:name w:val="font71"/>
    <w:basedOn w:val="33"/>
    <w:qFormat/>
    <w:uiPriority w:val="0"/>
    <w:rPr>
      <w:rFonts w:hint="default" w:ascii="方正仿宋_GBK" w:hAnsi="方正仿宋_GBK" w:eastAsia="方正仿宋_GBK" w:cs="方正仿宋_GBK"/>
      <w:color w:val="FF0000"/>
      <w:sz w:val="22"/>
      <w:szCs w:val="22"/>
      <w:u w:val="none"/>
    </w:r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null9"/>
    <w:qFormat/>
    <w:uiPriority w:val="0"/>
    <w:rPr>
      <w:rFonts w:hint="eastAsia" w:ascii="Times New Roman" w:hAnsi="Times New Roman" w:eastAsia="宋体" w:cs="Times New Roman"/>
      <w:sz w:val="18"/>
      <w:szCs w:val="18"/>
    </w:rPr>
  </w:style>
  <w:style w:type="paragraph" w:customStyle="1" w:styleId="8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5">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character" w:customStyle="1" w:styleId="86">
    <w:name w:val="标题 3 Char"/>
    <w:basedOn w:val="33"/>
    <w:link w:val="5"/>
    <w:qFormat/>
    <w:uiPriority w:val="0"/>
    <w:rPr>
      <w:rFonts w:ascii="Times New Roman" w:hAnsi="Times New Roman" w:eastAsia="楷体" w:cs="Times New Roman"/>
      <w:b/>
      <w:bCs/>
      <w:kern w:val="0"/>
      <w:sz w:val="32"/>
      <w:szCs w:val="32"/>
      <w:lang w:val="zh-CN"/>
    </w:rPr>
  </w:style>
  <w:style w:type="paragraph" w:customStyle="1" w:styleId="8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06ECC-EA8F-4E41-BC32-F0EDF5BE185C}">
  <ds:schemaRefs/>
</ds:datastoreItem>
</file>

<file path=docProps/app.xml><?xml version="1.0" encoding="utf-8"?>
<Properties xmlns="http://schemas.openxmlformats.org/officeDocument/2006/extended-properties" xmlns:vt="http://schemas.openxmlformats.org/officeDocument/2006/docPropsVTypes">
  <Template>Normal</Template>
  <Pages>90</Pages>
  <Words>4401</Words>
  <Characters>4995</Characters>
  <Lines>214</Lines>
  <Paragraphs>60</Paragraphs>
  <TotalTime>52</TotalTime>
  <ScaleCrop>false</ScaleCrop>
  <LinksUpToDate>false</LinksUpToDate>
  <CharactersWithSpaces>5168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2023-02-22T09:34:00Z</dcterms:created>
  <dc:creator>lenovo</dc:creator>
  <cp:lastModifiedBy>lenovo</cp:lastModifiedBy>
  <cp:lastPrinted>2024-05-30T05:14:00Z</cp:lastPrinted>
  <dcterms:modified xsi:type="dcterms:W3CDTF">2026-04-03T07:25:24Z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04053CFEF3F94B84BFA9CCF4512517F1_13</vt:lpwstr>
  </property>
  <property fmtid="{D5CDD505-2E9C-101B-9397-08002B2CF9AE}" pid="4" name="KSOTemplateDocerSaveRecord">
    <vt:lpwstr>eyJoZGlkIjoiYjMxM2UxZTMyMmYwZDNjNTM0ZGJlN2EwZTRhZjg3N2QiLCJ1c2VySWQiOiIyNzQ3NzE3MzIifQ==</vt:lpwstr>
  </property>
</Properties>
</file>