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A3CD">
      <w:pPr>
        <w:pStyle w:val="8"/>
        <w:bidi w:val="0"/>
        <w:rPr>
          <w:rFonts w:hint="eastAsia"/>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142875</wp:posOffset>
            </wp:positionV>
            <wp:extent cx="2002155" cy="744855"/>
            <wp:effectExtent l="0" t="0" r="17145" b="17145"/>
            <wp:wrapNone/>
            <wp:docPr id="1" name="图片 2" descr="国德左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德左右"/>
                    <pic:cNvPicPr>
                      <a:picLocks noChangeAspect="1"/>
                    </pic:cNvPicPr>
                  </pic:nvPicPr>
                  <pic:blipFill>
                    <a:blip r:embed="rId7"/>
                    <a:stretch>
                      <a:fillRect/>
                    </a:stretch>
                  </pic:blipFill>
                  <pic:spPr>
                    <a:xfrm>
                      <a:off x="0" y="0"/>
                      <a:ext cx="2002155" cy="744855"/>
                    </a:xfrm>
                    <a:prstGeom prst="rect">
                      <a:avLst/>
                    </a:prstGeom>
                    <a:noFill/>
                    <a:ln>
                      <a:noFill/>
                    </a:ln>
                  </pic:spPr>
                </pic:pic>
              </a:graphicData>
            </a:graphic>
          </wp:anchor>
        </w:drawing>
      </w:r>
    </w:p>
    <w:p w14:paraId="2B0B403A">
      <w:pPr>
        <w:pStyle w:val="11"/>
        <w:wordWrap/>
        <w:spacing w:before="157" w:beforeLines="50" w:line="560" w:lineRule="exact"/>
        <w:jc w:val="center"/>
        <w:rPr>
          <w:rFonts w:hint="eastAsia" w:ascii="隶书" w:hAnsi="华文中宋" w:eastAsia="隶书"/>
          <w:sz w:val="84"/>
          <w:szCs w:val="84"/>
        </w:rPr>
      </w:pPr>
    </w:p>
    <w:p w14:paraId="4E7D61DF">
      <w:pPr>
        <w:pStyle w:val="11"/>
        <w:wordWrap/>
        <w:spacing w:before="157" w:beforeLines="50" w:line="560" w:lineRule="exact"/>
        <w:jc w:val="center"/>
        <w:rPr>
          <w:rFonts w:hint="eastAsia" w:ascii="隶书" w:hAnsi="华文中宋" w:eastAsia="隶书"/>
          <w:sz w:val="84"/>
          <w:szCs w:val="84"/>
        </w:rPr>
      </w:pPr>
    </w:p>
    <w:p w14:paraId="70E7D21E">
      <w:pPr>
        <w:pStyle w:val="11"/>
        <w:wordWrap/>
        <w:spacing w:before="157" w:beforeLines="50" w:line="560" w:lineRule="exact"/>
        <w:jc w:val="center"/>
        <w:rPr>
          <w:rFonts w:hint="eastAsia" w:ascii="隶书" w:hAnsi="华文中宋" w:eastAsia="隶书"/>
          <w:sz w:val="84"/>
          <w:szCs w:val="84"/>
        </w:rPr>
      </w:pPr>
    </w:p>
    <w:p w14:paraId="7A935CAC">
      <w:pPr>
        <w:pStyle w:val="11"/>
        <w:widowControl w:val="0"/>
        <w:wordWrap/>
        <w:spacing w:before="313" w:beforeLines="100" w:line="560" w:lineRule="exact"/>
        <w:jc w:val="center"/>
        <w:textAlignment w:val="auto"/>
        <w:rPr>
          <w:rFonts w:hint="eastAsia" w:ascii="华文中宋" w:hAnsi="华文中宋" w:eastAsia="华文中宋" w:cs="华文中宋"/>
          <w:sz w:val="84"/>
          <w:szCs w:val="84"/>
        </w:rPr>
      </w:pPr>
    </w:p>
    <w:p w14:paraId="11862240">
      <w:pPr>
        <w:pStyle w:val="11"/>
        <w:widowControl w:val="0"/>
        <w:wordWrap/>
        <w:spacing w:before="313" w:beforeLines="100" w:line="560" w:lineRule="exact"/>
        <w:jc w:val="center"/>
        <w:textAlignment w:val="auto"/>
        <w:rPr>
          <w:rFonts w:hint="eastAsia" w:ascii="华文中宋" w:hAnsi="华文中宋" w:eastAsia="华文中宋" w:cs="华文中宋"/>
          <w:bCs/>
          <w:sz w:val="84"/>
          <w:szCs w:val="84"/>
        </w:rPr>
      </w:pPr>
      <w:r>
        <w:rPr>
          <w:rFonts w:hint="eastAsia" w:ascii="华文中宋" w:hAnsi="华文中宋" w:eastAsia="华文中宋" w:cs="华文中宋"/>
          <w:sz w:val="84"/>
          <w:szCs w:val="84"/>
        </w:rPr>
        <w:t>政府采购</w:t>
      </w:r>
    </w:p>
    <w:p w14:paraId="7EDC1274">
      <w:pPr>
        <w:pStyle w:val="11"/>
        <w:widowControl w:val="0"/>
        <w:wordWrap/>
        <w:adjustRightInd w:val="0"/>
        <w:snapToGrid w:val="0"/>
        <w:spacing w:before="313" w:beforeLines="100" w:line="240" w:lineRule="auto"/>
        <w:ind w:left="0" w:leftChars="0" w:firstLine="0" w:firstLineChars="0"/>
        <w:jc w:val="center"/>
        <w:textAlignment w:val="auto"/>
        <w:rPr>
          <w:rFonts w:ascii="Tahoma" w:hAnsi="Tahoma" w:cs="Tahoma"/>
          <w:sz w:val="20"/>
          <w:szCs w:val="20"/>
        </w:rPr>
      </w:pPr>
      <w:r>
        <w:rPr>
          <w:rFonts w:hint="eastAsia" w:ascii="华文中宋" w:hAnsi="华文中宋" w:eastAsia="华文中宋" w:cs="华文中宋"/>
          <w:sz w:val="84"/>
          <w:szCs w:val="84"/>
        </w:rPr>
        <w:t>竞争性谈判文件</w:t>
      </w:r>
    </w:p>
    <w:p w14:paraId="4984F6CB">
      <w:pPr>
        <w:pStyle w:val="7"/>
        <w:widowControl w:val="0"/>
        <w:wordWrap/>
        <w:adjustRightInd w:val="0"/>
        <w:snapToGrid w:val="0"/>
        <w:spacing w:before="313" w:beforeLines="100"/>
        <w:ind w:left="2633" w:leftChars="554" w:hangingChars="700"/>
        <w:textAlignment w:val="auto"/>
      </w:pPr>
    </w:p>
    <w:p w14:paraId="5B0EDCA7">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17536676">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7903390A">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b/>
          <w:bCs/>
          <w:spacing w:val="7"/>
          <w:sz w:val="31"/>
          <w:szCs w:val="31"/>
          <w:lang w:eastAsia="zh-CN"/>
        </w:rPr>
      </w:pPr>
      <w:r>
        <w:rPr>
          <w:rFonts w:ascii="宋体" w:hAnsi="宋体" w:eastAsia="宋体" w:cs="宋体"/>
          <w:b/>
          <w:bCs/>
          <w:spacing w:val="7"/>
          <w:sz w:val="31"/>
          <w:szCs w:val="31"/>
        </w:rPr>
        <w:t>采购项目名称：</w:t>
      </w:r>
      <w:r>
        <w:rPr>
          <w:rFonts w:hint="eastAsia" w:ascii="宋体" w:hAnsi="宋体" w:cs="宋体"/>
          <w:b/>
          <w:bCs/>
          <w:spacing w:val="7"/>
          <w:sz w:val="31"/>
          <w:szCs w:val="31"/>
          <w:lang w:eastAsia="zh-CN"/>
        </w:rPr>
        <w:t>海南州公安局警用装备采购</w:t>
      </w:r>
    </w:p>
    <w:p w14:paraId="4B47AA4F">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政府采购编号：</w:t>
      </w:r>
      <w:r>
        <w:rPr>
          <w:rFonts w:hint="eastAsia" w:ascii="宋体" w:hAnsi="宋体" w:cs="宋体"/>
          <w:b/>
          <w:bCs/>
          <w:spacing w:val="6"/>
          <w:sz w:val="31"/>
          <w:szCs w:val="31"/>
          <w:lang w:eastAsia="zh-CN"/>
        </w:rPr>
        <w:t>青海国德竞谈（货物）2026-031</w:t>
      </w:r>
    </w:p>
    <w:p w14:paraId="5FF6D95F">
      <w:pPr>
        <w:keepNext w:val="0"/>
        <w:keepLines w:val="0"/>
        <w:pageBreakBefore w:val="0"/>
        <w:widowControl w:val="0"/>
        <w:kinsoku/>
        <w:wordWrap/>
        <w:overflowPunct/>
        <w:topLinePunct w:val="0"/>
        <w:autoSpaceDE/>
        <w:autoSpaceDN/>
        <w:bidi w:val="0"/>
        <w:adjustRightInd/>
        <w:snapToGrid/>
        <w:spacing w:before="250"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cs="宋体"/>
          <w:b/>
          <w:bCs/>
          <w:spacing w:val="6"/>
          <w:sz w:val="31"/>
          <w:szCs w:val="31"/>
          <w:lang w:eastAsia="zh-CN"/>
        </w:rPr>
        <w:t>海南藏族自治州公安局</w:t>
      </w:r>
    </w:p>
    <w:p w14:paraId="57C1C9C3">
      <w:pPr>
        <w:keepNext w:val="0"/>
        <w:keepLines w:val="0"/>
        <w:pageBreakBefore w:val="0"/>
        <w:widowControl w:val="0"/>
        <w:kinsoku/>
        <w:wordWrap/>
        <w:overflowPunct/>
        <w:topLinePunct w:val="0"/>
        <w:autoSpaceDE/>
        <w:autoSpaceDN/>
        <w:bidi w:val="0"/>
        <w:adjustRightInd/>
        <w:snapToGrid/>
        <w:spacing w:before="253" w:line="360" w:lineRule="auto"/>
        <w:ind w:left="255"/>
        <w:textAlignment w:val="auto"/>
        <w:rPr>
          <w:rFonts w:ascii="宋体" w:hAnsi="宋体" w:eastAsia="宋体" w:cs="宋体"/>
          <w:sz w:val="31"/>
          <w:szCs w:val="31"/>
        </w:rPr>
      </w:pPr>
      <w:r>
        <w:rPr>
          <w:rFonts w:ascii="宋体" w:hAnsi="宋体" w:eastAsia="宋体" w:cs="宋体"/>
          <w:b/>
          <w:bCs/>
          <w:spacing w:val="7"/>
          <w:sz w:val="31"/>
          <w:szCs w:val="31"/>
        </w:rPr>
        <w:t>采购代理机构：青海国德招标代理有限公司</w:t>
      </w:r>
    </w:p>
    <w:p w14:paraId="2FC9DF69">
      <w:pPr>
        <w:spacing w:line="224" w:lineRule="auto"/>
        <w:rPr>
          <w:rFonts w:ascii="宋体" w:hAnsi="宋体" w:eastAsia="宋体" w:cs="宋体"/>
          <w:sz w:val="31"/>
          <w:szCs w:val="31"/>
        </w:rPr>
      </w:pPr>
    </w:p>
    <w:p w14:paraId="2A45DD54">
      <w:pPr>
        <w:spacing w:line="224" w:lineRule="auto"/>
        <w:rPr>
          <w:rFonts w:ascii="宋体" w:hAnsi="宋体" w:eastAsia="宋体" w:cs="宋体"/>
          <w:sz w:val="31"/>
          <w:szCs w:val="31"/>
        </w:rPr>
      </w:pPr>
    </w:p>
    <w:p w14:paraId="080E5358">
      <w:pPr>
        <w:spacing w:line="224" w:lineRule="auto"/>
        <w:jc w:val="center"/>
        <w:rPr>
          <w:rFonts w:hint="default" w:ascii="宋体" w:hAnsi="宋体" w:eastAsia="宋体" w:cs="宋体"/>
          <w:b/>
          <w:bCs/>
          <w:sz w:val="30"/>
          <w:szCs w:val="30"/>
          <w:lang w:val="en-US" w:eastAsia="zh-CN"/>
        </w:rPr>
        <w:sectPr>
          <w:headerReference r:id="rId3" w:type="default"/>
          <w:footerReference r:id="rId4" w:type="default"/>
          <w:pgSz w:w="11906" w:h="16839"/>
          <w:pgMar w:top="892" w:right="1377" w:bottom="2715" w:left="1324" w:header="0" w:footer="2338" w:gutter="0"/>
          <w:cols w:space="720" w:num="1"/>
          <w:titlePg/>
        </w:sectPr>
      </w:pPr>
      <w:r>
        <w:rPr>
          <w:rFonts w:hint="eastAsia" w:ascii="宋体" w:hAnsi="宋体" w:eastAsia="宋体" w:cs="宋体"/>
          <w:b/>
          <w:bCs/>
          <w:sz w:val="30"/>
          <w:szCs w:val="30"/>
          <w:lang w:val="en-US" w:eastAsia="zh-CN"/>
        </w:rPr>
        <w:t>2026年04月</w:t>
      </w:r>
    </w:p>
    <w:p w14:paraId="74EF98C6">
      <w:pPr>
        <w:spacing w:before="0" w:beforeLines="0" w:after="0" w:afterLines="0" w:line="240" w:lineRule="auto"/>
        <w:ind w:left="0" w:leftChars="0" w:right="0" w:firstLine="0" w:firstLineChars="0"/>
        <w:jc w:val="center"/>
        <w:rPr>
          <w:sz w:val="30"/>
          <w:szCs w:val="30"/>
        </w:rPr>
      </w:pPr>
      <w:r>
        <w:rPr>
          <w:rFonts w:hint="eastAsia" w:ascii="华文中宋" w:hAnsi="华文中宋" w:eastAsia="华文中宋" w:cs="华文中宋"/>
          <w:sz w:val="30"/>
          <w:szCs w:val="30"/>
        </w:rPr>
        <w:t>目</w:t>
      </w:r>
      <w:r>
        <w:rPr>
          <w:rFonts w:hint="eastAsia" w:ascii="华文中宋" w:hAnsi="华文中宋" w:eastAsia="华文中宋" w:cs="华文中宋"/>
          <w:sz w:val="30"/>
          <w:szCs w:val="30"/>
          <w:lang w:val="en-US" w:eastAsia="zh-CN"/>
        </w:rPr>
        <w:t xml:space="preserve">  </w:t>
      </w:r>
      <w:r>
        <w:rPr>
          <w:rFonts w:hint="eastAsia" w:ascii="华文中宋" w:hAnsi="华文中宋" w:eastAsia="华文中宋" w:cs="华文中宋"/>
          <w:sz w:val="30"/>
          <w:szCs w:val="30"/>
        </w:rPr>
        <w:t>录</w:t>
      </w:r>
    </w:p>
    <w:p w14:paraId="2A26AED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sz w:val="32"/>
          <w:szCs w:val="32"/>
        </w:rPr>
        <w:fldChar w:fldCharType="begin"/>
      </w:r>
      <w:r>
        <w:rPr>
          <w:sz w:val="32"/>
          <w:szCs w:val="32"/>
        </w:rPr>
        <w:instrText xml:space="preserve">TOC \o "1-3" \h \u </w:instrText>
      </w:r>
      <w:r>
        <w:rPr>
          <w:sz w:val="32"/>
          <w:szCs w:val="32"/>
        </w:rPr>
        <w:fldChar w:fldCharType="separate"/>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第一部分 谈判邀请</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B5FF213">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第二部分 谈判须知</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61A76E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一、说明</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6263578">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1.适用范围</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98147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2.采购人及代理机构</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0BCB1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3.供应商的资格要求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229B14F">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4.谈判费用</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7125F6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二、谈判文件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7890FA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5.谈判文件的组成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F3B23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6.谈判文件的澄清</w:t>
      </w:r>
      <w:r>
        <w:rPr>
          <w:rFonts w:hint="eastAsia" w:ascii="宋体" w:hAnsi="宋体" w:eastAsia="宋体" w:cs="宋体"/>
          <w:bCs/>
          <w:kern w:val="2"/>
          <w:sz w:val="24"/>
          <w:szCs w:val="24"/>
          <w:lang w:val="zh-CN" w:eastAsia="zh-CN" w:bidi="ar-SA"/>
        </w:rPr>
        <w:t>或者</w:t>
      </w:r>
      <w:r>
        <w:rPr>
          <w:rFonts w:hint="eastAsia" w:ascii="宋体" w:hAnsi="宋体" w:eastAsia="宋体" w:cs="宋体"/>
          <w:bCs/>
          <w:kern w:val="2"/>
          <w:sz w:val="24"/>
          <w:szCs w:val="24"/>
          <w:lang w:val="en-US" w:eastAsia="zh-CN" w:bidi="ar-SA"/>
        </w:rPr>
        <w:t>修改</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7B40EE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7.谈判文件的询问或质疑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931936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三、响应文件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6D488D3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8.一般要求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C86220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9.报价要求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0605EE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10.保证金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B8455A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11.响应文件的组成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126F6D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12.响应文件有效期</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40DD023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_Toc17034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13.响应文件的签署及规定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165B6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_Toc7979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_Toc7979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97FCCE">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_Toc25546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14.响应文件的密封和标记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_Toc25546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B2B3B2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_Toc5660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15.响应文件的递交与接收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_Toc5660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C7B68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_Toc3974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16.响应文件的</w:t>
      </w:r>
      <w:r>
        <w:rPr>
          <w:rFonts w:hint="eastAsia" w:ascii="宋体" w:hAnsi="宋体" w:eastAsia="宋体" w:cs="宋体"/>
          <w:bCs/>
          <w:kern w:val="2"/>
          <w:sz w:val="24"/>
          <w:szCs w:val="24"/>
          <w:lang w:val="zh-CN" w:eastAsia="zh-CN" w:bidi="ar-SA"/>
        </w:rPr>
        <w:t>补充、修改或者撤回</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_Toc3974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C9908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五、响应文件的评审与谈判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_Toc32597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9B522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_Toc13366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17.谈判小组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_Toc13366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B5FFC8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18.响应文件审查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_Toc32601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FF749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_Toc15500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19.谈判程序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_Toc15500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9C7B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20.澄清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_Toc21836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838EEA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_Toc21875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21.退出谈判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_Toc21875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1F1E46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22.最后报价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_Toc887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231B6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23.确定成交供应商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13819F4">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24.重新评审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7B1BE3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_Toc8463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25.谈判终止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_Toc8463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26FE6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_Toc20574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26.串通情形认定及处理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_Toc20574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ED78D7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六、成交结果信息公布与授予合同</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6</w:t>
      </w:r>
    </w:p>
    <w:p w14:paraId="0F73BA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_Toc28490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27.成交信息的公布与通知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_Toc28490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04F5E3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28.授予合同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_Toc1580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3025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_Toc14343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29.履约验收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_Toc14343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CA3853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七、询问与质疑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_Toc2728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0FDE9F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_Toc14109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30.对采购过程、结果的询问及质疑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_Toc14109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580A7F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_Toc28133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八、政府采购政策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_Toc28133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8AA48A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31.政府采购政策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_Toc22921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1660504">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九、其他规定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_Toc22869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69F8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_Toc31158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32.代理服务费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DBBC8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_Toc16758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33.其他规定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146C8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_Toc5886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highlight w:val="none"/>
          <w:lang w:val="en-US" w:eastAsia="zh-CN"/>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_Toc5886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35DDE0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2E0056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_Toc10839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十一、重要指标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_Toc10839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5128D9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_Toc1325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第四部分</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2C0F7B2">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十二、谈判响应文件的组成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_Toc2376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18F112">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_Toc4049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（一）资格审查部分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_Toc4049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55CC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（二）有效性、完整性、响应程度审查部分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_Toc4501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BA946B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_Toc8795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十三、谈判响应文件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_Toc8795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87D17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_Toc27464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3ACC0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_Toc9845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E500E2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_Toc23551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DFD2C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_Toc19298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025EFC">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_Toc15780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31FFD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_Toc5195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76AA7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_Toc31744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E80C0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_Toc26128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86116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_Toc22471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6E6044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_Toc30881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8D8BA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_Toc25351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9630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0C329B2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78DADC7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p>
    <w:p w14:paraId="2215DFA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6347FB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6BD5BBE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2</w:t>
      </w:r>
    </w:p>
    <w:p w14:paraId="64F8324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3DD6A4A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1C4AF8B1">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_Toc4685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第五部分</w:t>
      </w:r>
      <w:r>
        <w:rPr>
          <w:rFonts w:hint="eastAsia" w:ascii="宋体" w:hAnsi="宋体" w:eastAsia="宋体" w:cs="宋体"/>
          <w:bCs w:val="0"/>
          <w:sz w:val="24"/>
          <w:szCs w:val="24"/>
        </w:rPr>
        <w:t xml:space="preserve"> 青海省政府采购项目合同书范本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_Toc4685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DEEE71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_Toc13776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rPr>
        <w:t>（货物类）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_Toc13776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C102A68">
      <w:r>
        <w:rPr>
          <w:rFonts w:ascii="Times New Roman" w:hAnsi="Times New Roman" w:eastAsia="宋体" w:cs="Times New Roman"/>
          <w:kern w:val="2"/>
          <w:szCs w:val="32"/>
          <w:lang w:val="en-US" w:eastAsia="zh-CN" w:bidi="ar-SA"/>
        </w:rPr>
        <w:br w:type="page"/>
      </w:r>
    </w:p>
    <w:p w14:paraId="4E58F77C">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val="0"/>
          <w:bCs w:val="0"/>
          <w:color w:val="auto"/>
          <w:kern w:val="2"/>
          <w:sz w:val="44"/>
          <w:szCs w:val="44"/>
          <w:lang w:val="en-US" w:eastAsia="zh-CN" w:bidi="ar-SA"/>
        </w:rPr>
      </w:pPr>
      <w:r>
        <w:rPr>
          <w:rFonts w:ascii="Times New Roman" w:hAnsi="Times New Roman" w:eastAsia="宋体" w:cs="Times New Roman"/>
          <w:kern w:val="2"/>
          <w:szCs w:val="32"/>
          <w:lang w:val="en-US" w:eastAsia="zh-CN" w:bidi="ar-SA"/>
        </w:rPr>
        <w:fldChar w:fldCharType="end"/>
      </w:r>
      <w:bookmarkStart w:id="0" w:name="_Toc20903"/>
      <w:bookmarkStart w:id="1" w:name="_Toc783"/>
      <w:r>
        <w:rPr>
          <w:rFonts w:hint="eastAsia" w:ascii="宋体" w:hAnsi="宋体" w:eastAsia="宋体" w:cs="宋体"/>
          <w:b w:val="0"/>
          <w:bCs w:val="0"/>
          <w:color w:val="auto"/>
          <w:kern w:val="2"/>
          <w:sz w:val="36"/>
          <w:szCs w:val="36"/>
          <w:lang w:val="en-US" w:eastAsia="zh-CN" w:bidi="ar-SA"/>
        </w:rPr>
        <w:t xml:space="preserve">第一部分   </w:t>
      </w:r>
      <w:r>
        <w:rPr>
          <w:rFonts w:hint="eastAsia" w:cs="Times New Roman"/>
          <w:kern w:val="2"/>
          <w:szCs w:val="32"/>
          <w:lang w:val="en-US" w:eastAsia="zh-CN" w:bidi="ar-SA"/>
        </w:rPr>
        <w:t xml:space="preserve"> </w:t>
      </w:r>
      <w:r>
        <w:rPr>
          <w:rFonts w:hint="eastAsia" w:ascii="宋体" w:hAnsi="宋体" w:eastAsia="宋体" w:cs="宋体"/>
          <w:b w:val="0"/>
          <w:bCs w:val="0"/>
          <w:color w:val="auto"/>
          <w:kern w:val="2"/>
          <w:sz w:val="36"/>
          <w:szCs w:val="36"/>
          <w:lang w:val="en-US" w:eastAsia="zh-CN" w:bidi="ar-SA"/>
        </w:rPr>
        <w:t>谈判</w:t>
      </w:r>
      <w:bookmarkEnd w:id="0"/>
      <w:r>
        <w:rPr>
          <w:rFonts w:hint="eastAsia" w:ascii="宋体" w:hAnsi="宋体" w:eastAsia="宋体" w:cs="宋体"/>
          <w:b w:val="0"/>
          <w:bCs w:val="0"/>
          <w:color w:val="auto"/>
          <w:kern w:val="2"/>
          <w:sz w:val="36"/>
          <w:szCs w:val="36"/>
          <w:lang w:val="en-US" w:eastAsia="zh-CN" w:bidi="ar-SA"/>
        </w:rPr>
        <w:t>邀请</w:t>
      </w:r>
      <w:bookmarkEnd w:id="1"/>
    </w:p>
    <w:p w14:paraId="26C7291F">
      <w:pPr>
        <w:numPr>
          <w:ilvl w:val="0"/>
          <w:numId w:val="0"/>
        </w:numPr>
        <w:rPr>
          <w:rFonts w:hint="eastAsia"/>
        </w:rPr>
      </w:pPr>
    </w:p>
    <w:tbl>
      <w:tblPr>
        <w:tblStyle w:val="20"/>
        <w:tblW w:w="10178" w:type="dxa"/>
        <w:tblInd w:w="-64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10"/>
        <w:gridCol w:w="7668"/>
      </w:tblGrid>
      <w:tr w14:paraId="220D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trPr>
        <w:tc>
          <w:tcPr>
            <w:tcW w:w="2510" w:type="dxa"/>
            <w:tcBorders>
              <w:tl2br w:val="nil"/>
              <w:tr2bl w:val="nil"/>
            </w:tcBorders>
            <w:vAlign w:val="center"/>
          </w:tcPr>
          <w:p w14:paraId="189D6B42">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w:t>
            </w:r>
            <w:r>
              <w:rPr>
                <w:rFonts w:hint="eastAsia" w:ascii="宋体" w:hAnsi="宋体" w:eastAsia="宋体" w:cs="宋体"/>
                <w:color w:val="auto"/>
                <w:sz w:val="24"/>
                <w:szCs w:val="24"/>
                <w:lang w:eastAsia="zh-CN"/>
              </w:rPr>
              <w:t>名称</w:t>
            </w:r>
          </w:p>
        </w:tc>
        <w:tc>
          <w:tcPr>
            <w:tcW w:w="7668" w:type="dxa"/>
            <w:tcBorders>
              <w:tl2br w:val="nil"/>
              <w:tr2bl w:val="nil"/>
            </w:tcBorders>
            <w:vAlign w:val="top"/>
          </w:tcPr>
          <w:p w14:paraId="7C6B398B">
            <w:pPr>
              <w:wordWrap/>
              <w:adjustRightInd w:val="0"/>
              <w:snapToGrid w:val="0"/>
              <w:spacing w:before="157" w:beforeLines="50" w:line="56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海南州公安局警用装备采购</w:t>
            </w:r>
          </w:p>
        </w:tc>
      </w:tr>
      <w:tr w14:paraId="3E1BC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174797">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tc>
        <w:tc>
          <w:tcPr>
            <w:tcW w:w="7668" w:type="dxa"/>
            <w:tcBorders>
              <w:tl2br w:val="nil"/>
              <w:tr2bl w:val="nil"/>
            </w:tcBorders>
            <w:vAlign w:val="top"/>
          </w:tcPr>
          <w:p w14:paraId="42CB0ED7">
            <w:pPr>
              <w:wordWrap/>
              <w:adjustRightInd w:val="0"/>
              <w:snapToGrid w:val="0"/>
              <w:spacing w:before="157" w:beforeLines="50" w:line="560" w:lineRule="exact"/>
              <w:jc w:val="left"/>
              <w:rPr>
                <w:rFonts w:hint="eastAsia" w:ascii="宋体" w:hAnsi="宋体" w:eastAsia="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青海国德竞谈（货物）2026-031</w:t>
            </w:r>
          </w:p>
        </w:tc>
      </w:tr>
      <w:tr w14:paraId="7550E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D325F89">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采购方式</w:t>
            </w:r>
          </w:p>
        </w:tc>
        <w:tc>
          <w:tcPr>
            <w:tcW w:w="7668" w:type="dxa"/>
            <w:tcBorders>
              <w:tl2br w:val="nil"/>
              <w:tr2bl w:val="nil"/>
            </w:tcBorders>
            <w:vAlign w:val="top"/>
          </w:tcPr>
          <w:p w14:paraId="7FB22922">
            <w:pPr>
              <w:wordWrap/>
              <w:adjustRightInd w:val="0"/>
              <w:snapToGrid w:val="0"/>
              <w:spacing w:before="157" w:beforeLines="50" w:line="5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w:t>
            </w:r>
          </w:p>
        </w:tc>
      </w:tr>
      <w:tr w14:paraId="5F10A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8F454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采购预算额度</w:t>
            </w:r>
          </w:p>
        </w:tc>
        <w:tc>
          <w:tcPr>
            <w:tcW w:w="7668" w:type="dxa"/>
            <w:tcBorders>
              <w:tl2br w:val="nil"/>
              <w:tr2bl w:val="nil"/>
            </w:tcBorders>
            <w:vAlign w:val="top"/>
          </w:tcPr>
          <w:p w14:paraId="7A6A7761">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256</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000.00元</w:t>
            </w:r>
            <w:r>
              <w:rPr>
                <w:rFonts w:hint="eastAsia" w:ascii="宋体" w:hAnsi="宋体" w:cs="宋体"/>
                <w:sz w:val="24"/>
                <w:szCs w:val="24"/>
                <w:lang w:val="en-US" w:eastAsia="zh-CN"/>
              </w:rPr>
              <w:t>（大写：贰佰伍拾陆万元整）</w:t>
            </w:r>
          </w:p>
          <w:p w14:paraId="07EDD183">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包一：727680.00（大写：柒拾贰万柒仟陆佰捌拾元整）</w:t>
            </w:r>
          </w:p>
          <w:p w14:paraId="79BB3D93">
            <w:pPr>
              <w:wordWrap/>
              <w:adjustRightInd w:val="0"/>
              <w:snapToGrid w:val="0"/>
              <w:spacing w:before="157" w:beforeLines="50"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包二：1832320.00（大写：壹佰捌拾叁万贰仟叁佰贰拾元整）</w:t>
            </w:r>
          </w:p>
        </w:tc>
      </w:tr>
      <w:tr w14:paraId="251C8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atLeast"/>
        </w:trPr>
        <w:tc>
          <w:tcPr>
            <w:tcW w:w="2510" w:type="dxa"/>
            <w:tcBorders>
              <w:tl2br w:val="nil"/>
              <w:tr2bl w:val="nil"/>
            </w:tcBorders>
            <w:vAlign w:val="center"/>
          </w:tcPr>
          <w:p w14:paraId="132786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项目分包个数</w:t>
            </w:r>
          </w:p>
        </w:tc>
        <w:tc>
          <w:tcPr>
            <w:tcW w:w="7668" w:type="dxa"/>
            <w:tcBorders>
              <w:tl2br w:val="nil"/>
              <w:tr2bl w:val="nil"/>
            </w:tcBorders>
            <w:vAlign w:val="top"/>
          </w:tcPr>
          <w:p w14:paraId="6E3A10F9">
            <w:pPr>
              <w:wordWrap/>
              <w:adjustRightInd w:val="0"/>
              <w:snapToGrid w:val="0"/>
              <w:spacing w:before="157" w:beforeLines="50" w:line="56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2个包</w:t>
            </w:r>
          </w:p>
        </w:tc>
      </w:tr>
      <w:tr w14:paraId="01F06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C6342D4">
            <w:pPr>
              <w:wordWrap/>
              <w:adjustRightInd w:val="0"/>
              <w:snapToGrid w:val="0"/>
              <w:spacing w:before="157" w:beforeLines="50" w:line="560" w:lineRule="exact"/>
              <w:rPr>
                <w:rFonts w:hint="eastAsia" w:ascii="宋体" w:hAnsi="宋体" w:eastAsia="宋体" w:cs="宋体"/>
                <w:sz w:val="24"/>
                <w:szCs w:val="24"/>
              </w:rPr>
            </w:pPr>
            <w:r>
              <w:rPr>
                <w:rFonts w:hint="eastAsia" w:ascii="宋体" w:hAnsi="宋体" w:eastAsia="宋体" w:cs="宋体"/>
                <w:bCs/>
                <w:sz w:val="24"/>
                <w:szCs w:val="24"/>
              </w:rPr>
              <w:t>供应商</w:t>
            </w:r>
            <w:r>
              <w:rPr>
                <w:rFonts w:hint="eastAsia" w:ascii="宋体" w:hAnsi="宋体" w:eastAsia="宋体" w:cs="宋体"/>
                <w:sz w:val="24"/>
                <w:szCs w:val="24"/>
              </w:rPr>
              <w:t>资格条件</w:t>
            </w:r>
          </w:p>
        </w:tc>
        <w:tc>
          <w:tcPr>
            <w:tcW w:w="7668" w:type="dxa"/>
            <w:tcBorders>
              <w:tl2br w:val="nil"/>
              <w:tr2bl w:val="nil"/>
            </w:tcBorders>
            <w:vAlign w:val="top"/>
          </w:tcPr>
          <w:p w14:paraId="23B447C9">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1、符合《政府采购法》第 22 条条件，并提供下列材料：</w:t>
            </w:r>
          </w:p>
          <w:p w14:paraId="6BF68003">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（1）供应商的营业执照等证明文件， 自然人的身份证明。</w:t>
            </w:r>
          </w:p>
          <w:p w14:paraId="2E9EAF2D">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（2）财务状况报告，依法缴纳税收和社会保障资金的相关材料。</w:t>
            </w:r>
          </w:p>
          <w:p w14:paraId="414FC69A">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（3）具备履行合同所必需的设备和专业技术能力的证明材料。</w:t>
            </w:r>
          </w:p>
          <w:p w14:paraId="1C77C044">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（4）参加政府采购活动前 3 年内在经营活动中没有重大违法记录的书面声明。</w:t>
            </w:r>
          </w:p>
          <w:p w14:paraId="48F2741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（5）具备法律、行政法规规定的其他条件的证明材料。</w:t>
            </w:r>
          </w:p>
          <w:p w14:paraId="27C60BF2">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2、单位负责人为同一人或者存在直接控股、管理关系的不同供应商，不得参加同一合同项下的政府采购活动。否则，皆取消投标资格；</w:t>
            </w:r>
          </w:p>
          <w:p w14:paraId="5CED72F8">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3、为本采购项目提供整体设计、规范编制或者项目管理、监理、检测等服务的供应商，不得再参加该采购项目的其他采购活动；</w:t>
            </w:r>
          </w:p>
          <w:p w14:paraId="2E76C10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4、本项目不接受供应商以联合体方式进行响应；</w:t>
            </w:r>
          </w:p>
          <w:p w14:paraId="60686CD3">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经信用中国（www.creditchina.gov.cn）、中国政府采购网（www.ccgp.gov.cn）等渠道查询后，列入失信被执行人、重大税收违法案件当事人名单、政府采购严重违法失信行为记录名单的，取消投标资格。</w:t>
            </w:r>
          </w:p>
          <w:p w14:paraId="6CEAC0FC">
            <w:pPr>
              <w:widowControl w:val="0"/>
              <w:numPr>
                <w:ilvl w:val="0"/>
                <w:numId w:val="1"/>
              </w:numPr>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落实政府采购政策需满足的资格要求：本项目属于专门面对中小企业预留项目，供应商为中小企业/小微企业（请根据要求上传《中小企业声明函》，格式以采购文件要求为准）。</w:t>
            </w:r>
          </w:p>
        </w:tc>
      </w:tr>
      <w:tr w14:paraId="0CCC2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66161B2">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rPr>
              <w:t>是否接收联合体形式</w:t>
            </w:r>
          </w:p>
        </w:tc>
        <w:tc>
          <w:tcPr>
            <w:tcW w:w="7668" w:type="dxa"/>
            <w:tcBorders>
              <w:tl2br w:val="nil"/>
              <w:tr2bl w:val="nil"/>
            </w:tcBorders>
            <w:vAlign w:val="center"/>
          </w:tcPr>
          <w:p w14:paraId="60F076CF">
            <w:pPr>
              <w:widowControl w:val="0"/>
              <w:wordWrap/>
              <w:adjustRightInd w:val="0"/>
              <w:snapToGrid w:val="0"/>
              <w:spacing w:line="560" w:lineRule="exact"/>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zh-CN"/>
              </w:rPr>
              <w:t>本项目</w:t>
            </w:r>
            <w:r>
              <w:rPr>
                <w:rFonts w:hint="eastAsia" w:ascii="宋体" w:hAnsi="宋体" w:eastAsia="宋体" w:cs="宋体"/>
                <w:color w:val="000000"/>
                <w:kern w:val="0"/>
                <w:sz w:val="24"/>
                <w:szCs w:val="24"/>
                <w:u w:val="single"/>
                <w:lang w:val="en-US" w:eastAsia="zh-CN"/>
              </w:rPr>
              <w:t>不接受</w:t>
            </w:r>
            <w:r>
              <w:rPr>
                <w:rFonts w:hint="eastAsia" w:ascii="宋体" w:hAnsi="宋体" w:eastAsia="宋体" w:cs="宋体"/>
                <w:color w:val="000000"/>
                <w:kern w:val="0"/>
                <w:sz w:val="24"/>
                <w:szCs w:val="24"/>
                <w:lang w:val="zh-CN"/>
              </w:rPr>
              <w:t>供应商以联合体方式进行谈判；</w:t>
            </w:r>
          </w:p>
        </w:tc>
      </w:tr>
      <w:tr w14:paraId="1A813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59D0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进口产品</w:t>
            </w:r>
          </w:p>
        </w:tc>
        <w:tc>
          <w:tcPr>
            <w:tcW w:w="7668" w:type="dxa"/>
            <w:tcBorders>
              <w:tl2br w:val="nil"/>
              <w:tr2bl w:val="nil"/>
            </w:tcBorders>
            <w:vAlign w:val="center"/>
          </w:tcPr>
          <w:p w14:paraId="3104CEC6">
            <w:pPr>
              <w:widowControl w:val="0"/>
              <w:wordWrap/>
              <w:adjustRightInd w:val="0"/>
              <w:snapToGrid w:val="0"/>
              <w:spacing w:line="56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u w:val="single"/>
                <w:lang w:val="en-US" w:eastAsia="zh-CN"/>
              </w:rPr>
              <w:t>不接受</w:t>
            </w:r>
            <w:r>
              <w:rPr>
                <w:rFonts w:hint="eastAsia" w:ascii="宋体" w:hAnsi="宋体" w:eastAsia="宋体" w:cs="宋体"/>
                <w:b w:val="0"/>
                <w:bCs/>
                <w:color w:val="auto"/>
                <w:sz w:val="24"/>
                <w:szCs w:val="24"/>
              </w:rPr>
              <w:t>进</w:t>
            </w:r>
            <w:r>
              <w:rPr>
                <w:rFonts w:hint="eastAsia" w:ascii="宋体" w:hAnsi="宋体" w:eastAsia="宋体" w:cs="宋体"/>
                <w:color w:val="auto"/>
                <w:sz w:val="24"/>
                <w:szCs w:val="24"/>
              </w:rPr>
              <w:t>口产品参加谈判采购</w:t>
            </w:r>
            <w:r>
              <w:rPr>
                <w:rFonts w:hint="eastAsia" w:ascii="宋体" w:hAnsi="宋体" w:eastAsia="宋体" w:cs="宋体"/>
                <w:color w:val="auto"/>
                <w:sz w:val="24"/>
                <w:szCs w:val="24"/>
                <w:lang w:eastAsia="zh-CN"/>
              </w:rPr>
              <w:t>。</w:t>
            </w:r>
          </w:p>
        </w:tc>
      </w:tr>
      <w:tr w14:paraId="2477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A3CA35">
            <w:pPr>
              <w:wordWrap/>
              <w:adjustRightInd w:val="0"/>
              <w:snapToGrid w:val="0"/>
              <w:spacing w:before="157" w:beforeLines="50" w:line="560" w:lineRule="exact"/>
              <w:jc w:val="center"/>
              <w:rPr>
                <w:rFonts w:hint="eastAsia" w:ascii="宋体" w:hAnsi="宋体" w:eastAsia="宋体" w:cs="宋体"/>
                <w:sz w:val="24"/>
                <w:szCs w:val="24"/>
                <w:u w:val="none" w:color="auto"/>
                <w:lang w:eastAsia="zh-CN"/>
              </w:rPr>
            </w:pPr>
            <w:r>
              <w:rPr>
                <w:rFonts w:hint="eastAsia" w:ascii="宋体" w:hAnsi="宋体" w:eastAsia="宋体" w:cs="宋体"/>
                <w:bCs/>
                <w:sz w:val="24"/>
                <w:szCs w:val="24"/>
                <w:u w:val="none" w:color="auto"/>
              </w:rPr>
              <w:t>谈判文件的实质性变动内容</w:t>
            </w:r>
          </w:p>
        </w:tc>
        <w:tc>
          <w:tcPr>
            <w:tcW w:w="7668" w:type="dxa"/>
            <w:tcBorders>
              <w:tl2br w:val="nil"/>
              <w:tr2bl w:val="nil"/>
            </w:tcBorders>
            <w:vAlign w:val="center"/>
          </w:tcPr>
          <w:p w14:paraId="3EF284B9">
            <w:pPr>
              <w:widowControl w:val="0"/>
              <w:wordWrap/>
              <w:adjustRightInd w:val="0"/>
              <w:snapToGrid w:val="0"/>
              <w:spacing w:line="560" w:lineRule="exact"/>
              <w:textAlignment w:val="auto"/>
              <w:rPr>
                <w:rFonts w:hint="eastAsia" w:ascii="宋体" w:hAnsi="宋体" w:eastAsia="宋体" w:cs="宋体"/>
                <w:b w:val="0"/>
                <w:bCs/>
                <w:color w:val="auto"/>
                <w:sz w:val="24"/>
                <w:szCs w:val="24"/>
                <w:u w:val="none" w:color="auto"/>
              </w:rPr>
            </w:pPr>
            <w:r>
              <w:rPr>
                <w:rFonts w:hint="eastAsia" w:ascii="宋体" w:hAnsi="宋体" w:eastAsia="宋体" w:cs="宋体"/>
                <w:sz w:val="24"/>
                <w:szCs w:val="24"/>
                <w:highlight w:val="none"/>
                <w:u w:val="none" w:color="auto"/>
                <w:lang w:val="en-US" w:eastAsia="zh-CN"/>
              </w:rPr>
              <w:t>允许根据谈判工作实际情况，对技术内容进行实质性修改（包括技术、服务和合同条款）。</w:t>
            </w:r>
          </w:p>
        </w:tc>
      </w:tr>
      <w:tr w14:paraId="6D449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3623929">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公告发布时间</w:t>
            </w:r>
          </w:p>
        </w:tc>
        <w:tc>
          <w:tcPr>
            <w:tcW w:w="7668" w:type="dxa"/>
            <w:tcBorders>
              <w:tl2br w:val="nil"/>
              <w:tr2bl w:val="nil"/>
            </w:tcBorders>
            <w:vAlign w:val="top"/>
          </w:tcPr>
          <w:p w14:paraId="0863E9C1">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04</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23</w:t>
            </w:r>
            <w:r>
              <w:rPr>
                <w:rFonts w:hint="eastAsia" w:ascii="宋体" w:hAnsi="宋体" w:eastAsia="宋体" w:cs="宋体"/>
                <w:color w:val="000000"/>
                <w:kern w:val="0"/>
                <w:sz w:val="24"/>
                <w:szCs w:val="24"/>
              </w:rPr>
              <w:t>日（北京时间）</w:t>
            </w:r>
          </w:p>
        </w:tc>
      </w:tr>
      <w:tr w14:paraId="3C700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67D457B">
            <w:pPr>
              <w:wordWrap/>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sz w:val="24"/>
                <w:szCs w:val="24"/>
              </w:rPr>
              <w:t>文件发售起止时间</w:t>
            </w:r>
          </w:p>
        </w:tc>
        <w:tc>
          <w:tcPr>
            <w:tcW w:w="7668" w:type="dxa"/>
            <w:tcBorders>
              <w:tl2br w:val="nil"/>
              <w:tr2bl w:val="nil"/>
            </w:tcBorders>
            <w:vAlign w:val="top"/>
          </w:tcPr>
          <w:p w14:paraId="00EB7083">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04</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24</w:t>
            </w:r>
            <w:r>
              <w:rPr>
                <w:rFonts w:hint="eastAsia" w:ascii="宋体" w:hAnsi="宋体" w:eastAsia="宋体" w:cs="宋体"/>
                <w:color w:val="000000"/>
                <w:kern w:val="0"/>
                <w:sz w:val="24"/>
                <w:szCs w:val="24"/>
              </w:rPr>
              <w:t>日至</w:t>
            </w:r>
            <w:r>
              <w:rPr>
                <w:rFonts w:hint="eastAsia" w:ascii="宋体" w:hAnsi="宋体" w:cs="宋体"/>
                <w:color w:val="000000"/>
                <w:kern w:val="0"/>
                <w:sz w:val="24"/>
                <w:szCs w:val="24"/>
                <w:u w:val="single"/>
                <w:lang w:val="en-US" w:eastAsia="zh-CN"/>
              </w:rPr>
              <w:t>2026年04月28日</w:t>
            </w:r>
            <w:r>
              <w:rPr>
                <w:rFonts w:hint="eastAsia" w:ascii="宋体" w:hAnsi="宋体" w:eastAsia="宋体" w:cs="宋体"/>
                <w:color w:val="000000"/>
                <w:kern w:val="0"/>
                <w:sz w:val="24"/>
                <w:szCs w:val="24"/>
              </w:rPr>
              <w:t xml:space="preserve">（北京时间）          </w:t>
            </w:r>
          </w:p>
          <w:p w14:paraId="738A4C04">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p w14:paraId="5BC85538">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下午：</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23</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59</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tc>
      </w:tr>
      <w:tr w14:paraId="137D7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4E9EF54">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获取方式</w:t>
            </w:r>
          </w:p>
        </w:tc>
        <w:tc>
          <w:tcPr>
            <w:tcW w:w="7668" w:type="dxa"/>
            <w:tcBorders>
              <w:tl2br w:val="nil"/>
              <w:tr2bl w:val="nil"/>
            </w:tcBorders>
            <w:vAlign w:val="center"/>
          </w:tcPr>
          <w:p w14:paraId="1C191E2D">
            <w:pPr>
              <w:widowControl w:val="0"/>
              <w:tabs>
                <w:tab w:val="left" w:pos="320"/>
              </w:tabs>
              <w:wordWrap/>
              <w:adjustRightInd w:val="0"/>
              <w:snapToGrid w:val="0"/>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sz w:val="24"/>
                <w:szCs w:val="24"/>
                <w:highlight w:val="none"/>
                <w:u w:val="none" w:color="auto"/>
                <w:lang w:val="en-US" w:eastAsia="zh-CN"/>
              </w:rPr>
              <w:t xml:space="preserve">供应商登录政采云平台 </w:t>
            </w:r>
            <w:r>
              <w:rPr>
                <w:rFonts w:hint="eastAsia" w:ascii="宋体" w:hAnsi="宋体" w:eastAsia="宋体" w:cs="宋体"/>
                <w:sz w:val="24"/>
                <w:szCs w:val="24"/>
                <w:highlight w:val="none"/>
                <w:u w:val="none" w:color="auto"/>
                <w:lang w:val="en-US" w:eastAsia="zh-CN"/>
              </w:rPr>
              <w:fldChar w:fldCharType="begin"/>
            </w:r>
            <w:r>
              <w:rPr>
                <w:rFonts w:hint="eastAsia" w:ascii="宋体" w:hAnsi="宋体" w:eastAsia="宋体" w:cs="宋体"/>
                <w:sz w:val="24"/>
                <w:szCs w:val="24"/>
                <w:highlight w:val="none"/>
                <w:u w:val="none" w:color="auto"/>
                <w:lang w:val="en-US" w:eastAsia="zh-CN"/>
              </w:rPr>
              <w:instrText xml:space="preserve"> HYPERLINK "https://www.zcygov.cn/" </w:instrText>
            </w:r>
            <w:r>
              <w:rPr>
                <w:rFonts w:hint="eastAsia" w:ascii="宋体" w:hAnsi="宋体" w:eastAsia="宋体" w:cs="宋体"/>
                <w:sz w:val="24"/>
                <w:szCs w:val="24"/>
                <w:highlight w:val="none"/>
                <w:u w:val="none" w:color="auto"/>
                <w:lang w:val="en-US" w:eastAsia="zh-CN"/>
              </w:rPr>
              <w:fldChar w:fldCharType="separate"/>
            </w:r>
            <w:r>
              <w:rPr>
                <w:rFonts w:hint="eastAsia" w:ascii="宋体" w:hAnsi="宋体" w:eastAsia="宋体" w:cs="宋体"/>
                <w:sz w:val="24"/>
                <w:szCs w:val="24"/>
                <w:highlight w:val="none"/>
                <w:u w:val="none" w:color="auto"/>
                <w:lang w:val="en-US" w:eastAsia="zh-CN"/>
              </w:rPr>
              <w:t>https://www.zcygov.cn/</w:t>
            </w:r>
            <w:r>
              <w:rPr>
                <w:rFonts w:hint="eastAsia" w:ascii="宋体" w:hAnsi="宋体" w:eastAsia="宋体" w:cs="宋体"/>
                <w:sz w:val="24"/>
                <w:szCs w:val="24"/>
                <w:highlight w:val="none"/>
                <w:u w:val="none" w:color="auto"/>
                <w:lang w:val="en-US" w:eastAsia="zh-CN"/>
              </w:rPr>
              <w:fldChar w:fldCharType="end"/>
            </w:r>
            <w:r>
              <w:rPr>
                <w:rFonts w:hint="eastAsia" w:ascii="宋体" w:hAnsi="宋体" w:eastAsia="宋体" w:cs="宋体"/>
                <w:sz w:val="24"/>
                <w:szCs w:val="24"/>
                <w:highlight w:val="none"/>
                <w:u w:val="none" w:color="auto"/>
                <w:lang w:val="en-US" w:eastAsia="zh-CN"/>
              </w:rPr>
              <w:t>在线申请获取采购文件（进入“项目采购 ”应用，在获取采购文件菜单中选择项目，申请获取采购文件）</w:t>
            </w:r>
          </w:p>
        </w:tc>
      </w:tr>
      <w:tr w14:paraId="1D808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00BE1BB">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文件售价</w:t>
            </w:r>
          </w:p>
        </w:tc>
        <w:tc>
          <w:tcPr>
            <w:tcW w:w="7668" w:type="dxa"/>
            <w:tcBorders>
              <w:tl2br w:val="nil"/>
              <w:tr2bl w:val="nil"/>
            </w:tcBorders>
            <w:vAlign w:val="center"/>
          </w:tcPr>
          <w:p w14:paraId="31C7B40C">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0 元/份（谈判文件售后不退, 谈判资格不能转让）</w:t>
            </w:r>
          </w:p>
        </w:tc>
      </w:tr>
      <w:tr w14:paraId="18C96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7D1E340">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文件发售地点</w:t>
            </w:r>
          </w:p>
        </w:tc>
        <w:tc>
          <w:tcPr>
            <w:tcW w:w="7668" w:type="dxa"/>
            <w:tcBorders>
              <w:tl2br w:val="nil"/>
              <w:tr2bl w:val="nil"/>
            </w:tcBorders>
            <w:vAlign w:val="center"/>
          </w:tcPr>
          <w:p w14:paraId="1C2E105D">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通过政采云平台线上获取</w:t>
            </w:r>
          </w:p>
        </w:tc>
      </w:tr>
      <w:tr w14:paraId="05F88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69A7C36">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购买谈判文件时应提供的材料</w:t>
            </w:r>
          </w:p>
        </w:tc>
        <w:tc>
          <w:tcPr>
            <w:tcW w:w="7668" w:type="dxa"/>
            <w:tcBorders>
              <w:tl2br w:val="nil"/>
              <w:tr2bl w:val="nil"/>
            </w:tcBorders>
            <w:vAlign w:val="center"/>
          </w:tcPr>
          <w:p w14:paraId="44B90855">
            <w:pPr>
              <w:widowControl w:val="0"/>
              <w:wordWrap/>
              <w:adjustRightInd w:val="0"/>
              <w:snapToGrid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购买竞争性谈判文件时</w:t>
            </w:r>
            <w:r>
              <w:rPr>
                <w:rFonts w:hint="eastAsia" w:ascii="宋体" w:hAnsi="宋体" w:eastAsia="宋体" w:cs="宋体"/>
                <w:sz w:val="24"/>
                <w:szCs w:val="24"/>
                <w:highlight w:val="none"/>
                <w:u w:val="single" w:color="auto"/>
                <w:lang w:val="en-US" w:eastAsia="zh-CN"/>
              </w:rPr>
              <w:t xml:space="preserve"> 否 </w:t>
            </w:r>
            <w:r>
              <w:rPr>
                <w:rFonts w:hint="eastAsia" w:ascii="宋体" w:hAnsi="宋体" w:eastAsia="宋体" w:cs="宋体"/>
                <w:sz w:val="24"/>
                <w:szCs w:val="24"/>
                <w:highlight w:val="none"/>
                <w:u w:val="none" w:color="auto"/>
                <w:lang w:val="en-US" w:eastAsia="zh-CN"/>
              </w:rPr>
              <w:t>（是/否）需要提交相关文件资料。</w:t>
            </w:r>
          </w:p>
        </w:tc>
      </w:tr>
      <w:tr w14:paraId="1FAB6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32080004">
            <w:pPr>
              <w:wordWrap/>
              <w:adjustRightInd w:val="0"/>
              <w:snapToGrid w:val="0"/>
              <w:spacing w:before="157" w:beforeLines="50" w:line="560" w:lineRule="exact"/>
              <w:jc w:val="center"/>
              <w:rPr>
                <w:rFonts w:hint="eastAsia" w:ascii="宋体" w:hAnsi="宋体" w:eastAsia="宋体" w:cs="宋体"/>
                <w:bCs/>
                <w:sz w:val="24"/>
                <w:szCs w:val="24"/>
                <w:u w:val="none" w:color="auto"/>
              </w:rPr>
            </w:pPr>
            <w:r>
              <w:rPr>
                <w:rFonts w:hint="eastAsia" w:ascii="宋体" w:hAnsi="宋体" w:eastAsia="宋体" w:cs="宋体"/>
                <w:sz w:val="24"/>
                <w:szCs w:val="24"/>
                <w:highlight w:val="none"/>
                <w:u w:val="none" w:color="auto"/>
                <w:lang w:val="en-US" w:eastAsia="zh-CN"/>
              </w:rPr>
              <w:t>采购人名称、地址、电话、联系人</w:t>
            </w:r>
          </w:p>
        </w:tc>
        <w:tc>
          <w:tcPr>
            <w:tcW w:w="7668" w:type="dxa"/>
            <w:tcBorders>
              <w:tl2br w:val="nil"/>
              <w:tr2bl w:val="nil"/>
            </w:tcBorders>
            <w:vAlign w:val="top"/>
          </w:tcPr>
          <w:p w14:paraId="382D99BE">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采购人：海南藏族自治州公安局</w:t>
            </w:r>
          </w:p>
          <w:p w14:paraId="68B3566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联系人：马警官</w:t>
            </w:r>
          </w:p>
          <w:p w14:paraId="48D12403">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电</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话：0974-8522936</w:t>
            </w:r>
          </w:p>
          <w:p w14:paraId="10B2FB54">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地</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址：青海省海南州共和县恰卜恰镇青海湖北大街2号</w:t>
            </w:r>
          </w:p>
        </w:tc>
      </w:tr>
      <w:tr w14:paraId="7EACC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DA8842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采购代理机构及联系人电话</w:t>
            </w:r>
          </w:p>
        </w:tc>
        <w:tc>
          <w:tcPr>
            <w:tcW w:w="7668" w:type="dxa"/>
            <w:tcBorders>
              <w:tl2br w:val="nil"/>
              <w:tr2bl w:val="nil"/>
            </w:tcBorders>
            <w:vAlign w:val="top"/>
          </w:tcPr>
          <w:p w14:paraId="6A48F159">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采购代理机构：青海国德招标代理有限公司</w:t>
            </w:r>
          </w:p>
          <w:p w14:paraId="61B2705D">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系</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人：韩女士</w:t>
            </w:r>
          </w:p>
          <w:p w14:paraId="4A4AD29B">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联系电话：0971-8278117</w:t>
            </w:r>
          </w:p>
          <w:p w14:paraId="55B91D83">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邮箱地址：guode@guodezhaobiao.com</w:t>
            </w:r>
          </w:p>
          <w:p w14:paraId="4441EAAA">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b w:val="0"/>
                <w:bCs w:val="0"/>
                <w:kern w:val="2"/>
                <w:sz w:val="24"/>
                <w:szCs w:val="24"/>
                <w:highlight w:val="none"/>
                <w:u w:val="none" w:color="auto"/>
                <w:lang w:val="en-US" w:eastAsia="zh-CN" w:bidi="ar-SA"/>
              </w:rPr>
              <w:t>联系地址：青海省西宁市城东区建国大街 57 号新千国际广场东区2号写字楼13楼</w:t>
            </w:r>
          </w:p>
        </w:tc>
      </w:tr>
      <w:tr w14:paraId="352D6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4449D70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保证金</w:t>
            </w:r>
          </w:p>
        </w:tc>
        <w:tc>
          <w:tcPr>
            <w:tcW w:w="7668" w:type="dxa"/>
            <w:tcBorders>
              <w:tl2br w:val="nil"/>
              <w:tr2bl w:val="nil"/>
            </w:tcBorders>
            <w:vAlign w:val="center"/>
          </w:tcPr>
          <w:p w14:paraId="3A6265E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保证金金额：</w:t>
            </w:r>
          </w:p>
          <w:p w14:paraId="682C780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包一：10000</w:t>
            </w:r>
            <w:r>
              <w:rPr>
                <w:rFonts w:hint="eastAsia" w:ascii="宋体" w:hAnsi="宋体" w:eastAsia="宋体" w:cs="宋体"/>
                <w:kern w:val="2"/>
                <w:sz w:val="24"/>
                <w:szCs w:val="24"/>
                <w:highlight w:val="none"/>
                <w:u w:val="none" w:color="auto"/>
                <w:lang w:val="en-US" w:eastAsia="zh-CN" w:bidi="ar-SA"/>
              </w:rPr>
              <w:t>.00元（</w:t>
            </w:r>
            <w:r>
              <w:rPr>
                <w:rFonts w:hint="eastAsia" w:cs="宋体"/>
                <w:kern w:val="2"/>
                <w:sz w:val="24"/>
                <w:szCs w:val="24"/>
                <w:highlight w:val="none"/>
                <w:u w:val="none" w:color="auto"/>
                <w:lang w:val="en-US" w:eastAsia="zh-CN" w:bidi="ar-SA"/>
              </w:rPr>
              <w:t>大写：壹万元整</w:t>
            </w:r>
            <w:r>
              <w:rPr>
                <w:rFonts w:hint="eastAsia" w:ascii="宋体" w:hAnsi="宋体" w:eastAsia="宋体" w:cs="宋体"/>
                <w:kern w:val="2"/>
                <w:sz w:val="24"/>
                <w:szCs w:val="24"/>
                <w:highlight w:val="none"/>
                <w:u w:val="none" w:color="auto"/>
                <w:lang w:val="en-US" w:eastAsia="zh-CN" w:bidi="ar-SA"/>
              </w:rPr>
              <w:t>）</w:t>
            </w:r>
          </w:p>
          <w:p w14:paraId="4EF79657">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包二：30000.00元（大写：叁万元整）</w:t>
            </w:r>
          </w:p>
          <w:p w14:paraId="1428C48F">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收款单位：青海国德招标代理有限公司</w:t>
            </w:r>
          </w:p>
          <w:p w14:paraId="2229810B">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 xml:space="preserve">开户行：中国工商银行西宁交通巷支行  </w:t>
            </w:r>
          </w:p>
          <w:p w14:paraId="1539F7A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银行账号：2806007819000041679</w:t>
            </w:r>
          </w:p>
          <w:p w14:paraId="092607ED">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交纳时间：同响应文件递交截止时间，以银行到账时间为准。</w:t>
            </w:r>
          </w:p>
          <w:p w14:paraId="1968174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如采购项目变更开标时间，则保证金交纳时间相应顺延。</w:t>
            </w:r>
          </w:p>
          <w:p w14:paraId="4297A21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w:t>
            </w:r>
            <w:r>
              <w:rPr>
                <w:rFonts w:hint="eastAsia" w:cs="宋体"/>
                <w:kern w:val="2"/>
                <w:sz w:val="24"/>
                <w:szCs w:val="24"/>
                <w:highlight w:val="none"/>
                <w:u w:val="none" w:color="auto"/>
                <w:lang w:val="en-US" w:eastAsia="zh-CN" w:bidi="ar-SA"/>
              </w:rPr>
              <w:t>纳</w:t>
            </w:r>
            <w:r>
              <w:rPr>
                <w:rFonts w:hint="eastAsia" w:ascii="宋体" w:hAnsi="宋体" w:eastAsia="宋体" w:cs="宋体"/>
                <w:kern w:val="2"/>
                <w:sz w:val="24"/>
                <w:szCs w:val="24"/>
                <w:highlight w:val="none"/>
                <w:u w:val="none" w:color="auto"/>
                <w:lang w:val="en-US" w:eastAsia="zh-CN" w:bidi="ar-SA"/>
              </w:rPr>
              <w:t>方式：谈判保证金应当以转账、支票、本票或者金融机构、担保机构出具的保函等非现金形式提交。供应商未按照谈判文件要求提交谈判保证金的，谈判无效。</w:t>
            </w:r>
          </w:p>
          <w:p w14:paraId="0AE5F46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其他注意事项（详见谈判文件）</w:t>
            </w:r>
          </w:p>
        </w:tc>
      </w:tr>
      <w:tr w14:paraId="33D94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85BA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响应文件有效期</w:t>
            </w:r>
          </w:p>
        </w:tc>
        <w:tc>
          <w:tcPr>
            <w:tcW w:w="7668" w:type="dxa"/>
            <w:tcBorders>
              <w:tl2br w:val="nil"/>
              <w:tr2bl w:val="nil"/>
            </w:tcBorders>
            <w:vAlign w:val="center"/>
          </w:tcPr>
          <w:p w14:paraId="332A8AC1">
            <w:pPr>
              <w:widowControl w:val="0"/>
              <w:wordWrap/>
              <w:adjustRightInd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自谈判提交响应文件截止之日起不少于</w:t>
            </w:r>
            <w:r>
              <w:rPr>
                <w:rFonts w:hint="eastAsia" w:ascii="宋体" w:hAnsi="宋体" w:eastAsia="宋体" w:cs="宋体"/>
                <w:kern w:val="2"/>
                <w:sz w:val="24"/>
                <w:szCs w:val="24"/>
                <w:highlight w:val="none"/>
                <w:u w:val="single" w:color="auto"/>
                <w:lang w:val="en-US" w:eastAsia="zh-CN" w:bidi="ar-SA"/>
              </w:rPr>
              <w:t>60</w:t>
            </w:r>
            <w:r>
              <w:rPr>
                <w:rFonts w:hint="eastAsia" w:ascii="宋体" w:hAnsi="宋体" w:eastAsia="宋体" w:cs="宋体"/>
                <w:kern w:val="2"/>
                <w:sz w:val="24"/>
                <w:szCs w:val="24"/>
                <w:highlight w:val="none"/>
                <w:u w:val="none" w:color="auto"/>
                <w:lang w:val="en-US" w:eastAsia="zh-CN" w:bidi="ar-SA"/>
              </w:rPr>
              <w:t>天</w:t>
            </w:r>
          </w:p>
        </w:tc>
      </w:tr>
      <w:tr w14:paraId="3C688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5" w:hRule="atLeast"/>
        </w:trPr>
        <w:tc>
          <w:tcPr>
            <w:tcW w:w="2510" w:type="dxa"/>
            <w:tcBorders>
              <w:tl2br w:val="nil"/>
              <w:tr2bl w:val="nil"/>
            </w:tcBorders>
            <w:vAlign w:val="center"/>
          </w:tcPr>
          <w:p w14:paraId="6F7F507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响应文件份数</w:t>
            </w:r>
          </w:p>
        </w:tc>
        <w:tc>
          <w:tcPr>
            <w:tcW w:w="7668" w:type="dxa"/>
            <w:tcBorders>
              <w:tl2br w:val="nil"/>
              <w:tr2bl w:val="nil"/>
            </w:tcBorders>
            <w:vAlign w:val="center"/>
          </w:tcPr>
          <w:p w14:paraId="65E566B8">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kern w:val="2"/>
                <w:sz w:val="24"/>
                <w:szCs w:val="24"/>
                <w:highlight w:val="none"/>
                <w:u w:val="none" w:color="auto"/>
                <w:lang w:val="en-US" w:eastAsia="zh-CN" w:bidi="ar-SA"/>
              </w:rPr>
              <w:t>请将文件上传至政采云投标客户端</w:t>
            </w:r>
          </w:p>
        </w:tc>
      </w:tr>
      <w:tr w14:paraId="3B8A7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CA8FC6D">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highlight w:val="none"/>
                <w:u w:val="none" w:color="auto"/>
                <w:lang w:val="en-US" w:eastAsia="zh-CN"/>
              </w:rPr>
              <w:t>响应文件的递交截止时间</w:t>
            </w:r>
          </w:p>
        </w:tc>
        <w:tc>
          <w:tcPr>
            <w:tcW w:w="7668" w:type="dxa"/>
            <w:tcBorders>
              <w:tl2br w:val="nil"/>
              <w:tr2bl w:val="nil"/>
            </w:tcBorders>
            <w:vAlign w:val="center"/>
          </w:tcPr>
          <w:p w14:paraId="575ADA5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04</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30</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tc>
      </w:tr>
      <w:tr w14:paraId="16DB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trPr>
        <w:tc>
          <w:tcPr>
            <w:tcW w:w="2510" w:type="dxa"/>
            <w:tcBorders>
              <w:tl2br w:val="nil"/>
              <w:tr2bl w:val="nil"/>
            </w:tcBorders>
            <w:vAlign w:val="center"/>
          </w:tcPr>
          <w:p w14:paraId="70FD5ECB">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开启时间及</w:t>
            </w:r>
          </w:p>
          <w:p w14:paraId="3D4C5470">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谈判地点</w:t>
            </w:r>
          </w:p>
        </w:tc>
        <w:tc>
          <w:tcPr>
            <w:tcW w:w="7668" w:type="dxa"/>
            <w:tcBorders>
              <w:tl2br w:val="nil"/>
              <w:tr2bl w:val="nil"/>
            </w:tcBorders>
            <w:vAlign w:val="center"/>
          </w:tcPr>
          <w:p w14:paraId="58714315">
            <w:pPr>
              <w:widowControl w:val="0"/>
              <w:numPr>
                <w:ilvl w:val="0"/>
                <w:numId w:val="2"/>
              </w:numPr>
              <w:wordWrap/>
              <w:adjustRightInd w:val="0"/>
              <w:snapToGrid w:val="0"/>
              <w:spacing w:line="56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响应文件开启时间：</w:t>
            </w: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04</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30</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p w14:paraId="67AA5398">
            <w:pPr>
              <w:widowControl w:val="0"/>
              <w:numPr>
                <w:ilvl w:val="0"/>
                <w:numId w:val="2"/>
              </w:numPr>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谈判地点：政采云投标客户端（供应商应在响应文件递交截止时间前按谈判文件要求使用政采云电子投标客户端制作上传电子响应文件，并在开标后 30 分钟内远程解密响应文件。）           </w:t>
            </w:r>
          </w:p>
        </w:tc>
      </w:tr>
      <w:tr w14:paraId="52349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F9524C0">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财政部门指定的媒体</w:t>
            </w:r>
          </w:p>
        </w:tc>
        <w:tc>
          <w:tcPr>
            <w:tcW w:w="7668" w:type="dxa"/>
            <w:tcBorders>
              <w:tl2br w:val="nil"/>
              <w:tr2bl w:val="nil"/>
            </w:tcBorders>
            <w:vAlign w:val="center"/>
          </w:tcPr>
          <w:p w14:paraId="14D06770">
            <w:pPr>
              <w:keepNext w:val="0"/>
              <w:keepLines w:val="0"/>
              <w:widowControl/>
              <w:suppressLineNumbers w:val="0"/>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color w:val="000000"/>
                <w:kern w:val="0"/>
                <w:sz w:val="24"/>
                <w:szCs w:val="24"/>
                <w:lang w:val="en-US" w:eastAsia="zh-CN" w:bidi="ar"/>
              </w:rPr>
              <w:t>青海省政府采购网</w:t>
            </w:r>
          </w:p>
        </w:tc>
      </w:tr>
      <w:tr w14:paraId="01B11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trPr>
        <w:tc>
          <w:tcPr>
            <w:tcW w:w="2510" w:type="dxa"/>
            <w:tcBorders>
              <w:tl2br w:val="nil"/>
              <w:tr2bl w:val="nil"/>
            </w:tcBorders>
            <w:vAlign w:val="center"/>
          </w:tcPr>
          <w:p w14:paraId="0A3A5E7F">
            <w:pPr>
              <w:wordWrap/>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政策功能</w:t>
            </w:r>
          </w:p>
        </w:tc>
        <w:tc>
          <w:tcPr>
            <w:tcW w:w="7668" w:type="dxa"/>
            <w:tcBorders>
              <w:tl2br w:val="nil"/>
              <w:tr2bl w:val="nil"/>
            </w:tcBorders>
            <w:vAlign w:val="center"/>
          </w:tcPr>
          <w:p w14:paraId="6FE65952">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于提供节能、环保标志产品，采购人及其委托的采购代理机构应当依据国家确定的认证机构出具的、处于有效期之内的节能产品、环境标志产品认证证书，对获得证书的产品实施政府优先采购或强制采购。对属于小型、微型企业，监狱企业，残疾人福利性单位的供应商，按照国家相关规定给予</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u w:val="none"/>
                <w:lang w:val="en-US" w:eastAsia="zh-CN"/>
              </w:rPr>
              <w:t>%的价格扣除。</w:t>
            </w:r>
          </w:p>
          <w:p w14:paraId="3CF9189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符合《国务院办公厅关于在政府采购中实施本国产品标准及相关政策的通知》规定的本国产品的报价给予20%的扣除，用扣除后的价格计算投标报价得分，须提供《关于符合本国产品标准的声明函》或财政部会同有关部门规定的有关证明文件。</w:t>
            </w:r>
          </w:p>
          <w:p w14:paraId="6EA893A9">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同时满足上述条款的，价格评审优惠叠加计算。</w:t>
            </w:r>
          </w:p>
          <w:p w14:paraId="6E9FF2B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残疾人福利性单位（监狱企业）属于小型、微型企业的，不重复享受政策。</w:t>
            </w:r>
          </w:p>
        </w:tc>
      </w:tr>
      <w:tr w14:paraId="1A67A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B0F9F6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代理服务费</w:t>
            </w:r>
          </w:p>
        </w:tc>
        <w:tc>
          <w:tcPr>
            <w:tcW w:w="7668" w:type="dxa"/>
            <w:tcBorders>
              <w:tl2br w:val="nil"/>
              <w:tr2bl w:val="nil"/>
            </w:tcBorders>
            <w:vAlign w:val="center"/>
          </w:tcPr>
          <w:p w14:paraId="69683890">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收取对象：</w:t>
            </w:r>
            <w:r>
              <w:rPr>
                <w:rFonts w:hint="eastAsia" w:cs="宋体"/>
                <w:kern w:val="2"/>
                <w:sz w:val="24"/>
                <w:szCs w:val="24"/>
                <w:highlight w:val="none"/>
                <w:u w:val="none"/>
                <w:lang w:val="en-US" w:eastAsia="zh-CN" w:bidi="ar-SA"/>
              </w:rPr>
              <w:t>成交供应商</w:t>
            </w:r>
          </w:p>
          <w:p w14:paraId="69EEE4E3">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收取金额：</w:t>
            </w:r>
          </w:p>
          <w:p w14:paraId="1694239E">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包一：7000</w:t>
            </w:r>
            <w:r>
              <w:rPr>
                <w:rFonts w:hint="eastAsia" w:ascii="宋体" w:hAnsi="宋体" w:eastAsia="宋体" w:cs="宋体"/>
                <w:kern w:val="2"/>
                <w:sz w:val="24"/>
                <w:szCs w:val="24"/>
                <w:highlight w:val="none"/>
                <w:u w:val="none"/>
                <w:lang w:val="en-US" w:eastAsia="zh-CN" w:bidi="ar-SA"/>
              </w:rPr>
              <w:t>.00（大写：</w:t>
            </w:r>
            <w:r>
              <w:rPr>
                <w:rFonts w:hint="eastAsia" w:cs="宋体"/>
                <w:kern w:val="2"/>
                <w:sz w:val="24"/>
                <w:szCs w:val="24"/>
                <w:highlight w:val="none"/>
                <w:u w:val="none"/>
                <w:lang w:val="en-US" w:eastAsia="zh-CN" w:bidi="ar-SA"/>
              </w:rPr>
              <w:t>捌仟元整</w:t>
            </w:r>
            <w:r>
              <w:rPr>
                <w:rFonts w:hint="eastAsia" w:ascii="宋体" w:hAnsi="宋体" w:eastAsia="宋体" w:cs="宋体"/>
                <w:kern w:val="2"/>
                <w:sz w:val="24"/>
                <w:szCs w:val="24"/>
                <w:highlight w:val="none"/>
                <w:u w:val="none"/>
                <w:lang w:val="en-US" w:eastAsia="zh-CN" w:bidi="ar-SA"/>
              </w:rPr>
              <w:t>）</w:t>
            </w:r>
          </w:p>
          <w:p w14:paraId="430C87F1">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包二：14000.00（大写：壹万肆仟元整）</w:t>
            </w:r>
          </w:p>
          <w:p w14:paraId="4D39A99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收款单位：青海国德招标代理有限公司</w:t>
            </w:r>
          </w:p>
          <w:p w14:paraId="2D8C3507">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 xml:space="preserve">开户行：中国工商银行西宁交通巷支行  </w:t>
            </w:r>
          </w:p>
          <w:p w14:paraId="41B97AB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银行账号：2806007819000041679</w:t>
            </w:r>
          </w:p>
          <w:p w14:paraId="4844BC69">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sz w:val="24"/>
                <w:szCs w:val="24"/>
                <w:u w:val="single"/>
                <w:lang w:val="en-US" w:eastAsia="zh-CN"/>
              </w:rPr>
            </w:pPr>
            <w:r>
              <w:rPr>
                <w:rFonts w:hint="eastAsia" w:ascii="宋体" w:hAnsi="宋体" w:eastAsia="宋体" w:cs="宋体"/>
                <w:kern w:val="2"/>
                <w:sz w:val="24"/>
                <w:szCs w:val="24"/>
                <w:highlight w:val="none"/>
                <w:u w:val="none"/>
                <w:lang w:val="en-US" w:eastAsia="zh-CN" w:bidi="ar-SA"/>
              </w:rPr>
              <w:t>说明：根据《关于进一步放开建设项目专项业务服务价格的通知》（发改价格[2015]299 号）规定，实行市场调节价，应严格遵守《价格法》、 《关于商品和服务实行明码标价的规定》等法律法规的规定，由采购人和采购代理机构共同确定合理的收费金额。</w:t>
            </w:r>
          </w:p>
        </w:tc>
      </w:tr>
      <w:tr w14:paraId="383ED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2510" w:type="dxa"/>
            <w:tcBorders>
              <w:tl2br w:val="nil"/>
              <w:tr2bl w:val="nil"/>
            </w:tcBorders>
            <w:vAlign w:val="center"/>
          </w:tcPr>
          <w:p w14:paraId="0D4E586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其他规定</w:t>
            </w:r>
          </w:p>
        </w:tc>
        <w:tc>
          <w:tcPr>
            <w:tcW w:w="7668" w:type="dxa"/>
            <w:tcBorders>
              <w:tl2br w:val="nil"/>
              <w:tr2bl w:val="nil"/>
            </w:tcBorders>
            <w:vAlign w:val="center"/>
          </w:tcPr>
          <w:p w14:paraId="4CCB09CA">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1.本项目采购采用线上提交响应文件的方式进行，响应文件必须在响应文件递交截止时间前上传至平台，开标后30分钟内供应商远程解密响应文件（如非系统原因造成无法解密的或非系统原因加密文件上传不成功的或没办理CA锁而造成加密文件无法解密、加密文件无法上传的视为无效投标）。 </w:t>
            </w:r>
          </w:p>
          <w:p w14:paraId="317DD85D">
            <w:pPr>
              <w:widowControl w:val="0"/>
              <w:kinsoku w:val="0"/>
              <w:wordWrap/>
              <w:overflowPunct w:val="0"/>
              <w:autoSpaceDE w:val="0"/>
              <w:autoSpaceDN w:val="0"/>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2.若对项目采购电子交易系统操作有疑问，可登录政采云（https://www.zcygov.cn/），点击右侧咨询小采，获取采小蜜智能服务管家帮助，或拨打政采云服务热线 400-881-7190 获取热线服务帮助。CA 问题联系电话（人工）：天谷 CA 400-087-8198；惠信CA 400-888-4636；北京CA 010-5851-5511，400-919-7888。 </w:t>
            </w:r>
          </w:p>
          <w:p w14:paraId="5383B167">
            <w:pPr>
              <w:widowControl w:val="0"/>
              <w:wordWrap/>
              <w:adjustRightInd w:val="0"/>
              <w:snapToGrid w:val="0"/>
              <w:spacing w:line="560" w:lineRule="exac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3.本公告在《</w:t>
            </w:r>
            <w:r>
              <w:rPr>
                <w:rFonts w:hint="eastAsia" w:ascii="宋体" w:hAnsi="宋体" w:cs="宋体"/>
                <w:kern w:val="2"/>
                <w:sz w:val="24"/>
                <w:szCs w:val="24"/>
                <w:u w:val="none"/>
                <w:lang w:val="en-US" w:eastAsia="zh-CN" w:bidi="ar-SA"/>
              </w:rPr>
              <w:t>青海省政府采购网</w:t>
            </w:r>
            <w:r>
              <w:rPr>
                <w:rFonts w:hint="eastAsia" w:ascii="宋体" w:hAnsi="宋体" w:eastAsia="宋体" w:cs="宋体"/>
                <w:kern w:val="2"/>
                <w:sz w:val="24"/>
                <w:szCs w:val="24"/>
                <w:u w:val="none"/>
                <w:lang w:val="en-US" w:eastAsia="zh-CN" w:bidi="ar-SA"/>
              </w:rPr>
              <w:t>》、《青海省电子招标投标公共服务平台》、《青海国德招标代理有限公司官网》同时发布。</w:t>
            </w:r>
          </w:p>
          <w:p w14:paraId="3B852592">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4.</w:t>
            </w:r>
            <w:r>
              <w:rPr>
                <w:rFonts w:hint="eastAsia" w:ascii="宋体" w:hAnsi="宋体" w:eastAsia="宋体" w:cs="宋体"/>
                <w:kern w:val="2"/>
                <w:sz w:val="24"/>
                <w:szCs w:val="24"/>
                <w:u w:val="none"/>
                <w:lang w:val="zh-CN" w:eastAsia="zh-CN" w:bidi="ar-SA"/>
              </w:rPr>
              <w:t>若在开标环节政采云系统“供应商投标设备信息”有异常，提示供应商的IP地址、MAC地址、</w:t>
            </w:r>
            <w:r>
              <w:rPr>
                <w:rFonts w:hint="eastAsia" w:ascii="宋体" w:hAnsi="宋体" w:eastAsia="宋体" w:cs="宋体"/>
                <w:kern w:val="2"/>
                <w:sz w:val="24"/>
                <w:szCs w:val="24"/>
                <w:u w:val="none"/>
                <w:lang w:val="en-US" w:eastAsia="zh-CN" w:bidi="ar-SA"/>
              </w:rPr>
              <w:t>CPU序列号、硬盘序列号</w:t>
            </w:r>
            <w:r>
              <w:rPr>
                <w:rFonts w:hint="eastAsia" w:ascii="宋体" w:hAnsi="宋体" w:eastAsia="宋体" w:cs="宋体"/>
                <w:kern w:val="2"/>
                <w:sz w:val="24"/>
                <w:szCs w:val="24"/>
                <w:u w:val="none"/>
                <w:lang w:val="zh-CN" w:eastAsia="zh-CN" w:bidi="ar-SA"/>
              </w:rPr>
              <w:t>等一致的情况，将视为涉嫌串通投标行为，并且上报同级财政部门，</w:t>
            </w:r>
            <w:r>
              <w:rPr>
                <w:rFonts w:hint="eastAsia" w:ascii="宋体" w:hAnsi="宋体" w:eastAsia="宋体" w:cs="宋体"/>
                <w:kern w:val="2"/>
                <w:sz w:val="24"/>
                <w:szCs w:val="24"/>
                <w:u w:val="none"/>
                <w:lang w:val="en-US" w:eastAsia="zh-CN" w:bidi="ar-SA"/>
              </w:rPr>
              <w:t>由此原因导致投标无效的责任自负</w:t>
            </w:r>
            <w:r>
              <w:rPr>
                <w:rFonts w:hint="eastAsia" w:ascii="宋体" w:hAnsi="宋体" w:eastAsia="宋体" w:cs="宋体"/>
                <w:kern w:val="2"/>
                <w:sz w:val="24"/>
                <w:szCs w:val="24"/>
                <w:u w:val="none"/>
                <w:lang w:val="zh-CN" w:eastAsia="zh-CN" w:bidi="ar-SA"/>
              </w:rPr>
              <w:t>。</w:t>
            </w:r>
          </w:p>
          <w:p w14:paraId="7551078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kern w:val="2"/>
                <w:sz w:val="24"/>
                <w:szCs w:val="24"/>
                <w:u w:val="none"/>
                <w:lang w:val="en-US" w:eastAsia="zh-CN" w:bidi="ar-SA"/>
              </w:rPr>
              <w:t>5.成交供应商领取成交通知书时应提交纸质响应文件（1份正本、2份副本），纸质响应文件应与上传至政府采购云平台加密的电子响应文件一致。</w:t>
            </w:r>
          </w:p>
        </w:tc>
      </w:tr>
      <w:tr w14:paraId="1164D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69BE0FA">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财政监管部门及电话</w:t>
            </w:r>
          </w:p>
        </w:tc>
        <w:tc>
          <w:tcPr>
            <w:tcW w:w="7668" w:type="dxa"/>
            <w:tcBorders>
              <w:tl2br w:val="nil"/>
              <w:tr2bl w:val="nil"/>
            </w:tcBorders>
            <w:vAlign w:val="center"/>
          </w:tcPr>
          <w:p w14:paraId="7412B7D4">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单位名称：海南州财政局         </w:t>
            </w:r>
          </w:p>
          <w:p w14:paraId="7DD1A85E">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联系电话：0974—8510605   </w:t>
            </w:r>
          </w:p>
        </w:tc>
      </w:tr>
    </w:tbl>
    <w:p w14:paraId="106CA1C1">
      <w:pPr>
        <w:rPr>
          <w:rFonts w:hint="eastAsia" w:ascii="华文中宋" w:hAnsi="华文中宋" w:eastAsia="华文中宋" w:cs="华文中宋"/>
          <w:b w:val="0"/>
          <w:bCs w:val="0"/>
          <w:sz w:val="44"/>
          <w:szCs w:val="44"/>
          <w:lang w:val="en-US" w:eastAsia="zh-CN"/>
        </w:rPr>
      </w:pPr>
      <w:bookmarkStart w:id="2" w:name="_Toc29806_WPSOffice_Level1"/>
      <w:bookmarkStart w:id="3" w:name="_Toc68"/>
      <w:bookmarkStart w:id="4" w:name="_Toc17554"/>
      <w:bookmarkStart w:id="5" w:name="_Toc25918_WPSOffice_Level1"/>
      <w:bookmarkStart w:id="6" w:name="_Toc29348_WPSOffice_Level1"/>
      <w:bookmarkStart w:id="7" w:name="_Toc26774_WPSOffice_Level1"/>
      <w:bookmarkStart w:id="8" w:name="_Toc7063_WPSOffice_Level1"/>
      <w:bookmarkStart w:id="9" w:name="_Toc19849"/>
      <w:bookmarkStart w:id="10" w:name="_Toc13430_WPSOffice_Level1"/>
      <w:r>
        <w:rPr>
          <w:rFonts w:hint="eastAsia" w:ascii="华文中宋" w:hAnsi="华文中宋" w:eastAsia="华文中宋" w:cs="华文中宋"/>
          <w:b w:val="0"/>
          <w:bCs w:val="0"/>
          <w:sz w:val="44"/>
          <w:szCs w:val="44"/>
          <w:lang w:val="en-US" w:eastAsia="zh-CN"/>
        </w:rPr>
        <w:br w:type="page"/>
      </w:r>
    </w:p>
    <w:p w14:paraId="03C4B0B5">
      <w:pPr>
        <w:pStyle w:val="2"/>
        <w:numPr>
          <w:ilvl w:val="0"/>
          <w:numId w:val="0"/>
        </w:numPr>
        <w:wordWrap/>
        <w:adjustRightInd w:val="0"/>
        <w:snapToGrid w:val="0"/>
        <w:spacing w:before="157" w:beforeLines="50" w:line="560" w:lineRule="exact"/>
        <w:jc w:val="center"/>
        <w:outlineLvl w:val="0"/>
        <w:rPr>
          <w:rFonts w:hint="eastAsia" w:ascii="宋体" w:hAnsi="宋体" w:eastAsia="宋体" w:cs="宋体"/>
          <w:b w:val="0"/>
          <w:bCs w:val="0"/>
          <w:color w:val="auto"/>
          <w:sz w:val="44"/>
          <w:szCs w:val="44"/>
          <w:lang w:val="en-US" w:eastAsia="zh-CN"/>
        </w:rPr>
      </w:pPr>
      <w:bookmarkStart w:id="11" w:name="_Toc19485"/>
      <w:r>
        <w:rPr>
          <w:rFonts w:hint="eastAsia" w:ascii="宋体" w:hAnsi="宋体" w:eastAsia="宋体" w:cs="宋体"/>
          <w:b w:val="0"/>
          <w:bCs w:val="0"/>
          <w:color w:val="auto"/>
          <w:kern w:val="2"/>
          <w:sz w:val="36"/>
          <w:szCs w:val="36"/>
          <w:lang w:val="en-US" w:eastAsia="zh-CN" w:bidi="ar-SA"/>
        </w:rPr>
        <w:t>第二部分  谈判须知</w:t>
      </w:r>
      <w:bookmarkEnd w:id="2"/>
      <w:bookmarkEnd w:id="3"/>
      <w:bookmarkEnd w:id="4"/>
      <w:bookmarkEnd w:id="5"/>
      <w:bookmarkEnd w:id="6"/>
      <w:bookmarkEnd w:id="7"/>
      <w:bookmarkEnd w:id="8"/>
      <w:bookmarkEnd w:id="9"/>
      <w:bookmarkEnd w:id="10"/>
      <w:bookmarkEnd w:id="11"/>
    </w:p>
    <w:p w14:paraId="16023611">
      <w:pPr>
        <w:widowControl w:val="0"/>
        <w:wordWrap/>
        <w:adjustRightInd w:val="0"/>
        <w:snapToGrid w:val="0"/>
        <w:spacing w:before="157" w:beforeLines="50" w:line="560" w:lineRule="exact"/>
        <w:ind w:firstLine="0" w:firstLineChars="0"/>
        <w:jc w:val="center"/>
        <w:textAlignment w:val="auto"/>
        <w:outlineLvl w:val="1"/>
        <w:rPr>
          <w:rFonts w:hint="eastAsia" w:ascii="黑体" w:hAnsi="黑体" w:eastAsia="黑体" w:cs="黑体"/>
          <w:b w:val="0"/>
          <w:bCs w:val="0"/>
          <w:kern w:val="2"/>
          <w:sz w:val="32"/>
          <w:szCs w:val="32"/>
          <w:lang w:val="en-US" w:eastAsia="zh-CN" w:bidi="ar-SA"/>
        </w:rPr>
      </w:pPr>
      <w:bookmarkStart w:id="12" w:name="_Toc1795"/>
      <w:bookmarkStart w:id="13" w:name="_Toc17019_WPSOffice_Level2"/>
      <w:bookmarkStart w:id="14" w:name="_Toc9336"/>
      <w:bookmarkStart w:id="15" w:name="_Toc16562"/>
      <w:bookmarkStart w:id="16" w:name="_Toc7063_WPSOffice_Level2"/>
      <w:bookmarkStart w:id="17" w:name="_Toc27795"/>
      <w:bookmarkStart w:id="18" w:name="_Toc29348_WPSOffice_Level2"/>
      <w:bookmarkStart w:id="19" w:name="_Toc34637765"/>
      <w:r>
        <w:rPr>
          <w:rFonts w:hint="eastAsia" w:ascii="黑体" w:hAnsi="黑体" w:eastAsia="黑体" w:cs="黑体"/>
          <w:b w:val="0"/>
          <w:bCs w:val="0"/>
          <w:kern w:val="2"/>
          <w:sz w:val="32"/>
          <w:szCs w:val="32"/>
          <w:lang w:val="en-US" w:eastAsia="zh-CN" w:bidi="ar-SA"/>
        </w:rPr>
        <w:t>一、说明</w:t>
      </w:r>
      <w:bookmarkEnd w:id="12"/>
      <w:bookmarkEnd w:id="13"/>
      <w:bookmarkEnd w:id="14"/>
      <w:bookmarkEnd w:id="15"/>
      <w:bookmarkEnd w:id="16"/>
      <w:bookmarkEnd w:id="17"/>
      <w:bookmarkEnd w:id="18"/>
      <w:bookmarkEnd w:id="19"/>
    </w:p>
    <w:p w14:paraId="57F03698">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0" w:name="_Toc3473"/>
      <w:bookmarkStart w:id="21" w:name="_Toc29026"/>
      <w:bookmarkStart w:id="22" w:name="_Toc7063_WPSOffice_Level3"/>
      <w:bookmarkStart w:id="23" w:name="_Toc13645"/>
      <w:bookmarkStart w:id="24" w:name="_Toc11775_WPSOffice_Level3"/>
      <w:r>
        <w:rPr>
          <w:rFonts w:hint="eastAsia" w:ascii="宋体" w:hAnsi="宋体" w:eastAsia="宋体" w:cs="宋体"/>
          <w:b/>
          <w:bCs/>
          <w:kern w:val="2"/>
          <w:sz w:val="24"/>
          <w:szCs w:val="24"/>
          <w:u w:val="none"/>
          <w:lang w:val="en-US" w:eastAsia="zh-CN" w:bidi="ar-SA"/>
        </w:rPr>
        <w:t>1.适用范围</w:t>
      </w:r>
      <w:bookmarkEnd w:id="20"/>
      <w:bookmarkEnd w:id="21"/>
      <w:bookmarkEnd w:id="22"/>
      <w:bookmarkEnd w:id="23"/>
      <w:bookmarkEnd w:id="24"/>
    </w:p>
    <w:p w14:paraId="3A77F3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1.</w:t>
      </w:r>
      <w:r>
        <w:rPr>
          <w:rFonts w:hint="eastAsia" w:ascii="宋体" w:hAnsi="宋体" w:eastAsia="宋体" w:cs="宋体"/>
          <w:kern w:val="2"/>
          <w:sz w:val="24"/>
          <w:szCs w:val="24"/>
          <w:u w:val="none"/>
          <w:lang w:val="en-US" w:eastAsia="zh-CN" w:bidi="ar-SA"/>
        </w:rPr>
        <w:t>1</w:t>
      </w:r>
      <w:r>
        <w:rPr>
          <w:rFonts w:hint="eastAsia" w:ascii="宋体" w:hAnsi="宋体" w:eastAsia="宋体" w:cs="宋体"/>
          <w:kern w:val="2"/>
          <w:sz w:val="24"/>
          <w:szCs w:val="24"/>
          <w:u w:val="none"/>
          <w:lang w:val="zh-CN" w:eastAsia="zh-CN" w:bidi="ar-SA"/>
        </w:rPr>
        <w:t>本竞争性谈判文件仅适用于前述【谈判须知前附表】中所叙述的采购项目。</w:t>
      </w:r>
    </w:p>
    <w:p w14:paraId="4B4E10CF">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5" w:name="_Toc15754_WPSOffice_Level3"/>
      <w:bookmarkStart w:id="26" w:name="_Toc2404_WPSOffice_Level3"/>
      <w:bookmarkStart w:id="27" w:name="_Toc12080"/>
      <w:bookmarkStart w:id="28" w:name="_Toc10197"/>
      <w:bookmarkStart w:id="29" w:name="_Toc1646"/>
      <w:r>
        <w:rPr>
          <w:rFonts w:hint="eastAsia" w:ascii="宋体" w:hAnsi="宋体" w:eastAsia="宋体" w:cs="宋体"/>
          <w:b/>
          <w:bCs/>
          <w:kern w:val="2"/>
          <w:sz w:val="24"/>
          <w:szCs w:val="24"/>
          <w:u w:val="none"/>
          <w:lang w:val="en-US" w:eastAsia="zh-CN" w:bidi="ar-SA"/>
        </w:rPr>
        <w:t>2.采购人及代理机构</w:t>
      </w:r>
      <w:bookmarkEnd w:id="25"/>
      <w:bookmarkEnd w:id="26"/>
      <w:bookmarkEnd w:id="27"/>
      <w:bookmarkEnd w:id="28"/>
      <w:bookmarkEnd w:id="29"/>
    </w:p>
    <w:p w14:paraId="1ADCD2C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2.1</w:t>
      </w:r>
      <w:r>
        <w:rPr>
          <w:rFonts w:hint="eastAsia" w:ascii="宋体" w:hAnsi="宋体" w:eastAsia="宋体" w:cs="宋体"/>
          <w:kern w:val="2"/>
          <w:sz w:val="24"/>
          <w:szCs w:val="24"/>
          <w:u w:val="none"/>
          <w:lang w:val="zh-CN" w:eastAsia="zh-CN" w:bidi="ar-SA"/>
        </w:rPr>
        <w:t>采购人名称、地址、电话、联系人见【谈判须知前附表】。</w:t>
      </w:r>
    </w:p>
    <w:p w14:paraId="189566F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2.2</w:t>
      </w:r>
      <w:r>
        <w:rPr>
          <w:rFonts w:hint="eastAsia" w:ascii="宋体" w:hAnsi="宋体" w:eastAsia="宋体" w:cs="宋体"/>
          <w:kern w:val="2"/>
          <w:sz w:val="24"/>
          <w:szCs w:val="24"/>
          <w:u w:val="none"/>
          <w:lang w:val="zh-CN" w:eastAsia="zh-CN" w:bidi="ar-SA"/>
        </w:rPr>
        <w:t>采购代理机构名称、地址、电话、联系人、邮箱见【谈判须知前附表】。</w:t>
      </w:r>
    </w:p>
    <w:p w14:paraId="7583FD5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0" w:name="_Toc21695"/>
      <w:bookmarkStart w:id="31" w:name="_Toc5170"/>
      <w:bookmarkStart w:id="32" w:name="_Toc31395"/>
      <w:bookmarkStart w:id="33" w:name="_Toc955_WPSOffice_Level3"/>
      <w:bookmarkStart w:id="34" w:name="_Toc8089_WPSOffice_Level3"/>
      <w:r>
        <w:rPr>
          <w:rFonts w:hint="eastAsia" w:ascii="宋体" w:hAnsi="宋体" w:eastAsia="宋体" w:cs="宋体"/>
          <w:b/>
          <w:bCs/>
          <w:kern w:val="2"/>
          <w:sz w:val="24"/>
          <w:szCs w:val="24"/>
          <w:u w:val="none"/>
          <w:lang w:val="en-US" w:eastAsia="zh-CN" w:bidi="ar-SA"/>
        </w:rPr>
        <w:t>3.供应商的资格要求</w:t>
      </w:r>
      <w:bookmarkEnd w:id="30"/>
      <w:bookmarkEnd w:id="31"/>
      <w:bookmarkEnd w:id="32"/>
      <w:bookmarkEnd w:id="33"/>
      <w:bookmarkEnd w:id="34"/>
    </w:p>
    <w:p w14:paraId="231035D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3.1供应商是指响应谈判文件要求、参加竞争性谈判采购的法人、其他组织或者自然人。</w:t>
      </w:r>
    </w:p>
    <w:p w14:paraId="03157595">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3.2供应商应当符合【谈判须知前附表】规定的供应商资格条件。</w:t>
      </w:r>
    </w:p>
    <w:p w14:paraId="0D26C116">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 xml:space="preserve">3.3【谈判须知前附表】规定接受联合体形式的，供应商除应符合上述资格条件的规定外，还应遵守以下规定： </w:t>
      </w:r>
    </w:p>
    <w:p w14:paraId="23769F8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（l）联合体中有同类资质的供应商按照联合体分工承担相同工作的，应当按照资质等级较低的供应商确定资质等级。</w:t>
      </w:r>
    </w:p>
    <w:p w14:paraId="2FB423D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（2）联合体各方应按谈判文件提供的格式签订联合体协议书，明确联合体牵头人和各方的权利义务、合同工作量比例；</w:t>
      </w:r>
    </w:p>
    <w:p w14:paraId="7E172B4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（3）联合体各方签订联合体协议书后，不得再单独参加或者与其他供应商组成新的联合体参加同一合同项下的采购活动。</w:t>
      </w:r>
    </w:p>
    <w:p w14:paraId="05C173DB">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5" w:name="_Toc24112_WPSOffice_Level3"/>
      <w:bookmarkStart w:id="36" w:name="_Toc29322_WPSOffice_Level3"/>
      <w:bookmarkStart w:id="37" w:name="_Toc15386"/>
      <w:bookmarkStart w:id="38" w:name="_Toc18921"/>
      <w:bookmarkStart w:id="39" w:name="_Toc3790"/>
      <w:r>
        <w:rPr>
          <w:rFonts w:hint="eastAsia" w:ascii="宋体" w:hAnsi="宋体" w:eastAsia="宋体" w:cs="宋体"/>
          <w:b/>
          <w:bCs/>
          <w:kern w:val="2"/>
          <w:sz w:val="24"/>
          <w:szCs w:val="24"/>
          <w:u w:val="none"/>
          <w:lang w:val="en-US" w:eastAsia="zh-CN" w:bidi="ar-SA"/>
        </w:rPr>
        <w:t>4.谈判费用</w:t>
      </w:r>
      <w:bookmarkEnd w:id="35"/>
      <w:bookmarkEnd w:id="36"/>
      <w:bookmarkEnd w:id="37"/>
      <w:bookmarkEnd w:id="38"/>
      <w:bookmarkEnd w:id="39"/>
      <w:r>
        <w:rPr>
          <w:rFonts w:hint="eastAsia" w:ascii="宋体" w:hAnsi="宋体" w:eastAsia="宋体" w:cs="宋体"/>
          <w:b/>
          <w:bCs/>
          <w:kern w:val="2"/>
          <w:sz w:val="24"/>
          <w:szCs w:val="24"/>
          <w:u w:val="none"/>
          <w:lang w:val="en-US" w:eastAsia="zh-CN" w:bidi="ar-SA"/>
        </w:rPr>
        <w:t xml:space="preserve"> </w:t>
      </w:r>
    </w:p>
    <w:p w14:paraId="34D375C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无论谈判的结果如何，供应商应自行承担所有与竞争性谈判采购活动有关的全部费用。</w:t>
      </w:r>
    </w:p>
    <w:p w14:paraId="4821C693">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40" w:name="_Toc4912_WPSOffice_Level2"/>
      <w:bookmarkStart w:id="41" w:name="_Toc24356"/>
      <w:bookmarkStart w:id="42" w:name="_Toc34637766"/>
      <w:bookmarkStart w:id="43" w:name="_Toc24182"/>
      <w:bookmarkStart w:id="44" w:name="_Toc19663_WPSOffice_Level2"/>
      <w:bookmarkStart w:id="45" w:name="_Toc19544"/>
      <w:bookmarkStart w:id="46" w:name="_Toc2404_WPSOffice_Level2"/>
      <w:bookmarkStart w:id="47" w:name="_Toc28758"/>
      <w:r>
        <w:rPr>
          <w:rFonts w:hint="eastAsia" w:ascii="黑体" w:hAnsi="黑体" w:eastAsia="黑体" w:cs="黑体"/>
          <w:b w:val="0"/>
          <w:bCs w:val="0"/>
          <w:kern w:val="2"/>
          <w:sz w:val="32"/>
          <w:szCs w:val="32"/>
          <w:lang w:val="en-US" w:eastAsia="zh-CN" w:bidi="ar-SA"/>
        </w:rPr>
        <w:t>二、谈判文件</w:t>
      </w:r>
      <w:bookmarkEnd w:id="40"/>
      <w:bookmarkEnd w:id="41"/>
      <w:bookmarkEnd w:id="42"/>
      <w:bookmarkEnd w:id="43"/>
      <w:bookmarkEnd w:id="44"/>
      <w:bookmarkEnd w:id="45"/>
      <w:bookmarkEnd w:id="46"/>
      <w:bookmarkEnd w:id="47"/>
    </w:p>
    <w:p w14:paraId="7499F89E">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48" w:name="_Toc1826"/>
      <w:bookmarkStart w:id="49" w:name="_Toc14464"/>
      <w:bookmarkStart w:id="50" w:name="_Toc18786_WPSOffice_Level3"/>
      <w:bookmarkStart w:id="51" w:name="_Toc1611"/>
      <w:bookmarkStart w:id="52" w:name="_Toc29785_WPSOffice_Level3"/>
      <w:r>
        <w:rPr>
          <w:rFonts w:hint="eastAsia" w:ascii="宋体" w:hAnsi="宋体" w:eastAsia="宋体" w:cs="宋体"/>
          <w:b/>
          <w:bCs/>
          <w:kern w:val="2"/>
          <w:sz w:val="24"/>
          <w:szCs w:val="24"/>
          <w:u w:val="none"/>
          <w:lang w:val="en-US" w:eastAsia="zh-CN" w:bidi="ar-SA"/>
        </w:rPr>
        <w:t>5.谈判文件的组成</w:t>
      </w:r>
      <w:bookmarkEnd w:id="48"/>
      <w:bookmarkEnd w:id="49"/>
      <w:bookmarkEnd w:id="50"/>
      <w:bookmarkEnd w:id="51"/>
      <w:bookmarkEnd w:id="52"/>
    </w:p>
    <w:p w14:paraId="7AF261F9">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5.1谈判文件由下列文件组成：</w:t>
      </w:r>
    </w:p>
    <w:p w14:paraId="4020222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谈判邀请</w:t>
      </w:r>
    </w:p>
    <w:p w14:paraId="15A61E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（2）谈判须知</w:t>
      </w:r>
    </w:p>
    <w:p w14:paraId="2F8187D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（3）采购需求</w:t>
      </w:r>
    </w:p>
    <w:p w14:paraId="32D7FC12">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（4）谈判响应文件格式</w:t>
      </w:r>
    </w:p>
    <w:p w14:paraId="6CD8F18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（5）政府采购项目合同书范本</w:t>
      </w:r>
    </w:p>
    <w:p w14:paraId="17C48C8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5.2采购人、采购代理机构或者谈判小组在提交首次响应文件截止之日前对已发出的谈判文件进行的澄清或者修改，构成谈判文件的组成部分。</w:t>
      </w:r>
    </w:p>
    <w:p w14:paraId="4F8062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5.3谈判文件中，谈判小组根据与供应商谈判情况可能实质性变动的内容见【谈判须知前附表】。对谈判文件作出的实质性变动是谈判文件的有效组成部分。</w:t>
      </w:r>
    </w:p>
    <w:p w14:paraId="0AD823D7">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3" w:name="_Toc31604_WPSOffice_Level3"/>
      <w:bookmarkStart w:id="54" w:name="_Toc18056"/>
      <w:bookmarkStart w:id="55" w:name="_Toc20648"/>
      <w:bookmarkStart w:id="56" w:name="_Toc25455_WPSOffice_Level3"/>
      <w:bookmarkStart w:id="57" w:name="_Toc1317"/>
      <w:r>
        <w:rPr>
          <w:rFonts w:hint="eastAsia" w:ascii="宋体" w:hAnsi="宋体" w:eastAsia="宋体" w:cs="宋体"/>
          <w:b/>
          <w:bCs/>
          <w:kern w:val="2"/>
          <w:sz w:val="24"/>
          <w:szCs w:val="24"/>
          <w:u w:val="none"/>
          <w:lang w:val="en-US" w:eastAsia="zh-CN" w:bidi="ar-SA"/>
        </w:rPr>
        <w:t>6.谈判文件的澄清</w:t>
      </w:r>
      <w:r>
        <w:rPr>
          <w:rFonts w:hint="eastAsia" w:ascii="宋体" w:hAnsi="宋体" w:eastAsia="宋体" w:cs="宋体"/>
          <w:b/>
          <w:bCs/>
          <w:kern w:val="2"/>
          <w:sz w:val="24"/>
          <w:szCs w:val="24"/>
          <w:u w:val="none"/>
          <w:lang w:val="zh-CN" w:eastAsia="zh-CN" w:bidi="ar-SA"/>
        </w:rPr>
        <w:t>或者</w:t>
      </w:r>
      <w:r>
        <w:rPr>
          <w:rFonts w:hint="eastAsia" w:ascii="宋体" w:hAnsi="宋体" w:eastAsia="宋体" w:cs="宋体"/>
          <w:b/>
          <w:bCs/>
          <w:kern w:val="2"/>
          <w:sz w:val="24"/>
          <w:szCs w:val="24"/>
          <w:u w:val="none"/>
          <w:lang w:val="en-US" w:eastAsia="zh-CN" w:bidi="ar-SA"/>
        </w:rPr>
        <w:t>修改</w:t>
      </w:r>
      <w:bookmarkEnd w:id="53"/>
      <w:bookmarkEnd w:id="54"/>
      <w:bookmarkEnd w:id="55"/>
      <w:bookmarkEnd w:id="56"/>
      <w:bookmarkEnd w:id="57"/>
    </w:p>
    <w:p w14:paraId="1A62020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6.1在提交首次响应文件截止之日前，采购人、采购代理机构或者谈判小组可以对已发出的谈判文件进行必要的澄清或者修改。</w:t>
      </w:r>
    </w:p>
    <w:p w14:paraId="0B37578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104773A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8" w:name="_Toc6866_WPSOffice_Level3"/>
      <w:bookmarkStart w:id="59" w:name="_Toc4138_WPSOffice_Level3"/>
      <w:bookmarkStart w:id="60" w:name="_Toc25126"/>
      <w:bookmarkStart w:id="61" w:name="_Toc30"/>
      <w:bookmarkStart w:id="62" w:name="_Toc27004"/>
      <w:bookmarkStart w:id="63" w:name="_Toc22815"/>
      <w:bookmarkStart w:id="64" w:name="_Toc34637767"/>
      <w:r>
        <w:rPr>
          <w:rFonts w:hint="eastAsia" w:ascii="宋体" w:hAnsi="宋体" w:eastAsia="宋体" w:cs="宋体"/>
          <w:b/>
          <w:bCs/>
          <w:kern w:val="2"/>
          <w:sz w:val="24"/>
          <w:szCs w:val="24"/>
          <w:u w:val="none"/>
          <w:lang w:val="en-US" w:eastAsia="zh-CN" w:bidi="ar-SA"/>
        </w:rPr>
        <w:t>7.谈判文件的询问或质疑</w:t>
      </w:r>
      <w:bookmarkEnd w:id="58"/>
      <w:bookmarkEnd w:id="59"/>
      <w:bookmarkEnd w:id="60"/>
      <w:bookmarkEnd w:id="61"/>
      <w:bookmarkEnd w:id="62"/>
      <w:bookmarkEnd w:id="63"/>
    </w:p>
    <w:p w14:paraId="4FD9540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7.1供应商对谈判文件有疑问的，可以向采购人、采购代理机构提出询问。</w:t>
      </w:r>
    </w:p>
    <w:p w14:paraId="500CF4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3D05FBE3">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7.3供应商认为谈判文件使自己的权益受到损害的，应以书面形式提出质疑（不接受匿名质疑），供应商须在法定质疑期内一次性提出针对同一采购程序环节的质疑。</w:t>
      </w:r>
    </w:p>
    <w:p w14:paraId="6F441FD1">
      <w:pPr>
        <w:widowControl w:val="0"/>
        <w:wordWrap/>
        <w:adjustRightInd w:val="0"/>
        <w:snapToGrid w:val="0"/>
        <w:spacing w:before="157" w:beforeLines="50" w:line="560" w:lineRule="exact"/>
        <w:ind w:firstLine="640" w:firstLineChars="200"/>
        <w:jc w:val="center"/>
        <w:textAlignment w:val="auto"/>
        <w:outlineLvl w:val="1"/>
        <w:rPr>
          <w:rFonts w:hint="eastAsia" w:ascii="黑体" w:hAnsi="黑体" w:eastAsia="黑体" w:cs="黑体"/>
          <w:kern w:val="2"/>
          <w:sz w:val="32"/>
          <w:szCs w:val="32"/>
          <w:lang w:val="en-US" w:eastAsia="zh-CN" w:bidi="ar-SA"/>
        </w:rPr>
      </w:pPr>
      <w:bookmarkStart w:id="65" w:name="_Toc16902"/>
      <w:bookmarkStart w:id="66" w:name="_Toc955_WPSOffice_Level2"/>
      <w:bookmarkStart w:id="67" w:name="_Toc22660"/>
      <w:bookmarkStart w:id="68" w:name="_Toc5732_WPSOffice_Level2"/>
      <w:bookmarkStart w:id="69" w:name="_Toc28815"/>
      <w:bookmarkStart w:id="70" w:name="_Toc23235_WPSOffice_Level2"/>
      <w:r>
        <w:rPr>
          <w:rFonts w:hint="eastAsia" w:ascii="黑体" w:hAnsi="黑体" w:eastAsia="黑体" w:cs="黑体"/>
          <w:kern w:val="2"/>
          <w:sz w:val="32"/>
          <w:szCs w:val="32"/>
          <w:lang w:val="en-US" w:eastAsia="zh-CN" w:bidi="ar-SA"/>
        </w:rPr>
        <w:t>三、响应文件</w:t>
      </w:r>
      <w:bookmarkEnd w:id="64"/>
      <w:bookmarkEnd w:id="65"/>
      <w:bookmarkEnd w:id="66"/>
      <w:bookmarkEnd w:id="67"/>
      <w:bookmarkEnd w:id="68"/>
      <w:bookmarkEnd w:id="69"/>
      <w:bookmarkEnd w:id="70"/>
    </w:p>
    <w:p w14:paraId="7B05EDF0">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71" w:name="_Toc22063"/>
      <w:bookmarkStart w:id="72" w:name="_Toc2475"/>
      <w:bookmarkStart w:id="73" w:name="_Toc1096_WPSOffice_Level3"/>
      <w:bookmarkStart w:id="74" w:name="_Toc25002"/>
      <w:bookmarkStart w:id="75" w:name="_Toc17983"/>
      <w:bookmarkStart w:id="76" w:name="_Toc10843_WPSOffice_Level3"/>
      <w:r>
        <w:rPr>
          <w:rFonts w:hint="eastAsia" w:ascii="宋体" w:hAnsi="宋体" w:eastAsia="宋体" w:cs="宋体"/>
          <w:b/>
          <w:bCs/>
          <w:kern w:val="2"/>
          <w:sz w:val="24"/>
          <w:szCs w:val="24"/>
          <w:u w:val="none"/>
          <w:lang w:val="en-US" w:eastAsia="zh-CN" w:bidi="ar-SA"/>
        </w:rPr>
        <w:t>8.一般要求</w:t>
      </w:r>
      <w:bookmarkEnd w:id="71"/>
      <w:bookmarkEnd w:id="72"/>
      <w:bookmarkEnd w:id="73"/>
      <w:bookmarkEnd w:id="74"/>
      <w:bookmarkEnd w:id="75"/>
      <w:bookmarkEnd w:id="76"/>
    </w:p>
    <w:p w14:paraId="2FE73C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5E4A3C2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1CA45BC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8.3除谈判文件中另有规定外，谈判响应文件所使用的度量衡单位，均须采用国家法定计量单位。未列明时应默认为我国法定计量单位。</w:t>
      </w:r>
    </w:p>
    <w:p w14:paraId="3DEB4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8.4响应文件应采用书面形式，电报、传真、电子邮件形式的响应文件概不接受。</w:t>
      </w:r>
    </w:p>
    <w:p w14:paraId="0A2676F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8.5供应商应按谈判文件中提供的响应文件格式进行填写。</w:t>
      </w:r>
    </w:p>
    <w:p w14:paraId="629B3FA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lang w:val="en-US" w:eastAsia="zh-CN" w:bidi="ar-SA"/>
        </w:rPr>
      </w:pPr>
      <w:bookmarkStart w:id="77" w:name="_Toc12007"/>
      <w:bookmarkStart w:id="78" w:name="_Toc31527"/>
      <w:bookmarkStart w:id="79" w:name="_Toc14527_WPSOffice_Level3"/>
      <w:bookmarkStart w:id="80" w:name="_Toc16030"/>
      <w:bookmarkStart w:id="81" w:name="_Toc20423_WPSOffice_Level3"/>
      <w:r>
        <w:rPr>
          <w:rFonts w:hint="eastAsia" w:ascii="宋体" w:hAnsi="宋体" w:eastAsia="宋体" w:cs="宋体"/>
          <w:b/>
          <w:bCs/>
          <w:kern w:val="2"/>
          <w:sz w:val="24"/>
          <w:szCs w:val="24"/>
          <w:lang w:val="en-US" w:eastAsia="zh-CN" w:bidi="ar-SA"/>
        </w:rPr>
        <w:t>9.报价要求</w:t>
      </w:r>
      <w:bookmarkEnd w:id="77"/>
      <w:bookmarkEnd w:id="78"/>
      <w:bookmarkEnd w:id="79"/>
      <w:bookmarkEnd w:id="80"/>
      <w:bookmarkEnd w:id="81"/>
    </w:p>
    <w:p w14:paraId="68C180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9.1供应商应当根据谈判文件“分项报价表”逐一报价；</w:t>
      </w:r>
    </w:p>
    <w:p w14:paraId="339DA35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9.2在首次报价表、分项报价表、最后报价表填写报价时应注意下列要求：</w:t>
      </w:r>
    </w:p>
    <w:p w14:paraId="4196D759">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（1）采购需求要求的</w:t>
      </w:r>
      <w:r>
        <w:rPr>
          <w:rFonts w:hint="eastAsia" w:ascii="宋体" w:hAnsi="宋体" w:cs="宋体"/>
          <w:b w:val="0"/>
          <w:bCs w:val="0"/>
          <w:kern w:val="2"/>
          <w:sz w:val="24"/>
          <w:szCs w:val="24"/>
          <w:u w:val="none"/>
          <w:lang w:val="en-US" w:eastAsia="zh-CN" w:bidi="ar-SA"/>
        </w:rPr>
        <w:t>费用包括但不限于：产品费、检验费、手续费、包装</w:t>
      </w:r>
    </w:p>
    <w:p w14:paraId="750DE7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17C25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（2）所有根据合同或其它原因应由供应商交纳和支付的税款和费用。</w:t>
      </w:r>
    </w:p>
    <w:p w14:paraId="4D959BD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（3）供应商报价应为完成本竞争性谈判文件中所要求的货物所应包括内容的所有价格。</w:t>
      </w:r>
    </w:p>
    <w:p w14:paraId="61BD3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9.3</w:t>
      </w:r>
      <w:r>
        <w:rPr>
          <w:rFonts w:hint="eastAsia" w:ascii="宋体" w:hAnsi="宋体" w:eastAsia="宋体" w:cs="宋体"/>
          <w:b w:val="0"/>
          <w:bCs w:val="0"/>
          <w:kern w:val="2"/>
          <w:sz w:val="24"/>
          <w:szCs w:val="24"/>
          <w:u w:val="none"/>
          <w:lang w:val="zh-CN" w:eastAsia="zh-CN" w:bidi="ar-SA"/>
        </w:rPr>
        <w:t>供应商</w:t>
      </w:r>
      <w:r>
        <w:rPr>
          <w:rFonts w:hint="eastAsia" w:ascii="宋体" w:hAnsi="宋体" w:eastAsia="宋体" w:cs="宋体"/>
          <w:b w:val="0"/>
          <w:bCs w:val="0"/>
          <w:kern w:val="2"/>
          <w:sz w:val="24"/>
          <w:szCs w:val="24"/>
          <w:u w:val="none"/>
          <w:lang w:val="en-US" w:eastAsia="zh-CN" w:bidi="ar-SA"/>
        </w:rPr>
        <w:t>的每次报价均不得超过采购项目预算，否则视为无效响应。采购项目预算见【谈判须知前附表】。</w:t>
      </w:r>
    </w:p>
    <w:p w14:paraId="3FDF5AF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9.4供应商提交的最后报价在合同执行过程中是固定不变的，不得以任何理由予以变更。以可变动价格提交的报价将被认为是非实质响应而被拒绝。</w:t>
      </w:r>
    </w:p>
    <w:p w14:paraId="6C9D518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9.5谈判报价为总价。供应商须按要求填写谈判总报价，最后报价不得出现两个或两个以上的报价方案。 </w:t>
      </w:r>
    </w:p>
    <w:p w14:paraId="747AD2A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9.6报价币种为人民币。</w:t>
      </w:r>
    </w:p>
    <w:p w14:paraId="035C153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82" w:name="_Toc19609_WPSOffice_Level3"/>
      <w:bookmarkStart w:id="83" w:name="_Toc28436"/>
      <w:bookmarkStart w:id="84" w:name="_Toc30839"/>
      <w:bookmarkStart w:id="85" w:name="_Toc24956_WPSOffice_Level3"/>
      <w:bookmarkStart w:id="86" w:name="_Toc30481"/>
      <w:r>
        <w:rPr>
          <w:rFonts w:hint="eastAsia" w:ascii="宋体" w:hAnsi="宋体" w:eastAsia="宋体" w:cs="宋体"/>
          <w:b/>
          <w:bCs/>
          <w:kern w:val="2"/>
          <w:sz w:val="24"/>
          <w:szCs w:val="24"/>
          <w:u w:val="none"/>
          <w:lang w:val="en-US" w:eastAsia="zh-CN" w:bidi="ar-SA"/>
        </w:rPr>
        <w:t>10.保证金</w:t>
      </w:r>
      <w:bookmarkEnd w:id="82"/>
      <w:bookmarkEnd w:id="83"/>
      <w:bookmarkEnd w:id="84"/>
      <w:bookmarkEnd w:id="85"/>
      <w:bookmarkEnd w:id="86"/>
    </w:p>
    <w:p w14:paraId="5EC641B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14:paraId="55055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10.2</w:t>
      </w:r>
      <w:r>
        <w:rPr>
          <w:rFonts w:hint="eastAsia" w:ascii="宋体" w:hAnsi="宋体" w:eastAsia="宋体" w:cs="宋体"/>
          <w:b w:val="0"/>
          <w:bCs w:val="0"/>
          <w:kern w:val="2"/>
          <w:sz w:val="24"/>
          <w:szCs w:val="24"/>
          <w:u w:val="none"/>
          <w:lang w:val="zh-CN" w:eastAsia="zh-CN" w:bidi="ar-SA"/>
        </w:rPr>
        <w:t>供应商为联合体的，可以由联合体中的一方或者共同交纳保证金，其交纳的保证金，对联合体各方均具有约束力。</w:t>
      </w:r>
      <w:r>
        <w:rPr>
          <w:rFonts w:hint="eastAsia" w:ascii="宋体" w:hAnsi="宋体" w:eastAsia="宋体" w:cs="宋体"/>
          <w:b w:val="0"/>
          <w:bCs w:val="0"/>
          <w:kern w:val="2"/>
          <w:sz w:val="24"/>
          <w:szCs w:val="24"/>
          <w:u w:val="none"/>
          <w:lang w:val="en-US" w:eastAsia="zh-CN" w:bidi="ar-SA"/>
        </w:rPr>
        <w:t xml:space="preserve">                                           </w:t>
      </w:r>
    </w:p>
    <w:p w14:paraId="329F70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10.3保证金的退还按以下规定办理：</w:t>
      </w:r>
    </w:p>
    <w:p w14:paraId="4C5E5F6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（1）成交供应商的保证金，在政府采购合同签订后5个工作日内退还，但因供应商自身原因导致无法退还的除外。</w:t>
      </w:r>
    </w:p>
    <w:p w14:paraId="77DCAA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（2）未成交供应商的保证金，在成交通知书发出后5个工作日内退还。</w:t>
      </w:r>
    </w:p>
    <w:p w14:paraId="620D741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（3）终止竞争性谈判采购活动的，在发布项目终止公告后5个工作日内退还。</w:t>
      </w:r>
    </w:p>
    <w:p w14:paraId="3D1391E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10.4有下列情形之一的，保证金不予退还，并上缴同级财政国库：</w:t>
      </w:r>
    </w:p>
    <w:p w14:paraId="17E9822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（1）供应商在提交响应文件截止时间后撤回响应文件的；</w:t>
      </w:r>
    </w:p>
    <w:p w14:paraId="5CBE08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（2）供应商在响应文件中提供虚假材料的；</w:t>
      </w:r>
    </w:p>
    <w:p w14:paraId="0AC207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（3）除因不可抗力或谈判文件认可的情形以外，成交供应商不与采购人签订合同的； </w:t>
      </w:r>
    </w:p>
    <w:p w14:paraId="4FFB340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（4）供应商与采购人、其他供应商或者采购代理机构恶意串通的； </w:t>
      </w:r>
    </w:p>
    <w:p w14:paraId="6D5D366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（5）谈判文件规定的其他情形。</w:t>
      </w:r>
    </w:p>
    <w:p w14:paraId="78A0CA09">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87" w:name="_Toc14144"/>
      <w:bookmarkStart w:id="88" w:name="_Toc29837"/>
      <w:bookmarkStart w:id="89" w:name="_Toc4945_WPSOffice_Level3"/>
      <w:bookmarkStart w:id="90" w:name="_Toc18765_WPSOffice_Level3"/>
      <w:bookmarkStart w:id="91" w:name="_Toc5897"/>
      <w:r>
        <w:rPr>
          <w:rFonts w:hint="eastAsia" w:ascii="宋体" w:hAnsi="宋体" w:eastAsia="宋体" w:cs="宋体"/>
          <w:b/>
          <w:bCs/>
          <w:kern w:val="2"/>
          <w:sz w:val="24"/>
          <w:szCs w:val="24"/>
          <w:u w:val="none"/>
          <w:lang w:val="en-US" w:eastAsia="zh-CN" w:bidi="ar-SA"/>
        </w:rPr>
        <w:t>11.响应文件的组成</w:t>
      </w:r>
      <w:bookmarkEnd w:id="87"/>
      <w:bookmarkEnd w:id="88"/>
      <w:bookmarkEnd w:id="89"/>
      <w:bookmarkEnd w:id="90"/>
      <w:bookmarkEnd w:id="91"/>
    </w:p>
    <w:p w14:paraId="3CDE150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11.1响应文件包括下列内容： </w:t>
      </w:r>
    </w:p>
    <w:p w14:paraId="69D2EE7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供应商应提交相关证明材料，作为其参加谈判和成交后有能力履行合同的证明。编写的谈判响应文件须包括以下内容（格式详见谈判文件第四部分内容）：</w:t>
      </w:r>
    </w:p>
    <w:p w14:paraId="175830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11.1.1</w:t>
      </w:r>
      <w:r>
        <w:rPr>
          <w:rFonts w:hint="eastAsia" w:ascii="宋体" w:hAnsi="宋体" w:eastAsia="宋体" w:cs="宋体"/>
          <w:b w:val="0"/>
          <w:bCs w:val="0"/>
          <w:kern w:val="2"/>
          <w:sz w:val="24"/>
          <w:szCs w:val="24"/>
          <w:u w:val="none"/>
          <w:lang w:val="zh-CN" w:eastAsia="zh-CN" w:bidi="ar-SA"/>
        </w:rPr>
        <w:t>资格审查部分</w:t>
      </w:r>
    </w:p>
    <w:p w14:paraId="2754F7E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1、响应函</w:t>
      </w:r>
    </w:p>
    <w:p w14:paraId="4D416C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2、法定代表人证明书</w:t>
      </w:r>
    </w:p>
    <w:p w14:paraId="2F0345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3、法定代表人授权书</w:t>
      </w:r>
    </w:p>
    <w:p w14:paraId="1DD32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4、供应商承诺函</w:t>
      </w:r>
    </w:p>
    <w:p w14:paraId="3BC836B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5、供应商诚信承诺书</w:t>
      </w:r>
    </w:p>
    <w:p w14:paraId="7AC32C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6、供应商资格证明文件</w:t>
      </w:r>
    </w:p>
    <w:p w14:paraId="79DE5D8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7、财务状况、缴纳税收和社会保障资金证明</w:t>
      </w:r>
    </w:p>
    <w:p w14:paraId="67D1816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8、无重大违法记录声明</w:t>
      </w:r>
    </w:p>
    <w:p w14:paraId="0F36014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9、谈判保证金证明</w:t>
      </w:r>
    </w:p>
    <w:p w14:paraId="5A6D5D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11.1.2有效性、完整性、响应程度审查</w:t>
      </w:r>
      <w:r>
        <w:rPr>
          <w:rFonts w:hint="eastAsia" w:ascii="宋体" w:hAnsi="宋体" w:eastAsia="宋体" w:cs="宋体"/>
          <w:b w:val="0"/>
          <w:bCs w:val="0"/>
          <w:kern w:val="2"/>
          <w:sz w:val="24"/>
          <w:szCs w:val="24"/>
          <w:u w:val="none"/>
          <w:lang w:val="zh-CN" w:eastAsia="zh-CN" w:bidi="ar-SA"/>
        </w:rPr>
        <w:t>部分</w:t>
      </w:r>
    </w:p>
    <w:p w14:paraId="432586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1、谈判首次报价表</w:t>
      </w:r>
    </w:p>
    <w:p w14:paraId="722BB4C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2、分项报价表</w:t>
      </w:r>
    </w:p>
    <w:p w14:paraId="63A6C23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3、技术规格响应表</w:t>
      </w:r>
    </w:p>
    <w:p w14:paraId="3A28CCB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4、具备履行合同所必须的设备和专业技术能力证明</w:t>
      </w:r>
    </w:p>
    <w:p w14:paraId="4519CC6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5、所投产品相关资料</w:t>
      </w:r>
    </w:p>
    <w:p w14:paraId="77333B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cs="宋体"/>
          <w:b w:val="0"/>
          <w:bCs w:val="0"/>
          <w:kern w:val="2"/>
          <w:sz w:val="24"/>
          <w:szCs w:val="24"/>
          <w:u w:val="none"/>
          <w:lang w:val="en-US" w:eastAsia="zh-CN" w:bidi="ar-SA"/>
        </w:rPr>
        <w:t>6</w:t>
      </w:r>
      <w:r>
        <w:rPr>
          <w:rFonts w:hint="eastAsia" w:ascii="宋体" w:hAnsi="宋体" w:eastAsia="宋体" w:cs="宋体"/>
          <w:b w:val="0"/>
          <w:bCs w:val="0"/>
          <w:kern w:val="2"/>
          <w:sz w:val="24"/>
          <w:szCs w:val="24"/>
          <w:u w:val="none"/>
          <w:lang w:val="zh-CN" w:eastAsia="zh-CN" w:bidi="ar-SA"/>
        </w:rPr>
        <w:t>、</w:t>
      </w:r>
      <w:r>
        <w:rPr>
          <w:rFonts w:hint="eastAsia" w:ascii="宋体" w:hAnsi="宋体" w:cs="宋体"/>
          <w:b w:val="0"/>
          <w:bCs w:val="0"/>
          <w:kern w:val="2"/>
          <w:sz w:val="24"/>
          <w:szCs w:val="24"/>
          <w:u w:val="none"/>
          <w:lang w:val="en-US" w:eastAsia="zh-CN" w:bidi="ar-SA"/>
        </w:rPr>
        <w:t>中小企业声明函</w:t>
      </w:r>
    </w:p>
    <w:p w14:paraId="6E69F5CA">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7</w:t>
      </w:r>
      <w:r>
        <w:rPr>
          <w:rFonts w:hint="eastAsia" w:ascii="宋体" w:hAnsi="宋体" w:eastAsia="宋体" w:cs="宋体"/>
          <w:b w:val="0"/>
          <w:bCs w:val="0"/>
          <w:kern w:val="2"/>
          <w:sz w:val="24"/>
          <w:szCs w:val="24"/>
          <w:u w:val="none"/>
          <w:lang w:val="zh-CN" w:eastAsia="zh-CN" w:bidi="ar-SA"/>
        </w:rPr>
        <w:t>、</w:t>
      </w:r>
      <w:r>
        <w:rPr>
          <w:rFonts w:hint="eastAsia" w:ascii="宋体" w:hAnsi="宋体" w:eastAsia="宋体" w:cs="宋体"/>
          <w:b w:val="0"/>
          <w:bCs w:val="0"/>
          <w:kern w:val="2"/>
          <w:sz w:val="24"/>
          <w:szCs w:val="24"/>
          <w:lang w:val="en-US" w:eastAsia="zh-CN" w:bidi="ar-SA"/>
        </w:rPr>
        <w:t>残疾人福利性单位声明函</w:t>
      </w:r>
    </w:p>
    <w:p w14:paraId="5503B31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u w:val="none"/>
          <w:lang w:val="en-US" w:eastAsia="zh-CN" w:bidi="ar-SA"/>
        </w:rPr>
        <w:t>8、</w:t>
      </w:r>
      <w:r>
        <w:rPr>
          <w:rFonts w:hint="default" w:ascii="宋体" w:hAnsi="宋体" w:eastAsia="宋体" w:cs="宋体"/>
          <w:b w:val="0"/>
          <w:bCs w:val="0"/>
          <w:kern w:val="2"/>
          <w:sz w:val="24"/>
          <w:szCs w:val="24"/>
          <w:lang w:val="en-US" w:eastAsia="zh-CN" w:bidi="ar-SA"/>
        </w:rPr>
        <w:t>关于符合本国产品标准的声明函</w:t>
      </w:r>
    </w:p>
    <w:p w14:paraId="36FE374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9、</w:t>
      </w:r>
      <w:r>
        <w:rPr>
          <w:rFonts w:hint="eastAsia" w:ascii="宋体" w:hAnsi="宋体" w:cs="宋体"/>
          <w:bCs w:val="0"/>
          <w:kern w:val="2"/>
          <w:sz w:val="24"/>
          <w:szCs w:val="24"/>
          <w:lang w:val="en-US" w:eastAsia="zh-CN" w:bidi="ar-SA"/>
        </w:rPr>
        <w:t>供应商认为在其他方面有必要说明的事项</w:t>
      </w:r>
    </w:p>
    <w:p w14:paraId="32410D0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10</w:t>
      </w:r>
      <w:r>
        <w:rPr>
          <w:rFonts w:hint="eastAsia" w:ascii="宋体" w:hAnsi="宋体" w:eastAsia="宋体" w:cs="宋体"/>
          <w:b w:val="0"/>
          <w:bCs w:val="0"/>
          <w:kern w:val="2"/>
          <w:sz w:val="24"/>
          <w:szCs w:val="24"/>
          <w:u w:val="none"/>
          <w:lang w:val="en-US" w:eastAsia="zh-CN" w:bidi="ar-SA"/>
        </w:rPr>
        <w:t>、谈判最后报价表</w:t>
      </w:r>
    </w:p>
    <w:p w14:paraId="40D7CBA5">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11、最终分项报价表</w:t>
      </w:r>
    </w:p>
    <w:p w14:paraId="05113B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供应商须按上述内容、顺序和格式编制响应文件，并按要求编制目录、页码，并保证所提供的全部资料真实可信，自愿承担相应责任。</w:t>
      </w:r>
    </w:p>
    <w:p w14:paraId="59EC4C7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11.2在谈判过程中，供应商根据谈判小组书面形式要求提交的最后报价(或者重新提交的响应文件和最后报价)是响应文件的有效组成部分。</w:t>
      </w:r>
    </w:p>
    <w:p w14:paraId="089CBB9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2" w:name="_Toc6423"/>
      <w:bookmarkStart w:id="93" w:name="_Toc3694_WPSOffice_Level3"/>
      <w:bookmarkStart w:id="94" w:name="_Toc14930_WPSOffice_Level3"/>
      <w:bookmarkStart w:id="95" w:name="_Toc26621"/>
      <w:bookmarkStart w:id="96" w:name="_Toc11674"/>
      <w:r>
        <w:rPr>
          <w:rFonts w:hint="eastAsia" w:ascii="宋体" w:hAnsi="宋体" w:eastAsia="宋体" w:cs="宋体"/>
          <w:b/>
          <w:bCs/>
          <w:kern w:val="2"/>
          <w:sz w:val="24"/>
          <w:szCs w:val="24"/>
          <w:u w:val="none"/>
          <w:lang w:val="en-US" w:eastAsia="zh-CN" w:bidi="ar-SA"/>
        </w:rPr>
        <w:t>12.响应文件有效期</w:t>
      </w:r>
      <w:bookmarkEnd w:id="92"/>
      <w:bookmarkEnd w:id="93"/>
      <w:bookmarkEnd w:id="94"/>
      <w:bookmarkEnd w:id="95"/>
      <w:bookmarkEnd w:id="96"/>
    </w:p>
    <w:p w14:paraId="2451B59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响应文件有效期见【谈判须知前附表】，在此期间响应文件对供应商具有法律约束力，从提交首次响应文件截止时间之日起计算。响应文件有效期不足的将被视为无效响应。</w:t>
      </w:r>
    </w:p>
    <w:p w14:paraId="3A92686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7" w:name="_Toc21033"/>
      <w:bookmarkStart w:id="98" w:name="_Toc8507_WPSOffice_Level3"/>
      <w:bookmarkStart w:id="99" w:name="_Toc31682_WPSOffice_Level3"/>
      <w:bookmarkStart w:id="100" w:name="_Toc20265"/>
      <w:bookmarkStart w:id="101" w:name="_Toc17034"/>
      <w:r>
        <w:rPr>
          <w:rFonts w:hint="eastAsia" w:ascii="宋体" w:hAnsi="宋体" w:eastAsia="宋体" w:cs="宋体"/>
          <w:b/>
          <w:bCs/>
          <w:kern w:val="2"/>
          <w:sz w:val="24"/>
          <w:szCs w:val="24"/>
          <w:u w:val="none"/>
          <w:lang w:val="en-US" w:eastAsia="zh-CN" w:bidi="ar-SA"/>
        </w:rPr>
        <w:t>13.响应文件的签署及规定</w:t>
      </w:r>
      <w:bookmarkEnd w:id="97"/>
      <w:bookmarkEnd w:id="98"/>
      <w:bookmarkEnd w:id="99"/>
      <w:bookmarkEnd w:id="100"/>
      <w:bookmarkEnd w:id="101"/>
    </w:p>
    <w:p w14:paraId="0C27CDF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4730DC8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13.2 </w:t>
      </w:r>
      <w:r>
        <w:rPr>
          <w:rFonts w:hint="eastAsia" w:ascii="宋体" w:hAnsi="宋体" w:eastAsia="宋体" w:cs="宋体"/>
          <w:b w:val="0"/>
          <w:bCs w:val="0"/>
          <w:kern w:val="2"/>
          <w:sz w:val="24"/>
          <w:szCs w:val="24"/>
          <w:u w:val="none"/>
          <w:lang w:val="zh-CN" w:eastAsia="zh-CN" w:bidi="ar-SA"/>
        </w:rPr>
        <w:t>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14:paraId="008606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13.3响应文件不得行间插字，若有修改错漏处，应由供应商法定代表人或者其委托代理人签字、加盖公章。否则，将导致响应文件无效。</w:t>
      </w:r>
      <w:r>
        <w:rPr>
          <w:rFonts w:hint="eastAsia" w:ascii="宋体" w:hAnsi="宋体" w:eastAsia="宋体" w:cs="宋体"/>
          <w:b w:val="0"/>
          <w:bCs w:val="0"/>
          <w:kern w:val="2"/>
          <w:sz w:val="24"/>
          <w:szCs w:val="24"/>
          <w:u w:val="none"/>
          <w:lang w:val="zh-CN" w:eastAsia="zh-CN" w:bidi="ar-SA"/>
        </w:rPr>
        <w:t xml:space="preserve"> </w:t>
      </w:r>
    </w:p>
    <w:p w14:paraId="1B20902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13.4在谈判过程中，供应商按谈判文件规定和谈判小组要求提交的最后报价(或者重新提交的响应文件和最后报价)，须打印或用不褪色材料书写，并经供应商代表签字，或者加盖供应商单位公章。否则，将导致响应文件无效。</w:t>
      </w:r>
    </w:p>
    <w:p w14:paraId="31091EB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102" w:name="_Toc32627_WPSOffice_Level2"/>
      <w:bookmarkStart w:id="103" w:name="_Toc8361"/>
      <w:bookmarkStart w:id="104" w:name="_Toc30575"/>
      <w:bookmarkStart w:id="105" w:name="_Toc31349_WPSOffice_Level2"/>
      <w:bookmarkStart w:id="106" w:name="_Toc7979"/>
      <w:bookmarkStart w:id="107" w:name="_Toc25869"/>
      <w:bookmarkStart w:id="108" w:name="_Toc34637768"/>
      <w:bookmarkStart w:id="109" w:name="_Toc24112_WPSOffice_Level2"/>
      <w:r>
        <w:rPr>
          <w:rFonts w:hint="eastAsia" w:ascii="黑体" w:hAnsi="黑体" w:eastAsia="黑体" w:cs="黑体"/>
          <w:b w:val="0"/>
          <w:bCs w:val="0"/>
          <w:kern w:val="2"/>
          <w:sz w:val="32"/>
          <w:szCs w:val="32"/>
          <w:lang w:val="en-US" w:eastAsia="zh-CN" w:bidi="ar-SA"/>
        </w:rPr>
        <w:t>四、响应文件的递交</w:t>
      </w:r>
      <w:bookmarkEnd w:id="102"/>
      <w:bookmarkEnd w:id="103"/>
      <w:bookmarkEnd w:id="104"/>
      <w:bookmarkEnd w:id="105"/>
      <w:bookmarkEnd w:id="106"/>
      <w:bookmarkEnd w:id="107"/>
      <w:bookmarkEnd w:id="108"/>
      <w:bookmarkEnd w:id="109"/>
    </w:p>
    <w:p w14:paraId="4CB365E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10" w:name="_Toc4459"/>
      <w:bookmarkStart w:id="111" w:name="_Toc23622_WPSOffice_Level3"/>
      <w:bookmarkStart w:id="112" w:name="_Toc20825_WPSOffice_Level3"/>
      <w:bookmarkStart w:id="113" w:name="_Toc25546"/>
      <w:bookmarkStart w:id="114" w:name="_Toc6095"/>
      <w:r>
        <w:rPr>
          <w:rFonts w:hint="eastAsia" w:ascii="宋体" w:hAnsi="宋体" w:eastAsia="宋体" w:cs="宋体"/>
          <w:b/>
          <w:bCs/>
          <w:kern w:val="2"/>
          <w:sz w:val="24"/>
          <w:szCs w:val="24"/>
          <w:u w:val="none"/>
          <w:lang w:val="en-US" w:eastAsia="zh-CN" w:bidi="ar-SA"/>
        </w:rPr>
        <w:t>14.响应文件的密封和标记</w:t>
      </w:r>
      <w:bookmarkEnd w:id="110"/>
      <w:bookmarkEnd w:id="111"/>
      <w:bookmarkEnd w:id="112"/>
      <w:bookmarkEnd w:id="113"/>
      <w:bookmarkEnd w:id="114"/>
    </w:p>
    <w:p w14:paraId="756D9C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15" w:name="_Toc5660"/>
      <w:bookmarkStart w:id="116" w:name="_Toc18048"/>
      <w:bookmarkStart w:id="117" w:name="_Toc1241"/>
      <w:bookmarkStart w:id="118" w:name="_Toc7845_WPSOffice_Level3"/>
      <w:bookmarkStart w:id="119" w:name="_Toc13231_WPSOffice_Level3"/>
      <w:r>
        <w:rPr>
          <w:rFonts w:hint="eastAsia" w:ascii="宋体" w:hAnsi="宋体" w:eastAsia="宋体" w:cs="宋体"/>
          <w:b w:val="0"/>
          <w:bCs w:val="0"/>
          <w:kern w:val="2"/>
          <w:sz w:val="24"/>
          <w:szCs w:val="24"/>
          <w:u w:val="none"/>
          <w:lang w:val="en-US" w:eastAsia="zh-CN" w:bidi="ar-SA"/>
        </w:rPr>
        <w:t>本次招标采用线上提交电子响应文件的方式进行，电子响应文件必须在响应文件递交截止时间前上传至政采云平台。</w:t>
      </w:r>
    </w:p>
    <w:p w14:paraId="31C5EC7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15.响应文件的递交与接收</w:t>
      </w:r>
      <w:bookmarkEnd w:id="115"/>
      <w:bookmarkEnd w:id="116"/>
      <w:bookmarkEnd w:id="117"/>
      <w:bookmarkEnd w:id="118"/>
      <w:bookmarkEnd w:id="119"/>
    </w:p>
    <w:p w14:paraId="0009545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0" w:name="_Toc5063_WPSOffice_Level3"/>
      <w:bookmarkStart w:id="121" w:name="_Toc31959"/>
      <w:bookmarkStart w:id="122" w:name="_Toc3974"/>
      <w:bookmarkStart w:id="123" w:name="_Toc19521_WPSOffice_Level3"/>
      <w:bookmarkStart w:id="124" w:name="_Toc17912"/>
      <w:r>
        <w:rPr>
          <w:rFonts w:hint="eastAsia" w:ascii="宋体" w:hAnsi="宋体" w:eastAsia="宋体" w:cs="宋体"/>
          <w:b w:val="0"/>
          <w:bCs w:val="0"/>
          <w:kern w:val="2"/>
          <w:sz w:val="24"/>
          <w:szCs w:val="24"/>
          <w:u w:val="none"/>
          <w:lang w:val="en-US" w:eastAsia="zh-CN" w:bidi="ar-SA"/>
        </w:rPr>
        <w:t>15.1 供应商应当在谈判文件要求提交响应文件的截止时间前，将响应文件上传至政采云响应客户端。</w:t>
      </w:r>
    </w:p>
    <w:p w14:paraId="1C836C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15.2 供应商在谈判文件要求提交响应文件的截止时间及开标时间前，未将响应文件上传至政采云响应客户端、或文件解密失败的，视为无效响应。</w:t>
      </w:r>
    </w:p>
    <w:p w14:paraId="2B10A42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16.响应文件的</w:t>
      </w:r>
      <w:r>
        <w:rPr>
          <w:rFonts w:hint="eastAsia" w:ascii="宋体" w:hAnsi="宋体" w:eastAsia="宋体" w:cs="宋体"/>
          <w:b/>
          <w:bCs/>
          <w:kern w:val="2"/>
          <w:sz w:val="24"/>
          <w:szCs w:val="24"/>
          <w:u w:val="none"/>
          <w:lang w:val="zh-CN" w:eastAsia="zh-CN" w:bidi="ar-SA"/>
        </w:rPr>
        <w:t>补充、修改或者撤回</w:t>
      </w:r>
      <w:bookmarkEnd w:id="120"/>
      <w:bookmarkEnd w:id="121"/>
      <w:bookmarkEnd w:id="122"/>
      <w:bookmarkEnd w:id="123"/>
      <w:bookmarkEnd w:id="124"/>
    </w:p>
    <w:p w14:paraId="7DCA481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5" w:name="_Toc32435"/>
      <w:bookmarkStart w:id="126" w:name="_Toc34637769"/>
      <w:r>
        <w:rPr>
          <w:rFonts w:hint="eastAsia" w:ascii="宋体" w:hAnsi="宋体" w:eastAsia="宋体" w:cs="宋体"/>
          <w:b w:val="0"/>
          <w:bCs w:val="0"/>
          <w:kern w:val="2"/>
          <w:sz w:val="24"/>
          <w:szCs w:val="24"/>
          <w:u w:val="none"/>
          <w:lang w:val="en-US"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5"/>
    </w:p>
    <w:p w14:paraId="0639C7A7">
      <w:pPr>
        <w:wordWrap/>
        <w:adjustRightInd w:val="0"/>
        <w:snapToGrid w:val="0"/>
        <w:spacing w:before="157" w:beforeLines="50" w:line="560" w:lineRule="exact"/>
        <w:jc w:val="center"/>
        <w:outlineLvl w:val="1"/>
        <w:rPr>
          <w:rFonts w:hint="eastAsia" w:ascii="黑体" w:hAnsi="黑体" w:eastAsia="黑体" w:cs="黑体"/>
          <w:b w:val="0"/>
          <w:bCs w:val="0"/>
          <w:kern w:val="2"/>
          <w:sz w:val="32"/>
          <w:szCs w:val="32"/>
          <w:lang w:val="en-US" w:eastAsia="zh-CN" w:bidi="ar-SA"/>
        </w:rPr>
      </w:pPr>
      <w:bookmarkStart w:id="127" w:name="_Toc29785_WPSOffice_Level2"/>
      <w:bookmarkStart w:id="128" w:name="_Toc31993"/>
      <w:bookmarkStart w:id="129" w:name="_Toc32597"/>
      <w:bookmarkStart w:id="130" w:name="_Toc10968"/>
      <w:bookmarkStart w:id="131" w:name="_Toc25721_WPSOffice_Level2"/>
      <w:bookmarkStart w:id="132" w:name="_Toc18610_WPSOffice_Level2"/>
      <w:bookmarkStart w:id="133" w:name="_Toc12974"/>
      <w:r>
        <w:rPr>
          <w:rFonts w:hint="eastAsia" w:ascii="黑体" w:hAnsi="黑体" w:eastAsia="黑体" w:cs="黑体"/>
          <w:b w:val="0"/>
          <w:bCs w:val="0"/>
          <w:kern w:val="2"/>
          <w:sz w:val="32"/>
          <w:szCs w:val="32"/>
          <w:lang w:val="en-US" w:eastAsia="zh-CN" w:bidi="ar-SA"/>
        </w:rPr>
        <w:t>五、响应文件的评审与谈判</w:t>
      </w:r>
      <w:bookmarkEnd w:id="126"/>
      <w:bookmarkEnd w:id="127"/>
      <w:bookmarkEnd w:id="128"/>
      <w:bookmarkEnd w:id="129"/>
      <w:bookmarkEnd w:id="130"/>
      <w:bookmarkEnd w:id="131"/>
      <w:bookmarkEnd w:id="132"/>
      <w:bookmarkEnd w:id="133"/>
    </w:p>
    <w:p w14:paraId="5A478999">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34" w:name="_Toc13366"/>
      <w:bookmarkStart w:id="135" w:name="_Toc19596_WPSOffice_Level3"/>
      <w:bookmarkStart w:id="136" w:name="_Toc174"/>
      <w:bookmarkStart w:id="137" w:name="_Toc26446"/>
      <w:bookmarkStart w:id="138" w:name="_Toc18713_WPSOffice_Level3"/>
      <w:r>
        <w:rPr>
          <w:rFonts w:hint="eastAsia" w:ascii="宋体" w:hAnsi="宋体" w:eastAsia="宋体" w:cs="宋体"/>
          <w:b/>
          <w:bCs/>
          <w:kern w:val="2"/>
          <w:sz w:val="24"/>
          <w:szCs w:val="24"/>
          <w:u w:val="none"/>
          <w:lang w:val="en-US" w:eastAsia="zh-CN" w:bidi="ar-SA"/>
        </w:rPr>
        <w:t>17.谈判小组</w:t>
      </w:r>
      <w:bookmarkEnd w:id="134"/>
      <w:bookmarkEnd w:id="135"/>
      <w:bookmarkEnd w:id="136"/>
      <w:bookmarkEnd w:id="137"/>
      <w:bookmarkEnd w:id="138"/>
    </w:p>
    <w:p w14:paraId="4CEF4E0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17.1竞争性谈判小组由采购人代表和评审专家共</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3</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人组成（3人以上单数组成），其中评审专家</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2</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0E9E97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17.2谈判由采购代理机构负责组织，具体谈判事务由依法组建的谈判小组负责，并独立履行下列职责：</w:t>
      </w:r>
    </w:p>
    <w:p w14:paraId="69F25B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（1）确认谈判文件；</w:t>
      </w:r>
    </w:p>
    <w:p w14:paraId="229DCD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（2）审查供应商的响应文件并作出评价；</w:t>
      </w:r>
    </w:p>
    <w:p w14:paraId="229BE73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（3）要求供应商对谈判文件有关事项作出澄清或者说明；</w:t>
      </w:r>
    </w:p>
    <w:p w14:paraId="16954C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（4）编写评审报告；</w:t>
      </w:r>
    </w:p>
    <w:p w14:paraId="3DBD664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（5）确定成交候选人名单，以及根据采购人委托直接确定成交供应商；</w:t>
      </w:r>
    </w:p>
    <w:p w14:paraId="2AC25F9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（6）告知采购人、采购代理机构在评审过程中发现的供应商的违法违规行为。</w:t>
      </w:r>
    </w:p>
    <w:p w14:paraId="597F70C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17.3谈判小组应遵守并履行下列义务：</w:t>
      </w:r>
    </w:p>
    <w:p w14:paraId="021541D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（1）遵纪守法，客观、公正、廉洁地履行职责；</w:t>
      </w:r>
    </w:p>
    <w:p w14:paraId="5BB0433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（2）按照谈判文件规定的成交方法评审，对评审意见承担谈判小组成员责任；</w:t>
      </w:r>
    </w:p>
    <w:p w14:paraId="3F1212C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（3）对谈判响应文件、谈判情况和谈判中获悉的国家秘密、商业秘密保密；</w:t>
      </w:r>
    </w:p>
    <w:p w14:paraId="29145CD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（4）参与评审报告的起草；</w:t>
      </w:r>
    </w:p>
    <w:p w14:paraId="00D5288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（5）配合采购人、采购代理机构答复供应商提出的质疑；</w:t>
      </w:r>
    </w:p>
    <w:p w14:paraId="2867C9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（6）配合财政部门的投诉处理和监督检查工作。</w:t>
      </w:r>
    </w:p>
    <w:p w14:paraId="4FC183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17.4谈判小组成员有下列情形之一的，应当回避：</w:t>
      </w:r>
    </w:p>
    <w:p w14:paraId="2C4E0C1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（1）参加采购活动前 3 年内与供应商存在劳动关系；</w:t>
      </w:r>
    </w:p>
    <w:p w14:paraId="64FB980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（2）参加采购活动前 3 年内担任供应商的董事、监事；</w:t>
      </w:r>
    </w:p>
    <w:p w14:paraId="562505A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（3）参加采购活动前 3 年内是供应商的控股股东或者实际控制人；</w:t>
      </w:r>
    </w:p>
    <w:p w14:paraId="4C8A71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（4）与供应商的法定代表人或者负责人有夫妻、直系血亲、三代以内旁系血亲或者近姻亲关系；</w:t>
      </w:r>
    </w:p>
    <w:p w14:paraId="3FF6F58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（5）与供应商有其他可能影响政府采购活动公平、公正进行的关系。</w:t>
      </w:r>
      <w:bookmarkStart w:id="139" w:name="_Toc19122"/>
      <w:bookmarkStart w:id="140" w:name="_Toc16350_WPSOffice_Level3"/>
    </w:p>
    <w:p w14:paraId="7E533D6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1" w:name="_Toc32601"/>
      <w:bookmarkStart w:id="142" w:name="_Toc22044_WPSOffice_Level3"/>
      <w:r>
        <w:rPr>
          <w:rFonts w:hint="eastAsia" w:ascii="宋体" w:hAnsi="宋体" w:eastAsia="宋体" w:cs="宋体"/>
          <w:b/>
          <w:bCs/>
          <w:kern w:val="2"/>
          <w:sz w:val="24"/>
          <w:szCs w:val="24"/>
          <w:u w:val="none"/>
          <w:lang w:val="en-US" w:eastAsia="zh-CN" w:bidi="ar-SA"/>
        </w:rPr>
        <w:t>18.响应文件审查</w:t>
      </w:r>
      <w:bookmarkEnd w:id="139"/>
      <w:bookmarkEnd w:id="140"/>
      <w:bookmarkEnd w:id="141"/>
      <w:bookmarkEnd w:id="142"/>
    </w:p>
    <w:p w14:paraId="57D57B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18.1谈判小组应当对响应文件进行评审，并根据谈判文件规定的程序、评定成交的标准等事项与实质性响应谈判文件要求的供应商进行谈判。</w:t>
      </w:r>
    </w:p>
    <w:p w14:paraId="183A6B9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18.2在对供应商进行审查时，存在下列情况之一的，按无效处理：</w:t>
      </w:r>
    </w:p>
    <w:p w14:paraId="6592F1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（1）不符合谈判文件第一部分谈判须知前附表“供应商资格条件”的；</w:t>
      </w:r>
    </w:p>
    <w:p w14:paraId="4995D7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（2）未按第11.1.1款“</w:t>
      </w:r>
      <w:r>
        <w:rPr>
          <w:rFonts w:hint="eastAsia" w:ascii="宋体" w:hAnsi="宋体" w:eastAsia="宋体" w:cs="宋体"/>
          <w:b w:val="0"/>
          <w:bCs w:val="0"/>
          <w:kern w:val="2"/>
          <w:sz w:val="24"/>
          <w:szCs w:val="24"/>
          <w:u w:val="none"/>
          <w:lang w:val="zh-CN" w:eastAsia="zh-CN" w:bidi="ar-SA"/>
        </w:rPr>
        <w:t>资格审查部分</w:t>
      </w:r>
      <w:r>
        <w:rPr>
          <w:rFonts w:hint="eastAsia" w:ascii="宋体" w:hAnsi="宋体" w:eastAsia="宋体" w:cs="宋体"/>
          <w:b w:val="0"/>
          <w:bCs w:val="0"/>
          <w:kern w:val="2"/>
          <w:sz w:val="24"/>
          <w:szCs w:val="24"/>
          <w:u w:val="none"/>
          <w:lang w:val="en-US" w:eastAsia="zh-CN" w:bidi="ar-SA"/>
        </w:rPr>
        <w:t>”要求提供相关资料的；</w:t>
      </w:r>
    </w:p>
    <w:p w14:paraId="10AE9C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（3）响应文件没有按谈判文件规定和要求签字、盖章的；</w:t>
      </w:r>
    </w:p>
    <w:p w14:paraId="61DCB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（4）谈判有效期、交货期不能满足谈判文件要求的；</w:t>
      </w:r>
    </w:p>
    <w:p w14:paraId="79B2627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（5）谈判报价超过谈判文件规定的采购预算额度的；</w:t>
      </w:r>
    </w:p>
    <w:p w14:paraId="1E19496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（6）所提供产品的技术规格、技术标准不符合采购项目要求的；</w:t>
      </w:r>
    </w:p>
    <w:p w14:paraId="247496D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（7）谈判响应文件含有采购人不能接受的附加条件的；</w:t>
      </w:r>
    </w:p>
    <w:p w14:paraId="502A4A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（8）响应文件不满足谈判文件实质性要求和条件的；</w:t>
      </w:r>
    </w:p>
    <w:p w14:paraId="530FD92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（9）谈判小组认为应按无效谈判处理的其他情况；</w:t>
      </w:r>
    </w:p>
    <w:p w14:paraId="41EBF59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（10）法律、法规规定的其他情形。</w:t>
      </w:r>
    </w:p>
    <w:p w14:paraId="5AC040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3" w:name="_Toc17887_WPSOffice_Level3"/>
      <w:bookmarkStart w:id="144" w:name="_Toc1673_WPSOffice_Level3"/>
      <w:bookmarkStart w:id="145" w:name="_Toc15500"/>
      <w:bookmarkStart w:id="146" w:name="_Toc17197"/>
      <w:bookmarkStart w:id="147" w:name="_Toc11154"/>
      <w:r>
        <w:rPr>
          <w:rFonts w:hint="eastAsia" w:ascii="宋体" w:hAnsi="宋体" w:eastAsia="宋体" w:cs="宋体"/>
          <w:b/>
          <w:bCs/>
          <w:kern w:val="2"/>
          <w:sz w:val="24"/>
          <w:szCs w:val="24"/>
          <w:u w:val="none"/>
          <w:lang w:val="en-US" w:eastAsia="zh-CN" w:bidi="ar-SA"/>
        </w:rPr>
        <w:t>19.谈判程序</w:t>
      </w:r>
      <w:bookmarkEnd w:id="143"/>
      <w:bookmarkEnd w:id="144"/>
      <w:bookmarkEnd w:id="145"/>
      <w:bookmarkEnd w:id="146"/>
      <w:bookmarkEnd w:id="147"/>
    </w:p>
    <w:p w14:paraId="201F69E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416A8BE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19.2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1BA72A6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38F40A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19.4响应文件中首次报价表内的报价为首次报价，根据技术、服务等满足谈判文件要求的情况，供应商可进行二次报价。</w:t>
      </w:r>
    </w:p>
    <w:p w14:paraId="14C8EFE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19.5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1A914A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19.6谈判工作在有关部门的监督下依法开展，任何单位和个人不得非法干预、影响谈判工作和谈判结果。</w:t>
      </w:r>
    </w:p>
    <w:p w14:paraId="434FD7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8" w:name="_Toc21836"/>
      <w:bookmarkStart w:id="149" w:name="_Toc24288_WPSOffice_Level3"/>
      <w:bookmarkStart w:id="150" w:name="_Toc14903"/>
      <w:bookmarkStart w:id="151" w:name="_Toc25644_WPSOffice_Level3"/>
      <w:bookmarkStart w:id="152" w:name="_Toc2176"/>
      <w:r>
        <w:rPr>
          <w:rFonts w:hint="eastAsia" w:ascii="宋体" w:hAnsi="宋体" w:eastAsia="宋体" w:cs="宋体"/>
          <w:b/>
          <w:bCs/>
          <w:kern w:val="2"/>
          <w:sz w:val="24"/>
          <w:szCs w:val="24"/>
          <w:u w:val="none"/>
          <w:lang w:val="en-US" w:eastAsia="zh-CN" w:bidi="ar-SA"/>
        </w:rPr>
        <w:t>20.澄清</w:t>
      </w:r>
      <w:bookmarkEnd w:id="148"/>
      <w:bookmarkEnd w:id="149"/>
      <w:bookmarkEnd w:id="150"/>
      <w:bookmarkEnd w:id="151"/>
      <w:bookmarkEnd w:id="152"/>
    </w:p>
    <w:p w14:paraId="47B5591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10DBC86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7FE5B60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3" w:name="_Toc4997"/>
      <w:bookmarkStart w:id="154" w:name="_Toc6898_WPSOffice_Level3"/>
      <w:bookmarkStart w:id="155" w:name="_Toc21875"/>
      <w:bookmarkStart w:id="156" w:name="_Toc13262_WPSOffice_Level3"/>
      <w:bookmarkStart w:id="157" w:name="_Toc8374"/>
      <w:r>
        <w:rPr>
          <w:rFonts w:hint="eastAsia" w:ascii="宋体" w:hAnsi="宋体" w:eastAsia="宋体" w:cs="宋体"/>
          <w:b/>
          <w:bCs/>
          <w:kern w:val="2"/>
          <w:sz w:val="24"/>
          <w:szCs w:val="24"/>
          <w:u w:val="none"/>
          <w:lang w:val="en-US" w:eastAsia="zh-CN" w:bidi="ar-SA"/>
        </w:rPr>
        <w:t>21.退出谈判</w:t>
      </w:r>
      <w:bookmarkEnd w:id="153"/>
      <w:bookmarkEnd w:id="154"/>
      <w:bookmarkEnd w:id="155"/>
      <w:bookmarkEnd w:id="156"/>
      <w:bookmarkEnd w:id="157"/>
    </w:p>
    <w:p w14:paraId="73DCB7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1D05C861">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8" w:name="_Toc14748"/>
      <w:bookmarkStart w:id="159" w:name="_Toc5048_WPSOffice_Level3"/>
      <w:bookmarkStart w:id="160" w:name="_Toc18169_WPSOffice_Level3"/>
      <w:bookmarkStart w:id="161" w:name="_Toc887"/>
      <w:bookmarkStart w:id="162" w:name="_Toc32003"/>
      <w:r>
        <w:rPr>
          <w:rFonts w:hint="eastAsia" w:ascii="宋体" w:hAnsi="宋体" w:eastAsia="宋体" w:cs="宋体"/>
          <w:b/>
          <w:bCs/>
          <w:kern w:val="2"/>
          <w:sz w:val="24"/>
          <w:szCs w:val="24"/>
          <w:u w:val="none"/>
          <w:lang w:val="en-US" w:eastAsia="zh-CN" w:bidi="ar-SA"/>
        </w:rPr>
        <w:t>22.最后报价</w:t>
      </w:r>
      <w:bookmarkEnd w:id="158"/>
      <w:bookmarkEnd w:id="159"/>
      <w:bookmarkEnd w:id="160"/>
      <w:bookmarkEnd w:id="161"/>
      <w:bookmarkEnd w:id="162"/>
    </w:p>
    <w:p w14:paraId="07B5B4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0AB78EE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752BF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22.3最后报价的评审</w:t>
      </w:r>
    </w:p>
    <w:p w14:paraId="47FDDE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（1）最后报价出现大写金额和小写金额不一致的，以大写金额为准。</w:t>
      </w:r>
    </w:p>
    <w:p w14:paraId="23A035B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（2）需落实政府采购政策的，按相关规定进行价格扣除。</w:t>
      </w:r>
    </w:p>
    <w:p w14:paraId="0F372D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22.4最后报价如果高于其响应文件中的首次报价的，以最后报价为准。</w:t>
      </w:r>
    </w:p>
    <w:p w14:paraId="4032FE1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22.5采购人、采购代理机构在按规定公布供应商的最后报价前，不得公开供应商的技术资料、价格和其他信息。</w:t>
      </w:r>
    </w:p>
    <w:p w14:paraId="293AB46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22.6若最后报价时出现最低价相同的情形，谈判小组应召集报价相同的供应商进行再次报价。</w:t>
      </w:r>
    </w:p>
    <w:p w14:paraId="1394C65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3" w:name="_Toc1797"/>
      <w:bookmarkStart w:id="164" w:name="_Toc7275"/>
      <w:bookmarkStart w:id="165" w:name="_Toc16084_WPSOffice_Level3"/>
      <w:bookmarkStart w:id="166" w:name="_Toc8242_WPSOffice_Level3"/>
      <w:bookmarkStart w:id="167" w:name="_Toc1264"/>
      <w:r>
        <w:rPr>
          <w:rFonts w:hint="eastAsia" w:ascii="宋体" w:hAnsi="宋体" w:eastAsia="宋体" w:cs="宋体"/>
          <w:b/>
          <w:bCs/>
          <w:kern w:val="2"/>
          <w:sz w:val="24"/>
          <w:szCs w:val="24"/>
          <w:u w:val="none"/>
          <w:lang w:val="en-US" w:eastAsia="zh-CN" w:bidi="ar-SA"/>
        </w:rPr>
        <w:t>23.确定成交供应商</w:t>
      </w:r>
      <w:bookmarkEnd w:id="163"/>
      <w:bookmarkEnd w:id="164"/>
      <w:bookmarkEnd w:id="165"/>
      <w:bookmarkEnd w:id="166"/>
      <w:bookmarkEnd w:id="167"/>
    </w:p>
    <w:p w14:paraId="021A3A5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63B73F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7071A7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23.3采购代理机构应当在评审结束后2个工作日内将评审报告送采购人确认。</w:t>
      </w:r>
    </w:p>
    <w:p w14:paraId="2B8F15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550BC79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23.5采购人逾期未确定成交供应商且不提出异议的，视为确定评审报告提出的最后报价最低的供应商为成交供应商。</w:t>
      </w:r>
    </w:p>
    <w:p w14:paraId="3C47F6C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8" w:name="_Toc10295"/>
      <w:bookmarkStart w:id="169" w:name="_Toc20869_WPSOffice_Level3"/>
      <w:bookmarkStart w:id="170" w:name="_Toc17639_WPSOffice_Level3"/>
      <w:bookmarkStart w:id="171" w:name="_Toc24684"/>
      <w:bookmarkStart w:id="172" w:name="_Toc22823"/>
      <w:r>
        <w:rPr>
          <w:rFonts w:hint="eastAsia" w:ascii="宋体" w:hAnsi="宋体" w:eastAsia="宋体" w:cs="宋体"/>
          <w:b/>
          <w:bCs/>
          <w:kern w:val="2"/>
          <w:sz w:val="24"/>
          <w:szCs w:val="24"/>
          <w:u w:val="none"/>
          <w:lang w:val="en-US" w:eastAsia="zh-CN" w:bidi="ar-SA"/>
        </w:rPr>
        <w:t>24.重新评审</w:t>
      </w:r>
      <w:bookmarkEnd w:id="168"/>
      <w:bookmarkEnd w:id="169"/>
      <w:bookmarkEnd w:id="170"/>
      <w:bookmarkEnd w:id="171"/>
      <w:bookmarkEnd w:id="172"/>
    </w:p>
    <w:p w14:paraId="29DEBA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24.1除资格审查认定错误和价格计算错误外，采购人、采购代理机构不以任何理由组织重新评审。</w:t>
      </w:r>
    </w:p>
    <w:p w14:paraId="096C9F3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24.2采购人、采购代理机构发现谈判小组未按照谈判文件规定的评定成交标准进行评审的，应当重新开展采购活动，并同时书面报告同级财政部门。</w:t>
      </w:r>
    </w:p>
    <w:p w14:paraId="5EDF2245">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3" w:name="_Toc3509"/>
      <w:bookmarkStart w:id="174" w:name="_Toc1388_WPSOffice_Level3"/>
      <w:bookmarkStart w:id="175" w:name="_Toc8463"/>
      <w:bookmarkStart w:id="176" w:name="_Toc12673"/>
      <w:bookmarkStart w:id="177" w:name="_Toc26374_WPSOffice_Level3"/>
      <w:r>
        <w:rPr>
          <w:rFonts w:hint="eastAsia" w:ascii="宋体" w:hAnsi="宋体" w:eastAsia="宋体" w:cs="宋体"/>
          <w:b/>
          <w:bCs/>
          <w:kern w:val="2"/>
          <w:sz w:val="24"/>
          <w:szCs w:val="24"/>
          <w:u w:val="none"/>
          <w:lang w:val="en-US" w:eastAsia="zh-CN" w:bidi="ar-SA"/>
        </w:rPr>
        <w:t>25.谈判终止</w:t>
      </w:r>
      <w:bookmarkEnd w:id="173"/>
      <w:bookmarkEnd w:id="174"/>
      <w:bookmarkEnd w:id="175"/>
      <w:bookmarkEnd w:id="176"/>
      <w:bookmarkEnd w:id="177"/>
    </w:p>
    <w:p w14:paraId="34F21D7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25.1出现下列情形之一的，采购人、采购代理机构应当终止竞争性谈判采购活动，在指定的媒体上发布项目终止公告并说明原因，重新开展采购活动： </w:t>
      </w:r>
    </w:p>
    <w:p w14:paraId="0B1510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（1）因情况变化，不再符合规定的竞争性谈判采购方式适用情形的；</w:t>
      </w:r>
    </w:p>
    <w:p w14:paraId="130C498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（2）出现影响采购公正的违法、违规行为的；</w:t>
      </w:r>
    </w:p>
    <w:p w14:paraId="637F15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（3）在采购过程中符合谈判要求的供应商或者报价未超过采购预算的供应商不足3家的，或者提交最后报价的供应商少于3家的；</w:t>
      </w:r>
    </w:p>
    <w:p w14:paraId="12F4168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（4）因重大变故，采购任务取消的。</w:t>
      </w:r>
    </w:p>
    <w:p w14:paraId="66453B1F">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8" w:name="_Toc32730"/>
      <w:bookmarkStart w:id="179" w:name="_Toc20574"/>
      <w:bookmarkStart w:id="180" w:name="_Toc20688_WPSOffice_Level3"/>
      <w:bookmarkStart w:id="181" w:name="_Toc11721"/>
      <w:bookmarkStart w:id="182" w:name="_Toc18635_WPSOffice_Level3"/>
      <w:r>
        <w:rPr>
          <w:rFonts w:hint="eastAsia" w:ascii="宋体" w:hAnsi="宋体" w:eastAsia="宋体" w:cs="宋体"/>
          <w:b/>
          <w:bCs/>
          <w:kern w:val="2"/>
          <w:sz w:val="24"/>
          <w:szCs w:val="24"/>
          <w:u w:val="none"/>
          <w:lang w:val="en-US" w:eastAsia="zh-CN" w:bidi="ar-SA"/>
        </w:rPr>
        <w:t>26.串通情形认定及处理</w:t>
      </w:r>
      <w:bookmarkEnd w:id="178"/>
      <w:bookmarkEnd w:id="179"/>
      <w:bookmarkEnd w:id="180"/>
      <w:bookmarkEnd w:id="181"/>
      <w:bookmarkEnd w:id="182"/>
    </w:p>
    <w:p w14:paraId="0538F9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26.1供应商不得与采购人、采购代理机构、其他供应商恶意串通；不得向采购人、采购代理机构或者谈判小组成员行贿或者提供其他不正当利益；不得提供虚假材料谋取成交；不得以任何方式干扰、影响采购工作。</w:t>
      </w:r>
    </w:p>
    <w:p w14:paraId="2E7627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26.2有下列情形之一的，成交无效，对供应商</w:t>
      </w:r>
      <w:r>
        <w:rPr>
          <w:rFonts w:hint="eastAsia" w:ascii="宋体" w:hAnsi="宋体" w:eastAsia="宋体" w:cs="宋体"/>
          <w:b w:val="0"/>
          <w:bCs w:val="0"/>
          <w:kern w:val="2"/>
          <w:sz w:val="24"/>
          <w:szCs w:val="24"/>
          <w:u w:val="none"/>
          <w:lang w:val="zh-CN" w:eastAsia="zh-CN" w:bidi="ar-SA"/>
        </w:rPr>
        <w:t>依照《政府采购法》第七十七条的规定追究法律责任：</w:t>
      </w:r>
      <w:bookmarkStart w:id="183" w:name="_Toc22761"/>
      <w:bookmarkStart w:id="184" w:name="_Toc34637770"/>
    </w:p>
    <w:p w14:paraId="46688951">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供应商直接或者间接从采购人或者采购代理机构处获得其他供应商的相关情况并修改其响应文件；</w:t>
      </w:r>
    </w:p>
    <w:p w14:paraId="08D9E59A">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供应商按照采购人或者采购代理机构的授意撤换、修改响应文件；</w:t>
      </w:r>
    </w:p>
    <w:p w14:paraId="132F22CB">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供应商之间协商报价、技术方案等响应文件的实质性内容；</w:t>
      </w:r>
    </w:p>
    <w:p w14:paraId="1B166B8D">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属于同一集团、协会、商会等组织成员的供应商按照该组织要求协同参加政府采购活动；</w:t>
      </w:r>
    </w:p>
    <w:p w14:paraId="33A09DFF">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供应商之间事先约定由某一特定供应商成交；</w:t>
      </w:r>
    </w:p>
    <w:p w14:paraId="113298C2">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供应商之间商定部分供应商放弃参加政府采购活动或者放弃成交；</w:t>
      </w:r>
    </w:p>
    <w:p w14:paraId="5D32500C">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供应商与采购人或者采购代理机构之间、供应商相互之间，为谋求特定供应商成交或者排斥其他供应商的其他串通行为。</w:t>
      </w:r>
    </w:p>
    <w:p w14:paraId="2FABFB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26.3 有下列情形之一的，视为供应商串通，其响应无效：</w:t>
      </w:r>
    </w:p>
    <w:p w14:paraId="00DA64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（1）不同供应商的响应文件由同一单位或者个人编制；</w:t>
      </w:r>
    </w:p>
    <w:p w14:paraId="249DDD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（2）不同供应商委托同一单位或者个人办理谈判事宜；</w:t>
      </w:r>
    </w:p>
    <w:p w14:paraId="4D36F39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（3）不同供应商的响应文件载明的项目管理成员或者联系人员为同一人；</w:t>
      </w:r>
    </w:p>
    <w:p w14:paraId="727239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（4）不同供应商的响应文件异常一致或者报价呈规律性差异；</w:t>
      </w:r>
    </w:p>
    <w:p w14:paraId="576F91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（5）不同供应商的响应文件相互混装；</w:t>
      </w:r>
    </w:p>
    <w:p w14:paraId="4E62CB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宋体" w:hAnsi="宋体" w:eastAsia="宋体" w:cs="宋体"/>
          <w:b w:val="0"/>
          <w:bCs w:val="0"/>
          <w:kern w:val="2"/>
          <w:sz w:val="24"/>
          <w:szCs w:val="24"/>
          <w:u w:val="none"/>
          <w:lang w:val="en-US" w:eastAsia="zh-CN" w:bidi="ar-SA"/>
        </w:rPr>
        <w:t>（6）不同供应商的保证金从同一单位或者个人的账户转出。</w:t>
      </w:r>
      <w:r>
        <w:rPr>
          <w:rFonts w:hint="eastAsia" w:ascii="仿宋_GB2312" w:hAnsi="仿宋_GB2312" w:eastAsia="仿宋_GB2312" w:cs="仿宋_GB2312"/>
          <w:b w:val="0"/>
          <w:bCs w:val="0"/>
          <w:kern w:val="2"/>
          <w:sz w:val="28"/>
          <w:szCs w:val="28"/>
          <w:u w:val="none"/>
          <w:lang w:val="en-US" w:eastAsia="zh-CN" w:bidi="ar-SA"/>
        </w:rPr>
        <w:br w:type="textWrapping"/>
      </w:r>
      <w:r>
        <w:rPr>
          <w:rFonts w:hint="eastAsia" w:ascii="黑体" w:hAnsi="黑体" w:eastAsia="黑体" w:cs="黑体"/>
          <w:b w:val="0"/>
          <w:bCs w:val="0"/>
          <w:kern w:val="2"/>
          <w:sz w:val="32"/>
          <w:szCs w:val="32"/>
          <w:highlight w:val="none"/>
          <w:lang w:val="en-US" w:eastAsia="zh-CN" w:bidi="ar-SA"/>
        </w:rPr>
        <w:t xml:space="preserve">               六、成交结果信息公布与授予合同</w:t>
      </w:r>
      <w:bookmarkEnd w:id="183"/>
      <w:bookmarkEnd w:id="184"/>
    </w:p>
    <w:p w14:paraId="291B93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85" w:name="_Toc947"/>
      <w:bookmarkStart w:id="186" w:name="_Toc23126"/>
      <w:bookmarkStart w:id="187" w:name="_Toc8339_WPSOffice_Level3"/>
      <w:bookmarkStart w:id="188" w:name="_Toc30784_WPSOffice_Level3"/>
      <w:bookmarkStart w:id="189" w:name="_Toc28490"/>
      <w:r>
        <w:rPr>
          <w:rFonts w:hint="eastAsia" w:ascii="宋体" w:hAnsi="宋体" w:eastAsia="宋体" w:cs="宋体"/>
          <w:b/>
          <w:bCs/>
          <w:kern w:val="2"/>
          <w:sz w:val="24"/>
          <w:szCs w:val="24"/>
          <w:u w:val="none"/>
          <w:lang w:val="en-US" w:eastAsia="zh-CN" w:bidi="ar-SA"/>
        </w:rPr>
        <w:t>27.成交信息的公布与通知</w:t>
      </w:r>
      <w:bookmarkEnd w:id="185"/>
      <w:bookmarkEnd w:id="186"/>
      <w:bookmarkEnd w:id="187"/>
      <w:bookmarkEnd w:id="188"/>
      <w:bookmarkEnd w:id="189"/>
    </w:p>
    <w:p w14:paraId="76509D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27.1代理机构应自确定成交供应商之日起2个工作日内在青海政府采购信息网上公告成交结果，同时向成交供应商发出《成交通知书》。成交通知书对采购人和成交供应商具有同等法律效力。</w:t>
      </w:r>
    </w:p>
    <w:p w14:paraId="0AF93B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27.2成交结果公告应当包括以下内容：</w:t>
      </w:r>
    </w:p>
    <w:p w14:paraId="6ECCCBF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（1）采购人和采购代理机构的名称、地址和联系方式；</w:t>
      </w:r>
    </w:p>
    <w:p w14:paraId="3F4346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（2）项目名称和项目编号；</w:t>
      </w:r>
    </w:p>
    <w:p w14:paraId="45F5F1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（3）成交供应商名称、地址和成交金额；</w:t>
      </w:r>
    </w:p>
    <w:p w14:paraId="6FC992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（4）主要成交标的的名称、规格型号、数量、单价、服务要求；</w:t>
      </w:r>
    </w:p>
    <w:p w14:paraId="524A5BB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（5）谈判小组成员名单。</w:t>
      </w:r>
    </w:p>
    <w:p w14:paraId="348EFE0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27.3《成交通知书》发出后，采购人不得违法改变采购结果，成交供应商无正当理由不得放弃。</w:t>
      </w:r>
    </w:p>
    <w:p w14:paraId="7C6EA68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0" w:name="_Toc20586"/>
      <w:bookmarkStart w:id="191" w:name="_Toc5068_WPSOffice_Level3"/>
      <w:bookmarkStart w:id="192" w:name="_Toc29441"/>
      <w:bookmarkStart w:id="193" w:name="_Toc13860_WPSOffice_Level3"/>
      <w:bookmarkStart w:id="194" w:name="_Toc1580"/>
      <w:r>
        <w:rPr>
          <w:rFonts w:hint="eastAsia" w:ascii="宋体" w:hAnsi="宋体" w:eastAsia="宋体" w:cs="宋体"/>
          <w:b/>
          <w:bCs/>
          <w:kern w:val="2"/>
          <w:sz w:val="24"/>
          <w:szCs w:val="24"/>
          <w:u w:val="none"/>
          <w:lang w:val="en-US" w:eastAsia="zh-CN" w:bidi="ar-SA"/>
        </w:rPr>
        <w:t>28.授予合同</w:t>
      </w:r>
      <w:bookmarkEnd w:id="190"/>
      <w:bookmarkEnd w:id="191"/>
      <w:bookmarkEnd w:id="192"/>
      <w:bookmarkEnd w:id="193"/>
      <w:bookmarkEnd w:id="194"/>
    </w:p>
    <w:p w14:paraId="700D89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28.1谈判文件、成交供应商的响应文件及其补充的响应文件、成交通知书等均为签订政府采购合同的依据。</w:t>
      </w:r>
    </w:p>
    <w:p w14:paraId="6065AA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28.2采购人与成交供应商双方应当自《成交通知书》发出之日起30日内，按照谈判文件确定的合同文本以及采购标的、规格型号、采购金额、采购数量、技术和服务要求等事项签订政府采购合同。</w:t>
      </w:r>
    </w:p>
    <w:p w14:paraId="24F1EE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3BA1F2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95" w:name="_Toc325726030"/>
      <w:bookmarkStart w:id="196" w:name="_Toc376936761"/>
      <w:r>
        <w:rPr>
          <w:rFonts w:hint="eastAsia" w:ascii="宋体" w:hAnsi="宋体" w:eastAsia="宋体" w:cs="宋体"/>
          <w:b w:val="0"/>
          <w:bCs w:val="0"/>
          <w:kern w:val="2"/>
          <w:sz w:val="24"/>
          <w:szCs w:val="24"/>
          <w:u w:val="none"/>
          <w:lang w:val="en-US" w:eastAsia="zh-CN" w:bidi="ar-SA"/>
        </w:rPr>
        <w:t>28.4采购人或采购代理机构应当自采购合同签订之日起2个工作日内，将采购合同在青海政府采购信息网上公告，但政府采购合同中涉及国家秘密、商业秘密的内容除外。</w:t>
      </w:r>
    </w:p>
    <w:p w14:paraId="04EB76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7" w:name="_Toc16258_WPSOffice_Level3"/>
      <w:bookmarkStart w:id="198" w:name="_Toc16374"/>
      <w:bookmarkStart w:id="199" w:name="_Toc8740_WPSOffice_Level3"/>
      <w:bookmarkStart w:id="200" w:name="_Toc14343"/>
      <w:bookmarkStart w:id="201" w:name="_Toc32538"/>
      <w:r>
        <w:rPr>
          <w:rFonts w:hint="eastAsia" w:ascii="宋体" w:hAnsi="宋体" w:eastAsia="宋体" w:cs="宋体"/>
          <w:b/>
          <w:bCs/>
          <w:kern w:val="2"/>
          <w:sz w:val="24"/>
          <w:szCs w:val="24"/>
          <w:u w:val="none"/>
          <w:lang w:val="en-US" w:eastAsia="zh-CN" w:bidi="ar-SA"/>
        </w:rPr>
        <w:t>29.履约验收</w:t>
      </w:r>
      <w:bookmarkEnd w:id="197"/>
      <w:bookmarkEnd w:id="198"/>
      <w:bookmarkEnd w:id="199"/>
      <w:bookmarkEnd w:id="200"/>
      <w:bookmarkEnd w:id="201"/>
    </w:p>
    <w:p w14:paraId="493E3F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29.1履约保证金：</w:t>
      </w:r>
      <w:r>
        <w:rPr>
          <w:rFonts w:hint="eastAsia" w:ascii="宋体" w:hAnsi="宋体" w:cs="宋体"/>
          <w:b w:val="0"/>
          <w:bCs w:val="0"/>
          <w:kern w:val="2"/>
          <w:sz w:val="24"/>
          <w:szCs w:val="24"/>
          <w:u w:val="none"/>
          <w:lang w:val="en-US" w:eastAsia="zh-CN" w:bidi="ar-SA"/>
        </w:rPr>
        <w:t>详见合同</w:t>
      </w:r>
    </w:p>
    <w:p w14:paraId="3C3500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按照政府采购合同规定的技术、服务、安全标准组织对供应商履约情况进行验收，并出具验收书。验收书应当包括每一项技术、服务、安全标准的履约情况。</w:t>
      </w:r>
    </w:p>
    <w:p w14:paraId="7B0D01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29.3采购人可以邀请参加本项目的其他供应商或者第三方机构参与验收。参与验收的供应商或者第三方机构的意见作为验收书的参考资料一并存档。</w:t>
      </w:r>
    </w:p>
    <w:p w14:paraId="44B737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29.4采购人应当加强履约管理，并按照采购合同约定，及时向成交供应商支付采购资金。对于成交供应商违反采购合同约定的行为，采购人应当及时处理，依法追究其违约责任。</w:t>
      </w:r>
    </w:p>
    <w:p w14:paraId="0F555F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29.5采购人、采购代理机构应当建立真实完整的谈判档案，妥善保存谈判的相关资料。</w:t>
      </w:r>
    </w:p>
    <w:p w14:paraId="5F615887">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02" w:name="_Toc2728"/>
      <w:bookmarkStart w:id="203" w:name="_Toc31604_WPSOffice_Level2"/>
      <w:bookmarkStart w:id="204" w:name="_Toc4328"/>
      <w:bookmarkStart w:id="205" w:name="_Toc32362"/>
      <w:bookmarkStart w:id="206" w:name="_Toc6881"/>
      <w:bookmarkStart w:id="207" w:name="_Toc3517_WPSOffice_Level2"/>
      <w:bookmarkStart w:id="208" w:name="_Toc2658_WPSOffice_Level2"/>
      <w:r>
        <w:rPr>
          <w:rFonts w:hint="eastAsia" w:ascii="黑体" w:hAnsi="黑体" w:eastAsia="黑体" w:cs="黑体"/>
          <w:b w:val="0"/>
          <w:bCs w:val="0"/>
          <w:kern w:val="2"/>
          <w:sz w:val="32"/>
          <w:szCs w:val="32"/>
          <w:highlight w:val="none"/>
          <w:lang w:val="en-US" w:eastAsia="zh-CN" w:bidi="ar-SA"/>
        </w:rPr>
        <w:t>七、询问与质疑</w:t>
      </w:r>
      <w:bookmarkEnd w:id="195"/>
      <w:bookmarkEnd w:id="196"/>
      <w:bookmarkEnd w:id="202"/>
      <w:bookmarkEnd w:id="203"/>
      <w:bookmarkEnd w:id="204"/>
      <w:bookmarkEnd w:id="205"/>
      <w:bookmarkEnd w:id="206"/>
      <w:bookmarkEnd w:id="207"/>
      <w:bookmarkEnd w:id="208"/>
    </w:p>
    <w:p w14:paraId="048A0B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209" w:name="_Toc25982_WPSOffice_Level3"/>
      <w:bookmarkStart w:id="210" w:name="_Toc29785"/>
      <w:bookmarkStart w:id="211" w:name="_Toc23314_WPSOffice_Level3"/>
      <w:bookmarkStart w:id="212" w:name="_Toc21641"/>
      <w:bookmarkStart w:id="213" w:name="_Toc14109"/>
      <w:r>
        <w:rPr>
          <w:rFonts w:hint="eastAsia" w:ascii="宋体" w:hAnsi="宋体" w:eastAsia="宋体" w:cs="宋体"/>
          <w:b/>
          <w:bCs/>
          <w:kern w:val="2"/>
          <w:sz w:val="24"/>
          <w:szCs w:val="24"/>
          <w:u w:val="none"/>
          <w:lang w:val="en-US" w:eastAsia="zh-CN" w:bidi="ar-SA"/>
        </w:rPr>
        <w:t>30.对采购过程、结果的询问及质疑</w:t>
      </w:r>
      <w:bookmarkEnd w:id="209"/>
      <w:bookmarkEnd w:id="210"/>
      <w:bookmarkEnd w:id="211"/>
      <w:bookmarkEnd w:id="212"/>
      <w:bookmarkEnd w:id="213"/>
    </w:p>
    <w:p w14:paraId="32B761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30.1供应商对政府采购过程、结果有疑问的，可以向采购人、采购代理机构提出询问。</w:t>
      </w:r>
    </w:p>
    <w:p w14:paraId="4FB54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30.2参与所质疑项目的供应商认为采购过程、成交结果使自己的权益受到损害的，可以在知道或者应知其权益受到损害之日起7个工作日内，以书面形式向采购人、采购代理机构提出质疑。</w:t>
      </w:r>
    </w:p>
    <w:p w14:paraId="127018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30.3供应商应在法定质疑期内一次性提出针对同一采购程序环节的质疑。</w:t>
      </w:r>
    </w:p>
    <w:p w14:paraId="7D9A7D8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14" w:name="_Toc4534"/>
      <w:bookmarkStart w:id="215" w:name="_Toc6866_WPSOffice_Level2"/>
      <w:bookmarkStart w:id="216" w:name="_Toc11509_WPSOffice_Level2"/>
      <w:bookmarkStart w:id="217" w:name="_Toc22201076"/>
      <w:bookmarkStart w:id="218" w:name="_Toc28133"/>
      <w:bookmarkStart w:id="219" w:name="_Toc21832"/>
      <w:bookmarkStart w:id="220" w:name="_Toc34637771"/>
      <w:bookmarkStart w:id="221" w:name="_Toc22889"/>
      <w:bookmarkStart w:id="222" w:name="_Toc9701_WPSOffice_Level2"/>
      <w:r>
        <w:rPr>
          <w:rFonts w:hint="eastAsia" w:ascii="黑体" w:hAnsi="黑体" w:eastAsia="黑体" w:cs="黑体"/>
          <w:b w:val="0"/>
          <w:bCs w:val="0"/>
          <w:kern w:val="2"/>
          <w:sz w:val="32"/>
          <w:szCs w:val="32"/>
          <w:highlight w:val="none"/>
          <w:lang w:val="en-US" w:eastAsia="zh-CN" w:bidi="ar-SA"/>
        </w:rPr>
        <w:t>八、政府采购政策</w:t>
      </w:r>
      <w:bookmarkEnd w:id="214"/>
      <w:bookmarkEnd w:id="215"/>
      <w:bookmarkEnd w:id="216"/>
      <w:bookmarkEnd w:id="217"/>
      <w:bookmarkEnd w:id="218"/>
      <w:bookmarkEnd w:id="219"/>
      <w:bookmarkEnd w:id="220"/>
      <w:bookmarkEnd w:id="221"/>
      <w:bookmarkEnd w:id="222"/>
    </w:p>
    <w:p w14:paraId="4682B664">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4"/>
          <w:szCs w:val="24"/>
          <w:u w:val="none"/>
          <w:lang w:val="en-US" w:eastAsia="zh-CN" w:bidi="ar-SA"/>
        </w:rPr>
      </w:pPr>
      <w:bookmarkStart w:id="223" w:name="_Toc22921"/>
      <w:bookmarkStart w:id="224" w:name="_Toc17253_WPSOffice_Level3"/>
      <w:bookmarkStart w:id="225" w:name="_Toc19360_WPSOffice_Level3"/>
      <w:bookmarkStart w:id="226" w:name="_Toc16893"/>
      <w:bookmarkStart w:id="227" w:name="_Toc27584"/>
      <w:r>
        <w:rPr>
          <w:rFonts w:hint="eastAsia" w:ascii="宋体" w:hAnsi="宋体" w:eastAsia="宋体" w:cs="宋体"/>
          <w:b/>
          <w:bCs/>
          <w:kern w:val="2"/>
          <w:sz w:val="24"/>
          <w:szCs w:val="24"/>
          <w:u w:val="none"/>
          <w:lang w:val="en-US" w:eastAsia="zh-CN" w:bidi="ar-SA"/>
        </w:rPr>
        <w:t>31.政府采购政策</w:t>
      </w:r>
      <w:bookmarkEnd w:id="223"/>
      <w:bookmarkEnd w:id="224"/>
      <w:bookmarkEnd w:id="225"/>
      <w:bookmarkEnd w:id="226"/>
      <w:bookmarkEnd w:id="227"/>
    </w:p>
    <w:p w14:paraId="47F1F6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31.1节能产品、环境标志产品的采购：</w:t>
      </w:r>
    </w:p>
    <w:p w14:paraId="7246B54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98A7D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31.2价格评审优惠：</w:t>
      </w:r>
    </w:p>
    <w:p w14:paraId="201E17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（1）根据《关于进一步加大政府采购支持中小企业力度的通知》(财库〔2022〕19 号)、《政府采购促进中小企业发展暂行办法》（财库〔2020〕46 号）的规定及《政府采购支持监狱企业发展有关问题的通知》（财库〔2014〕68 号）的要求，本项目对小型、微型企业、监狱企业和残疾人福利性单位报价给予</w:t>
      </w:r>
      <w:r>
        <w:rPr>
          <w:rFonts w:hint="eastAsia" w:ascii="宋体" w:hAnsi="宋体" w:eastAsia="宋体" w:cs="宋体"/>
          <w:b w:val="0"/>
          <w:bCs w:val="0"/>
          <w:kern w:val="2"/>
          <w:sz w:val="24"/>
          <w:szCs w:val="24"/>
          <w:u w:val="single"/>
          <w:lang w:val="en-US" w:eastAsia="zh-CN" w:bidi="ar-SA"/>
        </w:rPr>
        <w:t>10%</w:t>
      </w:r>
      <w:r>
        <w:rPr>
          <w:rFonts w:hint="eastAsia" w:ascii="宋体" w:hAnsi="宋体" w:eastAsia="宋体" w:cs="宋体"/>
          <w:b w:val="0"/>
          <w:bCs w:val="0"/>
          <w:kern w:val="2"/>
          <w:sz w:val="24"/>
          <w:szCs w:val="24"/>
          <w:u w:val="none"/>
          <w:lang w:val="en-US" w:eastAsia="zh-CN" w:bidi="ar-SA"/>
        </w:rPr>
        <w:t>的扣除，用扣除后的报价参与评审。供应商如符合“小型、微型企业”标准，应提供《中小企业声明函》，未提供声明函者不予认定。</w:t>
      </w:r>
    </w:p>
    <w:p w14:paraId="385751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接受大中型企业与小微企业组成联合体或者允许大中型企业向一家或多家小微企业分包的采购项目，对于联合体协议或者分包意向协议约定小微企业的协议金额占到合同总金额30%以上的，对联合体或大中型企业的报价给与</w:t>
      </w:r>
      <w:r>
        <w:rPr>
          <w:rFonts w:hint="eastAsia" w:ascii="宋体" w:hAnsi="宋体" w:eastAsia="宋体" w:cs="宋体"/>
          <w:b w:val="0"/>
          <w:bCs w:val="0"/>
          <w:kern w:val="2"/>
          <w:sz w:val="24"/>
          <w:szCs w:val="24"/>
          <w:u w:val="single"/>
          <w:lang w:val="en-US" w:eastAsia="zh-CN" w:bidi="ar-SA"/>
        </w:rPr>
        <w:t>2%</w:t>
      </w:r>
      <w:r>
        <w:rPr>
          <w:rFonts w:hint="eastAsia" w:ascii="宋体" w:hAnsi="宋体" w:eastAsia="宋体" w:cs="宋体"/>
          <w:b w:val="0"/>
          <w:bCs w:val="0"/>
          <w:kern w:val="2"/>
          <w:sz w:val="24"/>
          <w:szCs w:val="24"/>
          <w:u w:val="none"/>
          <w:lang w:val="en-US" w:eastAsia="zh-CN" w:bidi="ar-SA"/>
        </w:rPr>
        <w:t>的扣除，用扣除后的价格参加评审</w:t>
      </w:r>
      <w:r>
        <w:rPr>
          <w:rFonts w:hint="eastAsia" w:ascii="宋体" w:hAnsi="宋体" w:cs="宋体"/>
          <w:b w:val="0"/>
          <w:bCs w:val="0"/>
          <w:kern w:val="2"/>
          <w:sz w:val="24"/>
          <w:szCs w:val="24"/>
          <w:u w:val="none"/>
          <w:lang w:val="en-US" w:eastAsia="zh-CN" w:bidi="ar-SA"/>
        </w:rPr>
        <w:t>。（本项目不适用）</w:t>
      </w:r>
    </w:p>
    <w:p w14:paraId="4EE4D6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en-US" w:eastAsia="zh-CN" w:bidi="ar-SA"/>
        </w:rPr>
        <w:t xml:space="preserve">监狱企业、残疾人福利性单位视同小型、微型企业，享受评审中价格扣除等促进中小企业发展的政府采购政策。 </w:t>
      </w:r>
    </w:p>
    <w:p w14:paraId="0E58F3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31.3供应商同时符合小型、微型企业及监狱企业、残疾人福利性单位要求的，评审时只有一种类型享受价格评审优惠政策</w:t>
      </w:r>
      <w:r>
        <w:rPr>
          <w:rFonts w:hint="eastAsia" w:ascii="宋体" w:hAnsi="宋体" w:cs="宋体"/>
          <w:b w:val="0"/>
          <w:bCs w:val="0"/>
          <w:kern w:val="2"/>
          <w:sz w:val="24"/>
          <w:szCs w:val="24"/>
          <w:u w:val="none"/>
          <w:lang w:val="en-US" w:eastAsia="zh-CN" w:bidi="ar-SA"/>
        </w:rPr>
        <w:t>。</w:t>
      </w:r>
    </w:p>
    <w:p w14:paraId="685A07F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31.4响应文件符合本章前款规定的，供应商应提供相关证明资料，且所提供资料必须真实可信。如有虚假，将依法承担相应责任。</w:t>
      </w:r>
    </w:p>
    <w:p w14:paraId="0BF701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31.5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p>
    <w:p w14:paraId="7F5EE0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31.6本款规定同意购买进口产品的，不限制满足谈判文件要求的国内产品参与谈判竞争</w:t>
      </w:r>
      <w:r>
        <w:rPr>
          <w:rFonts w:hint="eastAsia" w:ascii="宋体" w:hAnsi="宋体" w:cs="宋体"/>
          <w:b w:val="0"/>
          <w:bCs w:val="0"/>
          <w:kern w:val="2"/>
          <w:sz w:val="24"/>
          <w:szCs w:val="24"/>
          <w:u w:val="none"/>
          <w:lang w:val="en-US" w:eastAsia="zh-CN" w:bidi="ar-SA"/>
        </w:rPr>
        <w:t>。</w:t>
      </w:r>
    </w:p>
    <w:p w14:paraId="29E7116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一、本国产品标准</w:t>
      </w:r>
    </w:p>
    <w:p w14:paraId="5F351C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本国产品应当符合以下条件：</w:t>
      </w:r>
    </w:p>
    <w:p w14:paraId="1ECBAEF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（一）在中国境内生产</w:t>
      </w:r>
    </w:p>
    <w:p w14:paraId="17C5EA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4527E2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属性改变是指经过制造、加工或者组装等工序，产生完全不同于原材料、组件的新产品，并具有新的名称和特征（用途）。属性改变不包括以下细微操作：</w:t>
      </w:r>
    </w:p>
    <w:p w14:paraId="6E130F2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1.为确保产品在运输或者储存期间保持某种状态而进行的操作；</w:t>
      </w:r>
    </w:p>
    <w:p w14:paraId="1C34EF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2.为产品运输或者销售进行的包装或者展示；</w:t>
      </w:r>
    </w:p>
    <w:p w14:paraId="09D44D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3.在产品或者其包装上粘贴或者印刷品牌、标志、标识以及其他用于区别的标记；</w:t>
      </w:r>
    </w:p>
    <w:p w14:paraId="0A7BD1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4.简单的上漆、磨光和分装；</w:t>
      </w:r>
    </w:p>
    <w:p w14:paraId="06FA35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5.其他不属于属性改变的情形。</w:t>
      </w:r>
    </w:p>
    <w:p w14:paraId="27070C3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（二）在中国境内生产的组件成本占比达到规定比例</w:t>
      </w:r>
    </w:p>
    <w:p w14:paraId="6B9C16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产品在中国境内生产的组件成本占比应当达到规定比例，计算公式为：</w:t>
      </w:r>
    </w:p>
    <w:p w14:paraId="18C4365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kern w:val="2"/>
          <w:sz w:val="28"/>
          <w:szCs w:val="28"/>
          <w:u w:val="none"/>
          <w:lang w:val="en-US" w:eastAsia="zh-CN" w:bidi="ar-SA"/>
        </w:rPr>
      </w:pPr>
    </w:p>
    <w:p w14:paraId="6C0B6DF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default" w:ascii="仿宋_GB2312" w:hAnsi="仿宋_GB2312" w:eastAsia="仿宋_GB2312" w:cs="仿宋_GB2312"/>
          <w:b w:val="0"/>
          <w:bCs w:val="0"/>
          <w:kern w:val="2"/>
          <w:sz w:val="28"/>
          <w:szCs w:val="28"/>
          <w:u w:val="none"/>
          <w:lang w:val="en-US" w:eastAsia="zh-CN" w:bidi="ar-SA"/>
        </w:rPr>
      </w:pPr>
      <w:r>
        <w:drawing>
          <wp:anchor distT="0" distB="0" distL="114300" distR="114300" simplePos="0" relativeHeight="251659264" behindDoc="0" locked="0" layoutInCell="1" allowOverlap="1">
            <wp:simplePos x="0" y="0"/>
            <wp:positionH relativeFrom="column">
              <wp:posOffset>314325</wp:posOffset>
            </wp:positionH>
            <wp:positionV relativeFrom="paragraph">
              <wp:posOffset>-31115</wp:posOffset>
            </wp:positionV>
            <wp:extent cx="4829175" cy="762000"/>
            <wp:effectExtent l="0" t="0" r="9525"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8"/>
                    <a:stretch>
                      <a:fillRect/>
                    </a:stretch>
                  </pic:blipFill>
                  <pic:spPr>
                    <a:xfrm>
                      <a:off x="0" y="0"/>
                      <a:ext cx="4829175" cy="762000"/>
                    </a:xfrm>
                    <a:prstGeom prst="rect">
                      <a:avLst/>
                    </a:prstGeom>
                    <a:noFill/>
                    <a:ln>
                      <a:noFill/>
                    </a:ln>
                  </pic:spPr>
                </pic:pic>
              </a:graphicData>
            </a:graphic>
          </wp:anchor>
        </w:drawing>
      </w:r>
    </w:p>
    <w:p w14:paraId="36A861B0">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28" w:name="_Toc28078_WPSOffice_Level2"/>
      <w:bookmarkStart w:id="229" w:name="_Toc15316"/>
      <w:bookmarkStart w:id="230" w:name="_Toc15805"/>
      <w:bookmarkStart w:id="231" w:name="_Toc10843_WPSOffice_Level2"/>
      <w:bookmarkStart w:id="232" w:name="_Toc30960"/>
      <w:bookmarkStart w:id="233" w:name="_Toc22869"/>
      <w:bookmarkStart w:id="234" w:name="_Toc3719_WPSOffice_Level2"/>
      <w:bookmarkStart w:id="235" w:name="_Toc34637772"/>
    </w:p>
    <w:p w14:paraId="10FC83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F5FA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（三）特定产品的关键组件、关键工序符合相关要求</w:t>
      </w:r>
    </w:p>
    <w:p w14:paraId="6F70F4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47C52E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EE9E7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二、本国产品标准的适用范围</w:t>
      </w:r>
    </w:p>
    <w:p w14:paraId="2BF610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627A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三、对本国产品的支持政策</w:t>
      </w:r>
    </w:p>
    <w:p w14:paraId="2431E3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政府采购活动中既有本国产品又有非本国产品参与竞争的，依法对本国产品给予价格评审优惠，对本国产品的报价给予20%的价格扣除，用扣除后的价格参与评审。</w:t>
      </w:r>
    </w:p>
    <w:p w14:paraId="60B877C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AF97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四、政策执行要求</w:t>
      </w:r>
    </w:p>
    <w:p w14:paraId="725CA0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（一）产品在中国境内生产的组件成本核算规则。产品在中国境内生产的组件成本，按照《中国境内生产的组件成本核算基本规则》（见附件1）计算。</w:t>
      </w:r>
    </w:p>
    <w:p w14:paraId="2564A7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D4878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采购人、采购代理机构应当随中标、成交结果同时公告中标、成交供应商提供的《声明函》或有关证明文件。</w:t>
      </w:r>
    </w:p>
    <w:p w14:paraId="1548E7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9094A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（四）中华人民共和国缔结或者共同参加的国际条约、协定对政府采购中本国产品政策另有规定的，按照有关条约、协定执行。</w:t>
      </w:r>
    </w:p>
    <w:p w14:paraId="2B166F6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31.7</w:t>
      </w:r>
      <w:r>
        <w:rPr>
          <w:rFonts w:hint="eastAsia" w:ascii="宋体" w:hAnsi="宋体" w:eastAsia="宋体" w:cs="宋体"/>
          <w:b w:val="0"/>
          <w:bCs w:val="0"/>
          <w:kern w:val="2"/>
          <w:sz w:val="24"/>
          <w:szCs w:val="24"/>
          <w:u w:val="none"/>
          <w:lang w:val="zh-CN" w:eastAsia="zh-CN" w:bidi="ar-SA"/>
        </w:rPr>
        <w:t>在评审过程中，</w:t>
      </w:r>
      <w:r>
        <w:rPr>
          <w:rFonts w:hint="eastAsia" w:ascii="宋体" w:hAnsi="宋体" w:eastAsia="宋体" w:cs="宋体"/>
          <w:b w:val="0"/>
          <w:bCs w:val="0"/>
          <w:kern w:val="2"/>
          <w:sz w:val="24"/>
          <w:szCs w:val="24"/>
          <w:u w:val="none"/>
          <w:lang w:val="en-US" w:eastAsia="zh-CN" w:bidi="ar-SA"/>
        </w:rPr>
        <w:t>评标委员会成员对需要共同认定的事项存在争议的，应当按照少数服从多数的原则作出结论。持不同意见的评标委员会成员应当在评标报告上签署不同意见及理由，否则视为同意评标报告。</w:t>
      </w:r>
    </w:p>
    <w:p w14:paraId="4013A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31.8</w:t>
      </w:r>
      <w:r>
        <w:rPr>
          <w:rFonts w:hint="eastAsia" w:ascii="宋体" w:hAnsi="宋体" w:eastAsia="宋体" w:cs="宋体"/>
          <w:b w:val="0"/>
          <w:bCs w:val="0"/>
          <w:kern w:val="2"/>
          <w:sz w:val="24"/>
          <w:szCs w:val="24"/>
          <w:u w:val="none"/>
          <w:lang w:val="zh-CN" w:eastAsia="zh-CN" w:bidi="ar-SA"/>
        </w:rPr>
        <w:t>评标委员会应当按照磋商文件中规定的评标方法和标准，对符合性审查合格的磋商响应文件进行商务和技术评估，综合比较与评价。</w:t>
      </w:r>
    </w:p>
    <w:p w14:paraId="6461F2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31.9政府采购异常低价审查</w:t>
      </w:r>
    </w:p>
    <w:p w14:paraId="6CD43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（1）采购人应当在采购文件中明确，政府采购评审中出现下列情形之一的，评审委员会应当启动异常低价投标（响应）审查程序： </w:t>
      </w:r>
    </w:p>
    <w:p w14:paraId="196876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1.投标（响应）报价低于全部通过符合性审查供应商投标（响应）报价平均值50%的，即投标（响应）报价&lt;全部通过符合性审查供应商投标（响应）报价平均值×50%； </w:t>
      </w:r>
    </w:p>
    <w:p w14:paraId="7C7ACC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2.投标（响应）报价低于通过符合性审查的次低报价供应商投标（响应）报价50%的，即投标（响应）报价&lt;通过符合性审查的次低报价供应商投标（响应）报价×50%； </w:t>
      </w:r>
    </w:p>
    <w:p w14:paraId="1C312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3.投标（响应）报价低于采购项目最高限价45%的，即投标（响应）报价&lt;采购项目最高限价×45%； </w:t>
      </w:r>
    </w:p>
    <w:p w14:paraId="28CB9A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4.评审委员会基于专业判断，认为供应商报价过低，有可能影响产品质量或者不能诚信履约的其他情形。 </w:t>
      </w:r>
    </w:p>
    <w:p w14:paraId="4012E61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相关法律法规对供应商报价有规定的，从其规定。 </w:t>
      </w:r>
    </w:p>
    <w:p w14:paraId="0B90B8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279D7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88D2F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0C4BC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 </w:t>
      </w:r>
    </w:p>
    <w:p w14:paraId="19C727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（3）各级财政部门应当加强对评审专家的指导和监管，进一步压实评审专家的责任。财政部门在投诉处理、监督检查中发现评审委员会未按规定对异常低价开展审查的，依法予以纠正并追究评审专家的法律责任</w:t>
      </w:r>
      <w:r>
        <w:rPr>
          <w:rFonts w:hint="eastAsia" w:ascii="宋体" w:hAnsi="宋体" w:eastAsia="宋体" w:cs="宋体"/>
          <w:b w:val="0"/>
          <w:bCs w:val="0"/>
          <w:kern w:val="2"/>
          <w:sz w:val="24"/>
          <w:szCs w:val="24"/>
          <w:u w:val="none"/>
          <w:lang w:val="zh-CN" w:eastAsia="zh-CN" w:bidi="ar-SA"/>
        </w:rPr>
        <w:t>。</w:t>
      </w:r>
    </w:p>
    <w:p w14:paraId="47D44926">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九、其他规定</w:t>
      </w:r>
      <w:bookmarkEnd w:id="228"/>
      <w:bookmarkEnd w:id="229"/>
      <w:bookmarkEnd w:id="230"/>
      <w:bookmarkEnd w:id="231"/>
      <w:bookmarkEnd w:id="232"/>
      <w:bookmarkEnd w:id="233"/>
      <w:bookmarkEnd w:id="234"/>
      <w:bookmarkEnd w:id="235"/>
    </w:p>
    <w:p w14:paraId="3E14E9A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36" w:name="_Toc10855"/>
      <w:bookmarkStart w:id="237" w:name="_Toc12390_WPSOffice_Level3"/>
      <w:bookmarkStart w:id="238" w:name="_Toc31158"/>
      <w:bookmarkStart w:id="239" w:name="_Toc10247"/>
      <w:bookmarkStart w:id="240" w:name="_Toc22185_WPSOffice_Level3"/>
      <w:r>
        <w:rPr>
          <w:rFonts w:hint="eastAsia" w:ascii="宋体" w:hAnsi="宋体" w:eastAsia="宋体" w:cs="宋体"/>
          <w:b/>
          <w:bCs/>
          <w:kern w:val="2"/>
          <w:sz w:val="24"/>
          <w:szCs w:val="24"/>
          <w:u w:val="none"/>
          <w:lang w:val="en-US" w:eastAsia="zh-CN" w:bidi="ar-SA"/>
        </w:rPr>
        <w:t>32.代理服务费</w:t>
      </w:r>
      <w:bookmarkEnd w:id="236"/>
      <w:bookmarkEnd w:id="237"/>
      <w:bookmarkEnd w:id="238"/>
      <w:bookmarkEnd w:id="239"/>
      <w:bookmarkEnd w:id="240"/>
    </w:p>
    <w:p w14:paraId="739E67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按【谈判</w:t>
      </w:r>
      <w:r>
        <w:rPr>
          <w:rFonts w:hint="eastAsia" w:ascii="宋体" w:hAnsi="宋体" w:cs="宋体"/>
          <w:b w:val="0"/>
          <w:bCs w:val="0"/>
          <w:kern w:val="2"/>
          <w:sz w:val="24"/>
          <w:szCs w:val="24"/>
          <w:u w:val="none"/>
          <w:lang w:val="en-US" w:eastAsia="zh-CN" w:bidi="ar-SA"/>
        </w:rPr>
        <w:t>邀请</w:t>
      </w:r>
      <w:r>
        <w:rPr>
          <w:rFonts w:hint="eastAsia" w:ascii="宋体" w:hAnsi="宋体" w:eastAsia="宋体" w:cs="宋体"/>
          <w:b w:val="0"/>
          <w:bCs w:val="0"/>
          <w:kern w:val="2"/>
          <w:sz w:val="24"/>
          <w:szCs w:val="24"/>
          <w:u w:val="none"/>
          <w:lang w:val="en-US" w:eastAsia="zh-CN" w:bidi="ar-SA"/>
        </w:rPr>
        <w:t>】规定向采购代理机构交纳代理服务费。</w:t>
      </w:r>
    </w:p>
    <w:p w14:paraId="35A2C1B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41" w:name="_Toc14580"/>
      <w:bookmarkStart w:id="242" w:name="_Toc18975"/>
      <w:bookmarkStart w:id="243" w:name="_Toc1461_WPSOffice_Level3"/>
      <w:bookmarkStart w:id="244" w:name="_Toc16758"/>
      <w:bookmarkStart w:id="245" w:name="_Toc27699_WPSOffice_Level3"/>
      <w:r>
        <w:rPr>
          <w:rFonts w:hint="eastAsia" w:ascii="宋体" w:hAnsi="宋体" w:eastAsia="宋体" w:cs="宋体"/>
          <w:b/>
          <w:bCs/>
          <w:kern w:val="2"/>
          <w:sz w:val="24"/>
          <w:szCs w:val="24"/>
          <w:u w:val="none"/>
          <w:lang w:val="en-US" w:eastAsia="zh-CN" w:bidi="ar-SA"/>
        </w:rPr>
        <w:t>33.其他规定</w:t>
      </w:r>
      <w:bookmarkEnd w:id="241"/>
      <w:bookmarkEnd w:id="242"/>
      <w:bookmarkEnd w:id="243"/>
      <w:bookmarkEnd w:id="244"/>
      <w:bookmarkEnd w:id="245"/>
    </w:p>
    <w:p w14:paraId="538D9F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谈判文件的其他规定见【谈判须知前附表】。</w:t>
      </w:r>
    </w:p>
    <w:p w14:paraId="2AF6D62F">
      <w:pPr>
        <w:pStyle w:val="2"/>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outlineLvl w:val="0"/>
        <w:rPr>
          <w:rFonts w:hint="eastAsia" w:ascii="宋体" w:hAnsi="宋体" w:eastAsia="宋体" w:cs="宋体"/>
          <w:b w:val="0"/>
          <w:bCs w:val="0"/>
          <w:sz w:val="44"/>
          <w:szCs w:val="44"/>
          <w:highlight w:val="none"/>
          <w:lang w:val="en-US" w:eastAsia="zh-CN"/>
        </w:rPr>
      </w:pPr>
      <w:bookmarkStart w:id="246" w:name="_Toc13204"/>
      <w:bookmarkStart w:id="247" w:name="_Toc18130_WPSOffice_Level1"/>
      <w:bookmarkStart w:id="248" w:name="_Toc2404_WPSOffice_Level1"/>
      <w:bookmarkStart w:id="249" w:name="_Toc29561_WPSOffice_Level1"/>
      <w:bookmarkStart w:id="250" w:name="_Toc7566"/>
      <w:bookmarkStart w:id="251" w:name="_Toc34637773"/>
      <w:bookmarkStart w:id="252" w:name="_Toc4912_WPSOffice_Level1"/>
      <w:bookmarkStart w:id="253" w:name="_Toc20750"/>
      <w:bookmarkStart w:id="254" w:name="_Toc7780_WPSOffice_Level1"/>
      <w:bookmarkStart w:id="255" w:name="_Toc31765_WPSOffice_Level1"/>
      <w:r>
        <w:rPr>
          <w:rFonts w:hint="eastAsia" w:ascii="华文中宋" w:hAnsi="华文中宋" w:eastAsia="华文中宋" w:cs="华文中宋"/>
          <w:b w:val="0"/>
          <w:bCs w:val="0"/>
          <w:sz w:val="44"/>
          <w:szCs w:val="44"/>
          <w:highlight w:val="none"/>
          <w:lang w:val="en-US" w:eastAsia="zh-CN"/>
        </w:rPr>
        <w:br w:type="page"/>
      </w:r>
      <w:bookmarkStart w:id="256" w:name="_Toc5886"/>
      <w:r>
        <w:rPr>
          <w:rFonts w:hint="eastAsia" w:ascii="宋体" w:hAnsi="宋体" w:eastAsia="宋体" w:cs="宋体"/>
          <w:b w:val="0"/>
          <w:bCs w:val="0"/>
          <w:color w:val="auto"/>
          <w:kern w:val="2"/>
          <w:sz w:val="36"/>
          <w:szCs w:val="36"/>
          <w:lang w:val="en-US" w:eastAsia="zh-CN" w:bidi="ar-SA"/>
        </w:rPr>
        <w:t>第三部分 采购需求</w:t>
      </w:r>
      <w:bookmarkEnd w:id="246"/>
      <w:bookmarkEnd w:id="247"/>
      <w:bookmarkEnd w:id="248"/>
      <w:bookmarkEnd w:id="249"/>
      <w:bookmarkEnd w:id="250"/>
      <w:bookmarkEnd w:id="251"/>
      <w:bookmarkEnd w:id="252"/>
      <w:bookmarkEnd w:id="253"/>
      <w:bookmarkEnd w:id="254"/>
      <w:bookmarkEnd w:id="255"/>
      <w:bookmarkEnd w:id="256"/>
    </w:p>
    <w:p w14:paraId="0DC9CF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u w:val="none"/>
          <w:lang w:val="en-US" w:eastAsia="zh-CN" w:bidi="ar-SA"/>
        </w:rPr>
      </w:pPr>
      <w:bookmarkStart w:id="257" w:name="_Toc19812_WPSOffice_Level2"/>
      <w:bookmarkStart w:id="258" w:name="_Toc515908232"/>
      <w:bookmarkStart w:id="259" w:name="_Toc13326_WPSOffice_Level2"/>
      <w:bookmarkStart w:id="260" w:name="_Toc22976"/>
      <w:bookmarkStart w:id="261" w:name="_Toc20423_WPSOffice_Level2"/>
      <w:bookmarkStart w:id="262" w:name="_Toc4601"/>
      <w:bookmarkStart w:id="263" w:name="_Toc8656"/>
      <w:bookmarkStart w:id="264" w:name="_Toc17070"/>
      <w:r>
        <w:rPr>
          <w:rFonts w:hint="eastAsia" w:ascii="宋体" w:hAnsi="宋体" w:eastAsia="宋体" w:cs="宋体"/>
          <w:b/>
          <w:bCs/>
          <w:kern w:val="2"/>
          <w:sz w:val="28"/>
          <w:szCs w:val="28"/>
          <w:u w:val="none"/>
          <w:lang w:val="zh-CN" w:eastAsia="zh-CN" w:bidi="ar-SA"/>
        </w:rPr>
        <w:t>十、响应说明</w:t>
      </w:r>
    </w:p>
    <w:bookmarkEnd w:id="257"/>
    <w:bookmarkEnd w:id="258"/>
    <w:bookmarkEnd w:id="259"/>
    <w:bookmarkEnd w:id="260"/>
    <w:bookmarkEnd w:id="261"/>
    <w:bookmarkEnd w:id="262"/>
    <w:bookmarkEnd w:id="263"/>
    <w:bookmarkEnd w:id="264"/>
    <w:p w14:paraId="385F68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供应商可以按照谈判文件规定的包号选择响应，但必须对所响应包号中的所有内容作为一个整体进行响应，不能拆分或少报，</w:t>
      </w:r>
      <w:r>
        <w:rPr>
          <w:rFonts w:hint="eastAsia" w:ascii="宋体" w:hAnsi="宋体" w:eastAsia="宋体" w:cs="宋体"/>
          <w:b w:val="0"/>
          <w:bCs w:val="0"/>
          <w:kern w:val="2"/>
          <w:sz w:val="24"/>
          <w:szCs w:val="24"/>
          <w:u w:val="none"/>
          <w:lang w:val="en-US" w:eastAsia="zh-CN" w:bidi="ar-SA"/>
        </w:rPr>
        <w:t>如有缺项、漏项，其响应无效。</w:t>
      </w:r>
    </w:p>
    <w:p w14:paraId="76797D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color w:val="FF000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color w:val="FF0000"/>
          <w:kern w:val="2"/>
          <w:sz w:val="24"/>
          <w:szCs w:val="24"/>
          <w:u w:val="none"/>
          <w:lang w:val="zh-CN" w:eastAsia="zh-CN" w:bidi="ar-SA"/>
        </w:rPr>
        <w:t>供应商必须如实填写“项目需求及技术参数表”（样表如下），在响应产品“技术参数”栏中列出所响应产品的具体技术参数、指标；如果与谈判文件中提供的产品检测报告、彩页等证明材料中的实质性响应情况不一致或直接复制谈判文件“技术参数”内容的，按无效响应处理。</w:t>
      </w:r>
    </w:p>
    <w:p w14:paraId="4827BDF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3.谈判</w:t>
      </w:r>
      <w:r>
        <w:rPr>
          <w:rFonts w:hint="eastAsia" w:ascii="宋体" w:hAnsi="宋体" w:eastAsia="宋体" w:cs="宋体"/>
          <w:b w:val="0"/>
          <w:bCs w:val="0"/>
          <w:kern w:val="2"/>
          <w:sz w:val="24"/>
          <w:szCs w:val="24"/>
          <w:u w:val="none"/>
          <w:lang w:val="zh-CN" w:eastAsia="zh-CN" w:bidi="ar-SA"/>
        </w:rPr>
        <w:t>内容中未特别标注为“原装进口”字样的产品，供应商必须提供国产产品；标注为“原装进口”字样的产品，供应商应该提供进口产品，但如果因信息不对称等原因，仍有满足采购需求的国内产品要求参与采购竞争的，可以提供国产产品，并且按照公平竞争原则实施采购。</w:t>
      </w:r>
    </w:p>
    <w:p w14:paraId="6EAE8B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4.所提供产品或其任何一部分不得侵犯专利权、著作权、商标权和工业设计权等知识产权。</w:t>
      </w:r>
    </w:p>
    <w:p w14:paraId="2B90EF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val="0"/>
          <w:bCs w:val="0"/>
          <w:kern w:val="2"/>
          <w:sz w:val="28"/>
          <w:szCs w:val="28"/>
          <w:u w:val="none"/>
          <w:lang w:val="zh-CN" w:eastAsia="zh-CN" w:bidi="ar-SA"/>
        </w:rPr>
      </w:pPr>
      <w:bookmarkStart w:id="265" w:name="_Toc16271_WPSOffice_Level2"/>
      <w:bookmarkStart w:id="266" w:name="_Toc26560_WPSOffice_Level2"/>
      <w:bookmarkStart w:id="267" w:name="_Toc515908233"/>
      <w:bookmarkStart w:id="268" w:name="_Toc19609_WPSOffice_Level2"/>
      <w:bookmarkStart w:id="269" w:name="_Toc22092"/>
      <w:bookmarkStart w:id="270" w:name="_Toc1475"/>
      <w:bookmarkStart w:id="271" w:name="_Toc10839"/>
      <w:bookmarkStart w:id="272" w:name="_Toc28791"/>
      <w:r>
        <w:rPr>
          <w:rFonts w:hint="eastAsia" w:ascii="宋体" w:hAnsi="宋体" w:cs="宋体"/>
          <w:b/>
          <w:bCs/>
          <w:kern w:val="2"/>
          <w:sz w:val="28"/>
          <w:szCs w:val="28"/>
          <w:u w:val="none"/>
          <w:lang w:val="en-US" w:eastAsia="zh-CN" w:bidi="ar-SA"/>
        </w:rPr>
        <w:t>十一</w:t>
      </w:r>
      <w:r>
        <w:rPr>
          <w:rFonts w:hint="eastAsia" w:ascii="宋体" w:hAnsi="宋体" w:eastAsia="宋体" w:cs="宋体"/>
          <w:b/>
          <w:bCs/>
          <w:kern w:val="2"/>
          <w:sz w:val="28"/>
          <w:szCs w:val="28"/>
          <w:u w:val="none"/>
          <w:lang w:val="zh-CN" w:eastAsia="zh-CN" w:bidi="ar-SA"/>
        </w:rPr>
        <w:t>、重要指标</w:t>
      </w:r>
      <w:bookmarkEnd w:id="265"/>
      <w:bookmarkEnd w:id="266"/>
      <w:bookmarkEnd w:id="267"/>
      <w:bookmarkEnd w:id="268"/>
      <w:bookmarkEnd w:id="269"/>
      <w:bookmarkEnd w:id="270"/>
      <w:bookmarkEnd w:id="271"/>
      <w:bookmarkEnd w:id="272"/>
    </w:p>
    <w:p w14:paraId="30CEF9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bookmarkStart w:id="273" w:name="_Toc18880"/>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谈判文件在技术参数中列出了采购人可以接受的最低技术指标，供应商必须对“项目概况及技术参数表”中各项产品和指标进行实质性响应，所推荐的每一项产品在性能上不能低于所列的各项指标。否则，响应无效。</w:t>
      </w:r>
    </w:p>
    <w:p w14:paraId="0D130CD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kern w:val="2"/>
          <w:sz w:val="24"/>
          <w:szCs w:val="24"/>
          <w:u w:val="none"/>
          <w:lang w:val="zh-CN" w:eastAsia="zh-CN" w:bidi="ar-SA"/>
        </w:rPr>
        <w:t>谈判文件中凡需与原有设备、系统并机、兼容、匹配等要求的，请主动和采购人联系，取得原有设备、系统相关资料。若有谈判文件未提及或变更内容的，请及时与采购人或者采购代理机构联系。</w:t>
      </w:r>
    </w:p>
    <w:p w14:paraId="34361E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zh-CN" w:eastAsia="zh-CN" w:bidi="ar-SA"/>
        </w:rPr>
        <w:t>技术参数”中除注明签订合同时提供</w:t>
      </w:r>
      <w:r>
        <w:rPr>
          <w:rFonts w:hint="eastAsia" w:ascii="宋体" w:hAnsi="宋体" w:eastAsia="宋体" w:cs="宋体"/>
          <w:b w:val="0"/>
          <w:bCs w:val="0"/>
          <w:kern w:val="2"/>
          <w:sz w:val="24"/>
          <w:szCs w:val="24"/>
          <w:u w:val="none"/>
          <w:lang w:val="en-US" w:eastAsia="zh-CN" w:bidi="ar-SA"/>
        </w:rPr>
        <w:t>的相关授权、服务承诺等资料以外，其余相关资料在响应时必须附在响应文件中。</w:t>
      </w:r>
    </w:p>
    <w:p w14:paraId="514D8A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4.商务要求</w:t>
      </w:r>
    </w:p>
    <w:p w14:paraId="4A8FA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4.1</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交货地点：</w:t>
      </w:r>
      <w:r>
        <w:rPr>
          <w:rFonts w:hint="eastAsia" w:ascii="宋体" w:hAnsi="宋体" w:cs="宋体"/>
          <w:b w:val="0"/>
          <w:bCs w:val="0"/>
          <w:kern w:val="2"/>
          <w:sz w:val="24"/>
          <w:szCs w:val="24"/>
          <w:u w:val="none"/>
          <w:lang w:val="en-US" w:eastAsia="zh-CN" w:bidi="ar-SA"/>
        </w:rPr>
        <w:t>海南藏族自治州公安局</w:t>
      </w:r>
      <w:r>
        <w:rPr>
          <w:rFonts w:hint="eastAsia" w:ascii="宋体" w:hAnsi="宋体" w:eastAsia="宋体" w:cs="宋体"/>
          <w:b w:val="0"/>
          <w:bCs w:val="0"/>
          <w:kern w:val="2"/>
          <w:sz w:val="24"/>
          <w:szCs w:val="24"/>
          <w:u w:val="none"/>
          <w:lang w:val="en-US" w:eastAsia="zh-CN" w:bidi="ar-SA"/>
        </w:rPr>
        <w:t>；</w:t>
      </w:r>
    </w:p>
    <w:p w14:paraId="52D5A45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4.2</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合同履约期限：</w:t>
      </w:r>
      <w:r>
        <w:rPr>
          <w:rFonts w:hint="eastAsia" w:ascii="宋体" w:hAnsi="宋体" w:cs="宋体"/>
          <w:b w:val="0"/>
          <w:bCs w:val="0"/>
          <w:kern w:val="2"/>
          <w:sz w:val="24"/>
          <w:szCs w:val="24"/>
          <w:u w:val="none"/>
          <w:lang w:val="en-US" w:eastAsia="zh-CN" w:bidi="ar-SA"/>
        </w:rPr>
        <w:t>合同签订后60日内</w:t>
      </w:r>
      <w:r>
        <w:rPr>
          <w:rFonts w:hint="eastAsia" w:ascii="宋体" w:hAnsi="宋体" w:eastAsia="宋体" w:cs="宋体"/>
          <w:b w:val="0"/>
          <w:bCs w:val="0"/>
          <w:kern w:val="2"/>
          <w:sz w:val="24"/>
          <w:szCs w:val="24"/>
          <w:u w:val="none"/>
          <w:lang w:val="en-US" w:eastAsia="zh-CN" w:bidi="ar-SA"/>
        </w:rPr>
        <w:t>；</w:t>
      </w:r>
    </w:p>
    <w:p w14:paraId="4ADF55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4.3</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付款方式：详见“第五部分 青海省政府采购项目合同书范本”中“四、</w:t>
      </w:r>
    </w:p>
    <w:p w14:paraId="79D864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付款方式”的规定。 </w:t>
      </w:r>
    </w:p>
    <w:p w14:paraId="13FEB6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5.验收标准：</w:t>
      </w:r>
    </w:p>
    <w:p w14:paraId="7DF967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交货验收时，按照《青海省政府采购合同及履约验收监督管理办法》要求组织验收。若成交供应商提供的产品与投标参数存在较大差异，采购人可拒绝接收。</w:t>
      </w:r>
    </w:p>
    <w:p w14:paraId="099D10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签订合同时须提供投标产品生产厂家公开发布的产品资料或产品使用说明书或产品生产厂家技术白皮书或国家认可的第三方检测机构出具的检验报告、产品质量合格证等文件原件。若出现与响应文件中提供的产品资料不一致的情形，属于提供虚假材料谋取中标，依照《中华人民共和国政府采购法》等国家有关规定追究法律责任。</w:t>
      </w:r>
    </w:p>
    <w:p w14:paraId="7F6B51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特殊要求验证：有特定的存储条件（如温度、湿度、避光等）或特殊运输要求的产品，将对运输过程的温湿度监控数据（如干冰、冷链运输时的温度记录）进行检查。</w:t>
      </w:r>
    </w:p>
    <w:p w14:paraId="4316C5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kern w:val="2"/>
          <w:sz w:val="24"/>
          <w:szCs w:val="24"/>
          <w:highlight w:val="yellow"/>
          <w:u w:val="none"/>
          <w:lang w:val="en-US" w:eastAsia="zh-CN" w:bidi="ar-SA"/>
        </w:rPr>
      </w:pPr>
    </w:p>
    <w:p w14:paraId="08B205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eastAsia="宋体" w:cs="宋体"/>
          <w:b/>
          <w:bCs/>
          <w:kern w:val="2"/>
          <w:sz w:val="28"/>
          <w:szCs w:val="28"/>
          <w:lang w:val="en-US" w:eastAsia="zh-CN" w:bidi="ar-SA"/>
        </w:rPr>
        <w:t>（一）</w:t>
      </w:r>
      <w:r>
        <w:rPr>
          <w:rFonts w:hint="eastAsia" w:ascii="宋体" w:hAnsi="宋体" w:cs="宋体"/>
          <w:b/>
          <w:bCs/>
          <w:kern w:val="2"/>
          <w:sz w:val="28"/>
          <w:szCs w:val="28"/>
          <w:highlight w:val="none"/>
          <w:u w:val="none"/>
          <w:lang w:val="en-US" w:eastAsia="zh-CN" w:bidi="ar-SA"/>
        </w:rPr>
        <w:t>项目概况</w:t>
      </w:r>
    </w:p>
    <w:p w14:paraId="541ED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 w:val="0"/>
          <w:bCs w:val="0"/>
          <w:kern w:val="2"/>
          <w:sz w:val="24"/>
          <w:szCs w:val="24"/>
          <w:highlight w:val="none"/>
          <w:u w:val="none"/>
          <w:lang w:val="en-US" w:eastAsia="zh-CN" w:bidi="ar-SA"/>
        </w:rPr>
      </w:pPr>
      <w:r>
        <w:rPr>
          <w:rFonts w:hint="eastAsia" w:ascii="宋体" w:hAnsi="宋体" w:cs="宋体"/>
          <w:b w:val="0"/>
          <w:bCs w:val="0"/>
          <w:kern w:val="2"/>
          <w:sz w:val="24"/>
          <w:szCs w:val="24"/>
          <w:highlight w:val="none"/>
          <w:u w:val="none"/>
          <w:lang w:val="en-US" w:eastAsia="zh-CN" w:bidi="ar-SA"/>
        </w:rPr>
        <w:t>海南藏族自治州公安局海南州公安局警用装备采购</w:t>
      </w:r>
      <w:r>
        <w:rPr>
          <w:rFonts w:hint="default" w:ascii="宋体" w:hAnsi="宋体" w:eastAsia="宋体" w:cs="宋体"/>
          <w:b w:val="0"/>
          <w:bCs w:val="0"/>
          <w:kern w:val="2"/>
          <w:sz w:val="24"/>
          <w:szCs w:val="24"/>
          <w:highlight w:val="none"/>
          <w:u w:val="none"/>
          <w:lang w:val="en-US" w:eastAsia="zh-CN" w:bidi="ar-SA"/>
        </w:rPr>
        <w:t>，采购预算额度为：256</w:t>
      </w:r>
      <w:r>
        <w:rPr>
          <w:rFonts w:hint="eastAsia" w:ascii="宋体" w:hAnsi="宋体" w:cs="宋体"/>
          <w:b w:val="0"/>
          <w:bCs w:val="0"/>
          <w:kern w:val="2"/>
          <w:sz w:val="24"/>
          <w:szCs w:val="24"/>
          <w:highlight w:val="none"/>
          <w:u w:val="none"/>
          <w:lang w:val="en-US" w:eastAsia="zh-CN" w:bidi="ar-SA"/>
        </w:rPr>
        <w:t>0</w:t>
      </w:r>
      <w:r>
        <w:rPr>
          <w:rFonts w:hint="default" w:ascii="宋体" w:hAnsi="宋体" w:eastAsia="宋体" w:cs="宋体"/>
          <w:b w:val="0"/>
          <w:bCs w:val="0"/>
          <w:kern w:val="2"/>
          <w:sz w:val="24"/>
          <w:szCs w:val="24"/>
          <w:highlight w:val="none"/>
          <w:u w:val="none"/>
          <w:lang w:val="en-US" w:eastAsia="zh-CN" w:bidi="ar-SA"/>
        </w:rPr>
        <w:t>000.00元</w:t>
      </w:r>
      <w:r>
        <w:rPr>
          <w:rFonts w:hint="eastAsia" w:ascii="宋体" w:hAnsi="宋体" w:cs="宋体"/>
          <w:b w:val="0"/>
          <w:bCs w:val="0"/>
          <w:kern w:val="2"/>
          <w:sz w:val="24"/>
          <w:szCs w:val="24"/>
          <w:highlight w:val="none"/>
          <w:u w:val="none"/>
          <w:lang w:val="en-US" w:eastAsia="zh-CN" w:bidi="ar-SA"/>
        </w:rPr>
        <w:t>，其中</w:t>
      </w:r>
      <w:r>
        <w:rPr>
          <w:rFonts w:hint="default" w:ascii="宋体" w:hAnsi="宋体" w:eastAsia="宋体" w:cs="宋体"/>
          <w:b w:val="0"/>
          <w:bCs w:val="0"/>
          <w:kern w:val="2"/>
          <w:sz w:val="24"/>
          <w:szCs w:val="24"/>
          <w:highlight w:val="none"/>
          <w:u w:val="none"/>
          <w:lang w:val="en-US" w:eastAsia="zh-CN" w:bidi="ar-SA"/>
        </w:rPr>
        <w:t>包一：727680.00</w:t>
      </w:r>
      <w:r>
        <w:rPr>
          <w:rFonts w:hint="eastAsia" w:ascii="宋体" w:hAnsi="宋体" w:cs="宋体"/>
          <w:b w:val="0"/>
          <w:bCs w:val="0"/>
          <w:kern w:val="2"/>
          <w:sz w:val="24"/>
          <w:szCs w:val="24"/>
          <w:highlight w:val="none"/>
          <w:u w:val="none"/>
          <w:lang w:val="en-US" w:eastAsia="zh-CN" w:bidi="ar-SA"/>
        </w:rPr>
        <w:t>，</w:t>
      </w:r>
      <w:r>
        <w:rPr>
          <w:rFonts w:hint="default" w:ascii="宋体" w:hAnsi="宋体" w:eastAsia="宋体" w:cs="宋体"/>
          <w:b w:val="0"/>
          <w:bCs w:val="0"/>
          <w:kern w:val="2"/>
          <w:sz w:val="24"/>
          <w:szCs w:val="24"/>
          <w:highlight w:val="none"/>
          <w:u w:val="none"/>
          <w:lang w:val="en-US" w:eastAsia="zh-CN" w:bidi="ar-SA"/>
        </w:rPr>
        <w:t>包二：1832320.00。具体内容及要求详见技术参数。</w:t>
      </w:r>
    </w:p>
    <w:p w14:paraId="61C1F6E5">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footerReference r:id="rId5" w:type="default"/>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kern w:val="2"/>
          <w:sz w:val="32"/>
          <w:szCs w:val="32"/>
          <w:highlight w:val="none"/>
          <w:lang w:val="en-US" w:eastAsia="zh-CN" w:bidi="ar-SA"/>
        </w:rPr>
        <w:t xml:space="preserve">   </w:t>
      </w:r>
    </w:p>
    <w:p w14:paraId="573A4294">
      <w:pPr>
        <w:widowControl w:val="0"/>
        <w:wordWrap/>
        <w:adjustRightInd w:val="0"/>
        <w:snapToGrid w:val="0"/>
        <w:spacing w:line="560" w:lineRule="exact"/>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cs="宋体"/>
          <w:b/>
          <w:bCs/>
          <w:kern w:val="2"/>
          <w:sz w:val="28"/>
          <w:szCs w:val="28"/>
          <w:highlight w:val="none"/>
          <w:u w:val="none"/>
          <w:lang w:val="en-US" w:eastAsia="zh-CN" w:bidi="ar-SA"/>
        </w:rPr>
        <w:t>（二）技术参数</w:t>
      </w:r>
    </w:p>
    <w:p w14:paraId="6352B36C">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pPr>
    </w:p>
    <w:tbl>
      <w:tblPr>
        <w:tblStyle w:val="19"/>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000"/>
        <w:gridCol w:w="11705"/>
        <w:gridCol w:w="1031"/>
        <w:gridCol w:w="901"/>
      </w:tblGrid>
      <w:tr w14:paraId="759D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36A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2E96CD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11705"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68E55D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103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60571B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32BEB1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120F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6F1B47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包一</w:t>
            </w:r>
          </w:p>
        </w:tc>
      </w:tr>
      <w:tr w14:paraId="6B00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3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PC组合盾牌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 422-2019《警用防暴盾牌》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2、一般要求：警用防暴盾牌(以下简称防暴盾牌)由盾体和握持装置等组成。防暴盾牌材料应无毒、对人体无自然伤害。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3、外观要求：防暴盾牌表面应光滑，无可视的凹坑、气泡、毛刺、尖角、划伤、斑点、脱漆及起皮等缺陷 。防暴盾牌的握持装置应无毛刺、尖角等缺陷， 便于握持、手感舒适。防暴盾牌上外露金属结构件应经表面处理，无锈蚀现象。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4、标识：防暴盾牌正面对应握持装置位置应有中文“警察”和英文“POLICE”字样，字样颜色为白色。中文“警察”字体为黑色，字高为 85mm±4mm,英文“POLICE”字体为ArialBlack,字高为55mm±3mm。防暴盾牌盾体上应有清晰永久性的产品标志，其内容应包括：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a)制造厂名称或商标；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b)产品名称；</w:t>
            </w:r>
            <w:bookmarkStart w:id="698" w:name="_GoBack"/>
            <w:bookmarkEnd w:id="698"/>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c)产品代号和编号；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d)执行标准号；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e)使用有效期；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f)生产日期(年月)。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5、规格：S(小号)外形尺寸：(1210×560)±10mm, 防护面积≥0.67m²;L(大号)外形尺寸：(1610×560)±10mm, 防护面积≥0.9m²。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6、质量：S(小号)质量应≤6.8kg L(大号)质量应≤8.5kg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7、握把连接强度：握把与盾体间的连接应能承受1000N的拉力，不应有断裂、松动或脱落现象。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8、臂带连接强度：臂带的搭扣搭合好后，臂带与盾体间连接应能承受1000N的拉力，不应有脱落、松动、脱扣或臂带断裂现象。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9、透光率 ：透明防暴盾牌的盾体和非透明防暴盾牌的观察窗，其透光率应大于89%。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10、耐冲击强度：防暴盾牌应能承受240J动能的冲击，冲击后受力点不应有穿洞或在受力点半径50mm之外出现贯穿性开裂。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11、耐穿刺性能：防暴盾牌应承受170J动能的穿刺，穿刺后受力点不应有大于直径6mm穿洞或在受力点半径20mm之外出现贯穿性开裂。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12、耐击打强度：防暴盾牌应能承受线速度为18m/s±0.3m/s、能量为450J±13J的击打，击打后盾体不应破碎或出现长度大于50mm的贯穿性开裂，击打后盾体产生的最大凹陷深度应小于或等于30mm。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13、耐刀砍性能：防暴盾牌的上边沿应能抵御线速度为8.5m/s±0.5m/s、能量为120J±5J的击砍， 试验后刀砍痕迹深度应小于或等于25mm。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14、防护性能：在距离防暴盾牌8m处，使用12号猎枪弹、3 号弹珠进行枪击试验，在有效击中的情况下，盾牌应无破裂或穿透。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15、涂层附着力：具有涂层的防暴盾牌，其涂层附着力应大于或等于GB/T 9286-1998中3级的规定。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16、阻燃性能：未燃烧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17、温度适应性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（1）高温：防暴盾牌在环境温度55℃条件下，应符合防耐击打强度要求。（2）低温：防暴盾牌在环境温度-30℃条件下，应符合防耐击打强度要求。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1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DA6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3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防暴服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1.1.警用防暴服由防护的前胸、后背、裆部、上肢和下肢等防护部件组成，上肢防护部件含肩、上臂、肘和前臂等防护部件，下肢防护部件含大腿、膝、小腿、脚面和脚踝防护部件等。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1.2.防暴服穿着灵活，易于穿脱，穿着时可根据身高借助连接件调节，各部位连接件连接牢固。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1.3.防暴服的各防护部件采用随形设计，与人体相应部位相适应。防暴服使用的材料无刺激性异味。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1.4.前胸和后背防护部件的贴身部件可拆卸和清洗，连接和分离方便、可靠。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1.5.防护部件的各层采用可拆卸结构时，在明显位置标明防护面或贴身面。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2、外观要求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2.1.防暴服无皱褶、裂痕、破损、缺口、开线、漏针、线头等缺陷，金属材料进行防锈处理。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2.2.防暴服无锋利边缘和尖锐角刺。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防暴服上具有清晰永久性的产品标志，标志位置在后背防护部件内侧，内容包括：a）制造厂名称或商标、b）产品名称和代号、c）产品编号、d）执行标准号、e）生产日期（年月）、f）有效期、g）使用说明及注意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3、颜色：防暴服颜色为藏蓝色。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4、防护面积：常规型、前胸及裆部≥1220m2、后背≥1200cm2）、上肢≥1920cm2、下肢≥3300cm2。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5、质量：常规型防暴服的质量小于7.15kg。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6、连接件可靠性：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6.1.连接带拉伸负荷2000N未断裂；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6.2.搭扣带扣合强度≥14.4N/cm2；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6.3.搭扣带耐用扣合强度≥9.5N/cm2；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6.4.主插扣拉伸负载500N未脱开、断裂；插拔500次后能正常使用。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7、耐冲击性能：防暴服的防护部件承受120J能力冲击，未破碎、无开裂。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8、能量吸收性能：防暴服的前胸、后背防护部件能承受100J能量冲击，且胶泥压痕深度小于或等于2.1mm。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9、防刺性能：使用GA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10、温度适应性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10.1.低温：将防暴服放入温度为-20℃±2℃恒温箱内保持4h后，防暴服的防护部件能承受120J能量冲击，未破碎、开裂。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10.2.高温：将防暴服放入温度为+55℃±2℃恒温箱内保持4h后，使用GA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11、阻燃性能：防护部件表面燃烧后未续燃。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12、特性：常规型防暴服，前胸和后背的防护层结构为塑料铸件，尼龙布做面料，前胸、后背及裆部处有防刺层，贴身面用发泡材料做缓冲。裆部防护层内结构为1层2.5㎜厚金属板+1层4.0mm厚泡沫。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13、执行标准：GA 420-2021《警用防暴服》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2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r>
      <w:tr w14:paraId="3D22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F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7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警用约束叉</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9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1、符合《GA/T 1145-2014 警用约束叉》中的有关要求；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2、结构：由叉头、叉杆、连接部位和控制部位等组成；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3、尺寸：工作长度≥2000mm，携行长度：≤1300mm，叉杆握持部位直径：30mm-35mm，叉头闭合缝隙：闭合无缝隙。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4、质量：≤2.1kg；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5、状态装换时间：警用约束叉的携行状态与工作状态转换时间≤5s；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6、操作可靠性：约束叉经过1000次开启、闭合循环后，能正常使用。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提供公安部相关检验测试中心出具的检测合格报告，同时以上1-6项须全部体现在检测报告中，提供证明材料(复印件加盖生产厂家公章)。</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1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B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0EA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8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C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7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1、符合GB/T 15211-2013《安全防范报警设备环境适应性要求和试验方法》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观：手持式多功能喊话器外壳塑料件应无缩水、毛刺、顶白、划伤、油印和变色现象，警徽标志和标签应正确、清晰。螺丝应无松动、打滑或拧不到位的现象。外壳应无生锈、变形等现象，各按键的弹性应良好、操作顺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3、尺寸：口径×长度：(230×350mm)±2mm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4、质量：≤1.4kg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5、最大功率：最大50W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6、传送距离：传送距离大于500m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7、频率响应：100Hz-10kHz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8、照明功能：可通过触发照明键开启内置手电筒进行照明。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9、录音时间≥240s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10、喊话时间：10h-20h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11、喊话器声级≥116dB(A)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12、充电时间≤8h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13、功能：喊话器为手持式；具有喊话、USB插口、照明、警报、录音、放音、音量大小 调节等功能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14、开关耐久性：喊话器开关触压1000次后应能正常使用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15、高温试验：经55℃±2℃高温2h后应能正常工作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16、低温试验：经-10℃±2℃高温2h后应能正常工作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4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C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81A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2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警用急救箱</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DD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 M281745标准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2、外观:急救箱表面应光滑、无可视的凹坑、突起、气泡、毛刺、尖角、划伤、斑点、脱胶及起皮等缺陷。外露金属结构应无锈蚀。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3、外箱材质：铝合金边框、PC面板、医用级PP托盘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4、外箱颜色：蓝色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5、产品标志：急救箱背面水平居中应有应有永久性铭牌：产品编号、产品型号、厂名厂址。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6、外形尺寸(长*宽*高)：355mm±5mm×185mm±5mm×205mm±5mm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7、质量：≤2.5kg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基本配置：听诊器1副、血压表1套、敷料镊1把、体温计1只、绷带1卷、止血带1根、脱脂纱布1包、脱脂药棉1包、橡皮胶布2卷、创口贴1包、医用棉签1包、碘酒1瓶、红贡1瓶、酒精棉球1袋、云南白药1瓶、硝酸甘油片1 瓶、乳胶医用手套2副、弹性绷带1卷、小剪刀1把、 口对口呼吸膜2片、一次性手套1包、医用镊子1把、医用PE固定胶布1卷、三角巾1个、安全别针5个、救生哨子1个、降温贴2个、医用口罩2个、烧伤敷贴2个、烫伤敷贴2个、急救毯1个、冰袋2个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9、抗跌落试验：箱体锁合后，从高度1.5m处向水泥地面跌落两次，跌落后锁体不应开启，箱体不应破损，内装物品不应散落。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10、盐雾试验：盐雾浓度：(5±1)%、测试溶液PH值：6.5～7.2(23℃±3℃) 喷雾量：(1.0～2.0mL/h/80cm2)、试验柜温度：(35.0℃±2.0℃)、驻留时间：72小时、试样摆放方式：倾斜15度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D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2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6327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7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7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防暴铝合金盾牌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C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 422-2019《警用防暴盾牌》要求；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2、结构：防暴盾牌由盾体和握持装置等组成；盾体为金属材质，盾体上边缘有金属防砍包边，包边厚度为1.5mm，盾体厚度为2.8mm；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3、观察窗尺寸：240mm±5mm*120mm±5mm；透光率≥76%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4、盾牌尺寸：900±20mm*500mm±20mm；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5、防护面积：≥0.45m²；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6、质量：≤3.6kg；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7、握持装置的连接部件：能承受≥500N的拉力，不应有脱落、松动、脱扣或断裂现象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8、耐冲击强度：147J动能的冲击后,受力点不应有穿洞或在受力点半径50mm之外出现贯穿性开裂。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9、耐穿刺性能：147J动能的穿刺后，受力点穿洞直径≤1.7mm，受力点半径20mm之外未开裂；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10、耐击打强度：以18m/s士0.3m/s、能量为342J土13J击打，击打后盾体未破碎、开裂，最大凹陷深度≤40mm；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11、耐刀砍性能：以8.5m/s±0.5m/s、能量为100J±5J的击砍，击砍后刀砍痕迹深度应≤7mm；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12、涂层附着力：符合GB/T9286-1998中3级的规定；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13、阻燃性能：表面续燃时间未续燃；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14、温度适应性：-30℃～+55℃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5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0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7E0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便携式警用围挡</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6A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1、围挡由围挡布，骨架，携行包组成。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2、展开尺寸：≥高2000mm×宽2000mm；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3、收纳尺寸：≤1025MM*110MM*长60MM。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4、重量：≤4kg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5、状态转换时间：单片围挡展开或收缩时间≤25秒。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6、脱卸性能：围挡布与围挡框架应可脱卸更换。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7、警示横幅上的【警察执法】字样（字体：黑体）及【POLICELAW-ENFORCEMENT】字样（字体：Arial)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8、执行标准：GB/T3923.1-2013《纺织品 织物拉伸性能 第1部分:断裂强力和断裂伸长率的测定（条样法)》；GB/T3917.3-2009《纺织品 织物撕破性能 第3部分:梯形试样撕破强力的测定》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9.围挡由方管尺寸不低于 20mm*20mm*壁厚 2mm 的 6063-T6 铝合金材质骨架制成。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10.单片围挡四个角落采用共计 8 个的折叠支撑杆加固处理，每根管连接处由双面折叠扣加固处理。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11.反光条初始逆反射系数 cd/（1x·㎡）≥300。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F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5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E67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3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FAST头盔</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战术防暴头盔采用战术导轨设计，可根据使用场景自行加装战术配件，盔体采用高强度ABS材料制作而成，具有重量轻强度高等特点，适合公安、武警、特警等部门执勤或训练使用；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1.由盔体、导轨、墨鱼干、紧急解脱插口、连接扣具、缓冲系统、悬挂系统、防护面罩组成，面罩可自由拆卸；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2.主要材料：盔体高强度ABS，面罩高透光PC材质；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3.性能：具有强效的防撞、抗砸性能，面罩可提供防风防护作用；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4.缓冲系统：七衬垫设计，主要材料为拉毛绒面料覆盖高弹海绵。提供了佩戴的舒适性和撞击时的有效缓冲功能；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5.悬挂系统：织带采用高强丝与ABS扣具连接。紧急解脱插口方便紧急情况时及时取下头盔， 四点“H ”型结构给予了佩戴的稳定性和舒适感；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6.重量：约0.95kg；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7.佩带装置性能：佩戴结构应保证佩戴牢靠舒适，解脱方便。系带宽度为≥19.8mm。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1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r>
      <w:tr w14:paraId="0069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E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5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战术背心</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1.主体面料选用1000D双层复合面料，激光切割工艺，尽量轻量化，重量≥1.1KG,长≥35CM，宽≥29CM；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2.自主开发设计快拉扣，拆卸简单，只需要用力上拉拉手(防滑海帕龙材料)就可以打开，背心采用快拆设计，肩膀两个和腰部左右两个自主开发设计快拉扣，拆卸简单， (母扣中间扣位结构采用杠杆原理，尾部弹簧顶起，头部扣位扣到公扣的凹位)只需要用力上拉拉手(防滑海帕龙材料)就可以打开；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3.肩部快拆扣尺寸：≥57*51*12mm；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4.腰部快拆扣尺寸：≥120*57*12mm；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5.侧包围采用激光切割，透气性能好。人体工程学宽肩垫，使用舒适，肩垫表面激光MOLLE切割，可以挂载手电的等装备；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6.战术背心贴身部位采用透气性能非常好的鱼丝网材料，内侧镂空设计，保证了空气的流通，解决市场通病闷热问题；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7.背心可以装公安部标准的3-6级防弹板≤25*30规格。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D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5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r>
      <w:tr w14:paraId="56F3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1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背负式催泪驱散器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2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1.产品容量：≥12L；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2.产品重量:≥20kg主要性能指标；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3.喷射方式续或间歇喷射雾状喷射，也可射流喷射；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4.射程≥20m；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5.覆盖面积:≥2000㎡以上;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6.装液量≥10L;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7.喷射时间:连续喷射为18s-30s;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8.工作压力：≥12MPa;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9.工作温度:-30℃-+50℃;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10.重量≥20kg;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有效期:三年。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6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5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144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1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多旋翼多功能无人机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1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智能飞行电池≥1;智能电池箱≥1;图传模块≥1;增强图传模块≥2;背带支架套件≥1;螺旋桨≥1;减震球≥1;运输箱≥1;环扫激光雷达标定保护罩≥1;前桨叶收纳件≥1;后桨叶收纳件≥1;USB-C至USB-C 数据线≥1;USB-C至USB-C数据线≥1;电池≥1;接口胶塞≥2;胶塞螺丝（2×2）≥4。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7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2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731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多功能云台相机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F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维修工具套、清洁工具套装、保险三年。云台相机≥1、相机保护盖、≥64G存储卡、收纳箱、镜头清洁布。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C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08C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3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1.负载重量≤700g；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2.负载尺寸≤140×130×150mm；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3.防护等级≥IP54；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4.工作温度-20℃ 至 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5.存储温度-20℃ 至 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6.有效传播距离≥700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7.最大响声压级1米处≥129 分贝；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8.实时喊话支持通过遥控器实时喊话；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9.收纳箱≥1。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9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4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C83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7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F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照明模块</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3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1.重量≤800g；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2.尺寸≤150×160×180mm；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3.能控制探照灯进行俯仰、横滚和平移运动；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4.防护等级≥IP54；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5.工作温度-20℃ 至 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6.存储温度-20℃ 至 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7.最高中心照度距离探照灯100m处，照度≥40 lux；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8.近光中心照度距离探照灯100m处，照度≥20 lux；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9.远光中心照度距离探照灯100m处，照度≥30 lux；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10.有效探照距离≥500 米（距离探照灯500m处的光照度应不低于2 lux）均有检测报告支撑；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11.镜片保护盖≥1；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12.收纳箱≥1；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13.擦镜布≥1。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6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B39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E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智能飞行电池</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3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1.容量≥20000mAh；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2.能量≥900 Wh≤5000克；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3.电池到位检测当电池未安装到位时，应能对无人机进行阻飞并在遥控器上进行提示，均有检测报告支撑。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6FF2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8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3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云台支架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6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1.适配兼容多旋翼多功能无人机；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2.材质：碳钎维材质；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3.挂载重量：≥1.8kg；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4.双云台组件≥1；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5.备用减震球≥8；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6.维修工具套装≥1。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F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B60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6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A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4G图传套件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6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1.适配兼容多旋翼多功能无人机；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2.满足无人机和遥控器配备4G模块增强城市等复杂环境飞行;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3.增强图传模块≥3X1;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4.螺丝刀≥1。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1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371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7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1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38MM电子投放器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C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1.产品尺寸 ：≤152mm* 116mm*170mm；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2.产品重量 ：≤999g；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3.接口类型： ≤SKYPORT V2.0；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4.系统功率 ：≤23W；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5.工作温度： -20 ° 至 60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6.通道数 ：≤6；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7.控制距离：与无人机通信距离一致；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8.状态反馈：各通道状态实时回传；；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9.支持弹种：≤38mm电击发烟雾弹、催泪瓦斯、爆震弹等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10.安装方式 ：机腹卡扣式快速安装；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11.减震方式 ：独立弹簧内置减震；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12.防护等级 ：≤IP43；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13.安全模式：设备上锁/装弹检测/上电检测。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D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8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EAC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4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红蓝爆闪警灯</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3D5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灯主体尺寸：≤ 120mm*60mm*65mm</w:t>
            </w:r>
          </w:p>
          <w:p w14:paraId="7775F7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安装方式：快拆</w:t>
            </w:r>
          </w:p>
          <w:p w14:paraId="48A389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角度调节：±45</w:t>
            </w:r>
          </w:p>
          <w:p w14:paraId="1E5809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总重量：≤ 300</w:t>
            </w:r>
          </w:p>
          <w:p w14:paraId="2C466A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爆闪模式：红蓝爆闪；红爆闪；蓝爆闪；黄爆闪；绿爆闪</w:t>
            </w:r>
          </w:p>
          <w:p w14:paraId="7B95779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防护等级：≥IP54</w:t>
            </w:r>
          </w:p>
          <w:p w14:paraId="29F01B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工作温度：-20°C ～ +50°C</w:t>
            </w:r>
          </w:p>
          <w:p w14:paraId="4FB05D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储存温度：-20°C ～ +60°C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提供检测报告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3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4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624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1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四段抛投器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6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1.重量：≤310g;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2.尺寸：≤76*98mm;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3.数字显像管显示上料位置;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4.单次飞行可完成抛投任务次数≥4;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5.单次抛投重量≥2kg;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6.总负载重量≥8kg;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7.防护等级：≤IP43;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8.工作温度：-20°C-+50°C;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9.可快速拆装；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10.控制：无人机链路，无需另外适配遥控器供电方式：无人机云台接口供电。</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C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CFD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4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13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户外电源</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E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1.净重≤ 23千克；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2.尺寸长≤448 毫米，宽≤226毫米，高≤334毫米；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3.端口数量交流电输出口≥4；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4.USB-C≥4；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5.USB-A≥4；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6.SDC≥2；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7.交流电输入口≥1；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8.最大使用海拔≥5000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9.供电环境温度-10℃至45℃；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10.充电环境温度0℃至45℃；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11.存储环境温度-10℃至45℃。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F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E2E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2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无人机反制枪</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1B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的"察打诱一体"无人机管制设备，通过频谱感知，无线电干扰，导航诱骗等技术实现对无人机的探测预警，身份识别，目标测向，位置获取，定向管制，驱离诱骗能力。搭载实时屏显，可实时侦察目标无人机状态信息；具备组网互联和设备位置回传定位能力，满足低空防御区智能化统一调度管控需求。</w:t>
            </w:r>
          </w:p>
          <w:p w14:paraId="2FB83A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探测单元</w:t>
            </w:r>
          </w:p>
          <w:p w14:paraId="4F0846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工作模式 无源侦测 </w:t>
            </w:r>
          </w:p>
          <w:p w14:paraId="13597C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工作频段 100MHz~6GHz </w:t>
            </w:r>
          </w:p>
          <w:p w14:paraId="6ECD30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探测半径 ≤500m~3000m </w:t>
            </w:r>
          </w:p>
          <w:p w14:paraId="2EA3EF6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探测目标数量 ≤10架次(同时) </w:t>
            </w:r>
          </w:p>
          <w:p w14:paraId="00502F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续航时间 ≤~5h </w:t>
            </w:r>
          </w:p>
          <w:p w14:paraId="647A38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反制单元</w:t>
            </w:r>
          </w:p>
          <w:p w14:paraId="2EC934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工作模式 无线电干扰 </w:t>
            </w:r>
          </w:p>
          <w:p w14:paraId="5C5571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工作频段 无人机图传，遥控频段 </w:t>
            </w:r>
          </w:p>
          <w:p w14:paraId="739DE8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反制距离 500~1500m </w:t>
            </w:r>
          </w:p>
          <w:p w14:paraId="4920E2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诱骗频段 ≥GPS,GLONASS L1 </w:t>
            </w:r>
          </w:p>
          <w:p w14:paraId="0F80B9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诱骗距离 500~1000m </w:t>
            </w:r>
          </w:p>
          <w:p w14:paraId="079BEE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机械参数</w:t>
            </w:r>
          </w:p>
          <w:p w14:paraId="682E5C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尺寸 ≤(850mm*382mm*95mm)5mm </w:t>
            </w:r>
          </w:p>
          <w:p w14:paraId="0289E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 ≤8.5kg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0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E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821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3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卫星电话</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3F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网络：天通一号卫星 + 4G 全网通（移动 / 联通 / 电信 2G/3G/4G），双卡双待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卫星语音：≤1.2kbps/2.4kbps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卫星短信：单条≤140字节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定位：北斗 </w:t>
            </w:r>
          </w:p>
          <w:p w14:paraId="0B8CE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系统：Android 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CPU：≤MTK6761 八核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屏幕：≤2.6 英寸 TFT，≤240×320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内存：≤4GB RAM+64GB ROM，支持 128GB 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摄像头：后置≤1300 万像素，带闪光灯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电池：≤5000mAh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待机：≥120 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卫星通话：≥6 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防护：≤IP68 防水防尘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工作温度：-20℃～+55℃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尺寸：≤166×26.5×74.5mm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重量：≤295g（不含配件）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接口：USB Type-C（充电 / 数据 / 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无线：蓝牙、Wi-Fi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传感器：重力、光线、距离、陀螺仪、磁传感器、气压计、温湿度传感器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功能：卫星 / 地面一键切换、可旋转可拆卸天线、实体按键、快充、OTA 升级</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5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A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F07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10C6C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包二</w:t>
            </w:r>
          </w:p>
        </w:tc>
      </w:tr>
      <w:tr w14:paraId="1468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警用摩托车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排量：≤649.3；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发动机特征：双缸， 四冲程，液冷；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燃料种类：汽油；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排放依据标准：GB 14622-2016；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功率（kW)：≤52；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扭矩（N•m）：≤62；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传动方式：链条传动；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长（mm） ：≤2245宽（mm） ：998高（mm） ：1360；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最小离地间隙(mm） ：≤140；座垫高度（mm） ：782；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整车整备质量(kg)：≤260；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油箱容积(L)：≤22；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车速(km)：≤17；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制动系统有无配备ABS：有。</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D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r>
      <w:tr w14:paraId="0424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C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E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特巡警春秋骑行服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4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上衣面料：100% 600D加密牛津布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里料：100%子弹孔透气网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3M晶格反光条+YKK拉链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配五件套CE认证护具及前后警察反光标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颜色：黑黄色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尺码：M~5XL(其中5XL特制码适合110-125公斤个子）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裤子面料：92%绵纶+8%氨纶四面弹面料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配两件套CE认证护具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颜色：黑色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尺码：M~5XL(其中5XL特制码适合110-125公斤个子）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适用对象：特警 ，巡警 ，辅警 ，城管 ，机动 队 ，公安</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B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r>
      <w:tr w14:paraId="5A14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E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D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特巡警冬季骑行服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F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上衣面料：100% 600D加密牛津布里料：100%透气网；可拆内胆：90%白鸭绒+10%绒毛；3M晶格反光条+YKK拉链；</w:t>
            </w:r>
          </w:p>
          <w:p w14:paraId="34955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配五件套CE认证护具 ，另可选配护胸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颜色：黑黄 ，黑色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尺码：M~5XL(其中5XL特制码适合110-125公斤个子）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裤子面料：100% 600D加密牛津布 里料：100%透气网；可拆内胆：90%白鸭绒+10%绒毛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配两件套CE认证护膝及EVA护胯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颜色：黑色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尺码：M~5XL(其中5XL特制码适合110-125公斤个子）</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8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r>
      <w:tr w14:paraId="748C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A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多地形运输车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121E">
            <w:pPr>
              <w:jc w:val="left"/>
              <w:rPr>
                <w:rFonts w:hint="eastAsia" w:ascii="宋体" w:hAnsi="宋体" w:eastAsia="宋体" w:cs="宋体"/>
                <w:sz w:val="21"/>
                <w:szCs w:val="21"/>
              </w:rPr>
            </w:pPr>
            <w:r>
              <w:rPr>
                <w:rFonts w:hint="eastAsia" w:ascii="宋体" w:hAnsi="宋体" w:eastAsia="宋体" w:cs="宋体"/>
                <w:sz w:val="21"/>
                <w:szCs w:val="21"/>
              </w:rPr>
              <w:t>1、车身尺寸：</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3</w:t>
            </w:r>
            <w:r>
              <w:rPr>
                <w:rFonts w:hint="eastAsia" w:ascii="宋体" w:hAnsi="宋体" w:eastAsia="宋体" w:cs="宋体"/>
                <w:sz w:val="21"/>
                <w:szCs w:val="21"/>
                <w:lang w:val="en-US" w:eastAsia="zh-CN"/>
              </w:rPr>
              <w:t>023</w:t>
            </w:r>
            <w:r>
              <w:rPr>
                <w:rFonts w:hint="eastAsia" w:ascii="宋体" w:hAnsi="宋体" w:eastAsia="宋体" w:cs="宋体"/>
                <w:sz w:val="21"/>
                <w:szCs w:val="21"/>
              </w:rPr>
              <w:t>×</w:t>
            </w:r>
            <w:r>
              <w:rPr>
                <w:rFonts w:hint="eastAsia" w:ascii="宋体" w:hAnsi="宋体" w:eastAsia="宋体" w:cs="宋体"/>
                <w:sz w:val="21"/>
                <w:szCs w:val="21"/>
                <w:lang w:val="en-US" w:eastAsia="zh-CN"/>
              </w:rPr>
              <w:t>1524</w:t>
            </w:r>
            <w:r>
              <w:rPr>
                <w:rFonts w:hint="eastAsia" w:ascii="宋体" w:hAnsi="宋体" w:eastAsia="宋体" w:cs="宋体"/>
                <w:sz w:val="21"/>
                <w:szCs w:val="21"/>
              </w:rPr>
              <w:t>×1</w:t>
            </w:r>
            <w:r>
              <w:rPr>
                <w:rFonts w:hint="eastAsia" w:ascii="宋体" w:hAnsi="宋体" w:eastAsia="宋体" w:cs="宋体"/>
                <w:sz w:val="21"/>
                <w:szCs w:val="21"/>
                <w:lang w:val="en-US" w:eastAsia="zh-CN"/>
              </w:rPr>
              <w:t>295</w:t>
            </w:r>
            <w:r>
              <w:rPr>
                <w:rFonts w:hint="eastAsia" w:ascii="宋体" w:hAnsi="宋体" w:eastAsia="宋体" w:cs="宋体"/>
                <w:sz w:val="21"/>
                <w:szCs w:val="21"/>
              </w:rPr>
              <w:t xml:space="preserve">mm </w:t>
            </w:r>
          </w:p>
          <w:p w14:paraId="140D257A">
            <w:pPr>
              <w:jc w:val="left"/>
              <w:rPr>
                <w:rFonts w:hint="eastAsia" w:ascii="宋体" w:hAnsi="宋体" w:eastAsia="宋体" w:cs="宋体"/>
                <w:sz w:val="21"/>
                <w:szCs w:val="21"/>
              </w:rPr>
            </w:pPr>
            <w:r>
              <w:rPr>
                <w:rFonts w:hint="eastAsia" w:ascii="宋体" w:hAnsi="宋体" w:eastAsia="宋体" w:cs="宋体"/>
                <w:sz w:val="21"/>
                <w:szCs w:val="21"/>
              </w:rPr>
              <w:t>2、轴距/轮距：</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6</w:t>
            </w:r>
            <w:r>
              <w:rPr>
                <w:rFonts w:hint="eastAsia" w:ascii="宋体" w:hAnsi="宋体" w:eastAsia="宋体" w:cs="宋体"/>
                <w:sz w:val="21"/>
                <w:szCs w:val="21"/>
                <w:lang w:val="en-US" w:eastAsia="zh-CN"/>
              </w:rPr>
              <w:t>72</w:t>
            </w:r>
            <w:r>
              <w:rPr>
                <w:rFonts w:hint="eastAsia" w:ascii="宋体" w:hAnsi="宋体" w:eastAsia="宋体" w:cs="宋体"/>
                <w:sz w:val="21"/>
                <w:szCs w:val="21"/>
              </w:rPr>
              <w:t>mm×3/1</w:t>
            </w:r>
            <w:r>
              <w:rPr>
                <w:rFonts w:hint="eastAsia" w:ascii="宋体" w:hAnsi="宋体" w:eastAsia="宋体" w:cs="宋体"/>
                <w:sz w:val="21"/>
                <w:szCs w:val="21"/>
                <w:lang w:val="en-US" w:eastAsia="zh-CN"/>
              </w:rPr>
              <w:t>222</w:t>
            </w:r>
            <w:r>
              <w:rPr>
                <w:rFonts w:hint="eastAsia" w:ascii="宋体" w:hAnsi="宋体" w:eastAsia="宋体" w:cs="宋体"/>
                <w:sz w:val="21"/>
                <w:szCs w:val="21"/>
              </w:rPr>
              <w:t xml:space="preserve">mm </w:t>
            </w:r>
          </w:p>
          <w:p w14:paraId="25453FF1">
            <w:pPr>
              <w:rPr>
                <w:rFonts w:hint="eastAsia" w:ascii="宋体" w:hAnsi="宋体" w:eastAsia="宋体" w:cs="宋体"/>
                <w:sz w:val="21"/>
                <w:szCs w:val="21"/>
              </w:rPr>
            </w:pPr>
            <w:r>
              <w:rPr>
                <w:rFonts w:hint="eastAsia" w:ascii="宋体" w:hAnsi="宋体" w:eastAsia="宋体" w:cs="宋体"/>
                <w:sz w:val="21"/>
                <w:szCs w:val="21"/>
              </w:rPr>
              <w:t>3、最小离地间隙：</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25</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mm </w:t>
            </w:r>
          </w:p>
          <w:p w14:paraId="504D8E74">
            <w:pPr>
              <w:jc w:val="left"/>
              <w:rPr>
                <w:rFonts w:hint="eastAsia" w:ascii="宋体" w:hAnsi="宋体" w:eastAsia="宋体" w:cs="宋体"/>
                <w:sz w:val="21"/>
                <w:szCs w:val="21"/>
              </w:rPr>
            </w:pPr>
            <w:r>
              <w:rPr>
                <w:rFonts w:hint="eastAsia" w:ascii="宋体" w:hAnsi="宋体" w:eastAsia="宋体" w:cs="宋体"/>
                <w:sz w:val="21"/>
                <w:szCs w:val="21"/>
              </w:rPr>
              <w:t>4、车辆自重：</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6</w:t>
            </w:r>
            <w:r>
              <w:rPr>
                <w:rFonts w:hint="eastAsia" w:ascii="宋体" w:hAnsi="宋体" w:eastAsia="宋体" w:cs="宋体"/>
                <w:sz w:val="21"/>
                <w:szCs w:val="21"/>
                <w:lang w:val="en-US" w:eastAsia="zh-CN"/>
              </w:rPr>
              <w:t>78</w:t>
            </w:r>
            <w:r>
              <w:rPr>
                <w:rFonts w:hint="eastAsia" w:ascii="宋体" w:hAnsi="宋体" w:eastAsia="宋体" w:cs="宋体"/>
                <w:sz w:val="21"/>
                <w:szCs w:val="21"/>
              </w:rPr>
              <w:t xml:space="preserve">kg </w:t>
            </w:r>
          </w:p>
          <w:p w14:paraId="12DA21CA">
            <w:pPr>
              <w:jc w:val="left"/>
              <w:rPr>
                <w:rFonts w:hint="eastAsia" w:ascii="宋体" w:hAnsi="宋体" w:eastAsia="宋体" w:cs="宋体"/>
                <w:sz w:val="21"/>
                <w:szCs w:val="21"/>
              </w:rPr>
            </w:pPr>
            <w:r>
              <w:rPr>
                <w:rFonts w:hint="eastAsia" w:ascii="宋体" w:hAnsi="宋体" w:eastAsia="宋体" w:cs="宋体"/>
                <w:sz w:val="21"/>
                <w:szCs w:val="21"/>
              </w:rPr>
              <w:t>5、车身/车底护板/车架：加强级高分子聚乙烯车体，材料具备耐高低温、强度高和低温韧性好等特性。/配备的车底护板可实现双重保护，应付多种极端恶劣地形。/成型槽钢结构，高强和耐久焊接，聚酯粉末涂层提供持久保护。</w:t>
            </w:r>
          </w:p>
          <w:p w14:paraId="7507C718">
            <w:pPr>
              <w:jc w:val="left"/>
              <w:rPr>
                <w:rFonts w:hint="eastAsia" w:ascii="宋体" w:hAnsi="宋体" w:eastAsia="宋体" w:cs="宋体"/>
                <w:sz w:val="21"/>
                <w:szCs w:val="21"/>
              </w:rPr>
            </w:pPr>
            <w:r>
              <w:rPr>
                <w:rFonts w:hint="eastAsia" w:ascii="宋体" w:hAnsi="宋体" w:eastAsia="宋体" w:cs="宋体"/>
                <w:sz w:val="21"/>
                <w:szCs w:val="21"/>
              </w:rPr>
              <w:t>6、集成数字仪表盘：速度表、转速表、里程表、计时表、低油压显示、手刹提醒灯、低电压警示、大灯显示、发动机故障灯、舱底泵控制键、机罩风机控制键等。</w:t>
            </w:r>
          </w:p>
          <w:p w14:paraId="4698BECF">
            <w:pPr>
              <w:rPr>
                <w:rFonts w:hint="eastAsia" w:ascii="宋体" w:hAnsi="宋体" w:eastAsia="宋体" w:cs="宋体"/>
                <w:sz w:val="21"/>
                <w:szCs w:val="21"/>
              </w:rPr>
            </w:pPr>
            <w:r>
              <w:rPr>
                <w:rFonts w:hint="eastAsia" w:ascii="宋体" w:hAnsi="宋体" w:eastAsia="宋体" w:cs="宋体"/>
                <w:sz w:val="21"/>
                <w:szCs w:val="21"/>
              </w:rPr>
              <w:t>（二）性能参数</w:t>
            </w:r>
          </w:p>
          <w:p w14:paraId="7C940232">
            <w:pPr>
              <w:jc w:val="left"/>
              <w:rPr>
                <w:rFonts w:hint="eastAsia" w:ascii="宋体" w:hAnsi="宋体" w:eastAsia="宋体" w:cs="宋体"/>
                <w:sz w:val="21"/>
                <w:szCs w:val="21"/>
              </w:rPr>
            </w:pPr>
            <w:r>
              <w:rPr>
                <w:rFonts w:hint="eastAsia" w:ascii="宋体" w:hAnsi="宋体" w:eastAsia="宋体" w:cs="宋体"/>
                <w:sz w:val="21"/>
                <w:szCs w:val="21"/>
              </w:rPr>
              <w:t>7、启动方式：三重保险一键电启动</w:t>
            </w:r>
          </w:p>
          <w:p w14:paraId="64ED98D9">
            <w:pPr>
              <w:ind w:right="-147" w:rightChars="-70"/>
              <w:rPr>
                <w:rFonts w:hint="eastAsia" w:ascii="宋体" w:hAnsi="宋体" w:eastAsia="宋体" w:cs="宋体"/>
                <w:sz w:val="21"/>
                <w:szCs w:val="21"/>
              </w:rPr>
            </w:pPr>
            <w:r>
              <w:rPr>
                <w:rFonts w:hint="eastAsia" w:ascii="宋体" w:hAnsi="宋体" w:eastAsia="宋体" w:cs="宋体"/>
                <w:sz w:val="21"/>
                <w:szCs w:val="21"/>
              </w:rPr>
              <w:t>8、驱动形式 ：陆地：8轮驱动,水上：8轮驱动或舷外机驱动</w:t>
            </w:r>
          </w:p>
          <w:p w14:paraId="109AC610">
            <w:pPr>
              <w:jc w:val="left"/>
              <w:rPr>
                <w:rFonts w:hint="eastAsia" w:ascii="宋体" w:hAnsi="宋体" w:eastAsia="宋体" w:cs="宋体"/>
                <w:sz w:val="21"/>
                <w:szCs w:val="21"/>
              </w:rPr>
            </w:pPr>
            <w:r>
              <w:rPr>
                <w:rFonts w:hint="eastAsia" w:ascii="宋体" w:hAnsi="宋体" w:eastAsia="宋体" w:cs="宋体"/>
                <w:sz w:val="21"/>
                <w:szCs w:val="21"/>
              </w:rPr>
              <w:t>9、额定载荷：陆地：</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lang w:val="en-US" w:eastAsia="zh-CN"/>
              </w:rPr>
              <w:t>680</w:t>
            </w:r>
            <w:r>
              <w:rPr>
                <w:rFonts w:hint="eastAsia" w:ascii="宋体" w:hAnsi="宋体" w:eastAsia="宋体" w:cs="宋体"/>
                <w:sz w:val="21"/>
                <w:szCs w:val="21"/>
              </w:rPr>
              <w:t>kg ,水上：</w:t>
            </w:r>
            <w:r>
              <w:rPr>
                <w:rFonts w:hint="eastAsia" w:ascii="宋体" w:hAnsi="宋体" w:eastAsia="宋体" w:cs="宋体"/>
                <w:sz w:val="21"/>
                <w:szCs w:val="21"/>
                <w:lang w:val="en-US" w:eastAsia="zh-CN"/>
              </w:rPr>
              <w:t>450</w:t>
            </w:r>
            <w:r>
              <w:rPr>
                <w:rFonts w:hint="eastAsia" w:ascii="宋体" w:hAnsi="宋体" w:eastAsia="宋体" w:cs="宋体"/>
                <w:sz w:val="21"/>
                <w:szCs w:val="21"/>
              </w:rPr>
              <w:t xml:space="preserve">kg </w:t>
            </w:r>
          </w:p>
          <w:p w14:paraId="16229C71">
            <w:pPr>
              <w:jc w:val="left"/>
              <w:rPr>
                <w:rFonts w:hint="eastAsia" w:ascii="宋体" w:hAnsi="宋体" w:eastAsia="宋体" w:cs="宋体"/>
                <w:sz w:val="21"/>
                <w:szCs w:val="21"/>
              </w:rPr>
            </w:pPr>
            <w:r>
              <w:rPr>
                <w:rFonts w:hint="eastAsia" w:ascii="宋体" w:hAnsi="宋体" w:eastAsia="宋体" w:cs="宋体"/>
                <w:sz w:val="21"/>
                <w:szCs w:val="21"/>
              </w:rPr>
              <w:t>10、车速:陆地：40km/h ; 水上：5km/h (轮胎划水）， 12km/h （加装舷外机）</w:t>
            </w:r>
          </w:p>
          <w:p w14:paraId="60630A5F">
            <w:pPr>
              <w:jc w:val="left"/>
              <w:rPr>
                <w:rFonts w:hint="eastAsia" w:ascii="宋体" w:hAnsi="宋体" w:eastAsia="宋体" w:cs="宋体"/>
                <w:sz w:val="21"/>
                <w:szCs w:val="21"/>
              </w:rPr>
            </w:pPr>
            <w:r>
              <w:rPr>
                <w:rFonts w:hint="eastAsia" w:ascii="宋体" w:hAnsi="宋体" w:eastAsia="宋体" w:cs="宋体"/>
                <w:sz w:val="21"/>
                <w:szCs w:val="21"/>
              </w:rPr>
              <w:t>11、最小转弯半径：</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lang w:val="en-US" w:eastAsia="zh-CN"/>
              </w:rPr>
              <w:t>610</w:t>
            </w:r>
            <w:r>
              <w:rPr>
                <w:rFonts w:hint="eastAsia" w:ascii="宋体" w:hAnsi="宋体" w:eastAsia="宋体" w:cs="宋体"/>
                <w:sz w:val="21"/>
                <w:szCs w:val="21"/>
              </w:rPr>
              <w:t xml:space="preserve">mm </w:t>
            </w:r>
          </w:p>
          <w:p w14:paraId="17596FB4">
            <w:pPr>
              <w:tabs>
                <w:tab w:val="left" w:pos="6540"/>
              </w:tabs>
              <w:jc w:val="left"/>
              <w:rPr>
                <w:rFonts w:hint="eastAsia" w:ascii="宋体" w:hAnsi="宋体" w:eastAsia="宋体" w:cs="宋体"/>
                <w:sz w:val="21"/>
                <w:szCs w:val="21"/>
              </w:rPr>
            </w:pPr>
            <w:r>
              <w:rPr>
                <w:rFonts w:hint="eastAsia" w:ascii="宋体" w:hAnsi="宋体" w:eastAsia="宋体" w:cs="宋体"/>
                <w:sz w:val="21"/>
                <w:szCs w:val="21"/>
              </w:rPr>
              <w:t>12、最大爬坡角度：</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lang w:val="en-US" w:eastAsia="zh-CN"/>
              </w:rPr>
              <w:t>45</w:t>
            </w:r>
            <w:r>
              <w:rPr>
                <w:rFonts w:hint="eastAsia" w:ascii="宋体" w:hAnsi="宋体" w:eastAsia="宋体" w:cs="宋体"/>
                <w:sz w:val="21"/>
                <w:szCs w:val="21"/>
              </w:rPr>
              <w:t>°</w:t>
            </w:r>
            <w:r>
              <w:rPr>
                <w:rFonts w:hint="eastAsia" w:ascii="宋体" w:hAnsi="宋体" w:eastAsia="宋体" w:cs="宋体"/>
                <w:sz w:val="21"/>
                <w:szCs w:val="21"/>
              </w:rPr>
              <w:tab/>
            </w:r>
          </w:p>
          <w:p w14:paraId="62207445">
            <w:pPr>
              <w:jc w:val="left"/>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eastAsia="zh-CN"/>
              </w:rPr>
              <w:t xml:space="preserve"> </w:t>
            </w:r>
            <w:r>
              <w:rPr>
                <w:rFonts w:hint="eastAsia" w:ascii="宋体" w:hAnsi="宋体" w:eastAsia="宋体" w:cs="宋体"/>
                <w:sz w:val="21"/>
                <w:szCs w:val="21"/>
              </w:rPr>
              <w:t>接近角/离去角：</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 xml:space="preserve">60°/80° </w:t>
            </w:r>
          </w:p>
          <w:p w14:paraId="3B097F53">
            <w:pPr>
              <w:jc w:val="left"/>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eastAsia="zh-CN"/>
              </w:rPr>
              <w:t xml:space="preserve"> </w:t>
            </w:r>
            <w:r>
              <w:rPr>
                <w:rFonts w:hint="eastAsia" w:ascii="宋体" w:hAnsi="宋体" w:eastAsia="宋体" w:cs="宋体"/>
                <w:sz w:val="21"/>
                <w:szCs w:val="21"/>
              </w:rPr>
              <w:t>转向系统：渐进式滑移转向，配备弹性机构。</w:t>
            </w:r>
          </w:p>
          <w:p w14:paraId="59B2CE31">
            <w:pPr>
              <w:jc w:val="left"/>
              <w:rPr>
                <w:rFonts w:hint="eastAsia" w:ascii="宋体" w:hAnsi="宋体" w:eastAsia="宋体" w:cs="宋体"/>
                <w:sz w:val="21"/>
                <w:szCs w:val="21"/>
              </w:rPr>
            </w:pPr>
            <w:r>
              <w:rPr>
                <w:rFonts w:hint="eastAsia" w:ascii="宋体" w:hAnsi="宋体" w:eastAsia="宋体" w:cs="宋体"/>
                <w:sz w:val="21"/>
                <w:szCs w:val="21"/>
              </w:rPr>
              <w:t>15、轮胎：采用水陆两栖全地形车专用的鸭蹼轮胎。</w:t>
            </w:r>
          </w:p>
          <w:p w14:paraId="45144F2E">
            <w:pPr>
              <w:jc w:val="left"/>
              <w:rPr>
                <w:rFonts w:hint="eastAsia" w:ascii="宋体" w:hAnsi="宋体" w:eastAsia="宋体" w:cs="宋体"/>
                <w:sz w:val="21"/>
                <w:szCs w:val="21"/>
              </w:rPr>
            </w:pPr>
            <w:r>
              <w:rPr>
                <w:rFonts w:hint="eastAsia" w:ascii="宋体" w:hAnsi="宋体" w:eastAsia="宋体" w:cs="宋体"/>
                <w:sz w:val="21"/>
                <w:szCs w:val="21"/>
              </w:rPr>
              <w:t>16、传动方式：皮带、链条传动</w:t>
            </w:r>
          </w:p>
          <w:p w14:paraId="1461EEB9">
            <w:pPr>
              <w:jc w:val="left"/>
              <w:rPr>
                <w:rFonts w:hint="eastAsia" w:ascii="宋体" w:hAnsi="宋体" w:eastAsia="宋体" w:cs="宋体"/>
                <w:sz w:val="21"/>
                <w:szCs w:val="21"/>
              </w:rPr>
            </w:pPr>
            <w:r>
              <w:rPr>
                <w:rFonts w:hint="eastAsia" w:ascii="宋体" w:hAnsi="宋体" w:eastAsia="宋体" w:cs="宋体"/>
                <w:sz w:val="21"/>
                <w:szCs w:val="21"/>
              </w:rPr>
              <w:t>17、地面压力：</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1</w:t>
            </w:r>
            <w:r>
              <w:rPr>
                <w:rFonts w:hint="eastAsia" w:ascii="宋体" w:hAnsi="宋体" w:eastAsia="宋体" w:cs="宋体"/>
                <w:sz w:val="21"/>
                <w:szCs w:val="21"/>
                <w:lang w:val="en-US" w:eastAsia="zh-CN"/>
              </w:rPr>
              <w:t>4.5</w:t>
            </w:r>
            <w:r>
              <w:rPr>
                <w:rFonts w:hint="eastAsia" w:ascii="宋体" w:hAnsi="宋体" w:eastAsia="宋体" w:cs="宋体"/>
                <w:sz w:val="21"/>
                <w:szCs w:val="21"/>
              </w:rPr>
              <w:t>kpa</w:t>
            </w:r>
            <w:r>
              <w:rPr>
                <w:rFonts w:hint="eastAsia" w:ascii="宋体" w:hAnsi="宋体" w:eastAsia="宋体" w:cs="宋体"/>
                <w:color w:val="FF0000"/>
                <w:sz w:val="21"/>
                <w:szCs w:val="21"/>
              </w:rPr>
              <w:t xml:space="preserve"> </w:t>
            </w:r>
          </w:p>
          <w:p w14:paraId="511D5425">
            <w:pPr>
              <w:jc w:val="left"/>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eastAsia="zh-CN"/>
              </w:rPr>
              <w:t xml:space="preserve"> </w:t>
            </w:r>
            <w:r>
              <w:rPr>
                <w:rFonts w:hint="eastAsia" w:ascii="宋体" w:hAnsi="宋体" w:eastAsia="宋体" w:cs="宋体"/>
                <w:sz w:val="21"/>
                <w:szCs w:val="21"/>
              </w:rPr>
              <w:t>垂直越障能力：</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 xml:space="preserve">400mm </w:t>
            </w:r>
          </w:p>
          <w:p w14:paraId="62C9FD73">
            <w:pPr>
              <w:jc w:val="left"/>
              <w:rPr>
                <w:rFonts w:hint="eastAsia" w:ascii="宋体" w:hAnsi="宋体" w:eastAsia="宋体" w:cs="宋体"/>
                <w:sz w:val="21"/>
                <w:szCs w:val="21"/>
              </w:rPr>
            </w:pPr>
            <w:r>
              <w:rPr>
                <w:rFonts w:hint="eastAsia" w:ascii="宋体" w:hAnsi="宋体" w:eastAsia="宋体" w:cs="宋体"/>
                <w:sz w:val="21"/>
                <w:szCs w:val="21"/>
              </w:rPr>
              <w:t>19、牵引能力：</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lang w:val="en-US" w:eastAsia="zh-CN"/>
              </w:rPr>
              <w:t>1580</w:t>
            </w:r>
            <w:r>
              <w:rPr>
                <w:rFonts w:hint="eastAsia" w:ascii="宋体" w:hAnsi="宋体" w:eastAsia="宋体" w:cs="宋体"/>
                <w:sz w:val="21"/>
                <w:szCs w:val="21"/>
              </w:rPr>
              <w:t xml:space="preserve">kg  </w:t>
            </w:r>
          </w:p>
          <w:p w14:paraId="609CCE66">
            <w:pPr>
              <w:jc w:val="left"/>
              <w:rPr>
                <w:rFonts w:hint="eastAsia" w:ascii="宋体" w:hAnsi="宋体" w:eastAsia="宋体" w:cs="宋体"/>
                <w:sz w:val="21"/>
                <w:szCs w:val="21"/>
              </w:rPr>
            </w:pPr>
            <w:r>
              <w:rPr>
                <w:rFonts w:hint="eastAsia" w:ascii="宋体" w:hAnsi="宋体" w:eastAsia="宋体" w:cs="宋体"/>
                <w:sz w:val="21"/>
                <w:szCs w:val="21"/>
              </w:rPr>
              <w:t>（三）动力参数</w:t>
            </w:r>
          </w:p>
          <w:p w14:paraId="5BFE36C1">
            <w:pPr>
              <w:jc w:val="left"/>
              <w:rPr>
                <w:rFonts w:hint="eastAsia" w:ascii="宋体" w:hAnsi="宋体" w:eastAsia="宋体" w:cs="宋体"/>
                <w:sz w:val="21"/>
                <w:szCs w:val="21"/>
              </w:rPr>
            </w:pPr>
            <w:r>
              <w:rPr>
                <w:rFonts w:hint="eastAsia" w:ascii="宋体" w:hAnsi="宋体" w:eastAsia="宋体" w:cs="宋体"/>
                <w:sz w:val="21"/>
                <w:szCs w:val="21"/>
              </w:rPr>
              <w:t>20、发动机型式/点火方式：4冲程OHV V-Twin/电子点火</w:t>
            </w:r>
          </w:p>
          <w:p w14:paraId="0C043F14">
            <w:pPr>
              <w:jc w:val="left"/>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eastAsia="zh-CN"/>
              </w:rPr>
              <w:t xml:space="preserve"> </w:t>
            </w:r>
            <w:r>
              <w:rPr>
                <w:rFonts w:hint="eastAsia" w:ascii="宋体" w:hAnsi="宋体" w:eastAsia="宋体" w:cs="宋体"/>
                <w:sz w:val="21"/>
                <w:szCs w:val="21"/>
              </w:rPr>
              <w:t>油门: 手闸式油门</w:t>
            </w:r>
          </w:p>
          <w:p w14:paraId="2F50B6AE">
            <w:pPr>
              <w:rPr>
                <w:rFonts w:hint="eastAsia" w:ascii="宋体" w:hAnsi="宋体" w:eastAsia="宋体" w:cs="宋体"/>
                <w:sz w:val="21"/>
                <w:szCs w:val="21"/>
              </w:rPr>
            </w:pPr>
            <w:r>
              <w:rPr>
                <w:rFonts w:hint="eastAsia" w:ascii="宋体" w:hAnsi="宋体" w:eastAsia="宋体" w:cs="宋体"/>
                <w:sz w:val="21"/>
                <w:szCs w:val="21"/>
              </w:rPr>
              <w:t xml:space="preserve">22、发动机排量: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99</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cc </w:t>
            </w:r>
          </w:p>
          <w:p w14:paraId="66F598AA">
            <w:pPr>
              <w:jc w:val="left"/>
              <w:rPr>
                <w:rFonts w:hint="eastAsia" w:ascii="宋体" w:hAnsi="宋体" w:eastAsia="宋体" w:cs="宋体"/>
                <w:sz w:val="21"/>
                <w:szCs w:val="21"/>
              </w:rPr>
            </w:pPr>
            <w:r>
              <w:rPr>
                <w:rFonts w:hint="eastAsia" w:ascii="宋体" w:hAnsi="宋体" w:eastAsia="宋体" w:cs="宋体"/>
                <w:sz w:val="21"/>
                <w:szCs w:val="21"/>
              </w:rPr>
              <w:t>23、最大扭矩及转速：</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70Nm(4000rpm), 整车综合扭矩</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43</w:t>
            </w:r>
            <w:r>
              <w:rPr>
                <w:rFonts w:hint="eastAsia" w:ascii="宋体" w:hAnsi="宋体" w:eastAsia="宋体" w:cs="宋体"/>
                <w:sz w:val="21"/>
                <w:szCs w:val="21"/>
                <w:lang w:val="en-US" w:eastAsia="zh-CN"/>
              </w:rPr>
              <w:t>50</w:t>
            </w:r>
            <w:r>
              <w:rPr>
                <w:rFonts w:hint="eastAsia" w:ascii="宋体" w:hAnsi="宋体" w:eastAsia="宋体" w:cs="宋体"/>
                <w:sz w:val="21"/>
                <w:szCs w:val="21"/>
              </w:rPr>
              <w:t xml:space="preserve">Nm(4000rpm) </w:t>
            </w:r>
          </w:p>
          <w:p w14:paraId="31E77834">
            <w:pPr>
              <w:jc w:val="left"/>
              <w:rPr>
                <w:rFonts w:hint="eastAsia" w:ascii="宋体" w:hAnsi="宋体" w:eastAsia="宋体" w:cs="宋体"/>
                <w:sz w:val="21"/>
                <w:szCs w:val="21"/>
              </w:rPr>
            </w:pPr>
            <w:r>
              <w:rPr>
                <w:rFonts w:hint="eastAsia" w:ascii="宋体" w:hAnsi="宋体" w:eastAsia="宋体" w:cs="宋体"/>
                <w:sz w:val="21"/>
                <w:szCs w:val="21"/>
              </w:rPr>
              <w:t>24、发动机冷却方式: 自然冷却+独立冷却系统。</w:t>
            </w:r>
          </w:p>
          <w:p w14:paraId="7EFA488D">
            <w:pPr>
              <w:jc w:val="left"/>
              <w:rPr>
                <w:rFonts w:hint="eastAsia" w:ascii="宋体" w:hAnsi="宋体" w:eastAsia="宋体" w:cs="宋体"/>
                <w:sz w:val="21"/>
                <w:szCs w:val="21"/>
              </w:rPr>
            </w:pPr>
            <w:r>
              <w:rPr>
                <w:rFonts w:hint="eastAsia" w:ascii="宋体" w:hAnsi="宋体" w:eastAsia="宋体" w:cs="宋体"/>
                <w:sz w:val="21"/>
                <w:szCs w:val="21"/>
              </w:rPr>
              <w:t>25、</w:t>
            </w:r>
            <w:r>
              <w:rPr>
                <w:rFonts w:hint="eastAsia" w:ascii="宋体" w:hAnsi="宋体" w:eastAsia="宋体" w:cs="宋体"/>
                <w:sz w:val="21"/>
                <w:szCs w:val="21"/>
                <w:lang w:eastAsia="zh-CN"/>
              </w:rPr>
              <w:t xml:space="preserve"> </w:t>
            </w:r>
            <w:r>
              <w:rPr>
                <w:rFonts w:hint="eastAsia" w:ascii="宋体" w:hAnsi="宋体" w:eastAsia="宋体" w:cs="宋体"/>
                <w:sz w:val="21"/>
                <w:szCs w:val="21"/>
              </w:rPr>
              <w:t>变速箱: 三差速变速形式，采用转向差速器以及轮边差速器。</w:t>
            </w:r>
          </w:p>
          <w:p w14:paraId="21FD8CB6">
            <w:pPr>
              <w:jc w:val="left"/>
              <w:rPr>
                <w:rFonts w:hint="eastAsia" w:ascii="宋体" w:hAnsi="宋体" w:eastAsia="宋体" w:cs="宋体"/>
                <w:sz w:val="21"/>
                <w:szCs w:val="21"/>
              </w:rPr>
            </w:pPr>
            <w:r>
              <w:rPr>
                <w:rFonts w:hint="eastAsia" w:ascii="宋体" w:hAnsi="宋体" w:eastAsia="宋体" w:cs="宋体"/>
                <w:sz w:val="21"/>
                <w:szCs w:val="21"/>
              </w:rPr>
              <w:t>26、燃油牌号/油箱容积: 汽油 92#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32</w:t>
            </w:r>
            <w:r>
              <w:rPr>
                <w:rFonts w:hint="eastAsia" w:ascii="宋体" w:hAnsi="宋体" w:eastAsia="宋体" w:cs="宋体"/>
                <w:sz w:val="21"/>
                <w:szCs w:val="21"/>
              </w:rPr>
              <w:t xml:space="preserve">L  </w:t>
            </w:r>
          </w:p>
          <w:p w14:paraId="11B67E47">
            <w:pPr>
              <w:jc w:val="left"/>
              <w:rPr>
                <w:rFonts w:hint="eastAsia" w:ascii="宋体" w:hAnsi="宋体" w:eastAsia="宋体" w:cs="宋体"/>
                <w:sz w:val="21"/>
                <w:szCs w:val="21"/>
              </w:rPr>
            </w:pPr>
            <w:r>
              <w:rPr>
                <w:rFonts w:hint="eastAsia" w:ascii="宋体" w:hAnsi="宋体" w:eastAsia="宋体" w:cs="宋体"/>
                <w:sz w:val="21"/>
                <w:szCs w:val="21"/>
              </w:rPr>
              <w:t xml:space="preserve">27、连续运行时间: </w:t>
            </w:r>
            <w:r>
              <w:rPr>
                <w:rFonts w:hint="eastAsia" w:ascii="宋体" w:hAnsi="宋体" w:eastAsia="宋体" w:cs="宋体"/>
                <w:sz w:val="21"/>
                <w:szCs w:val="21"/>
                <w:lang w:val="en-US" w:eastAsia="zh-CN"/>
              </w:rPr>
              <w:t>8</w:t>
            </w:r>
            <w:r>
              <w:rPr>
                <w:rFonts w:hint="eastAsia" w:ascii="宋体" w:hAnsi="宋体" w:eastAsia="宋体" w:cs="宋体"/>
                <w:sz w:val="21"/>
                <w:szCs w:val="21"/>
              </w:rPr>
              <w:t>h</w:t>
            </w:r>
            <w:r>
              <w:rPr>
                <w:rFonts w:hint="eastAsia" w:ascii="宋体" w:hAnsi="宋体" w:eastAsia="宋体" w:cs="宋体"/>
                <w:sz w:val="21"/>
                <w:szCs w:val="21"/>
                <w:lang w:val="en-US" w:eastAsia="zh-CN"/>
              </w:rPr>
              <w:t>-10h</w:t>
            </w:r>
            <w:r>
              <w:rPr>
                <w:rFonts w:hint="eastAsia" w:ascii="宋体" w:hAnsi="宋体" w:eastAsia="宋体" w:cs="宋体"/>
                <w:sz w:val="21"/>
                <w:szCs w:val="21"/>
              </w:rPr>
              <w:t xml:space="preserve">  </w:t>
            </w:r>
          </w:p>
          <w:p w14:paraId="16BF147E">
            <w:pPr>
              <w:adjustRightInd w:val="0"/>
              <w:snapToGrid w:val="0"/>
              <w:rPr>
                <w:rFonts w:hint="eastAsia" w:ascii="宋体" w:hAnsi="宋体" w:eastAsia="宋体" w:cs="宋体"/>
                <w:sz w:val="21"/>
                <w:szCs w:val="21"/>
              </w:rPr>
            </w:pPr>
            <w:r>
              <w:rPr>
                <w:rFonts w:hint="eastAsia" w:ascii="宋体" w:hAnsi="宋体" w:eastAsia="宋体" w:cs="宋体"/>
                <w:sz w:val="21"/>
                <w:szCs w:val="21"/>
              </w:rPr>
              <w:t>（四）选配清单</w:t>
            </w:r>
          </w:p>
          <w:p w14:paraId="648D8E3E">
            <w:pPr>
              <w:jc w:val="left"/>
              <w:rPr>
                <w:rFonts w:hint="eastAsia" w:ascii="宋体" w:hAnsi="宋体" w:eastAsia="宋体" w:cs="宋体"/>
                <w:sz w:val="21"/>
                <w:szCs w:val="21"/>
              </w:rPr>
            </w:pPr>
            <w:r>
              <w:rPr>
                <w:rFonts w:hint="eastAsia" w:ascii="宋体" w:hAnsi="宋体" w:eastAsia="宋体" w:cs="宋体"/>
                <w:sz w:val="21"/>
                <w:szCs w:val="21"/>
              </w:rPr>
              <w:t>1、保险杠组件：车头配备保险杠，由加装件固定安装，用于防止碰撞缓冲。</w:t>
            </w:r>
          </w:p>
          <w:p w14:paraId="7FA1F7D6">
            <w:pPr>
              <w:jc w:val="left"/>
              <w:rPr>
                <w:rFonts w:hint="eastAsia" w:ascii="宋体" w:hAnsi="宋体" w:eastAsia="宋体" w:cs="宋体"/>
                <w:b/>
                <w:bCs/>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 xml:space="preserve"> </w:t>
            </w:r>
            <w:r>
              <w:rPr>
                <w:rFonts w:hint="eastAsia" w:ascii="宋体" w:hAnsi="宋体" w:eastAsia="宋体" w:cs="宋体"/>
                <w:sz w:val="21"/>
                <w:szCs w:val="21"/>
              </w:rPr>
              <w:t>机罩风机：位于发动机上方，用于在极热条件下抽取发动机室热风,能持续稳定的给发动机降温，有利于发动机散热,在极热条件保护发动机连续作业。</w:t>
            </w:r>
          </w:p>
          <w:p w14:paraId="5C7873AB">
            <w:pPr>
              <w:jc w:val="left"/>
              <w:rPr>
                <w:rFonts w:hint="eastAsia" w:ascii="宋体" w:hAnsi="宋体" w:eastAsia="宋体" w:cs="宋体"/>
                <w:b/>
                <w:bCs/>
                <w:sz w:val="21"/>
                <w:szCs w:val="21"/>
              </w:rPr>
            </w:pPr>
            <w:r>
              <w:rPr>
                <w:rFonts w:hint="eastAsia" w:ascii="宋体" w:hAnsi="宋体" w:eastAsia="宋体" w:cs="宋体"/>
                <w:sz w:val="21"/>
                <w:szCs w:val="21"/>
              </w:rPr>
              <w:t>3、舱底泵：</w:t>
            </w:r>
            <w:r>
              <w:rPr>
                <w:rFonts w:hint="eastAsia" w:ascii="宋体" w:hAnsi="宋体" w:eastAsia="宋体" w:cs="宋体"/>
                <w:b/>
                <w:bCs/>
                <w:sz w:val="21"/>
                <w:szCs w:val="21"/>
              </w:rPr>
              <w:t xml:space="preserve"> </w:t>
            </w:r>
            <w:r>
              <w:rPr>
                <w:rFonts w:hint="eastAsia" w:ascii="宋体" w:hAnsi="宋体" w:eastAsia="宋体" w:cs="宋体"/>
                <w:sz w:val="21"/>
                <w:szCs w:val="21"/>
              </w:rPr>
              <w:t>配备舱底泵，通过操作安装在仪表盘上的开关，泵从车底迅速抽出舱底污水。</w:t>
            </w:r>
          </w:p>
          <w:p w14:paraId="3A1E377D">
            <w:pPr>
              <w:jc w:val="left"/>
              <w:rPr>
                <w:rFonts w:hint="eastAsia" w:ascii="宋体" w:hAnsi="宋体" w:eastAsia="宋体" w:cs="宋体"/>
                <w:b/>
                <w:bCs/>
                <w:sz w:val="21"/>
                <w:szCs w:val="21"/>
              </w:rPr>
            </w:pPr>
            <w:r>
              <w:rPr>
                <w:rFonts w:hint="eastAsia" w:ascii="宋体" w:hAnsi="宋体" w:eastAsia="宋体" w:cs="宋体"/>
                <w:sz w:val="21"/>
                <w:szCs w:val="21"/>
              </w:rPr>
              <w:t>4、舱底护板：由高分子聚乙烯材料制造，用于防止底盘受到坚硬障碍物剐蹭车底盘。</w:t>
            </w:r>
          </w:p>
          <w:p w14:paraId="6CFC36A1">
            <w:pPr>
              <w:jc w:val="left"/>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 xml:space="preserve"> </w:t>
            </w:r>
            <w:r>
              <w:rPr>
                <w:rFonts w:hint="eastAsia" w:ascii="宋体" w:hAnsi="宋体" w:eastAsia="宋体" w:cs="宋体"/>
                <w:sz w:val="21"/>
                <w:szCs w:val="21"/>
              </w:rPr>
              <w:t>组合防翻架：采用分体式组合防翻架结构，方便快速拆卸及安装，保护车上人员。</w:t>
            </w:r>
          </w:p>
          <w:p w14:paraId="0ED9339E">
            <w:pPr>
              <w:jc w:val="left"/>
              <w:rPr>
                <w:rFonts w:hint="eastAsia" w:ascii="宋体" w:hAnsi="宋体" w:eastAsia="宋体" w:cs="宋体"/>
                <w:sz w:val="21"/>
                <w:szCs w:val="21"/>
              </w:rPr>
            </w:pPr>
            <w:r>
              <w:rPr>
                <w:rFonts w:hint="eastAsia" w:ascii="宋体" w:hAnsi="宋体" w:eastAsia="宋体" w:cs="宋体"/>
                <w:sz w:val="21"/>
                <w:szCs w:val="21"/>
              </w:rPr>
              <w:t>6、集成的警灯、喊话器、控制台：集成为一体警示灯、喊话器及控制台，在救援环境起到警报功能，同时具备喊话功能用于现场应急指挥调度。</w:t>
            </w:r>
          </w:p>
          <w:p w14:paraId="1460ED92">
            <w:pPr>
              <w:jc w:val="left"/>
              <w:rPr>
                <w:rFonts w:hint="eastAsia" w:ascii="宋体" w:hAnsi="宋体" w:eastAsia="宋体" w:cs="宋体"/>
                <w:sz w:val="21"/>
                <w:szCs w:val="21"/>
              </w:rPr>
            </w:pPr>
            <w:r>
              <w:rPr>
                <w:rFonts w:hint="eastAsia" w:ascii="宋体" w:hAnsi="宋体" w:eastAsia="宋体" w:cs="宋体"/>
                <w:sz w:val="21"/>
                <w:szCs w:val="21"/>
              </w:rPr>
              <w:t>7、外弦发动机支架：整套支架安装在保险杆和拖车挂接装置上。可接受9-20匹马力舷外发动机来增加水中的驱动力。</w:t>
            </w:r>
          </w:p>
          <w:p w14:paraId="79D48F03">
            <w:pPr>
              <w:rPr>
                <w:rFonts w:hint="eastAsia" w:ascii="宋体" w:hAnsi="宋体" w:eastAsia="宋体" w:cs="宋体"/>
                <w:b/>
                <w:bCs/>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 xml:space="preserve"> </w:t>
            </w:r>
            <w:r>
              <w:rPr>
                <w:rFonts w:hint="eastAsia" w:ascii="宋体" w:hAnsi="宋体" w:eastAsia="宋体" w:cs="宋体"/>
                <w:sz w:val="21"/>
                <w:szCs w:val="21"/>
              </w:rPr>
              <w:t>浮筒组件：固定在车体侧舷，提高整车漂浮力和抗风能力。浮筒组件方便快速拆装，浮筒固定在浮筒组件之上，浮筒直径300mm,提供4</w:t>
            </w:r>
            <w:r>
              <w:rPr>
                <w:rFonts w:hint="eastAsia" w:ascii="宋体" w:hAnsi="宋体" w:eastAsia="宋体" w:cs="宋体"/>
                <w:sz w:val="21"/>
                <w:szCs w:val="21"/>
                <w:lang w:val="en-US" w:eastAsia="zh-CN"/>
              </w:rPr>
              <w:t>20</w:t>
            </w:r>
            <w:r>
              <w:rPr>
                <w:rFonts w:hint="eastAsia" w:ascii="宋体" w:hAnsi="宋体" w:eastAsia="宋体" w:cs="宋体"/>
                <w:sz w:val="21"/>
                <w:szCs w:val="21"/>
              </w:rPr>
              <w:t>kg 额外漂浮力。</w:t>
            </w:r>
          </w:p>
          <w:p w14:paraId="2FCFDEB5">
            <w:pPr>
              <w:jc w:val="left"/>
              <w:rPr>
                <w:rFonts w:hint="eastAsia" w:ascii="宋体" w:hAnsi="宋体" w:eastAsia="宋体" w:cs="宋体"/>
                <w:b/>
                <w:bCs/>
                <w:sz w:val="21"/>
                <w:szCs w:val="21"/>
              </w:rPr>
            </w:pPr>
            <w:r>
              <w:rPr>
                <w:rFonts w:hint="eastAsia" w:ascii="宋体" w:hAnsi="宋体" w:eastAsia="宋体" w:cs="宋体"/>
                <w:sz w:val="21"/>
                <w:szCs w:val="21"/>
              </w:rPr>
              <w:t>9、射灯：两个聚光射灯提高黑暗、雨、雾、灰尘或雪天的能见度。</w:t>
            </w:r>
          </w:p>
          <w:p w14:paraId="55422CA9">
            <w:pPr>
              <w:rPr>
                <w:rFonts w:hint="eastAsia" w:ascii="宋体" w:hAnsi="宋体" w:eastAsia="宋体" w:cs="宋体"/>
                <w:sz w:val="21"/>
                <w:szCs w:val="21"/>
              </w:rPr>
            </w:pPr>
            <w:r>
              <w:rPr>
                <w:rFonts w:hint="eastAsia" w:ascii="宋体" w:hAnsi="宋体" w:eastAsia="宋体" w:cs="宋体"/>
                <w:sz w:val="21"/>
                <w:szCs w:val="21"/>
              </w:rPr>
              <w:t>10、电动绞盘：绞盘的拖拽能力为</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1,5</w:t>
            </w:r>
            <w:r>
              <w:rPr>
                <w:rFonts w:hint="eastAsia" w:ascii="宋体" w:hAnsi="宋体" w:eastAsia="宋体" w:cs="宋体"/>
                <w:sz w:val="21"/>
                <w:szCs w:val="21"/>
                <w:lang w:val="en-US" w:eastAsia="zh-CN"/>
              </w:rPr>
              <w:t>00</w:t>
            </w:r>
            <w:r>
              <w:rPr>
                <w:rFonts w:hint="eastAsia" w:ascii="宋体" w:hAnsi="宋体" w:eastAsia="宋体" w:cs="宋体"/>
                <w:sz w:val="21"/>
                <w:szCs w:val="21"/>
              </w:rPr>
              <w:t xml:space="preserve"> kg , 扭转时滑轮自由端外置，连接12m钢丝绳。有安全开关，车辆发动后使用绞盘。主要用于救援环境下自救和施救。</w:t>
            </w:r>
          </w:p>
          <w:p w14:paraId="436EFEB6">
            <w:pPr>
              <w:jc w:val="left"/>
              <w:rPr>
                <w:rFonts w:hint="eastAsia" w:ascii="宋体" w:hAnsi="宋体" w:eastAsia="宋体" w:cs="宋体"/>
                <w:b/>
                <w:bCs/>
                <w:sz w:val="21"/>
                <w:szCs w:val="21"/>
              </w:rPr>
            </w:pPr>
            <w:r>
              <w:rPr>
                <w:rFonts w:hint="eastAsia" w:ascii="宋体" w:hAnsi="宋体" w:eastAsia="宋体" w:cs="宋体"/>
                <w:sz w:val="21"/>
                <w:szCs w:val="21"/>
              </w:rPr>
              <w:t>11、舷外发动机：9-20匹马力舷外发动机来额外增加水中的驱动力。</w:t>
            </w:r>
          </w:p>
          <w:p w14:paraId="105EED5B">
            <w:pPr>
              <w:jc w:val="left"/>
              <w:rPr>
                <w:rFonts w:hint="eastAsia" w:ascii="宋体" w:hAnsi="宋体" w:eastAsia="宋体" w:cs="宋体"/>
                <w:b/>
                <w:bCs/>
                <w:sz w:val="21"/>
                <w:szCs w:val="21"/>
              </w:rPr>
            </w:pPr>
            <w:r>
              <w:rPr>
                <w:rFonts w:hint="eastAsia" w:ascii="宋体" w:hAnsi="宋体" w:eastAsia="宋体" w:cs="宋体"/>
                <w:sz w:val="21"/>
                <w:szCs w:val="21"/>
              </w:rPr>
              <w:t>12、硬顶：采用高分子聚材料，固定在防翻架顶部，遮阳防风挡雨。</w:t>
            </w:r>
          </w:p>
          <w:p w14:paraId="06122DA0">
            <w:pPr>
              <w:jc w:val="left"/>
              <w:rPr>
                <w:rFonts w:hint="eastAsia" w:ascii="宋体" w:hAnsi="宋体" w:eastAsia="宋体" w:cs="宋体"/>
                <w:b/>
                <w:bCs/>
                <w:sz w:val="21"/>
                <w:szCs w:val="21"/>
              </w:rPr>
            </w:pPr>
            <w:r>
              <w:rPr>
                <w:rFonts w:hint="eastAsia" w:ascii="宋体" w:hAnsi="宋体" w:eastAsia="宋体" w:cs="宋体"/>
                <w:sz w:val="21"/>
                <w:szCs w:val="21"/>
              </w:rPr>
              <w:t>13、折叠车棚：保护人员免收季节如雪天雨天影响，配备可折叠收纳的侧门和后门，配合挡风玻璃同时安装使用。</w:t>
            </w:r>
          </w:p>
          <w:p w14:paraId="095053CD">
            <w:pPr>
              <w:jc w:val="left"/>
              <w:rPr>
                <w:rFonts w:hint="eastAsia" w:ascii="宋体" w:hAnsi="宋体" w:eastAsia="宋体" w:cs="宋体"/>
                <w:b/>
                <w:bCs/>
                <w:sz w:val="21"/>
                <w:szCs w:val="21"/>
              </w:rPr>
            </w:pPr>
            <w:r>
              <w:rPr>
                <w:rFonts w:hint="eastAsia" w:ascii="宋体" w:hAnsi="宋体" w:eastAsia="宋体" w:cs="宋体"/>
                <w:sz w:val="21"/>
                <w:szCs w:val="21"/>
              </w:rPr>
              <w:t>14、挡风玻璃：玻璃纤维材质，设置安装孔用于安装雨刷属具。</w:t>
            </w:r>
          </w:p>
          <w:p w14:paraId="78909A81">
            <w:pPr>
              <w:jc w:val="left"/>
              <w:rPr>
                <w:rFonts w:hint="eastAsia" w:ascii="宋体" w:hAnsi="宋体" w:eastAsia="宋体" w:cs="宋体"/>
                <w:b/>
                <w:bCs/>
                <w:sz w:val="21"/>
                <w:szCs w:val="21"/>
              </w:rPr>
            </w:pPr>
            <w:r>
              <w:rPr>
                <w:rFonts w:hint="eastAsia" w:ascii="宋体" w:hAnsi="宋体" w:eastAsia="宋体" w:cs="宋体"/>
                <w:sz w:val="21"/>
                <w:szCs w:val="21"/>
              </w:rPr>
              <w:t>15、雨刷器：安装到水陆两栖全地形车挡风玻璃上，雨刷电动机可快速安装。</w:t>
            </w:r>
          </w:p>
          <w:p w14:paraId="7CC2332B">
            <w:pPr>
              <w:jc w:val="left"/>
              <w:rPr>
                <w:rFonts w:hint="eastAsia" w:ascii="宋体" w:hAnsi="宋体" w:eastAsia="宋体" w:cs="宋体"/>
                <w:b/>
                <w:bCs/>
                <w:sz w:val="21"/>
                <w:szCs w:val="21"/>
              </w:rPr>
            </w:pPr>
            <w:r>
              <w:rPr>
                <w:rFonts w:hint="eastAsia" w:ascii="宋体" w:hAnsi="宋体" w:eastAsia="宋体" w:cs="宋体"/>
                <w:sz w:val="21"/>
                <w:szCs w:val="21"/>
              </w:rPr>
              <w:t>16、</w:t>
            </w:r>
            <w:r>
              <w:rPr>
                <w:rFonts w:hint="eastAsia" w:ascii="宋体" w:hAnsi="宋体" w:eastAsia="宋体" w:cs="宋体"/>
                <w:sz w:val="21"/>
                <w:szCs w:val="21"/>
                <w:lang w:eastAsia="zh-CN"/>
              </w:rPr>
              <w:t xml:space="preserve"> </w:t>
            </w:r>
            <w:r>
              <w:rPr>
                <w:rFonts w:hint="eastAsia" w:ascii="宋体" w:hAnsi="宋体" w:eastAsia="宋体" w:cs="宋体"/>
                <w:sz w:val="21"/>
                <w:szCs w:val="21"/>
              </w:rPr>
              <w:t>橡胶履带：橡胶履带,轻型和耐久结构, 提供较低的地面压强以保证在最恶劣地面环境的平稳行驶。 履带宽度457mm保证最佳浮力和最低的地面压力。</w:t>
            </w:r>
          </w:p>
          <w:p w14:paraId="2633DD52">
            <w:pPr>
              <w:jc w:val="left"/>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eastAsia="zh-CN"/>
              </w:rPr>
              <w:t xml:space="preserve"> </w:t>
            </w:r>
            <w:r>
              <w:rPr>
                <w:rFonts w:hint="eastAsia" w:ascii="宋体" w:hAnsi="宋体" w:eastAsia="宋体" w:cs="宋体"/>
                <w:sz w:val="21"/>
                <w:szCs w:val="21"/>
              </w:rPr>
              <w:t>搜索救援套装整套配置包含：</w:t>
            </w:r>
            <w:bookmarkStart w:id="274" w:name="_Hlk155867182"/>
            <w:r>
              <w:rPr>
                <w:rFonts w:hint="eastAsia" w:ascii="宋体" w:hAnsi="宋体" w:eastAsia="宋体" w:cs="宋体"/>
                <w:sz w:val="21"/>
                <w:szCs w:val="21"/>
              </w:rPr>
              <w:t>救援担架成套组件</w:t>
            </w:r>
            <w:bookmarkEnd w:id="274"/>
            <w:r>
              <w:rPr>
                <w:rFonts w:hint="eastAsia" w:ascii="宋体" w:hAnsi="宋体" w:eastAsia="宋体" w:cs="宋体"/>
                <w:sz w:val="21"/>
                <w:szCs w:val="21"/>
              </w:rPr>
              <w:t>、救援担架、折叠座椅套件。</w:t>
            </w:r>
          </w:p>
          <w:p w14:paraId="61F95900">
            <w:pPr>
              <w:jc w:val="left"/>
              <w:rPr>
                <w:rFonts w:hint="eastAsia" w:ascii="宋体" w:hAnsi="宋体" w:eastAsia="宋体" w:cs="宋体"/>
                <w:sz w:val="21"/>
                <w:szCs w:val="21"/>
              </w:rPr>
            </w:pPr>
            <w:r>
              <w:rPr>
                <w:rFonts w:hint="eastAsia" w:ascii="宋体" w:hAnsi="宋体" w:eastAsia="宋体" w:cs="宋体"/>
                <w:sz w:val="21"/>
                <w:szCs w:val="21"/>
              </w:rPr>
              <w:t>救援担架底座可快速拆装、折叠、展开;救援担架可快速折叠展开、装卸。配备可折叠的座椅，安装担架时可以快速放倒，担架移除后座椅可立即布置，该机构采用插销式快速拆解安装。</w:t>
            </w:r>
          </w:p>
          <w:p w14:paraId="36B39EB0">
            <w:pPr>
              <w:jc w:val="left"/>
              <w:rPr>
                <w:rFonts w:hint="eastAsia" w:ascii="宋体" w:hAnsi="宋体" w:eastAsia="宋体" w:cs="宋体"/>
                <w:sz w:val="21"/>
                <w:szCs w:val="21"/>
              </w:rPr>
            </w:pPr>
            <w:r>
              <w:rPr>
                <w:rFonts w:hint="eastAsia" w:ascii="宋体" w:hAnsi="宋体" w:eastAsia="宋体" w:cs="宋体"/>
                <w:sz w:val="21"/>
                <w:szCs w:val="21"/>
              </w:rPr>
              <w:t xml:space="preserve">18、消防套装：包含：灭火细水雾套装、泵浦套装、储液罐、快速拆装支架面板、工具箱等。 </w:t>
            </w:r>
          </w:p>
          <w:p w14:paraId="2FD9531E">
            <w:pPr>
              <w:jc w:val="left"/>
              <w:rPr>
                <w:rFonts w:hint="eastAsia" w:ascii="宋体" w:hAnsi="宋体" w:eastAsia="宋体" w:cs="宋体"/>
                <w:sz w:val="21"/>
                <w:szCs w:val="21"/>
              </w:rPr>
            </w:pPr>
            <w:r>
              <w:rPr>
                <w:rFonts w:hint="eastAsia" w:ascii="宋体" w:hAnsi="宋体" w:eastAsia="宋体" w:cs="宋体"/>
                <w:sz w:val="21"/>
                <w:szCs w:val="21"/>
              </w:rPr>
              <w:t>1）灭火细水雾套装：包含动力单元、储液罐、喷雾装置等。</w:t>
            </w:r>
          </w:p>
          <w:p w14:paraId="307DCC4B">
            <w:pPr>
              <w:jc w:val="left"/>
              <w:rPr>
                <w:rFonts w:hint="eastAsia" w:ascii="宋体" w:hAnsi="宋体" w:eastAsia="宋体" w:cs="宋体"/>
                <w:sz w:val="21"/>
                <w:szCs w:val="21"/>
              </w:rPr>
            </w:pPr>
            <w:r>
              <w:rPr>
                <w:rFonts w:hint="eastAsia" w:ascii="宋体" w:hAnsi="宋体" w:eastAsia="宋体" w:cs="宋体"/>
                <w:sz w:val="21"/>
                <w:szCs w:val="21"/>
              </w:rPr>
              <w:t>发动机型式：四冲程单缸风冷、功率:</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 xml:space="preserve"> 9.6kw、启动方式：电动/自回式手拉绳启动、引水方式：自吸式、额定流量：</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10-25L/min、直流喷射距离：15m、喷雾喷射距离：</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10m、水箱容量：</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150L、圆盘管长度：</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30m</w:t>
            </w:r>
          </w:p>
          <w:p w14:paraId="1EC2F008">
            <w:pPr>
              <w:jc w:val="left"/>
              <w:rPr>
                <w:rFonts w:hint="eastAsia" w:ascii="宋体" w:hAnsi="宋体" w:eastAsia="宋体" w:cs="宋体"/>
                <w:sz w:val="21"/>
                <w:szCs w:val="21"/>
              </w:rPr>
            </w:pPr>
            <w:r>
              <w:rPr>
                <w:rFonts w:hint="eastAsia" w:ascii="宋体" w:hAnsi="宋体" w:eastAsia="宋体" w:cs="宋体"/>
                <w:sz w:val="21"/>
                <w:szCs w:val="21"/>
              </w:rPr>
              <w:t>2）泵浦套装：集成动力单元、抽水系统、喷水系统等</w:t>
            </w:r>
          </w:p>
          <w:p w14:paraId="4A535B1C">
            <w:pPr>
              <w:jc w:val="left"/>
              <w:rPr>
                <w:rFonts w:hint="eastAsia" w:ascii="宋体" w:hAnsi="宋体" w:eastAsia="宋体" w:cs="宋体"/>
                <w:b/>
                <w:bCs/>
                <w:sz w:val="21"/>
                <w:szCs w:val="21"/>
              </w:rPr>
            </w:pPr>
            <w:r>
              <w:rPr>
                <w:rFonts w:hint="eastAsia" w:ascii="宋体" w:hAnsi="宋体" w:eastAsia="宋体" w:cs="宋体"/>
                <w:sz w:val="21"/>
                <w:szCs w:val="21"/>
              </w:rPr>
              <w:t>发动机型式：四冲程单缸风冷、功率: 9.6kw、启动方式：电动/自回式手拉绳启动、引深：7m、吸水时间（吸深7m时）：25s、流量：8.0L/S、出水压力：</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0.52Mpa、扬程：</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60m、泵进水口：</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65mm、泵出水口：</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rPr>
              <w:t>65mm</w:t>
            </w:r>
          </w:p>
          <w:p w14:paraId="6FA195B9">
            <w:pPr>
              <w:jc w:val="left"/>
              <w:rPr>
                <w:rFonts w:hint="eastAsia" w:ascii="宋体" w:hAnsi="宋体" w:eastAsia="宋体" w:cs="宋体"/>
                <w:b/>
                <w:bCs/>
                <w:sz w:val="21"/>
                <w:szCs w:val="21"/>
              </w:rPr>
            </w:pPr>
            <w:r>
              <w:rPr>
                <w:rFonts w:hint="eastAsia" w:ascii="宋体" w:hAnsi="宋体" w:eastAsia="宋体" w:cs="宋体"/>
                <w:sz w:val="21"/>
                <w:szCs w:val="21"/>
              </w:rPr>
              <w:t>19、四轮两栖拖斗：水陆两栖四轮拖车,采用高分子聚乙烯材料制成, 载重254kg。四轮两栖拖车外形尺寸(长x宽x高)：2340x1510x740mm</w:t>
            </w:r>
          </w:p>
          <w:p w14:paraId="334078B0">
            <w:pPr>
              <w:jc w:val="left"/>
              <w:rPr>
                <w:rFonts w:hint="eastAsia" w:ascii="宋体" w:hAnsi="宋体" w:eastAsia="宋体" w:cs="宋体"/>
                <w:b/>
                <w:bCs/>
                <w:sz w:val="21"/>
                <w:szCs w:val="21"/>
              </w:rPr>
            </w:pPr>
            <w:r>
              <w:rPr>
                <w:rFonts w:hint="eastAsia" w:ascii="宋体" w:hAnsi="宋体" w:eastAsia="宋体" w:cs="宋体"/>
                <w:sz w:val="21"/>
                <w:szCs w:val="21"/>
              </w:rPr>
              <w:t>20、</w:t>
            </w:r>
            <w:r>
              <w:rPr>
                <w:rFonts w:hint="eastAsia" w:ascii="宋体" w:hAnsi="宋体" w:eastAsia="宋体" w:cs="宋体"/>
                <w:sz w:val="21"/>
                <w:szCs w:val="21"/>
                <w:lang w:eastAsia="zh-CN"/>
              </w:rPr>
              <w:t xml:space="preserve"> </w:t>
            </w:r>
            <w:r>
              <w:rPr>
                <w:rFonts w:hint="eastAsia" w:ascii="宋体" w:hAnsi="宋体" w:eastAsia="宋体" w:cs="宋体"/>
                <w:sz w:val="21"/>
                <w:szCs w:val="21"/>
              </w:rPr>
              <w:t>八轮两栖拖斗：水陆两栖八轮拖车，采用高分子聚乙烯材料制成，载重</w:t>
            </w:r>
            <w:r>
              <w:rPr>
                <w:rFonts w:hint="eastAsia" w:ascii="宋体" w:hAnsi="宋体" w:eastAsia="宋体" w:cs="宋体"/>
                <w:sz w:val="21"/>
                <w:szCs w:val="21"/>
                <w:lang w:val="en-US" w:eastAsia="zh-CN"/>
              </w:rPr>
              <w:t>590</w:t>
            </w:r>
            <w:r>
              <w:rPr>
                <w:rFonts w:hint="eastAsia" w:ascii="宋体" w:hAnsi="宋体" w:eastAsia="宋体" w:cs="宋体"/>
                <w:sz w:val="21"/>
                <w:szCs w:val="21"/>
              </w:rPr>
              <w:t>kg。八轮两栖拖车外形尺寸(长x宽x高)：2930x1470x760mm</w:t>
            </w:r>
          </w:p>
          <w:p w14:paraId="5F5601CA">
            <w:pPr>
              <w:jc w:val="left"/>
              <w:rPr>
                <w:rFonts w:hint="eastAsia" w:ascii="宋体" w:hAnsi="宋体" w:eastAsia="宋体" w:cs="宋体"/>
                <w:b/>
                <w:bCs/>
                <w:sz w:val="21"/>
                <w:szCs w:val="21"/>
              </w:rPr>
            </w:pPr>
            <w:r>
              <w:rPr>
                <w:rFonts w:hint="eastAsia" w:ascii="宋体" w:hAnsi="宋体" w:eastAsia="宋体" w:cs="宋体"/>
                <w:sz w:val="21"/>
                <w:szCs w:val="21"/>
              </w:rPr>
              <w:t>（五）随车工具</w:t>
            </w:r>
          </w:p>
          <w:p w14:paraId="0344E25A">
            <w:pPr>
              <w:jc w:val="left"/>
              <w:rPr>
                <w:rFonts w:hint="eastAsia" w:ascii="宋体" w:hAnsi="宋体" w:eastAsia="宋体" w:cs="宋体"/>
                <w:sz w:val="21"/>
                <w:szCs w:val="21"/>
              </w:rPr>
            </w:pPr>
            <w:r>
              <w:rPr>
                <w:rFonts w:hint="eastAsia" w:ascii="宋体" w:hAnsi="宋体" w:eastAsia="宋体" w:cs="宋体"/>
                <w:sz w:val="21"/>
                <w:szCs w:val="21"/>
              </w:rPr>
              <w:t>1、英制内六角：用于维护保养及修理的必备工具套装。</w:t>
            </w:r>
          </w:p>
          <w:p w14:paraId="18A58BE3">
            <w:pPr>
              <w:jc w:val="left"/>
              <w:rPr>
                <w:rFonts w:hint="eastAsia" w:ascii="宋体" w:hAnsi="宋体" w:eastAsia="宋体" w:cs="宋体"/>
                <w:sz w:val="21"/>
                <w:szCs w:val="21"/>
              </w:rPr>
            </w:pPr>
            <w:r>
              <w:rPr>
                <w:rFonts w:hint="eastAsia" w:ascii="宋体" w:hAnsi="宋体" w:eastAsia="宋体" w:cs="宋体"/>
                <w:sz w:val="21"/>
                <w:szCs w:val="21"/>
              </w:rPr>
              <w:t>2、滤芯拆除工具：于车辆保养时快速拆装更换滤芯的专用工具。</w:t>
            </w:r>
          </w:p>
          <w:p w14:paraId="61B18B95">
            <w:pPr>
              <w:jc w:val="left"/>
              <w:rPr>
                <w:rFonts w:hint="eastAsia" w:ascii="宋体" w:hAnsi="宋体" w:eastAsia="宋体" w:cs="宋体"/>
                <w:sz w:val="21"/>
                <w:szCs w:val="21"/>
              </w:rPr>
            </w:pPr>
            <w:r>
              <w:rPr>
                <w:rFonts w:hint="eastAsia" w:ascii="宋体" w:hAnsi="宋体" w:eastAsia="宋体" w:cs="宋体"/>
                <w:sz w:val="21"/>
                <w:szCs w:val="21"/>
              </w:rPr>
              <w:t>3、机油泵：用于车辆维护保养时更换机油。</w:t>
            </w:r>
          </w:p>
          <w:p w14:paraId="6C218D12">
            <w:pPr>
              <w:jc w:val="left"/>
              <w:rPr>
                <w:rFonts w:hint="eastAsia" w:ascii="宋体" w:hAnsi="宋体" w:eastAsia="宋体" w:cs="宋体"/>
                <w:i w:val="0"/>
                <w:iCs w:val="0"/>
                <w:color w:val="000000"/>
                <w:sz w:val="21"/>
                <w:szCs w:val="21"/>
                <w:u w:val="none"/>
              </w:rPr>
            </w:pPr>
            <w:r>
              <w:rPr>
                <w:rFonts w:hint="eastAsia" w:ascii="宋体" w:hAnsi="宋体" w:eastAsia="宋体" w:cs="宋体"/>
                <w:sz w:val="21"/>
                <w:szCs w:val="21"/>
              </w:rPr>
              <w:t>4、胎压计：用于检测胎压是否在额定范围。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r>
      <w:tr w14:paraId="1484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D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山地摩托车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E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发动机类型：4冲程发动机；</w:t>
            </w:r>
          </w:p>
          <w:p w14:paraId="67E1D1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悬挂系统：前/后双A臂独立悬架</w:t>
            </w:r>
          </w:p>
          <w:p w14:paraId="6D4801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整备质量(kg)：≥400</w:t>
            </w:r>
          </w:p>
          <w:p w14:paraId="37EF35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装载质量(kg)：≥250</w:t>
            </w:r>
          </w:p>
          <w:p w14:paraId="3976E4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油箱容积(L)：≥23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排量（cc） ：≤500；</w:t>
            </w:r>
          </w:p>
          <w:p w14:paraId="2260EB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最高车速(km/h)：≥80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燃油系统： 电喷；                          </w:t>
            </w:r>
          </w:p>
          <w:p w14:paraId="3F2E31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最大功率：23/6600rpm                </w:t>
            </w:r>
          </w:p>
          <w:p w14:paraId="5AE1DD3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最大爬坡度（%）：≥60                     </w:t>
            </w:r>
          </w:p>
          <w:p w14:paraId="1A7112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最小离地间隙：≥210mm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0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8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r>
    </w:tbl>
    <w:p w14:paraId="5FE99072">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pgSz w:w="16838" w:h="11906" w:orient="landscape"/>
          <w:pgMar w:top="1474" w:right="1984" w:bottom="1474" w:left="1871"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3"/>
    <w:p w14:paraId="14B72D62">
      <w:pPr>
        <w:pStyle w:val="2"/>
        <w:widowControl w:val="0"/>
        <w:numPr>
          <w:ilvl w:val="0"/>
          <w:numId w:val="0"/>
        </w:numPr>
        <w:wordWrap/>
        <w:adjustRightInd w:val="0"/>
        <w:snapToGrid w:val="0"/>
        <w:spacing w:before="157" w:beforeLines="50" w:line="360" w:lineRule="auto"/>
        <w:jc w:val="center"/>
        <w:outlineLvl w:val="0"/>
        <w:rPr>
          <w:rFonts w:hint="eastAsia" w:ascii="宋体"/>
          <w:b/>
          <w:color w:val="000000"/>
          <w:sz w:val="32"/>
          <w:szCs w:val="32"/>
        </w:rPr>
      </w:pPr>
      <w:bookmarkStart w:id="275" w:name="_Toc15487_WPSOffice_Level1"/>
      <w:bookmarkStart w:id="276" w:name="_Toc31138"/>
      <w:bookmarkStart w:id="277" w:name="_Toc1325"/>
      <w:bookmarkStart w:id="278" w:name="_Toc6923_WPSOffice_Level1"/>
      <w:bookmarkStart w:id="279" w:name="_Toc18208_WPSOffice_Level1"/>
      <w:bookmarkStart w:id="280" w:name="_Toc22544"/>
      <w:bookmarkStart w:id="281" w:name="_Toc18643_WPSOffice_Level1"/>
      <w:bookmarkStart w:id="282" w:name="_Toc955_WPSOffice_Level1"/>
      <w:bookmarkStart w:id="283" w:name="_Toc5732_WPSOffice_Level1"/>
      <w:r>
        <w:rPr>
          <w:rFonts w:hint="eastAsia" w:ascii="宋体" w:hAnsi="宋体" w:eastAsia="宋体" w:cs="宋体"/>
          <w:b w:val="0"/>
          <w:bCs w:val="0"/>
          <w:color w:val="auto"/>
          <w:sz w:val="32"/>
          <w:szCs w:val="32"/>
          <w:lang w:eastAsia="zh-CN"/>
        </w:rPr>
        <w:t>第四部分</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lang w:eastAsia="zh-CN"/>
        </w:rPr>
        <w:t>谈判响应文件格式</w:t>
      </w:r>
      <w:bookmarkEnd w:id="275"/>
      <w:bookmarkEnd w:id="276"/>
      <w:bookmarkEnd w:id="277"/>
      <w:bookmarkEnd w:id="278"/>
      <w:bookmarkEnd w:id="279"/>
      <w:bookmarkEnd w:id="280"/>
      <w:bookmarkEnd w:id="281"/>
      <w:bookmarkEnd w:id="282"/>
      <w:bookmarkEnd w:id="283"/>
    </w:p>
    <w:p w14:paraId="20164A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1"/>
        <w:rPr>
          <w:rFonts w:hint="eastAsia" w:ascii="黑体" w:hAnsi="黑体" w:eastAsia="黑体" w:cs="黑体"/>
          <w:kern w:val="2"/>
          <w:sz w:val="32"/>
          <w:szCs w:val="32"/>
          <w:lang w:val="en-US" w:eastAsia="zh-CN" w:bidi="ar-SA"/>
        </w:rPr>
      </w:pPr>
      <w:bookmarkStart w:id="284" w:name="_Toc12691_WPSOffice_Level2"/>
      <w:bookmarkStart w:id="285" w:name="_Toc11968"/>
      <w:bookmarkStart w:id="286" w:name="_Toc4945_WPSOffice_Level2"/>
      <w:bookmarkStart w:id="287" w:name="_Toc20166_WPSOffice_Level2"/>
      <w:bookmarkStart w:id="288" w:name="_Toc2376"/>
      <w:r>
        <w:rPr>
          <w:rFonts w:hint="eastAsia" w:ascii="黑体" w:hAnsi="黑体" w:eastAsia="黑体" w:cs="黑体"/>
          <w:kern w:val="2"/>
          <w:sz w:val="32"/>
          <w:szCs w:val="32"/>
          <w:lang w:val="en-US" w:eastAsia="zh-CN" w:bidi="ar-SA"/>
        </w:rPr>
        <w:t>十二、谈判响应文件的组成</w:t>
      </w:r>
      <w:bookmarkEnd w:id="284"/>
      <w:bookmarkEnd w:id="285"/>
      <w:bookmarkEnd w:id="286"/>
      <w:bookmarkEnd w:id="287"/>
      <w:bookmarkEnd w:id="288"/>
    </w:p>
    <w:p w14:paraId="3E36973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kern w:val="2"/>
          <w:sz w:val="24"/>
          <w:szCs w:val="24"/>
          <w:lang w:val="en-US" w:eastAsia="zh-CN" w:bidi="ar-SA"/>
        </w:rPr>
        <w:fldChar w:fldCharType="end"/>
      </w:r>
    </w:p>
    <w:p w14:paraId="734B22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kern w:val="2"/>
          <w:sz w:val="24"/>
          <w:szCs w:val="24"/>
          <w:lang w:val="en-US" w:eastAsia="zh-CN" w:bidi="ar-SA"/>
        </w:rPr>
        <w:fldChar w:fldCharType="end"/>
      </w:r>
    </w:p>
    <w:p w14:paraId="313FC4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kern w:val="2"/>
          <w:sz w:val="24"/>
          <w:szCs w:val="24"/>
          <w:lang w:val="en-US" w:eastAsia="zh-CN" w:bidi="ar-SA"/>
        </w:rPr>
        <w:fldChar w:fldCharType="end"/>
      </w:r>
    </w:p>
    <w:p w14:paraId="3177137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kern w:val="2"/>
          <w:sz w:val="24"/>
          <w:szCs w:val="24"/>
          <w:lang w:val="en-US" w:eastAsia="zh-CN" w:bidi="ar-SA"/>
        </w:rPr>
        <w:fldChar w:fldCharType="end"/>
      </w:r>
    </w:p>
    <w:p w14:paraId="0F0D0126">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kern w:val="2"/>
          <w:sz w:val="24"/>
          <w:szCs w:val="24"/>
          <w:lang w:val="en-US" w:eastAsia="zh-CN" w:bidi="ar-SA"/>
        </w:rPr>
        <w:fldChar w:fldCharType="end"/>
      </w:r>
    </w:p>
    <w:p w14:paraId="68C1ED3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kern w:val="2"/>
          <w:sz w:val="24"/>
          <w:szCs w:val="24"/>
          <w:lang w:val="en-US" w:eastAsia="zh-CN" w:bidi="ar-SA"/>
        </w:rPr>
        <w:fldChar w:fldCharType="end"/>
      </w:r>
    </w:p>
    <w:p w14:paraId="55D021D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kern w:val="2"/>
          <w:sz w:val="24"/>
          <w:szCs w:val="24"/>
          <w:lang w:val="en-US" w:eastAsia="zh-CN" w:bidi="ar-SA"/>
        </w:rPr>
        <w:fldChar w:fldCharType="end"/>
      </w:r>
    </w:p>
    <w:p w14:paraId="661AEE58">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kern w:val="2"/>
          <w:sz w:val="24"/>
          <w:szCs w:val="24"/>
          <w:lang w:val="en-US" w:eastAsia="zh-CN" w:bidi="ar-SA"/>
        </w:rPr>
        <w:fldChar w:fldCharType="end"/>
      </w:r>
    </w:p>
    <w:p w14:paraId="25D62D4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kern w:val="2"/>
          <w:sz w:val="24"/>
          <w:szCs w:val="24"/>
          <w:lang w:val="en-US" w:eastAsia="zh-CN" w:bidi="ar-SA"/>
        </w:rPr>
        <w:fldChar w:fldCharType="end"/>
      </w:r>
    </w:p>
    <w:p w14:paraId="3744CF8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kern w:val="2"/>
          <w:sz w:val="24"/>
          <w:szCs w:val="24"/>
          <w:lang w:val="en-US" w:eastAsia="zh-CN" w:bidi="ar-SA"/>
        </w:rPr>
        <w:fldChar w:fldCharType="end"/>
      </w:r>
    </w:p>
    <w:p w14:paraId="50FDDDB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kern w:val="2"/>
          <w:sz w:val="24"/>
          <w:szCs w:val="24"/>
          <w:lang w:val="en-US" w:eastAsia="zh-CN" w:bidi="ar-SA"/>
        </w:rPr>
        <w:fldChar w:fldCharType="end"/>
      </w:r>
    </w:p>
    <w:p w14:paraId="07F08E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fldChar w:fldCharType="end"/>
      </w:r>
    </w:p>
    <w:p w14:paraId="1A9B72F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fldChar w:fldCharType="end"/>
      </w:r>
    </w:p>
    <w:p w14:paraId="7936A2C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p>
    <w:p w14:paraId="2B94EE3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fldChar w:fldCharType="end"/>
      </w:r>
    </w:p>
    <w:p w14:paraId="0E5BFA4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p>
    <w:p w14:paraId="275A8CC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p>
    <w:p w14:paraId="02638AD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p>
    <w:p w14:paraId="57540CCC">
      <w:pPr>
        <w:widowControl w:val="0"/>
        <w:wordWrap/>
        <w:adjustRightInd w:val="0"/>
        <w:snapToGrid w:val="0"/>
        <w:spacing w:line="560" w:lineRule="exact"/>
        <w:ind w:firstLine="48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fldChar w:fldCharType="end"/>
      </w:r>
    </w:p>
    <w:p w14:paraId="4F08B61E">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bookmarkStart w:id="289" w:name="_Toc5252_WPSOffice_Level2"/>
      <w:bookmarkStart w:id="290" w:name="_Toc11918"/>
      <w:bookmarkStart w:id="291" w:name="_Toc1684_WPSOffice_Level2"/>
      <w:bookmarkStart w:id="292" w:name="_Toc8795"/>
      <w:bookmarkStart w:id="293" w:name="_Toc14930_WPSOffice_Level2"/>
    </w:p>
    <w:p w14:paraId="460B51DB">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23CEFAE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732A537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十三、谈判响应文件</w:t>
      </w:r>
      <w:bookmarkEnd w:id="289"/>
      <w:bookmarkEnd w:id="290"/>
      <w:bookmarkEnd w:id="291"/>
      <w:bookmarkEnd w:id="292"/>
      <w:bookmarkEnd w:id="293"/>
    </w:p>
    <w:p w14:paraId="3210BFA1">
      <w:pPr>
        <w:wordWrap/>
        <w:spacing w:before="157" w:beforeLines="50" w:line="560" w:lineRule="exact"/>
        <w:ind w:firstLine="1285" w:firstLineChars="400"/>
        <w:rPr>
          <w:rFonts w:hint="eastAsia" w:ascii="仿宋_GB2312" w:hAnsi="仿宋_GB2312" w:eastAsia="仿宋_GB2312" w:cs="仿宋_GB2312"/>
          <w:b/>
          <w:color w:val="000000"/>
          <w:sz w:val="32"/>
          <w:szCs w:val="32"/>
        </w:rPr>
      </w:pPr>
      <w:bookmarkStart w:id="294" w:name="_Toc28269_WPSOffice_Level3"/>
    </w:p>
    <w:p w14:paraId="6679ECBF">
      <w:pPr>
        <w:wordWrap/>
        <w:spacing w:before="157" w:beforeLines="50" w:line="560" w:lineRule="exact"/>
        <w:ind w:firstLine="2610" w:firstLineChars="500"/>
        <w:jc w:val="left"/>
        <w:outlineLvl w:val="9"/>
        <w:rPr>
          <w:rFonts w:hint="eastAsia" w:ascii="仿宋_GB2312" w:hAnsi="仿宋_GB2312" w:eastAsia="仿宋_GB2312" w:cs="仿宋_GB2312"/>
          <w:b/>
          <w:color w:val="000000"/>
          <w:sz w:val="52"/>
          <w:szCs w:val="52"/>
        </w:rPr>
      </w:pPr>
      <w:bookmarkStart w:id="295" w:name="_Toc31682_WPSOffice_Level2"/>
      <w:bookmarkStart w:id="296" w:name="_Toc10997_WPSOffice_Level2"/>
      <w:r>
        <w:rPr>
          <w:rFonts w:hint="eastAsia" w:ascii="仿宋_GB2312" w:hAnsi="仿宋_GB2312" w:eastAsia="仿宋_GB2312" w:cs="仿宋_GB2312"/>
          <w:b/>
          <w:color w:val="000000"/>
          <w:sz w:val="52"/>
          <w:szCs w:val="52"/>
        </w:rPr>
        <w:t>青海省政府采购项目</w:t>
      </w:r>
      <w:bookmarkEnd w:id="294"/>
      <w:bookmarkEnd w:id="295"/>
      <w:bookmarkEnd w:id="296"/>
    </w:p>
    <w:p w14:paraId="3BFD278E">
      <w:pPr>
        <w:wordWrap/>
        <w:spacing w:before="157" w:beforeLines="50" w:line="560" w:lineRule="exact"/>
        <w:ind w:firstLine="3654" w:firstLineChars="700"/>
        <w:jc w:val="left"/>
        <w:outlineLvl w:val="9"/>
        <w:rPr>
          <w:rFonts w:hint="eastAsia" w:ascii="仿宋_GB2312" w:hAnsi="仿宋_GB2312" w:eastAsia="仿宋_GB2312" w:cs="仿宋_GB2312"/>
          <w:b/>
          <w:color w:val="000000"/>
          <w:sz w:val="52"/>
          <w:szCs w:val="52"/>
        </w:rPr>
      </w:pPr>
      <w:bookmarkStart w:id="297" w:name="_Toc25378_WPSOffice_Level2"/>
      <w:bookmarkStart w:id="298" w:name="_Toc23622_WPSOffice_Level2"/>
      <w:r>
        <w:rPr>
          <w:rFonts w:hint="eastAsia" w:ascii="仿宋_GB2312" w:hAnsi="仿宋_GB2312" w:eastAsia="仿宋_GB2312" w:cs="仿宋_GB2312"/>
          <w:b/>
          <w:color w:val="000000"/>
          <w:sz w:val="52"/>
          <w:szCs w:val="52"/>
        </w:rPr>
        <w:t>谈判响应文件</w:t>
      </w:r>
      <w:bookmarkEnd w:id="297"/>
      <w:bookmarkEnd w:id="298"/>
    </w:p>
    <w:p w14:paraId="586BA7C2">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bookmarkStart w:id="299" w:name="_Toc13231_WPSOffice_Level2"/>
      <w:bookmarkStart w:id="300" w:name="_Toc28825_WPSOffice_Level2"/>
    </w:p>
    <w:p w14:paraId="3BA1118B">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资格审查部分</w:t>
      </w:r>
      <w:r>
        <w:rPr>
          <w:rFonts w:hint="eastAsia" w:ascii="仿宋_GB2312" w:hAnsi="仿宋_GB2312" w:eastAsia="仿宋_GB2312" w:cs="仿宋_GB2312"/>
          <w:b/>
          <w:bCs/>
          <w:color w:val="000000"/>
          <w:sz w:val="32"/>
          <w:szCs w:val="32"/>
        </w:rPr>
        <w:t>）</w:t>
      </w:r>
      <w:bookmarkEnd w:id="299"/>
      <w:bookmarkEnd w:id="300"/>
    </w:p>
    <w:p w14:paraId="1AAE9C33">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5A252E65">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70F6D1FC">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C95CE39">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301" w:name="_Toc19521_WPSOffice_Level2"/>
      <w:bookmarkStart w:id="302" w:name="_Toc29803_WPSOffice_Level2"/>
      <w:r>
        <w:rPr>
          <w:rFonts w:hint="eastAsia" w:ascii="仿宋_GB2312" w:hAnsi="仿宋_GB2312" w:eastAsia="仿宋_GB2312" w:cs="仿宋_GB2312"/>
          <w:b/>
          <w:bCs/>
          <w:color w:val="000000"/>
          <w:sz w:val="32"/>
          <w:szCs w:val="32"/>
        </w:rPr>
        <w:t>采购项目编号:</w:t>
      </w:r>
      <w:bookmarkEnd w:id="301"/>
      <w:bookmarkEnd w:id="302"/>
    </w:p>
    <w:p w14:paraId="434B7F86">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303" w:name="_Toc18713_WPSOffice_Level2"/>
      <w:bookmarkStart w:id="304" w:name="_Toc14786_WPSOffice_Level2"/>
      <w:r>
        <w:rPr>
          <w:rFonts w:hint="eastAsia" w:ascii="仿宋_GB2312" w:hAnsi="仿宋_GB2312" w:eastAsia="仿宋_GB2312" w:cs="仿宋_GB2312"/>
          <w:b/>
          <w:bCs/>
          <w:color w:val="000000"/>
          <w:sz w:val="32"/>
          <w:szCs w:val="32"/>
        </w:rPr>
        <w:t>采购项目名称:</w:t>
      </w:r>
      <w:bookmarkEnd w:id="303"/>
      <w:bookmarkEnd w:id="304"/>
      <w:r>
        <w:rPr>
          <w:rFonts w:hint="eastAsia" w:ascii="仿宋_GB2312" w:hAnsi="仿宋_GB2312" w:eastAsia="仿宋_GB2312" w:cs="仿宋_GB2312"/>
          <w:b/>
          <w:bCs/>
          <w:color w:val="000000"/>
          <w:sz w:val="32"/>
          <w:szCs w:val="32"/>
        </w:rPr>
        <w:t xml:space="preserve"> </w:t>
      </w:r>
    </w:p>
    <w:p w14:paraId="34F8B4F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305" w:name="_Toc14087_WPSOffice_Level2"/>
      <w:bookmarkStart w:id="306" w:name="_Toc22044_WPSOffice_Level2"/>
      <w:r>
        <w:rPr>
          <w:rFonts w:hint="eastAsia" w:ascii="仿宋_GB2312" w:hAnsi="仿宋_GB2312" w:eastAsia="仿宋_GB2312" w:cs="仿宋_GB2312"/>
          <w:b/>
          <w:bCs/>
          <w:color w:val="000000"/>
          <w:sz w:val="32"/>
          <w:szCs w:val="32"/>
          <w:lang w:eastAsia="zh-CN"/>
        </w:rPr>
        <w:t>供应商名称：</w:t>
      </w:r>
      <w:bookmarkEnd w:id="305"/>
      <w:bookmarkEnd w:id="306"/>
    </w:p>
    <w:p w14:paraId="4F4DC1C2">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3D2B1B7A">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307" w:name="_Toc1142_WPSOffice_Level3"/>
      <w:r>
        <w:rPr>
          <w:rFonts w:hint="eastAsia" w:ascii="仿宋_GB2312" w:hAnsi="仿宋_GB2312" w:eastAsia="仿宋_GB2312" w:cs="仿宋_GB2312"/>
          <w:b/>
          <w:color w:val="000000"/>
          <w:sz w:val="32"/>
          <w:szCs w:val="32"/>
        </w:rPr>
        <w:t>年  月  日</w:t>
      </w:r>
      <w:bookmarkEnd w:id="307"/>
    </w:p>
    <w:p w14:paraId="21B3AB14">
      <w:pPr>
        <w:widowControl/>
        <w:wordWrap/>
        <w:snapToGrid w:val="0"/>
        <w:spacing w:before="157" w:beforeLines="50" w:line="560" w:lineRule="exact"/>
        <w:jc w:val="left"/>
        <w:outlineLvl w:val="9"/>
        <w:rPr>
          <w:rFonts w:hint="eastAsia" w:ascii="宋体"/>
          <w:b/>
          <w:color w:val="000000"/>
          <w:sz w:val="28"/>
          <w:szCs w:val="28"/>
        </w:rPr>
      </w:pPr>
    </w:p>
    <w:p w14:paraId="2D29BD97">
      <w:pPr>
        <w:widowControl/>
        <w:wordWrap/>
        <w:snapToGrid w:val="0"/>
        <w:spacing w:before="157" w:beforeLines="50" w:line="560" w:lineRule="exact"/>
        <w:jc w:val="left"/>
        <w:outlineLvl w:val="2"/>
        <w:rPr>
          <w:rFonts w:ascii="宋体"/>
          <w:b/>
          <w:color w:val="000000"/>
          <w:sz w:val="28"/>
          <w:szCs w:val="28"/>
        </w:rPr>
      </w:pPr>
    </w:p>
    <w:p w14:paraId="2D65E929">
      <w:pPr>
        <w:widowControl/>
        <w:wordWrap/>
        <w:snapToGrid w:val="0"/>
        <w:spacing w:before="157" w:beforeLines="50" w:line="560" w:lineRule="exact"/>
        <w:jc w:val="left"/>
        <w:outlineLvl w:val="2"/>
        <w:rPr>
          <w:rFonts w:ascii="宋体"/>
          <w:b/>
          <w:color w:val="000000"/>
          <w:sz w:val="28"/>
          <w:szCs w:val="28"/>
        </w:rPr>
      </w:pPr>
    </w:p>
    <w:p w14:paraId="39C8B3B7">
      <w:pPr>
        <w:widowControl/>
        <w:wordWrap/>
        <w:snapToGrid w:val="0"/>
        <w:spacing w:before="157" w:beforeLines="50" w:line="560" w:lineRule="exact"/>
        <w:jc w:val="left"/>
        <w:outlineLvl w:val="2"/>
        <w:rPr>
          <w:rFonts w:hint="eastAsia" w:ascii="宋体" w:hAnsi="宋体" w:cs="宋体"/>
          <w:b/>
          <w:color w:val="000000"/>
          <w:sz w:val="32"/>
          <w:szCs w:val="32"/>
        </w:rPr>
      </w:pPr>
      <w:bookmarkStart w:id="308" w:name="_Toc27597"/>
      <w:bookmarkStart w:id="309" w:name="_Toc27464"/>
      <w:bookmarkStart w:id="310" w:name="_Toc32479_WPSOffice_Level3"/>
      <w:bookmarkStart w:id="311" w:name="_Toc19203"/>
      <w:bookmarkStart w:id="312" w:name="_Toc27578"/>
      <w:r>
        <w:rPr>
          <w:rFonts w:hint="eastAsia" w:ascii="宋体" w:hAnsi="宋体" w:eastAsia="宋体" w:cs="宋体"/>
          <w:b/>
          <w:color w:val="000000"/>
          <w:sz w:val="32"/>
          <w:szCs w:val="32"/>
          <w:lang w:eastAsia="zh-CN"/>
        </w:rPr>
        <w:t>附件1：响应函</w:t>
      </w:r>
      <w:bookmarkEnd w:id="308"/>
      <w:bookmarkEnd w:id="309"/>
      <w:bookmarkEnd w:id="310"/>
      <w:bookmarkEnd w:id="311"/>
      <w:bookmarkEnd w:id="312"/>
    </w:p>
    <w:p w14:paraId="5599D418">
      <w:pPr>
        <w:widowControl w:val="0"/>
        <w:wordWrap/>
        <w:spacing w:before="157" w:beforeLines="50" w:line="560" w:lineRule="exact"/>
        <w:ind w:firstLine="3710" w:firstLineChars="1155"/>
        <w:jc w:val="both"/>
        <w:textAlignment w:val="auto"/>
        <w:outlineLvl w:val="9"/>
        <w:rPr>
          <w:rFonts w:hint="eastAsia" w:ascii="宋体" w:hAnsi="宋体" w:eastAsia="宋体" w:cs="宋体"/>
          <w:b/>
          <w:color w:val="000000"/>
          <w:sz w:val="32"/>
          <w:szCs w:val="32"/>
        </w:rPr>
      </w:pPr>
      <w:bookmarkStart w:id="313" w:name="_Toc22598_WPSOffice_Level2"/>
      <w:bookmarkStart w:id="314" w:name="_Toc24288_WPSOffice_Level2"/>
      <w:r>
        <w:rPr>
          <w:rFonts w:hint="eastAsia" w:ascii="宋体" w:hAnsi="宋体" w:eastAsia="宋体" w:cs="宋体"/>
          <w:b/>
          <w:color w:val="000000"/>
          <w:sz w:val="32"/>
          <w:szCs w:val="32"/>
          <w:lang w:eastAsia="zh-CN"/>
        </w:rPr>
        <w:t>响</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eastAsia="zh-CN"/>
        </w:rPr>
        <w:t>应</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rPr>
        <w:t>函</w:t>
      </w:r>
      <w:bookmarkEnd w:id="313"/>
      <w:bookmarkEnd w:id="314"/>
    </w:p>
    <w:p w14:paraId="35C292A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zh-CN" w:eastAsia="zh-CN" w:bidi="ar-SA"/>
        </w:rPr>
      </w:pPr>
      <w:bookmarkStart w:id="315" w:name="_Toc16867_WPSOffice_Level2"/>
      <w:r>
        <w:rPr>
          <w:rFonts w:hint="eastAsia" w:ascii="宋体" w:hAnsi="宋体" w:eastAsia="宋体" w:cs="宋体"/>
          <w:b/>
          <w:bCs/>
          <w:kern w:val="2"/>
          <w:sz w:val="24"/>
          <w:szCs w:val="24"/>
          <w:u w:val="none"/>
          <w:lang w:val="zh-CN" w:eastAsia="zh-CN" w:bidi="ar-SA"/>
        </w:rPr>
        <w:t>致：</w:t>
      </w:r>
      <w:bookmarkEnd w:id="315"/>
      <w:r>
        <w:rPr>
          <w:rFonts w:hint="eastAsia" w:ascii="宋体" w:hAnsi="宋体" w:eastAsia="宋体" w:cs="宋体"/>
          <w:b/>
          <w:bCs/>
          <w:kern w:val="2"/>
          <w:sz w:val="24"/>
          <w:szCs w:val="24"/>
          <w:u w:val="single"/>
          <w:lang w:val="zh-CN" w:eastAsia="zh-CN" w:bidi="ar-SA"/>
        </w:rPr>
        <w:t>青海国德招标代理有限公司</w:t>
      </w:r>
    </w:p>
    <w:p w14:paraId="7A4A0AC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我们收到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en-US" w:eastAsia="zh-CN" w:bidi="ar-SA"/>
        </w:rPr>
        <w:t>（项目名称及编号）</w:t>
      </w:r>
      <w:r>
        <w:rPr>
          <w:rFonts w:hint="eastAsia" w:ascii="宋体" w:hAnsi="宋体" w:eastAsia="宋体" w:cs="宋体"/>
          <w:b w:val="0"/>
          <w:bCs w:val="0"/>
          <w:kern w:val="2"/>
          <w:sz w:val="24"/>
          <w:szCs w:val="24"/>
          <w:u w:val="none"/>
          <w:lang w:val="zh-CN" w:eastAsia="zh-CN" w:bidi="ar-SA"/>
        </w:rPr>
        <w:t>谈判文件，经研究，法定代表人</w:t>
      </w:r>
      <w:r>
        <w:rPr>
          <w:rFonts w:hint="eastAsia" w:ascii="宋体" w:hAnsi="宋体" w:eastAsia="宋体" w:cs="宋体"/>
          <w:b w:val="0"/>
          <w:bCs w:val="0"/>
          <w:kern w:val="2"/>
          <w:sz w:val="24"/>
          <w:szCs w:val="24"/>
          <w:u w:val="single"/>
          <w:lang w:val="zh-CN" w:eastAsia="zh-CN" w:bidi="ar-SA"/>
        </w:rPr>
        <w:t>（姓名、职务）</w:t>
      </w:r>
      <w:r>
        <w:rPr>
          <w:rFonts w:hint="eastAsia" w:ascii="宋体" w:hAnsi="宋体" w:eastAsia="宋体" w:cs="宋体"/>
          <w:b w:val="0"/>
          <w:bCs w:val="0"/>
          <w:kern w:val="2"/>
          <w:sz w:val="24"/>
          <w:szCs w:val="24"/>
          <w:u w:val="none"/>
          <w:lang w:val="zh-CN" w:eastAsia="zh-CN" w:bidi="ar-SA"/>
        </w:rPr>
        <w:t>正式授权</w:t>
      </w:r>
      <w:r>
        <w:rPr>
          <w:rFonts w:hint="eastAsia" w:ascii="宋体" w:hAnsi="宋体" w:eastAsia="宋体" w:cs="宋体"/>
          <w:b w:val="0"/>
          <w:bCs w:val="0"/>
          <w:kern w:val="2"/>
          <w:sz w:val="24"/>
          <w:szCs w:val="24"/>
          <w:u w:val="single"/>
          <w:lang w:val="zh-CN" w:eastAsia="zh-CN" w:bidi="ar-SA"/>
        </w:rPr>
        <w:t>（委托代理人姓名、职务）</w:t>
      </w:r>
      <w:r>
        <w:rPr>
          <w:rFonts w:hint="eastAsia" w:ascii="宋体" w:hAnsi="宋体" w:eastAsia="宋体" w:cs="宋体"/>
          <w:b w:val="0"/>
          <w:bCs w:val="0"/>
          <w:kern w:val="2"/>
          <w:sz w:val="24"/>
          <w:szCs w:val="24"/>
          <w:u w:val="none"/>
          <w:lang w:val="zh-CN" w:eastAsia="zh-CN" w:bidi="ar-SA"/>
        </w:rPr>
        <w:t>代表供应商</w:t>
      </w:r>
      <w:r>
        <w:rPr>
          <w:rFonts w:hint="eastAsia" w:ascii="宋体" w:hAnsi="宋体" w:eastAsia="宋体" w:cs="宋体"/>
          <w:b w:val="0"/>
          <w:bCs w:val="0"/>
          <w:kern w:val="2"/>
          <w:sz w:val="24"/>
          <w:szCs w:val="24"/>
          <w:u w:val="single"/>
          <w:lang w:val="zh-CN" w:eastAsia="zh-CN" w:bidi="ar-SA"/>
        </w:rPr>
        <w:t>（供应商名称、地址）</w:t>
      </w:r>
      <w:r>
        <w:rPr>
          <w:rFonts w:hint="eastAsia" w:ascii="宋体" w:hAnsi="宋体" w:eastAsia="宋体" w:cs="宋体"/>
          <w:b w:val="0"/>
          <w:bCs w:val="0"/>
          <w:kern w:val="2"/>
          <w:sz w:val="24"/>
          <w:szCs w:val="24"/>
          <w:u w:val="none"/>
          <w:lang w:val="zh-CN" w:eastAsia="zh-CN" w:bidi="ar-SA"/>
        </w:rPr>
        <w:t xml:space="preserve">提交谈判响应文件。    </w:t>
      </w:r>
    </w:p>
    <w:p w14:paraId="3C2C7C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据此函，签字代表宣布同意如下：</w:t>
      </w:r>
    </w:p>
    <w:p w14:paraId="6D01802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1、我方已详阅谈判文件的全部内容，包括澄清、修改条款等有关附件，承诺对其完全理解并接受。</w:t>
      </w:r>
    </w:p>
    <w:p w14:paraId="7FFED1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2、若在响应文件发出后，我方在响应文件有效期内撤回或成交后不签约的，谈判保证金将被贵方没收。</w:t>
      </w:r>
    </w:p>
    <w:p w14:paraId="120342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3、我方同意按照贵方要求提供与谈判有关的一切数据或资料，理解并接受贵方制定的评标办法。</w:t>
      </w:r>
    </w:p>
    <w:p w14:paraId="399972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4、与本次竞争性谈判有关的一切正式往来通讯请寄：</w:t>
      </w:r>
    </w:p>
    <w:p w14:paraId="522E90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地址：_______________   邮编：______________</w:t>
      </w:r>
    </w:p>
    <w:p w14:paraId="0AF9729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电话：_______________   传真：______________</w:t>
      </w:r>
    </w:p>
    <w:p w14:paraId="12C67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法定代表人姓名： ___________ 职务：_________</w:t>
      </w:r>
    </w:p>
    <w:p w14:paraId="7856B8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 xml:space="preserve">             </w:t>
      </w:r>
      <w:bookmarkStart w:id="316" w:name="_Toc1506_WPSOffice_Level3"/>
      <w:r>
        <w:rPr>
          <w:rFonts w:hint="eastAsia" w:ascii="宋体" w:hAnsi="宋体" w:eastAsia="宋体" w:cs="宋体"/>
          <w:b w:val="0"/>
          <w:bCs w:val="0"/>
          <w:kern w:val="2"/>
          <w:sz w:val="24"/>
          <w:szCs w:val="24"/>
          <w:u w:val="none"/>
          <w:lang w:val="en-US" w:eastAsia="zh-CN" w:bidi="ar-SA"/>
        </w:rPr>
        <w:t xml:space="preserve">        </w:t>
      </w:r>
    </w:p>
    <w:p w14:paraId="294E4E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       </w:t>
      </w:r>
      <w:bookmarkStart w:id="317" w:name="_Toc28112_WPSOffice_Level3"/>
    </w:p>
    <w:p w14:paraId="34EDDBE4">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bookmarkEnd w:id="316"/>
      <w:bookmarkEnd w:id="317"/>
    </w:p>
    <w:p w14:paraId="373A927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bookmarkStart w:id="318" w:name="_Toc6385_WPSOffice_Level3"/>
      <w:bookmarkStart w:id="319" w:name="_Toc28651_WPSOffice_Level3"/>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法定代表人或委托代理人：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bookmarkEnd w:id="318"/>
      <w:bookmarkEnd w:id="319"/>
    </w:p>
    <w:p w14:paraId="0F6ECD5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bookmarkStart w:id="320" w:name="_Toc130_WPSOffice_Level3"/>
      <w:bookmarkStart w:id="321" w:name="_Toc13325_WPSOffice_Level3"/>
      <w:r>
        <w:rPr>
          <w:rFonts w:hint="eastAsia" w:ascii="宋体" w:hAnsi="宋体" w:eastAsia="宋体" w:cs="宋体"/>
          <w:b w:val="0"/>
          <w:bCs w:val="0"/>
          <w:kern w:val="2"/>
          <w:sz w:val="24"/>
          <w:szCs w:val="24"/>
          <w:u w:val="none"/>
          <w:lang w:val="zh-CN" w:eastAsia="zh-CN" w:bidi="ar-SA"/>
        </w:rPr>
        <w:t>年   月  日</w:t>
      </w:r>
      <w:bookmarkEnd w:id="320"/>
      <w:bookmarkEnd w:id="321"/>
    </w:p>
    <w:p w14:paraId="5F5BF35C">
      <w:pPr>
        <w:widowControl/>
        <w:wordWrap/>
        <w:snapToGrid w:val="0"/>
        <w:spacing w:before="157" w:beforeLines="50" w:line="560" w:lineRule="exact"/>
        <w:jc w:val="left"/>
        <w:outlineLvl w:val="2"/>
        <w:rPr>
          <w:rFonts w:hint="eastAsia" w:ascii="宋体" w:hAnsi="宋体" w:cs="宋体"/>
          <w:b/>
          <w:bCs/>
          <w:color w:val="000000"/>
          <w:sz w:val="32"/>
          <w:szCs w:val="32"/>
        </w:rPr>
      </w:pPr>
      <w:bookmarkStart w:id="322" w:name="_Toc20882_WPSOffice_Level3"/>
      <w:bookmarkStart w:id="323" w:name="_Toc26257_WPSOffice_Level2"/>
      <w:bookmarkStart w:id="324" w:name="_Toc3082"/>
      <w:bookmarkStart w:id="325" w:name="_Toc9845"/>
      <w:bookmarkStart w:id="326" w:name="_Toc16050"/>
      <w:bookmarkStart w:id="327" w:name="_Toc17887_WPSOffice_Level2"/>
      <w:bookmarkStart w:id="328" w:name="_Toc12487"/>
      <w:r>
        <w:rPr>
          <w:rFonts w:hint="eastAsia" w:ascii="宋体" w:hAnsi="宋体" w:eastAsia="宋体" w:cs="宋体"/>
          <w:b/>
          <w:color w:val="000000"/>
          <w:sz w:val="32"/>
          <w:szCs w:val="32"/>
          <w:lang w:eastAsia="zh-CN"/>
        </w:rPr>
        <w:t>附件2：法定代表人证明书</w:t>
      </w:r>
      <w:bookmarkEnd w:id="322"/>
      <w:bookmarkEnd w:id="323"/>
      <w:bookmarkEnd w:id="324"/>
      <w:bookmarkEnd w:id="325"/>
      <w:bookmarkEnd w:id="326"/>
      <w:bookmarkEnd w:id="327"/>
      <w:bookmarkEnd w:id="328"/>
    </w:p>
    <w:p w14:paraId="46431BB6">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29" w:name="_Toc14917_WPSOffice_Level1"/>
      <w:bookmarkStart w:id="330" w:name="_Toc32036_WPSOffice_Level1"/>
      <w:bookmarkStart w:id="331" w:name="_Toc6898_WPSOffice_Level2"/>
      <w:bookmarkStart w:id="332" w:name="_Toc28170_WPSOffice_Level2"/>
      <w:r>
        <w:rPr>
          <w:rFonts w:hint="eastAsia" w:ascii="宋体" w:hAnsi="宋体" w:eastAsia="宋体" w:cs="宋体"/>
          <w:b/>
          <w:color w:val="000000"/>
          <w:sz w:val="32"/>
          <w:szCs w:val="32"/>
          <w:lang w:eastAsia="zh-CN"/>
        </w:rPr>
        <w:t>法定代表人证明书</w:t>
      </w:r>
      <w:bookmarkEnd w:id="329"/>
      <w:bookmarkEnd w:id="330"/>
      <w:bookmarkEnd w:id="331"/>
      <w:bookmarkEnd w:id="332"/>
    </w:p>
    <w:p w14:paraId="0908D623">
      <w:pPr>
        <w:keepNext w:val="0"/>
        <w:keepLines w:val="0"/>
        <w:pageBreakBefore w:val="0"/>
        <w:widowControl w:val="0"/>
        <w:kinsoku/>
        <w:wordWrap/>
        <w:overflowPunct/>
        <w:topLinePunct w:val="0"/>
        <w:autoSpaceDE/>
        <w:autoSpaceDN/>
        <w:bidi w:val="0"/>
        <w:adjustRightInd w:val="0"/>
        <w:snapToGrid w:val="0"/>
        <w:spacing w:after="240" w:line="360" w:lineRule="auto"/>
        <w:jc w:val="left"/>
        <w:textAlignment w:val="auto"/>
        <w:rPr>
          <w:rFonts w:hint="eastAsia" w:ascii="宋体" w:hAnsi="宋体" w:eastAsia="宋体" w:cs="宋体"/>
          <w:b/>
          <w:bCs/>
          <w:kern w:val="2"/>
          <w:sz w:val="24"/>
          <w:szCs w:val="24"/>
          <w:u w:val="none"/>
          <w:lang w:val="zh-CN" w:eastAsia="zh-CN" w:bidi="ar-SA"/>
        </w:rPr>
      </w:pPr>
      <w:r>
        <w:rPr>
          <w:rFonts w:hint="eastAsia" w:ascii="宋体" w:hAnsi="宋体" w:eastAsia="宋体" w:cs="宋体"/>
          <w:b/>
          <w:bCs/>
          <w:kern w:val="2"/>
          <w:sz w:val="24"/>
          <w:szCs w:val="24"/>
          <w:u w:val="none"/>
          <w:lang w:val="zh-CN" w:eastAsia="zh-CN" w:bidi="ar-SA"/>
        </w:rPr>
        <w:t>致：</w:t>
      </w:r>
      <w:r>
        <w:rPr>
          <w:rFonts w:hint="eastAsia" w:ascii="宋体" w:hAnsi="宋体" w:eastAsia="宋体" w:cs="宋体"/>
          <w:b/>
          <w:bCs/>
          <w:kern w:val="2"/>
          <w:sz w:val="24"/>
          <w:szCs w:val="24"/>
          <w:u w:val="single"/>
          <w:lang w:val="zh-CN" w:eastAsia="zh-CN" w:bidi="ar-SA"/>
        </w:rPr>
        <w:t>青海国德招标代理有限公司</w:t>
      </w:r>
    </w:p>
    <w:p w14:paraId="5311627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single"/>
          <w:lang w:val="zh-CN" w:eastAsia="zh-CN" w:bidi="ar-SA"/>
        </w:rPr>
        <w:t xml:space="preserve">（法定代表人姓名）  </w:t>
      </w:r>
      <w:r>
        <w:rPr>
          <w:rFonts w:hint="eastAsia" w:ascii="宋体" w:hAnsi="宋体" w:eastAsia="宋体" w:cs="宋体"/>
          <w:b w:val="0"/>
          <w:bCs w:val="0"/>
          <w:kern w:val="2"/>
          <w:sz w:val="24"/>
          <w:szCs w:val="24"/>
          <w:u w:val="none"/>
          <w:lang w:val="zh-CN" w:eastAsia="zh-CN" w:bidi="ar-SA"/>
        </w:rPr>
        <w:t>现任我单位</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职务，为法定代表人，特此证明。</w:t>
      </w:r>
    </w:p>
    <w:p w14:paraId="57EA90B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法定代表人基本情况：</w:t>
      </w:r>
    </w:p>
    <w:p w14:paraId="03BDE47E">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性别：</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年龄：</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 xml:space="preserve">  民族：</w:t>
      </w:r>
      <w:r>
        <w:rPr>
          <w:rFonts w:hint="eastAsia" w:ascii="宋体" w:hAnsi="宋体" w:eastAsia="宋体" w:cs="宋体"/>
          <w:b w:val="0"/>
          <w:bCs w:val="0"/>
          <w:kern w:val="2"/>
          <w:sz w:val="24"/>
          <w:szCs w:val="24"/>
          <w:u w:val="single"/>
          <w:lang w:val="zh-CN" w:eastAsia="zh-CN" w:bidi="ar-SA"/>
        </w:rPr>
        <w:t xml:space="preserve">     </w:t>
      </w:r>
    </w:p>
    <w:p w14:paraId="2FB1D625">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地址：</w:t>
      </w:r>
      <w:r>
        <w:rPr>
          <w:rFonts w:hint="eastAsia" w:ascii="宋体" w:hAnsi="宋体" w:eastAsia="宋体" w:cs="宋体"/>
          <w:b w:val="0"/>
          <w:bCs w:val="0"/>
          <w:kern w:val="2"/>
          <w:sz w:val="24"/>
          <w:szCs w:val="24"/>
          <w:u w:val="single"/>
          <w:lang w:val="zh-CN" w:eastAsia="zh-CN" w:bidi="ar-SA"/>
        </w:rPr>
        <w:t xml:space="preserve">                             </w:t>
      </w:r>
    </w:p>
    <w:p w14:paraId="483D68F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身份证号码：</w:t>
      </w:r>
      <w:r>
        <w:rPr>
          <w:rFonts w:hint="eastAsia" w:ascii="宋体" w:hAnsi="宋体" w:eastAsia="宋体" w:cs="宋体"/>
          <w:b w:val="0"/>
          <w:bCs w:val="0"/>
          <w:kern w:val="2"/>
          <w:sz w:val="24"/>
          <w:szCs w:val="24"/>
          <w:u w:val="single"/>
          <w:lang w:val="zh-CN" w:eastAsia="zh-CN" w:bidi="ar-SA"/>
        </w:rPr>
        <w:t xml:space="preserve">                       </w:t>
      </w:r>
    </w:p>
    <w:p w14:paraId="2BFF78A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附法定代表人第二代身份证双面扫描或其他身份证明材料（复印件）</w:t>
      </w:r>
    </w:p>
    <w:p w14:paraId="06374999">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color w:val="000000"/>
          <w:kern w:val="0"/>
          <w:sz w:val="24"/>
          <w:szCs w:val="24"/>
        </w:rPr>
      </w:pPr>
    </w:p>
    <w:p w14:paraId="6DA04D7D">
      <w:pPr>
        <w:pStyle w:val="18"/>
        <w:rPr>
          <w:rFonts w:hint="eastAsia" w:ascii="宋体" w:hAnsi="宋体" w:eastAsia="宋体" w:cs="宋体"/>
          <w:color w:val="000000"/>
          <w:kern w:val="0"/>
          <w:sz w:val="24"/>
          <w:szCs w:val="24"/>
        </w:rPr>
      </w:pPr>
    </w:p>
    <w:p w14:paraId="4532BFE2">
      <w:pPr>
        <w:rPr>
          <w:rFonts w:hint="eastAsia" w:ascii="宋体" w:hAnsi="宋体" w:eastAsia="宋体" w:cs="宋体"/>
          <w:color w:val="000000"/>
          <w:kern w:val="0"/>
          <w:sz w:val="24"/>
          <w:szCs w:val="24"/>
        </w:rPr>
      </w:pPr>
    </w:p>
    <w:p w14:paraId="4FF85BAE">
      <w:pPr>
        <w:pStyle w:val="18"/>
        <w:rPr>
          <w:rFonts w:hint="eastAsia" w:ascii="宋体" w:hAnsi="宋体" w:eastAsia="宋体" w:cs="宋体"/>
          <w:color w:val="000000"/>
          <w:kern w:val="0"/>
          <w:sz w:val="24"/>
          <w:szCs w:val="24"/>
        </w:rPr>
      </w:pPr>
    </w:p>
    <w:p w14:paraId="6C5C3BD6">
      <w:pPr>
        <w:rPr>
          <w:rFonts w:hint="eastAsia" w:ascii="宋体" w:hAnsi="宋体" w:eastAsia="宋体" w:cs="宋体"/>
          <w:sz w:val="24"/>
          <w:szCs w:val="24"/>
        </w:rPr>
      </w:pPr>
    </w:p>
    <w:p w14:paraId="52A42163">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p>
    <w:p w14:paraId="3F52ABD4">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p>
    <w:p w14:paraId="45525FCF">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年   月  日</w:t>
      </w:r>
    </w:p>
    <w:p w14:paraId="3DB8DD02">
      <w:pPr>
        <w:wordWrap/>
        <w:spacing w:before="157" w:beforeLines="50" w:line="560" w:lineRule="exact"/>
        <w:ind w:right="480"/>
        <w:jc w:val="right"/>
        <w:outlineLvl w:val="9"/>
        <w:rPr>
          <w:rFonts w:hint="eastAsia" w:ascii="宋体"/>
          <w:b/>
          <w:color w:val="000000"/>
          <w:sz w:val="36"/>
          <w:szCs w:val="36"/>
        </w:rPr>
      </w:pPr>
    </w:p>
    <w:p w14:paraId="4BA8EECC">
      <w:pPr>
        <w:widowControl/>
        <w:wordWrap/>
        <w:snapToGrid w:val="0"/>
        <w:spacing w:before="157" w:beforeLines="50" w:line="560" w:lineRule="exact"/>
        <w:jc w:val="left"/>
        <w:outlineLvl w:val="2"/>
        <w:rPr>
          <w:rFonts w:hint="eastAsia" w:ascii="宋体" w:hAnsi="宋体" w:eastAsia="宋体" w:cs="宋体"/>
          <w:b/>
          <w:color w:val="000000"/>
          <w:sz w:val="28"/>
          <w:szCs w:val="28"/>
          <w:lang w:eastAsia="zh-CN"/>
        </w:rPr>
      </w:pPr>
      <w:bookmarkStart w:id="333" w:name="_Toc21545_WPSOffice_Level3"/>
      <w:bookmarkStart w:id="334" w:name="_Toc23551"/>
      <w:bookmarkStart w:id="335" w:name="_Toc27782"/>
      <w:bookmarkStart w:id="336" w:name="_Toc31901"/>
      <w:bookmarkStart w:id="337" w:name="_Toc18183"/>
      <w:bookmarkStart w:id="338" w:name="_Toc23035_WPSOffice_Level2"/>
    </w:p>
    <w:p w14:paraId="08202AB2">
      <w:pPr>
        <w:widowControl/>
        <w:wordWrap/>
        <w:snapToGrid w:val="0"/>
        <w:spacing w:before="157" w:beforeLines="50" w:line="560" w:lineRule="exact"/>
        <w:jc w:val="left"/>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附件3：法定代表人授权书</w:t>
      </w:r>
      <w:bookmarkEnd w:id="333"/>
      <w:bookmarkEnd w:id="334"/>
      <w:bookmarkEnd w:id="335"/>
      <w:bookmarkEnd w:id="336"/>
      <w:bookmarkEnd w:id="337"/>
      <w:bookmarkEnd w:id="338"/>
    </w:p>
    <w:p w14:paraId="52D62B01">
      <w:pPr>
        <w:widowControl w:val="0"/>
        <w:wordWrap/>
        <w:spacing w:before="157" w:beforeLines="50" w:line="560" w:lineRule="exact"/>
        <w:ind w:firstLine="2891" w:firstLineChars="900"/>
        <w:jc w:val="both"/>
        <w:textAlignment w:val="auto"/>
        <w:outlineLvl w:val="9"/>
        <w:rPr>
          <w:rFonts w:hint="eastAsia" w:ascii="宋体" w:hAnsi="宋体" w:eastAsia="宋体" w:cs="宋体"/>
          <w:b/>
          <w:color w:val="000000"/>
          <w:sz w:val="32"/>
          <w:szCs w:val="32"/>
          <w:lang w:eastAsia="zh-CN"/>
        </w:rPr>
      </w:pPr>
      <w:bookmarkStart w:id="339" w:name="_Toc5048_WPSOffice_Level2"/>
      <w:bookmarkStart w:id="340" w:name="_Toc1148_WPSOffice_Level3"/>
      <w:bookmarkStart w:id="341" w:name="_Toc26434_WPSOffice_Level2"/>
      <w:r>
        <w:rPr>
          <w:rFonts w:hint="eastAsia" w:ascii="宋体" w:hAnsi="宋体" w:eastAsia="宋体" w:cs="宋体"/>
          <w:b/>
          <w:color w:val="000000"/>
          <w:sz w:val="32"/>
          <w:szCs w:val="32"/>
          <w:lang w:eastAsia="zh-CN"/>
        </w:rPr>
        <w:t>法定代表人授权书</w:t>
      </w:r>
      <w:bookmarkEnd w:id="339"/>
      <w:bookmarkEnd w:id="340"/>
      <w:bookmarkEnd w:id="341"/>
    </w:p>
    <w:p w14:paraId="0A3626C1">
      <w:pPr>
        <w:keepNext w:val="0"/>
        <w:keepLines w:val="0"/>
        <w:pageBreakBefore w:val="0"/>
        <w:widowControl w:val="0"/>
        <w:kinsoku/>
        <w:wordWrap/>
        <w:overflowPunct/>
        <w:topLinePunct w:val="0"/>
        <w:autoSpaceDE/>
        <w:autoSpaceDN/>
        <w:bidi w:val="0"/>
        <w:adjustRightInd/>
        <w:snapToGrid/>
        <w:spacing w:after="240" w:line="360" w:lineRule="auto"/>
        <w:ind w:firstLine="198" w:firstLineChars="82"/>
        <w:textAlignment w:val="auto"/>
        <w:outlineLvl w:val="9"/>
        <w:rPr>
          <w:rFonts w:hint="eastAsia" w:ascii="宋体" w:hAnsi="宋体" w:eastAsia="宋体" w:cs="宋体"/>
          <w:color w:val="000000"/>
          <w:sz w:val="24"/>
          <w:szCs w:val="24"/>
          <w:u w:val="single"/>
        </w:rPr>
      </w:pPr>
      <w:bookmarkStart w:id="342" w:name="_Toc6307_WPSOffice_Level2"/>
      <w:bookmarkStart w:id="343" w:name="_Toc25306_WPSOffice_Level2"/>
      <w:bookmarkStart w:id="344" w:name="_Toc16084_WPSOffice_Level2"/>
      <w:r>
        <w:rPr>
          <w:rFonts w:hint="eastAsia" w:ascii="宋体" w:hAnsi="宋体" w:eastAsia="宋体" w:cs="宋体"/>
          <w:b/>
          <w:bCs/>
          <w:color w:val="000000"/>
          <w:sz w:val="24"/>
          <w:szCs w:val="24"/>
        </w:rPr>
        <w:t>致：</w:t>
      </w:r>
      <w:bookmarkEnd w:id="342"/>
      <w:bookmarkEnd w:id="343"/>
      <w:bookmarkEnd w:id="344"/>
      <w:r>
        <w:rPr>
          <w:rFonts w:hint="eastAsia" w:ascii="宋体" w:hAnsi="宋体" w:eastAsia="宋体" w:cs="宋体"/>
          <w:b/>
          <w:bCs/>
          <w:color w:val="000000"/>
          <w:sz w:val="24"/>
          <w:szCs w:val="24"/>
          <w:u w:val="single"/>
          <w:lang w:eastAsia="zh-CN"/>
        </w:rPr>
        <w:t>青海国德招标代理有限公司</w:t>
      </w:r>
    </w:p>
    <w:p w14:paraId="05F6B69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（供应商名称）  </w:t>
      </w:r>
      <w:r>
        <w:rPr>
          <w:rFonts w:hint="eastAsia" w:ascii="宋体" w:hAnsi="宋体" w:eastAsia="宋体" w:cs="宋体"/>
          <w:color w:val="000000"/>
          <w:sz w:val="24"/>
          <w:szCs w:val="24"/>
        </w:rPr>
        <w:t>系中华人民共和国合法企业，法定地址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57CF1F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（法定代表人姓名）   </w:t>
      </w:r>
      <w:r>
        <w:rPr>
          <w:rFonts w:hint="eastAsia" w:ascii="宋体" w:hAnsi="宋体" w:eastAsia="宋体" w:cs="宋体"/>
          <w:color w:val="000000"/>
          <w:sz w:val="24"/>
          <w:szCs w:val="24"/>
        </w:rPr>
        <w:t>特授权</w:t>
      </w:r>
      <w:r>
        <w:rPr>
          <w:rFonts w:hint="eastAsia" w:ascii="宋体" w:hAnsi="宋体" w:eastAsia="宋体" w:cs="宋体"/>
          <w:color w:val="000000"/>
          <w:sz w:val="24"/>
          <w:szCs w:val="24"/>
          <w:u w:val="single"/>
        </w:rPr>
        <w:t xml:space="preserve"> （委托代理人姓名）    </w:t>
      </w:r>
      <w:r>
        <w:rPr>
          <w:rFonts w:hint="eastAsia" w:ascii="宋体" w:hAnsi="宋体" w:eastAsia="宋体" w:cs="宋体"/>
          <w:color w:val="000000"/>
          <w:sz w:val="24"/>
          <w:szCs w:val="24"/>
        </w:rPr>
        <w:t>代表我单位全权办理针对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w:t>
      </w:r>
      <w:r>
        <w:rPr>
          <w:rFonts w:hint="eastAsia" w:ascii="宋体" w:hAnsi="宋体" w:eastAsia="宋体" w:cs="宋体"/>
          <w:color w:val="000000"/>
          <w:sz w:val="24"/>
          <w:szCs w:val="24"/>
          <w:lang w:eastAsia="zh-CN"/>
        </w:rPr>
        <w:t>谈判、答疑</w:t>
      </w:r>
      <w:r>
        <w:rPr>
          <w:rFonts w:hint="eastAsia" w:ascii="宋体" w:hAnsi="宋体" w:eastAsia="宋体" w:cs="宋体"/>
          <w:color w:val="000000"/>
          <w:sz w:val="24"/>
          <w:szCs w:val="24"/>
        </w:rPr>
        <w:t>等具体工作，并签署全部有关的文件、资料。</w:t>
      </w:r>
    </w:p>
    <w:p w14:paraId="56442B3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我单位对被授权人的签名负全部责任。</w:t>
      </w:r>
    </w:p>
    <w:p w14:paraId="5D209B6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在撤销授权的书面通知以前，本授权书一直有效，被授权人签署的所有文件（在授权书有效期内签署的）不因授权的撤销而失效。</w:t>
      </w:r>
    </w:p>
    <w:p w14:paraId="1244A91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授权期限：自</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日止。</w:t>
      </w:r>
    </w:p>
    <w:p w14:paraId="15B579A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被授权人联系电话：</w:t>
      </w:r>
      <w:r>
        <w:rPr>
          <w:rFonts w:hint="eastAsia" w:ascii="宋体" w:hAnsi="宋体" w:eastAsia="宋体" w:cs="宋体"/>
          <w:color w:val="000000"/>
          <w:sz w:val="24"/>
          <w:szCs w:val="24"/>
          <w:u w:val="single"/>
        </w:rPr>
        <w:t xml:space="preserve">          </w:t>
      </w:r>
    </w:p>
    <w:p w14:paraId="4FAD27A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被授权人（委托代理人）签字或盖章：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3F8D4FC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授权人（法定代表人）签字或盖章：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2E093B8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附被授权人第二代身份证双面扫描（或复印）件</w:t>
      </w:r>
    </w:p>
    <w:p w14:paraId="347432E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bookmarkStart w:id="345" w:name="_Toc13837_WPSOffice_Level3"/>
    </w:p>
    <w:p w14:paraId="7CB05A4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p>
    <w:bookmarkEnd w:id="345"/>
    <w:p w14:paraId="67D29B43">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9B3544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2190D00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年   月  日</w:t>
      </w:r>
    </w:p>
    <w:p w14:paraId="7A6DA795">
      <w:pPr>
        <w:widowControl/>
        <w:wordWrap/>
        <w:snapToGrid w:val="0"/>
        <w:spacing w:before="157" w:beforeLines="50" w:line="560" w:lineRule="exact"/>
        <w:jc w:val="left"/>
        <w:outlineLvl w:val="2"/>
        <w:rPr>
          <w:rFonts w:hint="eastAsia" w:ascii="宋体" w:hAnsi="宋体" w:eastAsia="宋体" w:cs="宋体"/>
          <w:b/>
          <w:color w:val="000000"/>
          <w:sz w:val="32"/>
          <w:szCs w:val="32"/>
          <w:lang w:eastAsia="zh-CN"/>
        </w:rPr>
      </w:pPr>
      <w:bookmarkStart w:id="346" w:name="_Toc23618"/>
      <w:bookmarkStart w:id="347" w:name="_Toc16704"/>
      <w:bookmarkStart w:id="348" w:name="_Toc7737_WPSOffice_Level3"/>
      <w:bookmarkStart w:id="349" w:name="_Toc26653_WPSOffice_Level3"/>
      <w:bookmarkStart w:id="350" w:name="_Toc30919"/>
      <w:bookmarkStart w:id="351" w:name="_Toc19298"/>
      <w:r>
        <w:rPr>
          <w:rFonts w:hint="eastAsia" w:ascii="宋体" w:hAnsi="宋体" w:eastAsia="宋体" w:cs="宋体"/>
          <w:b/>
          <w:color w:val="000000"/>
          <w:sz w:val="32"/>
          <w:szCs w:val="32"/>
          <w:lang w:eastAsia="zh-CN"/>
        </w:rPr>
        <w:t>附件4：供应商承诺函</w:t>
      </w:r>
      <w:bookmarkEnd w:id="346"/>
      <w:bookmarkEnd w:id="347"/>
      <w:bookmarkEnd w:id="348"/>
      <w:bookmarkEnd w:id="349"/>
      <w:bookmarkEnd w:id="350"/>
      <w:bookmarkEnd w:id="351"/>
    </w:p>
    <w:p w14:paraId="47D26271">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52" w:name="_Toc27597_WPSOffice_Level3"/>
      <w:bookmarkStart w:id="353" w:name="_Toc17639_WPSOffice_Level2"/>
      <w:bookmarkStart w:id="354" w:name="_Toc2453_WPSOffice_Level2"/>
      <w:r>
        <w:rPr>
          <w:rFonts w:hint="eastAsia" w:ascii="宋体" w:hAnsi="宋体" w:eastAsia="宋体" w:cs="宋体"/>
          <w:b/>
          <w:color w:val="000000"/>
          <w:sz w:val="32"/>
          <w:szCs w:val="32"/>
          <w:lang w:eastAsia="zh-CN"/>
        </w:rPr>
        <w:t>供应商承诺函</w:t>
      </w:r>
      <w:bookmarkEnd w:id="352"/>
      <w:bookmarkEnd w:id="353"/>
      <w:bookmarkEnd w:id="354"/>
    </w:p>
    <w:p w14:paraId="122D63A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377F5BB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关于贵方</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eastAsia="zh-CN"/>
        </w:rPr>
        <w:t>（项目名称及编号）</w:t>
      </w:r>
      <w:r>
        <w:rPr>
          <w:rFonts w:hint="eastAsia" w:ascii="宋体" w:hAnsi="宋体" w:eastAsia="宋体" w:cs="宋体"/>
          <w:b w:val="0"/>
          <w:bCs w:val="0"/>
          <w:color w:val="000000"/>
          <w:sz w:val="24"/>
          <w:szCs w:val="24"/>
        </w:rPr>
        <w:t>采购项目，本签字人愿意参加</w:t>
      </w:r>
      <w:r>
        <w:rPr>
          <w:rFonts w:hint="eastAsia" w:ascii="宋体" w:hAnsi="宋体" w:eastAsia="宋体" w:cs="宋体"/>
          <w:b w:val="0"/>
          <w:bCs w:val="0"/>
          <w:color w:val="000000"/>
          <w:sz w:val="24"/>
          <w:szCs w:val="24"/>
          <w:lang w:eastAsia="zh-CN"/>
        </w:rPr>
        <w:t>谈判</w:t>
      </w:r>
      <w:r>
        <w:rPr>
          <w:rFonts w:hint="eastAsia" w:ascii="宋体" w:hAnsi="宋体" w:eastAsia="宋体" w:cs="宋体"/>
          <w:b w:val="0"/>
          <w:bCs w:val="0"/>
          <w:color w:val="000000"/>
          <w:sz w:val="24"/>
          <w:szCs w:val="24"/>
        </w:rPr>
        <w:t>，提供采购一览表中要求的所有产品，并证实提交的所有资料是准确的和真实的。同时，我代表</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（供应商名称）</w:t>
      </w:r>
      <w:r>
        <w:rPr>
          <w:rFonts w:hint="eastAsia" w:ascii="宋体" w:hAnsi="宋体" w:eastAsia="宋体" w:cs="宋体"/>
          <w:b w:val="0"/>
          <w:bCs w:val="0"/>
          <w:color w:val="000000"/>
          <w:sz w:val="24"/>
          <w:szCs w:val="24"/>
        </w:rPr>
        <w:t>，在此作如下承诺：</w:t>
      </w:r>
    </w:p>
    <w:p w14:paraId="6882304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1、完全理解和接受谈判文件的一切规定和要求；</w:t>
      </w:r>
    </w:p>
    <w:p w14:paraId="70879FD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2、若</w:t>
      </w:r>
      <w:r>
        <w:rPr>
          <w:rFonts w:hint="eastAsia" w:ascii="宋体" w:hAnsi="宋体" w:eastAsia="宋体" w:cs="宋体"/>
          <w:b w:val="0"/>
          <w:bCs w:val="0"/>
          <w:color w:val="000000"/>
          <w:sz w:val="24"/>
          <w:szCs w:val="24"/>
          <w:lang w:eastAsia="zh-CN"/>
        </w:rPr>
        <w:t>成交</w:t>
      </w:r>
      <w:r>
        <w:rPr>
          <w:rFonts w:hint="eastAsia" w:ascii="宋体" w:hAnsi="宋体" w:eastAsia="宋体" w:cs="宋体"/>
          <w:b w:val="0"/>
          <w:bCs w:val="0"/>
          <w:color w:val="000000"/>
          <w:sz w:val="24"/>
          <w:szCs w:val="24"/>
        </w:rPr>
        <w:t>，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49EA3BF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3、我方保证甲方在使用该产品或其任何一部分时，不受第三方提出的侵犯专利权、著作权、商标权和工业设计权等知识产权的起诉，若有</w:t>
      </w:r>
      <w:r>
        <w:rPr>
          <w:rFonts w:hint="eastAsia" w:ascii="宋体" w:hAnsi="宋体" w:eastAsia="宋体" w:cs="宋体"/>
          <w:b w:val="0"/>
          <w:bCs w:val="0"/>
          <w:color w:val="000000"/>
          <w:sz w:val="24"/>
          <w:szCs w:val="24"/>
          <w:lang w:eastAsia="zh-CN"/>
        </w:rPr>
        <w:t>违反</w:t>
      </w:r>
      <w:r>
        <w:rPr>
          <w:rFonts w:hint="eastAsia" w:ascii="宋体" w:hAnsi="宋体" w:eastAsia="宋体" w:cs="宋体"/>
          <w:b w:val="0"/>
          <w:bCs w:val="0"/>
          <w:color w:val="000000"/>
          <w:sz w:val="24"/>
          <w:szCs w:val="24"/>
        </w:rPr>
        <w:t>，愿承担相应的一切责任。</w:t>
      </w:r>
    </w:p>
    <w:p w14:paraId="58CF614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4、我方承诺，除谈判文件中规定的优质产品外，所投的产品均为国产产品，且均符合国家强制性标准。若有不实，愿承担相应的责任。</w:t>
      </w:r>
    </w:p>
    <w:p w14:paraId="2CEDE1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5、在整个谈判过程中我方若有违规行为，贵方可按谈判文件之规定给予处罚，我方完全接受。</w:t>
      </w:r>
    </w:p>
    <w:p w14:paraId="0244BF9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val="0"/>
          <w:color w:val="000000"/>
          <w:sz w:val="24"/>
          <w:szCs w:val="24"/>
        </w:rPr>
        <w:t>6、若成交，本承诺将成为合同不可分割的一部分，与合同具有同等的法律效力。</w:t>
      </w:r>
      <w:bookmarkStart w:id="355" w:name="_Toc11979_WPSOffice_Level3"/>
      <w:bookmarkStart w:id="356" w:name="_Toc29941_WPSOffice_Level3"/>
    </w:p>
    <w:p w14:paraId="65E6D962">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355"/>
      <w:bookmarkEnd w:id="356"/>
    </w:p>
    <w:p w14:paraId="79D1226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7" w:name="_Toc15106_WPSOffice_Level3"/>
      <w:bookmarkStart w:id="358" w:name="_Toc22507_WPSOffice_Level3"/>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357"/>
      <w:bookmarkEnd w:id="358"/>
    </w:p>
    <w:p w14:paraId="73F1B5F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9" w:name="_Toc24254_WPSOffice_Level3"/>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bookmarkStart w:id="360" w:name="_Toc9343_WPSOffice_Level3"/>
      <w:r>
        <w:rPr>
          <w:rFonts w:hint="eastAsia" w:ascii="宋体" w:hAnsi="宋体" w:eastAsia="宋体" w:cs="宋体"/>
          <w:b w:val="0"/>
          <w:bCs/>
          <w:color w:val="000000"/>
          <w:sz w:val="24"/>
          <w:szCs w:val="24"/>
        </w:rPr>
        <w:t>年   月  日</w:t>
      </w:r>
      <w:bookmarkEnd w:id="359"/>
      <w:bookmarkEnd w:id="360"/>
    </w:p>
    <w:p w14:paraId="5757FC77">
      <w:pPr>
        <w:widowControl/>
        <w:wordWrap/>
        <w:snapToGrid w:val="0"/>
        <w:spacing w:before="157" w:beforeLines="50" w:line="560" w:lineRule="exact"/>
        <w:outlineLvl w:val="1"/>
        <w:rPr>
          <w:rFonts w:hint="eastAsia" w:ascii="宋体" w:hAnsi="宋体" w:eastAsia="宋体" w:cs="宋体"/>
          <w:b/>
          <w:color w:val="000000"/>
          <w:sz w:val="32"/>
          <w:szCs w:val="32"/>
        </w:rPr>
      </w:pPr>
      <w:r>
        <w:rPr>
          <w:rFonts w:ascii="宋体"/>
          <w:b/>
          <w:color w:val="000000"/>
          <w:sz w:val="28"/>
          <w:szCs w:val="28"/>
        </w:rPr>
        <w:br w:type="page"/>
      </w:r>
      <w:bookmarkStart w:id="361" w:name="_Toc653_WPSOffice_Level3"/>
      <w:bookmarkStart w:id="362" w:name="_Toc6416"/>
      <w:bookmarkStart w:id="363" w:name="_Toc26773_WPSOffice_Level3"/>
      <w:bookmarkStart w:id="364" w:name="_Toc20884"/>
      <w:bookmarkStart w:id="365" w:name="_Toc15780"/>
      <w:bookmarkStart w:id="366" w:name="_Toc25740"/>
      <w:r>
        <w:rPr>
          <w:rFonts w:hint="eastAsia" w:ascii="宋体" w:hAnsi="宋体" w:eastAsia="宋体" w:cs="宋体"/>
          <w:b/>
          <w:color w:val="000000"/>
          <w:sz w:val="32"/>
          <w:szCs w:val="32"/>
          <w:lang w:eastAsia="zh-CN"/>
        </w:rPr>
        <w:t>附件5：供应商诚信承诺书</w:t>
      </w:r>
      <w:bookmarkEnd w:id="361"/>
      <w:bookmarkEnd w:id="362"/>
      <w:bookmarkEnd w:id="363"/>
      <w:bookmarkEnd w:id="364"/>
      <w:bookmarkEnd w:id="365"/>
      <w:bookmarkEnd w:id="366"/>
    </w:p>
    <w:p w14:paraId="1F840F80">
      <w:pPr>
        <w:wordWrap/>
        <w:spacing w:before="157" w:beforeLines="50" w:line="560" w:lineRule="exact"/>
        <w:jc w:val="center"/>
        <w:outlineLvl w:val="9"/>
        <w:rPr>
          <w:rFonts w:hint="eastAsia" w:ascii="宋体" w:hAnsi="宋体" w:eastAsia="宋体" w:cs="宋体"/>
          <w:b/>
          <w:color w:val="000000"/>
          <w:sz w:val="32"/>
          <w:szCs w:val="32"/>
        </w:rPr>
      </w:pPr>
      <w:bookmarkStart w:id="367" w:name="_Toc22989_WPSOffice_Level3"/>
      <w:bookmarkStart w:id="368" w:name="_Toc22537_WPSOffice_Level3"/>
      <w:r>
        <w:rPr>
          <w:rFonts w:hint="eastAsia" w:ascii="宋体" w:hAnsi="宋体" w:eastAsia="宋体" w:cs="宋体"/>
          <w:b/>
          <w:color w:val="000000"/>
          <w:sz w:val="32"/>
          <w:szCs w:val="32"/>
          <w:lang w:eastAsia="zh-CN"/>
        </w:rPr>
        <w:t>供应商诚信承诺书</w:t>
      </w:r>
      <w:bookmarkEnd w:id="367"/>
      <w:bookmarkEnd w:id="368"/>
    </w:p>
    <w:p w14:paraId="348A9B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 w:val="24"/>
          <w:szCs w:val="24"/>
          <w:u w:val="single"/>
          <w:lang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70739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为了诚实、客观、有序地参与青海省政府采购活动，愿就以下内容作出承诺：</w:t>
      </w:r>
    </w:p>
    <w:p w14:paraId="2682C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、自觉遵守各项法律、法规、规章、制度以及社会公德，维护廉洁环境，与同场竞争的供应商平等参加政府采购活动。</w:t>
      </w:r>
    </w:p>
    <w:p w14:paraId="1E5F1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、参加青海省政府采购中心组织的政府采购活动时，严格按照谈判文件的规定和要求提供所需的相关材料，并对所提供的各类资料的真实性负责，不虚假</w:t>
      </w:r>
      <w:r>
        <w:rPr>
          <w:rFonts w:hint="eastAsia" w:ascii="宋体" w:hAnsi="宋体" w:eastAsia="宋体" w:cs="宋体"/>
          <w:b w:val="0"/>
          <w:bCs w:val="0"/>
          <w:color w:val="000000"/>
          <w:sz w:val="24"/>
          <w:szCs w:val="24"/>
          <w:lang w:eastAsia="zh-CN"/>
        </w:rPr>
        <w:t>响应</w:t>
      </w:r>
      <w:r>
        <w:rPr>
          <w:rFonts w:hint="eastAsia" w:ascii="宋体" w:hAnsi="宋体" w:eastAsia="宋体" w:cs="宋体"/>
          <w:b w:val="0"/>
          <w:bCs w:val="0"/>
          <w:color w:val="000000"/>
          <w:sz w:val="24"/>
          <w:szCs w:val="24"/>
        </w:rPr>
        <w:t>，不虚列业绩。</w:t>
      </w:r>
    </w:p>
    <w:p w14:paraId="613DF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、尊重参与政府采购活动各相关方的合法行为，接受政府采购活动依法形成的意见、结果。</w:t>
      </w:r>
    </w:p>
    <w:p w14:paraId="53805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、依法参加政府采购活动，不围标、串标，维护市场秩序，不提供“三无”产品、以次充好。</w:t>
      </w:r>
    </w:p>
    <w:p w14:paraId="23871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、积极推动政府采购活动健康开展，对采购活动有疑问、异议时，按法律规定的程序实名（加盖单位</w:t>
      </w:r>
      <w:r>
        <w:rPr>
          <w:rFonts w:hint="eastAsia" w:ascii="宋体" w:hAnsi="宋体" w:eastAsia="宋体" w:cs="宋体"/>
          <w:b w:val="0"/>
          <w:bCs w:val="0"/>
          <w:color w:val="000000"/>
          <w:sz w:val="24"/>
          <w:szCs w:val="24"/>
          <w:lang w:eastAsia="zh-CN"/>
        </w:rPr>
        <w:t>公</w:t>
      </w:r>
      <w:r>
        <w:rPr>
          <w:rFonts w:hint="eastAsia" w:ascii="宋体" w:hAnsi="宋体" w:eastAsia="宋体" w:cs="宋体"/>
          <w:b w:val="0"/>
          <w:bCs w:val="0"/>
          <w:color w:val="000000"/>
          <w:sz w:val="24"/>
          <w:szCs w:val="24"/>
        </w:rPr>
        <w:t>章和法定代表人签名）反映情况，不恶意中伤、无事生非，以和谐、平等的心态参加政府采购活动。</w:t>
      </w:r>
    </w:p>
    <w:p w14:paraId="5ED42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、认真履行成交供应商应承担的责任和义务，全面执行采购合同规定的各项内容，保质保量地按时提供采购物品。</w:t>
      </w:r>
    </w:p>
    <w:p w14:paraId="56648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若本企业（单位）发生有悖于上述承诺的行为，愿意接受《中华人民共和国政府采购法》和《政府采购法实施条例》中对供应商的相关处理。</w:t>
      </w:r>
    </w:p>
    <w:p w14:paraId="41FB15B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_GB2312" w:hAnsi="仿宋_GB2312" w:eastAsia="仿宋_GB2312" w:cs="仿宋_GB2312"/>
          <w:b w:val="0"/>
          <w:bCs/>
          <w:color w:val="000000"/>
          <w:sz w:val="28"/>
          <w:szCs w:val="28"/>
        </w:rPr>
      </w:pPr>
      <w:r>
        <w:rPr>
          <w:rFonts w:hint="eastAsia" w:ascii="宋体" w:hAnsi="宋体" w:eastAsia="宋体" w:cs="宋体"/>
          <w:b w:val="0"/>
          <w:bCs w:val="0"/>
          <w:color w:val="000000"/>
          <w:sz w:val="24"/>
          <w:szCs w:val="24"/>
        </w:rPr>
        <w:t>本承诺是采购项目谈判响应文件的组成部分。</w:t>
      </w:r>
      <w:bookmarkStart w:id="369" w:name="_Toc23784_WPSOffice_Level3"/>
      <w:bookmarkStart w:id="370" w:name="_Toc2830_WPSOffice_Level3"/>
    </w:p>
    <w:p w14:paraId="08C3D83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03CBF7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bookmarkEnd w:id="369"/>
      <w:bookmarkEnd w:id="370"/>
    </w:p>
    <w:p w14:paraId="1DADDE6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w:t>
      </w:r>
      <w:bookmarkStart w:id="371" w:name="_Toc25026_WPSOffice_Level3"/>
      <w:bookmarkStart w:id="372" w:name="_Toc13573_WPSOffice_Level3"/>
      <w:r>
        <w:rPr>
          <w:rFonts w:hint="eastAsia" w:ascii="宋体" w:hAnsi="宋体" w:eastAsia="宋体" w:cs="宋体"/>
          <w:b w:val="0"/>
          <w:bCs w:val="0"/>
          <w:color w:val="000000"/>
          <w:sz w:val="24"/>
          <w:szCs w:val="24"/>
        </w:rPr>
        <w:t>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bookmarkEnd w:id="371"/>
      <w:bookmarkEnd w:id="372"/>
    </w:p>
    <w:p w14:paraId="063C865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bookmarkStart w:id="373" w:name="_Toc5564_WPSOffice_Level3"/>
      <w:r>
        <w:rPr>
          <w:rFonts w:hint="eastAsia" w:ascii="宋体" w:hAnsi="宋体" w:eastAsia="宋体" w:cs="宋体"/>
          <w:b w:val="0"/>
          <w:bCs w:val="0"/>
          <w:color w:val="000000"/>
          <w:sz w:val="24"/>
          <w:szCs w:val="24"/>
          <w:lang w:val="en-US" w:eastAsia="zh-CN"/>
        </w:rPr>
        <w:t xml:space="preserve">                      </w:t>
      </w:r>
      <w:bookmarkStart w:id="374" w:name="_Toc12645_WPSOffice_Level3"/>
      <w:r>
        <w:rPr>
          <w:rFonts w:hint="eastAsia" w:ascii="宋体" w:hAnsi="宋体" w:eastAsia="宋体" w:cs="宋体"/>
          <w:b w:val="0"/>
          <w:bCs w:val="0"/>
          <w:color w:val="000000"/>
          <w:sz w:val="24"/>
          <w:szCs w:val="24"/>
        </w:rPr>
        <w:t>年   月  日</w:t>
      </w:r>
      <w:bookmarkEnd w:id="373"/>
      <w:bookmarkEnd w:id="374"/>
    </w:p>
    <w:p w14:paraId="2DC1EF36">
      <w:pPr>
        <w:wordWrap/>
        <w:spacing w:before="157" w:beforeLines="50" w:line="560" w:lineRule="exact"/>
        <w:jc w:val="left"/>
        <w:outlineLvl w:val="9"/>
        <w:rPr>
          <w:rFonts w:hint="eastAsia" w:ascii="宋体" w:hAnsi="宋体" w:eastAsia="宋体" w:cs="宋体"/>
          <w:b/>
          <w:color w:val="000000"/>
          <w:sz w:val="32"/>
          <w:szCs w:val="32"/>
          <w:lang w:eastAsia="zh-CN"/>
        </w:rPr>
      </w:pPr>
      <w:bookmarkStart w:id="375" w:name="_Toc16847"/>
      <w:bookmarkStart w:id="376" w:name="_Toc25242"/>
      <w:bookmarkStart w:id="377" w:name="_Toc5195"/>
      <w:bookmarkStart w:id="378" w:name="_Toc8368_WPSOffice_Level3"/>
      <w:bookmarkStart w:id="379" w:name="_Toc6033"/>
      <w:bookmarkStart w:id="380" w:name="_Toc19930_WPSOffice_Level3"/>
      <w:r>
        <w:rPr>
          <w:rFonts w:hint="eastAsia" w:ascii="宋体" w:hAnsi="宋体" w:eastAsia="宋体" w:cs="宋体"/>
          <w:b/>
          <w:color w:val="000000"/>
          <w:sz w:val="32"/>
          <w:szCs w:val="32"/>
          <w:lang w:eastAsia="zh-CN"/>
        </w:rPr>
        <w:t>附件6：供应商资格证明文件</w:t>
      </w:r>
      <w:bookmarkEnd w:id="375"/>
      <w:bookmarkEnd w:id="376"/>
      <w:bookmarkEnd w:id="377"/>
      <w:bookmarkEnd w:id="378"/>
      <w:bookmarkEnd w:id="379"/>
      <w:bookmarkEnd w:id="380"/>
    </w:p>
    <w:p w14:paraId="552B9662">
      <w:pPr>
        <w:wordWrap/>
        <w:spacing w:before="157" w:beforeLines="50" w:line="560" w:lineRule="exact"/>
        <w:jc w:val="center"/>
        <w:outlineLvl w:val="9"/>
        <w:rPr>
          <w:rFonts w:hint="eastAsia" w:ascii="宋体" w:hAnsi="宋体" w:eastAsia="宋体" w:cs="宋体"/>
          <w:b/>
          <w:color w:val="000000"/>
          <w:sz w:val="32"/>
          <w:szCs w:val="32"/>
          <w:lang w:eastAsia="zh-CN"/>
        </w:rPr>
      </w:pPr>
      <w:bookmarkStart w:id="381" w:name="_Toc23997_WPSOffice_Level3"/>
      <w:bookmarkStart w:id="382" w:name="_Toc9360_WPSOffice_Level3"/>
      <w:r>
        <w:rPr>
          <w:rFonts w:hint="eastAsia" w:ascii="宋体" w:hAnsi="宋体" w:eastAsia="宋体" w:cs="宋体"/>
          <w:b/>
          <w:color w:val="000000"/>
          <w:sz w:val="32"/>
          <w:szCs w:val="32"/>
          <w:lang w:eastAsia="zh-CN"/>
        </w:rPr>
        <w:t>供应商资格证明文件</w:t>
      </w:r>
      <w:bookmarkEnd w:id="381"/>
      <w:bookmarkEnd w:id="382"/>
    </w:p>
    <w:p w14:paraId="3D17B67D">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资格证明材料包括：提供有效的营业执照、税务登记证、机构代码证或三证（五证）合一统一社会代码证及其他资格证明文件（扫描或复印件）。</w:t>
      </w:r>
    </w:p>
    <w:p w14:paraId="08297755">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3FE4322">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2、根据采购项目内容，提供供应商的相关资质证书、许可证等。</w:t>
      </w:r>
    </w:p>
    <w:p w14:paraId="14B8A103">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2C72A1CD">
      <w:pPr>
        <w:widowControl/>
        <w:wordWrap/>
        <w:snapToGrid w:val="0"/>
        <w:spacing w:before="157" w:beforeLines="50" w:line="560" w:lineRule="exact"/>
        <w:outlineLvl w:val="9"/>
        <w:rPr>
          <w:rFonts w:hint="eastAsia" w:ascii="宋体"/>
          <w:b/>
          <w:color w:val="000000"/>
          <w:sz w:val="28"/>
          <w:szCs w:val="28"/>
        </w:rPr>
      </w:pPr>
    </w:p>
    <w:p w14:paraId="6C85CC1B">
      <w:pPr>
        <w:pStyle w:val="18"/>
        <w:rPr>
          <w:rFonts w:hint="eastAsia" w:ascii="宋体"/>
          <w:b/>
          <w:color w:val="000000"/>
          <w:sz w:val="28"/>
          <w:szCs w:val="28"/>
        </w:rPr>
      </w:pPr>
    </w:p>
    <w:p w14:paraId="785D0D74">
      <w:pPr>
        <w:rPr>
          <w:rFonts w:hint="eastAsia" w:ascii="宋体"/>
          <w:b/>
          <w:color w:val="000000"/>
          <w:sz w:val="28"/>
          <w:szCs w:val="28"/>
        </w:rPr>
      </w:pPr>
    </w:p>
    <w:p w14:paraId="4D520F48">
      <w:pPr>
        <w:pStyle w:val="18"/>
        <w:rPr>
          <w:rFonts w:hint="eastAsia"/>
        </w:rPr>
      </w:pPr>
    </w:p>
    <w:p w14:paraId="5FF11505">
      <w:pPr>
        <w:widowControl/>
        <w:wordWrap/>
        <w:snapToGrid w:val="0"/>
        <w:spacing w:before="157" w:beforeLines="50" w:line="560" w:lineRule="exact"/>
        <w:outlineLvl w:val="9"/>
        <w:rPr>
          <w:rFonts w:hint="eastAsia" w:ascii="宋体"/>
          <w:b/>
          <w:color w:val="000000"/>
          <w:sz w:val="28"/>
          <w:szCs w:val="28"/>
        </w:rPr>
      </w:pPr>
    </w:p>
    <w:p w14:paraId="3FFC50D9">
      <w:pPr>
        <w:widowControl/>
        <w:wordWrap/>
        <w:snapToGrid w:val="0"/>
        <w:spacing w:before="157" w:beforeLines="50" w:line="560" w:lineRule="exact"/>
        <w:outlineLvl w:val="9"/>
        <w:rPr>
          <w:rFonts w:hint="eastAsia" w:ascii="宋体"/>
          <w:b/>
          <w:color w:val="000000"/>
          <w:sz w:val="28"/>
          <w:szCs w:val="28"/>
        </w:rPr>
      </w:pPr>
    </w:p>
    <w:p w14:paraId="79FDAB07">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28"/>
          <w:szCs w:val="28"/>
          <w:lang w:eastAsia="zh-CN"/>
        </w:rPr>
      </w:pPr>
      <w:bookmarkStart w:id="383" w:name="_Toc12925"/>
      <w:bookmarkStart w:id="384" w:name="_Toc31744"/>
      <w:bookmarkStart w:id="385" w:name="_Toc7499_WPSOffice_Level3"/>
      <w:bookmarkStart w:id="386" w:name="_Toc5898"/>
      <w:bookmarkStart w:id="387" w:name="_Toc29082_WPSOffice_Level3"/>
      <w:bookmarkStart w:id="388" w:name="_Toc6573"/>
    </w:p>
    <w:p w14:paraId="31E0B61F">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附件7：财务状况、缴纳税收和社会保障资金证明</w:t>
      </w:r>
      <w:bookmarkEnd w:id="383"/>
      <w:bookmarkEnd w:id="384"/>
      <w:bookmarkEnd w:id="385"/>
      <w:bookmarkEnd w:id="386"/>
      <w:bookmarkEnd w:id="387"/>
      <w:bookmarkEnd w:id="388"/>
    </w:p>
    <w:p w14:paraId="3B86FF61">
      <w:pPr>
        <w:keepNext w:val="0"/>
        <w:keepLines w:val="0"/>
        <w:pageBreakBefore w:val="0"/>
        <w:kinsoku/>
        <w:wordWrap/>
        <w:overflowPunct/>
        <w:topLinePunct w:val="0"/>
        <w:autoSpaceDE/>
        <w:autoSpaceDN/>
        <w:bidi w:val="0"/>
        <w:adjustRightInd/>
        <w:spacing w:before="157" w:beforeLines="50" w:line="360" w:lineRule="auto"/>
        <w:jc w:val="center"/>
        <w:textAlignment w:val="auto"/>
        <w:outlineLvl w:val="9"/>
        <w:rPr>
          <w:rFonts w:hint="eastAsia" w:ascii="宋体" w:hAnsi="宋体" w:eastAsia="宋体" w:cs="宋体"/>
          <w:b/>
          <w:color w:val="000000"/>
          <w:sz w:val="32"/>
          <w:szCs w:val="32"/>
        </w:rPr>
      </w:pPr>
      <w:bookmarkStart w:id="389" w:name="_Toc2355_WPSOffice_Level3"/>
      <w:bookmarkStart w:id="390" w:name="_Toc22184_WPSOffice_Level3"/>
      <w:r>
        <w:rPr>
          <w:rFonts w:hint="eastAsia" w:ascii="宋体" w:hAnsi="宋体" w:eastAsia="宋体" w:cs="宋体"/>
          <w:b/>
          <w:color w:val="000000"/>
          <w:sz w:val="32"/>
          <w:szCs w:val="32"/>
          <w:lang w:eastAsia="zh-CN"/>
        </w:rPr>
        <w:t>财务状况、缴纳税收和社会保障资金证明</w:t>
      </w:r>
      <w:bookmarkEnd w:id="389"/>
      <w:bookmarkEnd w:id="390"/>
    </w:p>
    <w:p w14:paraId="1BFA161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hint="eastAsia" w:ascii="宋体" w:hAnsi="宋体" w:eastAsia="宋体" w:cs="宋体"/>
          <w:sz w:val="24"/>
          <w:szCs w:val="24"/>
          <w:lang w:eastAsia="zh-CN"/>
        </w:rPr>
      </w:pPr>
      <w:r>
        <w:rPr>
          <w:rFonts w:hint="eastAsia" w:ascii="宋体" w:hAnsi="宋体" w:eastAsia="宋体" w:cs="宋体"/>
          <w:sz w:val="24"/>
          <w:szCs w:val="24"/>
        </w:rPr>
        <w:t>按照《政府采购法》第22条规定提供以下相关材料</w:t>
      </w:r>
      <w:r>
        <w:rPr>
          <w:rFonts w:hint="eastAsia" w:ascii="宋体" w:hAnsi="宋体" w:eastAsia="宋体" w:cs="宋体"/>
          <w:sz w:val="24"/>
          <w:szCs w:val="24"/>
          <w:lang w:eastAsia="zh-CN"/>
        </w:rPr>
        <w:t>：</w:t>
      </w:r>
    </w:p>
    <w:p w14:paraId="5222C46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ascii="宋体" w:hAnsi="宋体" w:eastAsia="宋体" w:cs="宋体"/>
          <w:sz w:val="24"/>
          <w:szCs w:val="24"/>
        </w:rPr>
      </w:pPr>
      <w:r>
        <w:rPr>
          <w:rFonts w:ascii="宋体" w:hAnsi="宋体" w:eastAsia="宋体" w:cs="宋体"/>
          <w:sz w:val="24"/>
          <w:szCs w:val="24"/>
        </w:rPr>
        <w:t>1、供应商是法人的，提供</w:t>
      </w:r>
      <w:r>
        <w:rPr>
          <w:rFonts w:ascii="宋体" w:hAnsi="宋体" w:eastAsia="宋体" w:cs="宋体"/>
          <w:spacing w:val="-46"/>
          <w:sz w:val="24"/>
          <w:szCs w:val="24"/>
        </w:rPr>
        <w:t xml:space="preserve"> </w:t>
      </w:r>
      <w:r>
        <w:rPr>
          <w:rFonts w:ascii="宋体" w:hAnsi="宋体" w:eastAsia="宋体" w:cs="宋体"/>
          <w:sz w:val="24"/>
          <w:szCs w:val="24"/>
        </w:rPr>
        <w:t>2024</w:t>
      </w:r>
      <w:r>
        <w:rPr>
          <w:rFonts w:ascii="宋体" w:hAnsi="宋体" w:eastAsia="宋体" w:cs="宋体"/>
          <w:spacing w:val="-49"/>
          <w:sz w:val="24"/>
          <w:szCs w:val="24"/>
        </w:rPr>
        <w:t xml:space="preserve"> </w:t>
      </w:r>
      <w:r>
        <w:rPr>
          <w:rFonts w:ascii="宋体" w:hAnsi="宋体" w:eastAsia="宋体" w:cs="宋体"/>
          <w:sz w:val="24"/>
          <w:szCs w:val="24"/>
        </w:rPr>
        <w:t>年</w:t>
      </w:r>
      <w:r>
        <w:rPr>
          <w:rFonts w:hint="eastAsia" w:ascii="宋体" w:hAnsi="宋体" w:eastAsia="宋体" w:cs="宋体"/>
          <w:sz w:val="24"/>
          <w:szCs w:val="24"/>
          <w:lang w:val="en-US" w:eastAsia="zh-CN"/>
        </w:rPr>
        <w:t>或2025年</w:t>
      </w:r>
      <w:r>
        <w:rPr>
          <w:rFonts w:ascii="宋体" w:hAnsi="宋体" w:eastAsia="宋体" w:cs="宋体"/>
          <w:sz w:val="24"/>
          <w:szCs w:val="24"/>
        </w:rPr>
        <w:t>度经审计的财务状况报告，包括资产负债表</w:t>
      </w:r>
      <w:r>
        <w:rPr>
          <w:rFonts w:ascii="宋体" w:hAnsi="宋体" w:eastAsia="宋体" w:cs="宋体"/>
          <w:spacing w:val="-1"/>
          <w:sz w:val="24"/>
          <w:szCs w:val="24"/>
        </w:rPr>
        <w:t>、利润</w:t>
      </w:r>
      <w:r>
        <w:rPr>
          <w:rFonts w:ascii="宋体" w:hAnsi="宋体" w:eastAsia="宋体" w:cs="宋体"/>
          <w:spacing w:val="1"/>
          <w:sz w:val="24"/>
          <w:szCs w:val="24"/>
        </w:rPr>
        <w:t>表、现金流量表及其附注，或其基本开户银行本年度出具的资信证明；供应商是其他组织</w:t>
      </w:r>
      <w:r>
        <w:rPr>
          <w:rFonts w:ascii="宋体" w:hAnsi="宋体" w:eastAsia="宋体" w:cs="宋体"/>
          <w:sz w:val="24"/>
          <w:szCs w:val="24"/>
        </w:rPr>
        <w:t>和自然人，没有经审计的财务报告，可以提供基本开户</w:t>
      </w:r>
      <w:r>
        <w:rPr>
          <w:rFonts w:ascii="宋体" w:hAnsi="宋体" w:eastAsia="宋体" w:cs="宋体"/>
          <w:spacing w:val="-1"/>
          <w:sz w:val="24"/>
          <w:szCs w:val="24"/>
        </w:rPr>
        <w:t>银行出具的资信证明。</w:t>
      </w:r>
    </w:p>
    <w:p w14:paraId="5431CE71">
      <w:pPr>
        <w:pStyle w:val="8"/>
        <w:keepNext w:val="0"/>
        <w:keepLines w:val="0"/>
        <w:pageBreakBefore w:val="0"/>
        <w:kinsoku/>
        <w:wordWrap/>
        <w:overflowPunct/>
        <w:topLinePunct w:val="0"/>
        <w:autoSpaceDE/>
        <w:autoSpaceDN/>
        <w:bidi w:val="0"/>
        <w:adjustRightInd/>
        <w:spacing w:line="360" w:lineRule="auto"/>
        <w:textAlignment w:val="auto"/>
      </w:pPr>
    </w:p>
    <w:p w14:paraId="3D9E4981">
      <w:pPr>
        <w:keepNext w:val="0"/>
        <w:keepLines w:val="0"/>
        <w:pageBreakBefore w:val="0"/>
        <w:kinsoku/>
        <w:wordWrap/>
        <w:overflowPunct/>
        <w:topLinePunct w:val="0"/>
        <w:autoSpaceDE/>
        <w:autoSpaceDN/>
        <w:bidi w:val="0"/>
        <w:adjustRightInd/>
        <w:spacing w:before="79" w:line="360" w:lineRule="auto"/>
        <w:ind w:left="8" w:right="220" w:firstLine="483"/>
        <w:textAlignment w:val="auto"/>
        <w:rPr>
          <w:rFonts w:ascii="宋体" w:hAnsi="宋体" w:eastAsia="宋体" w:cs="宋体"/>
          <w:sz w:val="24"/>
          <w:szCs w:val="24"/>
        </w:rPr>
      </w:pPr>
      <w:r>
        <w:rPr>
          <w:rFonts w:ascii="宋体" w:hAnsi="宋体" w:eastAsia="宋体" w:cs="宋体"/>
          <w:spacing w:val="-3"/>
          <w:sz w:val="24"/>
          <w:szCs w:val="24"/>
        </w:rPr>
        <w:t>2、提供近半年任意</w:t>
      </w:r>
      <w:r>
        <w:rPr>
          <w:rFonts w:ascii="宋体" w:hAnsi="宋体" w:eastAsia="宋体" w:cs="宋体"/>
          <w:spacing w:val="-39"/>
          <w:sz w:val="24"/>
          <w:szCs w:val="24"/>
        </w:rPr>
        <w:t xml:space="preserve"> </w:t>
      </w:r>
      <w:r>
        <w:rPr>
          <w:rFonts w:hint="eastAsia" w:ascii="宋体" w:hAnsi="宋体" w:cs="宋体"/>
          <w:spacing w:val="-3"/>
          <w:sz w:val="24"/>
          <w:szCs w:val="24"/>
          <w:lang w:val="en-US" w:eastAsia="zh-CN"/>
        </w:rPr>
        <w:t>1</w:t>
      </w:r>
      <w:r>
        <w:rPr>
          <w:rFonts w:ascii="宋体" w:hAnsi="宋体" w:eastAsia="宋体" w:cs="宋体"/>
          <w:spacing w:val="-3"/>
          <w:sz w:val="24"/>
          <w:szCs w:val="24"/>
        </w:rPr>
        <w:t>个月的依法缴纳税收和社会保障资金记录的证明材料，或相关行</w:t>
      </w:r>
      <w:r>
        <w:rPr>
          <w:rFonts w:ascii="宋体" w:hAnsi="宋体" w:eastAsia="宋体" w:cs="宋体"/>
          <w:spacing w:val="1"/>
          <w:sz w:val="24"/>
          <w:szCs w:val="24"/>
        </w:rPr>
        <w:t>政机关出具无欠缴应纳税款或社会保障资金的证明材料。依法免税或不需要缴纳社会保障</w:t>
      </w:r>
      <w:r>
        <w:rPr>
          <w:rFonts w:ascii="宋体" w:hAnsi="宋体" w:eastAsia="宋体" w:cs="宋体"/>
          <w:sz w:val="24"/>
          <w:szCs w:val="24"/>
        </w:rPr>
        <w:t>资金的供应商，应提供相应文件证明其依法免税或不需</w:t>
      </w:r>
      <w:r>
        <w:rPr>
          <w:rFonts w:ascii="宋体" w:hAnsi="宋体" w:eastAsia="宋体" w:cs="宋体"/>
          <w:spacing w:val="-1"/>
          <w:sz w:val="24"/>
          <w:szCs w:val="24"/>
        </w:rPr>
        <w:t>要缴纳社会保障资金。</w:t>
      </w:r>
    </w:p>
    <w:p w14:paraId="49DD6636">
      <w:pPr>
        <w:wordWrap/>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768F000A">
      <w:pPr>
        <w:widowControl/>
        <w:wordWrap/>
        <w:adjustRightInd/>
        <w:snapToGrid w:val="0"/>
        <w:spacing w:line="560" w:lineRule="exact"/>
        <w:textAlignment w:val="auto"/>
        <w:outlineLvl w:val="9"/>
        <w:rPr>
          <w:rFonts w:hint="eastAsia" w:ascii="仿宋_GB2312" w:hAnsi="仿宋_GB2312" w:eastAsia="仿宋_GB2312" w:cs="仿宋_GB2312"/>
          <w:color w:val="000000"/>
          <w:sz w:val="32"/>
          <w:szCs w:val="32"/>
        </w:rPr>
      </w:pPr>
    </w:p>
    <w:p w14:paraId="296C2FE1">
      <w:pPr>
        <w:widowControl/>
        <w:wordWrap/>
        <w:snapToGrid w:val="0"/>
        <w:spacing w:before="157" w:beforeLines="50" w:line="560" w:lineRule="exact"/>
        <w:outlineLvl w:val="9"/>
        <w:rPr>
          <w:rFonts w:hint="eastAsia" w:ascii="宋体" w:hAnsi="宋体"/>
          <w:color w:val="000000"/>
          <w:sz w:val="21"/>
          <w:szCs w:val="21"/>
        </w:rPr>
      </w:pPr>
    </w:p>
    <w:p w14:paraId="7096485D">
      <w:pPr>
        <w:tabs>
          <w:tab w:val="left" w:pos="168"/>
        </w:tabs>
        <w:wordWrap/>
        <w:adjustRightInd w:val="0"/>
        <w:spacing w:before="157" w:beforeLines="50" w:line="560" w:lineRule="exact"/>
        <w:ind w:firstLine="480" w:firstLineChars="200"/>
        <w:textAlignment w:val="baseline"/>
        <w:rPr>
          <w:rFonts w:hint="eastAsia" w:ascii="宋体" w:hAnsi="宋体"/>
          <w:color w:val="000000"/>
          <w:sz w:val="24"/>
        </w:rPr>
      </w:pPr>
    </w:p>
    <w:p w14:paraId="487A97FD">
      <w:pPr>
        <w:widowControl/>
        <w:wordWrap/>
        <w:snapToGrid w:val="0"/>
        <w:spacing w:before="157" w:beforeLines="50" w:line="560" w:lineRule="exact"/>
        <w:outlineLvl w:val="1"/>
        <w:rPr>
          <w:rFonts w:hint="eastAsia" w:ascii="宋体" w:hAnsi="宋体"/>
          <w:b/>
          <w:color w:val="000000"/>
          <w:sz w:val="24"/>
        </w:rPr>
      </w:pPr>
    </w:p>
    <w:p w14:paraId="30B700B9">
      <w:pPr>
        <w:wordWrap/>
        <w:spacing w:before="157" w:beforeLines="50" w:line="560" w:lineRule="exact"/>
        <w:rPr>
          <w:rFonts w:hint="eastAsia" w:ascii="宋体" w:hAnsi="宋体"/>
          <w:b/>
          <w:bCs/>
          <w:color w:val="000000"/>
          <w:sz w:val="28"/>
          <w:szCs w:val="28"/>
        </w:rPr>
      </w:pPr>
    </w:p>
    <w:p w14:paraId="70E75048">
      <w:pPr>
        <w:wordWrap/>
        <w:spacing w:before="157" w:beforeLines="50" w:line="560" w:lineRule="exact"/>
        <w:rPr>
          <w:rFonts w:hint="eastAsia" w:ascii="宋体" w:hAnsi="宋体"/>
          <w:b/>
          <w:bCs/>
          <w:color w:val="000000"/>
          <w:sz w:val="28"/>
          <w:szCs w:val="28"/>
        </w:rPr>
      </w:pPr>
    </w:p>
    <w:p w14:paraId="52ED33BD">
      <w:pPr>
        <w:wordWrap/>
        <w:spacing w:before="157" w:beforeLines="50" w:line="560" w:lineRule="exact"/>
        <w:rPr>
          <w:rFonts w:hint="eastAsia" w:ascii="宋体" w:hAnsi="宋体"/>
          <w:b/>
          <w:bCs/>
          <w:color w:val="000000"/>
          <w:sz w:val="28"/>
          <w:szCs w:val="28"/>
        </w:rPr>
      </w:pPr>
    </w:p>
    <w:p w14:paraId="00431482">
      <w:pPr>
        <w:wordWrap/>
        <w:spacing w:before="157" w:beforeLines="50" w:line="560" w:lineRule="exact"/>
        <w:rPr>
          <w:rFonts w:hint="eastAsia" w:ascii="宋体" w:hAnsi="宋体"/>
          <w:b/>
          <w:bCs/>
          <w:color w:val="000000"/>
          <w:sz w:val="28"/>
          <w:szCs w:val="28"/>
        </w:rPr>
      </w:pPr>
    </w:p>
    <w:p w14:paraId="7D40DF3E">
      <w:pPr>
        <w:keepNext w:val="0"/>
        <w:keepLines w:val="0"/>
        <w:pageBreakBefore w:val="0"/>
        <w:widowControl/>
        <w:kinsoku/>
        <w:wordWrap/>
        <w:overflowPunct/>
        <w:topLinePunct w:val="0"/>
        <w:autoSpaceDE/>
        <w:autoSpaceDN/>
        <w:bidi w:val="0"/>
        <w:adjustRightInd/>
        <w:snapToGrid/>
        <w:spacing w:before="157" w:beforeLines="50" w:line="560" w:lineRule="exact"/>
        <w:jc w:val="left"/>
        <w:textAlignment w:val="auto"/>
        <w:outlineLvl w:val="9"/>
        <w:rPr>
          <w:rFonts w:hint="eastAsia" w:ascii="宋体" w:hAnsi="宋体" w:eastAsia="宋体" w:cs="宋体"/>
          <w:b/>
          <w:color w:val="000000"/>
          <w:sz w:val="32"/>
          <w:szCs w:val="32"/>
          <w:lang w:val="zh-CN" w:eastAsia="zh-CN"/>
        </w:rPr>
      </w:pPr>
      <w:bookmarkStart w:id="391" w:name="_Toc21984"/>
      <w:bookmarkStart w:id="392" w:name="_Toc16098"/>
      <w:bookmarkStart w:id="393" w:name="_Toc17387_WPSOffice_Level3"/>
      <w:bookmarkStart w:id="394" w:name="_Toc26128"/>
      <w:bookmarkStart w:id="395" w:name="_Toc13266"/>
      <w:bookmarkStart w:id="396" w:name="_Toc22959_WPSOffice_Level3"/>
      <w:r>
        <w:rPr>
          <w:rFonts w:hint="eastAsia" w:ascii="宋体" w:hAnsi="宋体" w:eastAsia="宋体" w:cs="宋体"/>
          <w:b/>
          <w:color w:val="000000"/>
          <w:sz w:val="32"/>
          <w:szCs w:val="32"/>
          <w:lang w:val="zh-CN" w:eastAsia="zh-CN"/>
        </w:rPr>
        <w:t>附件8：</w:t>
      </w:r>
      <w:bookmarkEnd w:id="391"/>
      <w:r>
        <w:rPr>
          <w:rFonts w:hint="eastAsia" w:ascii="宋体" w:hAnsi="宋体" w:eastAsia="宋体" w:cs="宋体"/>
          <w:b/>
          <w:color w:val="000000"/>
          <w:sz w:val="32"/>
          <w:szCs w:val="32"/>
          <w:lang w:val="zh-CN" w:eastAsia="zh-CN"/>
        </w:rPr>
        <w:t>无重大违法记录声明</w:t>
      </w:r>
      <w:bookmarkEnd w:id="392"/>
      <w:bookmarkEnd w:id="393"/>
      <w:bookmarkEnd w:id="394"/>
    </w:p>
    <w:p w14:paraId="4DFCC3BF">
      <w:pPr>
        <w:keepNext w:val="0"/>
        <w:keepLines w:val="0"/>
        <w:pageBreakBefore w:val="0"/>
        <w:widowControl/>
        <w:kinsoku/>
        <w:wordWrap/>
        <w:overflowPunct/>
        <w:topLinePunct w:val="0"/>
        <w:autoSpaceDE/>
        <w:autoSpaceDN/>
        <w:bidi w:val="0"/>
        <w:adjustRightInd/>
        <w:snapToGrid/>
        <w:spacing w:before="157" w:beforeLines="50" w:after="0" w:line="560" w:lineRule="exact"/>
        <w:jc w:val="center"/>
        <w:textAlignment w:val="auto"/>
        <w:outlineLvl w:val="9"/>
        <w:rPr>
          <w:rFonts w:hint="eastAsia" w:ascii="宋体" w:hAnsi="宋体" w:eastAsia="宋体" w:cs="宋体"/>
          <w:b/>
          <w:bCs w:val="0"/>
          <w:color w:val="000000"/>
          <w:sz w:val="32"/>
          <w:szCs w:val="32"/>
          <w:lang w:val="zh-CN"/>
        </w:rPr>
      </w:pPr>
      <w:bookmarkStart w:id="397" w:name="_Toc25610_WPSOffice_Level3"/>
      <w:r>
        <w:rPr>
          <w:rFonts w:hint="eastAsia" w:ascii="宋体" w:hAnsi="宋体" w:eastAsia="宋体" w:cs="宋体"/>
          <w:b/>
          <w:color w:val="000000"/>
          <w:sz w:val="32"/>
          <w:szCs w:val="32"/>
          <w:lang w:val="zh-CN" w:eastAsia="zh-CN"/>
        </w:rPr>
        <w:t>无重大违法记录声明</w:t>
      </w:r>
      <w:bookmarkEnd w:id="397"/>
    </w:p>
    <w:p w14:paraId="46C21F16">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bCs/>
          <w:color w:val="000000"/>
          <w:sz w:val="24"/>
          <w:szCs w:val="24"/>
        </w:rPr>
      </w:pPr>
      <w:r>
        <w:rPr>
          <w:rFonts w:hint="eastAsia" w:ascii="宋体" w:hAnsi="宋体" w:cs="宋体"/>
          <w:b/>
          <w:bCs/>
          <w:color w:val="000000"/>
          <w:kern w:val="0"/>
          <w:lang w:val="en-US" w:eastAsia="zh-CN"/>
        </w:rPr>
        <w:t xml:space="preserve">  </w:t>
      </w: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521479D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我单位参加本次政府采购项目活动前三年内，在经营活动中无重大违法活动记录，符合《政府采购法》规定的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资格条</w:t>
      </w:r>
      <w:r>
        <w:rPr>
          <w:rFonts w:hint="eastAsia" w:ascii="宋体" w:hAnsi="宋体" w:eastAsia="宋体" w:cs="宋体"/>
          <w:color w:val="000000"/>
          <w:sz w:val="24"/>
          <w:szCs w:val="24"/>
          <w:shd w:val="clear" w:color="auto" w:fill="FFFFFF"/>
        </w:rPr>
        <w:t>件。我方对此声明负全部法律责任。</w:t>
      </w:r>
    </w:p>
    <w:p w14:paraId="38A917A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8EEAFAE">
      <w:pPr>
        <w:widowControl w:val="0"/>
        <w:wordWrap/>
        <w:autoSpaceDE w:val="0"/>
        <w:autoSpaceDN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lang w:val="zh-CN"/>
        </w:rPr>
      </w:pPr>
    </w:p>
    <w:p w14:paraId="2C28E682">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11FE17E">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4959A709">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14:paraId="0B74AC64">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D48C862">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1699E16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6E9A78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0FCADDF">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rPr>
      </w:pPr>
    </w:p>
    <w:p w14:paraId="7A1268EC">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bookmarkStart w:id="398" w:name="_Toc24810"/>
      <w:bookmarkStart w:id="399" w:name="_Toc132_WPSOffice_Level3"/>
      <w:bookmarkStart w:id="400" w:name="_Toc22471"/>
    </w:p>
    <w:p w14:paraId="6556A4C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0BB8733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3CDB3DC8">
      <w:pPr>
        <w:pStyle w:val="17"/>
        <w:wordWrap/>
        <w:spacing w:before="157" w:beforeLines="50" w:after="0" w:line="560" w:lineRule="exact"/>
        <w:jc w:val="left"/>
        <w:outlineLvl w:val="9"/>
        <w:rPr>
          <w:rFonts w:hint="eastAsia" w:ascii="宋体" w:hAnsi="宋体" w:cs="宋体"/>
          <w:color w:val="000000"/>
          <w:sz w:val="32"/>
          <w:szCs w:val="32"/>
          <w:lang w:val="zh-CN"/>
        </w:rPr>
      </w:pPr>
      <w:r>
        <w:rPr>
          <w:rFonts w:hint="eastAsia" w:ascii="宋体" w:hAnsi="宋体" w:eastAsia="宋体" w:cs="宋体"/>
          <w:b/>
          <w:bCs w:val="0"/>
          <w:color w:val="000000"/>
          <w:kern w:val="2"/>
          <w:sz w:val="32"/>
          <w:szCs w:val="32"/>
          <w:lang w:val="en-US" w:eastAsia="zh-CN" w:bidi="ar-SA"/>
        </w:rPr>
        <w:t>附件9：谈判</w:t>
      </w:r>
      <w:r>
        <w:rPr>
          <w:rFonts w:hint="eastAsia" w:ascii="宋体" w:hAnsi="宋体" w:eastAsia="宋体" w:cs="宋体"/>
          <w:b/>
          <w:bCs w:val="0"/>
          <w:color w:val="000000"/>
          <w:kern w:val="2"/>
          <w:sz w:val="32"/>
          <w:szCs w:val="32"/>
          <w:lang w:val="zh-CN" w:eastAsia="zh-CN" w:bidi="ar-SA"/>
        </w:rPr>
        <w:t>保证金证明</w:t>
      </w:r>
      <w:bookmarkEnd w:id="395"/>
      <w:bookmarkEnd w:id="396"/>
      <w:bookmarkEnd w:id="398"/>
      <w:bookmarkEnd w:id="399"/>
      <w:bookmarkEnd w:id="400"/>
    </w:p>
    <w:p w14:paraId="03A4A5BA">
      <w:pPr>
        <w:wordWrap/>
        <w:spacing w:before="157" w:beforeLines="50" w:line="560" w:lineRule="exact"/>
        <w:jc w:val="center"/>
        <w:outlineLvl w:val="9"/>
        <w:rPr>
          <w:rFonts w:hint="eastAsia" w:ascii="宋体" w:hAnsi="宋体" w:cs="宋体"/>
          <w:b/>
          <w:bCs/>
          <w:color w:val="000000"/>
          <w:kern w:val="0"/>
          <w:sz w:val="32"/>
          <w:szCs w:val="32"/>
          <w:lang w:val="zh-CN"/>
        </w:rPr>
      </w:pPr>
      <w:bookmarkStart w:id="401" w:name="_Toc27502_WPSOffice_Level3"/>
      <w:r>
        <w:rPr>
          <w:rFonts w:hint="eastAsia" w:ascii="宋体" w:hAnsi="宋体" w:eastAsia="宋体" w:cs="宋体"/>
          <w:b/>
          <w:color w:val="000000"/>
          <w:sz w:val="32"/>
          <w:szCs w:val="32"/>
          <w:lang w:val="zh-CN" w:eastAsia="zh-CN"/>
        </w:rPr>
        <w:t>谈判保证金证明</w:t>
      </w:r>
      <w:bookmarkEnd w:id="401"/>
    </w:p>
    <w:p w14:paraId="55A75D3E">
      <w:pPr>
        <w:widowControl w:val="0"/>
        <w:wordWrap/>
        <w:autoSpaceDE w:val="0"/>
        <w:autoSpaceDN w:val="0"/>
        <w:adjustRightInd/>
        <w:snapToGrid/>
        <w:spacing w:line="560" w:lineRule="exact"/>
        <w:textAlignment w:val="auto"/>
        <w:outlineLvl w:val="9"/>
        <w:rPr>
          <w:rFonts w:hint="eastAsia" w:ascii="宋体" w:hAnsi="宋体" w:eastAsia="宋体" w:cs="宋体"/>
          <w:b/>
          <w:bCs/>
          <w:color w:val="000000"/>
          <w:kern w:val="0"/>
          <w:sz w:val="24"/>
          <w:szCs w:val="24"/>
          <w:lang w:val="zh-CN"/>
        </w:rPr>
      </w:pPr>
      <w:bookmarkStart w:id="402" w:name="_Toc12243_WPSOffice_Level2"/>
      <w:bookmarkStart w:id="403" w:name="_Toc21234_WPSOffice_Level2"/>
      <w:bookmarkStart w:id="404" w:name="_Toc1388_WPSOffice_Level2"/>
      <w:r>
        <w:rPr>
          <w:rFonts w:hint="eastAsia" w:ascii="宋体" w:hAnsi="宋体" w:eastAsia="宋体" w:cs="宋体"/>
          <w:b/>
          <w:bCs/>
          <w:color w:val="000000"/>
          <w:sz w:val="24"/>
          <w:szCs w:val="24"/>
          <w:u w:val="none"/>
          <w:lang w:val="zh-CN" w:eastAsia="zh-CN"/>
        </w:rPr>
        <w:t>致：</w:t>
      </w:r>
      <w:bookmarkEnd w:id="402"/>
      <w:bookmarkEnd w:id="403"/>
      <w:bookmarkEnd w:id="404"/>
      <w:r>
        <w:rPr>
          <w:rFonts w:hint="eastAsia" w:ascii="宋体" w:hAnsi="宋体" w:eastAsia="宋体" w:cs="宋体"/>
          <w:b/>
          <w:bCs/>
          <w:color w:val="000000"/>
          <w:sz w:val="24"/>
          <w:szCs w:val="24"/>
          <w:u w:val="single"/>
          <w:lang w:eastAsia="zh-CN"/>
        </w:rPr>
        <w:t>青海国德招标代理有限公司</w:t>
      </w:r>
    </w:p>
    <w:p w14:paraId="7B33415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我方为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rPr>
        <w:t>（采购项目名称）项目（采购项目编号为：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 xml:space="preserve">）递交保证金人民币 </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（大写：人民币</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元）已于</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年</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日以转账方式汇入你方账户。</w:t>
      </w:r>
    </w:p>
    <w:p w14:paraId="61F34AA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附</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rPr>
        <w:t>保证金交款证明复印件（加盖公章）</w:t>
      </w:r>
    </w:p>
    <w:p w14:paraId="449ABE8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96DE523">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户    名：</w:t>
      </w:r>
    </w:p>
    <w:p w14:paraId="535F835D">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开户银行：</w:t>
      </w:r>
    </w:p>
    <w:p w14:paraId="3A48166B">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开户帐号：</w:t>
      </w:r>
    </w:p>
    <w:p w14:paraId="11E69C9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041447F">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4C8DBCA8">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6A01B6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9DB20AD">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5243B2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696C4D5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B0717B8">
      <w:pPr>
        <w:wordWrap/>
        <w:autoSpaceDE w:val="0"/>
        <w:autoSpaceDN w:val="0"/>
        <w:spacing w:before="157" w:beforeLines="50" w:line="560" w:lineRule="exact"/>
        <w:outlineLvl w:val="9"/>
        <w:rPr>
          <w:rFonts w:hint="eastAsia" w:ascii="宋体" w:hAnsi="宋体" w:cs="宋体"/>
          <w:b/>
          <w:bCs/>
          <w:color w:val="000000"/>
          <w:kern w:val="0"/>
          <w:lang w:val="zh-CN"/>
        </w:rPr>
      </w:pPr>
    </w:p>
    <w:p w14:paraId="570B6976">
      <w:pPr>
        <w:wordWrap/>
        <w:spacing w:before="157" w:beforeLines="50" w:line="560" w:lineRule="exact"/>
        <w:rPr>
          <w:rFonts w:hint="eastAsia" w:ascii="仿宋_GB2312" w:hAnsi="宋体" w:eastAsia="仿宋_GB2312"/>
          <w:b/>
          <w:color w:val="000000"/>
          <w:sz w:val="52"/>
          <w:szCs w:val="52"/>
        </w:rPr>
      </w:pPr>
    </w:p>
    <w:p w14:paraId="43D742C7">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5" w:name="_Toc24560_WPSOffice_Level2"/>
      <w:bookmarkStart w:id="406" w:name="_Toc20688_WPSOffice_Level2"/>
      <w:r>
        <w:rPr>
          <w:rFonts w:hint="eastAsia" w:ascii="仿宋_GB2312" w:hAnsi="仿宋_GB2312" w:eastAsia="仿宋_GB2312" w:cs="仿宋_GB2312"/>
          <w:b/>
          <w:color w:val="000000"/>
          <w:sz w:val="48"/>
          <w:szCs w:val="48"/>
        </w:rPr>
        <w:t>青海省政府采购项目</w:t>
      </w:r>
      <w:bookmarkEnd w:id="405"/>
      <w:bookmarkEnd w:id="406"/>
    </w:p>
    <w:p w14:paraId="708111FE">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7" w:name="_Toc30784_WPSOffice_Level2"/>
      <w:bookmarkStart w:id="408" w:name="_Toc1190_WPSOffice_Level2"/>
      <w:r>
        <w:rPr>
          <w:rFonts w:hint="eastAsia" w:ascii="仿宋_GB2312" w:hAnsi="仿宋_GB2312" w:eastAsia="仿宋_GB2312" w:cs="仿宋_GB2312"/>
          <w:b/>
          <w:color w:val="000000"/>
          <w:sz w:val="48"/>
          <w:szCs w:val="48"/>
        </w:rPr>
        <w:t>谈判响应文件</w:t>
      </w:r>
      <w:bookmarkEnd w:id="407"/>
      <w:bookmarkEnd w:id="408"/>
    </w:p>
    <w:p w14:paraId="6E9396BE">
      <w:pPr>
        <w:wordWrap/>
        <w:adjustRightInd w:val="0"/>
        <w:spacing w:before="157" w:beforeLines="50" w:line="560" w:lineRule="exact"/>
        <w:jc w:val="center"/>
        <w:textAlignment w:val="baseline"/>
        <w:outlineLvl w:val="9"/>
        <w:rPr>
          <w:rFonts w:hint="eastAsia" w:ascii="仿宋_GB2312" w:hAnsi="仿宋_GB2312" w:eastAsia="仿宋_GB2312" w:cs="仿宋_GB2312"/>
          <w:b/>
          <w:bCs/>
          <w:color w:val="000000"/>
          <w:sz w:val="32"/>
          <w:szCs w:val="32"/>
        </w:rPr>
      </w:pPr>
      <w:bookmarkStart w:id="409" w:name="_Toc24224_WPSOffice_Level2"/>
      <w:bookmarkStart w:id="410" w:name="_Toc5068_WPSOffice_Level2"/>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有效性、完整性、响应程度审查部分</w:t>
      </w:r>
      <w:r>
        <w:rPr>
          <w:rFonts w:hint="eastAsia" w:ascii="仿宋_GB2312" w:hAnsi="仿宋_GB2312" w:eastAsia="仿宋_GB2312" w:cs="仿宋_GB2312"/>
          <w:b/>
          <w:bCs/>
          <w:color w:val="000000"/>
          <w:sz w:val="32"/>
          <w:szCs w:val="32"/>
        </w:rPr>
        <w:t>）</w:t>
      </w:r>
      <w:bookmarkEnd w:id="409"/>
      <w:bookmarkEnd w:id="410"/>
    </w:p>
    <w:p w14:paraId="57E11A46">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43102FB8">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F20420B">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530C9E4">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411" w:name="_Toc16258_WPSOffice_Level2"/>
      <w:bookmarkStart w:id="412" w:name="_Toc14028_WPSOffice_Level2"/>
      <w:r>
        <w:rPr>
          <w:rFonts w:hint="eastAsia" w:ascii="仿宋_GB2312" w:hAnsi="仿宋_GB2312" w:eastAsia="仿宋_GB2312" w:cs="仿宋_GB2312"/>
          <w:b/>
          <w:bCs/>
          <w:color w:val="000000"/>
          <w:sz w:val="32"/>
          <w:szCs w:val="32"/>
        </w:rPr>
        <w:t>采购项目编号:</w:t>
      </w:r>
      <w:bookmarkEnd w:id="411"/>
      <w:bookmarkEnd w:id="412"/>
    </w:p>
    <w:p w14:paraId="1390AA5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413" w:name="_Toc25982_WPSOffice_Level2"/>
      <w:bookmarkStart w:id="414" w:name="_Toc173_WPSOffice_Level2"/>
      <w:r>
        <w:rPr>
          <w:rFonts w:hint="eastAsia" w:ascii="仿宋_GB2312" w:hAnsi="仿宋_GB2312" w:eastAsia="仿宋_GB2312" w:cs="仿宋_GB2312"/>
          <w:b/>
          <w:bCs/>
          <w:color w:val="000000"/>
          <w:sz w:val="32"/>
          <w:szCs w:val="32"/>
        </w:rPr>
        <w:t>采购项目名称:</w:t>
      </w:r>
      <w:bookmarkEnd w:id="413"/>
      <w:bookmarkEnd w:id="414"/>
      <w:r>
        <w:rPr>
          <w:rFonts w:hint="eastAsia" w:ascii="仿宋_GB2312" w:hAnsi="仿宋_GB2312" w:eastAsia="仿宋_GB2312" w:cs="仿宋_GB2312"/>
          <w:b/>
          <w:bCs/>
          <w:color w:val="000000"/>
          <w:sz w:val="32"/>
          <w:szCs w:val="32"/>
        </w:rPr>
        <w:t xml:space="preserve"> </w:t>
      </w:r>
    </w:p>
    <w:p w14:paraId="55A21510">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415" w:name="_Toc19360_WPSOffice_Level2"/>
      <w:bookmarkStart w:id="416" w:name="_Toc24014_WPSOffice_Level2"/>
      <w:r>
        <w:rPr>
          <w:rFonts w:hint="eastAsia" w:ascii="仿宋_GB2312" w:hAnsi="仿宋_GB2312" w:eastAsia="仿宋_GB2312" w:cs="仿宋_GB2312"/>
          <w:b/>
          <w:bCs/>
          <w:color w:val="000000"/>
          <w:sz w:val="32"/>
          <w:szCs w:val="32"/>
          <w:lang w:eastAsia="zh-CN"/>
        </w:rPr>
        <w:t>供应商名称：</w:t>
      </w:r>
      <w:bookmarkEnd w:id="415"/>
      <w:bookmarkEnd w:id="416"/>
    </w:p>
    <w:p w14:paraId="1B9C8A29">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2AA3D94F">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417" w:name="_Toc17697_WPSOffice_Level3"/>
      <w:r>
        <w:rPr>
          <w:rFonts w:hint="eastAsia" w:ascii="仿宋_GB2312" w:hAnsi="仿宋_GB2312" w:eastAsia="仿宋_GB2312" w:cs="仿宋_GB2312"/>
          <w:b/>
          <w:color w:val="000000"/>
          <w:sz w:val="32"/>
          <w:szCs w:val="32"/>
        </w:rPr>
        <w:t>年  月  日</w:t>
      </w:r>
      <w:bookmarkEnd w:id="417"/>
    </w:p>
    <w:p w14:paraId="010835EA">
      <w:pPr>
        <w:widowControl/>
        <w:wordWrap/>
        <w:snapToGrid w:val="0"/>
        <w:spacing w:before="157" w:beforeLines="50" w:line="560" w:lineRule="exact"/>
        <w:outlineLvl w:val="9"/>
        <w:rPr>
          <w:rFonts w:hint="eastAsia" w:ascii="宋体"/>
          <w:b/>
          <w:color w:val="000000"/>
          <w:sz w:val="28"/>
          <w:szCs w:val="28"/>
        </w:rPr>
      </w:pPr>
    </w:p>
    <w:p w14:paraId="56472FCC">
      <w:pPr>
        <w:widowControl/>
        <w:wordWrap/>
        <w:snapToGrid/>
        <w:spacing w:before="157" w:beforeLines="50" w:line="560" w:lineRule="exact"/>
        <w:jc w:val="left"/>
        <w:outlineLvl w:val="9"/>
        <w:rPr>
          <w:rFonts w:hint="eastAsia" w:ascii="宋体" w:hAnsi="宋体" w:cs="宋体"/>
          <w:b/>
          <w:color w:val="000000"/>
          <w:sz w:val="32"/>
          <w:szCs w:val="32"/>
          <w:lang w:val="zh-CN"/>
        </w:rPr>
      </w:pPr>
      <w:r>
        <w:rPr>
          <w:rFonts w:ascii="宋体"/>
          <w:b/>
          <w:color w:val="000000"/>
          <w:sz w:val="28"/>
          <w:szCs w:val="28"/>
        </w:rPr>
        <w:br w:type="page"/>
      </w:r>
      <w:bookmarkStart w:id="418" w:name="_Toc13416_WPSOffice_Level3"/>
      <w:bookmarkStart w:id="419" w:name="_Toc18715"/>
      <w:bookmarkStart w:id="420" w:name="_Toc28116"/>
      <w:bookmarkStart w:id="421" w:name="_Toc3360"/>
      <w:bookmarkStart w:id="422" w:name="_Toc2646_WPSOffice_Level3"/>
      <w:bookmarkStart w:id="423" w:name="_Toc30881"/>
      <w:r>
        <w:rPr>
          <w:rFonts w:hint="eastAsia" w:ascii="宋体" w:hAnsi="宋体" w:eastAsia="宋体" w:cs="宋体"/>
          <w:b/>
          <w:bCs w:val="0"/>
          <w:color w:val="000000"/>
          <w:kern w:val="2"/>
          <w:sz w:val="32"/>
          <w:szCs w:val="32"/>
          <w:lang w:val="zh-CN" w:eastAsia="zh-CN" w:bidi="ar-SA"/>
        </w:rPr>
        <w:t>附件10：谈判首次报价表</w:t>
      </w:r>
      <w:bookmarkEnd w:id="418"/>
      <w:bookmarkEnd w:id="419"/>
      <w:bookmarkEnd w:id="420"/>
      <w:bookmarkEnd w:id="421"/>
      <w:bookmarkEnd w:id="422"/>
      <w:bookmarkEnd w:id="423"/>
    </w:p>
    <w:p w14:paraId="0B469E11">
      <w:pPr>
        <w:wordWrap/>
        <w:spacing w:before="157" w:beforeLines="50" w:line="560" w:lineRule="exact"/>
        <w:jc w:val="center"/>
        <w:outlineLvl w:val="9"/>
        <w:rPr>
          <w:rFonts w:hint="eastAsia" w:ascii="宋体" w:hAnsi="宋体" w:cs="宋体"/>
          <w:b/>
          <w:color w:val="000000"/>
          <w:sz w:val="32"/>
          <w:szCs w:val="32"/>
          <w:lang w:val="zh-CN"/>
        </w:rPr>
      </w:pPr>
      <w:bookmarkStart w:id="424" w:name="_Toc17115_WPSOffice_Level3"/>
      <w:bookmarkStart w:id="425" w:name="_Toc17322_WPSOffice_Level1"/>
      <w:bookmarkStart w:id="426" w:name="_Toc8724_WPSOffice_Level1"/>
      <w:r>
        <w:rPr>
          <w:rFonts w:hint="eastAsia" w:ascii="宋体" w:hAnsi="宋体" w:eastAsia="宋体" w:cs="宋体"/>
          <w:b/>
          <w:color w:val="000000"/>
          <w:sz w:val="32"/>
          <w:szCs w:val="32"/>
          <w:lang w:val="zh-CN" w:eastAsia="zh-CN"/>
        </w:rPr>
        <w:t>谈判首次报价表</w:t>
      </w:r>
      <w:bookmarkEnd w:id="424"/>
      <w:bookmarkEnd w:id="425"/>
      <w:bookmarkEnd w:id="426"/>
    </w:p>
    <w:p w14:paraId="21BA642A">
      <w:pPr>
        <w:widowControl w:val="0"/>
        <w:wordWrap/>
        <w:snapToGrid/>
        <w:spacing w:line="560" w:lineRule="exact"/>
        <w:outlineLvl w:val="9"/>
        <w:rPr>
          <w:rFonts w:hint="eastAsia" w:ascii="宋体" w:hAnsi="宋体" w:eastAsia="宋体" w:cs="宋体"/>
          <w:b w:val="0"/>
          <w:bCs/>
          <w:color w:val="000000"/>
          <w:sz w:val="24"/>
          <w:szCs w:val="24"/>
        </w:rPr>
      </w:pPr>
      <w:bookmarkStart w:id="427" w:name="_Toc14507_WPSOffice_Level2"/>
      <w:r>
        <w:rPr>
          <w:rFonts w:hint="eastAsia" w:ascii="宋体" w:hAnsi="宋体" w:eastAsia="宋体" w:cs="宋体"/>
          <w:b w:val="0"/>
          <w:bCs/>
          <w:color w:val="000000"/>
          <w:sz w:val="24"/>
          <w:szCs w:val="24"/>
        </w:rPr>
        <w:t>供应商名称：</w:t>
      </w:r>
      <w:bookmarkEnd w:id="427"/>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1D8A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44AAC200">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项目名称</w:t>
            </w:r>
          </w:p>
        </w:tc>
        <w:tc>
          <w:tcPr>
            <w:tcW w:w="2717" w:type="dxa"/>
            <w:vAlign w:val="center"/>
          </w:tcPr>
          <w:p w14:paraId="2E7D2822">
            <w:pPr>
              <w:widowControl w:val="0"/>
              <w:wordWrap/>
              <w:adjustRightInd w:val="0"/>
              <w:snapToGrid/>
              <w:spacing w:line="560" w:lineRule="exact"/>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首次</w:t>
            </w:r>
            <w:r>
              <w:rPr>
                <w:rFonts w:hint="eastAsia" w:ascii="宋体" w:hAnsi="宋体" w:eastAsia="宋体" w:cs="宋体"/>
                <w:b w:val="0"/>
                <w:bCs/>
                <w:color w:val="000000"/>
                <w:sz w:val="24"/>
                <w:szCs w:val="24"/>
              </w:rPr>
              <w:t>报价</w:t>
            </w:r>
          </w:p>
        </w:tc>
        <w:tc>
          <w:tcPr>
            <w:tcW w:w="2670" w:type="dxa"/>
            <w:vAlign w:val="center"/>
          </w:tcPr>
          <w:p w14:paraId="38801AE3">
            <w:pPr>
              <w:widowControl w:val="0"/>
              <w:wordWrap/>
              <w:adjustRightInd w:val="0"/>
              <w:snapToGrid/>
              <w:spacing w:line="560" w:lineRule="exact"/>
              <w:ind w:firstLine="120" w:firstLineChars="5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交货期</w:t>
            </w:r>
          </w:p>
        </w:tc>
        <w:tc>
          <w:tcPr>
            <w:tcW w:w="1560" w:type="dxa"/>
            <w:vAlign w:val="center"/>
          </w:tcPr>
          <w:p w14:paraId="5EA7281E">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228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40BD245E">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187CB7B4">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w:t>
            </w:r>
          </w:p>
        </w:tc>
        <w:tc>
          <w:tcPr>
            <w:tcW w:w="2670" w:type="dxa"/>
            <w:vMerge w:val="restart"/>
            <w:vAlign w:val="top"/>
          </w:tcPr>
          <w:p w14:paraId="1ED52D0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000000"/>
                <w:sz w:val="24"/>
                <w:szCs w:val="24"/>
              </w:rPr>
            </w:pPr>
          </w:p>
        </w:tc>
        <w:tc>
          <w:tcPr>
            <w:tcW w:w="1560" w:type="dxa"/>
            <w:vMerge w:val="restart"/>
            <w:vAlign w:val="top"/>
          </w:tcPr>
          <w:p w14:paraId="6BF785A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5182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9BE9C9A">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5CB7AEF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小写：</w:t>
            </w:r>
          </w:p>
        </w:tc>
        <w:tc>
          <w:tcPr>
            <w:tcW w:w="2670" w:type="dxa"/>
            <w:vMerge w:val="continue"/>
            <w:vAlign w:val="top"/>
          </w:tcPr>
          <w:p w14:paraId="0C38DAD5">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1560" w:type="dxa"/>
            <w:vMerge w:val="continue"/>
            <w:vAlign w:val="top"/>
          </w:tcPr>
          <w:p w14:paraId="7CFBF959">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0B04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1E05BF1E">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bl>
    <w:p w14:paraId="7CEA43A2">
      <w:pPr>
        <w:widowControl w:val="0"/>
        <w:wordWrap/>
        <w:snapToGrid/>
        <w:spacing w:line="560" w:lineRule="exac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注：1、填写此表时不得改变表格形式。</w:t>
      </w:r>
    </w:p>
    <w:p w14:paraId="2852B09B">
      <w:pPr>
        <w:widowControl w:val="0"/>
        <w:wordWrap/>
        <w:adjustRightInd w:val="0"/>
        <w:snapToGrid w:val="0"/>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报价为总价。包括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708F9ECA">
      <w:pPr>
        <w:widowControl w:val="0"/>
        <w:wordWrap/>
        <w:snapToGrid/>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3、“交货期”是指产品能够交付使用的具体时间。</w:t>
      </w:r>
    </w:p>
    <w:p w14:paraId="53620FA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F7B0C8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64A0366">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7DDE8A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32BDD40">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42F0C3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E0EFA7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D47E7B1">
      <w:pPr>
        <w:widowControl/>
        <w:wordWrap/>
        <w:snapToGrid/>
        <w:spacing w:before="157" w:beforeLines="50" w:line="560" w:lineRule="exact"/>
        <w:jc w:val="left"/>
        <w:outlineLvl w:val="9"/>
        <w:rPr>
          <w:rFonts w:hint="eastAsia" w:ascii="宋体" w:hAnsi="宋体" w:eastAsia="宋体" w:cs="宋体"/>
          <w:b/>
          <w:color w:val="000000"/>
          <w:sz w:val="32"/>
          <w:szCs w:val="32"/>
          <w:lang w:val="zh-CN"/>
        </w:rPr>
      </w:pPr>
      <w:r>
        <w:rPr>
          <w:rFonts w:ascii="宋体"/>
          <w:b/>
          <w:color w:val="000000"/>
          <w:sz w:val="28"/>
          <w:szCs w:val="28"/>
        </w:rPr>
        <w:br w:type="page"/>
      </w:r>
      <w:bookmarkStart w:id="428" w:name="_Toc25351"/>
      <w:bookmarkStart w:id="429" w:name="_Toc3352_WPSOffice_Level3"/>
      <w:bookmarkStart w:id="430" w:name="_Toc13192"/>
      <w:bookmarkStart w:id="431" w:name="_Toc18824_WPSOffice_Level3"/>
      <w:bookmarkStart w:id="432" w:name="_Toc7532"/>
      <w:bookmarkStart w:id="433" w:name="_Toc31202"/>
      <w:r>
        <w:rPr>
          <w:rFonts w:hint="eastAsia" w:ascii="宋体" w:hAnsi="宋体" w:eastAsia="宋体" w:cs="宋体"/>
          <w:b/>
          <w:bCs w:val="0"/>
          <w:color w:val="000000"/>
          <w:kern w:val="2"/>
          <w:sz w:val="32"/>
          <w:szCs w:val="32"/>
          <w:lang w:val="zh-CN" w:eastAsia="zh-CN" w:bidi="ar-SA"/>
        </w:rPr>
        <w:t>附件11：分项报价表</w:t>
      </w:r>
      <w:bookmarkEnd w:id="428"/>
      <w:bookmarkEnd w:id="429"/>
      <w:bookmarkEnd w:id="430"/>
      <w:bookmarkEnd w:id="431"/>
      <w:bookmarkEnd w:id="432"/>
      <w:bookmarkEnd w:id="433"/>
    </w:p>
    <w:p w14:paraId="2B2EA5C4">
      <w:pPr>
        <w:widowControl/>
        <w:wordWrap/>
        <w:spacing w:before="157" w:beforeLines="50" w:line="560" w:lineRule="exact"/>
        <w:jc w:val="center"/>
        <w:outlineLvl w:val="9"/>
        <w:rPr>
          <w:rFonts w:hint="eastAsia" w:ascii="宋体" w:hAnsi="宋体" w:eastAsia="宋体" w:cs="宋体"/>
          <w:b/>
          <w:color w:val="000000"/>
          <w:sz w:val="32"/>
          <w:szCs w:val="32"/>
          <w:lang w:val="zh-CN"/>
        </w:rPr>
      </w:pPr>
      <w:bookmarkStart w:id="434" w:name="_Toc31256_WPSOffice_Level3"/>
      <w:bookmarkStart w:id="435" w:name="_Toc12587_WPSOffice_Level1"/>
      <w:bookmarkStart w:id="436" w:name="_Toc19937_WPSOffice_Level1"/>
      <w:r>
        <w:rPr>
          <w:rFonts w:hint="eastAsia" w:ascii="宋体" w:hAnsi="宋体" w:eastAsia="宋体" w:cs="宋体"/>
          <w:b/>
          <w:color w:val="000000"/>
          <w:sz w:val="32"/>
          <w:szCs w:val="32"/>
          <w:lang w:val="zh-CN" w:eastAsia="zh-CN"/>
        </w:rPr>
        <w:t>分项报价表</w:t>
      </w:r>
      <w:bookmarkEnd w:id="434"/>
      <w:bookmarkEnd w:id="435"/>
      <w:bookmarkEnd w:id="436"/>
    </w:p>
    <w:p w14:paraId="141F5A80">
      <w:pPr>
        <w:widowControl w:val="0"/>
        <w:wordWrap/>
        <w:adjustRightInd/>
        <w:snapToGrid/>
        <w:spacing w:line="560" w:lineRule="exact"/>
        <w:textAlignment w:val="auto"/>
        <w:outlineLvl w:val="9"/>
        <w:rPr>
          <w:rFonts w:hint="eastAsia" w:ascii="宋体" w:hAnsi="宋体" w:eastAsia="宋体" w:cs="宋体"/>
          <w:b w:val="0"/>
          <w:bCs/>
          <w:color w:val="000000"/>
          <w:sz w:val="24"/>
          <w:szCs w:val="24"/>
          <w:lang w:val="en-US" w:eastAsia="zh-CN"/>
        </w:rPr>
      </w:pPr>
      <w:bookmarkStart w:id="437" w:name="_Toc30633_WPSOffice_Level2"/>
      <w:r>
        <w:rPr>
          <w:rFonts w:hint="eastAsia" w:ascii="宋体" w:hAnsi="宋体" w:eastAsia="宋体" w:cs="宋体"/>
          <w:b w:val="0"/>
          <w:bCs/>
          <w:color w:val="000000"/>
          <w:sz w:val="24"/>
          <w:szCs w:val="24"/>
        </w:rPr>
        <w:t>供应商名称:</w:t>
      </w:r>
      <w:bookmarkEnd w:id="437"/>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r>
        <w:rPr>
          <w:rFonts w:hint="eastAsia" w:ascii="宋体" w:hAnsi="宋体" w:eastAsia="宋体" w:cs="宋体"/>
          <w:b w:val="0"/>
          <w:bCs/>
          <w:color w:val="000000"/>
          <w:sz w:val="24"/>
          <w:szCs w:val="24"/>
          <w:lang w:val="en-US" w:eastAsia="zh-CN"/>
        </w:rPr>
        <w:t xml:space="preserve">                                          </w:t>
      </w:r>
    </w:p>
    <w:tbl>
      <w:tblPr>
        <w:tblStyle w:val="20"/>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1137"/>
      </w:tblGrid>
      <w:tr w14:paraId="156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08FA653">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1497" w:type="dxa"/>
            <w:vAlign w:val="center"/>
          </w:tcPr>
          <w:p w14:paraId="7BACA1C0">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p>
        </w:tc>
        <w:tc>
          <w:tcPr>
            <w:tcW w:w="992" w:type="dxa"/>
            <w:vAlign w:val="center"/>
          </w:tcPr>
          <w:p w14:paraId="2FAD8BF5">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品牌</w:t>
            </w:r>
          </w:p>
        </w:tc>
        <w:tc>
          <w:tcPr>
            <w:tcW w:w="1052" w:type="dxa"/>
            <w:vAlign w:val="center"/>
          </w:tcPr>
          <w:p w14:paraId="5945875A">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规格型号</w:t>
            </w:r>
          </w:p>
        </w:tc>
        <w:tc>
          <w:tcPr>
            <w:tcW w:w="1356" w:type="dxa"/>
            <w:vAlign w:val="center"/>
          </w:tcPr>
          <w:p w14:paraId="69462BFE">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生产厂家</w:t>
            </w:r>
          </w:p>
        </w:tc>
        <w:tc>
          <w:tcPr>
            <w:tcW w:w="953" w:type="dxa"/>
            <w:vAlign w:val="center"/>
          </w:tcPr>
          <w:p w14:paraId="52AD0FC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数量及单位</w:t>
            </w:r>
          </w:p>
        </w:tc>
        <w:tc>
          <w:tcPr>
            <w:tcW w:w="710" w:type="dxa"/>
            <w:vAlign w:val="center"/>
          </w:tcPr>
          <w:p w14:paraId="181D60D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tc>
        <w:tc>
          <w:tcPr>
            <w:tcW w:w="851" w:type="dxa"/>
            <w:vAlign w:val="center"/>
          </w:tcPr>
          <w:p w14:paraId="1B54435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合计</w:t>
            </w:r>
          </w:p>
        </w:tc>
        <w:tc>
          <w:tcPr>
            <w:tcW w:w="1137" w:type="dxa"/>
            <w:vAlign w:val="center"/>
          </w:tcPr>
          <w:p w14:paraId="26F1FDE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181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397A1B4D">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p>
        </w:tc>
        <w:tc>
          <w:tcPr>
            <w:tcW w:w="1497" w:type="dxa"/>
            <w:vAlign w:val="center"/>
          </w:tcPr>
          <w:p w14:paraId="3F88E6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5FFBB9D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099C3D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340B3AC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9854B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1E956F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90537E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36D03B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661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4E314B6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p>
        </w:tc>
        <w:tc>
          <w:tcPr>
            <w:tcW w:w="1497" w:type="dxa"/>
            <w:vAlign w:val="center"/>
          </w:tcPr>
          <w:p w14:paraId="5FDE496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4C05C20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467CAA0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181EC7A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6B7F793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2BBDFDC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CA8166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B5B4FB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84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30FCF5F">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p>
        </w:tc>
        <w:tc>
          <w:tcPr>
            <w:tcW w:w="1497" w:type="dxa"/>
            <w:vAlign w:val="center"/>
          </w:tcPr>
          <w:p w14:paraId="4657EDD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6459AA4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EDC7F7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64450AE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C8127F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60C915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6D4974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08B8A7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03D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583E28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w:t>
            </w:r>
          </w:p>
        </w:tc>
        <w:tc>
          <w:tcPr>
            <w:tcW w:w="1497" w:type="dxa"/>
            <w:vAlign w:val="center"/>
          </w:tcPr>
          <w:p w14:paraId="29237C8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3228316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0899894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242C559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31F6F88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50D1F7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83AC32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E4A2E0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A00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0F6EA758">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p>
        </w:tc>
        <w:tc>
          <w:tcPr>
            <w:tcW w:w="1497" w:type="dxa"/>
            <w:vAlign w:val="center"/>
          </w:tcPr>
          <w:p w14:paraId="5DFB609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2D0FF9F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63D0D84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4F24A7FF">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5EFAD269">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5FE67D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321F89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6EECF8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4537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9206" w:type="dxa"/>
            <w:gridSpan w:val="9"/>
            <w:vAlign w:val="center"/>
          </w:tcPr>
          <w:p w14:paraId="59C87BE6">
            <w:pPr>
              <w:widowControl w:val="0"/>
              <w:wordWrap/>
              <w:adjustRightInd/>
              <w:snapToGrid/>
              <w:spacing w:line="560" w:lineRule="exac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r w14:paraId="185C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614C1100">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总价</w:t>
            </w:r>
          </w:p>
        </w:tc>
        <w:tc>
          <w:tcPr>
            <w:tcW w:w="7051" w:type="dxa"/>
            <w:gridSpan w:val="7"/>
            <w:vAlign w:val="center"/>
          </w:tcPr>
          <w:p w14:paraId="0B407F7C">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                      小写：</w:t>
            </w:r>
          </w:p>
        </w:tc>
      </w:tr>
    </w:tbl>
    <w:p w14:paraId="3082101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bookmarkStart w:id="438" w:name="_Toc698"/>
      <w:r>
        <w:rPr>
          <w:rFonts w:hint="eastAsia" w:ascii="宋体" w:hAnsi="宋体" w:eastAsia="宋体" w:cs="宋体"/>
          <w:b w:val="0"/>
          <w:bCs/>
          <w:color w:val="000000"/>
          <w:sz w:val="24"/>
          <w:szCs w:val="24"/>
          <w:lang w:val="en-US" w:eastAsia="zh-CN"/>
        </w:rPr>
        <w:t>注：1.本表应依照技术参数中的产品序号按顺序逐项填写，不得遗漏，否则，按无效投标处理。</w:t>
      </w:r>
    </w:p>
    <w:p w14:paraId="6489F935">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2.响应报价不能有两个或两个以上的报价方案。</w:t>
      </w:r>
    </w:p>
    <w:p w14:paraId="74432A3D">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5D155CD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0921DCC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0310A73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8D6AA62">
      <w:pPr>
        <w:widowControl/>
        <w:wordWrap/>
        <w:snapToGrid w:val="0"/>
        <w:spacing w:before="157" w:beforeLines="50" w:line="560" w:lineRule="exact"/>
        <w:outlineLvl w:val="1"/>
        <w:rPr>
          <w:rFonts w:hint="eastAsia" w:ascii="宋体" w:hAnsi="宋体" w:cs="宋体"/>
          <w:b/>
          <w:color w:val="000000"/>
          <w:sz w:val="36"/>
          <w:szCs w:val="36"/>
        </w:rPr>
      </w:pPr>
      <w:bookmarkStart w:id="439" w:name="_Toc20734"/>
      <w:bookmarkStart w:id="440" w:name="_Toc13098_WPSOffice_Level3"/>
      <w:r>
        <w:rPr>
          <w:rFonts w:hint="eastAsia" w:ascii="仿宋_GB2312" w:hAnsi="仿宋_GB2312" w:eastAsia="仿宋_GB2312" w:cs="仿宋_GB2312"/>
          <w:b/>
          <w:color w:val="000000"/>
          <w:sz w:val="30"/>
          <w:szCs w:val="30"/>
          <w:lang w:eastAsia="zh-CN"/>
        </w:rPr>
        <w:br w:type="page"/>
      </w:r>
      <w:bookmarkStart w:id="441" w:name="_Toc28715"/>
      <w:bookmarkStart w:id="442" w:name="_Toc28315_WPSOffice_Level3"/>
      <w:bookmarkStart w:id="443" w:name="_Toc28398"/>
      <w:r>
        <w:rPr>
          <w:rFonts w:hint="eastAsia" w:ascii="宋体" w:hAnsi="宋体" w:eastAsia="宋体" w:cs="宋体"/>
          <w:b/>
          <w:bCs w:val="0"/>
          <w:color w:val="000000"/>
          <w:kern w:val="2"/>
          <w:sz w:val="32"/>
          <w:szCs w:val="32"/>
          <w:lang w:val="en-US" w:eastAsia="zh-CN" w:bidi="ar-SA"/>
        </w:rPr>
        <w:t>附件12：技术规格响应表</w:t>
      </w:r>
      <w:bookmarkEnd w:id="438"/>
      <w:bookmarkEnd w:id="439"/>
      <w:bookmarkEnd w:id="440"/>
      <w:bookmarkEnd w:id="441"/>
      <w:bookmarkEnd w:id="442"/>
      <w:bookmarkEnd w:id="443"/>
    </w:p>
    <w:p w14:paraId="1A28E6F1">
      <w:pPr>
        <w:wordWrap/>
        <w:spacing w:before="157" w:beforeLines="50" w:line="560" w:lineRule="exact"/>
        <w:jc w:val="center"/>
        <w:outlineLvl w:val="9"/>
        <w:rPr>
          <w:rFonts w:hint="eastAsia" w:ascii="宋体" w:hAnsi="宋体" w:eastAsia="宋体" w:cs="宋体"/>
          <w:b/>
          <w:color w:val="000000"/>
          <w:sz w:val="32"/>
          <w:szCs w:val="32"/>
          <w:lang w:val="zh-CN" w:eastAsia="zh-CN"/>
        </w:rPr>
      </w:pPr>
      <w:bookmarkStart w:id="444" w:name="_Toc27772_WPSOffice_Level3"/>
      <w:bookmarkStart w:id="445" w:name="_Toc27646_WPSOffice_Level1"/>
      <w:bookmarkStart w:id="446" w:name="_Toc22043_WPSOffice_Level1"/>
      <w:r>
        <w:rPr>
          <w:rFonts w:hint="eastAsia" w:ascii="宋体" w:hAnsi="宋体" w:eastAsia="宋体" w:cs="宋体"/>
          <w:b/>
          <w:color w:val="000000"/>
          <w:sz w:val="32"/>
          <w:szCs w:val="32"/>
          <w:lang w:val="zh-CN" w:eastAsia="zh-CN"/>
        </w:rPr>
        <w:t>技术规格响应表</w:t>
      </w:r>
      <w:bookmarkEnd w:id="444"/>
      <w:bookmarkEnd w:id="445"/>
      <w:bookmarkEnd w:id="446"/>
    </w:p>
    <w:p w14:paraId="36D89677">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rPr>
      </w:pPr>
      <w:bookmarkStart w:id="447" w:name="_Toc14764_WPSOffice_Level2"/>
      <w:r>
        <w:rPr>
          <w:rFonts w:hint="eastAsia" w:ascii="宋体" w:hAnsi="宋体" w:eastAsia="宋体" w:cs="宋体"/>
          <w:b w:val="0"/>
          <w:bCs/>
          <w:color w:val="000000"/>
          <w:sz w:val="24"/>
          <w:szCs w:val="24"/>
        </w:rPr>
        <w:t>供应商名称:</w:t>
      </w:r>
      <w:bookmarkEnd w:id="447"/>
    </w:p>
    <w:tbl>
      <w:tblPr>
        <w:tblStyle w:val="1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908"/>
        <w:gridCol w:w="2835"/>
        <w:gridCol w:w="937"/>
        <w:gridCol w:w="2952"/>
        <w:gridCol w:w="894"/>
      </w:tblGrid>
      <w:tr w14:paraId="74D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7674A46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3743" w:type="dxa"/>
            <w:gridSpan w:val="2"/>
            <w:vAlign w:val="top"/>
          </w:tcPr>
          <w:p w14:paraId="21A1AAEC">
            <w:pPr>
              <w:widowControl w:val="0"/>
              <w:wordWrap/>
              <w:adjustRightInd/>
              <w:snapToGrid/>
              <w:spacing w:line="560" w:lineRule="exact"/>
              <w:ind w:firstLine="120" w:firstLineChars="5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采购需求技术参数、指标</w:t>
            </w:r>
          </w:p>
        </w:tc>
        <w:tc>
          <w:tcPr>
            <w:tcW w:w="3889" w:type="dxa"/>
            <w:gridSpan w:val="2"/>
            <w:vAlign w:val="top"/>
          </w:tcPr>
          <w:p w14:paraId="748A56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投标产品技术参数、指标</w:t>
            </w:r>
          </w:p>
        </w:tc>
        <w:tc>
          <w:tcPr>
            <w:tcW w:w="894" w:type="dxa"/>
            <w:vAlign w:val="center"/>
          </w:tcPr>
          <w:p w14:paraId="5DD8071F">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r>
      <w:tr w14:paraId="0C8B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55020079">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908" w:type="dxa"/>
            <w:vAlign w:val="center"/>
          </w:tcPr>
          <w:p w14:paraId="5777271E">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835" w:type="dxa"/>
            <w:vAlign w:val="center"/>
          </w:tcPr>
          <w:p w14:paraId="15AD9F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937" w:type="dxa"/>
            <w:vAlign w:val="center"/>
          </w:tcPr>
          <w:p w14:paraId="720127D8">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952" w:type="dxa"/>
            <w:vAlign w:val="center"/>
          </w:tcPr>
          <w:p w14:paraId="4B0E6161">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894" w:type="dxa"/>
            <w:vAlign w:val="top"/>
          </w:tcPr>
          <w:p w14:paraId="5D0234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092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A730A12">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08" w:type="dxa"/>
            <w:vAlign w:val="top"/>
          </w:tcPr>
          <w:p w14:paraId="78085F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45F63C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36B546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58B96236">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7C40FA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ED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D5F086A">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08" w:type="dxa"/>
            <w:vAlign w:val="top"/>
          </w:tcPr>
          <w:p w14:paraId="68FD9FD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F03FCE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651C746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032B4278">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48A11D74">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94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611" w:type="dxa"/>
            <w:vAlign w:val="center"/>
          </w:tcPr>
          <w:p w14:paraId="692BF88C">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908" w:type="dxa"/>
            <w:vAlign w:val="top"/>
          </w:tcPr>
          <w:p w14:paraId="65E5B4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3CCC322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0DCDB4C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2AED88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271B4015">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bl>
    <w:p w14:paraId="6893E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注：1.本表应</w:t>
      </w:r>
      <w:r>
        <w:rPr>
          <w:rFonts w:hint="eastAsia" w:ascii="宋体" w:hAnsi="宋体" w:eastAsia="宋体" w:cs="宋体"/>
          <w:color w:val="auto"/>
          <w:kern w:val="0"/>
          <w:sz w:val="24"/>
          <w:szCs w:val="24"/>
          <w:lang w:val="en-US" w:eastAsia="zh-CN" w:bidi="ar"/>
        </w:rPr>
        <w:t>按照“</w:t>
      </w:r>
      <w:r>
        <w:rPr>
          <w:rFonts w:hint="eastAsia" w:ascii="宋体" w:hAnsi="宋体" w:cs="宋体"/>
          <w:color w:val="auto"/>
          <w:kern w:val="0"/>
          <w:sz w:val="24"/>
          <w:szCs w:val="24"/>
          <w:lang w:val="en-US" w:eastAsia="zh-CN" w:bidi="ar"/>
        </w:rPr>
        <w:t xml:space="preserve">第三部分 </w:t>
      </w:r>
      <w:r>
        <w:rPr>
          <w:rFonts w:hint="eastAsia" w:ascii="宋体" w:hAnsi="宋体" w:eastAsia="宋体" w:cs="宋体"/>
          <w:color w:val="auto"/>
          <w:kern w:val="0"/>
          <w:sz w:val="24"/>
          <w:szCs w:val="24"/>
          <w:lang w:val="en-US" w:eastAsia="zh-CN" w:bidi="ar"/>
        </w:rPr>
        <w:t>技术参数”中产品</w:t>
      </w:r>
      <w:r>
        <w:rPr>
          <w:rFonts w:hint="eastAsia" w:ascii="宋体" w:hAnsi="宋体" w:eastAsia="宋体" w:cs="宋体"/>
          <w:color w:val="000000"/>
          <w:kern w:val="0"/>
          <w:sz w:val="24"/>
          <w:szCs w:val="24"/>
          <w:lang w:val="en-US" w:eastAsia="zh-CN" w:bidi="ar"/>
        </w:rPr>
        <w:t xml:space="preserve">序号的指标逐项填写，不得遗漏， 否则，按无效投标处理。 </w:t>
      </w:r>
    </w:p>
    <w:p w14:paraId="40F0EE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FF0000"/>
          <w:kern w:val="0"/>
          <w:sz w:val="24"/>
          <w:szCs w:val="24"/>
          <w:lang w:val="en-US" w:eastAsia="zh-CN" w:bidi="ar"/>
        </w:rPr>
        <w:t>“投标产品技术参数、指标”必须与响应文件中提供的产品检测报告、彩页等证明材料的实质性响应情况相一致。若在评标环节发现该项与响应文件中提供的产品检测报告、彩页（或厂家公开发布的资料参数）等证明材料的实质性响应情况不一致或直接复制</w:t>
      </w:r>
      <w:r>
        <w:rPr>
          <w:rFonts w:hint="eastAsia" w:ascii="宋体" w:hAnsi="宋体" w:cs="宋体"/>
          <w:color w:val="FF0000"/>
          <w:kern w:val="0"/>
          <w:sz w:val="24"/>
          <w:szCs w:val="24"/>
          <w:lang w:val="en-US" w:eastAsia="zh-CN" w:bidi="ar"/>
        </w:rPr>
        <w:t>谈</w:t>
      </w:r>
      <w:r>
        <w:rPr>
          <w:rFonts w:hint="eastAsia" w:ascii="宋体" w:hAnsi="宋体" w:eastAsia="宋体" w:cs="宋体"/>
          <w:color w:val="FF0000"/>
          <w:kern w:val="0"/>
          <w:sz w:val="24"/>
          <w:szCs w:val="24"/>
          <w:lang w:val="en-US" w:eastAsia="zh-CN" w:bidi="ar"/>
        </w:rPr>
        <w:t xml:space="preserve">文件“采购需求技术参数、指标”内容的，按无效投标处理。 </w:t>
      </w:r>
    </w:p>
    <w:p w14:paraId="3F0FEF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3.填写此表时以招标项目参数要求为基本响应要求，满足招标项目参数要求的指标需列 出“0”；超出、不满足招标项目参数要求的指标需列出“+”、“-”偏差，并做出详细说明； 如果只注明“+”、“-”或未填写，将视为该项指标不响应。 </w:t>
      </w:r>
    </w:p>
    <w:p w14:paraId="3CD600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4.供应商响应采购需求应具体、明确，含糊不清、不确切或伪造、编造证明材料的，按照实质性不响应处理。对伪造、编造证明材料的，将报告本级财政部门。</w:t>
      </w:r>
    </w:p>
    <w:p w14:paraId="55630017">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7E623DC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A6983F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3B0446F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58912AFE">
      <w:pPr>
        <w:widowControl/>
        <w:wordWrap/>
        <w:snapToGrid/>
        <w:spacing w:before="157" w:beforeLines="50" w:line="560" w:lineRule="exact"/>
        <w:outlineLvl w:val="9"/>
        <w:rPr>
          <w:rFonts w:hint="eastAsia" w:ascii="宋体" w:hAnsi="宋体" w:cs="宋体"/>
          <w:b/>
          <w:color w:val="000000"/>
          <w:sz w:val="32"/>
          <w:szCs w:val="32"/>
          <w:lang w:val="zh-CN"/>
        </w:rPr>
      </w:pPr>
      <w:bookmarkStart w:id="448" w:name="_Toc6913_WPSOffice_Level3"/>
      <w:bookmarkStart w:id="449" w:name="_Toc7597"/>
      <w:bookmarkStart w:id="450" w:name="_Toc14547"/>
      <w:bookmarkStart w:id="451" w:name="_Toc18025_WPSOffice_Level3"/>
      <w:bookmarkStart w:id="452" w:name="_Toc2601"/>
      <w:bookmarkStart w:id="453" w:name="_Toc28501"/>
      <w:r>
        <w:rPr>
          <w:rFonts w:hint="eastAsia" w:ascii="宋体" w:hAnsi="宋体" w:eastAsia="宋体" w:cs="宋体"/>
          <w:b/>
          <w:bCs w:val="0"/>
          <w:color w:val="000000"/>
          <w:kern w:val="2"/>
          <w:sz w:val="32"/>
          <w:szCs w:val="32"/>
          <w:lang w:val="zh-CN" w:eastAsia="zh-CN" w:bidi="ar-SA"/>
        </w:rPr>
        <w:t>附件13：</w:t>
      </w:r>
      <w:bookmarkEnd w:id="448"/>
      <w:bookmarkEnd w:id="449"/>
      <w:bookmarkEnd w:id="450"/>
      <w:r>
        <w:rPr>
          <w:rFonts w:hint="eastAsia" w:ascii="宋体" w:hAnsi="宋体" w:eastAsia="宋体" w:cs="宋体"/>
          <w:b/>
          <w:bCs w:val="0"/>
          <w:color w:val="000000"/>
          <w:kern w:val="2"/>
          <w:sz w:val="32"/>
          <w:szCs w:val="32"/>
          <w:lang w:val="zh-CN" w:eastAsia="zh-CN" w:bidi="ar-SA"/>
        </w:rPr>
        <w:t>具备履行合同所必须的设备和专业技术能力证明</w:t>
      </w:r>
      <w:bookmarkEnd w:id="451"/>
      <w:bookmarkEnd w:id="452"/>
      <w:bookmarkEnd w:id="453"/>
    </w:p>
    <w:p w14:paraId="6F31F484">
      <w:pPr>
        <w:wordWrap/>
        <w:spacing w:before="157" w:beforeLines="50" w:line="560" w:lineRule="exact"/>
        <w:jc w:val="center"/>
        <w:outlineLvl w:val="9"/>
        <w:rPr>
          <w:rFonts w:hint="eastAsia" w:ascii="宋体" w:hAnsi="宋体" w:cs="宋体"/>
          <w:b/>
          <w:bCs w:val="0"/>
          <w:color w:val="000000"/>
          <w:sz w:val="32"/>
          <w:szCs w:val="32"/>
          <w:lang w:val="zh-CN"/>
        </w:rPr>
      </w:pPr>
      <w:bookmarkStart w:id="454" w:name="_Toc21309_WPSOffice_Level3"/>
      <w:bookmarkStart w:id="455" w:name="_Toc2954_WPSOffice_Level1"/>
      <w:bookmarkStart w:id="456" w:name="_Toc19683_WPSOffice_Level1"/>
      <w:r>
        <w:rPr>
          <w:rFonts w:hint="eastAsia" w:ascii="宋体" w:hAnsi="宋体" w:eastAsia="宋体" w:cs="宋体"/>
          <w:b/>
          <w:color w:val="000000"/>
          <w:sz w:val="32"/>
          <w:szCs w:val="32"/>
          <w:lang w:val="zh-CN" w:eastAsia="zh-CN"/>
        </w:rPr>
        <w:t>产品相关资料</w:t>
      </w:r>
      <w:bookmarkEnd w:id="454"/>
      <w:bookmarkEnd w:id="455"/>
      <w:bookmarkEnd w:id="456"/>
    </w:p>
    <w:p w14:paraId="29C22636">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eastAsia" w:ascii="宋体" w:hAnsi="宋体" w:eastAsia="宋体" w:cs="宋体"/>
          <w:color w:val="000000"/>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kern w:val="0"/>
          <w:sz w:val="24"/>
          <w:szCs w:val="24"/>
          <w:lang w:val="en-US" w:eastAsia="zh-CN" w:bidi="ar"/>
        </w:rPr>
        <w:t>为保证本项目合同的顺利履行，供应商必须具备履行合同的设备和专业技术能力，须提供履行合同的设备和专业技术能力的承诺函（格式自拟）。</w:t>
      </w:r>
    </w:p>
    <w:p w14:paraId="54616020">
      <w:pPr>
        <w:wordWrap/>
        <w:spacing w:before="157" w:beforeLines="50" w:line="560" w:lineRule="exact"/>
        <w:jc w:val="left"/>
        <w:outlineLvl w:val="9"/>
        <w:rPr>
          <w:rFonts w:hint="eastAsia" w:ascii="宋体" w:hAnsi="宋体" w:eastAsia="宋体" w:cs="宋体"/>
          <w:b/>
          <w:color w:val="000000"/>
          <w:sz w:val="32"/>
          <w:szCs w:val="32"/>
          <w:lang w:val="zh-CN" w:eastAsia="zh-CN"/>
        </w:rPr>
      </w:pPr>
      <w:r>
        <w:rPr>
          <w:rFonts w:hint="eastAsia" w:ascii="宋体" w:hAnsi="宋体" w:eastAsia="宋体" w:cs="宋体"/>
          <w:b/>
          <w:color w:val="000000"/>
          <w:sz w:val="32"/>
          <w:szCs w:val="32"/>
          <w:lang w:val="en-US" w:eastAsia="zh-CN"/>
        </w:rPr>
        <w:t>附件14：所投产品相关资料</w:t>
      </w:r>
    </w:p>
    <w:p w14:paraId="2574C8D3">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14:paraId="5BAC84F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8"/>
          <w:szCs w:val="28"/>
          <w:lang w:val="en-US" w:eastAsia="zh-CN" w:bidi="ar"/>
        </w:rPr>
        <w:t>所投产品相关资料</w:t>
      </w:r>
    </w:p>
    <w:p w14:paraId="3856AB8D">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auto"/>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宋体" w:hAnsi="宋体" w:eastAsia="宋体" w:cs="宋体"/>
          <w:color w:val="auto"/>
          <w:kern w:val="0"/>
          <w:sz w:val="24"/>
          <w:szCs w:val="24"/>
          <w:lang w:val="en-US" w:eastAsia="zh-CN" w:bidi="ar"/>
        </w:rPr>
        <w:t>根据采购项目内容，响应文件中须提供生产厂家公开发布的产品资料或产品使用说明书或产品生产厂家技术白皮书或国家认可的第三方检测机构出具的检验报告。</w:t>
      </w:r>
    </w:p>
    <w:p w14:paraId="7666DA9D">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bookmarkStart w:id="457" w:name="_Toc4925"/>
      <w:bookmarkStart w:id="458" w:name="_Toc10368"/>
      <w:bookmarkStart w:id="459" w:name="_Toc11887"/>
      <w:bookmarkStart w:id="460" w:name="_Toc31301_WPSOffice_Level3"/>
      <w:bookmarkStart w:id="461" w:name="_Toc17566"/>
      <w:bookmarkStart w:id="462" w:name="_Toc3146_WPSOffice_Level3"/>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5</w:t>
      </w:r>
      <w:r>
        <w:rPr>
          <w:rFonts w:hint="eastAsia" w:ascii="宋体" w:hAnsi="宋体" w:eastAsia="宋体" w:cs="宋体"/>
          <w:b/>
          <w:bCs w:val="0"/>
          <w:color w:val="000000"/>
          <w:kern w:val="2"/>
          <w:sz w:val="32"/>
          <w:szCs w:val="32"/>
          <w:lang w:val="en-US" w:eastAsia="zh-CN" w:bidi="ar-SA"/>
        </w:rPr>
        <w:t>：</w:t>
      </w:r>
      <w:bookmarkEnd w:id="457"/>
      <w:bookmarkEnd w:id="458"/>
      <w:bookmarkEnd w:id="459"/>
      <w:bookmarkEnd w:id="460"/>
      <w:bookmarkEnd w:id="461"/>
      <w:bookmarkEnd w:id="462"/>
      <w:r>
        <w:rPr>
          <w:rFonts w:hint="eastAsia" w:ascii="宋体" w:hAnsi="宋体" w:eastAsia="宋体" w:cs="宋体"/>
          <w:b/>
          <w:bCs w:val="0"/>
          <w:color w:val="000000"/>
          <w:kern w:val="2"/>
          <w:sz w:val="32"/>
          <w:szCs w:val="32"/>
          <w:lang w:val="en-US" w:eastAsia="zh-CN" w:bidi="ar-SA"/>
        </w:rPr>
        <w:t>中小企业声明函</w:t>
      </w:r>
    </w:p>
    <w:p w14:paraId="01C41380">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color w:val="auto"/>
          <w:kern w:val="2"/>
          <w:sz w:val="32"/>
          <w:szCs w:val="32"/>
          <w:lang w:val="en-US" w:eastAsia="zh-CN" w:bidi="ar-SA"/>
        </w:rPr>
      </w:pPr>
      <w:bookmarkStart w:id="463" w:name="_Toc22784_WPSOffice_Level3"/>
      <w:bookmarkStart w:id="464" w:name="_Toc31539"/>
      <w:bookmarkStart w:id="465" w:name="_Toc6454"/>
      <w:r>
        <w:rPr>
          <w:rFonts w:hint="eastAsia" w:ascii="宋体" w:hAnsi="宋体" w:eastAsia="宋体" w:cs="宋体"/>
          <w:b w:val="0"/>
          <w:bCs w:val="0"/>
          <w:color w:val="auto"/>
          <w:kern w:val="2"/>
          <w:sz w:val="32"/>
          <w:szCs w:val="32"/>
          <w:lang w:val="en-US" w:eastAsia="zh-CN" w:bidi="ar-SA"/>
        </w:rPr>
        <w:t>中小企业声明函</w:t>
      </w:r>
      <w:bookmarkEnd w:id="463"/>
      <w:bookmarkEnd w:id="464"/>
      <w:bookmarkEnd w:id="465"/>
      <w:r>
        <w:rPr>
          <w:rFonts w:hint="eastAsia" w:ascii="宋体" w:hAnsi="宋体" w:eastAsia="宋体" w:cs="宋体"/>
          <w:b w:val="0"/>
          <w:bCs w:val="0"/>
          <w:color w:val="auto"/>
          <w:kern w:val="2"/>
          <w:sz w:val="32"/>
          <w:szCs w:val="32"/>
          <w:lang w:val="en-US" w:eastAsia="zh-CN" w:bidi="ar-SA"/>
        </w:rPr>
        <w:t>（货物）</w:t>
      </w:r>
    </w:p>
    <w:p w14:paraId="061E316B">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本公司（联合体）郑重声明，根据《政府采购促进中小企业发展管理办法》（财库【2020】46号）的规定，本公司（联合体）参加</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 xml:space="preserve"> （项目名称）</w:t>
      </w:r>
      <w:r>
        <w:rPr>
          <w:rFonts w:hint="eastAsia" w:ascii="宋体" w:hAnsi="宋体" w:eastAsia="宋体" w:cs="宋体"/>
          <w:spacing w:val="6"/>
          <w:sz w:val="24"/>
          <w:szCs w:val="24"/>
        </w:rPr>
        <w:t>采购活动，提供的货物全部由符合政策要求的中小企业制造，相关企业（含联合体中的中小企业、签订分包意向协议的中小企业）具体情况如下：</w:t>
      </w:r>
    </w:p>
    <w:p w14:paraId="7969EE0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kern w:val="2"/>
          <w:sz w:val="24"/>
          <w:szCs w:val="24"/>
          <w:lang w:val="en-US" w:eastAsia="zh-CN" w:bidi="ar-SA"/>
        </w:rPr>
        <w:t>1.</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cs="宋体"/>
          <w:spacing w:val="6"/>
          <w:sz w:val="24"/>
          <w:szCs w:val="24"/>
          <w:u w:val="single"/>
          <w:lang w:val="en-US" w:eastAsia="zh-CN"/>
        </w:rPr>
        <w:t xml:space="preserve">    </w:t>
      </w:r>
      <w:r>
        <w:rPr>
          <w:rFonts w:hint="eastAsia" w:ascii="宋体" w:hAnsi="宋体" w:eastAsia="宋体" w:cs="宋体"/>
          <w:spacing w:val="6"/>
          <w:sz w:val="24"/>
          <w:szCs w:val="24"/>
          <w:u w:val="single"/>
        </w:rPr>
        <w:t>（中型企业、小型企业、微型企业）</w:t>
      </w:r>
      <w:r>
        <w:rPr>
          <w:rFonts w:hint="eastAsia" w:ascii="宋体" w:hAnsi="宋体" w:eastAsia="宋体" w:cs="宋体"/>
          <w:spacing w:val="6"/>
          <w:sz w:val="24"/>
          <w:szCs w:val="24"/>
        </w:rPr>
        <w:t>；</w:t>
      </w:r>
    </w:p>
    <w:p w14:paraId="0016D8C3">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（中型企业、小型企业、微型企业）</w:t>
      </w:r>
      <w:r>
        <w:rPr>
          <w:rFonts w:hint="eastAsia" w:ascii="宋体" w:hAnsi="宋体" w:eastAsia="宋体" w:cs="宋体"/>
          <w:spacing w:val="6"/>
          <w:sz w:val="24"/>
          <w:szCs w:val="24"/>
        </w:rPr>
        <w:t>；</w:t>
      </w:r>
    </w:p>
    <w:p w14:paraId="58C443A7">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04F4DC74">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56D2A3C3">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51E50EC4">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bookmarkStart w:id="466" w:name="_Toc21636_WPSOffice_Level3"/>
      <w:r>
        <w:rPr>
          <w:rFonts w:hint="eastAsia" w:ascii="宋体" w:hAnsi="宋体"/>
          <w:b/>
          <w:color w:val="FF0000"/>
          <w:sz w:val="24"/>
          <w:lang w:val="en-US" w:eastAsia="zh-CN"/>
        </w:rPr>
        <w:t xml:space="preserve">                         </w:t>
      </w:r>
    </w:p>
    <w:p w14:paraId="78D29A5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p>
    <w:p w14:paraId="0F7C7C4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eastAsia="宋体" w:cs="宋体"/>
          <w:b w:val="0"/>
          <w:bCs/>
          <w:color w:val="000000"/>
          <w:sz w:val="24"/>
          <w:szCs w:val="24"/>
        </w:rPr>
      </w:pPr>
      <w:r>
        <w:rPr>
          <w:rFonts w:hint="eastAsia" w:ascii="宋体" w:hAnsi="宋体"/>
          <w:b/>
          <w:color w:val="000000"/>
          <w:sz w:val="24"/>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466"/>
    </w:p>
    <w:p w14:paraId="36F8E21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467" w:name="_Toc19511_WPSOffice_Level3"/>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467"/>
    </w:p>
    <w:p w14:paraId="3DD83DD0">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bookmarkStart w:id="468" w:name="_Toc20470_WPSOffice_Level3"/>
      <w:r>
        <w:rPr>
          <w:rFonts w:hint="eastAsia" w:ascii="宋体" w:hAnsi="宋体" w:eastAsia="宋体" w:cs="宋体"/>
          <w:spacing w:val="6"/>
          <w:kern w:val="0"/>
          <w:sz w:val="24"/>
          <w:szCs w:val="24"/>
          <w:lang w:eastAsia="zh-CN"/>
        </w:rPr>
        <w:t>年   月  日</w:t>
      </w:r>
      <w:bookmarkEnd w:id="468"/>
    </w:p>
    <w:p w14:paraId="189ED7AB">
      <w:pPr>
        <w:widowControl/>
        <w:wordWrap/>
        <w:adjustRightInd w:val="0"/>
        <w:snapToGrid w:val="0"/>
        <w:spacing w:line="560" w:lineRule="exact"/>
        <w:ind w:firstLine="664" w:firstLineChars="200"/>
        <w:jc w:val="left"/>
        <w:textAlignment w:val="auto"/>
        <w:rPr>
          <w:rFonts w:hint="eastAsia" w:ascii="仿宋_GB2312" w:hAnsi="仿宋_GB2312" w:eastAsia="仿宋_GB2312" w:cs="仿宋_GB2312"/>
          <w:spacing w:val="6"/>
          <w:kern w:val="0"/>
          <w:sz w:val="32"/>
          <w:szCs w:val="32"/>
        </w:rPr>
      </w:pPr>
    </w:p>
    <w:p w14:paraId="5CA3504E">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bookmarkStart w:id="469" w:name="_Toc14211_WPSOffice_Level3"/>
      <w:bookmarkStart w:id="470" w:name="_Toc11740"/>
      <w:bookmarkStart w:id="471" w:name="_Toc12160"/>
    </w:p>
    <w:p w14:paraId="10909FD1">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6</w:t>
      </w:r>
      <w:r>
        <w:rPr>
          <w:rFonts w:hint="eastAsia" w:ascii="宋体" w:hAnsi="宋体" w:eastAsia="宋体" w:cs="宋体"/>
          <w:b/>
          <w:bCs w:val="0"/>
          <w:color w:val="000000"/>
          <w:kern w:val="2"/>
          <w:sz w:val="32"/>
          <w:szCs w:val="32"/>
          <w:lang w:val="en-US" w:eastAsia="zh-CN" w:bidi="ar-SA"/>
        </w:rPr>
        <w:t>：残疾人福利性单位声明函</w:t>
      </w:r>
    </w:p>
    <w:p w14:paraId="3E3EEFA6">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残疾人福利性单位声明函</w:t>
      </w:r>
      <w:bookmarkEnd w:id="469"/>
      <w:bookmarkEnd w:id="470"/>
      <w:bookmarkEnd w:id="471"/>
    </w:p>
    <w:p w14:paraId="0702BA92">
      <w:pPr>
        <w:numPr>
          <w:ilvl w:val="0"/>
          <w:numId w:val="0"/>
        </w:numPr>
        <w:wordWrap/>
        <w:adjustRightInd w:val="0"/>
        <w:snapToGrid w:val="0"/>
        <w:spacing w:before="157" w:beforeLines="50" w:line="560" w:lineRule="exact"/>
        <w:jc w:val="center"/>
        <w:outlineLvl w:val="9"/>
        <w:rPr>
          <w:rFonts w:hint="eastAsia" w:ascii="楷体" w:hAnsi="楷体" w:eastAsia="楷体" w:cs="楷体"/>
          <w:b w:val="0"/>
          <w:bCs w:val="0"/>
          <w:kern w:val="2"/>
          <w:sz w:val="32"/>
          <w:szCs w:val="32"/>
          <w:lang w:val="en-US" w:eastAsia="zh-CN" w:bidi="ar-SA"/>
        </w:rPr>
      </w:pPr>
    </w:p>
    <w:p w14:paraId="3A47D243">
      <w:pPr>
        <w:keepNext w:val="0"/>
        <w:keepLines w:val="0"/>
        <w:pageBreakBefore w:val="0"/>
        <w:widowControl w:val="0"/>
        <w:kinsoku/>
        <w:wordWrap/>
        <w:overflowPunct/>
        <w:topLinePunct w:val="0"/>
        <w:autoSpaceDE/>
        <w:autoSpaceDN/>
        <w:bidi w:val="0"/>
        <w:spacing w:after="24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人，安置的残疾人人数</w:t>
      </w:r>
      <w:r>
        <w:rPr>
          <w:rFonts w:hint="eastAsia" w:ascii="宋体" w:hAnsi="宋体" w:eastAsia="宋体" w:cs="宋体"/>
          <w:sz w:val="24"/>
          <w:szCs w:val="24"/>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765C2016">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8909ACC">
      <w:pPr>
        <w:keepNext w:val="0"/>
        <w:keepLines w:val="0"/>
        <w:pageBreakBefore w:val="0"/>
        <w:widowControl w:val="0"/>
        <w:kinsoku/>
        <w:wordWrap/>
        <w:overflowPunct/>
        <w:topLinePunct w:val="0"/>
        <w:autoSpaceDE/>
        <w:autoSpaceDN/>
        <w:bidi w:val="0"/>
        <w:adjustRightInd w:val="0"/>
        <w:snapToGrid w:val="0"/>
        <w:spacing w:after="240" w:line="360" w:lineRule="auto"/>
        <w:ind w:firstLine="504" w:firstLineChars="200"/>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00B3BE78">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注：若无此项内容，可不提供此函。</w:t>
      </w:r>
    </w:p>
    <w:p w14:paraId="60CD4365">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4ECE1306">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22F21CCC">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0720586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67FE5CA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52A842B5">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eastAsia" w:ascii="宋体" w:hAnsi="宋体" w:eastAsia="宋体" w:cs="宋体"/>
          <w:b w:val="0"/>
          <w:bCs/>
          <w:color w:val="000000"/>
          <w:sz w:val="24"/>
          <w:szCs w:val="24"/>
        </w:rPr>
      </w:pP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65B4F6B3">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1C069A11">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21F84AAB">
      <w:pPr>
        <w:wordWrap/>
        <w:spacing w:before="157" w:beforeLines="50" w:line="560" w:lineRule="exact"/>
        <w:ind w:firstLine="444" w:firstLineChars="200"/>
        <w:jc w:val="center"/>
        <w:outlineLvl w:val="9"/>
        <w:rPr>
          <w:rFonts w:ascii="宋体" w:hAnsi="宋体"/>
          <w:spacing w:val="6"/>
          <w:sz w:val="21"/>
        </w:rPr>
      </w:pPr>
    </w:p>
    <w:p w14:paraId="394714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b/>
          <w:bCs/>
          <w:i w:val="0"/>
          <w:iCs w:val="0"/>
          <w:caps w:val="0"/>
          <w:color w:val="333333"/>
          <w:spacing w:val="0"/>
          <w:sz w:val="24"/>
          <w:szCs w:val="24"/>
          <w:shd w:val="clear" w:fill="FFFFFF"/>
        </w:rPr>
      </w:pPr>
      <w:bookmarkStart w:id="472" w:name="_Toc23033_WPSOffice_Level3"/>
      <w:bookmarkStart w:id="473" w:name="_Toc21346"/>
      <w:bookmarkStart w:id="474" w:name="_Toc12068_WPSOffice_Level3"/>
      <w:bookmarkStart w:id="475" w:name="_Toc21988"/>
      <w:r>
        <w:rPr>
          <w:rFonts w:hint="eastAsia" w:ascii="宋体" w:hAnsi="宋体" w:cs="宋体"/>
          <w:b/>
          <w:bCs w:val="0"/>
          <w:color w:val="000000"/>
          <w:kern w:val="2"/>
          <w:sz w:val="32"/>
          <w:szCs w:val="32"/>
          <w:lang w:val="en-US" w:eastAsia="zh-CN" w:bidi="ar-SA"/>
        </w:rPr>
        <w:t>附件17：关于符合本国产品标准的声明函</w:t>
      </w:r>
    </w:p>
    <w:p w14:paraId="297EE3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关于符合本国产品标准的声明函</w:t>
      </w:r>
    </w:p>
    <w:p w14:paraId="2645AE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本公司（单位）郑重声明，根据《国务院办公厅关于在政府采购中实施本国产品标准及相关政策的通知》（国办发〔2025〕34号）的规定，本公司（单位）提供的以下产品属于本国产品。具体情况如下：</w:t>
      </w:r>
    </w:p>
    <w:p w14:paraId="25ABB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1.（产品名称1）1，生产厂为（厂名）2，厂址为（生产厂址）。（产品名称1）的中国境内生产的组件成本占比≥（规定比例）3。（产品名称1）的（关键组件）4在中国境内生产。（产品名称1）的（关键工序）5在中国境内完成。</w:t>
      </w:r>
    </w:p>
    <w:p w14:paraId="5F2886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产品名称2），生产厂为（厂名），厂址为（生产厂址）。（产品名称2）的中国境内生产的组件成本占比≥（规定比例）。（产品名称2）的（关键组件）在中国境内生产。（产品名称2）的（关键工序）在中国境内完成。</w:t>
      </w:r>
    </w:p>
    <w:p w14:paraId="1A6270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8AD41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本公司（单位）对上述声明内容的真实性负责。如有虚假，愿承担相应法律责任。</w:t>
      </w:r>
    </w:p>
    <w:p w14:paraId="43AEF5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公司（单位）名称（盖章）：</w:t>
      </w:r>
      <w:r>
        <w:rPr>
          <w:rFonts w:hint="eastAsia" w:ascii="宋体" w:hAnsi="宋体" w:eastAsia="宋体" w:cs="宋体"/>
          <w:i w:val="0"/>
          <w:iCs w:val="0"/>
          <w:caps w:val="0"/>
          <w:color w:val="333333"/>
          <w:spacing w:val="0"/>
          <w:sz w:val="24"/>
          <w:szCs w:val="24"/>
          <w:u w:val="single"/>
          <w:lang w:val="en-US" w:eastAsia="zh-CN"/>
        </w:rPr>
        <w:t xml:space="preserve">                </w:t>
      </w:r>
      <w:r>
        <w:rPr>
          <w:rFonts w:hint="eastAsia" w:ascii="宋体" w:hAnsi="宋体" w:eastAsia="宋体" w:cs="宋体"/>
          <w:i w:val="0"/>
          <w:iCs w:val="0"/>
          <w:caps w:val="0"/>
          <w:color w:val="333333"/>
          <w:spacing w:val="0"/>
          <w:sz w:val="24"/>
          <w:szCs w:val="24"/>
          <w:shd w:val="clear" w:fill="FFFFFF"/>
          <w:lang w:val="en-US" w:eastAsia="zh-CN"/>
        </w:rPr>
        <w:t xml:space="preserve">                   </w:t>
      </w:r>
    </w:p>
    <w:p w14:paraId="4C17B9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日期：</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月</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日</w:t>
      </w:r>
    </w:p>
    <w:p w14:paraId="46D1D0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p>
    <w:p w14:paraId="36F6760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171527C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469C1B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310B6A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2ABC14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75C20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default" w:ascii="宋体" w:hAnsi="宋体" w:eastAsia="宋体" w:cs="宋体"/>
          <w:i w:val="0"/>
          <w:iCs w:val="0"/>
          <w:caps w:val="0"/>
          <w:color w:val="333333"/>
          <w:spacing w:val="0"/>
          <w:sz w:val="24"/>
          <w:szCs w:val="24"/>
          <w:shd w:val="clear" w:fill="FFFFFF"/>
          <w:lang w:val="en-US" w:eastAsia="zh-CN"/>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BED6F55">
      <w:pPr>
        <w:keepNext w:val="0"/>
        <w:keepLines w:val="0"/>
        <w:widowControl/>
        <w:suppressLineNumbers w:val="0"/>
        <w:jc w:val="left"/>
        <w:rPr>
          <w:rFonts w:hint="eastAsia" w:ascii="宋体" w:hAnsi="宋体" w:cs="宋体"/>
          <w:sz w:val="32"/>
          <w:szCs w:val="32"/>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8</w:t>
      </w:r>
      <w:r>
        <w:rPr>
          <w:rFonts w:hint="eastAsia" w:ascii="宋体" w:hAnsi="宋体" w:eastAsia="宋体" w:cs="宋体"/>
          <w:b/>
          <w:bCs w:val="0"/>
          <w:color w:val="000000"/>
          <w:kern w:val="2"/>
          <w:sz w:val="32"/>
          <w:szCs w:val="32"/>
          <w:lang w:val="en-US" w:eastAsia="zh-CN" w:bidi="ar-SA"/>
        </w:rPr>
        <w:t>：</w:t>
      </w:r>
      <w:r>
        <w:rPr>
          <w:rFonts w:hint="eastAsia" w:ascii="宋体" w:hAnsi="宋体" w:eastAsia="宋体" w:cs="宋体"/>
          <w:b/>
          <w:bCs/>
          <w:color w:val="000000"/>
          <w:kern w:val="0"/>
          <w:sz w:val="32"/>
          <w:szCs w:val="32"/>
          <w:lang w:val="en-US" w:eastAsia="zh-CN" w:bidi="ar"/>
        </w:rPr>
        <w:t>供应商认为在其他方面有必要说明的事项</w:t>
      </w:r>
    </w:p>
    <w:p w14:paraId="773E8E6E">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p>
    <w:p w14:paraId="08A0315A">
      <w:pPr>
        <w:keepNext w:val="0"/>
        <w:keepLines w:val="0"/>
        <w:widowControl/>
        <w:suppressLineNumbers w:val="0"/>
        <w:jc w:val="center"/>
        <w:rPr>
          <w:rFonts w:hint="eastAsia" w:ascii="宋体" w:hAnsi="宋体" w:cs="宋体"/>
          <w:sz w:val="32"/>
          <w:szCs w:val="32"/>
        </w:rPr>
      </w:pPr>
      <w:r>
        <w:rPr>
          <w:rFonts w:hint="eastAsia" w:ascii="宋体" w:hAnsi="宋体" w:eastAsia="宋体" w:cs="宋体"/>
          <w:b/>
          <w:bCs/>
          <w:color w:val="000000"/>
          <w:kern w:val="0"/>
          <w:sz w:val="32"/>
          <w:szCs w:val="32"/>
          <w:lang w:val="en-US" w:eastAsia="zh-CN" w:bidi="ar"/>
        </w:rPr>
        <w:t>供应商认为在其他方面有必要说明的事项</w:t>
      </w:r>
    </w:p>
    <w:p w14:paraId="72882C5F">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供应商在参加本项目谈判中根据谈判文件的要求认为需要说明的事项，但不作为评标依据。如没有说明事项，此项可忽略。（格式可自定）</w:t>
      </w:r>
    </w:p>
    <w:p w14:paraId="566AFB57">
      <w:pPr>
        <w:widowControl/>
        <w:wordWrap/>
        <w:snapToGrid w:val="0"/>
        <w:spacing w:before="157" w:beforeLines="50" w:line="560" w:lineRule="exact"/>
        <w:outlineLvl w:val="1"/>
        <w:rPr>
          <w:rFonts w:hint="default" w:ascii="楷体_GB2312" w:hAnsi="楷体_GB2312" w:eastAsia="楷体_GB2312" w:cs="楷体_GB2312"/>
          <w:b/>
          <w:bCs w:val="0"/>
          <w:color w:val="000000"/>
          <w:kern w:val="2"/>
          <w:sz w:val="32"/>
          <w:szCs w:val="32"/>
          <w:lang w:val="en-US" w:eastAsia="zh-CN" w:bidi="ar-SA"/>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3F67B45">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9</w:t>
      </w:r>
      <w:r>
        <w:rPr>
          <w:rFonts w:hint="eastAsia" w:ascii="宋体" w:hAnsi="宋体" w:eastAsia="宋体" w:cs="宋体"/>
          <w:b/>
          <w:bCs w:val="0"/>
          <w:color w:val="000000"/>
          <w:kern w:val="2"/>
          <w:sz w:val="32"/>
          <w:szCs w:val="32"/>
          <w:lang w:val="en-US" w:eastAsia="zh-CN" w:bidi="ar-SA"/>
        </w:rPr>
        <w:t>：最后报价表</w:t>
      </w:r>
      <w:bookmarkEnd w:id="472"/>
      <w:bookmarkEnd w:id="473"/>
      <w:bookmarkEnd w:id="474"/>
      <w:bookmarkEnd w:id="475"/>
    </w:p>
    <w:p w14:paraId="398E4763">
      <w:pPr>
        <w:widowControl w:val="0"/>
        <w:wordWrap/>
        <w:autoSpaceDE w:val="0"/>
        <w:autoSpaceDN w:val="0"/>
        <w:adjustRightInd w:val="0"/>
        <w:snapToGrid/>
        <w:spacing w:line="560" w:lineRule="exact"/>
        <w:ind w:left="283" w:leftChars="135"/>
        <w:jc w:val="center"/>
        <w:outlineLvl w:val="9"/>
        <w:rPr>
          <w:rFonts w:hint="eastAsia" w:ascii="宋体" w:hAnsi="宋体" w:eastAsia="宋体" w:cs="宋体"/>
          <w:b/>
          <w:bCs w:val="0"/>
          <w:color w:val="FF0000"/>
          <w:sz w:val="32"/>
          <w:szCs w:val="32"/>
          <w:lang w:val="zh-CN"/>
        </w:rPr>
      </w:pPr>
      <w:r>
        <w:rPr>
          <w:rFonts w:hint="eastAsia" w:ascii="宋体" w:hAnsi="宋体" w:eastAsia="宋体" w:cs="宋体"/>
          <w:b/>
          <w:bCs w:val="0"/>
          <w:color w:val="FF0000"/>
          <w:kern w:val="2"/>
          <w:sz w:val="32"/>
          <w:szCs w:val="32"/>
          <w:lang w:val="en-US" w:eastAsia="zh-CN" w:bidi="ar-SA"/>
        </w:rPr>
        <w:t>最后报价表</w:t>
      </w:r>
    </w:p>
    <w:p w14:paraId="49FCCC5B">
      <w:pPr>
        <w:widowControl w:val="0"/>
        <w:wordWrap/>
        <w:snapToGrid/>
        <w:spacing w:line="560" w:lineRule="exact"/>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供应商名称：</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val="0"/>
          <w:bCs/>
          <w:color w:val="FF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57B1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66EC66A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项目名称</w:t>
            </w:r>
          </w:p>
        </w:tc>
        <w:tc>
          <w:tcPr>
            <w:tcW w:w="2717" w:type="dxa"/>
            <w:vAlign w:val="center"/>
          </w:tcPr>
          <w:p w14:paraId="127AC9EA">
            <w:pPr>
              <w:widowControl w:val="0"/>
              <w:wordWrap/>
              <w:adjustRightInd w:val="0"/>
              <w:snapToGrid/>
              <w:spacing w:line="560" w:lineRule="exact"/>
              <w:jc w:val="center"/>
              <w:textAlignment w:val="baseline"/>
              <w:outlineLvl w:val="9"/>
              <w:rPr>
                <w:rFonts w:hint="eastAsia" w:ascii="宋体" w:hAnsi="宋体" w:eastAsia="宋体" w:cs="宋体"/>
                <w:b w:val="0"/>
                <w:bCs/>
                <w:color w:val="FF0000"/>
                <w:sz w:val="24"/>
                <w:szCs w:val="24"/>
              </w:rPr>
            </w:pPr>
            <w:r>
              <w:rPr>
                <w:rFonts w:hint="eastAsia" w:ascii="宋体" w:hAnsi="宋体" w:cs="宋体"/>
                <w:b w:val="0"/>
                <w:bCs/>
                <w:color w:val="FF0000"/>
                <w:sz w:val="24"/>
                <w:szCs w:val="24"/>
                <w:lang w:val="en-US" w:eastAsia="zh-CN"/>
              </w:rPr>
              <w:t>最终</w:t>
            </w:r>
            <w:r>
              <w:rPr>
                <w:rFonts w:hint="eastAsia" w:ascii="宋体" w:hAnsi="宋体" w:eastAsia="宋体" w:cs="宋体"/>
                <w:b w:val="0"/>
                <w:bCs/>
                <w:color w:val="FF0000"/>
                <w:sz w:val="24"/>
                <w:szCs w:val="24"/>
              </w:rPr>
              <w:t>报价</w:t>
            </w:r>
          </w:p>
        </w:tc>
        <w:tc>
          <w:tcPr>
            <w:tcW w:w="2670" w:type="dxa"/>
            <w:vAlign w:val="center"/>
          </w:tcPr>
          <w:p w14:paraId="52F624F3">
            <w:pPr>
              <w:widowControl w:val="0"/>
              <w:wordWrap/>
              <w:adjustRightInd w:val="0"/>
              <w:snapToGrid/>
              <w:spacing w:line="560" w:lineRule="exact"/>
              <w:ind w:firstLine="120" w:firstLineChars="50"/>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交货期</w:t>
            </w:r>
          </w:p>
        </w:tc>
        <w:tc>
          <w:tcPr>
            <w:tcW w:w="1560" w:type="dxa"/>
            <w:vAlign w:val="center"/>
          </w:tcPr>
          <w:p w14:paraId="3257D091">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备注</w:t>
            </w:r>
          </w:p>
        </w:tc>
      </w:tr>
      <w:tr w14:paraId="5E3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1002849B">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6E15340B">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大写：</w:t>
            </w:r>
          </w:p>
        </w:tc>
        <w:tc>
          <w:tcPr>
            <w:tcW w:w="2670" w:type="dxa"/>
            <w:vMerge w:val="restart"/>
            <w:vAlign w:val="top"/>
          </w:tcPr>
          <w:p w14:paraId="70A5766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FF0000"/>
                <w:sz w:val="24"/>
                <w:szCs w:val="24"/>
              </w:rPr>
            </w:pPr>
          </w:p>
        </w:tc>
        <w:tc>
          <w:tcPr>
            <w:tcW w:w="1560" w:type="dxa"/>
            <w:vMerge w:val="restart"/>
            <w:vAlign w:val="top"/>
          </w:tcPr>
          <w:p w14:paraId="7A02530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28EE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DEA8DA9">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4268EA89">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小写：</w:t>
            </w:r>
          </w:p>
        </w:tc>
        <w:tc>
          <w:tcPr>
            <w:tcW w:w="2670" w:type="dxa"/>
            <w:vMerge w:val="continue"/>
            <w:vAlign w:val="top"/>
          </w:tcPr>
          <w:p w14:paraId="69CAB466">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1560" w:type="dxa"/>
            <w:vMerge w:val="continue"/>
            <w:vAlign w:val="top"/>
          </w:tcPr>
          <w:p w14:paraId="49DBA8B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547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3BBB638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其他承诺及需要说明的事项：</w:t>
            </w:r>
          </w:p>
        </w:tc>
      </w:tr>
    </w:tbl>
    <w:p w14:paraId="34B3B159">
      <w:pPr>
        <w:widowControl w:val="0"/>
        <w:wordWrap/>
        <w:snapToGrid/>
        <w:spacing w:line="560" w:lineRule="exact"/>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注：1、填写此表时不得改变表格形式。</w:t>
      </w:r>
    </w:p>
    <w:p w14:paraId="20D7C865">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宋体"/>
          <w:color w:val="FF0000"/>
          <w:sz w:val="24"/>
          <w:szCs w:val="24"/>
          <w:lang w:eastAsia="zh-CN"/>
        </w:rPr>
        <w:t>、响应文件</w:t>
      </w:r>
      <w:r>
        <w:rPr>
          <w:rFonts w:hint="eastAsia" w:ascii="宋体" w:hAnsi="宋体" w:eastAsia="宋体" w:cs="宋体"/>
          <w:color w:val="FF0000"/>
          <w:sz w:val="24"/>
          <w:szCs w:val="24"/>
        </w:rPr>
        <w:t>报价为总价。包括</w:t>
      </w:r>
      <w:r>
        <w:rPr>
          <w:rFonts w:hint="eastAsia" w:ascii="宋体" w:hAnsi="宋体" w:eastAsia="宋体" w:cs="宋体"/>
          <w:color w:val="FF0000"/>
          <w:sz w:val="24"/>
          <w:szCs w:val="24"/>
          <w:u w:val="none"/>
          <w:lang w:val="en-US" w:eastAsia="zh-CN"/>
        </w:rPr>
        <w:t>产品费、检验费、手续费、包装</w:t>
      </w:r>
      <w:r>
        <w:rPr>
          <w:rFonts w:hint="eastAsia" w:ascii="宋体" w:hAnsi="宋体" w:eastAsia="宋体" w:cs="宋体"/>
          <w:color w:val="FF0000"/>
          <w:sz w:val="24"/>
          <w:szCs w:val="24"/>
          <w:u w:val="none"/>
        </w:rPr>
        <w:t>费</w:t>
      </w:r>
      <w:r>
        <w:rPr>
          <w:rFonts w:hint="eastAsia" w:ascii="宋体" w:hAnsi="宋体" w:eastAsia="宋体" w:cs="宋体"/>
          <w:color w:val="FF0000"/>
          <w:sz w:val="24"/>
          <w:szCs w:val="24"/>
        </w:rPr>
        <w:t>、税金及其他不可预见费等全部费用。</w:t>
      </w:r>
    </w:p>
    <w:p w14:paraId="418CF628">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3、“交货期”是指产品能够交付使用的具体时间（工作日）。</w:t>
      </w:r>
    </w:p>
    <w:p w14:paraId="1DEEDF8B">
      <w:pPr>
        <w:widowControl w:val="0"/>
        <w:wordWrap/>
        <w:autoSpaceDE w:val="0"/>
        <w:autoSpaceDN w:val="0"/>
        <w:adjustRightInd w:val="0"/>
        <w:snapToGrid/>
        <w:spacing w:line="560" w:lineRule="exact"/>
        <w:jc w:val="both"/>
        <w:outlineLvl w:val="9"/>
        <w:rPr>
          <w:rFonts w:hint="eastAsia" w:ascii="宋体" w:hAnsi="宋体"/>
          <w:b/>
          <w:bCs/>
          <w:color w:val="FF0000"/>
          <w:sz w:val="21"/>
          <w:szCs w:val="21"/>
        </w:rPr>
      </w:pPr>
      <w:r>
        <w:rPr>
          <w:rFonts w:hint="eastAsia" w:ascii="宋体" w:hAnsi="宋体"/>
          <w:b/>
          <w:color w:val="FF0000"/>
          <w:sz w:val="21"/>
          <w:szCs w:val="21"/>
        </w:rPr>
        <w:t xml:space="preserve">                   </w:t>
      </w:r>
      <w:r>
        <w:rPr>
          <w:rFonts w:hint="eastAsia" w:ascii="宋体" w:hAnsi="宋体"/>
          <w:b/>
          <w:bCs/>
          <w:color w:val="FF0000"/>
          <w:sz w:val="21"/>
          <w:szCs w:val="21"/>
        </w:rPr>
        <w:t xml:space="preserve">        </w:t>
      </w:r>
    </w:p>
    <w:p w14:paraId="2FA31632">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F409DCB">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35BE7F34">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047AF96">
      <w:pPr>
        <w:widowControl w:val="0"/>
        <w:wordWrap/>
        <w:autoSpaceDE w:val="0"/>
        <w:autoSpaceDN w:val="0"/>
        <w:adjustRightInd w:val="0"/>
        <w:snapToGrid/>
        <w:spacing w:line="560" w:lineRule="exact"/>
        <w:jc w:val="both"/>
        <w:outlineLvl w:val="9"/>
        <w:rPr>
          <w:rFonts w:hint="eastAsia" w:ascii="宋体" w:hAnsi="宋体"/>
          <w:b/>
          <w:bCs/>
          <w:color w:val="000000"/>
          <w:sz w:val="21"/>
          <w:szCs w:val="21"/>
          <w:lang w:val="en-US" w:eastAsia="zh-CN"/>
        </w:rPr>
      </w:pPr>
    </w:p>
    <w:p w14:paraId="7D0D1261">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F71E3C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491F8586">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169C4673">
      <w:pPr>
        <w:rPr>
          <w:rFonts w:hint="eastAsia" w:ascii="宋体" w:hAnsi="宋体" w:eastAsia="宋体"/>
          <w:bCs/>
          <w:szCs w:val="21"/>
        </w:rPr>
      </w:pPr>
    </w:p>
    <w:p w14:paraId="5E773B4D">
      <w:pPr>
        <w:rPr>
          <w:rFonts w:hint="eastAsia" w:ascii="宋体" w:hAnsi="宋体"/>
          <w:b/>
          <w:color w:val="000000"/>
          <w:sz w:val="24"/>
        </w:rPr>
      </w:pPr>
      <w:r>
        <w:rPr>
          <w:rFonts w:hint="eastAsia" w:ascii="宋体" w:hAnsi="宋体"/>
          <w:b/>
          <w:color w:val="000000"/>
          <w:sz w:val="24"/>
        </w:rPr>
        <w:br w:type="page"/>
      </w:r>
    </w:p>
    <w:p w14:paraId="65DCD69E">
      <w:pPr>
        <w:pStyle w:val="2"/>
        <w:numPr>
          <w:ilvl w:val="0"/>
          <w:numId w:val="0"/>
        </w:numPr>
        <w:wordWrap/>
        <w:adjustRightInd w:val="0"/>
        <w:snapToGrid w:val="0"/>
        <w:spacing w:before="0" w:beforeLines="-2147483648" w:line="360" w:lineRule="auto"/>
        <w:jc w:val="center"/>
        <w:outlineLvl w:val="9"/>
        <w:rPr>
          <w:rFonts w:hint="eastAsia" w:ascii="宋体" w:hAnsi="宋体" w:eastAsia="宋体" w:cs="宋体"/>
          <w:b w:val="0"/>
          <w:bCs w:val="0"/>
          <w:color w:val="auto"/>
          <w:sz w:val="44"/>
          <w:szCs w:val="44"/>
        </w:rPr>
      </w:pPr>
      <w:bookmarkStart w:id="476" w:name="_Toc376936766"/>
      <w:bookmarkStart w:id="477" w:name="_Toc7329_WPSOffice_Level1"/>
      <w:bookmarkStart w:id="478" w:name="_Toc24112_WPSOffice_Level1"/>
      <w:bookmarkStart w:id="479" w:name="_Toc5169"/>
      <w:bookmarkStart w:id="480" w:name="_Toc4685"/>
      <w:bookmarkStart w:id="481" w:name="_Toc416183225"/>
      <w:bookmarkStart w:id="482" w:name="_Toc16779_WPSOffice_Level1"/>
      <w:bookmarkStart w:id="483" w:name="_Toc27557_WPSOffice_Level1"/>
      <w:bookmarkStart w:id="484" w:name="_Toc5233"/>
      <w:bookmarkStart w:id="485" w:name="_Toc12949996"/>
      <w:bookmarkStart w:id="486" w:name="_Toc23722_WPSOffice_Level1"/>
      <w:bookmarkStart w:id="487" w:name="_Toc16082_WPSOffice_Level1"/>
      <w:bookmarkStart w:id="488" w:name="_Toc23740"/>
      <w:r>
        <w:rPr>
          <w:rFonts w:hint="eastAsia" w:ascii="宋体" w:hAnsi="宋体" w:eastAsia="宋体" w:cs="宋体"/>
          <w:b w:val="0"/>
          <w:bCs w:val="0"/>
          <w:color w:val="auto"/>
          <w:sz w:val="44"/>
          <w:szCs w:val="44"/>
          <w:lang w:eastAsia="zh-CN"/>
        </w:rPr>
        <w:t>第五部分</w:t>
      </w:r>
      <w:r>
        <w:rPr>
          <w:rFonts w:hint="eastAsia" w:ascii="宋体" w:hAnsi="宋体" w:eastAsia="宋体" w:cs="宋体"/>
          <w:b w:val="0"/>
          <w:bCs w:val="0"/>
          <w:color w:val="auto"/>
          <w:sz w:val="44"/>
          <w:szCs w:val="44"/>
        </w:rPr>
        <w:t xml:space="preserve"> </w:t>
      </w:r>
      <w:bookmarkEnd w:id="476"/>
      <w:r>
        <w:rPr>
          <w:rFonts w:hint="eastAsia" w:ascii="宋体" w:hAnsi="宋体" w:eastAsia="宋体" w:cs="宋体"/>
          <w:b w:val="0"/>
          <w:bCs w:val="0"/>
          <w:color w:val="auto"/>
          <w:sz w:val="44"/>
          <w:szCs w:val="44"/>
        </w:rPr>
        <w:t>青海省政府采购项目合同书范本</w:t>
      </w:r>
      <w:bookmarkEnd w:id="477"/>
      <w:bookmarkEnd w:id="478"/>
      <w:bookmarkEnd w:id="479"/>
      <w:bookmarkEnd w:id="480"/>
    </w:p>
    <w:p w14:paraId="22E55EC3">
      <w:pPr>
        <w:pStyle w:val="2"/>
        <w:wordWrap/>
        <w:adjustRightInd w:val="0"/>
        <w:snapToGrid w:val="0"/>
        <w:spacing w:before="157" w:beforeLines="50" w:line="560" w:lineRule="exact"/>
        <w:jc w:val="center"/>
        <w:outlineLvl w:val="0"/>
        <w:rPr>
          <w:rFonts w:hint="eastAsia" w:ascii="华文中宋" w:hAnsi="华文中宋" w:eastAsia="华文中宋" w:cs="华文中宋"/>
          <w:b w:val="0"/>
          <w:bCs w:val="0"/>
          <w:sz w:val="44"/>
          <w:szCs w:val="44"/>
        </w:rPr>
      </w:pPr>
      <w:bookmarkStart w:id="489" w:name="_Toc29785_WPSOffice_Level1"/>
      <w:bookmarkStart w:id="490" w:name="_Toc32639"/>
      <w:bookmarkStart w:id="491" w:name="_Toc13776"/>
      <w:bookmarkStart w:id="492" w:name="_Toc22776_WPSOffice_Level1"/>
      <w:r>
        <w:rPr>
          <w:rFonts w:hint="eastAsia" w:ascii="华文中宋" w:hAnsi="华文中宋" w:eastAsia="华文中宋" w:cs="华文中宋"/>
          <w:b w:val="0"/>
          <w:bCs w:val="0"/>
          <w:sz w:val="44"/>
          <w:szCs w:val="44"/>
        </w:rPr>
        <w:t>（货物类）</w:t>
      </w:r>
      <w:bookmarkEnd w:id="481"/>
      <w:bookmarkEnd w:id="482"/>
      <w:bookmarkEnd w:id="483"/>
      <w:bookmarkEnd w:id="484"/>
      <w:bookmarkEnd w:id="485"/>
      <w:bookmarkEnd w:id="486"/>
      <w:bookmarkEnd w:id="487"/>
      <w:bookmarkEnd w:id="488"/>
      <w:bookmarkEnd w:id="489"/>
      <w:bookmarkEnd w:id="490"/>
      <w:bookmarkEnd w:id="491"/>
      <w:bookmarkEnd w:id="492"/>
    </w:p>
    <w:p w14:paraId="513689E3">
      <w:pPr>
        <w:wordWrap/>
        <w:adjustRightInd w:val="0"/>
        <w:snapToGrid w:val="0"/>
        <w:spacing w:before="157" w:beforeLines="50" w:line="560" w:lineRule="exact"/>
        <w:outlineLvl w:val="0"/>
        <w:rPr>
          <w:rFonts w:hint="eastAsia" w:ascii="宋体" w:hAnsi="宋体" w:eastAsia="宋体"/>
          <w:bCs/>
          <w:szCs w:val="21"/>
        </w:rPr>
      </w:pPr>
      <w:bookmarkStart w:id="493" w:name="_Toc375576842"/>
      <w:bookmarkStart w:id="494" w:name="_Toc373936315"/>
      <w:bookmarkStart w:id="495" w:name="_Toc373954603"/>
    </w:p>
    <w:bookmarkEnd w:id="493"/>
    <w:bookmarkEnd w:id="494"/>
    <w:bookmarkEnd w:id="495"/>
    <w:p w14:paraId="41A1DD1E">
      <w:pPr>
        <w:keepNext/>
        <w:keepLines/>
        <w:widowControl/>
        <w:wordWrap/>
        <w:snapToGrid w:val="0"/>
        <w:spacing w:before="157" w:beforeLines="50" w:line="560" w:lineRule="exact"/>
        <w:jc w:val="center"/>
        <w:outlineLvl w:val="9"/>
        <w:rPr>
          <w:rFonts w:hint="eastAsia" w:ascii="华文中宋" w:hAnsi="华文中宋" w:eastAsia="华文中宋" w:cs="华文中宋"/>
          <w:b w:val="0"/>
          <w:bCs/>
          <w:color w:val="000000"/>
          <w:kern w:val="28"/>
          <w:sz w:val="32"/>
          <w:szCs w:val="32"/>
        </w:rPr>
      </w:pPr>
      <w:bookmarkStart w:id="496" w:name="_Toc8067_WPSOffice_Level1"/>
      <w:bookmarkStart w:id="497" w:name="_Toc31604_WPSOffice_Level1"/>
      <w:bookmarkStart w:id="498" w:name="_Toc9152_WPSOffice_Level1"/>
      <w:bookmarkStart w:id="499" w:name="_Toc10999_WPSOffice_Level1"/>
      <w:bookmarkStart w:id="500" w:name="_Toc4308"/>
      <w:bookmarkStart w:id="501" w:name="_Toc416183226"/>
      <w:bookmarkStart w:id="502" w:name="_Toc3676_WPSOffice_Level1"/>
      <w:bookmarkStart w:id="503" w:name="_Toc9715"/>
      <w:bookmarkStart w:id="504" w:name="_Toc12949997"/>
      <w:r>
        <w:rPr>
          <w:rFonts w:hint="eastAsia" w:ascii="华文中宋" w:hAnsi="华文中宋" w:eastAsia="华文中宋" w:cs="华文中宋"/>
          <w:b w:val="0"/>
          <w:bCs/>
          <w:color w:val="000000"/>
          <w:kern w:val="28"/>
          <w:sz w:val="32"/>
          <w:szCs w:val="32"/>
        </w:rPr>
        <w:t>青海省政府采购项目合同书</w:t>
      </w:r>
      <w:bookmarkEnd w:id="496"/>
      <w:bookmarkEnd w:id="497"/>
      <w:bookmarkEnd w:id="498"/>
      <w:bookmarkEnd w:id="499"/>
      <w:bookmarkEnd w:id="500"/>
      <w:bookmarkEnd w:id="501"/>
      <w:bookmarkEnd w:id="502"/>
      <w:bookmarkEnd w:id="503"/>
      <w:bookmarkEnd w:id="504"/>
    </w:p>
    <w:p w14:paraId="193738BE">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362F9363">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66C2E019">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53265F2B">
      <w:pPr>
        <w:wordWrap/>
        <w:spacing w:before="157" w:beforeLines="50" w:line="560" w:lineRule="exact"/>
        <w:ind w:firstLine="640" w:firstLineChars="200"/>
        <w:outlineLvl w:val="9"/>
        <w:rPr>
          <w:rFonts w:hint="eastAsia" w:ascii="华文中宋" w:hAnsi="华文中宋" w:eastAsia="华文中宋" w:cs="华文中宋"/>
          <w:b w:val="0"/>
          <w:bCs/>
          <w:color w:val="000000"/>
          <w:sz w:val="32"/>
          <w:szCs w:val="32"/>
        </w:rPr>
      </w:pPr>
    </w:p>
    <w:p w14:paraId="26A99555">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lang w:eastAsia="zh-CN"/>
        </w:rPr>
      </w:pPr>
      <w:bookmarkStart w:id="505" w:name="_Toc23548_WPSOffice_Level1"/>
      <w:bookmarkStart w:id="506" w:name="_Toc18140_WPSOffice_Level1"/>
      <w:bookmarkStart w:id="507" w:name="_Toc19373_WPSOffice_Level1"/>
      <w:bookmarkStart w:id="508" w:name="_Toc23338_WPSOffice_Level1"/>
      <w:r>
        <w:rPr>
          <w:rFonts w:hint="eastAsia" w:ascii="宋体" w:hAnsi="宋体" w:eastAsia="宋体" w:cs="宋体"/>
          <w:b/>
          <w:bCs w:val="0"/>
          <w:color w:val="000000"/>
          <w:sz w:val="32"/>
          <w:szCs w:val="32"/>
        </w:rPr>
        <w:t>采购项目名称：</w:t>
      </w:r>
      <w:bookmarkEnd w:id="505"/>
      <w:bookmarkEnd w:id="506"/>
      <w:bookmarkEnd w:id="507"/>
      <w:bookmarkEnd w:id="508"/>
      <w:r>
        <w:rPr>
          <w:rFonts w:hint="eastAsia" w:ascii="宋体" w:hAnsi="宋体" w:cs="宋体"/>
          <w:b/>
          <w:bCs w:val="0"/>
          <w:color w:val="000000"/>
          <w:sz w:val="32"/>
          <w:szCs w:val="32"/>
          <w:u w:val="single"/>
          <w:lang w:eastAsia="zh-CN"/>
        </w:rPr>
        <w:t>海南州公安局警用装备采购</w:t>
      </w:r>
    </w:p>
    <w:p w14:paraId="36F91CF6">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rPr>
      </w:pPr>
      <w:bookmarkStart w:id="509" w:name="_Toc2770_WPSOffice_Level1"/>
      <w:bookmarkStart w:id="510" w:name="_Toc19950_WPSOffice_Level1"/>
      <w:bookmarkStart w:id="511" w:name="_Toc2957_WPSOffice_Level1"/>
      <w:bookmarkStart w:id="512" w:name="_Toc20437_WPSOffice_Level1"/>
      <w:r>
        <w:rPr>
          <w:rFonts w:hint="eastAsia" w:ascii="宋体" w:hAnsi="宋体" w:eastAsia="宋体" w:cs="宋体"/>
          <w:b/>
          <w:bCs w:val="0"/>
          <w:color w:val="000000"/>
          <w:sz w:val="32"/>
          <w:szCs w:val="32"/>
        </w:rPr>
        <w:t>采购项目编号：</w:t>
      </w:r>
      <w:bookmarkEnd w:id="509"/>
      <w:bookmarkEnd w:id="510"/>
      <w:bookmarkEnd w:id="511"/>
      <w:bookmarkEnd w:id="512"/>
      <w:r>
        <w:rPr>
          <w:rFonts w:hint="eastAsia" w:ascii="宋体" w:hAnsi="宋体" w:cs="宋体"/>
          <w:b/>
          <w:bCs w:val="0"/>
          <w:color w:val="000000"/>
          <w:sz w:val="32"/>
          <w:szCs w:val="32"/>
          <w:u w:val="single"/>
          <w:lang w:eastAsia="zh-CN"/>
        </w:rPr>
        <w:t xml:space="preserve">青海国德竞谈（货物）2026-031 </w:t>
      </w:r>
      <w:r>
        <w:rPr>
          <w:rFonts w:hint="eastAsia" w:ascii="宋体" w:hAnsi="宋体" w:eastAsia="宋体" w:cs="宋体"/>
          <w:b/>
          <w:bCs w:val="0"/>
          <w:color w:val="000000"/>
          <w:sz w:val="32"/>
          <w:szCs w:val="32"/>
        </w:rPr>
        <w:t xml:space="preserve">                                              </w:t>
      </w:r>
    </w:p>
    <w:p w14:paraId="6D1D7BA7">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3" w:name="_Toc1998_WPSOffice_Level1"/>
      <w:bookmarkStart w:id="514" w:name="_Toc31508_WPSOffice_Level1"/>
      <w:bookmarkStart w:id="515" w:name="_Toc19490_WPSOffice_Level1"/>
      <w:bookmarkStart w:id="516" w:name="_Toc3022_WPSOffice_Level1"/>
      <w:r>
        <w:rPr>
          <w:rFonts w:hint="eastAsia" w:ascii="宋体" w:hAnsi="宋体" w:eastAsia="宋体" w:cs="宋体"/>
          <w:b/>
          <w:bCs w:val="0"/>
          <w:color w:val="000000"/>
          <w:sz w:val="32"/>
          <w:szCs w:val="32"/>
        </w:rPr>
        <w:t>采购合同编号：</w:t>
      </w:r>
      <w:bookmarkEnd w:id="513"/>
      <w:bookmarkEnd w:id="514"/>
      <w:bookmarkEnd w:id="515"/>
      <w:bookmarkEnd w:id="516"/>
      <w:r>
        <w:rPr>
          <w:rFonts w:hint="eastAsia" w:ascii="宋体" w:hAnsi="宋体" w:cs="宋体"/>
          <w:b/>
          <w:bCs w:val="0"/>
          <w:color w:val="000000"/>
          <w:sz w:val="32"/>
          <w:szCs w:val="32"/>
          <w:u w:val="single"/>
          <w:lang w:eastAsia="zh-CN"/>
        </w:rPr>
        <w:t>Q</w:t>
      </w:r>
      <w:r>
        <w:rPr>
          <w:rFonts w:hint="eastAsia" w:ascii="宋体" w:hAnsi="宋体" w:cs="宋体"/>
          <w:b/>
          <w:bCs w:val="0"/>
          <w:color w:val="000000"/>
          <w:sz w:val="32"/>
          <w:szCs w:val="32"/>
          <w:u w:val="single"/>
          <w:lang w:val="en-US" w:eastAsia="zh-CN"/>
        </w:rPr>
        <w:t>HGD-2026-031</w:t>
      </w:r>
      <w:r>
        <w:rPr>
          <w:rFonts w:hint="eastAsia" w:ascii="宋体" w:hAnsi="宋体" w:eastAsia="宋体" w:cs="宋体"/>
          <w:b/>
          <w:bCs w:val="0"/>
          <w:color w:val="000000"/>
          <w:sz w:val="32"/>
          <w:szCs w:val="32"/>
          <w:u w:val="single"/>
          <w:lang w:val="en-US" w:eastAsia="zh-CN"/>
        </w:rPr>
        <w:t xml:space="preserve">     </w:t>
      </w:r>
      <w:r>
        <w:rPr>
          <w:rFonts w:hint="eastAsia" w:ascii="宋体" w:hAnsi="宋体" w:eastAsia="宋体" w:cs="宋体"/>
          <w:b/>
          <w:bCs w:val="0"/>
          <w:color w:val="000000"/>
          <w:sz w:val="32"/>
          <w:szCs w:val="32"/>
        </w:rPr>
        <w:t xml:space="preserve">                                                 </w:t>
      </w:r>
    </w:p>
    <w:p w14:paraId="393D5DD4">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7" w:name="_Toc8063_WPSOffice_Level1"/>
      <w:bookmarkStart w:id="518" w:name="_Toc5994_WPSOffice_Level1"/>
      <w:bookmarkStart w:id="519" w:name="_Toc24942_WPSOffice_Level1"/>
      <w:bookmarkStart w:id="520" w:name="_Toc2711_WPSOffice_Level1"/>
      <w:r>
        <w:rPr>
          <w:rFonts w:hint="eastAsia" w:ascii="宋体" w:hAnsi="宋体" w:eastAsia="宋体" w:cs="宋体"/>
          <w:b/>
          <w:bCs w:val="0"/>
          <w:color w:val="000000"/>
          <w:sz w:val="32"/>
          <w:szCs w:val="32"/>
        </w:rPr>
        <w:t>合同金额（人民币）：</w:t>
      </w:r>
      <w:bookmarkEnd w:id="517"/>
      <w:bookmarkEnd w:id="518"/>
      <w:bookmarkEnd w:id="519"/>
      <w:bookmarkEnd w:id="520"/>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 xml:space="preserve">                                  </w:t>
      </w:r>
    </w:p>
    <w:p w14:paraId="0EB6980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rPr>
      </w:pPr>
      <w:bookmarkStart w:id="521" w:name="_Toc10610_WPSOffice_Level1"/>
      <w:bookmarkStart w:id="522" w:name="_Toc6126_WPSOffice_Level1"/>
      <w:bookmarkStart w:id="523" w:name="_Toc31793_WPSOffice_Level1"/>
      <w:bookmarkStart w:id="524" w:name="_Toc3522_WPSOffice_Level1"/>
      <w:r>
        <w:rPr>
          <w:rFonts w:hint="eastAsia" w:ascii="宋体" w:hAnsi="宋体" w:eastAsia="宋体" w:cs="宋体"/>
          <w:b/>
          <w:bCs w:val="0"/>
          <w:color w:val="000000"/>
          <w:sz w:val="32"/>
          <w:szCs w:val="32"/>
        </w:rPr>
        <w:t>采购单位（甲方）：</w:t>
      </w:r>
      <w:r>
        <w:rPr>
          <w:rFonts w:hint="eastAsia" w:ascii="宋体" w:hAnsi="宋体" w:cs="宋体"/>
          <w:b/>
          <w:bCs w:val="0"/>
          <w:color w:val="000000"/>
          <w:sz w:val="32"/>
          <w:szCs w:val="32"/>
          <w:u w:val="single"/>
          <w:lang w:eastAsia="zh-CN"/>
        </w:rPr>
        <w:t>海南藏族自治州公安局</w:t>
      </w:r>
      <w:r>
        <w:rPr>
          <w:rFonts w:hint="eastAsia" w:ascii="宋体" w:hAnsi="宋体" w:eastAsia="宋体" w:cs="宋体"/>
          <w:b/>
          <w:bCs w:val="0"/>
          <w:color w:val="000000"/>
          <w:sz w:val="32"/>
          <w:szCs w:val="32"/>
        </w:rPr>
        <w:t>（盖章）</w:t>
      </w:r>
      <w:bookmarkEnd w:id="521"/>
      <w:bookmarkEnd w:id="522"/>
      <w:bookmarkEnd w:id="523"/>
      <w:bookmarkEnd w:id="524"/>
    </w:p>
    <w:p w14:paraId="26ACCBF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u w:val="single"/>
        </w:rPr>
      </w:pPr>
      <w:bookmarkStart w:id="525" w:name="_Toc22516_WPSOffice_Level1"/>
      <w:bookmarkStart w:id="526" w:name="_Toc14960_WPSOffice_Level1"/>
      <w:bookmarkStart w:id="527" w:name="_Toc382_WPSOffice_Level1"/>
      <w:bookmarkStart w:id="528" w:name="_Toc7246_WPSOffice_Level1"/>
      <w:r>
        <w:rPr>
          <w:rFonts w:hint="eastAsia" w:ascii="宋体" w:hAnsi="宋体" w:eastAsia="宋体" w:cs="宋体"/>
          <w:b/>
          <w:bCs w:val="0"/>
          <w:color w:val="000000"/>
          <w:sz w:val="32"/>
          <w:szCs w:val="32"/>
        </w:rPr>
        <w:t>成交供应商（乙方）：</w:t>
      </w:r>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（盖章）</w:t>
      </w:r>
      <w:bookmarkEnd w:id="525"/>
      <w:bookmarkEnd w:id="526"/>
      <w:bookmarkEnd w:id="527"/>
      <w:bookmarkEnd w:id="528"/>
    </w:p>
    <w:p w14:paraId="14A5D3E3">
      <w:pPr>
        <w:widowControl w:val="0"/>
        <w:wordWrap/>
        <w:adjustRightInd w:val="0"/>
        <w:snapToGrid w:val="0"/>
        <w:spacing w:line="560" w:lineRule="exact"/>
        <w:ind w:firstLine="420" w:firstLineChars="200"/>
        <w:textAlignment w:val="auto"/>
        <w:outlineLvl w:val="9"/>
        <w:rPr>
          <w:rFonts w:hint="eastAsia" w:ascii="宋体" w:hAnsi="宋体" w:eastAsia="宋体" w:cs="宋体"/>
          <w:bCs/>
          <w:sz w:val="24"/>
          <w:szCs w:val="24"/>
        </w:rPr>
      </w:pPr>
      <w:r>
        <w:rPr>
          <w:rFonts w:hint="eastAsia" w:ascii="宋体" w:hAnsi="宋体" w:eastAsia="宋体"/>
          <w:bCs/>
          <w:szCs w:val="21"/>
        </w:rPr>
        <w:br w:type="page"/>
      </w:r>
      <w:r>
        <w:rPr>
          <w:rFonts w:hint="eastAsia" w:ascii="宋体" w:hAnsi="宋体" w:eastAsia="宋体" w:cs="宋体"/>
          <w:bCs/>
          <w:sz w:val="24"/>
          <w:szCs w:val="24"/>
        </w:rPr>
        <w:t>甲、乙双方根据20</w:t>
      </w:r>
      <w:r>
        <w:rPr>
          <w:rFonts w:hint="eastAsia" w:ascii="宋体" w:hAnsi="宋体" w:eastAsia="宋体" w:cs="宋体"/>
          <w:bCs/>
          <w:sz w:val="24"/>
          <w:szCs w:val="24"/>
          <w:lang w:val="en-US" w:eastAsia="zh-CN"/>
        </w:rPr>
        <w:t>26</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w:t>
      </w:r>
      <w:r>
        <w:rPr>
          <w:rFonts w:hint="eastAsia" w:ascii="宋体" w:hAnsi="宋体" w:eastAsia="宋体" w:cs="宋体"/>
          <w:bCs/>
          <w:sz w:val="24"/>
          <w:szCs w:val="24"/>
          <w:lang w:eastAsia="zh-CN"/>
        </w:rPr>
        <w:t>项目编号</w:t>
      </w:r>
      <w:r>
        <w:rPr>
          <w:rFonts w:hint="eastAsia" w:ascii="宋体" w:hAnsi="宋体" w:eastAsia="宋体" w:cs="宋体"/>
          <w:bCs/>
          <w:sz w:val="24"/>
          <w:szCs w:val="24"/>
        </w:rPr>
        <w:t>）的谈判文件要求和采购机构出具的《成交通知书》，并经双方协商一致，达成合同总价款为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项目采购合同：</w:t>
      </w:r>
    </w:p>
    <w:p w14:paraId="60E2949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29" w:name="_Toc96_WPSOffice_Level1"/>
      <w:bookmarkStart w:id="530" w:name="_Toc28036_WPSOffice_Level1"/>
      <w:bookmarkStart w:id="531" w:name="_Toc29795_WPSOffice_Level1"/>
      <w:bookmarkStart w:id="532" w:name="_Toc6866_WPSOffice_Level1"/>
      <w:bookmarkStart w:id="533" w:name="_Toc6055_WPSOffice_Level1"/>
      <w:bookmarkStart w:id="534" w:name="_Toc16675_WPSOffice_Level1"/>
      <w:r>
        <w:rPr>
          <w:rFonts w:hint="eastAsia" w:ascii="宋体" w:hAnsi="宋体" w:eastAsia="宋体" w:cs="宋体"/>
          <w:bCs/>
          <w:sz w:val="24"/>
          <w:szCs w:val="24"/>
          <w:lang w:val="zh-CN"/>
        </w:rPr>
        <w:t>一、签订本政府采购合同的依据</w:t>
      </w:r>
      <w:bookmarkEnd w:id="529"/>
      <w:bookmarkEnd w:id="530"/>
      <w:bookmarkEnd w:id="531"/>
      <w:bookmarkEnd w:id="532"/>
      <w:bookmarkEnd w:id="533"/>
      <w:bookmarkEnd w:id="534"/>
    </w:p>
    <w:p w14:paraId="2FC1601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本政府采购合同所附下列文件是构成本政府采购合同不可分割的部分：</w:t>
      </w:r>
    </w:p>
    <w:p w14:paraId="43CE96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5" w:name="_Toc7329_WPSOffice_Level2"/>
      <w:bookmarkStart w:id="536" w:name="_Toc29065_WPSOffice_Level2"/>
      <w:bookmarkStart w:id="537" w:name="_Toc32479_WPSOffice_Level2"/>
      <w:r>
        <w:rPr>
          <w:rFonts w:hint="eastAsia" w:ascii="宋体" w:hAnsi="宋体" w:eastAsia="宋体" w:cs="宋体"/>
          <w:bCs/>
          <w:sz w:val="24"/>
          <w:szCs w:val="24"/>
          <w:lang w:val="zh-CN"/>
        </w:rPr>
        <w:t>1.谈判文件；</w:t>
      </w:r>
      <w:bookmarkEnd w:id="535"/>
      <w:bookmarkEnd w:id="536"/>
      <w:bookmarkEnd w:id="537"/>
    </w:p>
    <w:p w14:paraId="1F700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8" w:name="_Toc8989_WPSOffice_Level2"/>
      <w:bookmarkStart w:id="539" w:name="_Toc22776_WPSOffice_Level2"/>
      <w:bookmarkStart w:id="540" w:name="_Toc28112_WPSOffice_Level2"/>
      <w:r>
        <w:rPr>
          <w:rFonts w:hint="eastAsia" w:ascii="宋体" w:hAnsi="宋体" w:eastAsia="宋体" w:cs="宋体"/>
          <w:bCs/>
          <w:sz w:val="24"/>
          <w:szCs w:val="24"/>
          <w:lang w:val="zh-CN"/>
        </w:rPr>
        <w:t>2.谈判文件的更正、变更公告；</w:t>
      </w:r>
      <w:bookmarkEnd w:id="538"/>
      <w:bookmarkEnd w:id="539"/>
      <w:bookmarkEnd w:id="540"/>
    </w:p>
    <w:p w14:paraId="6FEB5B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1" w:name="_Toc29221_WPSOffice_Level2"/>
      <w:bookmarkStart w:id="542" w:name="_Toc29795_WPSOffice_Level2"/>
      <w:bookmarkStart w:id="543" w:name="_Toc28651_WPSOffice_Level2"/>
      <w:r>
        <w:rPr>
          <w:rFonts w:hint="eastAsia" w:ascii="宋体" w:hAnsi="宋体" w:eastAsia="宋体" w:cs="宋体"/>
          <w:bCs/>
          <w:sz w:val="24"/>
          <w:szCs w:val="24"/>
          <w:lang w:val="zh-CN"/>
        </w:rPr>
        <w:t>3.成交供应商提交的谈判响应文件；</w:t>
      </w:r>
      <w:bookmarkEnd w:id="541"/>
      <w:bookmarkEnd w:id="542"/>
      <w:bookmarkEnd w:id="543"/>
    </w:p>
    <w:p w14:paraId="2EDA0AF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4" w:name="_Toc13685_WPSOffice_Level2"/>
      <w:bookmarkStart w:id="545" w:name="_Toc10173_WPSOffice_Level2"/>
      <w:bookmarkStart w:id="546" w:name="_Toc130_WPSOffice_Level2"/>
      <w:r>
        <w:rPr>
          <w:rFonts w:hint="eastAsia" w:ascii="宋体" w:hAnsi="宋体" w:eastAsia="宋体" w:cs="宋体"/>
          <w:bCs/>
          <w:sz w:val="24"/>
          <w:szCs w:val="24"/>
          <w:lang w:val="zh-CN"/>
        </w:rPr>
        <w:t>4.政府采购合同通用条款；</w:t>
      </w:r>
      <w:bookmarkEnd w:id="544"/>
      <w:bookmarkEnd w:id="545"/>
      <w:bookmarkEnd w:id="546"/>
    </w:p>
    <w:p w14:paraId="3CA099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7" w:name="_Toc22537_WPSOffice_Level2"/>
      <w:bookmarkStart w:id="548" w:name="_Toc1858_WPSOffice_Level2"/>
      <w:bookmarkStart w:id="549" w:name="_Toc16117_WPSOffice_Level2"/>
      <w:r>
        <w:rPr>
          <w:rFonts w:hint="eastAsia" w:ascii="宋体" w:hAnsi="宋体" w:eastAsia="宋体" w:cs="宋体"/>
          <w:bCs/>
          <w:sz w:val="24"/>
          <w:szCs w:val="24"/>
          <w:lang w:val="zh-CN"/>
        </w:rPr>
        <w:t>5.成交通知书；</w:t>
      </w:r>
      <w:bookmarkEnd w:id="547"/>
      <w:bookmarkEnd w:id="548"/>
      <w:bookmarkEnd w:id="549"/>
    </w:p>
    <w:p w14:paraId="465A136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Cs/>
          <w:sz w:val="24"/>
          <w:szCs w:val="24"/>
          <w:lang w:val="zh-CN"/>
        </w:rPr>
      </w:pPr>
      <w:bookmarkStart w:id="550" w:name="_Toc4921_WPSOffice_Level1"/>
      <w:bookmarkStart w:id="551" w:name="_Toc10843_WPSOffice_Level1"/>
      <w:bookmarkStart w:id="552" w:name="_Toc12658_WPSOffice_Level1"/>
      <w:bookmarkStart w:id="553" w:name="_Toc7426_WPSOffice_Level1"/>
      <w:bookmarkStart w:id="554" w:name="_Toc10173_WPSOffice_Level1"/>
      <w:bookmarkStart w:id="555" w:name="_Toc29813_WPSOffice_Level1"/>
      <w:r>
        <w:rPr>
          <w:rFonts w:hint="eastAsia" w:ascii="宋体" w:hAnsi="宋体" w:eastAsia="宋体" w:cs="宋体"/>
          <w:bCs/>
          <w:sz w:val="24"/>
          <w:szCs w:val="24"/>
          <w:lang w:val="zh-CN"/>
        </w:rPr>
        <w:t>二、合同标的及金额                                       单位：元</w:t>
      </w:r>
      <w:bookmarkEnd w:id="550"/>
      <w:bookmarkEnd w:id="551"/>
      <w:bookmarkEnd w:id="552"/>
      <w:bookmarkEnd w:id="553"/>
      <w:bookmarkEnd w:id="554"/>
      <w:bookmarkEnd w:id="555"/>
    </w:p>
    <w:tbl>
      <w:tblPr>
        <w:tblStyle w:val="19"/>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4"/>
        <w:gridCol w:w="1640"/>
        <w:gridCol w:w="1613"/>
        <w:gridCol w:w="1279"/>
        <w:gridCol w:w="1151"/>
        <w:gridCol w:w="1149"/>
        <w:gridCol w:w="1343"/>
      </w:tblGrid>
      <w:tr w14:paraId="7A54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447EFA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包号</w:t>
            </w:r>
          </w:p>
        </w:tc>
        <w:tc>
          <w:tcPr>
            <w:tcW w:w="1640" w:type="dxa"/>
            <w:tcBorders>
              <w:top w:val="single" w:color="auto" w:sz="4" w:space="0"/>
              <w:left w:val="single" w:color="auto" w:sz="4" w:space="0"/>
              <w:bottom w:val="single" w:color="auto" w:sz="4" w:space="0"/>
              <w:right w:val="single" w:color="auto" w:sz="4" w:space="0"/>
            </w:tcBorders>
            <w:vAlign w:val="center"/>
          </w:tcPr>
          <w:p w14:paraId="32CF573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标的名称</w:t>
            </w:r>
          </w:p>
        </w:tc>
        <w:tc>
          <w:tcPr>
            <w:tcW w:w="1613" w:type="dxa"/>
            <w:tcBorders>
              <w:top w:val="single" w:color="auto" w:sz="4" w:space="0"/>
              <w:left w:val="single" w:color="auto" w:sz="4" w:space="0"/>
              <w:bottom w:val="single" w:color="auto" w:sz="4" w:space="0"/>
              <w:right w:val="single" w:color="auto" w:sz="4" w:space="0"/>
            </w:tcBorders>
            <w:vAlign w:val="center"/>
          </w:tcPr>
          <w:p w14:paraId="267AE97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14:paraId="3F03552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3AB66A2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29DA83C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14:paraId="4E808A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备注</w:t>
            </w:r>
          </w:p>
        </w:tc>
      </w:tr>
      <w:tr w14:paraId="1EAA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1A2ABB9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375CB7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DC7C9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493BD6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5EAD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4D6349F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5D4522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5C20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29EA61D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4727675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BBE65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C688B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74D208F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6CEC6DD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39E33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7035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4B7FC90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04FA37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51F1830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69E074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66647C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384A0A4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FF18B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36B2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07632B1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744D0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2D6D7B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2CAEBE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5ADD8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59C5E52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166446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bl>
    <w:p w14:paraId="650D80D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根据上述政府采购合同文件要求，本政府采购合同的总金额为人民币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zh-CN"/>
        </w:rPr>
        <w:t>（大写）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元。</w:t>
      </w:r>
    </w:p>
    <w:p w14:paraId="11E6E927">
      <w:pPr>
        <w:widowControl w:val="0"/>
        <w:wordWrap/>
        <w:adjustRightInd w:val="0"/>
        <w:snapToGrid w:val="0"/>
        <w:spacing w:line="560" w:lineRule="exact"/>
        <w:ind w:firstLine="480" w:firstLineChars="200"/>
        <w:textAlignment w:val="auto"/>
        <w:outlineLvl w:val="9"/>
        <w:rPr>
          <w:rFonts w:hint="eastAsia" w:ascii="仿宋_GB2312" w:hAnsi="仿宋_GB2312" w:eastAsia="仿宋_GB2312" w:cs="仿宋_GB2312"/>
          <w:bCs/>
          <w:sz w:val="32"/>
          <w:szCs w:val="32"/>
        </w:rPr>
      </w:pPr>
      <w:r>
        <w:rPr>
          <w:rFonts w:hint="eastAsia" w:ascii="宋体" w:hAnsi="宋体" w:eastAsia="宋体" w:cs="宋体"/>
          <w:bCs/>
          <w:sz w:val="24"/>
          <w:szCs w:val="24"/>
          <w:lang w:val="zh-CN"/>
        </w:rPr>
        <w:t>本合同以人民币进行结算，合同总价包括：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r>
        <w:rPr>
          <w:rFonts w:hint="eastAsia" w:ascii="宋体" w:hAnsi="宋体" w:eastAsia="宋体" w:cs="宋体"/>
          <w:bCs/>
          <w:sz w:val="24"/>
          <w:szCs w:val="24"/>
        </w:rPr>
        <w:t>。</w:t>
      </w:r>
    </w:p>
    <w:p w14:paraId="2DF443D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56" w:name="_Toc6168_WPSOffice_Level1"/>
      <w:bookmarkStart w:id="557" w:name="_Toc22537_WPSOffice_Level1"/>
      <w:bookmarkStart w:id="558" w:name="_Toc23899_WPSOffice_Level1"/>
      <w:bookmarkStart w:id="559" w:name="_Toc20423_WPSOffice_Level1"/>
      <w:bookmarkStart w:id="560" w:name="_Toc7098_WPSOffice_Level1"/>
      <w:bookmarkStart w:id="561" w:name="_Toc28888_WPSOffice_Level1"/>
      <w:r>
        <w:rPr>
          <w:rFonts w:hint="eastAsia" w:ascii="宋体" w:hAnsi="宋体" w:eastAsia="宋体" w:cs="宋体"/>
          <w:bCs/>
          <w:sz w:val="24"/>
          <w:szCs w:val="24"/>
          <w:lang w:val="zh-CN"/>
        </w:rPr>
        <w:t>三、交付时间、地点和要求</w:t>
      </w:r>
      <w:bookmarkEnd w:id="556"/>
      <w:bookmarkEnd w:id="557"/>
      <w:bookmarkEnd w:id="558"/>
      <w:bookmarkEnd w:id="559"/>
      <w:bookmarkEnd w:id="560"/>
      <w:bookmarkEnd w:id="561"/>
    </w:p>
    <w:p w14:paraId="4261F6E5">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交货时间：</w:t>
      </w:r>
      <w:r>
        <w:rPr>
          <w:rFonts w:hint="eastAsia" w:ascii="宋体" w:hAnsi="宋体" w:cs="宋体"/>
          <w:bCs/>
          <w:sz w:val="24"/>
          <w:szCs w:val="24"/>
          <w:highlight w:val="none"/>
          <w:u w:val="single"/>
          <w:lang w:val="en-US" w:eastAsia="zh-CN"/>
        </w:rPr>
        <w:t xml:space="preserve"> 合同签订后60日内  </w:t>
      </w:r>
    </w:p>
    <w:p w14:paraId="72FE2DD7">
      <w:pPr>
        <w:widowControl w:val="0"/>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交货地点：</w:t>
      </w:r>
      <w:r>
        <w:rPr>
          <w:rFonts w:hint="eastAsia" w:ascii="宋体" w:hAnsi="宋体" w:cs="宋体"/>
          <w:bCs/>
          <w:sz w:val="24"/>
          <w:szCs w:val="24"/>
          <w:highlight w:val="none"/>
          <w:u w:val="single"/>
          <w:lang w:val="zh-CN"/>
        </w:rPr>
        <w:t>海南藏族自治州公安局</w:t>
      </w:r>
      <w:r>
        <w:rPr>
          <w:rFonts w:hint="eastAsia" w:ascii="宋体" w:hAnsi="宋体" w:eastAsia="宋体" w:cs="宋体"/>
          <w:bCs/>
          <w:sz w:val="24"/>
          <w:szCs w:val="24"/>
          <w:highlight w:val="none"/>
          <w:lang w:val="zh-CN"/>
        </w:rPr>
        <w:t>。</w:t>
      </w:r>
    </w:p>
    <w:p w14:paraId="259892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乙方提供不符合谈判文件、谈判响应文件和本合同规定的产品，甲方有权拒绝接受。</w:t>
      </w:r>
    </w:p>
    <w:p w14:paraId="557799D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zh-CN"/>
        </w:rPr>
        <w:t>乙方应将提供产品的装箱清单、用户手册、资料、工具和备品、备件等交付给甲方，如有缺失应及时补齐，否则视为逾期交货。</w:t>
      </w:r>
    </w:p>
    <w:p w14:paraId="34F368B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4. </w:t>
      </w:r>
      <w:r>
        <w:rPr>
          <w:rFonts w:hint="eastAsia" w:ascii="宋体" w:hAnsi="宋体" w:eastAsia="宋体" w:cs="宋体"/>
          <w:bCs/>
          <w:sz w:val="24"/>
          <w:szCs w:val="24"/>
          <w:lang w:val="zh-CN"/>
        </w:rPr>
        <w:t>甲方应当在到货后</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个工作日内进行验收。验收合格后，由甲乙双方签署产品验收单并加盖采购人</w:t>
      </w:r>
      <w:r>
        <w:rPr>
          <w:rFonts w:hint="eastAsia" w:ascii="宋体" w:hAnsi="宋体" w:eastAsia="宋体" w:cs="宋体"/>
          <w:bCs/>
          <w:sz w:val="24"/>
          <w:szCs w:val="24"/>
          <w:highlight w:val="none"/>
          <w:lang w:val="zh-CN"/>
        </w:rPr>
        <w:t>公章</w:t>
      </w:r>
      <w:r>
        <w:rPr>
          <w:rFonts w:hint="eastAsia" w:ascii="宋体" w:hAnsi="宋体" w:eastAsia="宋体" w:cs="宋体"/>
          <w:bCs/>
          <w:sz w:val="24"/>
          <w:szCs w:val="24"/>
          <w:lang w:val="zh-CN"/>
        </w:rPr>
        <w:t>，甲乙双方各执一份。</w:t>
      </w:r>
    </w:p>
    <w:p w14:paraId="2A8E67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 xml:space="preserve"> 甲方应提供该项目验收报告交同级财政监管部门，由财政部门按规定程序抽验后办理资金拨付</w:t>
      </w:r>
      <w:r>
        <w:rPr>
          <w:rFonts w:hint="eastAsia" w:ascii="宋体" w:hAnsi="宋体" w:eastAsia="宋体" w:cs="宋体"/>
          <w:bCs/>
          <w:sz w:val="24"/>
          <w:szCs w:val="24"/>
          <w:lang w:val="zh-CN"/>
        </w:rPr>
        <w:t>。</w:t>
      </w:r>
    </w:p>
    <w:p w14:paraId="12A58D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zh-CN"/>
        </w:rPr>
        <w:t xml:space="preserve"> 甲方在履行合同过程中发现乙方有违约问题，可按谈判文件、谈判响应文件的规定要求乙方及时予以解决。</w:t>
      </w:r>
    </w:p>
    <w:p w14:paraId="0C4FB43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val="zh-CN"/>
        </w:rPr>
        <w:t>乙方向甲方提供产品相关完税销售发票。</w:t>
      </w:r>
    </w:p>
    <w:p w14:paraId="2FDD385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562" w:name="_Toc19609_WPSOffice_Level1"/>
      <w:bookmarkStart w:id="563" w:name="_Toc5771_WPSOffice_Level1"/>
      <w:bookmarkStart w:id="564" w:name="_Toc2306_WPSOffice_Level1"/>
      <w:bookmarkStart w:id="565" w:name="_Toc29015_WPSOffice_Level1"/>
      <w:bookmarkStart w:id="566" w:name="_Toc23122_WPSOffice_Level1"/>
      <w:bookmarkStart w:id="567" w:name="_Toc32406_WPSOffice_Level1"/>
      <w:r>
        <w:rPr>
          <w:rFonts w:hint="eastAsia" w:ascii="宋体" w:hAnsi="宋体" w:eastAsia="宋体" w:cs="宋体"/>
          <w:bCs/>
          <w:sz w:val="24"/>
          <w:szCs w:val="24"/>
          <w:highlight w:val="none"/>
        </w:rPr>
        <w:t>四、付款方式</w:t>
      </w:r>
      <w:bookmarkEnd w:id="562"/>
      <w:bookmarkEnd w:id="563"/>
      <w:bookmarkEnd w:id="564"/>
      <w:bookmarkEnd w:id="565"/>
      <w:bookmarkEnd w:id="566"/>
      <w:bookmarkEnd w:id="567"/>
    </w:p>
    <w:p w14:paraId="26F208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none"/>
          <w:lang w:val="zh-CN"/>
        </w:rPr>
        <w:t>1.付款方式：合同签订后，甲方向乙方预付合同总价款的</w:t>
      </w:r>
      <w:r>
        <w:rPr>
          <w:rFonts w:hint="eastAsia" w:ascii="宋体" w:hAnsi="宋体" w:cs="宋体"/>
          <w:bCs/>
          <w:sz w:val="24"/>
          <w:szCs w:val="24"/>
          <w:highlight w:val="none"/>
          <w:u w:val="none"/>
          <w:lang w:val="en-US" w:eastAsia="zh-CN"/>
        </w:rPr>
        <w:t>50</w:t>
      </w:r>
      <w:r>
        <w:rPr>
          <w:rFonts w:hint="eastAsia" w:ascii="宋体" w:hAnsi="宋体" w:eastAsia="宋体" w:cs="宋体"/>
          <w:bCs/>
          <w:sz w:val="24"/>
          <w:szCs w:val="24"/>
          <w:highlight w:val="none"/>
          <w:u w:val="none"/>
          <w:lang w:val="zh-CN"/>
        </w:rPr>
        <w:t>%，即人民币</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none"/>
          <w:lang w:val="zh-CN"/>
        </w:rPr>
        <w:t>乙方</w:t>
      </w:r>
      <w:r>
        <w:rPr>
          <w:rFonts w:hint="eastAsia" w:ascii="宋体" w:hAnsi="宋体" w:cs="宋体"/>
          <w:bCs/>
          <w:sz w:val="24"/>
          <w:szCs w:val="24"/>
          <w:highlight w:val="none"/>
          <w:u w:val="none"/>
          <w:lang w:val="en-US" w:eastAsia="zh-CN"/>
        </w:rPr>
        <w:t>供货</w:t>
      </w:r>
      <w:r>
        <w:rPr>
          <w:rFonts w:hint="eastAsia" w:ascii="宋体" w:hAnsi="宋体" w:eastAsia="宋体" w:cs="宋体"/>
          <w:bCs/>
          <w:sz w:val="24"/>
          <w:szCs w:val="24"/>
          <w:highlight w:val="none"/>
          <w:u w:val="none"/>
          <w:lang w:val="zh-CN"/>
        </w:rPr>
        <w:t>完</w:t>
      </w:r>
      <w:r>
        <w:rPr>
          <w:rFonts w:hint="eastAsia" w:ascii="宋体" w:hAnsi="宋体" w:cs="宋体"/>
          <w:bCs/>
          <w:sz w:val="24"/>
          <w:szCs w:val="24"/>
          <w:highlight w:val="none"/>
          <w:u w:val="none"/>
          <w:lang w:val="en-US" w:eastAsia="zh-CN"/>
        </w:rPr>
        <w:t>成</w:t>
      </w:r>
      <w:r>
        <w:rPr>
          <w:rFonts w:hint="eastAsia" w:ascii="宋体" w:hAnsi="宋体" w:eastAsia="宋体" w:cs="宋体"/>
          <w:bCs/>
          <w:sz w:val="24"/>
          <w:szCs w:val="24"/>
          <w:highlight w:val="none"/>
          <w:u w:val="none"/>
          <w:lang w:val="zh-CN"/>
        </w:rPr>
        <w:t>并经甲方验收合格后，向乙方支付合同总价款的</w:t>
      </w:r>
      <w:r>
        <w:rPr>
          <w:rFonts w:hint="eastAsia" w:ascii="宋体" w:hAnsi="宋体" w:cs="宋体"/>
          <w:bCs/>
          <w:sz w:val="24"/>
          <w:szCs w:val="24"/>
          <w:highlight w:val="none"/>
          <w:u w:val="none"/>
          <w:lang w:val="en-US" w:eastAsia="zh-CN"/>
        </w:rPr>
        <w:t>47</w:t>
      </w:r>
      <w:r>
        <w:rPr>
          <w:rFonts w:hint="eastAsia" w:ascii="宋体" w:hAnsi="宋体" w:eastAsia="宋体" w:cs="宋体"/>
          <w:bCs/>
          <w:sz w:val="24"/>
          <w:szCs w:val="24"/>
          <w:highlight w:val="none"/>
          <w:u w:val="none"/>
          <w:lang w:val="zh-CN"/>
        </w:rPr>
        <w:t>%,即</w:t>
      </w:r>
      <w:r>
        <w:rPr>
          <w:rFonts w:hint="eastAsia" w:ascii="宋体" w:hAnsi="宋体" w:eastAsia="宋体" w:cs="宋体"/>
          <w:bCs/>
          <w:sz w:val="24"/>
          <w:szCs w:val="24"/>
          <w:highlight w:val="none"/>
          <w:u w:val="single"/>
          <w:lang w:val="zh-CN"/>
        </w:rPr>
        <w:t>人民币</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cs="宋体"/>
          <w:bCs/>
          <w:sz w:val="24"/>
          <w:szCs w:val="24"/>
          <w:highlight w:val="none"/>
          <w:u w:val="none"/>
          <w:lang w:val="zh-CN"/>
        </w:rPr>
        <w:t>，</w:t>
      </w:r>
      <w:r>
        <w:rPr>
          <w:rFonts w:hint="eastAsia" w:ascii="宋体" w:hAnsi="宋体" w:cs="宋体"/>
          <w:bCs/>
          <w:sz w:val="24"/>
          <w:szCs w:val="24"/>
          <w:highlight w:val="none"/>
          <w:u w:val="none"/>
          <w:lang w:val="en-US" w:eastAsia="zh-CN"/>
        </w:rPr>
        <w:t>剩余3%即</w:t>
      </w:r>
      <w:r>
        <w:rPr>
          <w:rFonts w:hint="eastAsia" w:ascii="宋体" w:hAnsi="宋体" w:cs="宋体"/>
          <w:bCs/>
          <w:sz w:val="24"/>
          <w:szCs w:val="24"/>
          <w:highlight w:val="none"/>
          <w:u w:val="single"/>
          <w:lang w:val="en-US" w:eastAsia="zh-CN"/>
        </w:rPr>
        <w:t>人民币     元整（¥       ）</w:t>
      </w:r>
      <w:r>
        <w:rPr>
          <w:rFonts w:hint="eastAsia" w:ascii="宋体" w:hAnsi="宋体" w:cs="宋体"/>
          <w:bCs/>
          <w:sz w:val="24"/>
          <w:szCs w:val="24"/>
          <w:highlight w:val="none"/>
          <w:u w:val="none"/>
          <w:lang w:val="en-US" w:eastAsia="zh-CN"/>
        </w:rPr>
        <w:t>作为质保金，质保满一年后</w:t>
      </w:r>
      <w:r>
        <w:rPr>
          <w:rFonts w:hint="eastAsia" w:ascii="宋体" w:hAnsi="宋体" w:eastAsia="宋体" w:cs="宋体"/>
          <w:bCs/>
          <w:sz w:val="24"/>
          <w:szCs w:val="24"/>
          <w:highlight w:val="none"/>
          <w:u w:val="none"/>
          <w:lang w:val="zh-CN"/>
        </w:rPr>
        <w:t>向乙方</w:t>
      </w:r>
      <w:r>
        <w:rPr>
          <w:rFonts w:hint="eastAsia" w:ascii="宋体" w:hAnsi="宋体" w:cs="宋体"/>
          <w:bCs/>
          <w:sz w:val="24"/>
          <w:szCs w:val="24"/>
          <w:highlight w:val="none"/>
          <w:u w:val="none"/>
          <w:lang w:val="en-US" w:eastAsia="zh-CN"/>
        </w:rPr>
        <w:t>支付</w:t>
      </w:r>
      <w:r>
        <w:rPr>
          <w:rFonts w:hint="eastAsia" w:ascii="宋体" w:hAnsi="宋体" w:eastAsia="宋体" w:cs="宋体"/>
          <w:bCs/>
          <w:sz w:val="24"/>
          <w:szCs w:val="24"/>
          <w:highlight w:val="none"/>
          <w:u w:val="none"/>
          <w:lang w:val="zh-CN"/>
        </w:rPr>
        <w:t>。</w:t>
      </w:r>
    </w:p>
    <w:p w14:paraId="4D0A610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2.履约保证金及缴纳形式</w:t>
      </w:r>
    </w:p>
    <w:p w14:paraId="15F49BEC">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中标/成交供应商是否需要缴纳履约保证金：缴纳</w:t>
      </w:r>
    </w:p>
    <w:p w14:paraId="28B547FD">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履约保证金缴纳比例：10%签约合同价</w:t>
      </w:r>
    </w:p>
    <w:p w14:paraId="58169D6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缴纳方式：银行转账、支票/汇票/本票、保函/保险</w:t>
      </w:r>
    </w:p>
    <w:p w14:paraId="5C3D8C9D">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中标/成交供应商应在合同签订前，按合同专用条款的约定提交履约保证金。</w:t>
      </w:r>
    </w:p>
    <w:p w14:paraId="5A9A84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zh-CN"/>
        </w:rPr>
      </w:pPr>
      <w:r>
        <w:rPr>
          <w:rFonts w:hint="eastAsia" w:ascii="宋体" w:hAnsi="宋体" w:cs="宋体"/>
          <w:bCs/>
          <w:sz w:val="24"/>
          <w:szCs w:val="24"/>
          <w:u w:val="none"/>
          <w:lang w:val="en-US" w:eastAsia="zh-CN"/>
        </w:rPr>
        <w:t>3</w:t>
      </w:r>
      <w:r>
        <w:rPr>
          <w:rFonts w:hint="eastAsia" w:ascii="宋体" w:hAnsi="宋体" w:eastAsia="宋体" w:cs="宋体"/>
          <w:bCs/>
          <w:sz w:val="24"/>
          <w:szCs w:val="24"/>
          <w:u w:val="none"/>
          <w:lang w:val="zh-CN"/>
        </w:rPr>
        <w:t>.甲方每次向乙方支付合同价款前，乙方应向甲方开具符合法律规定及甲方要求的增值税发票，否则，甲方有权拒绝付款且免于承担逾期付款违约责任。</w:t>
      </w:r>
    </w:p>
    <w:p w14:paraId="56294C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68" w:name="_Toc8581_WPSOffice_Level1"/>
      <w:bookmarkStart w:id="569" w:name="_Toc1156_WPSOffice_Level1"/>
      <w:bookmarkStart w:id="570" w:name="_Toc26468_WPSOffice_Level1"/>
      <w:bookmarkStart w:id="571" w:name="_Toc4233_WPSOffice_Level1"/>
      <w:bookmarkStart w:id="572" w:name="_Toc4945_WPSOffice_Level1"/>
      <w:bookmarkStart w:id="573" w:name="_Toc9071_WPSOffice_Level1"/>
      <w:r>
        <w:rPr>
          <w:rFonts w:hint="eastAsia" w:ascii="宋体" w:hAnsi="宋体" w:eastAsia="宋体" w:cs="宋体"/>
          <w:bCs/>
          <w:sz w:val="24"/>
          <w:szCs w:val="24"/>
          <w:lang w:val="zh-CN"/>
        </w:rPr>
        <w:t>五、合同的变更、终止与转让</w:t>
      </w:r>
      <w:bookmarkEnd w:id="568"/>
      <w:bookmarkEnd w:id="569"/>
      <w:bookmarkEnd w:id="570"/>
      <w:bookmarkEnd w:id="571"/>
      <w:bookmarkEnd w:id="572"/>
      <w:bookmarkEnd w:id="573"/>
    </w:p>
    <w:p w14:paraId="74F319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除《中华人民共和国政府采购法》第</w:t>
      </w:r>
      <w:r>
        <w:rPr>
          <w:rFonts w:hint="eastAsia" w:ascii="宋体" w:hAnsi="宋体" w:eastAsia="宋体" w:cs="宋体"/>
          <w:bCs/>
          <w:sz w:val="24"/>
          <w:szCs w:val="24"/>
        </w:rPr>
        <w:t>50</w:t>
      </w:r>
      <w:r>
        <w:rPr>
          <w:rFonts w:hint="eastAsia" w:ascii="宋体" w:hAnsi="宋体" w:eastAsia="宋体" w:cs="宋体"/>
          <w:bCs/>
          <w:sz w:val="24"/>
          <w:szCs w:val="24"/>
          <w:lang w:val="zh-CN"/>
        </w:rPr>
        <w:t>条规定的情形外，本合同一经签订，甲乙双方不得擅自变更、中止或终止。</w:t>
      </w:r>
    </w:p>
    <w:p w14:paraId="71BDF4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乙方不得擅自转让其应履行的合同义务。</w:t>
      </w:r>
    </w:p>
    <w:p w14:paraId="2AD789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74" w:name="_Toc20231_WPSOffice_Level1"/>
      <w:bookmarkStart w:id="575" w:name="_Toc14930_WPSOffice_Level1"/>
      <w:bookmarkStart w:id="576" w:name="_Toc21200_WPSOffice_Level1"/>
      <w:bookmarkStart w:id="577" w:name="_Toc27090_WPSOffice_Level1"/>
      <w:bookmarkStart w:id="578" w:name="_Toc2669_WPSOffice_Level1"/>
      <w:bookmarkStart w:id="579" w:name="_Toc29941_WPSOffice_Level1"/>
      <w:r>
        <w:rPr>
          <w:rFonts w:hint="eastAsia" w:ascii="宋体" w:hAnsi="宋体" w:eastAsia="宋体" w:cs="宋体"/>
          <w:bCs/>
          <w:sz w:val="24"/>
          <w:szCs w:val="24"/>
          <w:lang w:val="zh-CN"/>
        </w:rPr>
        <w:t>六、违约责任</w:t>
      </w:r>
      <w:bookmarkEnd w:id="574"/>
      <w:bookmarkEnd w:id="575"/>
      <w:bookmarkEnd w:id="576"/>
      <w:bookmarkEnd w:id="577"/>
      <w:bookmarkEnd w:id="578"/>
      <w:bookmarkEnd w:id="579"/>
    </w:p>
    <w:p w14:paraId="056A9A3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80" w:name="_Toc31682_WPSOffice_Level1"/>
      <w:bookmarkStart w:id="581" w:name="_Toc13664_WPSOffice_Level1"/>
      <w:bookmarkStart w:id="582" w:name="_Toc4924_WPSOffice_Level1"/>
      <w:bookmarkStart w:id="583" w:name="_Toc2639_WPSOffice_Level1"/>
      <w:bookmarkStart w:id="584" w:name="_Toc2021_WPSOffice_Level1"/>
      <w:bookmarkStart w:id="585" w:name="_Toc29473_WPSOffice_Level1"/>
      <w:r>
        <w:rPr>
          <w:rFonts w:hint="eastAsia" w:ascii="宋体" w:hAnsi="宋体" w:eastAsia="宋体" w:cs="宋体"/>
          <w:bCs/>
          <w:sz w:val="24"/>
          <w:szCs w:val="24"/>
          <w:lang w:val="zh-CN"/>
        </w:rPr>
        <w:t>1.乙方所提供的服务和产品、技术标准、材料等质量不合格的，应及时更换；更换不及时的，按逾期交货承担违约责任；因质量问题甲方不同意接收的或因质量问题致使甲方无法实现合同目的的，甲方有权解除合同，乙方应按合同总额的30%向甲方支付违约金。违约金不足以弥补甲方损失的，乙方应就不足部分承担赔偿责任。</w:t>
      </w:r>
    </w:p>
    <w:p w14:paraId="0D41D4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2.乙方提供的产品和服务如侵犯了第三方权益而引发纠纷或诉讼的，均由乙方负责交涉并承担全部责任。因乙方原因导致甲方遭受损失的，乙方除应对第三方承担责任外还应就甲方遭受的损失承担赔偿责任。</w:t>
      </w:r>
    </w:p>
    <w:p w14:paraId="429CD34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3.因包装、运输引起的货物损坏，按质量不合格处罚。</w:t>
      </w:r>
    </w:p>
    <w:p w14:paraId="34BF84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4.乙方逾期交付的，乙方每逾期一日应向甲方支付合同总额3‰的违约金，超过 10 天的，甲方有权解除合同。乙方应按合同总额的5%向甲方支付违约金。前述违约金不足以弥补甲方损失的，乙方应就不足部分承担赔偿责任。</w:t>
      </w:r>
    </w:p>
    <w:p w14:paraId="440A983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5.乙方未按本合同和响应文件中规定的服务承诺提供售后服务的，乙方应按本合同合计金额的3%向甲方支付违约金。</w:t>
      </w:r>
    </w:p>
    <w:p w14:paraId="19225E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6.乙方提供的货物在免费质保期内，因设计、工艺或材料的缺陷和其它质量原因造成的问题，由乙方负责，费用从合同款中扣除，不足另补。</w:t>
      </w:r>
    </w:p>
    <w:p w14:paraId="374D696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7.其它违约行为按违约货款额5%收取违约金并赔偿经济损失。</w:t>
      </w:r>
    </w:p>
    <w:p w14:paraId="795A86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七、不可抗力</w:t>
      </w:r>
      <w:bookmarkEnd w:id="580"/>
      <w:bookmarkEnd w:id="581"/>
      <w:bookmarkEnd w:id="582"/>
      <w:bookmarkEnd w:id="583"/>
      <w:bookmarkEnd w:id="584"/>
      <w:bookmarkEnd w:id="585"/>
    </w:p>
    <w:p w14:paraId="373AB5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不可抗力使合同的某些内容有变更必要的，双方应通过协商在</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天内达成进一步履行合同的协议，因不可抗力致使合同不能履行的，合同终止。</w:t>
      </w:r>
    </w:p>
    <w:p w14:paraId="0980AC8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除法律、法规规定的不可抗力情形外，双方约定出现</w:t>
      </w:r>
      <w:r>
        <w:rPr>
          <w:rFonts w:hint="eastAsia" w:ascii="宋体" w:hAnsi="宋体" w:eastAsia="宋体" w:cs="宋体"/>
          <w:bCs/>
          <w:sz w:val="24"/>
          <w:szCs w:val="24"/>
          <w:u w:val="single"/>
          <w:lang w:val="en-US" w:eastAsia="zh-CN"/>
        </w:rPr>
        <w:t>非人为</w:t>
      </w:r>
      <w:r>
        <w:rPr>
          <w:rFonts w:hint="eastAsia" w:ascii="宋体" w:hAnsi="宋体" w:eastAsia="宋体" w:cs="宋体"/>
          <w:bCs/>
          <w:sz w:val="24"/>
          <w:szCs w:val="24"/>
          <w:lang w:val="zh-CN"/>
        </w:rPr>
        <w:t>情况亦视为不可抗力。</w:t>
      </w:r>
    </w:p>
    <w:p w14:paraId="3C59C47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86" w:name="_Toc3848_WPSOffice_Level1"/>
      <w:bookmarkStart w:id="587" w:name="_Toc26412_WPSOffice_Level1"/>
      <w:bookmarkStart w:id="588" w:name="_Toc10383_WPSOffice_Level1"/>
      <w:bookmarkStart w:id="589" w:name="_Toc18318_WPSOffice_Level1"/>
      <w:bookmarkStart w:id="590" w:name="_Toc19414_WPSOffice_Level1"/>
      <w:bookmarkStart w:id="591" w:name="_Toc23622_WPSOffice_Level1"/>
      <w:r>
        <w:rPr>
          <w:rFonts w:hint="eastAsia" w:ascii="宋体" w:hAnsi="宋体" w:eastAsia="宋体" w:cs="宋体"/>
          <w:bCs/>
          <w:sz w:val="24"/>
          <w:szCs w:val="24"/>
          <w:lang w:val="zh-CN"/>
        </w:rPr>
        <w:t>八、知识产权：</w:t>
      </w:r>
      <w:bookmarkEnd w:id="586"/>
      <w:bookmarkEnd w:id="587"/>
      <w:bookmarkEnd w:id="588"/>
      <w:bookmarkEnd w:id="589"/>
      <w:bookmarkEnd w:id="590"/>
      <w:bookmarkEnd w:id="591"/>
      <w:r>
        <w:rPr>
          <w:rFonts w:hint="eastAsia" w:ascii="宋体" w:hAnsi="宋体" w:eastAsia="宋体" w:cs="宋体"/>
          <w:bCs/>
          <w:sz w:val="24"/>
          <w:szCs w:val="24"/>
          <w:lang w:val="zh-CN"/>
        </w:rPr>
        <w:t>详见合同通用条款</w:t>
      </w:r>
    </w:p>
    <w:p w14:paraId="29608D3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en-US" w:eastAsia="zh-CN"/>
        </w:rPr>
      </w:pPr>
      <w:bookmarkStart w:id="592" w:name="_Toc19749_WPSOffice_Level1"/>
      <w:bookmarkStart w:id="593" w:name="_Toc20210_WPSOffice_Level1"/>
      <w:bookmarkStart w:id="594" w:name="_Toc13231_WPSOffice_Level1"/>
      <w:bookmarkStart w:id="595" w:name="_Toc10217_WPSOffice_Level1"/>
      <w:bookmarkStart w:id="596" w:name="_Toc2260_WPSOffice_Level1"/>
      <w:bookmarkStart w:id="597" w:name="_Toc19632_WPSOffice_Level1"/>
      <w:r>
        <w:rPr>
          <w:rFonts w:hint="eastAsia" w:ascii="宋体" w:hAnsi="宋体" w:eastAsia="宋体" w:cs="宋体"/>
          <w:bCs/>
          <w:sz w:val="24"/>
          <w:szCs w:val="24"/>
          <w:lang w:val="zh-CN"/>
        </w:rPr>
        <w:t>九、其他约定：</w:t>
      </w:r>
      <w:bookmarkEnd w:id="592"/>
      <w:bookmarkEnd w:id="593"/>
      <w:bookmarkEnd w:id="594"/>
      <w:bookmarkEnd w:id="595"/>
      <w:bookmarkEnd w:id="596"/>
      <w:bookmarkEnd w:id="597"/>
      <w:bookmarkStart w:id="598" w:name="_Toc18552_WPSOffice_Level1"/>
      <w:bookmarkStart w:id="599" w:name="_Toc20133_WPSOffice_Level1"/>
      <w:bookmarkStart w:id="600" w:name="_Toc23823_WPSOffice_Level1"/>
      <w:bookmarkStart w:id="601" w:name="_Toc19521_WPSOffice_Level1"/>
      <w:bookmarkStart w:id="602" w:name="_Toc6985_WPSOffice_Level1"/>
      <w:bookmarkStart w:id="603" w:name="_Toc2032_WPSOffice_Level1"/>
      <w:r>
        <w:rPr>
          <w:rFonts w:hint="eastAsia" w:ascii="宋体" w:hAnsi="宋体" w:eastAsia="宋体" w:cs="宋体"/>
          <w:bCs/>
          <w:sz w:val="24"/>
          <w:szCs w:val="24"/>
          <w:u w:val="single"/>
          <w:lang w:val="en-US" w:eastAsia="zh-CN"/>
        </w:rPr>
        <w:t xml:space="preserve">               </w:t>
      </w:r>
    </w:p>
    <w:p w14:paraId="07F187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十、合同争议解决</w:t>
      </w:r>
      <w:bookmarkEnd w:id="598"/>
      <w:bookmarkEnd w:id="599"/>
      <w:bookmarkEnd w:id="600"/>
      <w:bookmarkEnd w:id="601"/>
      <w:bookmarkEnd w:id="602"/>
      <w:bookmarkEnd w:id="603"/>
    </w:p>
    <w:p w14:paraId="40451D4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604" w:name="_Toc8439_WPSOffice_Level1"/>
      <w:bookmarkStart w:id="605" w:name="_Toc12915_WPSOffice_Level1"/>
      <w:bookmarkStart w:id="606" w:name="_Toc20057_WPSOffice_Level1"/>
      <w:bookmarkStart w:id="607" w:name="_Toc27544_WPSOffice_Level1"/>
      <w:bookmarkStart w:id="608" w:name="_Toc18713_WPSOffice_Level1"/>
      <w:bookmarkStart w:id="609" w:name="_Toc25759_WPSOffice_Level1"/>
      <w:r>
        <w:rPr>
          <w:rFonts w:hint="eastAsia" w:ascii="宋体" w:hAnsi="宋体" w:eastAsia="宋体" w:cs="宋体"/>
          <w:bCs/>
          <w:sz w:val="24"/>
          <w:szCs w:val="24"/>
          <w:lang w:val="zh-CN"/>
        </w:rPr>
        <w:t>1.因产品质量问题发生争议的，应邀请国家认可的质量检测机构进行鉴定。产品符合标准的，鉴定费由甲方承担；产品不符合标准的，鉴定费由乙方承担。</w:t>
      </w:r>
    </w:p>
    <w:p w14:paraId="34C029E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3619D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3.诉讼期间，本合同继续履行。</w:t>
      </w:r>
    </w:p>
    <w:p w14:paraId="463B6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十一、合同生效及其它</w:t>
      </w:r>
      <w:r>
        <w:rPr>
          <w:rFonts w:hint="eastAsia" w:ascii="宋体" w:hAnsi="宋体" w:eastAsia="宋体" w:cs="宋体"/>
          <w:bCs/>
          <w:sz w:val="24"/>
          <w:szCs w:val="24"/>
        </w:rPr>
        <w:t>：</w:t>
      </w:r>
      <w:bookmarkEnd w:id="604"/>
      <w:bookmarkEnd w:id="605"/>
      <w:bookmarkEnd w:id="606"/>
      <w:bookmarkEnd w:id="607"/>
      <w:bookmarkEnd w:id="608"/>
      <w:bookmarkEnd w:id="609"/>
    </w:p>
    <w:p w14:paraId="4CFA134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1.本合同一式</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份，均具有同等法律效力，甲方执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份，乙方执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份，采购代理机构执壹份。合同全数返回采购代理机构鉴证，盖章。</w:t>
      </w:r>
    </w:p>
    <w:p w14:paraId="1AB797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2.本合同未尽事宜，按经济合同法有关规定处理。</w:t>
      </w:r>
    </w:p>
    <w:p w14:paraId="2BCD69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3.本合同的组成包含《合同通用条款》。</w:t>
      </w:r>
    </w:p>
    <w:p w14:paraId="392036D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602E847C">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p>
    <w:p w14:paraId="10466B2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甲方（盖章）：                       乙方（盖章）：</w:t>
      </w:r>
    </w:p>
    <w:p w14:paraId="7129D82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地址：                              地址：</w:t>
      </w:r>
    </w:p>
    <w:p w14:paraId="40A7A49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法定代表人或委托代理人：            法定代表人或委托代理人：</w:t>
      </w:r>
    </w:p>
    <w:p w14:paraId="1755A702">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开户银行：</w:t>
      </w:r>
    </w:p>
    <w:p w14:paraId="115EDAA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联系电话：                          账号：</w:t>
      </w:r>
    </w:p>
    <w:p w14:paraId="000E2E2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联系电话：</w:t>
      </w:r>
    </w:p>
    <w:p w14:paraId="56DA4B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签约时间：  年  月  日</w:t>
      </w:r>
    </w:p>
    <w:p w14:paraId="5FF85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57468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7608099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采购代理机构</w:t>
      </w:r>
      <w:r>
        <w:rPr>
          <w:rFonts w:hint="eastAsia" w:ascii="宋体" w:hAnsi="宋体" w:eastAsia="宋体" w:cs="宋体"/>
          <w:bCs/>
          <w:sz w:val="24"/>
          <w:szCs w:val="24"/>
        </w:rPr>
        <w:t>：</w:t>
      </w:r>
      <w:r>
        <w:rPr>
          <w:rFonts w:hint="eastAsia" w:ascii="宋体" w:hAnsi="宋体" w:eastAsia="宋体" w:cs="宋体"/>
          <w:bCs/>
          <w:sz w:val="24"/>
          <w:szCs w:val="24"/>
          <w:lang w:val="en-US" w:eastAsia="zh-CN"/>
        </w:rPr>
        <w:t>青海国德招标代理有限公司</w:t>
      </w:r>
      <w:r>
        <w:rPr>
          <w:rFonts w:hint="eastAsia" w:ascii="宋体" w:hAnsi="宋体" w:eastAsia="宋体" w:cs="宋体"/>
          <w:bCs/>
          <w:sz w:val="24"/>
          <w:szCs w:val="24"/>
        </w:rPr>
        <w:t xml:space="preserve">      </w:t>
      </w:r>
    </w:p>
    <w:p w14:paraId="6E06D24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负责人</w:t>
      </w:r>
      <w:r>
        <w:rPr>
          <w:rFonts w:hint="eastAsia" w:ascii="宋体" w:hAnsi="宋体" w:eastAsia="宋体" w:cs="宋体"/>
          <w:bCs/>
          <w:sz w:val="24"/>
          <w:szCs w:val="24"/>
          <w:lang w:val="en-US" w:eastAsia="zh-CN"/>
        </w:rPr>
        <w:t>或</w:t>
      </w:r>
      <w:r>
        <w:rPr>
          <w:rFonts w:hint="eastAsia" w:ascii="宋体" w:hAnsi="宋体" w:eastAsia="宋体" w:cs="宋体"/>
          <w:bCs/>
          <w:sz w:val="24"/>
          <w:szCs w:val="24"/>
        </w:rPr>
        <w:t>经办人：</w:t>
      </w:r>
    </w:p>
    <w:p w14:paraId="282E0641">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合同备案时间：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p w14:paraId="4C66C165">
      <w:pPr>
        <w:rPr>
          <w:rFonts w:hint="eastAsia" w:ascii="宋体" w:hAnsi="宋体" w:eastAsia="宋体" w:cs="宋体"/>
          <w:bCs/>
          <w:sz w:val="24"/>
          <w:szCs w:val="24"/>
        </w:rPr>
      </w:pPr>
      <w:r>
        <w:rPr>
          <w:rFonts w:hint="eastAsia" w:ascii="宋体" w:hAnsi="宋体" w:eastAsia="宋体" w:cs="宋体"/>
          <w:bCs/>
          <w:sz w:val="24"/>
          <w:szCs w:val="24"/>
        </w:rPr>
        <w:br w:type="page"/>
      </w:r>
    </w:p>
    <w:p w14:paraId="23C4501C">
      <w:pPr>
        <w:widowControl w:val="0"/>
        <w:wordWrap/>
        <w:adjustRightInd w:val="0"/>
        <w:snapToGrid w:val="0"/>
        <w:spacing w:line="560" w:lineRule="exact"/>
        <w:ind w:firstLine="480" w:firstLineChars="20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合同通用条款</w:t>
      </w:r>
    </w:p>
    <w:p w14:paraId="5915721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根据《民法典》、《中华人民共和国政府采购法》的规定，合同双方经协商达成一致，自愿订立本合同，遵循公平原则明确双方的权利、义务，确保双方诚实守信地履行合同。</w:t>
      </w:r>
    </w:p>
    <w:p w14:paraId="72947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0" w:name="_Toc22507_WPSOffice_Level2"/>
      <w:bookmarkStart w:id="611" w:name="_Toc26412_WPSOffice_Level2"/>
      <w:bookmarkStart w:id="612" w:name="_Toc20198_WPSOffice_Level2"/>
      <w:r>
        <w:rPr>
          <w:rFonts w:hint="eastAsia" w:ascii="宋体" w:hAnsi="宋体" w:eastAsia="宋体" w:cs="宋体"/>
          <w:bCs/>
          <w:sz w:val="24"/>
          <w:szCs w:val="24"/>
        </w:rPr>
        <w:t>1.定义</w:t>
      </w:r>
      <w:bookmarkEnd w:id="610"/>
      <w:bookmarkEnd w:id="611"/>
      <w:bookmarkEnd w:id="612"/>
    </w:p>
    <w:p w14:paraId="38420F8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本合同中的下列术语应解释为：</w:t>
      </w:r>
    </w:p>
    <w:p w14:paraId="619E8FD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 “合同”指甲乙双方签署的、载明的甲乙双方权利义务的协议，包括所有的附件、附录和上述文件所提到的构成合同的所有文件。</w:t>
      </w:r>
    </w:p>
    <w:p w14:paraId="3C6E9F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 “合同金额”指根据合同规定，乙方在正确地完全履行合同义务后甲方应付给乙方的价款。</w:t>
      </w:r>
    </w:p>
    <w:p w14:paraId="04D7E5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 “合同条款”指本合同条款。</w:t>
      </w:r>
    </w:p>
    <w:p w14:paraId="162B53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 “货物”指乙方根据合同约定须向甲方提供的一切产品、设备、机械、仪表、备件等，包括辅助工具、使用手册等相关资料。</w:t>
      </w:r>
    </w:p>
    <w:p w14:paraId="7521B3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 “服务”指根据本合同规定乙方承担与供货有关的辅助服务，如运输、保险及安装、调试、提供技术援助、培训和合同中规定乙方应承担的其它义务。</w:t>
      </w:r>
    </w:p>
    <w:p w14:paraId="0985E2B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1.6 “甲方”指购买货物和服务的单位。</w:t>
      </w:r>
    </w:p>
    <w:p w14:paraId="4A07704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 “乙方”指提供本合同条款下货物和服务的公司或其他实体。</w:t>
      </w:r>
    </w:p>
    <w:p w14:paraId="27782B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 “现场”指合同规定货物将要运至和安装的地点。</w:t>
      </w:r>
    </w:p>
    <w:p w14:paraId="12025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 “验收”指合同双方依据强制性的国家技术质量规范和合同约定，确认合同条款下的货物符合合同规定的活动。</w:t>
      </w:r>
    </w:p>
    <w:p w14:paraId="2FE96DB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1.10原厂商：产品制造商或其在中国境内设立的办事或技术服务机构。除另有说明外，本合同文件所述的制造商、产品制造商、制造厂家、产品制造厂家均为原厂商。</w:t>
      </w:r>
    </w:p>
    <w:p w14:paraId="1DED2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 原产地：指产品的生产地，或提供服务的来源地。</w:t>
      </w:r>
    </w:p>
    <w:p w14:paraId="04791CB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 “工作日”指国家法定工作日，“天”指日历天数。</w:t>
      </w:r>
    </w:p>
    <w:p w14:paraId="2316DC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3" w:name="_Toc9343_WPSOffice_Level2"/>
      <w:bookmarkStart w:id="614" w:name="_Toc21237_WPSOffice_Level2"/>
      <w:bookmarkStart w:id="615" w:name="_Toc20210_WPSOffice_Level2"/>
      <w:r>
        <w:rPr>
          <w:rFonts w:hint="eastAsia" w:ascii="宋体" w:hAnsi="宋体" w:eastAsia="宋体" w:cs="宋体"/>
          <w:bCs/>
          <w:sz w:val="24"/>
          <w:szCs w:val="24"/>
        </w:rPr>
        <w:t>2.技术规格要求</w:t>
      </w:r>
      <w:bookmarkEnd w:id="613"/>
      <w:bookmarkEnd w:id="614"/>
      <w:bookmarkEnd w:id="615"/>
    </w:p>
    <w:p w14:paraId="6C9266C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2.1 本合同条款下提交货物的技术规格要求应等于或优于谈判文件、谈判响应文件技术规格要求。若技术规格要求中无相应规定，则应符合相应的国家有关部门最新颁布的相应正式标准。</w:t>
      </w:r>
    </w:p>
    <w:p w14:paraId="4A70D9F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 乙方应向甲方提供货物及服务有关的标准的中文文本。</w:t>
      </w:r>
    </w:p>
    <w:p w14:paraId="4BB30B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2.3 除非技术规范中另有规定，计量单位均采用中华人民共和国法定计量单位。</w:t>
      </w:r>
    </w:p>
    <w:p w14:paraId="3B606F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6" w:name="_Toc23823_WPSOffice_Level2"/>
      <w:bookmarkStart w:id="617" w:name="_Toc415_WPSOffice_Level2"/>
      <w:bookmarkStart w:id="618" w:name="_Toc26773_WPSOffice_Level2"/>
      <w:r>
        <w:rPr>
          <w:rFonts w:hint="eastAsia" w:ascii="宋体" w:hAnsi="宋体" w:eastAsia="宋体" w:cs="宋体"/>
          <w:bCs/>
          <w:sz w:val="24"/>
          <w:szCs w:val="24"/>
        </w:rPr>
        <w:t>3.合同范围</w:t>
      </w:r>
      <w:bookmarkEnd w:id="616"/>
      <w:bookmarkEnd w:id="617"/>
      <w:bookmarkEnd w:id="618"/>
    </w:p>
    <w:p w14:paraId="1A4C59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717F6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3.2 乙方应负责培训甲方的技术人员。</w:t>
      </w:r>
    </w:p>
    <w:p w14:paraId="06F598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AE446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9" w:name="_Toc22989_WPSOffice_Level2"/>
      <w:bookmarkStart w:id="620" w:name="_Toc1426_WPSOffice_Level2"/>
      <w:bookmarkStart w:id="621" w:name="_Toc27544_WPSOffice_Level2"/>
      <w:r>
        <w:rPr>
          <w:rFonts w:hint="eastAsia" w:ascii="宋体" w:hAnsi="宋体" w:eastAsia="宋体" w:cs="宋体"/>
          <w:bCs/>
          <w:sz w:val="24"/>
          <w:szCs w:val="24"/>
        </w:rPr>
        <w:t>4.合同文件和资料</w:t>
      </w:r>
      <w:bookmarkEnd w:id="619"/>
      <w:bookmarkEnd w:id="620"/>
      <w:bookmarkEnd w:id="621"/>
    </w:p>
    <w:p w14:paraId="20F65FB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4.1乙方在提供仪器设备时应同时提供中文版相关的技术资料，如目录索引、图纸、操作手册、使用指南、维修指南、服务手册等。</w:t>
      </w:r>
    </w:p>
    <w:p w14:paraId="403F2BC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68F8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2" w:name="_Toc14802_WPSOffice_Level2"/>
      <w:bookmarkStart w:id="623" w:name="_Toc23784_WPSOffice_Level2"/>
      <w:bookmarkStart w:id="624" w:name="_Toc18584_WPSOffice_Level2"/>
      <w:r>
        <w:rPr>
          <w:rFonts w:hint="eastAsia" w:ascii="宋体" w:hAnsi="宋体" w:eastAsia="宋体" w:cs="宋体"/>
          <w:bCs/>
          <w:sz w:val="24"/>
          <w:szCs w:val="24"/>
        </w:rPr>
        <w:t>5.知识产权</w:t>
      </w:r>
      <w:bookmarkEnd w:id="622"/>
      <w:bookmarkEnd w:id="623"/>
      <w:bookmarkEnd w:id="624"/>
    </w:p>
    <w:p w14:paraId="48534E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5.1乙方应保证甲方在使用该货物或其任何一部分时不受第三方提出的侵犯专利权、 著作权、商标权和工业设计权等的起诉。</w:t>
      </w:r>
    </w:p>
    <w:p w14:paraId="2C5BC13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5.2任何第三方提出侵权指控，乙方须与第三方交涉并承担由此产生的一切责任、费用和经济赔偿。</w:t>
      </w:r>
    </w:p>
    <w:p w14:paraId="22C1EF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5.3双方应共同遵守国家有关版权、专利、商标等知识产权方面的法律规定，相互尊重对方的知识产权，对本合同内容、对方的技术秘密和商业秘密负有保密责任。如有违反，违约方负相关法律责任。</w:t>
      </w:r>
    </w:p>
    <w:p w14:paraId="4507C97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5.4在本合同生效时已经存在并为各方合法拥有或使用的所有技术、资料和信息的知识产权，仍应属于其各自的原权利人所有或享有，另有约定的除外。</w:t>
      </w:r>
    </w:p>
    <w:p w14:paraId="76BC53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382B2D6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5" w:name="_Toc25026_WPSOffice_Level2"/>
      <w:bookmarkStart w:id="626" w:name="_Toc13395_WPSOffice_Level2"/>
      <w:bookmarkStart w:id="627" w:name="_Toc22229_WPSOffice_Level2"/>
      <w:r>
        <w:rPr>
          <w:rFonts w:hint="eastAsia" w:ascii="宋体" w:hAnsi="宋体" w:eastAsia="宋体" w:cs="宋体"/>
          <w:bCs/>
          <w:sz w:val="24"/>
          <w:szCs w:val="24"/>
        </w:rPr>
        <w:t>6.保密</w:t>
      </w:r>
      <w:bookmarkEnd w:id="625"/>
      <w:bookmarkEnd w:id="626"/>
      <w:bookmarkEnd w:id="627"/>
    </w:p>
    <w:p w14:paraId="70974D4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4F597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6.2保密信息指任何一方因履行本合同所知悉的任何以口头、书面、图表或电子形式存在的对方信息，具体包括：</w:t>
      </w:r>
    </w:p>
    <w:p w14:paraId="3D303C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6.2.1任何涉及对方过去、现在或将来的商业计划、规章制度、操作规程、处理手段、财务信息；</w:t>
      </w:r>
    </w:p>
    <w:p w14:paraId="3075E9E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6.2.2任何对方的技术措施、技术方案、软件应用及开发，硬件设备的品种、质量、数量、品牌等；</w:t>
      </w:r>
    </w:p>
    <w:p w14:paraId="3D0A53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6.2.3任何对方的技术秘密或专有知识、文件 、报告、数据、客户软件、流程图、数据库、发明、知识、贸易秘密。</w:t>
      </w:r>
    </w:p>
    <w:p w14:paraId="1C8FCD1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6.3乙方应根据甲方的要求签署相应的保密协议，保密协议与本条款存在不一致的，以保密协议为准。</w:t>
      </w:r>
    </w:p>
    <w:p w14:paraId="634204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8" w:name="_Toc6752_WPSOffice_Level2"/>
      <w:bookmarkStart w:id="629" w:name="_Toc12645_WPSOffice_Level2"/>
      <w:bookmarkStart w:id="630" w:name="_Toc23853_WPSOffice_Level2"/>
      <w:r>
        <w:rPr>
          <w:rFonts w:hint="eastAsia" w:ascii="宋体" w:hAnsi="宋体" w:eastAsia="宋体" w:cs="宋体"/>
          <w:bCs/>
          <w:sz w:val="24"/>
          <w:szCs w:val="24"/>
        </w:rPr>
        <w:t>7. 质量保证</w:t>
      </w:r>
      <w:bookmarkEnd w:id="628"/>
      <w:bookmarkEnd w:id="629"/>
      <w:bookmarkEnd w:id="630"/>
    </w:p>
    <w:p w14:paraId="1D06C9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1" w:name="_Toc8450_WPSOffice_Level3"/>
      <w:bookmarkStart w:id="632" w:name="_Toc26729_WPSOffice_Level3"/>
      <w:r>
        <w:rPr>
          <w:rFonts w:hint="eastAsia" w:ascii="宋体" w:hAnsi="宋体" w:eastAsia="宋体" w:cs="宋体"/>
          <w:bCs/>
          <w:sz w:val="24"/>
          <w:szCs w:val="24"/>
        </w:rPr>
        <w:t>7.1货物质量保证</w:t>
      </w:r>
      <w:bookmarkEnd w:id="631"/>
      <w:bookmarkEnd w:id="632"/>
    </w:p>
    <w:p w14:paraId="089213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7.1.1乙方必须保证货物是全新、未使用过的，并完全符合强制性的国家技术质量规范和合同规定的质量、规格、性能和技术规范等的要求。</w:t>
      </w:r>
    </w:p>
    <w:p w14:paraId="2E5677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E29AC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F35C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3A708A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7.1.5 合同条款下货物的质量保证期自货物通过最终验收起算，合同另行规定除外。</w:t>
      </w:r>
    </w:p>
    <w:p w14:paraId="1A3CAF1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3" w:name="_Toc9593_WPSOffice_Level3"/>
      <w:bookmarkStart w:id="634" w:name="_Toc18945_WPSOffice_Level3"/>
      <w:r>
        <w:rPr>
          <w:rFonts w:hint="eastAsia" w:ascii="宋体" w:hAnsi="宋体" w:eastAsia="宋体" w:cs="宋体"/>
          <w:bCs/>
          <w:sz w:val="24"/>
          <w:szCs w:val="24"/>
        </w:rPr>
        <w:t>7.2辅助服务质量保证</w:t>
      </w:r>
      <w:bookmarkEnd w:id="633"/>
      <w:bookmarkEnd w:id="634"/>
    </w:p>
    <w:p w14:paraId="6D64CA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E0D31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7.2.2乙方应保证合同条款下所提供的服务包括培训、安装指导、单机调试、系统联调和试验等，按合同规定方式进行，并保证不存在因乙方工作人员的过失、错误或疏忽而产生的缺陷。</w:t>
      </w:r>
    </w:p>
    <w:p w14:paraId="100D1B9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5" w:name="_Toc444_WPSOffice_Level2"/>
      <w:bookmarkStart w:id="636" w:name="_Toc19930_WPSOffice_Level2"/>
      <w:bookmarkStart w:id="637" w:name="_Toc16656_WPSOffice_Level2"/>
      <w:r>
        <w:rPr>
          <w:rFonts w:hint="eastAsia" w:ascii="宋体" w:hAnsi="宋体" w:eastAsia="宋体" w:cs="宋体"/>
          <w:bCs/>
          <w:sz w:val="24"/>
          <w:szCs w:val="24"/>
        </w:rPr>
        <w:t>8.包装要求</w:t>
      </w:r>
      <w:bookmarkEnd w:id="635"/>
      <w:bookmarkEnd w:id="636"/>
      <w:bookmarkEnd w:id="637"/>
    </w:p>
    <w:p w14:paraId="1613939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8.1 除合同另有约定外，乙方提供的全部货物，均应采用本行业通用的方式进行包装，且该包装应符合国家有关包装的法律、法规的规定。</w:t>
      </w:r>
    </w:p>
    <w:p w14:paraId="59385E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8.2 包装应适应于远距离运输，并有良好的防潮、防震、防锈和防粗暴装卸等保护措施，以确保货物安全运抵现场。由于包装不善所引起的货物锈蚀、损坏和损失均由乙方承担。</w:t>
      </w:r>
    </w:p>
    <w:p w14:paraId="34B524F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乙方应提供货物运至合同规定的最终目的地所需要的包装，以防止货物在转运中损坏或变质。</w:t>
      </w:r>
    </w:p>
    <w:p w14:paraId="613A6F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8.3 乙方所提供的货物包装均为出厂时原包装。</w:t>
      </w:r>
    </w:p>
    <w:p w14:paraId="4C3E07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8.4 乙方所提供货物必须附有质量合格证，装箱清单，主机、附件、各种零部件和消耗品，有清楚的与装箱单相对应的名称和编号。</w:t>
      </w:r>
    </w:p>
    <w:p w14:paraId="23B8D8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8.5 货物运输中的运输费用和保险费用均由乙方承担。运输过程中的一切损失、损坏均由乙方负责。</w:t>
      </w:r>
    </w:p>
    <w:p w14:paraId="1C949A3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8" w:name="_Toc15918_WPSOffice_Level2"/>
      <w:bookmarkStart w:id="639" w:name="_Toc9360_WPSOffice_Level2"/>
      <w:bookmarkStart w:id="640" w:name="_Toc19342_WPSOffice_Level2"/>
      <w:r>
        <w:rPr>
          <w:rFonts w:hint="eastAsia" w:ascii="宋体" w:hAnsi="宋体" w:eastAsia="宋体" w:cs="宋体"/>
          <w:bCs/>
          <w:sz w:val="24"/>
          <w:szCs w:val="24"/>
        </w:rPr>
        <w:t>9. 价格</w:t>
      </w:r>
      <w:bookmarkEnd w:id="638"/>
      <w:bookmarkEnd w:id="639"/>
      <w:bookmarkEnd w:id="640"/>
    </w:p>
    <w:p w14:paraId="32F4EC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02A396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9.2 本合同价格为固定价格，包括了乙方履行合同全过程产生的所有成本和费用以及乙方应承担的一切税费。</w:t>
      </w:r>
    </w:p>
    <w:p w14:paraId="586203D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9.3检验费用 </w:t>
      </w:r>
    </w:p>
    <w:p w14:paraId="2F9CCE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9.3.1 乙方必须负担本条款下属于乙方负责的检验、测试、调试、试运行和验收的所有费用，并负责乙方派往买方组织的检验、测试和验收人员的所有费用。</w:t>
      </w:r>
    </w:p>
    <w:p w14:paraId="2901165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9.3.2 甲方按合同计划参加在乙方工厂所在地检验、测试和验收的费用全部由乙方负责并已包含在合同总价中。</w:t>
      </w:r>
    </w:p>
    <w:p w14:paraId="182E071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9.3.3甲方检验人员已到卖方所在地，测试无法依照合同进行， 而引起甲方人员延长逗留时间，所有由此产生的包括甲方人员在内的直接费用及成本由乙方承担。 </w:t>
      </w:r>
    </w:p>
    <w:p w14:paraId="4ABABC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1" w:name="_Toc13355_WPSOffice_Level2"/>
      <w:bookmarkStart w:id="642" w:name="_Toc21379_WPSOffice_Level2"/>
      <w:bookmarkStart w:id="643" w:name="_Toc29082_WPSOffice_Level2"/>
      <w:r>
        <w:rPr>
          <w:rFonts w:hint="eastAsia" w:ascii="宋体" w:hAnsi="宋体" w:eastAsia="宋体" w:cs="宋体"/>
          <w:bCs/>
          <w:sz w:val="24"/>
          <w:szCs w:val="24"/>
        </w:rPr>
        <w:t>10.交货方式及交货日期</w:t>
      </w:r>
      <w:bookmarkEnd w:id="641"/>
      <w:bookmarkEnd w:id="642"/>
      <w:bookmarkEnd w:id="643"/>
    </w:p>
    <w:p w14:paraId="637DDA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交货方式：现场交货，乙方负责办理运输和保险，将货物运抵现场。</w:t>
      </w:r>
    </w:p>
    <w:p w14:paraId="28D25E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交货日期：所有货物运抵现场并经双方开箱验收合格之日。</w:t>
      </w:r>
    </w:p>
    <w:p w14:paraId="598F54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4" w:name="_Toc4905_WPSOffice_Level2"/>
      <w:bookmarkStart w:id="645" w:name="_Toc22184_WPSOffice_Level2"/>
      <w:bookmarkStart w:id="646" w:name="_Toc8711_WPSOffice_Level2"/>
      <w:r>
        <w:rPr>
          <w:rFonts w:hint="eastAsia" w:ascii="宋体" w:hAnsi="宋体" w:eastAsia="宋体" w:cs="宋体"/>
          <w:bCs/>
          <w:sz w:val="24"/>
          <w:szCs w:val="24"/>
        </w:rPr>
        <w:t>11.检验和验收</w:t>
      </w:r>
      <w:bookmarkEnd w:id="644"/>
      <w:bookmarkEnd w:id="645"/>
      <w:bookmarkEnd w:id="646"/>
    </w:p>
    <w:p w14:paraId="7B67036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7" w:name="_Toc11588_WPSOffice_Level3"/>
      <w:bookmarkStart w:id="648" w:name="_Toc7309_WPSOffice_Level3"/>
      <w:r>
        <w:rPr>
          <w:rFonts w:hint="eastAsia" w:ascii="宋体" w:hAnsi="宋体" w:eastAsia="宋体" w:cs="宋体"/>
          <w:bCs/>
          <w:sz w:val="24"/>
          <w:szCs w:val="24"/>
        </w:rPr>
        <w:t>11.1开箱验收</w:t>
      </w:r>
      <w:bookmarkEnd w:id="647"/>
      <w:bookmarkEnd w:id="648"/>
    </w:p>
    <w:p w14:paraId="5F29C3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11.1.1货物运抵现场后，双方应及时开箱验收，并制作验收记录，以确认与本合同约定的数量、型号等是否一致。</w:t>
      </w:r>
    </w:p>
    <w:p w14:paraId="724C59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11.1.2 乙方应在交货前对货物的质量、规格、数量等进行详细而全面的检验，并出具证明货物符合合同规定的文件。该文件将作为申请付款单据的一部分，但有关质量、规格、数量的检验不应视为最终检验。</w:t>
      </w:r>
    </w:p>
    <w:p w14:paraId="27D1911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11.1.3 开箱验收中如发现货物的数量、规格与合同约定不符，甲方有权拒收货物，乙方应及时按甲方要求免费对拒收货物采取更换或其他必要的补救措施，直至开箱验收合格，方视为乙方完成交货。</w:t>
      </w:r>
    </w:p>
    <w:p w14:paraId="19CE21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9" w:name="_Toc26974_WPSOffice_Level3"/>
      <w:bookmarkStart w:id="650" w:name="_Toc13911_WPSOffice_Level3"/>
      <w:r>
        <w:rPr>
          <w:rFonts w:hint="eastAsia" w:ascii="宋体" w:hAnsi="宋体" w:eastAsia="宋体" w:cs="宋体"/>
          <w:bCs/>
          <w:sz w:val="24"/>
          <w:szCs w:val="24"/>
        </w:rPr>
        <w:t>11.2  检验验收</w:t>
      </w:r>
      <w:bookmarkEnd w:id="649"/>
      <w:bookmarkEnd w:id="650"/>
    </w:p>
    <w:p w14:paraId="17347DE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11.2.1 交货完成后，乙方应及时组装、调试、试运行，按照合同专用条款规定的试运行完成后，双方及时组织对货物检验验收。合同双方均须派人参加合同要求双方参加的试验、检验。</w:t>
      </w:r>
    </w:p>
    <w:p w14:paraId="781D9FC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11.2.2 在具体实施合同规定的检验验收之前，乙方需提前提交相应的测试计划（包括测试程序、测试内容和检验标准、试验时间安排等）供甲方确认。</w:t>
      </w:r>
    </w:p>
    <w:p w14:paraId="4F343C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11.2.3  除需甲方确认的试验验收外，乙方还应对所有检验验收测试的结果、步骤、原始数据等作妥善记录。如甲方要求，乙方应提供这些记录给买方。</w:t>
      </w:r>
    </w:p>
    <w:p w14:paraId="2145C7F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11.2.4  检验测试出现全部或部分未达到本合同所约定的技术指标，甲方有权选择下列任一处理方式：</w:t>
      </w:r>
    </w:p>
    <w:p w14:paraId="4638EC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a.重新测试直至合格为止；</w:t>
      </w:r>
    </w:p>
    <w:p w14:paraId="0B3558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b.要求乙方对货物进行免费更换，然后重新测试直至合格为止；</w:t>
      </w:r>
    </w:p>
    <w:p w14:paraId="1EFAFB7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无论选择何种方式，甲方因此而发生的因卖方原因引起的所有费用均由乙方负担。</w:t>
      </w:r>
    </w:p>
    <w:p w14:paraId="3F5EB3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1" w:name="_Toc1685_WPSOffice_Level3"/>
      <w:bookmarkStart w:id="652" w:name="_Toc5393_WPSOffice_Level3"/>
      <w:r>
        <w:rPr>
          <w:rFonts w:hint="eastAsia" w:ascii="宋体" w:hAnsi="宋体" w:eastAsia="宋体" w:cs="宋体"/>
          <w:bCs/>
          <w:sz w:val="24"/>
          <w:szCs w:val="24"/>
        </w:rPr>
        <w:t>11.3  使用过程检验</w:t>
      </w:r>
      <w:bookmarkEnd w:id="651"/>
      <w:bookmarkEnd w:id="652"/>
    </w:p>
    <w:p w14:paraId="46DC23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7233015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11.3.2如果合同双方对乙方提供的上述试验结果报告的解释有分歧，双方须于出现分歧后10天内给对方声明，以陈述己方的观点。声明须附有关证据。分歧应通过协商解决。</w:t>
      </w:r>
    </w:p>
    <w:p w14:paraId="3B8602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3" w:name="_Toc17827_WPSOffice_Level2"/>
      <w:bookmarkStart w:id="654" w:name="_Toc10883_WPSOffice_Level2"/>
      <w:bookmarkStart w:id="655" w:name="_Toc17387_WPSOffice_Level2"/>
      <w:r>
        <w:rPr>
          <w:rFonts w:hint="eastAsia" w:ascii="宋体" w:hAnsi="宋体" w:eastAsia="宋体" w:cs="宋体"/>
          <w:bCs/>
          <w:sz w:val="24"/>
          <w:szCs w:val="24"/>
        </w:rPr>
        <w:t>12.付款条件</w:t>
      </w:r>
      <w:bookmarkEnd w:id="653"/>
      <w:bookmarkEnd w:id="654"/>
      <w:bookmarkEnd w:id="655"/>
    </w:p>
    <w:p w14:paraId="5C828D5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本合同条款下的付款方法和条件在“合同专用条款”中具体规定。</w:t>
      </w:r>
    </w:p>
    <w:p w14:paraId="2DE71EE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6" w:name="_Toc8681_WPSOffice_Level2"/>
      <w:bookmarkStart w:id="657" w:name="_Toc24025_WPSOffice_Level2"/>
      <w:bookmarkStart w:id="658" w:name="_Toc25610_WPSOffice_Level2"/>
      <w:r>
        <w:rPr>
          <w:rFonts w:hint="eastAsia" w:ascii="宋体" w:hAnsi="宋体" w:eastAsia="宋体" w:cs="宋体"/>
          <w:bCs/>
          <w:sz w:val="24"/>
          <w:szCs w:val="24"/>
        </w:rPr>
        <w:t>13.履约保证金</w:t>
      </w:r>
      <w:bookmarkEnd w:id="656"/>
      <w:bookmarkEnd w:id="657"/>
      <w:bookmarkEnd w:id="658"/>
    </w:p>
    <w:p w14:paraId="1DB529E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13.1乙方应在合同签订后，按合同专用条款的约定提交履约保证金。</w:t>
      </w:r>
    </w:p>
    <w:p w14:paraId="3CCB79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13.2履约保证金用于补偿甲方因卖方不能履行其合同义务而蒙受的损失。</w:t>
      </w:r>
    </w:p>
    <w:p w14:paraId="09246D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13.3履约保证金应使用本合同货币，按下述方式之一提交（谈判文件中另有约定的除外）：</w:t>
      </w:r>
    </w:p>
    <w:p w14:paraId="43BEC8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13.3.1甲方可接受的在中华人民共和国注册和营业的银行出具的履约保函； </w:t>
      </w:r>
    </w:p>
    <w:p w14:paraId="5394E4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13.3.2 应当以支票、汇票、本票或者金融机构、担保机构出具的保函等非现金形式提交。</w:t>
      </w:r>
    </w:p>
    <w:p w14:paraId="038F61A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13.4乙方未能按合同规定履行其义务，甲方有权从履约保证金中取得补偿。货物验收合格后，甲方将履约保证金退还乙方或转为质量保证金。</w:t>
      </w:r>
    </w:p>
    <w:p w14:paraId="555FF8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9" w:name="_Toc13321_WPSOffice_Level2"/>
      <w:bookmarkStart w:id="660" w:name="_Toc21607_WPSOffice_Level2"/>
      <w:bookmarkStart w:id="661" w:name="_Toc2215_WPSOffice_Level2"/>
      <w:r>
        <w:rPr>
          <w:rFonts w:hint="eastAsia" w:ascii="宋体" w:hAnsi="宋体" w:eastAsia="宋体" w:cs="宋体"/>
          <w:bCs/>
          <w:sz w:val="24"/>
          <w:szCs w:val="24"/>
        </w:rPr>
        <w:t>14.索赔</w:t>
      </w:r>
      <w:bookmarkEnd w:id="659"/>
      <w:bookmarkEnd w:id="660"/>
      <w:bookmarkEnd w:id="661"/>
    </w:p>
    <w:p w14:paraId="7B0EB8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BAEDB4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14.2在履约保证期和检验期内，乙方对甲方提出的索赔负有责任，乙方应按照甲方同意的下列一种或多种方式解决索赔事宜：</w:t>
      </w:r>
    </w:p>
    <w:p w14:paraId="31FD5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B04D0E6">
      <w:pPr>
        <w:widowControl w:val="0"/>
        <w:wordWrap/>
        <w:adjustRightInd w:val="0"/>
        <w:snapToGrid w:val="0"/>
        <w:spacing w:line="560" w:lineRule="exact"/>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14.2.2根据货物低劣程度、损坏程度以及甲方所遭受损失的数额，经甲乙双方商定降低货物的价格，或由有资质的中介机构评估，以降低后的价格或评估价格为准。</w:t>
      </w:r>
    </w:p>
    <w:p w14:paraId="217E56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18454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14.3乙方收到甲方发出的索赔通知之日起5个工作日内未作答复的，甲方可从合同款或履约保证金中扣回索赔金额，如金额不足以补偿索赔金额，乙方应补足差额部分。</w:t>
      </w:r>
    </w:p>
    <w:p w14:paraId="430DD41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2" w:name="_Toc6747_WPSOffice_Level2"/>
      <w:bookmarkStart w:id="663" w:name="_Toc17056_WPSOffice_Level2"/>
      <w:bookmarkStart w:id="664" w:name="_Toc14292_WPSOffice_Level2"/>
      <w:r>
        <w:rPr>
          <w:rFonts w:hint="eastAsia" w:ascii="宋体" w:hAnsi="宋体" w:eastAsia="宋体" w:cs="宋体"/>
          <w:bCs/>
          <w:sz w:val="24"/>
          <w:szCs w:val="24"/>
        </w:rPr>
        <w:t>15.迟延交货</w:t>
      </w:r>
      <w:bookmarkEnd w:id="662"/>
      <w:bookmarkEnd w:id="663"/>
      <w:bookmarkEnd w:id="664"/>
    </w:p>
    <w:p w14:paraId="16ACA7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15.1 乙方应按照合同约定的时间交货和提供服务。</w:t>
      </w:r>
    </w:p>
    <w:p w14:paraId="01DF510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15.2 除不可抗力因素外，乙方迟延交货，甲方有权提出违约损失赔偿或解除合同。</w:t>
      </w:r>
    </w:p>
    <w:p w14:paraId="0D8D138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15.3在履行合同过程中，乙方遇到不能按时交货和提供服务的情况，应及时以书面形式将不能按时交货的理由、预期延误时间通知甲方。甲方收到乙方通知后，认为其理由正当的，可酌情延长交货时间。</w:t>
      </w:r>
    </w:p>
    <w:p w14:paraId="279E1D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5" w:name="_Toc10642_WPSOffice_Level2"/>
      <w:bookmarkStart w:id="666" w:name="_Toc15350_WPSOffice_Level2"/>
      <w:bookmarkStart w:id="667" w:name="_Toc32293_WPSOffice_Level2"/>
      <w:r>
        <w:rPr>
          <w:rFonts w:hint="eastAsia" w:ascii="宋体" w:hAnsi="宋体" w:eastAsia="宋体" w:cs="宋体"/>
          <w:bCs/>
          <w:sz w:val="24"/>
          <w:szCs w:val="24"/>
        </w:rPr>
        <w:t>16.违约赔偿</w:t>
      </w:r>
      <w:bookmarkEnd w:id="665"/>
      <w:bookmarkEnd w:id="666"/>
      <w:bookmarkEnd w:id="667"/>
    </w:p>
    <w:p w14:paraId="084A92E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除不可抗力因素外，乙方没有按照合同规定的时间交货和提供服务，甲方可要求乙方支付违约金。违约金每日按合同总价款的千分之五计收。</w:t>
      </w:r>
    </w:p>
    <w:p w14:paraId="52065BB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8" w:name="_Toc13101_WPSOffice_Level2"/>
      <w:bookmarkStart w:id="669" w:name="_Toc132_WPSOffice_Level2"/>
      <w:bookmarkStart w:id="670" w:name="_Toc32484_WPSOffice_Level2"/>
      <w:r>
        <w:rPr>
          <w:rFonts w:hint="eastAsia" w:ascii="宋体" w:hAnsi="宋体" w:eastAsia="宋体" w:cs="宋体"/>
          <w:bCs/>
          <w:sz w:val="24"/>
          <w:szCs w:val="24"/>
        </w:rPr>
        <w:t>17.不可抗力</w:t>
      </w:r>
      <w:bookmarkEnd w:id="668"/>
      <w:bookmarkEnd w:id="669"/>
      <w:bookmarkEnd w:id="670"/>
    </w:p>
    <w:p w14:paraId="5DAD08A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17.1.双方中任何一方遭遇法律规定的不可抗力，致使合同履行受阻时，履行合同的期限应予延长，延长的期限应相当于不可抗力所影响的时间。</w:t>
      </w:r>
    </w:p>
    <w:p w14:paraId="0677BAA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17.2受事故影响的一方应在不可抗力的事故发生后以书面形式通知另一方。</w:t>
      </w:r>
    </w:p>
    <w:p w14:paraId="7DC60F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17.3不可抗力使合同的某些内容有变更必要的， 双方应通过协商达成进一步履行合同的协议，因不可抗力致使合同不能履行的，合同终止。</w:t>
      </w:r>
    </w:p>
    <w:p w14:paraId="5D3876F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1" w:name="_Toc17980_WPSOffice_Level2"/>
      <w:bookmarkStart w:id="672" w:name="_Toc17666_WPSOffice_Level2"/>
      <w:bookmarkStart w:id="673" w:name="_Toc27502_WPSOffice_Level2"/>
      <w:r>
        <w:rPr>
          <w:rFonts w:hint="eastAsia" w:ascii="宋体" w:hAnsi="宋体" w:eastAsia="宋体" w:cs="宋体"/>
          <w:bCs/>
          <w:sz w:val="24"/>
          <w:szCs w:val="24"/>
        </w:rPr>
        <w:t>18.税费</w:t>
      </w:r>
      <w:bookmarkEnd w:id="671"/>
      <w:bookmarkEnd w:id="672"/>
      <w:bookmarkEnd w:id="673"/>
    </w:p>
    <w:p w14:paraId="125B521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与本合同有关的一切税费均由乙方承担。</w:t>
      </w:r>
    </w:p>
    <w:p w14:paraId="6AC865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4" w:name="_Toc27070_WPSOffice_Level2"/>
      <w:bookmarkStart w:id="675" w:name="_Toc16036_WPSOffice_Level2"/>
      <w:bookmarkStart w:id="676" w:name="_Toc1449_WPSOffice_Level2"/>
      <w:r>
        <w:rPr>
          <w:rFonts w:hint="eastAsia" w:ascii="宋体" w:hAnsi="宋体" w:eastAsia="宋体" w:cs="宋体"/>
          <w:bCs/>
          <w:sz w:val="24"/>
          <w:szCs w:val="24"/>
        </w:rPr>
        <w:t>19.合同争议的解决</w:t>
      </w:r>
      <w:bookmarkEnd w:id="674"/>
      <w:bookmarkEnd w:id="675"/>
      <w:bookmarkEnd w:id="676"/>
    </w:p>
    <w:p w14:paraId="4D4B35B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19.1甲方和乙方由于本合同的履行而发生任何争议时，双方可先通过协商解决。</w:t>
      </w:r>
    </w:p>
    <w:p w14:paraId="773461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19.2任何一方不愿通过协商或通过协商仍不能解决争议，则双方中任何一方均应向甲方所在地人民法院起诉。</w:t>
      </w:r>
    </w:p>
    <w:p w14:paraId="585A1BD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7" w:name="_Toc1645_WPSOffice_Level2"/>
      <w:bookmarkStart w:id="678" w:name="_Toc25678_WPSOffice_Level2"/>
      <w:bookmarkStart w:id="679" w:name="_Toc4114_WPSOffice_Level2"/>
      <w:r>
        <w:rPr>
          <w:rFonts w:hint="eastAsia" w:ascii="宋体" w:hAnsi="宋体" w:eastAsia="宋体" w:cs="宋体"/>
          <w:bCs/>
          <w:sz w:val="24"/>
          <w:szCs w:val="24"/>
        </w:rPr>
        <w:t>20.违约解除合同</w:t>
      </w:r>
      <w:bookmarkEnd w:id="677"/>
      <w:bookmarkEnd w:id="678"/>
      <w:bookmarkEnd w:id="679"/>
    </w:p>
    <w:p w14:paraId="5046B03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20.1出现下列情形之一的，视为乙方违约。甲方可向乙方发出书面通知，部分或全部终止合同，同时保留向乙方索赔的权利。</w:t>
      </w:r>
    </w:p>
    <w:p w14:paraId="4403AA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20.1.1乙方未能在合同规定的限期或甲方同意延长的限期内，提供全部或部分货物的； </w:t>
      </w:r>
    </w:p>
    <w:p w14:paraId="1222B1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20.1.2乙方未能履行合同规定的其它主要义务的；</w:t>
      </w:r>
    </w:p>
    <w:p w14:paraId="57676B0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20.1.3乙方在本合同履行过程中有欺诈行为的。</w:t>
      </w:r>
    </w:p>
    <w:p w14:paraId="676F04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138C83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0" w:name="_Toc4171_WPSOffice_Level2"/>
      <w:bookmarkStart w:id="681" w:name="_Toc26055_WPSOffice_Level2"/>
      <w:bookmarkStart w:id="682" w:name="_Toc3174_WPSOffice_Level2"/>
      <w:r>
        <w:rPr>
          <w:rFonts w:hint="eastAsia" w:ascii="宋体" w:hAnsi="宋体" w:eastAsia="宋体" w:cs="宋体"/>
          <w:bCs/>
          <w:sz w:val="24"/>
          <w:szCs w:val="24"/>
        </w:rPr>
        <w:t>21.破产终止合同</w:t>
      </w:r>
      <w:bookmarkEnd w:id="680"/>
      <w:bookmarkEnd w:id="681"/>
      <w:bookmarkEnd w:id="682"/>
    </w:p>
    <w:p w14:paraId="1855CBD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乙方破产而无法完全履行本合同义务时，甲方可以书面方式通知乙方终止合同而不给予乙方补偿。该合同的终止将不损害或不影响甲方已经采取或将要采取任何行动或补救措施的权利。</w:t>
      </w:r>
    </w:p>
    <w:p w14:paraId="4ACE44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3" w:name="_Toc6264_WPSOffice_Level2"/>
      <w:bookmarkStart w:id="684" w:name="_Toc12382_WPSOffice_Level2"/>
      <w:bookmarkStart w:id="685" w:name="_Toc17697_WPSOffice_Level2"/>
      <w:r>
        <w:rPr>
          <w:rFonts w:hint="eastAsia" w:ascii="宋体" w:hAnsi="宋体" w:eastAsia="宋体" w:cs="宋体"/>
          <w:bCs/>
          <w:sz w:val="24"/>
          <w:szCs w:val="24"/>
        </w:rPr>
        <w:t>22.转让和分包</w:t>
      </w:r>
      <w:bookmarkEnd w:id="683"/>
      <w:bookmarkEnd w:id="684"/>
      <w:bookmarkEnd w:id="685"/>
    </w:p>
    <w:p w14:paraId="1AA673B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22.1政府采购合同不能转让。</w:t>
      </w:r>
    </w:p>
    <w:p w14:paraId="6FA532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DAFB3E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6" w:name="_Toc30393_WPSOffice_Level2"/>
      <w:bookmarkStart w:id="687" w:name="_Toc2646_WPSOffice_Level2"/>
      <w:bookmarkStart w:id="688" w:name="_Toc32240_WPSOffice_Level2"/>
      <w:r>
        <w:rPr>
          <w:rFonts w:hint="eastAsia" w:ascii="宋体" w:hAnsi="宋体" w:eastAsia="宋体" w:cs="宋体"/>
          <w:bCs/>
          <w:sz w:val="24"/>
          <w:szCs w:val="24"/>
        </w:rPr>
        <w:t>23.合同修改</w:t>
      </w:r>
      <w:bookmarkEnd w:id="686"/>
      <w:bookmarkEnd w:id="687"/>
      <w:bookmarkEnd w:id="688"/>
    </w:p>
    <w:p w14:paraId="29C8DD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甲方和乙方都不得擅自变更本合同，但合同继续履行将损害国家和社会公共利益的除外。如必须对合同条款进行改动时，当事人双方须共同签署书面文件，做为合同的补充。</w:t>
      </w:r>
    </w:p>
    <w:p w14:paraId="60B7E47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9" w:name="_Toc20751_WPSOffice_Level2"/>
      <w:bookmarkStart w:id="690" w:name="_Toc17115_WPSOffice_Level2"/>
      <w:bookmarkStart w:id="691" w:name="_Toc11324_WPSOffice_Level2"/>
      <w:r>
        <w:rPr>
          <w:rFonts w:hint="eastAsia" w:ascii="宋体" w:hAnsi="宋体" w:eastAsia="宋体" w:cs="宋体"/>
          <w:bCs/>
          <w:sz w:val="24"/>
          <w:szCs w:val="24"/>
        </w:rPr>
        <w:t>24.通知</w:t>
      </w:r>
      <w:bookmarkEnd w:id="689"/>
      <w:bookmarkEnd w:id="690"/>
      <w:bookmarkEnd w:id="691"/>
    </w:p>
    <w:p w14:paraId="3CBA2D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本合同任何一方给另一方的通知，都应以书面形式发送，而另一方也应以书面形式确认并发送到对方明确的地址。</w:t>
      </w:r>
    </w:p>
    <w:p w14:paraId="1581311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2" w:name="_Toc11594_WPSOffice_Level2"/>
      <w:bookmarkStart w:id="693" w:name="_Toc15147_WPSOffice_Level2"/>
      <w:bookmarkStart w:id="694" w:name="_Toc11022_WPSOffice_Level2"/>
      <w:r>
        <w:rPr>
          <w:rFonts w:hint="eastAsia" w:ascii="宋体" w:hAnsi="宋体" w:eastAsia="宋体" w:cs="宋体"/>
          <w:bCs/>
          <w:sz w:val="24"/>
          <w:szCs w:val="24"/>
        </w:rPr>
        <w:t>25.计量单位</w:t>
      </w:r>
      <w:bookmarkEnd w:id="692"/>
      <w:bookmarkEnd w:id="693"/>
      <w:bookmarkEnd w:id="694"/>
    </w:p>
    <w:p w14:paraId="6233CD7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除技术规范中另有规定外，计量单位均使用国家法定计量单位。</w:t>
      </w:r>
    </w:p>
    <w:p w14:paraId="0FE012F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5" w:name="_Toc15506_WPSOffice_Level2"/>
      <w:bookmarkStart w:id="696" w:name="_Toc24346_WPSOffice_Level2"/>
      <w:bookmarkStart w:id="697" w:name="_Toc32417_WPSOffice_Level2"/>
      <w:r>
        <w:rPr>
          <w:rFonts w:hint="eastAsia" w:ascii="宋体" w:hAnsi="宋体" w:eastAsia="宋体" w:cs="宋体"/>
          <w:bCs/>
          <w:sz w:val="24"/>
          <w:szCs w:val="24"/>
        </w:rPr>
        <w:t>26.适用法律</w:t>
      </w:r>
      <w:bookmarkEnd w:id="695"/>
      <w:bookmarkEnd w:id="696"/>
      <w:bookmarkEnd w:id="697"/>
    </w:p>
    <w:p w14:paraId="16F4C5B7">
      <w:pPr>
        <w:widowControl w:val="0"/>
        <w:wordWrap/>
        <w:adjustRightInd w:val="0"/>
        <w:snapToGrid w:val="0"/>
        <w:spacing w:line="560" w:lineRule="exact"/>
        <w:ind w:firstLine="480" w:firstLineChars="200"/>
        <w:textAlignment w:val="auto"/>
        <w:outlineLvl w:val="9"/>
        <w:rPr>
          <w:rFonts w:hint="eastAsia" w:ascii="宋体" w:hAnsi="宋体" w:eastAsia="宋体" w:cs="宋体"/>
          <w:b/>
          <w:color w:val="000000"/>
          <w:sz w:val="24"/>
          <w:szCs w:val="24"/>
        </w:rPr>
      </w:pPr>
      <w:r>
        <w:rPr>
          <w:rFonts w:hint="eastAsia" w:ascii="宋体" w:hAnsi="宋体" w:eastAsia="宋体" w:cs="宋体"/>
          <w:bCs/>
          <w:sz w:val="24"/>
          <w:szCs w:val="24"/>
        </w:rPr>
        <w:t>本合同按照中华人民共和国的相关法律进行解释。</w:t>
      </w:r>
    </w:p>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CE7B">
    <w:pPr>
      <w:spacing w:before="1" w:line="218" w:lineRule="auto"/>
      <w:ind w:left="3719"/>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065C">
    <w:pPr>
      <w:pStyle w:val="1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2348865</wp:posOffset>
              </wp:positionH>
              <wp:positionV relativeFrom="paragraph">
                <wp:posOffset>752475</wp:posOffset>
              </wp:positionV>
              <wp:extent cx="1828800" cy="1828800"/>
              <wp:effectExtent l="0" t="0" r="0" b="0"/>
              <wp:wrapNone/>
              <wp:docPr id="14" name="Quad Arrow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Quad Arrow 1026" o:spid="_x0000_s1026" o:spt="202" type="#_x0000_t202" style="position:absolute;left:0pt;margin-left:184.95pt;margin-top:59.25pt;height:144pt;width:144pt;mso-position-horizontal-relative:margin;mso-wrap-style:none;z-index:251659264;mso-width-relative:page;mso-height-relative:page;" filled="f" stroked="f" coordsize="21600,21600" o:gfxdata="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VK83XAAAACwEAAA8AAAAAAAAAAQAgAAAAIgAAAGRycy9kb3ducmV2LnhtbFBL&#10;AQIUABQAAAAIAIdO4kCxi/F3vgEAAJ4DAAAOAAAAAAAAAAEAIAAAACYBAABkcnMvZTJvRG9jLnht&#10;bFBLBQYAAAAABgAGAFkBAABWBQAAAAA=&#10;">
              <v:fill on="f" focussize="0,0"/>
              <v:stroke on="f"/>
              <v:imagedata o:title=""/>
              <o:lock v:ext="edit" aspectratio="f"/>
              <v:textbox inset="0mm,0mm,0mm,0mm" style="mso-fit-shape-to-text:t;">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v:textbox>
            </v:shape>
          </w:pict>
        </mc:Fallback>
      </mc:AlternateContent>
    </w:r>
    <w:r>
      <w:rPr>
        <w:rFonts w:hint="eastAsia" w:eastAsiaTheme="minorEastAsia"/>
        <w:lang w:eastAsia="zh-CN"/>
      </w:rPr>
      <w:drawing>
        <wp:inline distT="0" distB="0" distL="114300" distR="114300">
          <wp:extent cx="6116320" cy="705485"/>
          <wp:effectExtent l="0" t="0" r="17780" b="18415"/>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1"/>
                  <a:stretch>
                    <a:fillRect/>
                  </a:stretch>
                </pic:blipFill>
                <pic:spPr>
                  <a:xfrm>
                    <a:off x="0" y="0"/>
                    <a:ext cx="6116320" cy="70548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86E8">
    <w:pPr>
      <w:pStyle w:val="13"/>
      <w:pBdr>
        <w:bottom w:val="none" w:color="auto" w:sz="0" w:space="1"/>
      </w:pBdr>
      <w:jc w:val="both"/>
    </w:pPr>
    <w:r>
      <w:rPr>
        <w:rFonts w:hint="eastAsia"/>
        <w:lang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-55245</wp:posOffset>
          </wp:positionV>
          <wp:extent cx="5572760" cy="406400"/>
          <wp:effectExtent l="0" t="0" r="8890" b="1270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5572760" cy="406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95444"/>
    <w:multiLevelType w:val="singleLevel"/>
    <w:tmpl w:val="E3F95444"/>
    <w:lvl w:ilvl="0" w:tentative="0">
      <w:start w:val="6"/>
      <w:numFmt w:val="decimal"/>
      <w:suff w:val="nothing"/>
      <w:lvlText w:val="%1、"/>
      <w:lvlJc w:val="left"/>
    </w:lvl>
  </w:abstractNum>
  <w:abstractNum w:abstractNumId="1">
    <w:nsid w:val="29FA35BE"/>
    <w:multiLevelType w:val="singleLevel"/>
    <w:tmpl w:val="29FA35BE"/>
    <w:lvl w:ilvl="0" w:tentative="0">
      <w:start w:val="1"/>
      <w:numFmt w:val="decimal"/>
      <w:lvlText w:val="%1."/>
      <w:lvlJc w:val="left"/>
      <w:pPr>
        <w:tabs>
          <w:tab w:val="left" w:pos="312"/>
        </w:tabs>
      </w:pPr>
    </w:lvl>
  </w:abstractNum>
  <w:abstractNum w:abstractNumId="2">
    <w:nsid w:val="40063688"/>
    <w:multiLevelType w:val="singleLevel"/>
    <w:tmpl w:val="40063688"/>
    <w:lvl w:ilvl="0" w:tentative="0">
      <w:start w:val="1"/>
      <w:numFmt w:val="decimal"/>
      <w:lvlText w:val="%1."/>
      <w:lvlJc w:val="left"/>
      <w:pPr>
        <w:tabs>
          <w:tab w:val="left" w:pos="312"/>
        </w:tabs>
      </w:pPr>
    </w:lvl>
  </w:abstractNum>
  <w:abstractNum w:abstractNumId="3">
    <w:nsid w:val="738E94EF"/>
    <w:multiLevelType w:val="singleLevel"/>
    <w:tmpl w:val="738E94E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B5E16"/>
    <w:rsid w:val="00F33129"/>
    <w:rsid w:val="0160084E"/>
    <w:rsid w:val="02637B1D"/>
    <w:rsid w:val="02664A99"/>
    <w:rsid w:val="02A9297E"/>
    <w:rsid w:val="03442F30"/>
    <w:rsid w:val="03A34D06"/>
    <w:rsid w:val="03C30E24"/>
    <w:rsid w:val="04474517"/>
    <w:rsid w:val="04DE17B1"/>
    <w:rsid w:val="05210BC9"/>
    <w:rsid w:val="055D0822"/>
    <w:rsid w:val="056913B5"/>
    <w:rsid w:val="05E12013"/>
    <w:rsid w:val="05F90B67"/>
    <w:rsid w:val="05FD3580"/>
    <w:rsid w:val="0624278B"/>
    <w:rsid w:val="06BE3768"/>
    <w:rsid w:val="06F2641E"/>
    <w:rsid w:val="07867AF5"/>
    <w:rsid w:val="0891104C"/>
    <w:rsid w:val="09C340D7"/>
    <w:rsid w:val="0A536242"/>
    <w:rsid w:val="0A801DDE"/>
    <w:rsid w:val="0AED28F4"/>
    <w:rsid w:val="0B2B4C7E"/>
    <w:rsid w:val="0BB54002"/>
    <w:rsid w:val="0C3B7C2D"/>
    <w:rsid w:val="0C661388"/>
    <w:rsid w:val="0CA87A52"/>
    <w:rsid w:val="0D256ADD"/>
    <w:rsid w:val="0D616E1A"/>
    <w:rsid w:val="0D711167"/>
    <w:rsid w:val="0DC739FA"/>
    <w:rsid w:val="0E783BEB"/>
    <w:rsid w:val="0E874D29"/>
    <w:rsid w:val="0E930373"/>
    <w:rsid w:val="0E9E0743"/>
    <w:rsid w:val="109055EB"/>
    <w:rsid w:val="10DE48CA"/>
    <w:rsid w:val="11436EE2"/>
    <w:rsid w:val="11FB2BE7"/>
    <w:rsid w:val="12400F8A"/>
    <w:rsid w:val="1289645E"/>
    <w:rsid w:val="13D2255B"/>
    <w:rsid w:val="14526E5B"/>
    <w:rsid w:val="1532490E"/>
    <w:rsid w:val="15E94352"/>
    <w:rsid w:val="160A7634"/>
    <w:rsid w:val="16932406"/>
    <w:rsid w:val="17B514B3"/>
    <w:rsid w:val="1802614F"/>
    <w:rsid w:val="181531AE"/>
    <w:rsid w:val="185A675A"/>
    <w:rsid w:val="18C211CC"/>
    <w:rsid w:val="19227628"/>
    <w:rsid w:val="195E3AA0"/>
    <w:rsid w:val="19D84214"/>
    <w:rsid w:val="19E10B40"/>
    <w:rsid w:val="1A977682"/>
    <w:rsid w:val="1ACC3E1B"/>
    <w:rsid w:val="1AD11780"/>
    <w:rsid w:val="1ADA2FC8"/>
    <w:rsid w:val="1B662DBF"/>
    <w:rsid w:val="1C2F5B31"/>
    <w:rsid w:val="1D7542D0"/>
    <w:rsid w:val="1D9A4A78"/>
    <w:rsid w:val="1E2F4669"/>
    <w:rsid w:val="1E662D79"/>
    <w:rsid w:val="1EED3CFC"/>
    <w:rsid w:val="1EF65831"/>
    <w:rsid w:val="1F1D4355"/>
    <w:rsid w:val="20525060"/>
    <w:rsid w:val="207F0C88"/>
    <w:rsid w:val="20A867F9"/>
    <w:rsid w:val="21C422F5"/>
    <w:rsid w:val="221A3E6E"/>
    <w:rsid w:val="2272669E"/>
    <w:rsid w:val="227F4D71"/>
    <w:rsid w:val="2280389A"/>
    <w:rsid w:val="247C2A7C"/>
    <w:rsid w:val="24FD76C4"/>
    <w:rsid w:val="25A60401"/>
    <w:rsid w:val="26806F3F"/>
    <w:rsid w:val="26B0198D"/>
    <w:rsid w:val="278F5CF9"/>
    <w:rsid w:val="28773DCD"/>
    <w:rsid w:val="28ED597C"/>
    <w:rsid w:val="29907531"/>
    <w:rsid w:val="2ADE5E46"/>
    <w:rsid w:val="2B78699C"/>
    <w:rsid w:val="2C2E5CBB"/>
    <w:rsid w:val="2CC30608"/>
    <w:rsid w:val="2DB11966"/>
    <w:rsid w:val="2E59483B"/>
    <w:rsid w:val="2F173B14"/>
    <w:rsid w:val="2F7A1819"/>
    <w:rsid w:val="2F7B1CC0"/>
    <w:rsid w:val="2FD74D0A"/>
    <w:rsid w:val="30B46ED7"/>
    <w:rsid w:val="30D84A6D"/>
    <w:rsid w:val="31CD6FAF"/>
    <w:rsid w:val="33184815"/>
    <w:rsid w:val="33D452EB"/>
    <w:rsid w:val="34184F37"/>
    <w:rsid w:val="342873FA"/>
    <w:rsid w:val="348875DC"/>
    <w:rsid w:val="35061DD1"/>
    <w:rsid w:val="356B65D3"/>
    <w:rsid w:val="381009F4"/>
    <w:rsid w:val="38177AC2"/>
    <w:rsid w:val="38330237"/>
    <w:rsid w:val="38EA6D26"/>
    <w:rsid w:val="39437236"/>
    <w:rsid w:val="39E61C93"/>
    <w:rsid w:val="3AD61226"/>
    <w:rsid w:val="3AF96301"/>
    <w:rsid w:val="3B5D27A3"/>
    <w:rsid w:val="3BC90DDA"/>
    <w:rsid w:val="3C0E6A8C"/>
    <w:rsid w:val="3CDA061D"/>
    <w:rsid w:val="3CF55C33"/>
    <w:rsid w:val="3D4C7081"/>
    <w:rsid w:val="3D9F3525"/>
    <w:rsid w:val="3DCC1178"/>
    <w:rsid w:val="3E004C98"/>
    <w:rsid w:val="3E3B0987"/>
    <w:rsid w:val="3E6F1C2A"/>
    <w:rsid w:val="3F000963"/>
    <w:rsid w:val="3FCC1BB2"/>
    <w:rsid w:val="3FFA1B0C"/>
    <w:rsid w:val="40B97554"/>
    <w:rsid w:val="43803F8D"/>
    <w:rsid w:val="44107D9B"/>
    <w:rsid w:val="45B91A65"/>
    <w:rsid w:val="45CE5FE2"/>
    <w:rsid w:val="45EE208A"/>
    <w:rsid w:val="460515BC"/>
    <w:rsid w:val="4629162F"/>
    <w:rsid w:val="47176167"/>
    <w:rsid w:val="47C462E6"/>
    <w:rsid w:val="47CF0B1D"/>
    <w:rsid w:val="47E23378"/>
    <w:rsid w:val="481802EA"/>
    <w:rsid w:val="4AAE12AF"/>
    <w:rsid w:val="4AB45070"/>
    <w:rsid w:val="4AD87F7A"/>
    <w:rsid w:val="4B9F2679"/>
    <w:rsid w:val="4C8D39F2"/>
    <w:rsid w:val="4CB10ACF"/>
    <w:rsid w:val="4CC01E86"/>
    <w:rsid w:val="4CD3324F"/>
    <w:rsid w:val="4D2B7562"/>
    <w:rsid w:val="4D7E765F"/>
    <w:rsid w:val="4DDB03B5"/>
    <w:rsid w:val="4DED4A76"/>
    <w:rsid w:val="4E3874C1"/>
    <w:rsid w:val="4ED72EBD"/>
    <w:rsid w:val="4EE202E0"/>
    <w:rsid w:val="4F5C1D7A"/>
    <w:rsid w:val="4F8844E7"/>
    <w:rsid w:val="51271052"/>
    <w:rsid w:val="514574AA"/>
    <w:rsid w:val="5176769E"/>
    <w:rsid w:val="519017FF"/>
    <w:rsid w:val="519B0CB0"/>
    <w:rsid w:val="51B22AB2"/>
    <w:rsid w:val="51FE73D1"/>
    <w:rsid w:val="52B20ED2"/>
    <w:rsid w:val="530818E7"/>
    <w:rsid w:val="53534733"/>
    <w:rsid w:val="535B4140"/>
    <w:rsid w:val="53B41740"/>
    <w:rsid w:val="53E9079A"/>
    <w:rsid w:val="54AB36A4"/>
    <w:rsid w:val="5571016F"/>
    <w:rsid w:val="557F61CB"/>
    <w:rsid w:val="55B04C26"/>
    <w:rsid w:val="55F51E57"/>
    <w:rsid w:val="56577146"/>
    <w:rsid w:val="57F27B11"/>
    <w:rsid w:val="58016F6B"/>
    <w:rsid w:val="587D00AE"/>
    <w:rsid w:val="59361F1D"/>
    <w:rsid w:val="5AA26202"/>
    <w:rsid w:val="5AEF00AC"/>
    <w:rsid w:val="5BFA2163"/>
    <w:rsid w:val="5CC84CFD"/>
    <w:rsid w:val="5CF918E1"/>
    <w:rsid w:val="5D4A3A21"/>
    <w:rsid w:val="5D6408DE"/>
    <w:rsid w:val="5E2A2E4B"/>
    <w:rsid w:val="5E814705"/>
    <w:rsid w:val="5F8038FF"/>
    <w:rsid w:val="60A7051F"/>
    <w:rsid w:val="60AE2DC5"/>
    <w:rsid w:val="60F25329"/>
    <w:rsid w:val="633A772C"/>
    <w:rsid w:val="661E127D"/>
    <w:rsid w:val="6628294C"/>
    <w:rsid w:val="6658601C"/>
    <w:rsid w:val="666E6D57"/>
    <w:rsid w:val="668619D9"/>
    <w:rsid w:val="668C6B1C"/>
    <w:rsid w:val="67466E44"/>
    <w:rsid w:val="68850143"/>
    <w:rsid w:val="6A730B80"/>
    <w:rsid w:val="6AC11213"/>
    <w:rsid w:val="6BB6488D"/>
    <w:rsid w:val="6BC0391C"/>
    <w:rsid w:val="6CB51DAA"/>
    <w:rsid w:val="6D1F5F82"/>
    <w:rsid w:val="6D2A5CB5"/>
    <w:rsid w:val="6D484EC2"/>
    <w:rsid w:val="6E672B2B"/>
    <w:rsid w:val="6F443BEB"/>
    <w:rsid w:val="6F7922B4"/>
    <w:rsid w:val="6FB824BF"/>
    <w:rsid w:val="70D70CB1"/>
    <w:rsid w:val="71353E58"/>
    <w:rsid w:val="7172030E"/>
    <w:rsid w:val="71E64DF1"/>
    <w:rsid w:val="7202096F"/>
    <w:rsid w:val="72F0558E"/>
    <w:rsid w:val="73972F2B"/>
    <w:rsid w:val="744373B3"/>
    <w:rsid w:val="75053FA4"/>
    <w:rsid w:val="756E2EA7"/>
    <w:rsid w:val="757F7E3A"/>
    <w:rsid w:val="75BE3D92"/>
    <w:rsid w:val="762322A2"/>
    <w:rsid w:val="76275612"/>
    <w:rsid w:val="76283D5C"/>
    <w:rsid w:val="76473B85"/>
    <w:rsid w:val="76FE6E62"/>
    <w:rsid w:val="77220741"/>
    <w:rsid w:val="77864563"/>
    <w:rsid w:val="78564BB1"/>
    <w:rsid w:val="785724B6"/>
    <w:rsid w:val="789F6743"/>
    <w:rsid w:val="79465555"/>
    <w:rsid w:val="7BD65BBA"/>
    <w:rsid w:val="7C355CCF"/>
    <w:rsid w:val="7CE5560B"/>
    <w:rsid w:val="7D9B5E16"/>
    <w:rsid w:val="7E143686"/>
    <w:rsid w:val="7E5A55AC"/>
    <w:rsid w:val="7E7F7D0E"/>
    <w:rsid w:val="7EE34433"/>
    <w:rsid w:val="7EE73E3D"/>
    <w:rsid w:val="7FBC7F56"/>
    <w:rsid w:val="7FC00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sz w:val="28"/>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kern w:val="0"/>
      <w:sz w:val="20"/>
    </w:rPr>
  </w:style>
  <w:style w:type="paragraph" w:styleId="9">
    <w:name w:val="Body Text Indent"/>
    <w:basedOn w:val="1"/>
    <w:next w:val="1"/>
    <w:qFormat/>
    <w:uiPriority w:val="0"/>
    <w:pPr>
      <w:tabs>
        <w:tab w:val="left" w:pos="2160"/>
      </w:tabs>
      <w:ind w:left="2159" w:leftChars="1028" w:firstLine="1"/>
    </w:pPr>
    <w:rPr>
      <w:rFonts w:ascii="宋体" w:hAnsi="宋体"/>
      <w:kern w:val="0"/>
      <w:sz w:val="20"/>
      <w:szCs w:val="21"/>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8"/>
    <w:next w:val="1"/>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rFonts w:hint="eastAsia" w:ascii="微软雅黑" w:hAnsi="微软雅黑" w:eastAsia="微软雅黑" w:cs="微软雅黑"/>
      <w:color w:val="02396F"/>
      <w:u w:val="single"/>
    </w:rPr>
  </w:style>
  <w:style w:type="character" w:styleId="25">
    <w:name w:val="Hyperlink"/>
    <w:basedOn w:val="21"/>
    <w:qFormat/>
    <w:uiPriority w:val="0"/>
    <w:rPr>
      <w:rFonts w:ascii="微软雅黑" w:hAnsi="微软雅黑" w:eastAsia="微软雅黑" w:cs="微软雅黑"/>
      <w:color w:val="02396F"/>
      <w:u w:val="single"/>
    </w:rPr>
  </w:style>
  <w:style w:type="paragraph" w:customStyle="1" w:styleId="26">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9">
    <w:name w:val="p0"/>
    <w:basedOn w:val="1"/>
    <w:qFormat/>
    <w:uiPriority w:val="0"/>
    <w:pPr>
      <w:widowControl/>
    </w:pPr>
    <w:rPr>
      <w:kern w:val="0"/>
      <w:szCs w:val="21"/>
    </w:rPr>
  </w:style>
  <w:style w:type="paragraph" w:customStyle="1" w:styleId="30">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1">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32">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3">
    <w:name w:val="gjfg"/>
    <w:basedOn w:val="21"/>
    <w:qFormat/>
    <w:uiPriority w:val="0"/>
  </w:style>
  <w:style w:type="character" w:customStyle="1" w:styleId="34">
    <w:name w:val="displayarti"/>
    <w:basedOn w:val="21"/>
    <w:qFormat/>
    <w:uiPriority w:val="0"/>
    <w:rPr>
      <w:color w:val="FFFFFF"/>
      <w:shd w:val="clear" w:color="010000" w:fill="A00000"/>
    </w:rPr>
  </w:style>
  <w:style w:type="character" w:customStyle="1" w:styleId="35">
    <w:name w:val="redfilefwwh"/>
    <w:basedOn w:val="21"/>
    <w:qFormat/>
    <w:uiPriority w:val="0"/>
    <w:rPr>
      <w:color w:val="BA2636"/>
      <w:sz w:val="14"/>
      <w:szCs w:val="14"/>
    </w:rPr>
  </w:style>
  <w:style w:type="character" w:customStyle="1" w:styleId="36">
    <w:name w:val="redfilenumber"/>
    <w:basedOn w:val="21"/>
    <w:qFormat/>
    <w:uiPriority w:val="0"/>
    <w:rPr>
      <w:color w:val="BA2636"/>
      <w:sz w:val="14"/>
      <w:szCs w:val="14"/>
    </w:rPr>
  </w:style>
  <w:style w:type="character" w:customStyle="1" w:styleId="37">
    <w:name w:val="qxdate"/>
    <w:basedOn w:val="21"/>
    <w:qFormat/>
    <w:uiPriority w:val="0"/>
    <w:rPr>
      <w:color w:val="333333"/>
      <w:sz w:val="14"/>
      <w:szCs w:val="14"/>
    </w:rPr>
  </w:style>
  <w:style w:type="character" w:customStyle="1" w:styleId="38">
    <w:name w:val="cfdate"/>
    <w:basedOn w:val="21"/>
    <w:qFormat/>
    <w:uiPriority w:val="0"/>
    <w:rPr>
      <w:color w:val="333333"/>
      <w:sz w:val="14"/>
      <w:szCs w:val="14"/>
    </w:rPr>
  </w:style>
  <w:style w:type="character" w:customStyle="1" w:styleId="39">
    <w:name w:val="标题 1 Char"/>
    <w:link w:val="2"/>
    <w:qFormat/>
    <w:uiPriority w:val="0"/>
    <w:rPr>
      <w:b/>
      <w:bCs/>
      <w:sz w:val="24"/>
      <w:szCs w:val="20"/>
    </w:rPr>
  </w:style>
  <w:style w:type="character" w:customStyle="1" w:styleId="40">
    <w:name w:val="标题 3 Char"/>
    <w:link w:val="4"/>
    <w:qFormat/>
    <w:uiPriority w:val="0"/>
    <w:rPr>
      <w:b/>
      <w:bCs/>
      <w:sz w:val="32"/>
      <w:szCs w:val="32"/>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character" w:customStyle="1" w:styleId="43">
    <w:name w:val="font41"/>
    <w:basedOn w:val="21"/>
    <w:qFormat/>
    <w:uiPriority w:val="0"/>
    <w:rPr>
      <w:rFonts w:hint="eastAsia" w:ascii="宋体" w:hAnsi="宋体" w:eastAsia="宋体" w:cs="宋体"/>
      <w:color w:val="000000"/>
      <w:sz w:val="22"/>
      <w:szCs w:val="22"/>
      <w:u w:val="none"/>
    </w:rPr>
  </w:style>
  <w:style w:type="character" w:customStyle="1" w:styleId="44">
    <w:name w:val="font71"/>
    <w:basedOn w:val="21"/>
    <w:qFormat/>
    <w:uiPriority w:val="0"/>
    <w:rPr>
      <w:rFonts w:hint="eastAsia" w:ascii="宋体" w:hAnsi="宋体" w:eastAsia="宋体" w:cs="宋体"/>
      <w:color w:val="333333"/>
      <w:sz w:val="22"/>
      <w:szCs w:val="22"/>
      <w:u w:val="none"/>
    </w:rPr>
  </w:style>
  <w:style w:type="character" w:customStyle="1" w:styleId="45">
    <w:name w:val="font112"/>
    <w:basedOn w:val="21"/>
    <w:qFormat/>
    <w:uiPriority w:val="0"/>
    <w:rPr>
      <w:rFonts w:hint="default" w:ascii="Times New Roman" w:hAnsi="Times New Roman" w:cs="Times New Roman"/>
      <w:color w:val="000000"/>
      <w:sz w:val="22"/>
      <w:szCs w:val="22"/>
      <w:u w:val="none"/>
    </w:rPr>
  </w:style>
  <w:style w:type="character" w:customStyle="1" w:styleId="46">
    <w:name w:val="font11"/>
    <w:basedOn w:val="21"/>
    <w:qFormat/>
    <w:uiPriority w:val="0"/>
    <w:rPr>
      <w:rFonts w:hint="eastAsia" w:ascii="宋体" w:hAnsi="宋体" w:eastAsia="宋体" w:cs="宋体"/>
      <w:color w:val="000000"/>
      <w:sz w:val="22"/>
      <w:szCs w:val="22"/>
      <w:u w:val="none"/>
    </w:rPr>
  </w:style>
  <w:style w:type="character" w:customStyle="1" w:styleId="47">
    <w:name w:val="font31"/>
    <w:basedOn w:val="21"/>
    <w:qFormat/>
    <w:uiPriority w:val="0"/>
    <w:rPr>
      <w:rFonts w:hint="default" w:ascii="Times New Roman" w:hAnsi="Times New Roman" w:cs="Times New Roman"/>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16471</Words>
  <Characters>17400</Characters>
  <Lines>0</Lines>
  <Paragraphs>0</Paragraphs>
  <TotalTime>0</TotalTime>
  <ScaleCrop>false</ScaleCrop>
  <LinksUpToDate>false</LinksUpToDate>
  <CharactersWithSpaces>17670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2020-04-01T00:51:00Z</dcterms:created>
  <dc:creator>Administrator</dc:creator>
  <cp:lastModifiedBy>a</cp:lastModifiedBy>
  <cp:lastPrinted>2020-12-30T07:36:00Z</cp:lastPrinted>
  <dcterms:modified xsi:type="dcterms:W3CDTF">2026-04-24T10:22:10Z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eyJoZGlkIjoiN2EwN2U4NThmN2UwNzY0Njg0NzFjOGZjOWQ0ZWQ1NmUiLCJ1c2VySWQiOiIyOTczNzcxNDUifQ==</vt:lpwstr>
  </property>
  <property fmtid="{D5CDD505-2E9C-101B-9397-08002B2CF9AE}" pid="4" name="ICV">
    <vt:lpwstr>D408690A964649BEB31867EE45E0893D_13</vt:lpwstr>
  </property>
</Properties>
</file>