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adjustRightInd/>
        <w:spacing w:line="360" w:lineRule="auto"/>
        <w:jc w:val="center"/>
        <w:rPr>
          <w:rFonts w:ascii="宋体" w:hAnsi="宋体" w:cs="宋体"/>
          <w:b/>
          <w:sz w:val="48"/>
          <w:szCs w:val="48"/>
        </w:rPr>
      </w:pPr>
    </w:p>
    <w:p>
      <w:pPr>
        <w:adjustRightInd/>
        <w:spacing w:line="360" w:lineRule="auto"/>
        <w:jc w:val="center"/>
        <w:rPr>
          <w:rFonts w:hint="eastAsia" w:ascii="宋体" w:hAnsi="宋体" w:eastAsia="宋体" w:cs="宋体"/>
          <w:sz w:val="48"/>
          <w:szCs w:val="48"/>
          <w:highlight w:val="none"/>
          <w:lang w:eastAsia="zh-CN"/>
        </w:rPr>
      </w:pPr>
      <w:r>
        <w:rPr>
          <w:rFonts w:hint="eastAsia" w:ascii="宋体" w:hAnsi="宋体" w:cs="宋体"/>
          <w:sz w:val="48"/>
          <w:szCs w:val="48"/>
          <w:highlight w:val="none"/>
          <w:lang w:eastAsia="zh-CN"/>
        </w:rPr>
        <w:t>杭州市上城区小营街道南片6个社区（长明寺巷、金钱巷、茅廊巷、西牌楼、梅花碑、姚园寺巷社区）准物业服务项目</w:t>
      </w:r>
    </w:p>
    <w:p>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pPr>
        <w:snapToGrid w:val="0"/>
        <w:spacing w:line="360" w:lineRule="auto"/>
        <w:jc w:val="center"/>
        <w:rPr>
          <w:rFonts w:ascii="宋体" w:hAnsi="宋体" w:cs="宋体"/>
          <w:sz w:val="30"/>
          <w:szCs w:val="30"/>
        </w:rPr>
      </w:pPr>
      <w:r>
        <w:rPr>
          <w:rFonts w:hint="eastAsia" w:ascii="宋体" w:hAnsi="宋体" w:cs="宋体"/>
          <w:sz w:val="30"/>
          <w:szCs w:val="30"/>
        </w:rPr>
        <w:t>编号:SCCG2026-GK-08</w:t>
      </w:r>
    </w:p>
    <w:p>
      <w:pPr>
        <w:adjustRightInd/>
        <w:spacing w:line="360" w:lineRule="auto"/>
        <w:rPr>
          <w:rFonts w:ascii="宋体" w:hAnsi="宋体" w:cs="宋体"/>
          <w:sz w:val="28"/>
          <w:szCs w:val="20"/>
        </w:rPr>
      </w:pPr>
    </w:p>
    <w:p>
      <w:pPr>
        <w:spacing w:line="360" w:lineRule="auto"/>
        <w:jc w:val="center"/>
        <w:rPr>
          <w:rFonts w:ascii="宋体" w:hAnsi="宋体" w:cs="宋体"/>
          <w:b/>
          <w:sz w:val="44"/>
          <w:szCs w:val="44"/>
        </w:rPr>
      </w:pPr>
      <w:r>
        <w:rPr>
          <w:rFonts w:hint="eastAsia" w:ascii="宋体" w:hAnsi="宋体" w:cs="宋体"/>
          <w:b/>
          <w:sz w:val="44"/>
          <w:szCs w:val="44"/>
        </w:rPr>
        <w:t xml:space="preserve"> </w:t>
      </w: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32"/>
          <w:szCs w:val="32"/>
        </w:rPr>
      </w:pPr>
    </w:p>
    <w:p>
      <w:pPr>
        <w:snapToGrid w:val="0"/>
        <w:spacing w:line="360" w:lineRule="auto"/>
        <w:jc w:val="center"/>
        <w:rPr>
          <w:rFonts w:hint="eastAsia" w:ascii="宋体" w:hAnsi="宋体" w:eastAsia="宋体" w:cs="宋体"/>
          <w:bCs/>
          <w:sz w:val="32"/>
          <w:szCs w:val="32"/>
          <w:highlight w:val="none"/>
          <w:lang w:eastAsia="zh-CN"/>
        </w:rPr>
      </w:pPr>
      <w:r>
        <w:rPr>
          <w:rFonts w:hint="eastAsia" w:ascii="宋体" w:hAnsi="宋体" w:cs="宋体"/>
          <w:bCs/>
          <w:sz w:val="32"/>
          <w:szCs w:val="32"/>
          <w:highlight w:val="none"/>
          <w:lang w:eastAsia="zh-CN"/>
        </w:rPr>
        <w:t>杭州市上城区人民政府小营街道办事处</w:t>
      </w:r>
    </w:p>
    <w:p>
      <w:pPr>
        <w:snapToGri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杭州市公共资源交易中心上城分中心</w:t>
      </w:r>
    </w:p>
    <w:p>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eastAsia="zh-CN"/>
        </w:rPr>
        <w:t>六</w:t>
      </w:r>
      <w:r>
        <w:rPr>
          <w:rFonts w:hint="eastAsia" w:ascii="宋体" w:hAnsi="宋体" w:cs="宋体"/>
          <w:bCs/>
          <w:color w:val="auto"/>
          <w:sz w:val="32"/>
          <w:szCs w:val="32"/>
        </w:rPr>
        <w:t>年</w:t>
      </w:r>
      <w:r>
        <w:rPr>
          <w:rFonts w:hint="eastAsia" w:ascii="宋体" w:hAnsi="宋体" w:cs="宋体"/>
          <w:bCs/>
          <w:color w:val="auto"/>
          <w:sz w:val="32"/>
          <w:szCs w:val="32"/>
          <w:lang w:eastAsia="zh-CN"/>
        </w:rPr>
        <w:t>四</w:t>
      </w:r>
      <w:r>
        <w:rPr>
          <w:rFonts w:hint="eastAsia" w:ascii="宋体" w:hAnsi="宋体" w:cs="宋体"/>
          <w:bCs/>
          <w:color w:val="auto"/>
          <w:sz w:val="32"/>
          <w:szCs w:val="32"/>
        </w:rPr>
        <w:t>月</w:t>
      </w:r>
      <w:r>
        <w:rPr>
          <w:rFonts w:hint="eastAsia" w:ascii="宋体" w:hAnsi="宋体" w:cs="宋体"/>
          <w:bCs/>
          <w:color w:val="auto"/>
          <w:sz w:val="32"/>
          <w:szCs w:val="32"/>
          <w:lang w:eastAsia="zh-CN"/>
        </w:rPr>
        <w:t>一</w:t>
      </w:r>
      <w:r>
        <w:rPr>
          <w:rFonts w:hint="eastAsia" w:ascii="宋体" w:hAnsi="宋体" w:cs="宋体"/>
          <w:bCs/>
          <w:color w:val="auto"/>
          <w:sz w:val="32"/>
          <w:szCs w:val="32"/>
        </w:rPr>
        <w:t>日</w:t>
      </w:r>
    </w:p>
    <w:p>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pPr>
        <w:pStyle w:val="635"/>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pPr>
        <w:spacing w:line="360" w:lineRule="auto"/>
        <w:ind w:firstLine="549" w:firstLineChars="229"/>
        <w:rPr>
          <w:rFonts w:ascii="宋体" w:hAnsi="宋体" w:cs="宋体"/>
          <w:sz w:val="24"/>
        </w:rPr>
      </w:pPr>
      <w:bookmarkStart w:id="1" w:name="_Hlt91233176"/>
      <w:bookmarkEnd w:id="1"/>
      <w:bookmarkStart w:id="2" w:name="_Toc91899869"/>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sz w:val="36"/>
          <w:szCs w:val="20"/>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rPr>
        <w:t>杭州市上城区小营街道南片6个社区（长明寺巷、金钱巷、茅廊巷、西牌楼、梅花碑、姚园寺巷社区）准物业服务项目招标项目的潜在投标人应在政采云平台（</w:t>
      </w:r>
      <w:r>
        <w:fldChar w:fldCharType="begin"/>
      </w:r>
      <w:r>
        <w:instrText xml:space="preserve"> HYPERLINK "https://www.zcygov.cn/）获取（下载）招标文件，并于202%20年%20月%20日%20点%20分00秒" </w:instrText>
      </w:r>
      <w:r>
        <w:fldChar w:fldCharType="separate"/>
      </w:r>
      <w:r>
        <w:rPr>
          <w:rStyle w:val="77"/>
          <w:rFonts w:hint="eastAsia" w:ascii="宋体" w:hAnsi="宋体" w:eastAsia="宋体" w:cs="宋体"/>
          <w:snapToGrid/>
          <w:kern w:val="2"/>
          <w:sz w:val="24"/>
          <w:szCs w:val="24"/>
        </w:rPr>
        <w:t>https://www.zcygov.cn/）获取（下载）招标文件，并于20</w:t>
      </w:r>
      <w:r>
        <w:rPr>
          <w:rStyle w:val="77"/>
          <w:rFonts w:hint="eastAsia" w:ascii="宋体" w:hAnsi="宋体" w:cs="宋体"/>
          <w:snapToGrid/>
          <w:kern w:val="2"/>
          <w:sz w:val="24"/>
          <w:szCs w:val="24"/>
          <w:lang w:val="en-US" w:eastAsia="zh-CN"/>
        </w:rPr>
        <w:t>26</w:t>
      </w:r>
      <w:r>
        <w:rPr>
          <w:rStyle w:val="77"/>
          <w:rFonts w:hint="eastAsia" w:ascii="宋体" w:hAnsi="宋体" w:eastAsia="宋体" w:cs="宋体"/>
          <w:snapToGrid/>
          <w:kern w:val="2"/>
          <w:sz w:val="24"/>
          <w:szCs w:val="24"/>
        </w:rPr>
        <w:t xml:space="preserve">年 </w:t>
      </w:r>
      <w:r>
        <w:rPr>
          <w:rStyle w:val="77"/>
          <w:rFonts w:hint="eastAsia" w:ascii="宋体" w:hAnsi="宋体" w:cs="宋体"/>
          <w:snapToGrid/>
          <w:kern w:val="2"/>
          <w:sz w:val="24"/>
          <w:szCs w:val="24"/>
          <w:lang w:val="en-US" w:eastAsia="zh-CN"/>
        </w:rPr>
        <w:t>4</w:t>
      </w:r>
      <w:r>
        <w:rPr>
          <w:rStyle w:val="77"/>
          <w:rFonts w:hint="eastAsia" w:ascii="宋体" w:hAnsi="宋体" w:eastAsia="宋体" w:cs="宋体"/>
          <w:snapToGrid/>
          <w:kern w:val="2"/>
          <w:sz w:val="24"/>
          <w:szCs w:val="24"/>
        </w:rPr>
        <w:t xml:space="preserve">月 </w:t>
      </w:r>
      <w:r>
        <w:rPr>
          <w:rStyle w:val="77"/>
          <w:rFonts w:hint="eastAsia" w:ascii="宋体" w:hAnsi="宋体" w:cs="宋体"/>
          <w:snapToGrid/>
          <w:kern w:val="2"/>
          <w:sz w:val="24"/>
          <w:szCs w:val="24"/>
          <w:lang w:val="en-US" w:eastAsia="zh-CN"/>
        </w:rPr>
        <w:t>22</w:t>
      </w:r>
      <w:r>
        <w:rPr>
          <w:rStyle w:val="77"/>
          <w:rFonts w:hint="eastAsia" w:ascii="宋体" w:hAnsi="宋体" w:eastAsia="宋体" w:cs="宋体"/>
          <w:snapToGrid/>
          <w:kern w:val="2"/>
          <w:sz w:val="24"/>
          <w:szCs w:val="24"/>
        </w:rPr>
        <w:t>日</w:t>
      </w:r>
      <w:r>
        <w:rPr>
          <w:rStyle w:val="77"/>
          <w:rFonts w:hint="eastAsia" w:ascii="宋体" w:hAnsi="宋体" w:cs="宋体"/>
          <w:snapToGrid/>
          <w:kern w:val="2"/>
          <w:sz w:val="24"/>
          <w:szCs w:val="24"/>
          <w:lang w:val="en-US" w:eastAsia="zh-CN"/>
        </w:rPr>
        <w:t>10</w:t>
      </w:r>
      <w:r>
        <w:rPr>
          <w:rStyle w:val="77"/>
          <w:rFonts w:hint="eastAsia" w:ascii="宋体" w:hAnsi="宋体" w:eastAsia="宋体" w:cs="宋体"/>
          <w:snapToGrid/>
          <w:kern w:val="2"/>
          <w:sz w:val="24"/>
          <w:szCs w:val="24"/>
        </w:rPr>
        <w:t xml:space="preserve"> 点 </w:t>
      </w:r>
      <w:r>
        <w:rPr>
          <w:rStyle w:val="77"/>
          <w:rFonts w:hint="eastAsia" w:ascii="宋体" w:hAnsi="宋体" w:cs="宋体"/>
          <w:snapToGrid/>
          <w:kern w:val="2"/>
          <w:sz w:val="24"/>
          <w:szCs w:val="24"/>
          <w:lang w:val="en-US" w:eastAsia="zh-CN"/>
        </w:rPr>
        <w:t>00</w:t>
      </w:r>
      <w:r>
        <w:rPr>
          <w:rStyle w:val="77"/>
          <w:rFonts w:hint="eastAsia" w:ascii="宋体" w:hAnsi="宋体" w:eastAsia="宋体" w:cs="宋体"/>
          <w:snapToGrid/>
          <w:kern w:val="2"/>
          <w:sz w:val="24"/>
          <w:szCs w:val="24"/>
        </w:rPr>
        <w:t>分</w:t>
      </w:r>
      <w:r>
        <w:rPr>
          <w:rStyle w:val="77"/>
          <w:rFonts w:hint="eastAsia" w:ascii="宋体" w:hAnsi="宋体" w:eastAsia="宋体" w:cs="宋体"/>
          <w:bCs/>
          <w:snapToGrid/>
          <w:kern w:val="2"/>
          <w:sz w:val="24"/>
          <w:szCs w:val="24"/>
        </w:rPr>
        <w:t>00秒</w:t>
      </w:r>
      <w:r>
        <w:rPr>
          <w:rStyle w:val="77"/>
          <w:rFonts w:hint="eastAsia" w:ascii="宋体" w:hAnsi="宋体" w:eastAsia="宋体" w:cs="宋体"/>
          <w:bCs/>
          <w:snapToGrid/>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pPr>
        <w:spacing w:line="360" w:lineRule="auto"/>
        <w:rPr>
          <w:rFonts w:ascii="宋体" w:hAnsi="宋体" w:cs="宋体"/>
          <w:b/>
          <w:sz w:val="24"/>
        </w:rPr>
      </w:pPr>
      <w:r>
        <w:rPr>
          <w:rFonts w:hint="eastAsia" w:ascii="宋体" w:hAnsi="宋体" w:cs="宋体"/>
          <w:b/>
          <w:sz w:val="24"/>
        </w:rPr>
        <w:t xml:space="preserve">一、项目基本情况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color w:val="auto"/>
          <w:sz w:val="24"/>
        </w:rPr>
        <w:t>SCCG2026-GK-08</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color w:val="auto"/>
          <w:sz w:val="24"/>
        </w:rPr>
        <w:t>杭州市上城区小营街道南片6个社区（长明寺巷、金钱巷、茅廊巷、西牌楼、梅花碑、姚园寺巷社区）准物业服务项目</w:t>
      </w:r>
    </w:p>
    <w:p>
      <w:pPr>
        <w:spacing w:line="360" w:lineRule="auto"/>
        <w:ind w:firstLine="480"/>
        <w:rPr>
          <w:rFonts w:hint="default"/>
          <w:highlight w:val="none"/>
          <w:lang w:val="en-US" w:eastAsia="zh-CN"/>
        </w:rPr>
      </w:pPr>
      <w:r>
        <w:rPr>
          <w:rFonts w:hint="eastAsia" w:ascii="宋体" w:hAnsi="宋体" w:cs="宋体"/>
          <w:b/>
          <w:sz w:val="24"/>
        </w:rPr>
        <w:t>预算金额（元）：</w:t>
      </w:r>
      <w:r>
        <w:rPr>
          <w:rFonts w:ascii="宋体" w:hAnsi="宋体" w:cs="宋体"/>
          <w:sz w:val="24"/>
        </w:rPr>
        <w:t xml:space="preserve">  </w:t>
      </w:r>
      <w:r>
        <w:rPr>
          <w:rFonts w:hint="eastAsia" w:ascii="宋体" w:hAnsi="宋体" w:cs="宋体"/>
          <w:b/>
          <w:sz w:val="24"/>
          <w:highlight w:val="none"/>
          <w:lang w:val="en-US" w:eastAsia="zh-CN"/>
        </w:rPr>
        <w:t xml:space="preserve">9980000元/2年  </w:t>
      </w:r>
      <w:r>
        <w:rPr>
          <w:rFonts w:hint="eastAsia" w:ascii="宋体" w:hAnsi="宋体" w:cs="宋体"/>
          <w:color w:val="auto"/>
          <w:sz w:val="24"/>
          <w:highlight w:val="none"/>
        </w:rPr>
        <w:t>其中</w:t>
      </w:r>
      <w:r>
        <w:rPr>
          <w:rFonts w:hint="eastAsia" w:ascii="宋体" w:hAnsi="宋体" w:cs="宋体"/>
          <w:color w:val="auto"/>
          <w:sz w:val="24"/>
          <w:highlight w:val="none"/>
          <w:lang w:val="en-US" w:eastAsia="zh-CN"/>
        </w:rPr>
        <w:t>每年</w:t>
      </w:r>
      <w:r>
        <w:rPr>
          <w:rFonts w:hint="eastAsia" w:ascii="宋体" w:hAnsi="宋体" w:cs="宋体"/>
          <w:color w:val="auto"/>
          <w:sz w:val="24"/>
          <w:highlight w:val="none"/>
        </w:rPr>
        <w:t>街巷保洁</w:t>
      </w:r>
      <w:r>
        <w:rPr>
          <w:rFonts w:hint="eastAsia" w:ascii="宋体" w:hAnsi="宋体" w:cs="宋体"/>
          <w:color w:val="auto"/>
          <w:sz w:val="24"/>
          <w:highlight w:val="none"/>
          <w:lang w:val="en-US" w:eastAsia="zh-CN"/>
        </w:rPr>
        <w:t>经费2573685.337元/年（由街道补贴）；</w:t>
      </w:r>
      <w:r>
        <w:rPr>
          <w:rFonts w:hint="eastAsia" w:ascii="宋体" w:hAnsi="宋体" w:cs="宋体"/>
          <w:color w:val="auto"/>
          <w:sz w:val="24"/>
          <w:highlight w:val="none"/>
        </w:rPr>
        <w:t>老旧小区物业费按0.56/平方米</w:t>
      </w:r>
      <w:r>
        <w:rPr>
          <w:rFonts w:hint="eastAsia" w:ascii="宋体" w:hAnsi="宋体" w:cs="宋体"/>
          <w:color w:val="auto"/>
          <w:sz w:val="24"/>
          <w:highlight w:val="none"/>
          <w:lang w:val="en-US" w:eastAsia="zh-CN"/>
        </w:rPr>
        <w:t>收取</w:t>
      </w:r>
      <w:r>
        <w:rPr>
          <w:rFonts w:hint="eastAsia" w:ascii="宋体" w:hAnsi="宋体" w:cs="宋体"/>
          <w:color w:val="auto"/>
          <w:sz w:val="24"/>
          <w:highlight w:val="none"/>
          <w:lang w:eastAsia="zh-CN"/>
        </w:rPr>
        <w:t>，</w:t>
      </w:r>
      <w:r>
        <w:rPr>
          <w:rFonts w:hint="eastAsia" w:ascii="宋体" w:hAnsi="宋体" w:cs="宋体"/>
          <w:color w:val="auto"/>
          <w:kern w:val="2"/>
          <w:sz w:val="24"/>
          <w:szCs w:val="24"/>
          <w:highlight w:val="none"/>
          <w:lang w:val="en-US" w:eastAsia="zh-CN" w:bidi="ar"/>
        </w:rPr>
        <w:t>按总收取费用的</w:t>
      </w:r>
      <w:r>
        <w:rPr>
          <w:rFonts w:hint="eastAsia" w:ascii="宋体" w:hAnsi="宋体" w:eastAsia="宋体" w:cs="宋体"/>
          <w:color w:val="auto"/>
          <w:kern w:val="2"/>
          <w:sz w:val="24"/>
          <w:szCs w:val="24"/>
          <w:highlight w:val="none"/>
          <w:lang w:val="en-US" w:eastAsia="zh-CN" w:bidi="ar"/>
        </w:rPr>
        <w:t>15%</w:t>
      </w:r>
      <w:r>
        <w:rPr>
          <w:rFonts w:hint="eastAsia" w:ascii="宋体" w:hAnsi="宋体" w:cs="宋体"/>
          <w:color w:val="auto"/>
          <w:kern w:val="2"/>
          <w:sz w:val="24"/>
          <w:szCs w:val="24"/>
          <w:highlight w:val="none"/>
          <w:lang w:val="en-US" w:eastAsia="zh-CN" w:bidi="ar"/>
        </w:rPr>
        <w:t>收缴，</w:t>
      </w:r>
      <w:r>
        <w:rPr>
          <w:rFonts w:hint="eastAsia" w:ascii="宋体" w:hAnsi="宋体" w:eastAsia="宋体" w:cs="宋体"/>
          <w:color w:val="auto"/>
          <w:kern w:val="2"/>
          <w:sz w:val="24"/>
          <w:szCs w:val="24"/>
          <w:highlight w:val="none"/>
          <w:lang w:val="en-US" w:eastAsia="zh-CN" w:bidi="ar"/>
        </w:rPr>
        <w:t>为624678.6元</w:t>
      </w:r>
      <w:r>
        <w:rPr>
          <w:rFonts w:hint="eastAsia" w:ascii="宋体" w:hAnsi="宋体" w:cs="宋体"/>
          <w:color w:val="auto"/>
          <w:kern w:val="2"/>
          <w:sz w:val="24"/>
          <w:szCs w:val="24"/>
          <w:highlight w:val="none"/>
          <w:lang w:val="en-US" w:eastAsia="zh-CN" w:bidi="ar"/>
        </w:rPr>
        <w:t>/年（合同价中抵扣）</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sz w:val="24"/>
          <w:highlight w:val="none"/>
        </w:rPr>
        <w:t>停车费为1</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0000元/年</w:t>
      </w:r>
      <w:r>
        <w:rPr>
          <w:rFonts w:hint="eastAsia" w:ascii="宋体" w:hAnsi="宋体" w:cs="宋体"/>
          <w:color w:val="auto"/>
          <w:kern w:val="2"/>
          <w:sz w:val="24"/>
          <w:szCs w:val="24"/>
          <w:highlight w:val="none"/>
          <w:lang w:val="en-US" w:eastAsia="zh-CN" w:bidi="ar"/>
        </w:rPr>
        <w:t>（合同价中抵扣）</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物业费与停车费如有超出部分归乙方所有，不足部分由乙方自行承担</w:t>
      </w:r>
      <w:r>
        <w:rPr>
          <w:rFonts w:hint="default" w:ascii="宋体" w:hAnsi="宋体" w:cs="宋体"/>
          <w:color w:val="auto"/>
          <w:sz w:val="24"/>
          <w:highlight w:val="none"/>
        </w:rPr>
        <w:t>。</w:t>
      </w:r>
      <w:r>
        <w:rPr>
          <w:rFonts w:hint="eastAsia" w:ascii="宋体" w:hAnsi="宋体" w:cs="宋体"/>
          <w:color w:val="auto"/>
          <w:sz w:val="24"/>
          <w:highlight w:val="none"/>
        </w:rPr>
        <w:t>街道办事处补贴人民币</w:t>
      </w:r>
      <w:r>
        <w:rPr>
          <w:rFonts w:hint="eastAsia" w:ascii="宋体" w:hAnsi="宋体" w:cs="宋体"/>
          <w:color w:val="auto"/>
          <w:sz w:val="24"/>
          <w:highlight w:val="none"/>
          <w:lang w:val="en-US" w:eastAsia="zh-CN"/>
        </w:rPr>
        <w:t>591636</w:t>
      </w:r>
      <w:r>
        <w:rPr>
          <w:rFonts w:hint="eastAsia" w:ascii="宋体" w:hAnsi="宋体" w:cs="宋体"/>
          <w:color w:val="auto"/>
          <w:sz w:val="24"/>
          <w:highlight w:val="none"/>
        </w:rPr>
        <w:t>元/年</w:t>
      </w:r>
      <w:r>
        <w:rPr>
          <w:rFonts w:hint="eastAsia" w:ascii="宋体" w:hAnsi="宋体" w:cs="宋体"/>
          <w:color w:val="auto"/>
          <w:sz w:val="24"/>
          <w:highlight w:val="none"/>
          <w:lang w:val="en-US" w:eastAsia="zh-CN"/>
        </w:rPr>
        <w:t>。</w:t>
      </w:r>
    </w:p>
    <w:p>
      <w:pPr>
        <w:spacing w:line="360" w:lineRule="auto"/>
        <w:ind w:firstLine="482" w:firstLineChars="200"/>
        <w:rPr>
          <w:rFonts w:ascii="宋体" w:hAnsi="宋体" w:cs="宋体"/>
          <w:sz w:val="24"/>
        </w:rPr>
      </w:pPr>
      <w:r>
        <w:rPr>
          <w:rFonts w:hint="eastAsia" w:ascii="宋体" w:hAnsi="宋体" w:cs="宋体"/>
          <w:b/>
          <w:sz w:val="24"/>
        </w:rPr>
        <w:t>最高限价（元）：</w:t>
      </w:r>
      <w:bookmarkStart w:id="11" w:name="OLE_LINK6"/>
      <w:r>
        <w:rPr>
          <w:rFonts w:ascii="宋体" w:hAnsi="宋体" w:cs="宋体"/>
          <w:sz w:val="24"/>
          <w:highlight w:val="none"/>
        </w:rPr>
        <w:t xml:space="preserve"> </w:t>
      </w:r>
      <w:r>
        <w:rPr>
          <w:rFonts w:hint="eastAsia" w:ascii="宋体" w:hAnsi="宋体" w:cs="宋体"/>
          <w:b/>
          <w:sz w:val="24"/>
          <w:highlight w:val="none"/>
          <w:lang w:val="en-US" w:eastAsia="zh-CN"/>
        </w:rPr>
        <w:t>9980000元/2年</w:t>
      </w:r>
      <w:bookmarkEnd w:id="11"/>
    </w:p>
    <w:p>
      <w:pPr>
        <w:pStyle w:val="6"/>
        <w:spacing w:line="360" w:lineRule="auto"/>
        <w:ind w:firstLine="480"/>
        <w:rPr>
          <w:rFonts w:hAnsi="宋体" w:cs="宋体"/>
          <w:bCs/>
          <w:snapToGrid/>
          <w:color w:val="auto"/>
          <w:kern w:val="2"/>
          <w:sz w:val="24"/>
          <w:szCs w:val="24"/>
          <w:highlight w:val="none"/>
        </w:rPr>
      </w:pPr>
      <w:r>
        <w:rPr>
          <w:rFonts w:hint="eastAsia" w:hAnsi="宋体" w:cs="宋体"/>
          <w:b/>
          <w:color w:val="auto"/>
          <w:sz w:val="24"/>
        </w:rPr>
        <w:t>采购需求：</w:t>
      </w:r>
      <w:r>
        <w:rPr>
          <w:rFonts w:hint="eastAsia" w:ascii="宋体" w:hAnsi="宋体" w:cs="宋体"/>
          <w:color w:val="auto"/>
          <w:sz w:val="24"/>
        </w:rPr>
        <w:t>杭州市上城区小营街道南片6个社区（长明寺巷、金钱巷、茅廊巷、西牌楼、梅花碑、姚园寺巷社区）准物业服务项目</w:t>
      </w:r>
      <w:r>
        <w:rPr>
          <w:rFonts w:hint="eastAsia" w:ascii="宋体" w:hAnsi="宋体" w:cs="宋体"/>
          <w:color w:val="auto"/>
          <w:sz w:val="24"/>
          <w:lang w:val="en-US" w:eastAsia="zh-CN"/>
        </w:rPr>
        <w:t xml:space="preserve">  </w:t>
      </w:r>
      <w:r>
        <w:rPr>
          <w:rFonts w:hint="eastAsia" w:hAnsi="宋体" w:cs="宋体"/>
          <w:bCs/>
          <w:snapToGrid/>
          <w:color w:val="auto"/>
          <w:kern w:val="2"/>
          <w:sz w:val="24"/>
          <w:szCs w:val="24"/>
        </w:rPr>
        <w:t xml:space="preserve">主要内容： </w:t>
      </w:r>
      <w:r>
        <w:rPr>
          <w:rFonts w:hint="eastAsia" w:hAnsi="宋体" w:cs="宋体"/>
          <w:b w:val="0"/>
          <w:bCs/>
          <w:color w:val="auto"/>
          <w:sz w:val="24"/>
          <w:highlight w:val="none"/>
        </w:rPr>
        <w:t>杭州市上城区小营街道南片区</w:t>
      </w:r>
      <w:r>
        <w:rPr>
          <w:rFonts w:hint="eastAsia" w:hAnsi="宋体" w:cs="宋体"/>
          <w:b w:val="0"/>
          <w:bCs/>
          <w:color w:val="auto"/>
          <w:sz w:val="24"/>
          <w:highlight w:val="none"/>
          <w:lang w:eastAsia="zh-CN"/>
        </w:rPr>
        <w:t>范围内</w:t>
      </w:r>
      <w:r>
        <w:rPr>
          <w:rFonts w:hint="eastAsia" w:hAnsi="宋体" w:cs="宋体"/>
          <w:bCs/>
          <w:color w:val="auto"/>
          <w:kern w:val="2"/>
          <w:sz w:val="24"/>
          <w:szCs w:val="24"/>
          <w:highlight w:val="none"/>
        </w:rPr>
        <w:t>老旧小区准物业服务</w:t>
      </w:r>
      <w:r>
        <w:rPr>
          <w:rFonts w:hint="eastAsia" w:hAnsi="宋体" w:cs="宋体"/>
          <w:bCs/>
          <w:color w:val="auto"/>
          <w:kern w:val="2"/>
          <w:sz w:val="24"/>
          <w:szCs w:val="24"/>
          <w:highlight w:val="none"/>
          <w:lang w:eastAsia="zh-CN"/>
        </w:rPr>
        <w:t>，</w:t>
      </w:r>
      <w:r>
        <w:rPr>
          <w:rFonts w:hint="eastAsia" w:hAnsi="宋体" w:cs="宋体"/>
          <w:bCs/>
          <w:color w:val="auto"/>
          <w:kern w:val="2"/>
          <w:sz w:val="24"/>
          <w:szCs w:val="24"/>
          <w:highlight w:val="none"/>
        </w:rPr>
        <w:t>辖区内“六合一”（环境卫生、绿化养护、设施维修、楼道亮灯、停车管理、安全防范、消防安全）</w:t>
      </w:r>
      <w:r>
        <w:rPr>
          <w:rFonts w:hint="eastAsia" w:hAnsi="宋体" w:cs="宋体"/>
          <w:bCs/>
          <w:color w:val="auto"/>
          <w:kern w:val="2"/>
          <w:sz w:val="24"/>
          <w:szCs w:val="24"/>
          <w:highlight w:val="none"/>
          <w:lang w:val="en-US" w:eastAsia="zh-CN"/>
        </w:rPr>
        <w:t>养护工作</w:t>
      </w:r>
      <w:r>
        <w:rPr>
          <w:rFonts w:hint="eastAsia" w:hAnsi="宋体" w:cs="宋体"/>
          <w:bCs/>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pPr>
        <w:pStyle w:val="129"/>
        <w:ind w:left="0" w:leftChars="0" w:firstLine="482" w:firstLineChars="200"/>
        <w:outlineLvl w:val="2"/>
        <w:rPr>
          <w:rFonts w:ascii="宋体" w:hAnsi="宋体" w:cs="宋体"/>
        </w:rPr>
      </w:pPr>
      <w:r>
        <w:rPr>
          <w:rFonts w:hint="eastAsia" w:ascii="宋体" w:hAnsi="宋体" w:cs="宋体"/>
          <w:b/>
        </w:rPr>
        <w:t>合同履约期限：</w:t>
      </w:r>
      <w:r>
        <w:rPr>
          <w:rFonts w:ascii="宋体" w:hAnsi="宋体" w:cs="宋体"/>
        </w:rPr>
        <w:t xml:space="preserve"> </w:t>
      </w:r>
      <w:r>
        <w:rPr>
          <w:rFonts w:hint="eastAsia" w:ascii="宋体" w:hAnsi="宋体" w:cs="宋体"/>
          <w:sz w:val="24"/>
          <w:highlight w:val="none"/>
          <w:lang w:val="en-US" w:eastAsia="zh-CN"/>
        </w:rPr>
        <w:t>自合同签订之日起24个月。</w:t>
      </w:r>
    </w:p>
    <w:p>
      <w:pPr>
        <w:pStyle w:val="6"/>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441836950"/>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eastAsia="宋体" w:cs="宋体"/>
              <w:snapToGrid w:val="0"/>
              <w:color w:val="auto"/>
              <w:kern w:val="0"/>
              <w:sz w:val="24"/>
              <w:szCs w:val="20"/>
              <w:lang w:val="en-US" w:eastAsia="zh-CN" w:bidi="ar-SA"/>
            </w:rPr>
            <w:t>☐</w:t>
          </w:r>
        </w:sdtContent>
      </w:sdt>
      <w:r>
        <w:rPr>
          <w:rFonts w:hint="eastAsia" w:hAnsi="宋体" w:cs="宋体"/>
          <w:b/>
          <w:color w:val="auto"/>
          <w:sz w:val="24"/>
        </w:rPr>
        <w:t>是；</w:t>
      </w:r>
      <w:sdt>
        <w:sdtPr>
          <w:rPr>
            <w:rFonts w:hAnsi="宋体" w:cs="宋体"/>
            <w:color w:val="auto"/>
            <w:kern w:val="0"/>
            <w:sz w:val="24"/>
          </w:rPr>
          <w:id w:val="-1591624199"/>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eastAsia="宋体" w:cs="Segoe UI Symbol"/>
              <w:snapToGrid w:val="0"/>
              <w:color w:val="auto"/>
              <w:kern w:val="0"/>
              <w:sz w:val="24"/>
              <w:szCs w:val="20"/>
              <w:lang w:val="en-US" w:eastAsia="zh-CN" w:bidi="ar-SA"/>
            </w:rPr>
            <w:t>þ</w:t>
          </w:r>
        </w:sdtContent>
      </w:sdt>
      <w:r>
        <w:rPr>
          <w:rFonts w:hint="eastAsia" w:hAnsi="宋体" w:cs="宋体"/>
          <w:b/>
          <w:color w:val="auto"/>
          <w:sz w:val="24"/>
        </w:rPr>
        <w:t>否</w:t>
      </w:r>
      <w:r>
        <w:rPr>
          <w:rFonts w:hint="eastAsia" w:hAnsi="宋体" w:cs="宋体"/>
          <w:color w:val="auto"/>
          <w:kern w:val="0"/>
          <w:sz w:val="24"/>
        </w:rPr>
        <w:t>。</w:t>
      </w:r>
    </w:p>
    <w:p>
      <w:pPr>
        <w:spacing w:line="360" w:lineRule="auto"/>
        <w:rPr>
          <w:rFonts w:ascii="宋体" w:hAnsi="宋体" w:cs="宋体"/>
          <w:b/>
          <w:sz w:val="24"/>
        </w:rPr>
      </w:pPr>
      <w:r>
        <w:rPr>
          <w:rFonts w:hint="eastAsia" w:ascii="宋体" w:hAnsi="宋体" w:cs="宋体"/>
          <w:b/>
          <w:sz w:val="24"/>
        </w:rPr>
        <w:t>二、申请人的资格要求：</w:t>
      </w:r>
    </w:p>
    <w:p>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pPr>
        <w:spacing w:line="360" w:lineRule="auto"/>
        <w:ind w:firstLine="480" w:firstLineChars="200"/>
        <w:rPr>
          <w:rFonts w:ascii="宋体" w:hAnsi="宋体" w:cs="宋体"/>
          <w:color w:val="auto"/>
          <w:sz w:val="24"/>
        </w:rPr>
      </w:pPr>
      <w:sdt>
        <w:sdtPr>
          <w:rPr>
            <w:rFonts w:hint="eastAsia" w:ascii="宋体" w:hAnsi="宋体" w:cs="宋体"/>
            <w:color w:val="0000FF"/>
            <w:kern w:val="0"/>
            <w:sz w:val="24"/>
          </w:rPr>
          <w:id w:val="192861692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sz w:val="24"/>
        </w:rPr>
        <w:t>无</w:t>
      </w:r>
      <w:r>
        <w:rPr>
          <w:rFonts w:hint="eastAsia" w:ascii="宋体" w:hAnsi="宋体" w:cs="宋体"/>
          <w:snapToGrid w:val="0"/>
          <w:color w:val="auto"/>
          <w:kern w:val="28"/>
          <w:sz w:val="24"/>
          <w:szCs w:val="20"/>
        </w:rPr>
        <w:t>（注：不得限制大中型企业与小微企业组成联合体参与投标）；</w:t>
      </w:r>
    </w:p>
    <w:p>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专</w:t>
      </w:r>
      <w:r>
        <w:rPr>
          <w:rFonts w:hint="eastAsia" w:ascii="宋体" w:hAnsi="宋体" w:cs="宋体"/>
          <w:color w:val="auto"/>
          <w:sz w:val="24"/>
        </w:rPr>
        <w:t>门面向中小企业</w:t>
      </w:r>
    </w:p>
    <w:p>
      <w:pPr>
        <w:spacing w:line="360" w:lineRule="auto"/>
        <w:ind w:firstLine="897" w:firstLineChars="374"/>
        <w:rPr>
          <w:rFonts w:ascii="宋体" w:hAnsi="宋体" w:cs="宋体"/>
          <w:color w:val="auto"/>
          <w:sz w:val="24"/>
        </w:rPr>
      </w:pPr>
      <w:sdt>
        <w:sdtPr>
          <w:rPr>
            <w:rFonts w:hint="eastAsia" w:ascii="宋体" w:hAnsi="宋体" w:cs="宋体"/>
            <w:color w:val="auto"/>
            <w:kern w:val="0"/>
            <w:sz w:val="24"/>
          </w:rPr>
          <w:id w:val="-333685401"/>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ascii="宋体" w:hAnsi="宋体" w:cs="宋体"/>
          <w:color w:val="auto"/>
          <w:sz w:val="24"/>
        </w:rPr>
        <w:t>服务全部由符合政策要求的中小企业承接，提供中小企业声明函；</w:t>
      </w:r>
    </w:p>
    <w:p>
      <w:pPr>
        <w:spacing w:line="360" w:lineRule="auto"/>
        <w:ind w:firstLine="897" w:firstLineChars="374"/>
        <w:rPr>
          <w:rFonts w:ascii="宋体" w:hAnsi="宋体" w:cs="宋体"/>
          <w:color w:val="auto"/>
          <w:sz w:val="24"/>
        </w:rPr>
      </w:pPr>
      <w:sdt>
        <w:sdtPr>
          <w:rPr>
            <w:rFonts w:hint="eastAsia" w:ascii="宋体" w:hAnsi="宋体" w:cs="宋体"/>
            <w:color w:val="auto"/>
            <w:kern w:val="0"/>
            <w:sz w:val="24"/>
          </w:rPr>
          <w:id w:val="-214102535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服务全部由符合政策要求的小微企业承接，提供中小企业声明函；</w:t>
      </w:r>
    </w:p>
    <w:p>
      <w:pPr>
        <w:rPr>
          <w:rFonts w:ascii="宋体" w:hAnsi="宋体" w:cs="宋体"/>
          <w:color w:val="auto"/>
        </w:rPr>
      </w:pPr>
    </w:p>
    <w:p>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198560779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要求以联合体形式参加，提供联合协议和中小企业声明函，联合协议中中小企业合同金额应当达到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sdt>
        <w:sdtPr>
          <w:rPr>
            <w:rFonts w:hint="eastAsia" w:ascii="宋体" w:hAnsi="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要求合同分包，提供分包意向协议和中小企业声明函，分包意向协议中中小企业合同金额应当达到达到</w:t>
      </w:r>
      <w:r>
        <w:rPr>
          <w:rFonts w:hint="eastAsia" w:ascii="宋体" w:hAnsi="宋体" w:cs="宋体"/>
          <w:color w:val="auto"/>
          <w:sz w:val="24"/>
          <w:u w:val="single"/>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 ;</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highlight w:val="none"/>
        </w:rPr>
      </w:pPr>
      <w:bookmarkStart w:id="12" w:name="OLE_LINK8"/>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2"/>
    <w:p>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sz w:val="24"/>
        </w:rPr>
      </w:pPr>
      <w:r>
        <w:rPr>
          <w:rFonts w:hint="eastAsia" w:ascii="宋体" w:hAnsi="宋体" w:cs="宋体"/>
          <w:b/>
          <w:sz w:val="24"/>
        </w:rPr>
        <w:t xml:space="preserve">三、获取招标文件 </w:t>
      </w:r>
    </w:p>
    <w:p>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 xml:space="preserve">年 </w:t>
      </w:r>
      <w:r>
        <w:rPr>
          <w:rFonts w:hint="eastAsia" w:ascii="宋体" w:hAnsi="宋体" w:cs="宋体"/>
          <w:color w:val="auto"/>
          <w:sz w:val="24"/>
          <w:u w:val="single"/>
          <w:lang w:val="en-US" w:eastAsia="zh-CN"/>
        </w:rPr>
        <w:t>4</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 xml:space="preserve"> 日</w:t>
      </w:r>
      <w:r>
        <w:rPr>
          <w:rFonts w:hint="eastAsia" w:ascii="宋体" w:hAnsi="宋体" w:cs="宋体"/>
          <w:color w:val="auto"/>
          <w:sz w:val="24"/>
        </w:rPr>
        <w:t>，</w:t>
      </w:r>
      <w:r>
        <w:rPr>
          <w:rFonts w:hint="eastAsia" w:ascii="宋体" w:hAnsi="宋体" w:cs="宋体"/>
          <w:sz w:val="24"/>
        </w:rPr>
        <w:t>每天上午00:00至12:00 ，下午12:00至23:59（北京时间，线上获取法定节假日均可，线下获取文件法定节假日除外）</w:t>
      </w:r>
    </w:p>
    <w:p>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pPr>
        <w:spacing w:line="360" w:lineRule="auto"/>
        <w:rPr>
          <w:rFonts w:ascii="宋体" w:hAnsi="宋体" w:cs="宋体"/>
          <w:b/>
          <w:sz w:val="24"/>
        </w:rPr>
      </w:pPr>
      <w:r>
        <w:rPr>
          <w:rFonts w:hint="eastAsia" w:ascii="宋体" w:hAnsi="宋体" w:cs="宋体"/>
          <w:b/>
          <w:sz w:val="24"/>
        </w:rPr>
        <w:t>四、提交投标文件截止时间、开标时间和地点</w:t>
      </w:r>
    </w:p>
    <w:p>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color w:val="auto"/>
          <w:sz w:val="24"/>
          <w:u w:val="single"/>
        </w:rPr>
        <w:t xml:space="preserve"> 202</w:t>
      </w:r>
      <w:r>
        <w:rPr>
          <w:rFonts w:hint="eastAsia" w:ascii="宋体" w:hAnsi="宋体" w:cs="宋体"/>
          <w:color w:val="auto"/>
          <w:sz w:val="24"/>
          <w:u w:val="single"/>
          <w:lang w:val="en-US" w:eastAsia="zh-CN"/>
        </w:rPr>
        <w:t>6</w:t>
      </w:r>
      <w:r>
        <w:rPr>
          <w:rFonts w:hint="eastAsia" w:ascii="宋体" w:hAnsi="宋体" w:cs="宋体"/>
          <w:color w:val="auto"/>
          <w:sz w:val="24"/>
          <w:u w:val="single"/>
        </w:rPr>
        <w:t xml:space="preserve">年 </w:t>
      </w:r>
      <w:r>
        <w:rPr>
          <w:rFonts w:hint="eastAsia" w:ascii="宋体" w:hAnsi="宋体" w:cs="宋体"/>
          <w:color w:val="auto"/>
          <w:sz w:val="24"/>
          <w:u w:val="single"/>
          <w:lang w:val="en-US" w:eastAsia="zh-CN"/>
        </w:rPr>
        <w:t>4</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 xml:space="preserve"> 日 </w:t>
      </w:r>
      <w:r>
        <w:rPr>
          <w:rFonts w:hint="eastAsia" w:ascii="宋体" w:hAnsi="宋体" w:cs="宋体"/>
          <w:color w:val="auto"/>
          <w:sz w:val="24"/>
          <w:u w:val="single"/>
          <w:lang w:val="en-US" w:eastAsia="zh-CN"/>
        </w:rPr>
        <w:t>10</w:t>
      </w:r>
      <w:r>
        <w:rPr>
          <w:rFonts w:hint="eastAsia" w:ascii="宋体" w:hAnsi="宋体" w:cs="宋体"/>
          <w:color w:val="auto"/>
          <w:sz w:val="24"/>
          <w:u w:val="single"/>
        </w:rPr>
        <w:t>点</w:t>
      </w:r>
      <w:r>
        <w:rPr>
          <w:rFonts w:hint="eastAsia" w:ascii="宋体" w:hAnsi="宋体" w:cs="宋体"/>
          <w:color w:val="auto"/>
          <w:sz w:val="24"/>
          <w:u w:val="single"/>
          <w:lang w:val="en-US" w:eastAsia="zh-CN"/>
        </w:rPr>
        <w:t>00</w:t>
      </w:r>
      <w:r>
        <w:rPr>
          <w:rFonts w:hint="eastAsia" w:ascii="宋体" w:hAnsi="宋体" w:cs="宋体"/>
          <w:color w:val="auto"/>
          <w:sz w:val="24"/>
          <w:u w:val="single"/>
        </w:rPr>
        <w:t xml:space="preserve"> 分00秒</w:t>
      </w:r>
      <w:r>
        <w:rPr>
          <w:rFonts w:hint="eastAsia" w:ascii="宋体" w:hAnsi="宋体" w:cs="宋体"/>
          <w:bCs/>
          <w:color w:val="auto"/>
          <w:sz w:val="24"/>
          <w:u w:val="single"/>
        </w:rPr>
        <w:t xml:space="preserve"> </w:t>
      </w:r>
      <w:r>
        <w:rPr>
          <w:rFonts w:hint="eastAsia" w:ascii="宋体" w:hAnsi="宋体" w:cs="宋体"/>
          <w:sz w:val="24"/>
        </w:rPr>
        <w:t>（北京时间）</w:t>
      </w:r>
    </w:p>
    <w:p>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color w:val="auto"/>
          <w:sz w:val="24"/>
          <w:u w:val="single"/>
        </w:rPr>
        <w:t>20</w:t>
      </w:r>
      <w:r>
        <w:rPr>
          <w:rFonts w:hint="eastAsia" w:ascii="宋体" w:hAnsi="宋体" w:cs="宋体"/>
          <w:color w:val="auto"/>
          <w:sz w:val="24"/>
          <w:u w:val="single"/>
          <w:lang w:val="en-US" w:eastAsia="zh-CN"/>
        </w:rPr>
        <w:t>26</w:t>
      </w:r>
      <w:r>
        <w:rPr>
          <w:rFonts w:hint="eastAsia" w:ascii="宋体" w:hAnsi="宋体" w:cs="宋体"/>
          <w:color w:val="auto"/>
          <w:sz w:val="24"/>
          <w:u w:val="single"/>
        </w:rPr>
        <w:t xml:space="preserve">年 </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月 </w:t>
      </w:r>
      <w:r>
        <w:rPr>
          <w:rFonts w:hint="eastAsia" w:ascii="宋体" w:hAnsi="宋体" w:cs="宋体"/>
          <w:color w:val="auto"/>
          <w:sz w:val="24"/>
          <w:u w:val="single"/>
          <w:lang w:val="en-US" w:eastAsia="zh-CN"/>
        </w:rPr>
        <w:t>22</w:t>
      </w:r>
      <w:r>
        <w:rPr>
          <w:rFonts w:hint="eastAsia" w:ascii="宋体" w:hAnsi="宋体" w:cs="宋体"/>
          <w:color w:val="auto"/>
          <w:sz w:val="24"/>
          <w:u w:val="single"/>
        </w:rPr>
        <w:t>日</w:t>
      </w:r>
      <w:r>
        <w:rPr>
          <w:rFonts w:hint="eastAsia" w:ascii="宋体" w:hAnsi="宋体" w:cs="宋体"/>
          <w:color w:val="auto"/>
          <w:sz w:val="24"/>
          <w:u w:val="single"/>
          <w:lang w:val="en-US" w:eastAsia="zh-CN"/>
        </w:rPr>
        <w:t>10</w:t>
      </w:r>
      <w:r>
        <w:rPr>
          <w:rFonts w:hint="eastAsia" w:ascii="宋体" w:hAnsi="宋体" w:cs="宋体"/>
          <w:color w:val="auto"/>
          <w:sz w:val="24"/>
          <w:u w:val="single"/>
        </w:rPr>
        <w:t xml:space="preserve"> 点 </w:t>
      </w:r>
      <w:r>
        <w:rPr>
          <w:rFonts w:hint="eastAsia" w:ascii="宋体" w:hAnsi="宋体" w:cs="宋体"/>
          <w:color w:val="auto"/>
          <w:sz w:val="24"/>
          <w:u w:val="single"/>
          <w:lang w:val="en-US" w:eastAsia="zh-CN"/>
        </w:rPr>
        <w:t>00</w:t>
      </w:r>
      <w:r>
        <w:rPr>
          <w:rFonts w:hint="eastAsia" w:ascii="宋体" w:hAnsi="宋体" w:cs="宋体"/>
          <w:color w:val="auto"/>
          <w:sz w:val="24"/>
          <w:u w:val="single"/>
        </w:rPr>
        <w:t>分00秒</w:t>
      </w:r>
      <w:r>
        <w:rPr>
          <w:rFonts w:hint="eastAsia" w:ascii="宋体" w:hAnsi="宋体" w:cs="宋体"/>
          <w:bCs/>
          <w:color w:val="auto"/>
          <w:sz w:val="24"/>
          <w:u w:val="single"/>
        </w:rPr>
        <w:t xml:space="preserve">  </w:t>
      </w:r>
    </w:p>
    <w:p>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pPr>
        <w:spacing w:line="360" w:lineRule="auto"/>
        <w:rPr>
          <w:rFonts w:ascii="宋体" w:hAnsi="宋体" w:cs="宋体"/>
          <w:sz w:val="24"/>
        </w:rPr>
      </w:pPr>
      <w:r>
        <w:rPr>
          <w:rFonts w:hint="eastAsia" w:ascii="宋体" w:hAnsi="宋体" w:cs="宋体"/>
          <w:b/>
          <w:sz w:val="24"/>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w:t>
      </w:r>
      <w:r>
        <w:rPr>
          <w:rFonts w:hint="eastAsia" w:ascii="宋体" w:hAnsi="宋体" w:cs="宋体"/>
          <w:sz w:val="24"/>
          <w:highlight w:val="none"/>
        </w:rPr>
        <w:t>询问质疑投诉-质疑列表。质疑供应商对在线质疑答复不满意的，可在线提起投诉，路径为：</w:t>
      </w:r>
      <w:r>
        <w:rPr>
          <w:rFonts w:hint="eastAsia" w:ascii="宋体" w:hAnsi="宋体" w:cs="宋体"/>
          <w:sz w:val="24"/>
          <w:highlight w:val="none"/>
          <w:lang w:eastAsia="zh-CN"/>
        </w:rPr>
        <w:t>浙江政务服务网</w:t>
      </w:r>
      <w:r>
        <w:rPr>
          <w:rFonts w:hint="eastAsia" w:ascii="宋体" w:hAnsi="宋体" w:cs="宋体"/>
          <w:sz w:val="24"/>
        </w:rPr>
        <w:t>-政府采购投诉处理-在线办理。</w:t>
      </w:r>
    </w:p>
    <w:p>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eastAsia" w:ascii="宋体" w:hAnsi="宋体" w:cs="宋体"/>
          <w:color w:val="auto"/>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bookmarkStart w:id="13" w:name="OLE_LINK26"/>
      <w:r>
        <w:rPr>
          <w:rFonts w:hint="eastAsia" w:ascii="宋体" w:hAnsi="宋体" w:cs="宋体"/>
          <w:sz w:val="24"/>
          <w:highlight w:val="none"/>
          <w:lang w:eastAsia="zh-CN"/>
        </w:rPr>
        <w:t>采购机构</w:t>
      </w:r>
      <w:bookmarkEnd w:id="13"/>
      <w:r>
        <w:rPr>
          <w:rFonts w:hint="eastAsia" w:ascii="宋体" w:hAnsi="宋体" w:cs="宋体"/>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rPr>
        <w:t>（4）本项目招标文件中的项目编号与浙江政府采购网招标公告中的项目编号均指同一次采购活动，具有同等效力（如：某招标文件中项目编号为“SCCG2026-GK-0</w:t>
      </w:r>
      <w:r>
        <w:rPr>
          <w:rFonts w:hint="eastAsia" w:ascii="宋体" w:hAnsi="宋体" w:cs="宋体"/>
          <w:color w:val="auto"/>
          <w:sz w:val="24"/>
          <w:lang w:val="en-US" w:eastAsia="zh-CN"/>
        </w:rPr>
        <w:t>8</w:t>
      </w:r>
      <w:r>
        <w:rPr>
          <w:rFonts w:hint="eastAsia" w:ascii="宋体" w:hAnsi="宋体" w:cs="宋体"/>
          <w:color w:val="auto"/>
          <w:sz w:val="24"/>
        </w:rPr>
        <w:t>”，浙江政府采购网招标公告中的项目编号为“</w:t>
      </w:r>
      <w:r>
        <w:rPr>
          <w:rFonts w:hint="eastAsia" w:ascii="宋体" w:hAnsi="宋体" w:cs="宋体"/>
          <w:color w:val="auto"/>
          <w:sz w:val="24"/>
        </w:rPr>
        <w:fldChar w:fldCharType="begin"/>
      </w:r>
      <w:r>
        <w:rPr>
          <w:rFonts w:hint="eastAsia" w:ascii="宋体" w:hAnsi="宋体" w:cs="宋体"/>
          <w:color w:val="auto"/>
          <w:sz w:val="24"/>
        </w:rPr>
        <w:instrText xml:space="preserve"> HYPERLINK "https://pay.zcygov.cn/purchaseplan_front/" \l "/procurement-plan/plan/detail?id=1101000000838050&amp;_app_=zcy.purchase-plan" \t "https://www.zcygov.cn/delegation-order/_procurement_/order/_blank" </w:instrText>
      </w:r>
      <w:r>
        <w:rPr>
          <w:rFonts w:hint="eastAsia" w:ascii="宋体" w:hAnsi="宋体" w:cs="宋体"/>
          <w:color w:val="auto"/>
          <w:sz w:val="24"/>
        </w:rPr>
        <w:fldChar w:fldCharType="separate"/>
      </w:r>
      <w:r>
        <w:rPr>
          <w:rFonts w:hint="eastAsia" w:ascii="宋体" w:hAnsi="宋体" w:cs="宋体"/>
          <w:color w:val="auto"/>
          <w:sz w:val="24"/>
        </w:rPr>
        <w:t>330102262280010000002</w:t>
      </w:r>
      <w:r>
        <w:rPr>
          <w:rFonts w:hint="eastAsia" w:ascii="宋体" w:hAnsi="宋体" w:cs="宋体"/>
          <w:color w:val="auto"/>
          <w:sz w:val="24"/>
        </w:rPr>
        <w:fldChar w:fldCharType="end"/>
      </w:r>
      <w:r>
        <w:rPr>
          <w:rFonts w:hint="eastAsia" w:ascii="宋体" w:hAnsi="宋体" w:cs="宋体"/>
          <w:color w:val="auto"/>
          <w:sz w:val="24"/>
        </w:rPr>
        <w:t>-SCCG2026-GK-0</w:t>
      </w:r>
      <w:r>
        <w:rPr>
          <w:rFonts w:hint="eastAsia" w:ascii="宋体" w:hAnsi="宋体" w:cs="宋体"/>
          <w:color w:val="auto"/>
          <w:sz w:val="24"/>
          <w:lang w:val="en-US" w:eastAsia="zh-CN"/>
        </w:rPr>
        <w:t>8</w:t>
      </w:r>
      <w:r>
        <w:rPr>
          <w:rFonts w:hint="eastAsia" w:ascii="宋体" w:hAnsi="宋体" w:cs="宋体"/>
          <w:color w:val="auto"/>
          <w:sz w:val="24"/>
        </w:rPr>
        <w:t>”，两者在采购活动中具有同等效力）。</w:t>
      </w:r>
    </w:p>
    <w:p>
      <w:pPr>
        <w:spacing w:line="360" w:lineRule="auto"/>
        <w:rPr>
          <w:rFonts w:ascii="宋体" w:hAnsi="宋体" w:cs="宋体"/>
          <w:b/>
          <w:sz w:val="24"/>
        </w:rPr>
      </w:pPr>
      <w:r>
        <w:rPr>
          <w:rFonts w:hint="eastAsia" w:ascii="宋体" w:hAnsi="宋体" w:cs="宋体"/>
          <w:b/>
          <w:sz w:val="24"/>
        </w:rPr>
        <w:t>七、对本次采购提出询问、质疑、投诉，请按以下方式联系</w:t>
      </w:r>
    </w:p>
    <w:p>
      <w:pPr>
        <w:spacing w:line="360" w:lineRule="auto"/>
        <w:rPr>
          <w:rFonts w:ascii="宋体" w:hAnsi="宋体" w:cs="宋体"/>
          <w:sz w:val="24"/>
        </w:rPr>
      </w:pPr>
      <w:r>
        <w:rPr>
          <w:rFonts w:hint="eastAsia" w:ascii="宋体" w:hAnsi="宋体" w:cs="宋体"/>
          <w:sz w:val="24"/>
        </w:rPr>
        <w:t xml:space="preserve">    1.采购人信息</w:t>
      </w:r>
    </w:p>
    <w:p>
      <w:pPr>
        <w:spacing w:line="360" w:lineRule="auto"/>
        <w:rPr>
          <w:rFonts w:ascii="宋体" w:hAnsi="宋体" w:cs="宋体"/>
          <w:color w:val="auto"/>
          <w:sz w:val="24"/>
        </w:rPr>
      </w:pPr>
      <w:r>
        <w:rPr>
          <w:rFonts w:hint="eastAsia" w:ascii="宋体" w:hAnsi="宋体" w:cs="宋体"/>
          <w:sz w:val="24"/>
        </w:rPr>
        <w:t xml:space="preserve">   </w:t>
      </w:r>
      <w:r>
        <w:rPr>
          <w:rFonts w:hint="eastAsia" w:ascii="宋体" w:hAnsi="宋体" w:cs="宋体"/>
          <w:color w:val="auto"/>
          <w:sz w:val="24"/>
        </w:rPr>
        <w:t xml:space="preserve"> 名    称：</w:t>
      </w:r>
      <w:r>
        <w:rPr>
          <w:rFonts w:hint="eastAsia" w:ascii="宋体" w:hAnsi="宋体" w:cs="宋体"/>
          <w:color w:val="auto"/>
          <w:sz w:val="24"/>
          <w:highlight w:val="none"/>
          <w:lang w:eastAsia="zh-CN"/>
        </w:rPr>
        <w:t>杭州市上城区人民政府小营街道办事处</w:t>
      </w:r>
      <w:r>
        <w:rPr>
          <w:rFonts w:hint="eastAsia" w:ascii="宋体" w:hAnsi="宋体" w:cs="宋体"/>
          <w:color w:val="auto"/>
          <w:sz w:val="24"/>
          <w:highlight w:val="none"/>
        </w:rPr>
        <w:t xml:space="preserve"> </w:t>
      </w: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地    址：</w:t>
      </w:r>
      <w:r>
        <w:rPr>
          <w:rFonts w:hint="eastAsia" w:ascii="宋体" w:hAnsi="宋体" w:cs="宋体"/>
          <w:color w:val="auto"/>
          <w:sz w:val="24"/>
          <w:highlight w:val="none"/>
        </w:rPr>
        <w:t>杭州市上城区建国南路98号</w:t>
      </w:r>
      <w:r>
        <w:rPr>
          <w:rFonts w:hint="eastAsia" w:ascii="宋体" w:hAnsi="宋体" w:eastAsia="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rPr>
        <w:t xml:space="preserve">       </w:t>
      </w:r>
    </w:p>
    <w:p>
      <w:pPr>
        <w:spacing w:line="360" w:lineRule="auto"/>
        <w:ind w:firstLine="480"/>
        <w:rPr>
          <w:rFonts w:ascii="宋体" w:hAnsi="宋体" w:cs="宋体"/>
          <w:color w:val="auto"/>
          <w:sz w:val="24"/>
        </w:rPr>
      </w:pPr>
      <w:r>
        <w:rPr>
          <w:rFonts w:hint="eastAsia" w:ascii="宋体" w:hAnsi="宋体" w:cs="宋体"/>
          <w:color w:val="auto"/>
          <w:sz w:val="24"/>
        </w:rPr>
        <w:t>传    真： /</w:t>
      </w:r>
    </w:p>
    <w:p>
      <w:pPr>
        <w:spacing w:line="360" w:lineRule="auto"/>
        <w:ind w:firstLine="480"/>
        <w:rPr>
          <w:rFonts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highlight w:val="none"/>
          <w:lang w:val="en-US" w:eastAsia="zh-CN"/>
        </w:rPr>
        <w:t>戴孟伶</w:t>
      </w:r>
      <w:r>
        <w:rPr>
          <w:rFonts w:hint="eastAsia" w:ascii="宋体" w:hAnsi="宋体" w:cs="宋体"/>
          <w:color w:val="auto"/>
          <w:sz w:val="24"/>
          <w:highlight w:val="none"/>
        </w:rPr>
        <w:t xml:space="preserve"> </w:t>
      </w: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项目联系方式（询问）：</w:t>
      </w:r>
      <w:r>
        <w:rPr>
          <w:rFonts w:hint="eastAsia" w:ascii="宋体" w:hAnsi="宋体" w:cs="宋体"/>
          <w:color w:val="auto"/>
          <w:sz w:val="24"/>
          <w:lang w:val="en-US" w:eastAsia="zh-CN"/>
        </w:rPr>
        <w:t>0571-81953602</w:t>
      </w:r>
      <w:r>
        <w:rPr>
          <w:rFonts w:hint="eastAsia" w:ascii="宋体" w:hAnsi="宋体" w:cs="宋体"/>
          <w:color w:val="auto"/>
          <w:sz w:val="24"/>
        </w:rPr>
        <w:t xml:space="preserve"> </w:t>
      </w:r>
    </w:p>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 xml:space="preserve">    质疑联系人：</w:t>
      </w:r>
      <w:r>
        <w:rPr>
          <w:rFonts w:hint="eastAsia" w:ascii="宋体" w:hAnsi="宋体" w:cs="宋体"/>
          <w:color w:val="auto"/>
          <w:sz w:val="24"/>
          <w:lang w:val="en-US" w:eastAsia="zh-CN"/>
        </w:rPr>
        <w:t>崔魁</w:t>
      </w:r>
    </w:p>
    <w:p>
      <w:pPr>
        <w:spacing w:line="360" w:lineRule="auto"/>
        <w:ind w:firstLine="480"/>
        <w:rPr>
          <w:rFonts w:ascii="宋体" w:hAnsi="宋体" w:cs="宋体"/>
          <w:color w:val="0000FF"/>
          <w:sz w:val="24"/>
          <w:highlight w:val="none"/>
        </w:rPr>
      </w:pPr>
      <w:r>
        <w:rPr>
          <w:rFonts w:hint="eastAsia" w:ascii="宋体" w:hAnsi="宋体" w:cs="宋体"/>
          <w:color w:val="auto"/>
          <w:sz w:val="24"/>
        </w:rPr>
        <w:t>质疑联系方式：</w:t>
      </w:r>
      <w:r>
        <w:rPr>
          <w:rFonts w:hint="eastAsia" w:ascii="宋体" w:hAnsi="宋体" w:cs="宋体"/>
          <w:color w:val="auto"/>
          <w:sz w:val="24"/>
          <w:highlight w:val="none"/>
          <w:lang w:val="en-US" w:eastAsia="zh-CN"/>
        </w:rPr>
        <w:t>0571-81956031</w:t>
      </w:r>
      <w:r>
        <w:rPr>
          <w:rFonts w:hint="eastAsia" w:ascii="宋体" w:hAnsi="宋体" w:cs="宋体"/>
          <w:color w:val="0000FF"/>
          <w:sz w:val="24"/>
          <w:highlight w:val="none"/>
        </w:rPr>
        <w:t xml:space="preserve"> </w:t>
      </w:r>
      <w:r>
        <w:rPr>
          <w:rFonts w:hint="eastAsia" w:ascii="宋体" w:hAnsi="宋体" w:cs="宋体"/>
          <w:color w:val="auto"/>
          <w:sz w:val="24"/>
          <w:highlight w:val="none"/>
          <w:lang w:val="en-US" w:eastAsia="zh-CN"/>
        </w:rPr>
        <w:t>（请通过以下路径在线提起质疑：政采云-项目采购-询问质疑投诉-质疑列表）</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highlight w:val="none"/>
        </w:rPr>
      </w:pPr>
      <w:r>
        <w:rPr>
          <w:rFonts w:hint="eastAsia" w:ascii="宋体" w:hAnsi="宋体" w:cs="宋体"/>
          <w:sz w:val="24"/>
          <w:highlight w:val="none"/>
        </w:rPr>
        <w:t>名    称：杭州市公共资源交易中心上城分中心</w:t>
      </w:r>
    </w:p>
    <w:p>
      <w:pPr>
        <w:spacing w:line="360" w:lineRule="auto"/>
        <w:ind w:firstLine="480"/>
        <w:rPr>
          <w:rFonts w:ascii="宋体" w:hAnsi="宋体" w:cs="宋体"/>
          <w:sz w:val="24"/>
          <w:highlight w:val="none"/>
        </w:rPr>
      </w:pPr>
      <w:r>
        <w:rPr>
          <w:rFonts w:hint="eastAsia" w:ascii="宋体" w:hAnsi="宋体" w:cs="宋体"/>
          <w:sz w:val="24"/>
          <w:highlight w:val="none"/>
        </w:rPr>
        <w:t>地    址：杭州市上城区凤起东路888号</w:t>
      </w:r>
      <w:r>
        <w:rPr>
          <w:rFonts w:hint="eastAsia" w:ascii="宋体" w:hAnsi="宋体" w:cs="宋体"/>
          <w:sz w:val="24"/>
          <w:highlight w:val="none"/>
          <w:lang w:val="en-US" w:eastAsia="zh-CN"/>
        </w:rPr>
        <w:t>畅聚新达大厦</w:t>
      </w:r>
      <w:r>
        <w:rPr>
          <w:rFonts w:hint="eastAsia" w:ascii="宋体" w:hAnsi="宋体" w:cs="宋体"/>
          <w:sz w:val="24"/>
          <w:highlight w:val="none"/>
        </w:rPr>
        <w:t>四楼</w:t>
      </w:r>
    </w:p>
    <w:p>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 xml:space="preserve">    传    真： </w:t>
      </w:r>
      <w:r>
        <w:rPr>
          <w:rFonts w:hint="eastAsia" w:ascii="宋体" w:hAnsi="宋体" w:cs="宋体"/>
          <w:sz w:val="24"/>
          <w:highlight w:val="none"/>
          <w:lang w:val="en-US" w:eastAsia="zh-CN"/>
        </w:rPr>
        <w:t>/</w:t>
      </w:r>
    </w:p>
    <w:p>
      <w:pPr>
        <w:spacing w:line="360" w:lineRule="auto"/>
        <w:rPr>
          <w:rFonts w:hint="eastAsia" w:ascii="宋体" w:hAnsi="宋体" w:eastAsia="宋体" w:cs="宋体"/>
          <w:color w:val="auto"/>
          <w:sz w:val="24"/>
          <w:highlight w:val="none"/>
          <w:lang w:eastAsia="zh-CN"/>
        </w:rPr>
      </w:pPr>
      <w:r>
        <w:rPr>
          <w:rFonts w:hint="eastAsia" w:ascii="宋体" w:hAnsi="宋体" w:cs="宋体"/>
          <w:sz w:val="24"/>
          <w:highlight w:val="none"/>
        </w:rPr>
        <w:t xml:space="preserve">   </w:t>
      </w: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陈工</w:t>
      </w:r>
    </w:p>
    <w:p>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项目联系方式（询问）：0571-</w:t>
      </w:r>
      <w:r>
        <w:rPr>
          <w:rFonts w:hint="eastAsia" w:ascii="宋体" w:hAnsi="宋体" w:cs="宋体"/>
          <w:color w:val="auto"/>
          <w:sz w:val="24"/>
          <w:highlight w:val="none"/>
          <w:lang w:val="en-US" w:eastAsia="zh-CN"/>
        </w:rPr>
        <w:t>87654242</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宋老师</w:t>
      </w:r>
      <w:r>
        <w:rPr>
          <w:rFonts w:hint="eastAsia" w:ascii="宋体" w:hAnsi="宋体" w:cs="宋体"/>
          <w:color w:val="auto"/>
          <w:sz w:val="24"/>
          <w:highlight w:val="none"/>
        </w:rPr>
        <w:t xml:space="preserve">  </w:t>
      </w:r>
    </w:p>
    <w:p>
      <w:pPr>
        <w:spacing w:line="360" w:lineRule="auto"/>
        <w:ind w:firstLine="480"/>
        <w:rPr>
          <w:rFonts w:ascii="宋体" w:hAnsi="宋体" w:cs="宋体"/>
          <w:color w:val="FF0000"/>
          <w:sz w:val="24"/>
          <w:highlight w:val="none"/>
        </w:rPr>
      </w:pPr>
      <w:r>
        <w:rPr>
          <w:rFonts w:hint="eastAsia" w:ascii="宋体" w:hAnsi="宋体" w:cs="宋体"/>
          <w:color w:val="auto"/>
          <w:sz w:val="24"/>
          <w:highlight w:val="none"/>
        </w:rPr>
        <w:t>质疑联系方式：0571-</w:t>
      </w:r>
      <w:r>
        <w:rPr>
          <w:rFonts w:hint="eastAsia" w:ascii="宋体" w:hAnsi="宋体" w:cs="宋体"/>
          <w:color w:val="auto"/>
          <w:sz w:val="24"/>
          <w:highlight w:val="none"/>
          <w:lang w:val="en-US" w:eastAsia="zh-CN"/>
        </w:rPr>
        <w:t>87654292（请通过以下路径在线提起质疑：政采云-项目采购-询问质疑投诉-质疑列表）</w:t>
      </w:r>
    </w:p>
    <w:p>
      <w:pPr>
        <w:spacing w:line="360" w:lineRule="auto"/>
        <w:rPr>
          <w:rFonts w:hint="eastAsia" w:ascii="宋体" w:hAnsi="宋体" w:eastAsia="宋体" w:cs="宋体"/>
          <w:color w:val="auto"/>
          <w:sz w:val="24"/>
          <w:lang w:val="en-US" w:eastAsia="zh-CN"/>
        </w:rPr>
      </w:pPr>
      <w:r>
        <w:rPr>
          <w:rFonts w:hint="eastAsia" w:ascii="宋体" w:hAnsi="宋体" w:cs="宋体"/>
          <w:sz w:val="24"/>
          <w:highlight w:val="none"/>
        </w:rPr>
        <w:t xml:space="preserve">    3.</w:t>
      </w:r>
      <w:r>
        <w:rPr>
          <w:rFonts w:hint="eastAsia" w:ascii="宋体" w:hAnsi="宋体" w:eastAsia="宋体" w:cs="宋体"/>
          <w:color w:val="auto"/>
          <w:sz w:val="24"/>
          <w:lang w:val="en-US" w:eastAsia="zh-CN"/>
        </w:rPr>
        <w:t xml:space="preserve">同级政府采购监督管理部门            </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名  称：杭州市上城区财政局/浙江省政府采购行政裁决服务中心（杭州）</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地    址：</w:t>
      </w:r>
      <w:r>
        <w:rPr>
          <w:rFonts w:hint="eastAsia" w:ascii="宋体" w:hAnsi="宋体" w:eastAsia="宋体" w:cs="宋体"/>
          <w:color w:val="auto"/>
          <w:sz w:val="24"/>
          <w:highlight w:val="none"/>
          <w:lang w:val="en-US" w:eastAsia="zh-CN"/>
        </w:rPr>
        <w:t>杭州市上城区清泰街549号城建综合大楼11楼（快递仅限ems或顺丰）</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传    真： /</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 ：朱女士、王女士</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监督投诉电话：0571-87227671,0571-87800218</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政策咨询电话：严女士，0571-89500858，陈女士，单女士，0571-89500861</w:t>
      </w: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pPr>
        <w:widowControl/>
        <w:adjustRightInd/>
        <w:jc w:val="left"/>
        <w:rPr>
          <w:rFonts w:ascii="宋体" w:hAnsi="宋体" w:cs="宋体"/>
          <w:b/>
          <w:sz w:val="36"/>
          <w:szCs w:val="20"/>
        </w:rPr>
      </w:pPr>
      <w:r>
        <w:rPr>
          <w:rFonts w:ascii="宋体" w:hAnsi="宋体" w:cs="宋体"/>
          <w:b/>
          <w:sz w:val="36"/>
          <w:szCs w:val="20"/>
        </w:rPr>
        <w:br w:type="page"/>
      </w:r>
    </w:p>
    <w:p>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629"/>
        <w:gridCol w:w="1843"/>
        <w:gridCol w:w="60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blHeader/>
        </w:trPr>
        <w:tc>
          <w:tcPr>
            <w:tcW w:w="629" w:type="dxa"/>
            <w:tcBorders>
              <w:tl2br w:val="nil"/>
              <w:tr2bl w:val="nil"/>
            </w:tcBorders>
          </w:tcPr>
          <w:p>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043" w:hRule="atLeast"/>
          <w:tblHeader/>
        </w:trPr>
        <w:tc>
          <w:tcPr>
            <w:tcW w:w="629" w:type="dxa"/>
            <w:tcBorders>
              <w:tl2br w:val="nil"/>
              <w:tr2bl w:val="nil"/>
            </w:tcBorders>
            <w:vAlign w:val="center"/>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l2br w:val="nil"/>
              <w:tr2bl w:val="nil"/>
            </w:tcBorders>
            <w:vAlign w:val="center"/>
          </w:tcPr>
          <w:p>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服务类。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05" w:hRule="atLeast"/>
          <w:tblHeader/>
        </w:trPr>
        <w:tc>
          <w:tcPr>
            <w:tcW w:w="629" w:type="dxa"/>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l2br w:val="nil"/>
              <w:tr2bl w:val="nil"/>
            </w:tcBorders>
            <w:vAlign w:val="center"/>
          </w:tcPr>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杭州市上城区小营街道南片6个社区（长明寺巷、金钱巷、茅廊巷、西牌楼、梅花碑、姚园寺巷社区）准物业服务项目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pPr>
              <w:pStyle w:val="4"/>
              <w:ind w:left="0" w:leftChars="0" w:firstLine="0" w:firstLineChars="0"/>
              <w:rPr>
                <w:rFonts w:ascii="宋体" w:hAnsi="宋体" w:eastAsia="宋体" w:cs="宋体"/>
                <w:lang w:val="en-US"/>
              </w:rPr>
            </w:pPr>
            <w:r>
              <w:rPr>
                <w:rFonts w:hint="eastAsia" w:ascii="宋体" w:hAnsi="宋体" w:eastAsia="宋体" w:cs="宋体"/>
                <w:b w:val="0"/>
                <w:bCs w:val="0"/>
                <w:color w:val="auto"/>
                <w:kern w:val="2"/>
                <w:sz w:val="24"/>
                <w:szCs w:val="24"/>
                <w:lang w:val="en-US" w:eastAsia="zh-CN" w:bidi="ar-SA"/>
              </w:rPr>
              <w:t>根据《关于印发中小企业划型标准规定的通知》（工信部联企业〔2011〕300号）第四条规定：</w:t>
            </w:r>
            <w:r>
              <w:rPr>
                <w:rFonts w:hint="eastAsia" w:ascii="宋体" w:hAnsi="宋体" w:eastAsia="宋体" w:cs="宋体"/>
                <w:b w:val="0"/>
                <w:bCs w:val="0"/>
                <w:color w:val="auto"/>
                <w:kern w:val="2"/>
                <w:sz w:val="24"/>
                <w:szCs w:val="24"/>
                <w:highlight w:val="none"/>
                <w:lang w:val="en-US" w:eastAsia="zh-CN" w:bidi="ar-SA"/>
              </w:rPr>
              <w:t>物业管理</w:t>
            </w:r>
            <w:r>
              <w:rPr>
                <w:rFonts w:hint="eastAsia" w:ascii="宋体" w:hAnsi="宋体" w:eastAsia="宋体" w:cs="宋体"/>
                <w:b w:val="0"/>
                <w:bCs w:val="0"/>
                <w:color w:val="auto"/>
                <w:kern w:val="2"/>
                <w:sz w:val="24"/>
                <w:szCs w:val="24"/>
                <w:lang w:val="en-US" w:eastAsia="zh-CN" w:bidi="ar-SA"/>
              </w:rPr>
              <w:t>行业。从业人员</w:t>
            </w:r>
            <w:r>
              <w:rPr>
                <w:rFonts w:hint="eastAsia" w:ascii="宋体" w:hAnsi="宋体" w:eastAsia="宋体" w:cs="宋体"/>
                <w:b w:val="0"/>
                <w:bCs w:val="0"/>
                <w:color w:val="auto"/>
                <w:kern w:val="2"/>
                <w:sz w:val="24"/>
                <w:szCs w:val="24"/>
                <w:highlight w:val="none"/>
                <w:lang w:val="en-US" w:eastAsia="zh-CN" w:bidi="ar-SA"/>
              </w:rPr>
              <w:t>1000</w:t>
            </w:r>
            <w:r>
              <w:rPr>
                <w:rFonts w:hint="eastAsia" w:ascii="宋体" w:hAnsi="宋体" w:eastAsia="宋体" w:cs="宋体"/>
                <w:b w:val="0"/>
                <w:bCs w:val="0"/>
                <w:color w:val="auto"/>
                <w:kern w:val="2"/>
                <w:sz w:val="24"/>
                <w:szCs w:val="24"/>
                <w:lang w:val="en-US" w:eastAsia="zh-CN" w:bidi="ar-SA"/>
              </w:rPr>
              <w:t>人以下或营业收入</w:t>
            </w:r>
            <w:r>
              <w:rPr>
                <w:rFonts w:hint="eastAsia" w:ascii="宋体" w:hAnsi="宋体" w:eastAsia="宋体" w:cs="宋体"/>
                <w:b w:val="0"/>
                <w:bCs w:val="0"/>
                <w:color w:val="auto"/>
                <w:kern w:val="2"/>
                <w:sz w:val="24"/>
                <w:szCs w:val="24"/>
                <w:highlight w:val="none"/>
                <w:lang w:val="en-US" w:eastAsia="zh-CN" w:bidi="ar-SA"/>
              </w:rPr>
              <w:t>5000</w:t>
            </w:r>
            <w:r>
              <w:rPr>
                <w:rFonts w:hint="eastAsia" w:ascii="宋体" w:hAnsi="宋体" w:eastAsia="宋体" w:cs="宋体"/>
                <w:b w:val="0"/>
                <w:bCs w:val="0"/>
                <w:color w:val="auto"/>
                <w:kern w:val="2"/>
                <w:sz w:val="24"/>
                <w:szCs w:val="24"/>
                <w:lang w:val="en-US" w:eastAsia="zh-CN" w:bidi="ar-SA"/>
              </w:rPr>
              <w:t>万元以下的为中小微型企业。其中，从业人员</w:t>
            </w:r>
            <w:r>
              <w:rPr>
                <w:rFonts w:hint="eastAsia" w:ascii="宋体" w:hAnsi="宋体" w:eastAsia="宋体" w:cs="宋体"/>
                <w:b w:val="0"/>
                <w:bCs w:val="0"/>
                <w:color w:val="auto"/>
                <w:kern w:val="2"/>
                <w:sz w:val="24"/>
                <w:szCs w:val="24"/>
                <w:highlight w:val="none"/>
                <w:lang w:val="en-US" w:eastAsia="zh-CN" w:bidi="ar-SA"/>
              </w:rPr>
              <w:t>300</w:t>
            </w:r>
            <w:r>
              <w:rPr>
                <w:rFonts w:hint="eastAsia" w:ascii="宋体" w:hAnsi="宋体" w:eastAsia="宋体" w:cs="宋体"/>
                <w:b w:val="0"/>
                <w:bCs w:val="0"/>
                <w:color w:val="auto"/>
                <w:kern w:val="2"/>
                <w:sz w:val="24"/>
                <w:szCs w:val="24"/>
                <w:lang w:val="en-US" w:eastAsia="zh-CN" w:bidi="ar-SA"/>
              </w:rPr>
              <w:t>人及以上，且营业收入</w:t>
            </w:r>
            <w:r>
              <w:rPr>
                <w:rFonts w:hint="eastAsia" w:ascii="宋体" w:hAnsi="宋体" w:eastAsia="宋体" w:cs="宋体"/>
                <w:b w:val="0"/>
                <w:bCs w:val="0"/>
                <w:color w:val="auto"/>
                <w:kern w:val="2"/>
                <w:sz w:val="24"/>
                <w:szCs w:val="24"/>
                <w:highlight w:val="none"/>
                <w:lang w:val="en-US" w:eastAsia="zh-CN" w:bidi="ar-SA"/>
              </w:rPr>
              <w:t>1000</w:t>
            </w:r>
            <w:r>
              <w:rPr>
                <w:rFonts w:hint="eastAsia" w:ascii="宋体" w:hAnsi="宋体" w:eastAsia="宋体" w:cs="宋体"/>
                <w:b w:val="0"/>
                <w:bCs w:val="0"/>
                <w:color w:val="auto"/>
                <w:kern w:val="2"/>
                <w:sz w:val="24"/>
                <w:szCs w:val="24"/>
                <w:lang w:val="en-US" w:eastAsia="zh-CN" w:bidi="ar-SA"/>
              </w:rPr>
              <w:t>万元及以上的为中型企业；从业人员</w:t>
            </w:r>
            <w:r>
              <w:rPr>
                <w:rFonts w:hint="eastAsia" w:ascii="宋体" w:hAnsi="宋体" w:eastAsia="宋体" w:cs="宋体"/>
                <w:b w:val="0"/>
                <w:bCs w:val="0"/>
                <w:color w:val="auto"/>
                <w:kern w:val="2"/>
                <w:sz w:val="24"/>
                <w:szCs w:val="24"/>
                <w:highlight w:val="none"/>
                <w:lang w:val="en-US" w:eastAsia="zh-CN" w:bidi="ar-SA"/>
              </w:rPr>
              <w:t>100</w:t>
            </w:r>
            <w:r>
              <w:rPr>
                <w:rFonts w:hint="eastAsia" w:ascii="宋体" w:hAnsi="宋体" w:eastAsia="宋体" w:cs="宋体"/>
                <w:b w:val="0"/>
                <w:bCs w:val="0"/>
                <w:color w:val="auto"/>
                <w:kern w:val="2"/>
                <w:sz w:val="24"/>
                <w:szCs w:val="24"/>
                <w:lang w:val="en-US" w:eastAsia="zh-CN" w:bidi="ar-SA"/>
              </w:rPr>
              <w:t>人及以上，且营业收入</w:t>
            </w:r>
            <w:r>
              <w:rPr>
                <w:rFonts w:hint="eastAsia" w:ascii="宋体" w:hAnsi="宋体" w:eastAsia="宋体" w:cs="宋体"/>
                <w:b w:val="0"/>
                <w:bCs w:val="0"/>
                <w:color w:val="auto"/>
                <w:kern w:val="2"/>
                <w:sz w:val="24"/>
                <w:szCs w:val="24"/>
                <w:highlight w:val="none"/>
                <w:lang w:val="en-US" w:eastAsia="zh-CN" w:bidi="ar-SA"/>
              </w:rPr>
              <w:t>500</w:t>
            </w:r>
            <w:r>
              <w:rPr>
                <w:rFonts w:hint="eastAsia" w:ascii="宋体" w:hAnsi="宋体" w:eastAsia="宋体" w:cs="宋体"/>
                <w:b w:val="0"/>
                <w:bCs w:val="0"/>
                <w:color w:val="auto"/>
                <w:kern w:val="2"/>
                <w:sz w:val="24"/>
                <w:szCs w:val="24"/>
                <w:lang w:val="en-US" w:eastAsia="zh-CN" w:bidi="ar-SA"/>
              </w:rPr>
              <w:t>万元及以上的为小型企业；从业人员</w:t>
            </w:r>
            <w:r>
              <w:rPr>
                <w:rFonts w:hint="eastAsia" w:ascii="宋体" w:hAnsi="宋体" w:eastAsia="宋体" w:cs="宋体"/>
                <w:b w:val="0"/>
                <w:bCs w:val="0"/>
                <w:color w:val="auto"/>
                <w:kern w:val="2"/>
                <w:sz w:val="24"/>
                <w:szCs w:val="24"/>
                <w:highlight w:val="none"/>
                <w:lang w:val="en-US" w:eastAsia="zh-CN" w:bidi="ar-SA"/>
              </w:rPr>
              <w:t>100</w:t>
            </w:r>
            <w:r>
              <w:rPr>
                <w:rFonts w:hint="eastAsia" w:ascii="宋体" w:hAnsi="宋体" w:eastAsia="宋体" w:cs="宋体"/>
                <w:b w:val="0"/>
                <w:bCs w:val="0"/>
                <w:color w:val="auto"/>
                <w:kern w:val="2"/>
                <w:sz w:val="24"/>
                <w:szCs w:val="24"/>
                <w:lang w:val="en-US" w:eastAsia="zh-CN" w:bidi="ar-SA"/>
              </w:rPr>
              <w:t>人以下或营业收入</w:t>
            </w:r>
            <w:r>
              <w:rPr>
                <w:rFonts w:hint="eastAsia" w:ascii="宋体" w:hAnsi="宋体" w:eastAsia="宋体" w:cs="宋体"/>
                <w:b w:val="0"/>
                <w:bCs w:val="0"/>
                <w:color w:val="auto"/>
                <w:kern w:val="2"/>
                <w:sz w:val="24"/>
                <w:szCs w:val="24"/>
                <w:highlight w:val="none"/>
                <w:lang w:val="en-US" w:eastAsia="zh-CN" w:bidi="ar-SA"/>
              </w:rPr>
              <w:t>500</w:t>
            </w:r>
            <w:r>
              <w:rPr>
                <w:rFonts w:hint="eastAsia" w:ascii="宋体" w:hAnsi="宋体" w:eastAsia="宋体" w:cs="宋体"/>
                <w:b w:val="0"/>
                <w:bCs w:val="0"/>
                <w:color w:val="auto"/>
                <w:kern w:val="2"/>
                <w:sz w:val="24"/>
                <w:szCs w:val="24"/>
                <w:lang w:val="en-US" w:eastAsia="zh-CN" w:bidi="ar-SA"/>
              </w:rPr>
              <w:t>万元以下的为微型企业。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05" w:hRule="atLeast"/>
          <w:tblHeader/>
        </w:trPr>
        <w:tc>
          <w:tcPr>
            <w:tcW w:w="629" w:type="dxa"/>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l2br w:val="nil"/>
              <w:tr2bl w:val="nil"/>
            </w:tcBorders>
            <w:vAlign w:val="center"/>
          </w:tcPr>
          <w:p>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05" w:hRule="atLeast"/>
          <w:tblHeader/>
        </w:trPr>
        <w:tc>
          <w:tcPr>
            <w:tcW w:w="629" w:type="dxa"/>
            <w:tcBorders>
              <w:tl2br w:val="nil"/>
              <w:tr2bl w:val="nil"/>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l2br w:val="nil"/>
              <w:tr2bl w:val="nil"/>
            </w:tcBorders>
            <w:vAlign w:val="center"/>
          </w:tcPr>
          <w:p>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l2br w:val="nil"/>
              <w:tr2bl w:val="nil"/>
            </w:tcBorders>
            <w:vAlign w:val="center"/>
          </w:tcPr>
          <w:p>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宋体" w:cs="宋体"/>
                    <w:kern w:val="0"/>
                    <w:sz w:val="24"/>
                    <w:szCs w:val="24"/>
                    <w:lang w:val="en-US" w:eastAsia="zh-CN" w:bidi="ar-SA"/>
                  </w:rPr>
                  <w:t>☐</w:t>
                </w:r>
              </w:sdtContent>
            </w:sdt>
            <w:r>
              <w:rPr>
                <w:rFonts w:hint="eastAsia" w:ascii="宋体" w:hAnsi="宋体" w:cs="宋体"/>
                <w:kern w:val="0"/>
                <w:sz w:val="24"/>
              </w:rPr>
              <w:t xml:space="preserve"> A</w:t>
            </w:r>
            <w:r>
              <w:rPr>
                <w:rFonts w:hint="eastAsia" w:ascii="宋体" w:hAnsi="宋体" w:cs="宋体"/>
                <w:color w:val="auto"/>
                <w:kern w:val="0"/>
                <w:sz w:val="24"/>
                <w:highlight w:val="none"/>
                <w:lang w:eastAsia="zh-CN"/>
              </w:rPr>
              <w:t>采购人</w:t>
            </w:r>
            <w:r>
              <w:rPr>
                <w:rFonts w:hint="eastAsia" w:ascii="宋体" w:hAnsi="宋体" w:cs="宋体"/>
                <w:color w:val="auto"/>
                <w:sz w:val="24"/>
                <w:highlight w:val="none"/>
                <w:lang w:eastAsia="zh-CN"/>
              </w:rPr>
              <w:t>仅</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sdt>
              <w:sdtPr>
                <w:rPr>
                  <w:rFonts w:hint="eastAsia" w:ascii="宋体" w:hAnsi="宋体" w:cs="宋体"/>
                  <w:color w:val="auto"/>
                  <w:kern w:val="0"/>
                  <w:sz w:val="24"/>
                </w:rPr>
                <w:id w:val="-127633135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 xml:space="preserve"> B</w:t>
            </w:r>
            <w:r>
              <w:rPr>
                <w:rFonts w:hint="eastAsia" w:ascii="宋体" w:hAnsi="宋体" w:cs="宋体"/>
                <w:color w:val="auto"/>
                <w:sz w:val="24"/>
              </w:rPr>
              <w:t>不同意分</w:t>
            </w:r>
            <w:r>
              <w:rPr>
                <w:rFonts w:hint="eastAsia" w:ascii="宋体" w:hAnsi="宋体" w:cs="宋体"/>
                <w:sz w:val="24"/>
              </w:rPr>
              <w:t>包。</w:t>
            </w:r>
          </w:p>
          <w:p>
            <w:pPr>
              <w:spacing w:line="360" w:lineRule="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05" w:hRule="atLeast"/>
          <w:tblHeader/>
        </w:trPr>
        <w:tc>
          <w:tcPr>
            <w:tcW w:w="629" w:type="dxa"/>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l2br w:val="nil"/>
              <w:tr2bl w:val="nil"/>
            </w:tcBorders>
            <w:vAlign w:val="center"/>
          </w:tcPr>
          <w:p>
            <w:pPr>
              <w:spacing w:line="360" w:lineRule="auto"/>
              <w:rPr>
                <w:highlight w:val="none"/>
              </w:rPr>
            </w:pPr>
            <w:sdt>
              <w:sdtPr>
                <w:rPr>
                  <w:rFonts w:hint="eastAsia"/>
                  <w:highlight w:val="none"/>
                </w:rPr>
                <w:id w:val="-212966419"/>
                <w14:checkbox>
                  <w14:checked w14:val="1"/>
                  <w14:checkedState w14:val="00FE" w14:font="Wingdings"/>
                  <w14:uncheckedState w14:val="2610" w14:font="MS Gothic"/>
                </w14:checkbox>
              </w:sdtPr>
              <w:sdtEndPr>
                <w:rPr>
                  <w:rFonts w:hint="eastAsia"/>
                  <w:highlight w:val="none"/>
                </w:rPr>
              </w:sdtEndPr>
              <w:sdtContent>
                <w:r>
                  <w:rPr>
                    <w:rFonts w:hint="eastAsia" w:ascii="Wingdings" w:hAnsi="Wingdings" w:eastAsia="宋体" w:cs="Times New Roman"/>
                    <w:kern w:val="2"/>
                    <w:sz w:val="21"/>
                    <w:szCs w:val="24"/>
                    <w:highlight w:val="none"/>
                    <w:lang w:val="en-US" w:eastAsia="zh-CN" w:bidi="ar-SA"/>
                  </w:rPr>
                  <w:t>þ</w:t>
                </w:r>
              </w:sdtContent>
            </w:sdt>
            <w:r>
              <w:rPr>
                <w:rFonts w:hint="eastAsia"/>
                <w:highlight w:val="none"/>
              </w:rPr>
              <w:t>A不组织。</w:t>
            </w:r>
          </w:p>
          <w:p>
            <w:pPr>
              <w:spacing w:line="360" w:lineRule="auto"/>
              <w:rPr>
                <w:rFonts w:hint="eastAsia"/>
                <w:highlight w:val="none"/>
              </w:rPr>
            </w:pPr>
            <w:sdt>
              <w:sdtPr>
                <w:rPr>
                  <w:rFonts w:hint="eastAsia"/>
                  <w:highlight w:val="none"/>
                </w:rPr>
                <w:id w:val="-999802974"/>
                <w14:checkbox>
                  <w14:checked w14:val="0"/>
                  <w14:checkedState w14:val="00FE" w14:font="Wingdings"/>
                  <w14:uncheckedState w14:val="2610" w14:font="MS Gothic"/>
                </w14:checkbox>
              </w:sdtPr>
              <w:sdtEndPr>
                <w:rPr>
                  <w:rFonts w:hint="eastAsia"/>
                  <w:highlight w:val="none"/>
                </w:rPr>
              </w:sdtEndPr>
              <w:sdtContent>
                <w:r>
                  <w:rPr>
                    <w:rFonts w:hint="eastAsia"/>
                    <w:highlight w:val="none"/>
                  </w:rPr>
                  <w:t>☐</w:t>
                </w:r>
              </w:sdtContent>
            </w:sdt>
            <w:r>
              <w:rPr>
                <w:rFonts w:hint="eastAsia"/>
                <w:highlight w:val="none"/>
              </w:rPr>
              <w:t>B组织，时间：</w:t>
            </w:r>
            <w:r>
              <w:rPr>
                <w:rFonts w:hint="eastAsia" w:ascii="宋体" w:hAnsi="宋体" w:cs="宋体"/>
                <w:sz w:val="24"/>
                <w:highlight w:val="none"/>
                <w:u w:val="single"/>
              </w:rPr>
              <w:t xml:space="preserve">     </w:t>
            </w:r>
            <w:r>
              <w:rPr>
                <w:rFonts w:hint="eastAsia"/>
                <w:highlight w:val="none"/>
              </w:rPr>
              <w:t xml:space="preserve"> ,地点：</w:t>
            </w:r>
            <w:r>
              <w:rPr>
                <w:rFonts w:hint="eastAsia" w:ascii="宋体" w:hAnsi="宋体" w:cs="宋体"/>
                <w:sz w:val="24"/>
                <w:highlight w:val="none"/>
                <w:u w:val="single"/>
              </w:rPr>
              <w:t xml:space="preserve">     </w:t>
            </w:r>
            <w:r>
              <w:rPr>
                <w:rFonts w:hint="eastAsia"/>
                <w:highlight w:val="none"/>
              </w:rPr>
              <w:t>，联系人：</w:t>
            </w:r>
            <w:r>
              <w:rPr>
                <w:rFonts w:hint="eastAsia" w:ascii="宋体" w:hAnsi="宋体" w:cs="宋体"/>
                <w:sz w:val="24"/>
                <w:highlight w:val="none"/>
                <w:u w:val="single"/>
              </w:rPr>
              <w:t xml:space="preserve">     </w:t>
            </w:r>
            <w:r>
              <w:rPr>
                <w:rFonts w:hint="eastAsia"/>
                <w:highlight w:val="none"/>
              </w:rPr>
              <w:t>，联系方式</w:t>
            </w:r>
            <w:r>
              <w:rPr>
                <w:rFonts w:hint="eastAsia"/>
                <w:highlight w:val="none"/>
                <w:lang w:eastAsia="zh-CN"/>
              </w:rPr>
              <w:t>：</w:t>
            </w:r>
            <w:r>
              <w:rPr>
                <w:rFonts w:hint="eastAsia" w:ascii="宋体" w:hAnsi="宋体" w:cs="宋体"/>
                <w:sz w:val="24"/>
                <w:highlight w:val="none"/>
                <w:u w:val="single"/>
              </w:rPr>
              <w:t xml:space="preserve">     </w:t>
            </w:r>
            <w:r>
              <w:rPr>
                <w:rFonts w:hint="eastAsia"/>
                <w:highlight w:val="none"/>
              </w:rPr>
              <w:t>。</w:t>
            </w:r>
          </w:p>
          <w:p>
            <w:pPr>
              <w:pStyle w:val="2"/>
              <w:ind w:firstLine="0" w:firstLineChars="0"/>
              <w:rPr>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w:t>
            </w:r>
            <w:r>
              <w:rPr>
                <w:rFonts w:hint="eastAsia" w:ascii="宋体" w:hAnsi="宋体" w:cs="宋体"/>
                <w:sz w:val="24"/>
                <w:highlight w:val="none"/>
                <w:u w:val="single"/>
              </w:rPr>
              <w:t xml:space="preserve">     </w:t>
            </w:r>
            <w:r>
              <w:rPr>
                <w:rFonts w:hint="eastAsia" w:ascii="宋体" w:hAnsi="宋体" w:eastAsia="宋体" w:cs="宋体"/>
                <w:color w:val="auto"/>
                <w:kern w:val="0"/>
                <w:sz w:val="24"/>
                <w:szCs w:val="24"/>
                <w:highlight w:val="none"/>
                <w:lang w:val="en-US" w:eastAsia="zh-CN" w:bidi="ar-SA"/>
              </w:rPr>
              <w:t>，联系人：</w:t>
            </w:r>
            <w:r>
              <w:rPr>
                <w:rFonts w:hint="eastAsia" w:ascii="宋体" w:hAnsi="宋体" w:cs="宋体"/>
                <w:sz w:val="24"/>
                <w:highlight w:val="none"/>
                <w:u w:val="single"/>
              </w:rPr>
              <w:t xml:space="preserve">     </w:t>
            </w:r>
            <w:r>
              <w:rPr>
                <w:rFonts w:hint="eastAsia" w:ascii="宋体" w:hAnsi="宋体" w:eastAsia="宋体" w:cs="宋体"/>
                <w:color w:val="auto"/>
                <w:kern w:val="0"/>
                <w:sz w:val="24"/>
                <w:szCs w:val="24"/>
                <w:highlight w:val="none"/>
                <w:lang w:val="en-US" w:eastAsia="zh-CN" w:bidi="ar-SA"/>
              </w:rPr>
              <w:t xml:space="preserve"> ，联系方式：</w:t>
            </w:r>
            <w:r>
              <w:rPr>
                <w:rFonts w:hint="eastAsia" w:ascii="宋体" w:hAnsi="宋体" w:cs="宋体"/>
                <w:sz w:val="24"/>
                <w:highlight w:val="none"/>
                <w:u w:val="single"/>
              </w:rPr>
              <w:t xml:space="preserve">     </w:t>
            </w:r>
            <w:r>
              <w:rPr>
                <w:rFonts w:hint="eastAsia" w:ascii="宋体" w:hAnsi="宋体" w:eastAsia="宋体" w:cs="宋体"/>
                <w:color w:val="auto"/>
                <w:kern w:val="0"/>
                <w:sz w:val="24"/>
                <w:szCs w:val="24"/>
                <w:highlight w:val="none"/>
                <w:lang w:val="en-US" w:eastAsia="zh-CN" w:bidi="ar-SA"/>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05" w:hRule="atLeast"/>
          <w:tblHeader/>
        </w:trPr>
        <w:tc>
          <w:tcPr>
            <w:tcW w:w="629" w:type="dxa"/>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l2br w:val="nil"/>
              <w:tr2bl w:val="nil"/>
            </w:tcBorders>
            <w:vAlign w:val="center"/>
          </w:tcPr>
          <w:p>
            <w:pPr>
              <w:spacing w:line="360" w:lineRule="auto"/>
              <w:rPr>
                <w:rFonts w:hint="eastAsia" w:ascii="宋体" w:hAnsi="宋体" w:cs="宋体"/>
                <w:sz w:val="24"/>
                <w:highlight w:val="none"/>
              </w:rPr>
            </w:pPr>
            <w:sdt>
              <w:sdtPr>
                <w:rPr>
                  <w:rFonts w:hint="eastAsia" w:ascii="宋体" w:hAnsi="宋体" w:cs="宋体"/>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不要求提供。</w:t>
            </w:r>
          </w:p>
          <w:p>
            <w:pPr>
              <w:spacing w:line="360" w:lineRule="auto"/>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w:t>
            </w:r>
            <w:r>
              <w:rPr>
                <w:rFonts w:hint="eastAsia" w:ascii="宋体" w:hAnsi="宋体" w:cs="宋体"/>
                <w:kern w:val="0"/>
                <w:sz w:val="24"/>
                <w:highlight w:val="none"/>
                <w:lang w:val="en-US" w:eastAsia="zh-CN"/>
              </w:rPr>
              <w:t>要求提供</w:t>
            </w:r>
            <w:r>
              <w:rPr>
                <w:rFonts w:hint="eastAsia" w:ascii="宋体" w:hAnsi="宋体" w:cs="宋体"/>
                <w:kern w:val="0"/>
                <w:sz w:val="24"/>
                <w:highlight w:val="none"/>
              </w:rPr>
              <w:t>：</w:t>
            </w:r>
          </w:p>
          <w:p>
            <w:pPr>
              <w:spacing w:line="360" w:lineRule="auto"/>
              <w:rPr>
                <w:rFonts w:hint="eastAsia" w:ascii="宋体" w:hAnsi="宋体" w:cs="宋体"/>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bookmarkStart w:id="14" w:name="OLE_LINK1"/>
            <w:r>
              <w:rPr>
                <w:rFonts w:hint="eastAsia" w:ascii="宋体" w:hAnsi="宋体" w:cs="宋体"/>
                <w:sz w:val="24"/>
                <w:highlight w:val="none"/>
                <w:u w:val="single"/>
              </w:rPr>
              <w:t xml:space="preserve">    </w:t>
            </w:r>
            <w:bookmarkEnd w:id="14"/>
            <w:r>
              <w:rPr>
                <w:rFonts w:hint="eastAsia" w:ascii="宋体" w:hAnsi="宋体" w:cs="宋体"/>
                <w:kern w:val="0"/>
                <w:sz w:val="24"/>
                <w:highlight w:val="none"/>
              </w:rPr>
              <w:t>；</w:t>
            </w:r>
          </w:p>
          <w:p>
            <w:pPr>
              <w:spacing w:line="360" w:lineRule="auto"/>
              <w:rPr>
                <w:rFonts w:hint="eastAsia" w:ascii="宋体" w:hAnsi="宋体" w:cs="宋体"/>
                <w:sz w:val="24"/>
                <w:highlight w:val="none"/>
              </w:rPr>
            </w:pPr>
            <w:r>
              <w:rPr>
                <w:rFonts w:hint="eastAsia" w:ascii="宋体" w:hAnsi="宋体" w:cs="宋体"/>
                <w:sz w:val="24"/>
                <w:highlight w:val="none"/>
              </w:rPr>
              <w:t>（2）样品制作的标准和要求：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rPr>
                <w:rFonts w:ascii="宋体" w:hAnsi="宋体" w:cs="宋体"/>
                <w:color w:val="auto"/>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(6)采购活动结束后，对于未中标人提供的样品，采购人、</w:t>
            </w:r>
            <w:bookmarkStart w:id="15" w:name="OLE_LINK25"/>
            <w:r>
              <w:rPr>
                <w:rFonts w:hint="eastAsia" w:ascii="宋体" w:hAnsi="宋体" w:cs="宋体"/>
                <w:sz w:val="24"/>
                <w:highlight w:val="none"/>
                <w:lang w:eastAsia="zh-CN"/>
              </w:rPr>
              <w:t>采购机构</w:t>
            </w:r>
            <w:bookmarkEnd w:id="15"/>
            <w:r>
              <w:rPr>
                <w:rFonts w:hint="eastAsia" w:ascii="宋体" w:hAnsi="宋体" w:cs="宋体"/>
                <w:sz w:val="24"/>
                <w:highlight w:val="none"/>
              </w:rPr>
              <w:t>将通知未中标人在规定的时间内取回，逾期未取回的，采购人、</w:t>
            </w:r>
            <w:r>
              <w:rPr>
                <w:rFonts w:hint="eastAsia" w:ascii="宋体" w:hAnsi="宋体" w:cs="宋体"/>
                <w:sz w:val="24"/>
                <w:highlight w:val="none"/>
                <w:lang w:eastAsia="zh-CN"/>
              </w:rPr>
              <w:t>采购机构</w:t>
            </w:r>
            <w:r>
              <w:rPr>
                <w:rFonts w:hint="eastAsia" w:ascii="宋体" w:hAnsi="宋体" w:cs="宋体"/>
                <w:sz w:val="24"/>
                <w:highlight w:val="none"/>
              </w:rPr>
              <w:t>不负保管义务；对于中标人提供的样品，采购人将进行保管、封存，并作为履约验收的参考。</w:t>
            </w:r>
          </w:p>
          <w:p>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05" w:hRule="atLeast"/>
          <w:tblHeader/>
        </w:trPr>
        <w:tc>
          <w:tcPr>
            <w:tcW w:w="629" w:type="dxa"/>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l2br w:val="nil"/>
              <w:tr2bl w:val="nil"/>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l2br w:val="nil"/>
              <w:tr2bl w:val="nil"/>
            </w:tcBorders>
            <w:vAlign w:val="center"/>
          </w:tcPr>
          <w:p>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人。讲解演示结束后按要求解答评标委员会提问。</w:t>
            </w:r>
          </w:p>
          <w:p>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color w:val="422FFA"/>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61" w:hRule="atLeast"/>
          <w:tblHeader/>
        </w:trPr>
        <w:tc>
          <w:tcPr>
            <w:tcW w:w="629" w:type="dxa"/>
            <w:vMerge w:val="restart"/>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l2br w:val="nil"/>
              <w:tr2bl w:val="nil"/>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w:t>
            </w:r>
            <w:r>
              <w:rPr>
                <w:rFonts w:hint="eastAsia" w:ascii="宋体" w:hAnsi="宋体" w:cs="宋体"/>
                <w:b/>
                <w:sz w:val="24"/>
                <w:highlight w:val="none"/>
                <w:lang w:eastAsia="zh-CN"/>
              </w:rPr>
              <w:t>、</w:t>
            </w:r>
            <w:r>
              <w:rPr>
                <w:rFonts w:hint="eastAsia" w:ascii="宋体" w:hAnsi="宋体" w:cs="宋体"/>
                <w:b/>
                <w:sz w:val="24"/>
                <w:highlight w:val="none"/>
                <w:lang w:val="en-US" w:eastAsia="zh-CN"/>
              </w:rPr>
              <w:t>资质</w:t>
            </w:r>
            <w:r>
              <w:rPr>
                <w:rFonts w:hint="eastAsia" w:ascii="宋体" w:hAnsi="宋体" w:cs="宋体"/>
                <w:b/>
                <w:sz w:val="24"/>
                <w:highlight w:val="none"/>
              </w:rPr>
              <w:t>证明文件</w:t>
            </w:r>
          </w:p>
        </w:tc>
        <w:tc>
          <w:tcPr>
            <w:tcW w:w="6095" w:type="dxa"/>
            <w:tcBorders>
              <w:tl2br w:val="nil"/>
              <w:tr2bl w:val="nil"/>
            </w:tcBorders>
            <w:vAlign w:val="center"/>
          </w:tcPr>
          <w:p>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031" w:hRule="atLeast"/>
          <w:tblHeader/>
        </w:trPr>
        <w:tc>
          <w:tcPr>
            <w:tcW w:w="629" w:type="dxa"/>
            <w:vMerge w:val="continue"/>
            <w:tcBorders>
              <w:tl2br w:val="nil"/>
              <w:tr2bl w:val="nil"/>
            </w:tcBorders>
          </w:tcPr>
          <w:p>
            <w:pPr>
              <w:snapToGrid w:val="0"/>
              <w:spacing w:line="360" w:lineRule="auto"/>
              <w:jc w:val="center"/>
              <w:rPr>
                <w:rFonts w:ascii="宋体" w:hAnsi="宋体" w:cs="宋体"/>
                <w:sz w:val="24"/>
              </w:rPr>
            </w:pPr>
          </w:p>
        </w:tc>
        <w:tc>
          <w:tcPr>
            <w:tcW w:w="1843" w:type="dxa"/>
            <w:vMerge w:val="continue"/>
            <w:tcBorders>
              <w:tl2br w:val="nil"/>
              <w:tr2bl w:val="nil"/>
            </w:tcBorders>
            <w:vAlign w:val="center"/>
          </w:tcPr>
          <w:p>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pPr>
              <w:spacing w:line="360" w:lineRule="auto"/>
              <w:rPr>
                <w:rFonts w:ascii="宋体" w:hAnsi="宋体" w:cs="宋体"/>
                <w:sz w:val="24"/>
                <w:highlight w:val="none"/>
              </w:rPr>
            </w:pPr>
            <w:r>
              <w:rPr>
                <w:rFonts w:hint="eastAsia" w:ascii="宋体" w:hAnsi="宋体" w:cs="宋体"/>
                <w:sz w:val="24"/>
                <w:highlight w:val="none"/>
              </w:rPr>
              <w:t>（2）资信</w:t>
            </w:r>
            <w:r>
              <w:rPr>
                <w:rFonts w:hint="eastAsia" w:ascii="宋体" w:hAnsi="宋体" w:cs="宋体"/>
                <w:sz w:val="24"/>
                <w:highlight w:val="none"/>
                <w:lang w:eastAsia="zh-CN"/>
              </w:rPr>
              <w:t>、资质等</w:t>
            </w:r>
            <w:r>
              <w:rPr>
                <w:rFonts w:hint="eastAsia" w:ascii="宋体" w:hAnsi="宋体" w:cs="宋体"/>
                <w:sz w:val="24"/>
                <w:highlight w:val="none"/>
              </w:rPr>
              <w:t>证明文件：根据招标文件第四部分评标标准提供</w:t>
            </w:r>
            <w:r>
              <w:rPr>
                <w:rFonts w:hint="eastAsia" w:ascii="宋体" w:hAnsi="宋体" w:cs="宋体"/>
                <w:b w:val="0"/>
                <w:bCs w:val="0"/>
                <w:sz w:val="24"/>
                <w:highlight w:val="none"/>
                <w:lang w:eastAsia="zh-CN"/>
              </w:rPr>
              <w:t>有效的资信、</w:t>
            </w:r>
            <w:r>
              <w:rPr>
                <w:rFonts w:hint="eastAsia" w:ascii="宋体" w:hAnsi="宋体" w:cs="宋体"/>
                <w:b w:val="0"/>
                <w:bCs w:val="0"/>
                <w:sz w:val="24"/>
                <w:highlight w:val="none"/>
                <w:lang w:val="en-US" w:eastAsia="zh-CN"/>
              </w:rPr>
              <w:t>资质证明材料</w:t>
            </w:r>
            <w:r>
              <w:rPr>
                <w:rFonts w:hint="eastAsia" w:ascii="宋体" w:hAnsi="宋体" w:cs="宋体"/>
                <w:sz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blHeader/>
        </w:trPr>
        <w:tc>
          <w:tcPr>
            <w:tcW w:w="629" w:type="dxa"/>
            <w:tcBorders>
              <w:tl2br w:val="nil"/>
              <w:tr2bl w:val="nil"/>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l2br w:val="nil"/>
              <w:tr2bl w:val="nil"/>
            </w:tcBorders>
            <w:vAlign w:val="center"/>
          </w:tcPr>
          <w:p>
            <w:pPr>
              <w:pStyle w:val="2"/>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采购人拟采购的产品属于品目清单范围的，采购人及其委托的采购机构将依据国家确定的认证机构出具的、处于有效期之内的节能产品、环境标志产品认证证书，对获得证书的产品实施政府优先采购或强制采购。</w:t>
            </w:r>
          </w:p>
          <w:p>
            <w:pPr>
              <w:pStyle w:val="2"/>
              <w:ind w:left="0" w:leftChars="0" w:firstLine="0" w:firstLineChars="0"/>
              <w:jc w:val="left"/>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sz w:val="24"/>
                <w:highlight w:val="none"/>
              </w:rPr>
              <w:t>▲</w:t>
            </w:r>
            <w:r>
              <w:rPr>
                <w:rFonts w:hint="eastAsia" w:ascii="宋体" w:hAnsi="宋体" w:eastAsia="宋体" w:cs="宋体"/>
                <w:kern w:val="0"/>
                <w:sz w:val="24"/>
                <w:highlight w:val="none"/>
                <w:lang w:val="zh-CN"/>
              </w:rPr>
              <w:t>实施政府强制采购，</w:t>
            </w:r>
            <w:r>
              <w:rPr>
                <w:rFonts w:hint="eastAsia" w:ascii="宋体" w:hAnsi="宋体" w:eastAsia="宋体" w:cs="宋体"/>
                <w:b/>
                <w:bCs/>
                <w:kern w:val="0"/>
                <w:sz w:val="24"/>
                <w:highlight w:val="none"/>
                <w:lang w:val="zh-CN"/>
              </w:rPr>
              <w:t>投标人</w:t>
            </w:r>
            <w:r>
              <w:rPr>
                <w:rFonts w:hint="eastAsia" w:ascii="宋体" w:hAnsi="宋体" w:eastAsia="宋体" w:cs="宋体"/>
                <w:b/>
                <w:bCs/>
                <w:kern w:val="0"/>
                <w:sz w:val="24"/>
                <w:highlight w:val="none"/>
              </w:rPr>
              <w:t>就</w:t>
            </w:r>
            <w:r>
              <w:rPr>
                <w:rFonts w:hint="eastAsia" w:ascii="宋体" w:hAnsi="宋体" w:eastAsia="宋体" w:cs="宋体"/>
                <w:b/>
                <w:bCs/>
                <w:kern w:val="0"/>
                <w:sz w:val="24"/>
                <w:highlight w:val="none"/>
                <w:lang w:val="zh-CN"/>
              </w:rPr>
              <w:t>相应的投标产品未</w:t>
            </w:r>
            <w:r>
              <w:rPr>
                <w:rFonts w:hint="eastAsia" w:ascii="宋体" w:hAnsi="宋体" w:eastAsia="宋体" w:cs="宋体"/>
                <w:b/>
                <w:bCs/>
                <w:kern w:val="0"/>
                <w:sz w:val="24"/>
                <w:highlight w:val="none"/>
              </w:rPr>
              <w:t>提供</w:t>
            </w:r>
            <w:r>
              <w:rPr>
                <w:rFonts w:hint="eastAsia" w:ascii="宋体" w:hAnsi="宋体" w:eastAsia="宋体" w:cs="宋体"/>
                <w:b/>
                <w:bCs/>
                <w:kern w:val="0"/>
                <w:sz w:val="24"/>
                <w:highlight w:val="none"/>
                <w:lang w:val="zh-CN"/>
              </w:rPr>
              <w:t>国家确定的认证机构出具的、处于有效期之内的节能产品认证证书的，投标无效</w:t>
            </w:r>
            <w:r>
              <w:rPr>
                <w:rFonts w:hint="eastAsia" w:ascii="宋体" w:hAnsi="宋体" w:eastAsia="宋体" w:cs="宋体"/>
                <w:kern w:val="0"/>
                <w:sz w:val="24"/>
                <w:highlight w:val="none"/>
                <w:lang w:val="zh-CN"/>
              </w:rPr>
              <w:t>。</w:t>
            </w:r>
            <w:r>
              <w:rPr>
                <w:rFonts w:hint="eastAsia" w:ascii="宋体" w:hAnsi="宋体" w:eastAsia="宋体" w:cs="宋体"/>
                <w:color w:val="auto"/>
                <w:kern w:val="2"/>
                <w:sz w:val="24"/>
                <w:szCs w:val="24"/>
                <w:highlight w:val="none"/>
                <w:lang w:val="en-US" w:eastAsia="zh-CN" w:bidi="ar-SA"/>
              </w:rPr>
              <w:t xml:space="preserve">    </w:t>
            </w:r>
          </w:p>
          <w:p>
            <w:pPr>
              <w:pStyle w:val="2"/>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pPr>
              <w:pStyle w:val="2"/>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pPr>
              <w:snapToGrid w:val="0"/>
              <w:spacing w:line="360" w:lineRule="auto"/>
              <w:jc w:val="left"/>
              <w:rPr>
                <w:rFonts w:hint="default" w:ascii="宋体" w:hAnsi="宋体" w:eastAsia="宋体" w:cs="宋体"/>
                <w:lang w:val="en-US" w:eastAsia="zh-CN"/>
              </w:rPr>
            </w:pPr>
            <w:r>
              <w:rPr>
                <w:rFonts w:hint="eastAsia" w:ascii="宋体" w:hAnsi="宋体" w:cs="宋体"/>
                <w:color w:val="auto"/>
                <w:kern w:val="2"/>
                <w:sz w:val="24"/>
                <w:szCs w:val="24"/>
                <w:highlight w:val="none"/>
                <w:lang w:val="en-US" w:eastAsia="zh-CN" w:bidi="ar-SA"/>
              </w:rPr>
              <w:sym w:font="Wingdings 2" w:char="0052"/>
            </w:r>
            <w:r>
              <w:rPr>
                <w:rFonts w:hint="eastAsia" w:ascii="宋体" w:hAnsi="宋体" w:eastAsia="宋体" w:cs="宋体"/>
                <w:color w:val="auto"/>
                <w:kern w:val="2"/>
                <w:sz w:val="24"/>
                <w:szCs w:val="24"/>
                <w:highlight w:val="none"/>
                <w:lang w:val="en-US" w:eastAsia="zh-CN" w:bidi="ar-SA"/>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blHeader/>
        </w:trPr>
        <w:tc>
          <w:tcPr>
            <w:tcW w:w="629" w:type="dxa"/>
            <w:tcBorders>
              <w:tl2br w:val="nil"/>
              <w:tr2bl w:val="nil"/>
            </w:tcBorders>
            <w:vAlign w:val="center"/>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l2br w:val="nil"/>
              <w:tr2bl w:val="nil"/>
            </w:tcBorders>
            <w:vAlign w:val="center"/>
          </w:tcPr>
          <w:p>
            <w:pPr>
              <w:snapToGrid w:val="0"/>
              <w:spacing w:line="360" w:lineRule="auto"/>
              <w:jc w:val="left"/>
              <w:rPr>
                <w:rFonts w:ascii="宋体" w:hAnsi="宋体" w:cs="宋体"/>
                <w:b/>
                <w:kern w:val="0"/>
                <w:sz w:val="24"/>
                <w:highlight w:val="none"/>
                <w:lang w:val="zh-CN"/>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1.</w:t>
            </w: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r>
              <w:rPr>
                <w:rFonts w:hint="eastAsia" w:ascii="宋体" w:hAnsi="宋体" w:cs="宋体"/>
                <w:b/>
                <w:kern w:val="0"/>
                <w:sz w:val="24"/>
                <w:highlight w:val="none"/>
                <w:lang w:val="zh-CN"/>
              </w:rPr>
              <w:t>提醒：验收时检测费用由采购人承担，不包含在投标总价中。</w:t>
            </w:r>
          </w:p>
          <w:p>
            <w:pPr>
              <w:spacing w:line="360" w:lineRule="auto"/>
              <w:jc w:val="left"/>
              <w:rPr>
                <w:rFonts w:hint="default"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政府采购评审中出现下列情形之一的，评标委员会应当启动异常低价投标（响应）审查程序：</w:t>
            </w:r>
          </w:p>
          <w:p>
            <w:pPr>
              <w:spacing w:line="360" w:lineRule="auto"/>
              <w:jc w:val="left"/>
              <w:rPr>
                <w:rFonts w:hint="default"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 xml:space="preserve">投标（响应）报价低于全部通过符合性审查供应商投标（响应）报价平均值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spacing w:line="360" w:lineRule="auto"/>
              <w:rPr>
                <w:rFonts w:hint="default"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 xml:space="preserve">投标（响应）报价低于通过符合性审查的次低报价供应商投标（响应）报价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 xml:space="preserve">的，即投标（响应）报价&lt;通过符合性审查的次低报价供应商投标（响应）报价×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spacing w:line="360" w:lineRule="auto"/>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(3)</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投标（响应）报价低于采购项目最高限价</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spacing w:line="360" w:lineRule="auto"/>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(4)</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评标委员会基于专业判断，认为供应商报价过低，有可能影响产品质量或者不能诚信履约的其他情形。</w:t>
            </w:r>
          </w:p>
          <w:p>
            <w:pPr>
              <w:snapToGrid w:val="0"/>
              <w:spacing w:line="360" w:lineRule="auto"/>
              <w:jc w:val="left"/>
              <w:rPr>
                <w:rFonts w:hint="eastAsia" w:ascii="宋体" w:hAnsi="宋体" w:cs="宋体"/>
                <w:b/>
                <w:kern w:val="0"/>
                <w:sz w:val="24"/>
                <w:highlight w:val="none"/>
                <w:lang w:val="zh-CN"/>
              </w:rPr>
            </w:pPr>
            <w:r>
              <w:rPr>
                <w:rFonts w:hint="eastAsia" w:ascii="宋体" w:hAnsi="宋体" w:cs="宋体"/>
                <w:b/>
                <w:bCs w:val="0"/>
                <w:kern w:val="0"/>
                <w:sz w:val="24"/>
                <w:highlight w:val="none"/>
                <w:lang w:val="en-US" w:eastAsia="zh-CN"/>
              </w:rPr>
              <w:t>3.</w:t>
            </w:r>
            <w:r>
              <w:rPr>
                <w:rFonts w:hint="eastAsia" w:ascii="宋体" w:hAnsi="宋体" w:cs="宋体"/>
                <w:b/>
                <w:kern w:val="0"/>
                <w:sz w:val="24"/>
                <w:highlight w:val="none"/>
                <w:lang w:val="zh-CN"/>
              </w:rPr>
              <w:t>投标报价出现下列情形的，投标无效：</w:t>
            </w:r>
          </w:p>
          <w:p>
            <w:pPr>
              <w:snapToGrid w:val="0"/>
              <w:spacing w:line="360" w:lineRule="auto"/>
              <w:ind w:firstLine="241" w:firstLineChars="100"/>
              <w:jc w:val="left"/>
              <w:rPr>
                <w:rFonts w:hint="eastAsia"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pPr>
              <w:snapToGrid w:val="0"/>
              <w:spacing w:line="360" w:lineRule="auto"/>
              <w:ind w:firstLine="241" w:firstLineChars="100"/>
              <w:jc w:val="left"/>
              <w:rPr>
                <w:rFonts w:hint="eastAsia" w:ascii="宋体" w:hAnsi="宋体" w:cs="宋体"/>
                <w:b/>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pPr>
              <w:spacing w:line="360" w:lineRule="auto"/>
              <w:ind w:firstLine="241" w:firstLineChars="100"/>
              <w:rPr>
                <w:rFonts w:hint="eastAsia" w:ascii="宋体" w:hAnsi="宋体" w:cs="宋体"/>
                <w:b/>
                <w:color w:val="auto"/>
                <w:kern w:val="0"/>
                <w:sz w:val="24"/>
                <w:highlight w:val="none"/>
                <w:lang w:val="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评标委员会启动异常低价投标（响应）审查后，投标（响应）供应商不能提供书面说明、证明材料，或者提供的书面说明、证明材料不能证明其报价合理性的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585" w:hRule="atLeast"/>
          <w:tblHeader/>
        </w:trPr>
        <w:tc>
          <w:tcPr>
            <w:tcW w:w="629" w:type="dxa"/>
            <w:tcBorders>
              <w:tl2br w:val="nil"/>
              <w:tr2bl w:val="nil"/>
            </w:tcBorders>
            <w:vAlign w:val="center"/>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l2br w:val="nil"/>
              <w:tr2bl w:val="nil"/>
            </w:tcBorders>
            <w:vAlign w:val="center"/>
          </w:tcPr>
          <w:p>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734" w:hRule="atLeast"/>
          <w:tblHeader/>
        </w:trPr>
        <w:tc>
          <w:tcPr>
            <w:tcW w:w="629" w:type="dxa"/>
            <w:tcBorders>
              <w:tl2br w:val="nil"/>
              <w:tr2bl w:val="nil"/>
            </w:tcBorders>
            <w:vAlign w:val="center"/>
          </w:tcPr>
          <w:p>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l2br w:val="nil"/>
              <w:tr2bl w:val="nil"/>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l2br w:val="nil"/>
              <w:tr2bl w:val="nil"/>
            </w:tcBorders>
            <w:vAlign w:val="center"/>
          </w:tcPr>
          <w:p>
            <w:pPr>
              <w:pStyle w:val="34"/>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color w:val="auto"/>
                <w:sz w:val="24"/>
                <w:u w:val="single"/>
              </w:rPr>
              <w:t xml:space="preserve">  </w:t>
            </w:r>
            <w:r>
              <w:rPr>
                <w:rFonts w:hint="eastAsia" w:ascii="宋体" w:hAnsi="宋体" w:eastAsia="宋体" w:cs="宋体"/>
                <w:color w:val="auto"/>
                <w:kern w:val="28"/>
                <w:sz w:val="24"/>
                <w:szCs w:val="24"/>
                <w:highlight w:val="none"/>
                <w:u w:val="single"/>
                <w:lang w:eastAsia="zh-CN"/>
              </w:rPr>
              <w:t>上城区凤起东路</w:t>
            </w:r>
            <w:r>
              <w:rPr>
                <w:rFonts w:hint="eastAsia" w:ascii="宋体" w:hAnsi="宋体" w:eastAsia="宋体" w:cs="宋体"/>
                <w:color w:val="auto"/>
                <w:kern w:val="28"/>
                <w:sz w:val="24"/>
                <w:szCs w:val="24"/>
                <w:highlight w:val="none"/>
                <w:u w:val="single"/>
                <w:lang w:val="en-US" w:eastAsia="zh-CN"/>
              </w:rPr>
              <w:t>888号新达城4楼416室</w:t>
            </w:r>
            <w:r>
              <w:rPr>
                <w:rFonts w:hint="eastAsia" w:hAnsi="宋体" w:cs="宋体"/>
                <w:color w:val="auto"/>
                <w:sz w:val="24"/>
                <w:u w:val="single"/>
              </w:rPr>
              <w:t xml:space="preserve">      </w:t>
            </w:r>
            <w:r>
              <w:rPr>
                <w:rFonts w:hint="eastAsia" w:hAnsi="宋体" w:cs="宋体"/>
                <w:color w:val="auto"/>
                <w:kern w:val="28"/>
                <w:sz w:val="24"/>
                <w:szCs w:val="24"/>
              </w:rPr>
              <w:t>；备份投标文件签收人员联系电话：</w:t>
            </w:r>
            <w:r>
              <w:rPr>
                <w:rFonts w:hint="eastAsia" w:hAnsi="宋体" w:cs="宋体"/>
                <w:color w:val="auto"/>
                <w:sz w:val="24"/>
                <w:u w:val="single"/>
              </w:rPr>
              <w:t xml:space="preserve">   </w:t>
            </w:r>
            <w:r>
              <w:rPr>
                <w:rFonts w:hint="eastAsia" w:ascii="宋体" w:hAnsi="宋体" w:eastAsia="宋体" w:cs="宋体"/>
                <w:color w:val="auto"/>
                <w:sz w:val="24"/>
                <w:u w:val="single"/>
                <w:lang w:val="en-US" w:eastAsia="zh-CN"/>
              </w:rPr>
              <w:t>0571-87654242</w:t>
            </w:r>
            <w:r>
              <w:rPr>
                <w:rFonts w:hint="eastAsia" w:hAnsi="宋体" w:cs="宋体"/>
                <w:color w:val="auto"/>
                <w:sz w:val="24"/>
                <w:u w:val="single"/>
              </w:rPr>
              <w:t xml:space="preserve">        </w:t>
            </w:r>
            <w:r>
              <w:rPr>
                <w:rFonts w:hint="eastAsia" w:hAnsi="宋体" w:cs="宋体"/>
                <w:color w:val="auto"/>
                <w:sz w:val="24"/>
                <w:szCs w:val="24"/>
              </w:rPr>
              <w:t>。</w:t>
            </w:r>
            <w:r>
              <w:rPr>
                <w:rFonts w:hint="eastAsia" w:hAnsi="宋体" w:cs="宋体"/>
                <w:b/>
                <w:color w:val="auto"/>
                <w:sz w:val="24"/>
                <w:szCs w:val="24"/>
              </w:rPr>
              <w:t>采</w:t>
            </w:r>
            <w:r>
              <w:rPr>
                <w:rFonts w:hint="eastAsia" w:hAnsi="宋体" w:cs="宋体"/>
                <w:b/>
                <w:sz w:val="24"/>
                <w:szCs w:val="24"/>
              </w:rPr>
              <w:t>购人、</w:t>
            </w:r>
            <w:r>
              <w:rPr>
                <w:rFonts w:hint="eastAsia" w:hAnsi="宋体" w:cs="宋体"/>
                <w:b/>
                <w:sz w:val="24"/>
                <w:szCs w:val="24"/>
                <w:highlight w:val="none"/>
                <w:lang w:eastAsia="zh-CN"/>
              </w:rPr>
              <w:t>采购机构</w:t>
            </w:r>
            <w:r>
              <w:rPr>
                <w:rFonts w:hint="eastAsia" w:hAnsi="宋体" w:cs="宋体"/>
                <w:b/>
                <w:sz w:val="24"/>
                <w:szCs w:val="24"/>
              </w:rPr>
              <w:t>不强制或变相强制投标人提交备份投标文件。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35" w:hRule="atLeast"/>
          <w:tblHeader/>
        </w:trPr>
        <w:tc>
          <w:tcPr>
            <w:tcW w:w="629" w:type="dxa"/>
            <w:vMerge w:val="restart"/>
            <w:tcBorders>
              <w:tl2br w:val="nil"/>
              <w:tr2bl w:val="nil"/>
            </w:tcBorders>
            <w:vAlign w:val="center"/>
          </w:tcPr>
          <w:p>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l2br w:val="nil"/>
              <w:tr2bl w:val="nil"/>
            </w:tcBorders>
            <w:vAlign w:val="center"/>
          </w:tcPr>
          <w:p>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l2br w:val="nil"/>
              <w:tr2bl w:val="nil"/>
            </w:tcBorders>
            <w:vAlign w:val="center"/>
          </w:tcPr>
          <w:p>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35" w:hRule="atLeast"/>
          <w:tblHeader/>
        </w:trPr>
        <w:tc>
          <w:tcPr>
            <w:tcW w:w="629" w:type="dxa"/>
            <w:vMerge w:val="continue"/>
            <w:tcBorders>
              <w:tl2br w:val="nil"/>
              <w:tr2bl w:val="nil"/>
            </w:tcBorders>
            <w:vAlign w:val="center"/>
          </w:tcPr>
          <w:p>
            <w:pPr>
              <w:snapToGrid w:val="0"/>
              <w:spacing w:line="360" w:lineRule="auto"/>
              <w:jc w:val="center"/>
              <w:rPr>
                <w:rFonts w:ascii="宋体" w:hAnsi="宋体" w:cs="宋体"/>
                <w:sz w:val="24"/>
              </w:rPr>
            </w:pPr>
          </w:p>
        </w:tc>
        <w:tc>
          <w:tcPr>
            <w:tcW w:w="1843" w:type="dxa"/>
            <w:vMerge w:val="continue"/>
            <w:tcBorders>
              <w:tl2br w:val="nil"/>
              <w:tr2bl w:val="nil"/>
            </w:tcBorders>
            <w:vAlign w:val="center"/>
          </w:tcPr>
          <w:p>
            <w:pPr>
              <w:snapToGrid w:val="0"/>
              <w:spacing w:line="360" w:lineRule="auto"/>
              <w:jc w:val="center"/>
              <w:rPr>
                <w:rFonts w:ascii="宋体" w:hAnsi="宋体" w:cs="宋体"/>
                <w:b/>
                <w:sz w:val="24"/>
              </w:rPr>
            </w:pPr>
          </w:p>
        </w:tc>
        <w:tc>
          <w:tcPr>
            <w:tcW w:w="6095" w:type="dxa"/>
            <w:tcBorders>
              <w:tl2br w:val="nil"/>
              <w:tr2bl w:val="nil"/>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cs="Arial" w:eastAsiaTheme="minorEastAsia"/>
                    <w:kern w:val="0"/>
                    <w:sz w:val="24"/>
                    <w:szCs w:val="24"/>
                    <w:lang w:val="en-US" w:eastAsia="zh-CN" w:bidi="ar-SA"/>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35" w:hRule="atLeast"/>
          <w:tblHeader/>
        </w:trPr>
        <w:tc>
          <w:tcPr>
            <w:tcW w:w="629" w:type="dxa"/>
            <w:tcBorders>
              <w:tl2br w:val="nil"/>
              <w:tr2bl w:val="nil"/>
            </w:tcBorders>
            <w:vAlign w:val="center"/>
          </w:tcPr>
          <w:p>
            <w:pPr>
              <w:snapToGrid w:val="0"/>
              <w:spacing w:line="360" w:lineRule="auto"/>
              <w:jc w:val="center"/>
              <w:rPr>
                <w:rFonts w:ascii="宋体" w:hAnsi="宋体" w:cs="宋体"/>
                <w:sz w:val="24"/>
                <w:highlight w:val="none"/>
              </w:rPr>
            </w:pPr>
            <w:bookmarkStart w:id="16" w:name="OLE_LINK10" w:colFirst="0" w:colLast="2"/>
            <w:r>
              <w:rPr>
                <w:rFonts w:hint="eastAsia" w:ascii="宋体" w:hAnsi="宋体" w:eastAsia="宋体" w:cs="宋体"/>
                <w:color w:val="auto"/>
                <w:sz w:val="24"/>
                <w:highlight w:val="none"/>
                <w:lang w:val="en-US" w:eastAsia="zh-CN"/>
              </w:rPr>
              <w:t>14</w:t>
            </w:r>
          </w:p>
        </w:tc>
        <w:tc>
          <w:tcPr>
            <w:tcW w:w="1843" w:type="dxa"/>
            <w:tcBorders>
              <w:tl2br w:val="nil"/>
              <w:tr2bl w:val="nil"/>
            </w:tcBorders>
            <w:vAlign w:val="center"/>
          </w:tcPr>
          <w:p>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pPr>
              <w:spacing w:line="360" w:lineRule="auto"/>
              <w:rPr>
                <w:rFonts w:hint="eastAsia" w:cs="Arial" w:asciiTheme="minorEastAsia" w:hAnsiTheme="minorEastAsia" w:eastAsiaTheme="minorEastAsia"/>
                <w:kern w:val="0"/>
                <w:sz w:val="24"/>
                <w:highlight w:val="none"/>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1个</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35" w:hRule="atLeast"/>
          <w:tblHeader/>
        </w:trPr>
        <w:tc>
          <w:tcPr>
            <w:tcW w:w="629" w:type="dxa"/>
            <w:tcBorders>
              <w:tl2br w:val="nil"/>
              <w:tr2bl w:val="nil"/>
            </w:tcBorders>
            <w:vAlign w:val="center"/>
          </w:tcPr>
          <w:p>
            <w:pPr>
              <w:snapToGri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sz w:val="24"/>
                <w:lang w:val="en-US" w:eastAsia="zh-CN"/>
              </w:rPr>
              <w:t>15</w:t>
            </w:r>
          </w:p>
        </w:tc>
        <w:tc>
          <w:tcPr>
            <w:tcW w:w="1843" w:type="dxa"/>
            <w:tcBorders>
              <w:tl2br w:val="nil"/>
              <w:tr2bl w:val="nil"/>
            </w:tcBorders>
            <w:vAlign w:val="center"/>
          </w:tcPr>
          <w:p>
            <w:pPr>
              <w:snapToGrid w:val="0"/>
              <w:spacing w:line="360" w:lineRule="auto"/>
              <w:jc w:val="center"/>
              <w:rPr>
                <w:rFonts w:hint="eastAsia" w:cs="仿宋_GB2312" w:asciiTheme="minorEastAsia" w:hAnsiTheme="minorEastAsia" w:eastAsiaTheme="minorEastAsia"/>
                <w:b/>
                <w:bCs/>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pPr>
              <w:spacing w:line="360" w:lineRule="auto"/>
              <w:jc w:val="left"/>
              <w:rPr>
                <w:rFonts w:hint="eastAsia" w:ascii="宋体" w:hAnsi="宋体" w:eastAsia="宋体" w:cs="宋体"/>
                <w:b/>
                <w:bCs/>
                <w:color w:val="auto"/>
                <w:kern w:val="0"/>
                <w:sz w:val="24"/>
                <w:highlight w:val="none"/>
                <w:lang w:val="en" w:eastAsia="zh-CN"/>
              </w:rPr>
            </w:pPr>
            <w:r>
              <w:rPr>
                <w:rFonts w:hint="eastAsia" w:ascii="宋体" w:hAnsi="宋体" w:cs="Arial"/>
                <w:kern w:val="0"/>
                <w:sz w:val="24"/>
                <w:highlight w:val="none"/>
                <w:lang w:val="en-US" w:eastAsia="zh-CN"/>
              </w:rPr>
              <w:t>本项目不收取代理费。</w:t>
            </w:r>
          </w:p>
        </w:tc>
      </w:tr>
      <w:bookmarkEnd w:id="16"/>
    </w:tbl>
    <w:p>
      <w:pPr>
        <w:snapToGrid w:val="0"/>
        <w:spacing w:line="360" w:lineRule="auto"/>
        <w:jc w:val="center"/>
        <w:rPr>
          <w:rFonts w:ascii="宋体" w:hAnsi="宋体" w:cs="宋体"/>
          <w:b/>
          <w:sz w:val="32"/>
          <w:szCs w:val="20"/>
        </w:rPr>
      </w:pPr>
    </w:p>
    <w:bookmarkEnd w:id="10"/>
    <w:p>
      <w:pPr>
        <w:adjustRightInd/>
        <w:spacing w:line="360" w:lineRule="auto"/>
        <w:ind w:firstLine="3845" w:firstLineChars="1197"/>
        <w:outlineLvl w:val="0"/>
        <w:rPr>
          <w:rFonts w:ascii="宋体" w:hAnsi="宋体" w:cs="宋体"/>
          <w:b/>
          <w:sz w:val="32"/>
          <w:szCs w:val="20"/>
        </w:rPr>
      </w:pPr>
      <w:bookmarkStart w:id="17" w:name="第三部分"/>
      <w:bookmarkStart w:id="18" w:name="_Toc164416483"/>
      <w:r>
        <w:rPr>
          <w:rFonts w:hint="eastAsia" w:ascii="宋体" w:hAnsi="宋体" w:cs="宋体"/>
          <w:b/>
          <w:sz w:val="32"/>
          <w:szCs w:val="20"/>
        </w:rPr>
        <w:t>一、总则</w:t>
      </w:r>
    </w:p>
    <w:p>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sz w:val="24"/>
        </w:rPr>
      </w:pPr>
      <w:r>
        <w:rPr>
          <w:rFonts w:hint="eastAsia" w:ascii="宋体" w:hAnsi="宋体" w:cs="宋体"/>
          <w:b/>
          <w:sz w:val="24"/>
        </w:rPr>
        <w:t xml:space="preserve">   2.定义</w:t>
      </w:r>
    </w:p>
    <w:p>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pPr>
        <w:spacing w:line="360" w:lineRule="auto"/>
        <w:ind w:firstLine="480" w:firstLineChars="200"/>
        <w:rPr>
          <w:rFonts w:ascii="宋体" w:hAnsi="宋体" w:cs="宋体"/>
          <w:sz w:val="24"/>
          <w:highlight w:val="none"/>
        </w:rPr>
      </w:pPr>
      <w:r>
        <w:rPr>
          <w:rFonts w:hint="eastAsia" w:ascii="宋体" w:hAnsi="宋体" w:cs="宋体"/>
          <w:sz w:val="24"/>
        </w:rPr>
        <w:t>2.2 “</w:t>
      </w:r>
      <w:r>
        <w:rPr>
          <w:rFonts w:hint="eastAsia" w:ascii="宋体" w:hAnsi="宋体" w:cs="宋体"/>
          <w:sz w:val="24"/>
          <w:highlight w:val="none"/>
          <w:lang w:eastAsia="zh-CN"/>
        </w:rPr>
        <w:t>采购机构</w:t>
      </w:r>
      <w:r>
        <w:rPr>
          <w:rFonts w:hint="eastAsia" w:ascii="宋体" w:hAnsi="宋体" w:cs="宋体"/>
          <w:sz w:val="24"/>
        </w:rPr>
        <w:t>”系指招标公告</w:t>
      </w:r>
      <w:r>
        <w:rPr>
          <w:rFonts w:hint="eastAsia" w:ascii="宋体" w:hAnsi="宋体" w:cs="宋体"/>
          <w:sz w:val="24"/>
          <w:highlight w:val="none"/>
        </w:rPr>
        <w:t>中载明的本项目的</w:t>
      </w:r>
      <w:r>
        <w:rPr>
          <w:rFonts w:hint="eastAsia" w:ascii="宋体" w:hAnsi="宋体" w:cs="宋体"/>
          <w:sz w:val="24"/>
          <w:highlight w:val="none"/>
          <w:lang w:eastAsia="zh-CN"/>
        </w:rPr>
        <w:t>采购机构</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“投标人”系指响应招标、参加投标竞争的法人、其他组织或者自然人。</w:t>
      </w:r>
    </w:p>
    <w:p>
      <w:pPr>
        <w:spacing w:line="360" w:lineRule="auto"/>
        <w:ind w:firstLine="480" w:firstLineChars="200"/>
        <w:rPr>
          <w:rFonts w:ascii="宋体" w:hAnsi="宋体" w:cs="宋体"/>
          <w:sz w:val="24"/>
        </w:rPr>
      </w:pPr>
      <w:r>
        <w:rPr>
          <w:rFonts w:hint="eastAsia" w:ascii="宋体" w:hAnsi="宋体" w:cs="宋体"/>
          <w:sz w:val="24"/>
          <w:highlight w:val="none"/>
        </w:rPr>
        <w:t>2.4 “负责人”系指法人企业的法</w:t>
      </w:r>
      <w:r>
        <w:rPr>
          <w:rFonts w:hint="eastAsia" w:ascii="宋体" w:hAnsi="宋体" w:cs="宋体"/>
          <w:sz w:val="24"/>
        </w:rPr>
        <w:t>定负责人，或其他组织为法律、行政法规规定代表单位行使职权的主要负责人，或自然人本人。</w:t>
      </w:r>
    </w:p>
    <w:p>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pPr>
        <w:spacing w:line="360" w:lineRule="auto"/>
        <w:ind w:firstLine="480" w:firstLineChars="200"/>
        <w:rPr>
          <w:rFonts w:hint="eastAsia"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pPr>
        <w:spacing w:line="360" w:lineRule="auto"/>
        <w:ind w:firstLine="480" w:firstLineChars="200"/>
        <w:rPr>
          <w:highlight w:val="none"/>
        </w:rPr>
      </w:pPr>
      <w:r>
        <w:rPr>
          <w:rFonts w:hint="eastAsia" w:ascii="宋体" w:hAnsi="宋体" w:eastAsia="宋体" w:cs="宋体"/>
          <w:color w:val="auto"/>
          <w:sz w:val="24"/>
          <w:highlight w:val="none"/>
          <w:lang w:val="en-US" w:eastAsia="zh-CN"/>
        </w:rPr>
        <w:t>2.8 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45周岁生日当天至46周岁生日前一天</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highlight w:val="none"/>
          <w:lang w:eastAsia="zh-CN"/>
        </w:rPr>
        <w:t>采购机构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3.2 支持绿色发展</w:t>
      </w:r>
    </w:p>
    <w:p>
      <w:pPr>
        <w:spacing w:line="360" w:lineRule="auto"/>
        <w:ind w:firstLine="480" w:firstLineChars="200"/>
        <w:rPr>
          <w:rFonts w:hint="eastAsia" w:ascii="宋体" w:hAnsi="宋体" w:cs="宋体"/>
          <w:b/>
          <w:sz w:val="24"/>
          <w:highlight w:val="none"/>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kern w:val="0"/>
          <w:sz w:val="24"/>
          <w:highlight w:val="none"/>
          <w:lang w:val="zh-CN"/>
        </w:rPr>
        <w:t>实施政府强制采购</w:t>
      </w:r>
      <w:r>
        <w:rPr>
          <w:rFonts w:hint="eastAsia" w:ascii="宋体" w:hAnsi="宋体" w:cs="宋体"/>
          <w:b/>
          <w:bCs/>
          <w:kern w:val="0"/>
          <w:sz w:val="24"/>
          <w:highlight w:val="none"/>
          <w:lang w:val="zh-CN"/>
        </w:rPr>
        <w:t>的</w:t>
      </w:r>
      <w:r>
        <w:rPr>
          <w:rFonts w:hint="eastAsia" w:ascii="宋体" w:hAnsi="宋体" w:eastAsia="宋体" w:cs="宋体"/>
          <w:kern w:val="0"/>
          <w:sz w:val="24"/>
          <w:highlight w:val="none"/>
          <w:lang w:val="zh-CN"/>
        </w:rPr>
        <w:t>，</w:t>
      </w:r>
      <w:r>
        <w:rPr>
          <w:rFonts w:hint="eastAsia" w:ascii="宋体" w:hAnsi="宋体" w:eastAsia="宋体" w:cs="宋体"/>
          <w:b/>
          <w:bCs/>
          <w:kern w:val="0"/>
          <w:sz w:val="24"/>
          <w:highlight w:val="none"/>
          <w:lang w:val="zh-CN"/>
        </w:rPr>
        <w:t>投标人</w:t>
      </w:r>
      <w:r>
        <w:rPr>
          <w:rFonts w:hint="eastAsia" w:ascii="宋体" w:hAnsi="宋体" w:eastAsia="宋体" w:cs="宋体"/>
          <w:b/>
          <w:bCs/>
          <w:kern w:val="0"/>
          <w:sz w:val="24"/>
          <w:highlight w:val="none"/>
        </w:rPr>
        <w:t>就</w:t>
      </w:r>
      <w:r>
        <w:rPr>
          <w:rFonts w:hint="eastAsia" w:ascii="宋体" w:hAnsi="宋体" w:eastAsia="宋体" w:cs="宋体"/>
          <w:b/>
          <w:bCs/>
          <w:kern w:val="0"/>
          <w:sz w:val="24"/>
          <w:highlight w:val="none"/>
          <w:lang w:val="zh-CN"/>
        </w:rPr>
        <w:t>相应的投标产品未</w:t>
      </w:r>
      <w:r>
        <w:rPr>
          <w:rFonts w:hint="eastAsia" w:ascii="宋体" w:hAnsi="宋体" w:eastAsia="宋体" w:cs="宋体"/>
          <w:b/>
          <w:bCs/>
          <w:kern w:val="0"/>
          <w:sz w:val="24"/>
          <w:highlight w:val="none"/>
        </w:rPr>
        <w:t>提供</w:t>
      </w:r>
      <w:r>
        <w:rPr>
          <w:rFonts w:hint="eastAsia" w:ascii="宋体" w:hAnsi="宋体" w:eastAsia="宋体" w:cs="宋体"/>
          <w:b/>
          <w:bCs/>
          <w:kern w:val="0"/>
          <w:sz w:val="24"/>
          <w:highlight w:val="none"/>
          <w:lang w:val="zh-CN"/>
        </w:rPr>
        <w:t>国家确定的认证机构出具的、处于有效期之内的节能产品认证证书的，投标无效</w:t>
      </w:r>
      <w:r>
        <w:rPr>
          <w:rFonts w:hint="eastAsia" w:ascii="宋体" w:hAnsi="宋体" w:cs="宋体"/>
          <w:b/>
          <w:sz w:val="24"/>
          <w:highlight w:val="none"/>
        </w:rPr>
        <w:t>。</w:t>
      </w:r>
    </w:p>
    <w:p>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sz w:val="24"/>
        </w:rPr>
      </w:pPr>
      <w:r>
        <w:rPr>
          <w:rFonts w:hint="eastAsia" w:ascii="宋体" w:hAnsi="宋体" w:cs="宋体"/>
          <w:sz w:val="24"/>
          <w:highlight w:val="none"/>
        </w:rPr>
        <w:t>3.2.3</w:t>
      </w:r>
      <w:r>
        <w:rPr>
          <w:rFonts w:hint="eastAsia" w:ascii="宋体" w:hAnsi="宋体" w:cs="宋体"/>
          <w:sz w:val="24"/>
          <w:highlight w:val="none"/>
          <w:lang w:eastAsia="zh-CN"/>
        </w:rPr>
        <w:t>、</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sz w:val="24"/>
        </w:rPr>
      </w:pPr>
      <w:r>
        <w:rPr>
          <w:rFonts w:hint="eastAsia" w:ascii="宋体" w:hAnsi="宋体" w:cs="宋体"/>
          <w:sz w:val="24"/>
        </w:rPr>
        <w:t>3.3支持中小企业发展</w:t>
      </w:r>
    </w:p>
    <w:p>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sz w:val="24"/>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w:t>
      </w:r>
      <w:r>
        <w:rPr>
          <w:rFonts w:hint="eastAsia" w:ascii="宋体" w:hAnsi="宋体" w:cs="宋体"/>
          <w:sz w:val="24"/>
        </w:rPr>
        <w:t>型、微型企业；</w:t>
      </w:r>
    </w:p>
    <w:p>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highlight w:val="none"/>
        </w:rPr>
      </w:pPr>
      <w:bookmarkStart w:id="19" w:name="OLE_LINK11"/>
      <w:r>
        <w:rPr>
          <w:rFonts w:hint="eastAsia" w:ascii="宋体" w:hAnsi="宋体" w:cs="宋体"/>
          <w:color w:val="auto"/>
          <w:sz w:val="24"/>
          <w:highlight w:val="none"/>
        </w:rPr>
        <w:t>3.3.6</w:t>
      </w:r>
      <w:bookmarkEnd w:id="19"/>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pPr>
        <w:pStyle w:val="4"/>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 支持本国产品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3.6.1 本国产品标准适用于货物，包括政府采购货物项目和服务项目中涉及的货物。</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3.6.2 本项目既有本国产品又有非本国产品参与竞争的，对本国产品的报价给予20%的价格扣除，用扣除后的价格参与评审。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3.6.4 评</w:t>
      </w:r>
      <w:r>
        <w:rPr>
          <w:rFonts w:hint="eastAsia" w:ascii="宋体" w:hAnsi="宋体" w:cs="宋体"/>
          <w:sz w:val="24"/>
          <w:highlight w:val="none"/>
          <w:lang w:eastAsia="zh-CN"/>
        </w:rPr>
        <w:t>标</w:t>
      </w:r>
      <w:r>
        <w:rPr>
          <w:rFonts w:hint="eastAsia" w:ascii="宋体" w:hAnsi="宋体" w:cs="宋体"/>
          <w:sz w:val="24"/>
          <w:highlight w:val="none"/>
        </w:rPr>
        <w:t>委员会应当在采购文件中明确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w:t>
      </w:r>
    </w:p>
    <w:p>
      <w:pPr>
        <w:spacing w:line="360" w:lineRule="auto"/>
        <w:ind w:firstLine="480" w:firstLineChars="200"/>
        <w:rPr>
          <w:rFonts w:hint="eastAsia" w:ascii="宋体" w:hAnsi="宋体" w:cs="宋体"/>
          <w:color w:val="auto"/>
          <w:sz w:val="24"/>
          <w:highlight w:val="none"/>
        </w:rPr>
      </w:pPr>
    </w:p>
    <w:p>
      <w:pPr>
        <w:spacing w:line="360" w:lineRule="auto"/>
        <w:ind w:firstLine="482" w:firstLineChars="200"/>
        <w:rPr>
          <w:rFonts w:ascii="宋体" w:hAnsi="宋体" w:cs="宋体"/>
          <w:b/>
          <w:sz w:val="24"/>
          <w:highlight w:val="none"/>
        </w:rPr>
      </w:pPr>
      <w:r>
        <w:rPr>
          <w:rFonts w:hint="eastAsia" w:ascii="宋体" w:hAnsi="宋体" w:cs="宋体"/>
          <w:b/>
          <w:sz w:val="24"/>
        </w:rPr>
        <w:t>4. 询问、质疑、投</w:t>
      </w:r>
      <w:r>
        <w:rPr>
          <w:rFonts w:hint="eastAsia" w:ascii="宋体" w:hAnsi="宋体" w:cs="宋体"/>
          <w:b/>
          <w:sz w:val="24"/>
          <w:highlight w:val="none"/>
        </w:rPr>
        <w:t>诉</w:t>
      </w:r>
      <w:bookmarkStart w:id="20" w:name="OLE_LINK16"/>
      <w:r>
        <w:rPr>
          <w:rFonts w:hint="eastAsia" w:ascii="宋体" w:hAnsi="宋体" w:eastAsia="宋体" w:cs="宋体"/>
          <w:b/>
          <w:color w:val="auto"/>
          <w:sz w:val="24"/>
          <w:highlight w:val="none"/>
        </w:rPr>
        <w:t>、补偿救济</w:t>
      </w:r>
      <w:bookmarkEnd w:id="20"/>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w:t>
      </w:r>
      <w:r>
        <w:rPr>
          <w:rFonts w:hint="eastAsia" w:ascii="宋体" w:hAnsi="宋体" w:cs="宋体"/>
          <w:kern w:val="0"/>
          <w:sz w:val="24"/>
          <w:lang w:val="zh-CN"/>
        </w:rPr>
        <w:t>采购投诉处理-在线办理。</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w:t>
      </w:r>
      <w:r>
        <w:rPr>
          <w:rFonts w:hint="eastAsia" w:ascii="宋体" w:hAnsi="宋体" w:cs="宋体"/>
          <w:sz w:val="24"/>
          <w:highlight w:val="none"/>
          <w:lang w:eastAsia="zh-CN"/>
        </w:rPr>
        <w:t>采购机构</w:t>
      </w:r>
      <w:r>
        <w:rPr>
          <w:rFonts w:hint="eastAsia" w:hAnsi="宋体" w:cs="宋体"/>
          <w:sz w:val="24"/>
        </w:rPr>
        <w:t>提出质疑，否则，采购人或</w:t>
      </w:r>
      <w:r>
        <w:rPr>
          <w:rFonts w:hint="eastAsia" w:hAnsi="宋体" w:cs="宋体"/>
          <w:sz w:val="24"/>
          <w:highlight w:val="none"/>
        </w:rPr>
        <w:t>者</w:t>
      </w:r>
      <w:r>
        <w:rPr>
          <w:rFonts w:hint="eastAsia" w:ascii="宋体" w:hAnsi="宋体" w:cs="宋体"/>
          <w:sz w:val="24"/>
          <w:highlight w:val="none"/>
          <w:lang w:eastAsia="zh-CN"/>
        </w:rPr>
        <w:t>采购机构</w:t>
      </w:r>
      <w:r>
        <w:rPr>
          <w:rFonts w:hint="eastAsia" w:hAnsi="宋体" w:cs="宋体"/>
          <w:sz w:val="24"/>
          <w:highlight w:val="none"/>
        </w:rPr>
        <w:t>不</w:t>
      </w:r>
      <w:r>
        <w:rPr>
          <w:rFonts w:hint="eastAsia" w:hAnsi="宋体" w:cs="宋体"/>
          <w:sz w:val="24"/>
        </w:rPr>
        <w:t>予受理：</w:t>
      </w:r>
    </w:p>
    <w:p>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pPr>
        <w:pStyle w:val="34"/>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pPr>
        <w:pStyle w:val="887"/>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7"/>
        <w:shd w:val="clear" w:color="auto" w:fill="FFFFFF"/>
        <w:snapToGrid w:val="0"/>
        <w:spacing w:after="240" w:afterAutospacing="0" w:line="360" w:lineRule="auto"/>
        <w:ind w:firstLine="400"/>
        <w:contextualSpacing/>
      </w:pPr>
      <w:r>
        <w:rPr>
          <w:rFonts w:hint="eastAsia"/>
        </w:rPr>
        <w:t>质疑函范本及制作说明详见附件2。</w:t>
      </w:r>
    </w:p>
    <w:p>
      <w:pPr>
        <w:pStyle w:val="887"/>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pPr>
        <w:pStyle w:val="887"/>
        <w:shd w:val="clear" w:color="auto" w:fill="FFFFFF"/>
        <w:snapToGrid w:val="0"/>
        <w:spacing w:after="240" w:afterAutospacing="0" w:line="360" w:lineRule="auto"/>
        <w:ind w:firstLine="400"/>
        <w:contextualSpacing/>
      </w:pPr>
      <w:r>
        <w:rPr>
          <w:rFonts w:hint="eastAsia"/>
          <w:lang w:val="zh-CN"/>
        </w:rPr>
        <w:t>4.3</w:t>
      </w:r>
      <w:r>
        <w:rPr>
          <w:rFonts w:hint="eastAsia"/>
        </w:rPr>
        <w:t>.5采购人或者</w:t>
      </w:r>
      <w:r>
        <w:rPr>
          <w:rFonts w:hint="eastAsia" w:ascii="宋体" w:hAnsi="宋体" w:cs="宋体"/>
          <w:sz w:val="24"/>
          <w:highlight w:val="none"/>
          <w:lang w:eastAsia="zh-CN"/>
        </w:rPr>
        <w:t>采购机构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cs="宋体"/>
          <w:sz w:val="24"/>
          <w:highlight w:val="none"/>
          <w:lang w:eastAsia="zh-CN"/>
        </w:rPr>
        <w:t>采购机构</w:t>
      </w:r>
      <w:r>
        <w:rPr>
          <w:rFonts w:hint="eastAsia"/>
        </w:rPr>
        <w:t>在质疑回复后5个工作日内，在浙江政府采购网的“其他公告”栏目公开质疑答复，答复内容应当完整。质疑函作为附件上传。</w:t>
      </w:r>
    </w:p>
    <w:p>
      <w:pPr>
        <w:pStyle w:val="887"/>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pPr>
        <w:pStyle w:val="887"/>
        <w:shd w:val="clear" w:color="auto" w:fill="FFFFFF"/>
        <w:snapToGrid w:val="0"/>
        <w:spacing w:after="240" w:afterAutospacing="0" w:line="360" w:lineRule="auto"/>
        <w:ind w:firstLine="400"/>
        <w:contextualSpacing/>
      </w:pPr>
      <w:r>
        <w:rPr>
          <w:rFonts w:hint="eastAsia"/>
        </w:rPr>
        <w:t>4.4.1质疑供应商对采购人、</w:t>
      </w:r>
      <w:r>
        <w:rPr>
          <w:rFonts w:hint="eastAsia" w:ascii="宋体" w:hAnsi="宋体" w:cs="宋体"/>
          <w:sz w:val="24"/>
          <w:highlight w:val="none"/>
          <w:lang w:eastAsia="zh-CN"/>
        </w:rPr>
        <w:t>采购机构</w:t>
      </w:r>
      <w:r>
        <w:rPr>
          <w:rFonts w:hint="eastAsia"/>
        </w:rPr>
        <w:t>的答复不满意或者采购人、</w:t>
      </w:r>
      <w:r>
        <w:rPr>
          <w:rFonts w:hint="eastAsia" w:ascii="宋体" w:hAnsi="宋体" w:cs="宋体"/>
          <w:sz w:val="24"/>
          <w:highlight w:val="none"/>
          <w:lang w:eastAsia="zh-CN"/>
        </w:rPr>
        <w:t>采购机构</w:t>
      </w:r>
      <w:r>
        <w:rPr>
          <w:rFonts w:hint="eastAsia"/>
        </w:rPr>
        <w:t>未在规定的时间内作出答复的，可以在答复期满后十五个工作日内向同级政府采购监督管理部门提出投诉。</w:t>
      </w:r>
    </w:p>
    <w:p>
      <w:pPr>
        <w:pStyle w:val="887"/>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pPr>
        <w:pStyle w:val="887"/>
        <w:shd w:val="clear" w:color="auto" w:fill="FFFFFF"/>
        <w:snapToGrid w:val="0"/>
        <w:spacing w:after="240" w:afterAutospacing="0" w:line="360" w:lineRule="auto"/>
        <w:ind w:firstLine="400"/>
        <w:contextualSpacing/>
      </w:pPr>
      <w:r>
        <w:rPr>
          <w:rFonts w:hint="eastAsia"/>
        </w:rPr>
        <w:t>4.4.3供应商投诉应当有明确的请求和必要的证明材料。</w:t>
      </w:r>
    </w:p>
    <w:p>
      <w:pPr>
        <w:pStyle w:val="887"/>
        <w:shd w:val="clear" w:color="auto" w:fill="FFFFFF"/>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pPr>
        <w:pStyle w:val="887"/>
        <w:shd w:val="clear" w:color="auto" w:fill="FFFFFF"/>
        <w:snapToGrid w:val="0"/>
        <w:spacing w:after="240" w:afterAutospacing="0" w:line="360" w:lineRule="auto"/>
        <w:ind w:firstLine="400"/>
        <w:contextualSpacing/>
        <w:rPr>
          <w:rFonts w:hint="eastAsia" w:ascii="宋体" w:hAnsi="宋体" w:cs="仿宋"/>
          <w:color w:val="auto"/>
          <w:sz w:val="24"/>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r>
        <w:rPr>
          <w:rFonts w:hint="eastAsia"/>
          <w:color w:val="auto"/>
          <w:highlight w:val="none"/>
        </w:rPr>
        <w:br w:type="textWrapping"/>
      </w:r>
      <w:r>
        <w:rPr>
          <w:rFonts w:hint="eastAsia"/>
          <w:color w:val="auto"/>
          <w:highlight w:val="none"/>
          <w:lang w:val="en-US" w:eastAsia="zh-CN"/>
        </w:rPr>
        <w:t xml:space="preserve">   </w:t>
      </w:r>
      <w:r>
        <w:rPr>
          <w:rFonts w:hint="eastAsia" w:ascii="宋体" w:hAnsi="宋体" w:cs="仿宋"/>
          <w:color w:val="auto"/>
          <w:sz w:val="24"/>
          <w:highlight w:val="none"/>
        </w:rPr>
        <w:t>4.5 补偿救济</w:t>
      </w:r>
      <w:r>
        <w:rPr>
          <w:rFonts w:hint="eastAsia" w:ascii="宋体" w:hAnsi="宋体" w:cs="仿宋"/>
          <w:color w:val="auto"/>
          <w:sz w:val="24"/>
          <w:highlight w:val="none"/>
        </w:rPr>
        <w:br w:type="textWrapping"/>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投诉书范本及制作说明详见附件3。</w:t>
      </w:r>
    </w:p>
    <w:p>
      <w:pPr>
        <w:pStyle w:val="129"/>
        <w:snapToGrid w:val="0"/>
        <w:spacing w:before="0"/>
        <w:ind w:firstLine="360"/>
        <w:rPr>
          <w:rFonts w:ascii="宋体" w:hAnsi="宋体" w:cs="宋体"/>
          <w:sz w:val="18"/>
          <w:szCs w:val="18"/>
        </w:rPr>
      </w:pPr>
    </w:p>
    <w:p>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pPr>
        <w:pStyle w:val="34"/>
        <w:spacing w:line="360" w:lineRule="auto"/>
        <w:rPr>
          <w:rFonts w:hAnsi="宋体" w:cs="宋体"/>
          <w:b/>
          <w:sz w:val="24"/>
          <w:szCs w:val="24"/>
        </w:rPr>
      </w:pPr>
      <w:r>
        <w:rPr>
          <w:rFonts w:hint="eastAsia" w:hAnsi="宋体" w:cs="宋体"/>
          <w:b/>
          <w:sz w:val="24"/>
          <w:szCs w:val="24"/>
        </w:rPr>
        <w:t>5．招标文件的构成</w:t>
      </w:r>
    </w:p>
    <w:p>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pPr>
        <w:pStyle w:val="34"/>
        <w:spacing w:line="360" w:lineRule="auto"/>
        <w:rPr>
          <w:rFonts w:hAnsi="宋体" w:cs="宋体"/>
          <w:b/>
          <w:sz w:val="24"/>
          <w:szCs w:val="24"/>
        </w:rPr>
      </w:pPr>
      <w:r>
        <w:rPr>
          <w:rFonts w:hint="eastAsia" w:hAnsi="宋体" w:cs="宋体"/>
          <w:b/>
          <w:sz w:val="24"/>
          <w:szCs w:val="24"/>
        </w:rPr>
        <w:t>6. 招标文件的澄清、修改</w:t>
      </w:r>
    </w:p>
    <w:p>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sz w:val="24"/>
          <w:highlight w:val="none"/>
          <w:lang w:eastAsia="zh-CN"/>
        </w:rPr>
        <w:t>采购机构</w:t>
      </w:r>
      <w:r>
        <w:rPr>
          <w:rFonts w:hint="eastAsia" w:ascii="宋体" w:hAnsi="宋体" w:cs="宋体"/>
        </w:rPr>
        <w:t>提出。</w:t>
      </w:r>
    </w:p>
    <w:p>
      <w:pPr>
        <w:pStyle w:val="129"/>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sz w:val="24"/>
          <w:highlight w:val="none"/>
          <w:lang w:eastAsia="zh-CN"/>
        </w:rPr>
        <w:t>采购机构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5"/>
        <w:rPr>
          <w:rFonts w:hAnsi="宋体" w:cs="宋体"/>
          <w:sz w:val="18"/>
          <w:szCs w:val="18"/>
          <w:lang w:val="en-US"/>
        </w:rPr>
      </w:pPr>
      <w:r>
        <w:rPr>
          <w:rFonts w:hint="eastAsia" w:hAnsi="宋体" w:cs="宋体"/>
          <w:szCs w:val="24"/>
          <w:lang w:val="en-US"/>
        </w:rPr>
        <w:t xml:space="preserve">    </w:t>
      </w:r>
    </w:p>
    <w:p>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pPr>
        <w:pStyle w:val="34"/>
        <w:spacing w:line="360" w:lineRule="auto"/>
        <w:rPr>
          <w:rFonts w:hAnsi="宋体" w:cs="宋体"/>
          <w:b/>
          <w:sz w:val="24"/>
          <w:szCs w:val="24"/>
        </w:rPr>
      </w:pPr>
      <w:r>
        <w:rPr>
          <w:rFonts w:hint="eastAsia" w:hAnsi="宋体" w:cs="宋体"/>
          <w:b/>
          <w:sz w:val="24"/>
          <w:szCs w:val="24"/>
        </w:rPr>
        <w:t>7. 招标文件的获取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pPr>
        <w:pStyle w:val="34"/>
        <w:spacing w:line="360" w:lineRule="auto"/>
        <w:rPr>
          <w:rFonts w:hAnsi="宋体" w:cs="宋体"/>
          <w:b/>
          <w:sz w:val="24"/>
          <w:szCs w:val="24"/>
        </w:rPr>
      </w:pPr>
      <w:r>
        <w:rPr>
          <w:rFonts w:hint="eastAsia" w:hAnsi="宋体" w:cs="宋体"/>
          <w:b/>
          <w:sz w:val="24"/>
          <w:szCs w:val="24"/>
        </w:rPr>
        <w:t>8.开标前答疑会或现场考察</w:t>
      </w:r>
    </w:p>
    <w:p>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szCs w:val="24"/>
        </w:rPr>
      </w:pPr>
      <w:r>
        <w:rPr>
          <w:rFonts w:hint="eastAsia" w:hAnsi="宋体" w:cs="宋体"/>
          <w:b/>
          <w:kern w:val="28"/>
          <w:sz w:val="24"/>
          <w:szCs w:val="24"/>
        </w:rPr>
        <w:t>9.投标保证金</w:t>
      </w:r>
    </w:p>
    <w:p>
      <w:pPr>
        <w:pStyle w:val="6"/>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pPr>
        <w:pStyle w:val="34"/>
        <w:spacing w:line="360" w:lineRule="auto"/>
        <w:rPr>
          <w:rFonts w:hAnsi="宋体" w:cs="宋体"/>
          <w:b/>
          <w:sz w:val="24"/>
          <w:szCs w:val="24"/>
        </w:rPr>
      </w:pPr>
      <w:r>
        <w:rPr>
          <w:rFonts w:hint="eastAsia" w:hAnsi="宋体" w:cs="宋体"/>
          <w:b/>
          <w:sz w:val="24"/>
          <w:szCs w:val="24"/>
        </w:rPr>
        <w:t>10. 投标文件的语言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pPr>
        <w:pStyle w:val="34"/>
        <w:numPr>
          <w:ilvl w:val="0"/>
          <w:numId w:val="1"/>
        </w:numPr>
        <w:spacing w:line="360" w:lineRule="auto"/>
        <w:rPr>
          <w:rFonts w:hint="eastAsia" w:hAnsi="宋体" w:cs="宋体"/>
          <w:b/>
          <w:sz w:val="24"/>
          <w:szCs w:val="24"/>
        </w:rPr>
      </w:pPr>
      <w:r>
        <w:rPr>
          <w:rFonts w:hint="eastAsia" w:hAnsi="宋体" w:cs="宋体"/>
          <w:b/>
          <w:sz w:val="24"/>
          <w:szCs w:val="24"/>
        </w:rPr>
        <w:t>投标文件的组成</w:t>
      </w:r>
    </w:p>
    <w:p>
      <w:pPr>
        <w:snapToGrid w:val="0"/>
        <w:spacing w:line="360" w:lineRule="auto"/>
        <w:ind w:firstLine="482" w:firstLineChars="200"/>
        <w:rPr>
          <w:rFonts w:hint="eastAsia" w:hAnsi="宋体" w:cs="宋体"/>
          <w:b/>
          <w:sz w:val="24"/>
          <w:szCs w:val="24"/>
          <w:highlight w:val="none"/>
        </w:rPr>
      </w:pPr>
      <w:r>
        <w:rPr>
          <w:rFonts w:hint="eastAsia" w:ascii="宋体" w:hAnsi="宋体" w:cs="宋体"/>
          <w:b/>
          <w:snapToGrid w:val="0"/>
          <w:sz w:val="24"/>
          <w:highlight w:val="none"/>
        </w:rPr>
        <w:t>▲投标文件至少应包括以下文件。</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bookmarkStart w:id="21" w:name="OLE_LINK4"/>
      <w:r>
        <w:rPr>
          <w:rFonts w:hint="eastAsia" w:ascii="宋体" w:hAnsi="宋体" w:cs="宋体"/>
          <w:snapToGrid w:val="0"/>
          <w:color w:val="FF0000"/>
          <w:kern w:val="28"/>
          <w:sz w:val="24"/>
          <w:szCs w:val="20"/>
        </w:rPr>
        <w:t>（如果有)</w:t>
      </w:r>
      <w:bookmarkEnd w:id="21"/>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sz w:val="24"/>
          <w:highlight w:val="none"/>
        </w:rPr>
      </w:pPr>
      <w:bookmarkStart w:id="22" w:name="OLE_LINK17"/>
      <w:r>
        <w:rPr>
          <w:rFonts w:hint="eastAsia" w:ascii="宋体" w:hAnsi="宋体" w:cs="宋体"/>
          <w:sz w:val="24"/>
        </w:rPr>
        <w:t>11.3.</w:t>
      </w:r>
      <w:r>
        <w:rPr>
          <w:rFonts w:hint="eastAsia" w:ascii="宋体" w:hAnsi="宋体" w:cs="宋体"/>
          <w:sz w:val="24"/>
          <w:lang w:val="en-US" w:eastAsia="zh-CN"/>
        </w:rPr>
        <w:t>2</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FF0000"/>
          <w:sz w:val="24"/>
          <w:highlight w:val="none"/>
          <w:lang w:val="en-US" w:eastAsia="zh-CN"/>
        </w:rPr>
        <w:t>（如果有）</w:t>
      </w:r>
      <w:r>
        <w:rPr>
          <w:rFonts w:hint="eastAsia" w:ascii="宋体" w:hAnsi="宋体" w:cs="宋体"/>
          <w:color w:val="auto"/>
          <w:sz w:val="24"/>
          <w:highlight w:val="none"/>
          <w:lang w:val="en-US" w:eastAsia="zh-CN"/>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如果有）</w:t>
      </w:r>
      <w:r>
        <w:rPr>
          <w:rFonts w:hint="eastAsia" w:ascii="宋体" w:hAnsi="宋体" w:cs="宋体"/>
          <w:color w:val="auto"/>
          <w:sz w:val="24"/>
          <w:highlight w:val="none"/>
        </w:rPr>
        <w:t>。</w:t>
      </w:r>
    </w:p>
    <w:bookmarkEnd w:id="22"/>
    <w:p>
      <w:pPr>
        <w:spacing w:line="360" w:lineRule="auto"/>
        <w:ind w:firstLine="723" w:firstLineChars="3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pPr>
        <w:spacing w:line="360" w:lineRule="auto"/>
        <w:ind w:left="718" w:leftChars="342" w:firstLine="0" w:firstLineChars="0"/>
        <w:rPr>
          <w:rFonts w:hint="eastAsia" w:ascii="宋体" w:hAnsi="宋体" w:cs="宋体"/>
          <w:b/>
          <w:sz w:val="24"/>
          <w:highlight w:val="none"/>
          <w:lang w:eastAsia="zh-CN"/>
        </w:rPr>
      </w:pPr>
      <w:r>
        <w:rPr>
          <w:rFonts w:hint="eastAsia" w:ascii="宋体" w:hAnsi="宋体" w:cs="宋体"/>
          <w:b/>
          <w:sz w:val="24"/>
          <w:highlight w:val="none"/>
        </w:rPr>
        <w:t>投标人提供虚假材料投标的，投标无效</w:t>
      </w:r>
      <w:r>
        <w:rPr>
          <w:rFonts w:hint="eastAsia" w:ascii="宋体" w:hAnsi="宋体" w:cs="宋体"/>
          <w:b/>
          <w:sz w:val="24"/>
          <w:highlight w:val="none"/>
          <w:lang w:eastAsia="zh-CN"/>
        </w:rPr>
        <w:t>。</w:t>
      </w:r>
    </w:p>
    <w:p>
      <w:pPr>
        <w:spacing w:line="360" w:lineRule="auto"/>
        <w:ind w:firstLine="723" w:firstLineChars="300"/>
        <w:rPr>
          <w:rFonts w:hint="eastAsia" w:ascii="宋体" w:hAnsi="宋体" w:eastAsia="宋体" w:cs="宋体"/>
          <w:b/>
          <w:bCs/>
          <w:snapToGrid w:val="0"/>
          <w:kern w:val="2"/>
          <w:sz w:val="24"/>
          <w:szCs w:val="24"/>
          <w:highlight w:val="none"/>
          <w:lang w:val="en-US" w:eastAsia="zh-CN" w:bidi="ar-SA"/>
        </w:rPr>
      </w:pPr>
      <w:bookmarkStart w:id="23" w:name="OLE_LINK18"/>
      <w:r>
        <w:rPr>
          <w:rFonts w:hint="eastAsia" w:ascii="宋体" w:hAnsi="宋体" w:eastAsia="宋体" w:cs="宋体"/>
          <w:b/>
          <w:bCs/>
          <w:snapToGrid w:val="0"/>
          <w:kern w:val="2"/>
          <w:sz w:val="24"/>
          <w:szCs w:val="24"/>
          <w:highlight w:val="none"/>
          <w:lang w:val="en-US" w:eastAsia="zh-CN" w:bidi="ar-SA"/>
        </w:rPr>
        <w:t>投标人应对投标文件中材料的真实性、合法性负责。投标人可事先在公开官网查询、核对相关证书和报告内容，确保投标（响应）文件资料准确无误。</w:t>
      </w:r>
      <w:bookmarkEnd w:id="23"/>
    </w:p>
    <w:p>
      <w:pPr>
        <w:pStyle w:val="129"/>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sz w:val="24"/>
        </w:rPr>
      </w:pPr>
      <w:r>
        <w:rPr>
          <w:rFonts w:hint="eastAsia" w:ascii="宋体" w:hAnsi="宋体" w:cs="宋体"/>
          <w:b/>
          <w:sz w:val="24"/>
        </w:rPr>
        <w:t>13.投标文件的签署、盖章</w:t>
      </w:r>
    </w:p>
    <w:p>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pPr>
        <w:pStyle w:val="129"/>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9"/>
        <w:spacing w:before="0"/>
        <w:ind w:firstLine="480"/>
        <w:rPr>
          <w:rFonts w:ascii="宋体" w:hAnsi="宋体" w:cs="宋体"/>
          <w:szCs w:val="24"/>
        </w:rPr>
      </w:pPr>
      <w:r>
        <w:rPr>
          <w:rFonts w:hint="eastAsia" w:ascii="宋体" w:hAnsi="宋体" w:cs="宋体"/>
          <w:szCs w:val="24"/>
          <w:highlight w:val="none"/>
        </w:rPr>
        <w:t>14.2电子交易平台收到投标文件，将妥</w:t>
      </w:r>
      <w:r>
        <w:rPr>
          <w:rFonts w:hint="eastAsia" w:ascii="宋体" w:hAnsi="宋体" w:cs="宋体"/>
          <w:szCs w:val="24"/>
        </w:rPr>
        <w:t>善保存并即时向供应商发出确认回执通知。在投标截止时间前，除供应商补充、修改或者撤回投标文件外，任何单位和个人不得解密或提取投标文件。</w:t>
      </w:r>
    </w:p>
    <w:p>
      <w:pPr>
        <w:pStyle w:val="129"/>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 w:val="24"/>
          <w:highlight w:val="none"/>
          <w:lang w:eastAsia="zh-CN"/>
        </w:rPr>
        <w:t>采购机构</w:t>
      </w:r>
      <w:r>
        <w:rPr>
          <w:rFonts w:hint="eastAsia" w:ascii="宋体" w:hAnsi="宋体" w:cs="宋体"/>
          <w:szCs w:val="24"/>
        </w:rPr>
        <w:t>可以视情况延长投标文件提交的截止时间。在上述情况下，</w:t>
      </w:r>
      <w:r>
        <w:rPr>
          <w:rFonts w:hint="eastAsia" w:ascii="宋体" w:hAnsi="宋体" w:cs="宋体"/>
          <w:sz w:val="24"/>
          <w:highlight w:val="none"/>
          <w:lang w:eastAsia="zh-CN"/>
        </w:rPr>
        <w:t>采购机构</w:t>
      </w:r>
      <w:r>
        <w:rPr>
          <w:rFonts w:hint="eastAsia" w:ascii="宋体" w:hAnsi="宋体" w:cs="宋体"/>
          <w:szCs w:val="24"/>
        </w:rPr>
        <w:t>与投标人以前在投标截止期方面的全部权利、责任和义务，将适用于延长至新的投标截止期。</w:t>
      </w:r>
    </w:p>
    <w:p>
      <w:pPr>
        <w:pStyle w:val="34"/>
        <w:spacing w:line="360" w:lineRule="auto"/>
        <w:rPr>
          <w:rFonts w:hAnsi="宋体" w:cs="宋体"/>
          <w:b/>
          <w:sz w:val="24"/>
          <w:szCs w:val="24"/>
        </w:rPr>
      </w:pPr>
      <w:r>
        <w:rPr>
          <w:rFonts w:hint="eastAsia" w:hAnsi="宋体" w:cs="宋体"/>
          <w:b/>
          <w:sz w:val="24"/>
          <w:szCs w:val="24"/>
        </w:rPr>
        <w:t>15.备份投标文件</w:t>
      </w:r>
    </w:p>
    <w:p>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w:t>
      </w:r>
      <w:r>
        <w:rPr>
          <w:rFonts w:hint="eastAsia" w:ascii="宋体" w:hAnsi="宋体" w:cs="宋体"/>
          <w:b/>
          <w:bCs/>
          <w:sz w:val="24"/>
          <w:highlight w:val="none"/>
          <w:lang w:eastAsia="zh-CN"/>
        </w:rPr>
        <w:t>采购机构</w:t>
      </w:r>
      <w:r>
        <w:rPr>
          <w:rFonts w:hint="eastAsia" w:hAnsi="宋体" w:cs="宋体"/>
          <w:b/>
          <w:sz w:val="24"/>
          <w:szCs w:val="24"/>
        </w:rPr>
        <w:t>不强制或变相强制投标人提交备份投标文件。</w:t>
      </w:r>
    </w:p>
    <w:p>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ascii="宋体" w:hAnsi="宋体" w:cs="宋体"/>
          <w:sz w:val="24"/>
          <w:highlight w:val="none"/>
          <w:lang w:eastAsia="zh-CN"/>
        </w:rPr>
        <w:t>采购机构</w:t>
      </w:r>
      <w:r>
        <w:rPr>
          <w:rFonts w:hint="eastAsia" w:hAnsi="宋体" w:cs="宋体"/>
          <w:sz w:val="24"/>
          <w:szCs w:val="24"/>
        </w:rPr>
        <w:t>，</w:t>
      </w:r>
      <w:r>
        <w:rPr>
          <w:rFonts w:hint="eastAsia" w:ascii="宋体" w:hAnsi="宋体" w:cs="宋体"/>
          <w:sz w:val="24"/>
          <w:highlight w:val="none"/>
          <w:lang w:eastAsia="zh-CN"/>
        </w:rPr>
        <w:t>采购机构</w:t>
      </w:r>
      <w:r>
        <w:rPr>
          <w:rFonts w:hint="eastAsia" w:hAnsi="宋体" w:cs="宋体"/>
          <w:sz w:val="24"/>
          <w:szCs w:val="24"/>
        </w:rPr>
        <w:t>将拒绝接受逾期送达的备份投标文件。</w:t>
      </w:r>
    </w:p>
    <w:p>
      <w:pPr>
        <w:pStyle w:val="34"/>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ascii="宋体" w:hAnsi="宋体" w:cs="宋体"/>
          <w:sz w:val="24"/>
          <w:highlight w:val="none"/>
          <w:lang w:eastAsia="zh-CN"/>
        </w:rPr>
        <w:t>采购机构</w:t>
      </w:r>
      <w:r>
        <w:rPr>
          <w:rFonts w:hint="eastAsia" w:hAnsi="宋体" w:cs="宋体"/>
          <w:sz w:val="24"/>
          <w:szCs w:val="24"/>
        </w:rPr>
        <w:t>将拒绝接受逾期送达的备份投标文件。邮寄过程中，电子备份投标文件发生泄露、遗失、损坏或延期送达等情况的，由投标人自行负责。</w:t>
      </w:r>
    </w:p>
    <w:p>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pPr>
        <w:pStyle w:val="7"/>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pPr>
        <w:pStyle w:val="129"/>
        <w:spacing w:before="0"/>
        <w:ind w:firstLine="0" w:firstLineChars="0"/>
        <w:rPr>
          <w:rFonts w:ascii="宋体" w:hAnsi="宋体" w:cs="宋体"/>
          <w:b/>
          <w:szCs w:val="24"/>
          <w:highlight w:val="none"/>
        </w:rPr>
      </w:pPr>
      <w:bookmarkStart w:id="24" w:name="OLE_LINK19"/>
      <w:r>
        <w:rPr>
          <w:rFonts w:hint="eastAsia" w:ascii="宋体" w:hAnsi="宋体" w:cs="宋体"/>
          <w:b/>
          <w:szCs w:val="24"/>
          <w:highlight w:val="none"/>
        </w:rPr>
        <w:t>17.投标有效期</w:t>
      </w:r>
    </w:p>
    <w:p>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pPr>
        <w:pStyle w:val="129"/>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pPr>
        <w:pStyle w:val="129"/>
        <w:spacing w:before="0"/>
        <w:ind w:firstLine="480"/>
        <w:rPr>
          <w:rFonts w:hint="eastAsia" w:ascii="宋体" w:hAnsi="宋体" w:cs="宋体"/>
          <w:highlight w:val="none"/>
        </w:rPr>
      </w:pPr>
      <w:r>
        <w:rPr>
          <w:rFonts w:hint="eastAsia" w:ascii="宋体" w:hAnsi="宋体" w:cs="宋体"/>
          <w:highlight w:val="none"/>
        </w:rPr>
        <w:t>17.3在原定投标有效期满之前，如果出现特殊情况，</w:t>
      </w:r>
      <w:r>
        <w:rPr>
          <w:rFonts w:hint="eastAsia" w:ascii="宋体" w:hAnsi="宋体" w:cs="宋体"/>
          <w:sz w:val="24"/>
          <w:highlight w:val="none"/>
          <w:lang w:eastAsia="zh-CN"/>
        </w:rPr>
        <w:t>采购机构</w:t>
      </w:r>
      <w:r>
        <w:rPr>
          <w:rFonts w:hint="eastAsia" w:ascii="宋体" w:hAnsi="宋体" w:cs="宋体"/>
          <w:highlight w:val="none"/>
        </w:rPr>
        <w:t>可以以书面形式通知投标人延长投标有效期。投标人同意延长的，不得要求或被允许修改其投标文件，投标人拒绝延长的，其投标无效。</w:t>
      </w:r>
    </w:p>
    <w:bookmarkEnd w:id="24"/>
    <w:p>
      <w:pPr>
        <w:pStyle w:val="129"/>
        <w:spacing w:before="0"/>
        <w:ind w:firstLine="480"/>
        <w:rPr>
          <w:rFonts w:hint="eastAsia" w:ascii="宋体" w:hAnsi="宋体" w:cs="宋体"/>
          <w:highlight w:val="none"/>
        </w:rPr>
      </w:pPr>
      <w:r>
        <w:rPr>
          <w:rFonts w:hint="eastAsia" w:ascii="宋体" w:hAnsi="宋体" w:cs="宋体"/>
          <w:highlight w:val="none"/>
        </w:rPr>
        <w:t>17.4在投标截止时间起至投标有效期届满，供应商投标文件不可撤销。</w:t>
      </w:r>
    </w:p>
    <w:p>
      <w:pPr>
        <w:pStyle w:val="129"/>
        <w:spacing w:before="0"/>
        <w:ind w:firstLine="643"/>
        <w:rPr>
          <w:rFonts w:ascii="宋体" w:hAnsi="宋体" w:cs="宋体"/>
          <w:b/>
          <w:sz w:val="32"/>
        </w:rPr>
      </w:pPr>
    </w:p>
    <w:p>
      <w:pPr>
        <w:pStyle w:val="129"/>
        <w:spacing w:before="0"/>
        <w:ind w:firstLine="1928" w:firstLineChars="600"/>
        <w:rPr>
          <w:rFonts w:ascii="宋体" w:hAnsi="宋体" w:cs="宋体"/>
          <w:b/>
          <w:sz w:val="32"/>
        </w:rPr>
      </w:pPr>
      <w:r>
        <w:rPr>
          <w:rFonts w:hint="eastAsia" w:ascii="宋体" w:hAnsi="宋体" w:cs="宋体"/>
          <w:b/>
          <w:sz w:val="32"/>
        </w:rPr>
        <w:t>四、开标、资格审查与信用信息查询</w:t>
      </w:r>
    </w:p>
    <w:p>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highlight w:val="none"/>
          <w:lang w:eastAsia="zh-CN"/>
        </w:rPr>
        <w:t>采购机构</w:t>
      </w:r>
      <w:r>
        <w:rPr>
          <w:rFonts w:hint="eastAsia" w:ascii="宋体" w:hAnsi="宋体" w:cs="宋体"/>
          <w:sz w:val="24"/>
        </w:rPr>
        <w:t>按照招标文件规定的时间通过电子交易平台组织开标，所有投标人均应当准时在线参加。投标人不足3家的，不得开标。</w:t>
      </w:r>
    </w:p>
    <w:p>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highlight w:val="none"/>
          <w:lang w:eastAsia="zh-CN"/>
        </w:rPr>
        <w:t>采购机构</w:t>
      </w:r>
      <w:r>
        <w:rPr>
          <w:rFonts w:hint="eastAsia" w:ascii="宋体" w:hAnsi="宋体" w:cs="宋体"/>
          <w:sz w:val="24"/>
        </w:rPr>
        <w:t>依托电子交易平台发起开始解密指令，投标人按照平台提示和招标文件的规定在半小时内完成在线解密。</w:t>
      </w:r>
    </w:p>
    <w:p>
      <w:pPr>
        <w:pStyle w:val="555"/>
        <w:spacing w:before="0" w:line="360" w:lineRule="auto"/>
        <w:ind w:left="0" w:firstLine="240" w:firstLineChars="100"/>
        <w:contextualSpacing/>
        <w:rPr>
          <w:rFonts w:hint="eastAsia" w:ascii="宋体" w:hAnsi="宋体" w:cs="宋体"/>
          <w:b/>
          <w:bCs/>
          <w:kern w:val="0"/>
          <w:szCs w:val="24"/>
          <w:highlight w:val="cyan"/>
          <w:lang w:val="en-US" w:eastAsia="zh-CN"/>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pPr>
        <w:pStyle w:val="129"/>
        <w:spacing w:before="0"/>
        <w:ind w:firstLine="480"/>
        <w:rPr>
          <w:rFonts w:hint="default" w:ascii="宋体" w:hAnsi="宋体" w:eastAsia="宋体" w:cs="宋体"/>
          <w:b/>
          <w:bCs/>
          <w:kern w:val="0"/>
          <w:szCs w:val="24"/>
          <w:highlight w:val="none"/>
          <w:lang w:val="en-US" w:eastAsia="zh-CN"/>
        </w:rPr>
      </w:pPr>
      <w:bookmarkStart w:id="25" w:name="OLE_LINK20"/>
      <w:r>
        <w:rPr>
          <w:rFonts w:hint="eastAsia" w:ascii="宋体" w:hAnsi="宋体" w:cs="宋体"/>
          <w:b/>
          <w:bCs/>
          <w:kern w:val="0"/>
          <w:szCs w:val="24"/>
          <w:highlight w:val="none"/>
          <w:lang w:val="en-US" w:eastAsia="zh-CN"/>
        </w:rPr>
        <w:t>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采购人依据法律法规和招标文件的规定，对投标人的资格进行审查。</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对未通过资格审查的投标人，告知其未通过的原因。</w:t>
      </w:r>
    </w:p>
    <w:p>
      <w:pPr>
        <w:pStyle w:val="129"/>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bookmarkEnd w:id="25"/>
    <w:p>
      <w:pPr>
        <w:pStyle w:val="129"/>
        <w:spacing w:before="0"/>
        <w:ind w:firstLine="480"/>
        <w:rPr>
          <w:rFonts w:ascii="宋体" w:hAnsi="宋体" w:cs="宋体"/>
          <w:highlight w:val="none"/>
        </w:rPr>
      </w:pP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20、信用信息查询</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w:t>
      </w:r>
      <w:r>
        <w:rPr>
          <w:rFonts w:hint="eastAsia" w:ascii="宋体" w:hAnsi="宋体" w:cs="宋体"/>
          <w:sz w:val="24"/>
          <w:highlight w:val="none"/>
          <w:lang w:eastAsia="zh-CN"/>
        </w:rPr>
        <w:t>采购机构</w:t>
      </w:r>
      <w:r>
        <w:rPr>
          <w:rFonts w:hint="eastAsia" w:ascii="宋体" w:hAnsi="宋体" w:cs="宋体"/>
          <w:kern w:val="0"/>
          <w:szCs w:val="24"/>
          <w:highlight w:val="none"/>
        </w:rPr>
        <w:t>将在资格审查时通过“信用中国”网站(www.creditchina.gov.cn)、中国政府采购网(www.ccgp.gov.cn)渠道查询投标人的信用记录。</w:t>
      </w:r>
    </w:p>
    <w:p>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29"/>
        <w:spacing w:before="0"/>
        <w:ind w:firstLine="0" w:firstLineChars="0"/>
        <w:rPr>
          <w:rFonts w:ascii="宋体" w:hAnsi="宋体" w:cs="宋体"/>
          <w:kern w:val="0"/>
          <w:szCs w:val="24"/>
        </w:rPr>
      </w:pPr>
    </w:p>
    <w:p>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pPr>
        <w:spacing w:line="360" w:lineRule="auto"/>
        <w:rPr>
          <w:rFonts w:ascii="宋体" w:hAnsi="宋体" w:cs="宋体"/>
          <w:b/>
          <w:sz w:val="24"/>
        </w:rPr>
      </w:pPr>
      <w:bookmarkStart w:id="26"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pPr>
        <w:spacing w:line="360" w:lineRule="auto"/>
        <w:rPr>
          <w:rFonts w:ascii="宋体" w:hAnsi="宋体" w:cs="宋体"/>
          <w:b/>
          <w:sz w:val="24"/>
        </w:rPr>
      </w:pPr>
    </w:p>
    <w:p>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pPr>
        <w:pStyle w:val="7"/>
        <w:spacing w:line="360" w:lineRule="auto"/>
        <w:ind w:left="479" w:hanging="479" w:hangingChars="199"/>
        <w:rPr>
          <w:rFonts w:cs="宋体"/>
          <w:b/>
        </w:rPr>
      </w:pPr>
      <w:r>
        <w:rPr>
          <w:rFonts w:hint="eastAsia" w:cs="宋体"/>
          <w:b/>
        </w:rPr>
        <w:t>22. 确定中标供应商</w:t>
      </w:r>
    </w:p>
    <w:p>
      <w:pPr>
        <w:pStyle w:val="129"/>
        <w:snapToGrid w:val="0"/>
        <w:spacing w:before="0"/>
        <w:ind w:firstLine="480"/>
        <w:rPr>
          <w:rFonts w:ascii="宋体" w:hAnsi="宋体" w:cs="宋体"/>
          <w:b/>
          <w:szCs w:val="24"/>
          <w:highlight w:val="none"/>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w:t>
      </w:r>
      <w:r>
        <w:rPr>
          <w:rFonts w:hint="eastAsia" w:ascii="宋体" w:hAnsi="宋体" w:cs="宋体"/>
          <w:szCs w:val="24"/>
          <w:highlight w:val="none"/>
        </w:rPr>
        <w:t>交采购人。采购单位应当自收到评审报告之日起2个工作日内在线确定中标或者成交供应商。</w:t>
      </w:r>
      <w:r>
        <w:rPr>
          <w:rFonts w:hint="eastAsia" w:ascii="宋体" w:hAnsi="宋体" w:cs="宋体"/>
          <w:color w:val="auto"/>
          <w:szCs w:val="24"/>
          <w:highlight w:val="none"/>
        </w:rPr>
        <w:t>为提高政府采购效率，鼓励在收到评审报告当天在线确定中标或者成交供应商。</w:t>
      </w:r>
      <w:r>
        <w:rPr>
          <w:rFonts w:hint="eastAsia" w:ascii="宋体" w:hAnsi="宋体" w:cs="宋体"/>
          <w:szCs w:val="24"/>
          <w:highlight w:val="none"/>
        </w:rPr>
        <w:t>中标、成交通知书和中标、成交结果公告应当在规定时间内同时发出。</w:t>
      </w:r>
    </w:p>
    <w:p>
      <w:pPr>
        <w:pStyle w:val="129"/>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w:t>
      </w:r>
      <w:r>
        <w:rPr>
          <w:rFonts w:hint="eastAsia" w:ascii="宋体" w:hAnsi="宋体" w:cs="宋体"/>
          <w:sz w:val="24"/>
          <w:highlight w:val="none"/>
          <w:lang w:eastAsia="zh-CN"/>
        </w:rPr>
        <w:t>采购机构</w:t>
      </w:r>
      <w:r>
        <w:rPr>
          <w:rFonts w:hint="eastAsia" w:ascii="宋体" w:hAnsi="宋体" w:cs="宋体"/>
          <w:sz w:val="24"/>
          <w:highlight w:val="none"/>
        </w:rPr>
        <w:t>通过电子交易平台向中标人发出中标通知书，同时编制发布采购结果公告。</w:t>
      </w:r>
      <w:r>
        <w:rPr>
          <w:rFonts w:hint="eastAsia" w:ascii="宋体" w:hAnsi="宋体" w:cs="宋体"/>
          <w:sz w:val="24"/>
          <w:highlight w:val="none"/>
          <w:lang w:eastAsia="zh-CN"/>
        </w:rPr>
        <w:t>采购机构</w:t>
      </w:r>
      <w:r>
        <w:rPr>
          <w:rFonts w:hint="eastAsia" w:ascii="宋体" w:hAnsi="宋体" w:cs="宋体"/>
          <w:sz w:val="24"/>
          <w:highlight w:val="none"/>
        </w:rPr>
        <w:t>也可以以纸质形式进行中标通知。</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23.2中标结果公告内容包括采购人及其委托的</w:t>
      </w:r>
      <w:r>
        <w:rPr>
          <w:rFonts w:hint="eastAsia" w:ascii="宋体" w:hAnsi="宋体" w:cs="宋体"/>
          <w:sz w:val="24"/>
          <w:highlight w:val="none"/>
          <w:lang w:eastAsia="zh-CN"/>
        </w:rPr>
        <w:t>采购机构</w:t>
      </w:r>
      <w:r>
        <w:rPr>
          <w:rFonts w:hint="eastAsia" w:ascii="宋体" w:hAnsi="宋体" w:cs="宋体"/>
          <w:sz w:val="24"/>
          <w:highlight w:val="none"/>
        </w:rPr>
        <w:t>的名称、地址、联系方式，项目名称和项目编号，中标人名称、地址和中标金额，主要中标标的的名称、规格型号、数量、单价、服务要求，开标记录、</w:t>
      </w:r>
      <w:bookmarkStart w:id="27" w:name="_Hlk101184471"/>
      <w:r>
        <w:rPr>
          <w:rFonts w:hint="eastAsia" w:ascii="宋体" w:hAnsi="宋体" w:cs="宋体"/>
          <w:sz w:val="24"/>
          <w:highlight w:val="none"/>
        </w:rPr>
        <w:t>资格审查情况、评审专家抽取规则、符合性审查情况、</w:t>
      </w:r>
      <w:bookmarkEnd w:id="27"/>
      <w:r>
        <w:rPr>
          <w:rFonts w:hint="eastAsia" w:ascii="宋体" w:hAnsi="宋体" w:cs="宋体"/>
          <w:sz w:val="24"/>
          <w:highlight w:val="none"/>
        </w:rPr>
        <w:t>未中标情况说明、中标公告期限以及评审专家名单、评分汇总及明细。</w:t>
      </w:r>
    </w:p>
    <w:p>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pPr>
        <w:pStyle w:val="2"/>
        <w:rPr>
          <w:rFonts w:hint="eastAsia"/>
        </w:rPr>
      </w:pPr>
    </w:p>
    <w:p>
      <w:pPr>
        <w:pStyle w:val="4"/>
        <w:tabs>
          <w:tab w:val="clear" w:pos="432"/>
        </w:tabs>
        <w:rPr>
          <w:rFonts w:hint="default" w:cs="仿宋_GB2312" w:asciiTheme="minorEastAsia" w:hAnsiTheme="minorEastAsia" w:eastAsiaTheme="minorEastAsia"/>
          <w:b w:val="0"/>
          <w:bCs w:val="0"/>
          <w:i w:val="0"/>
          <w:iCs w:val="0"/>
          <w:caps w:val="0"/>
          <w:color w:val="0000FF"/>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default" w:cs="仿宋_GB2312" w:asciiTheme="minorEastAsia" w:hAnsiTheme="minorEastAsia" w:eastAsiaTheme="minorEastAsia"/>
          <w:b w:val="0"/>
          <w:bCs w:val="0"/>
          <w:i w:val="0"/>
          <w:iCs w:val="0"/>
          <w:caps w:val="0"/>
          <w:color w:val="0000FF"/>
          <w:spacing w:val="0"/>
          <w:kern w:val="2"/>
          <w:sz w:val="24"/>
          <w:szCs w:val="24"/>
          <w:highlight w:val="none"/>
          <w:shd w:val="clear"/>
        </w:rPr>
        <w:t>。</w:t>
      </w:r>
    </w:p>
    <w:p>
      <w:pPr>
        <w:pStyle w:val="2"/>
      </w:pPr>
    </w:p>
    <w:p>
      <w:pPr>
        <w:snapToGrid w:val="0"/>
        <w:spacing w:line="360" w:lineRule="auto"/>
        <w:ind w:left="120" w:leftChars="57" w:firstLine="482" w:firstLineChars="150"/>
        <w:jc w:val="center"/>
        <w:rPr>
          <w:rFonts w:ascii="宋体" w:hAnsi="宋体" w:cs="宋体"/>
          <w:b/>
          <w:sz w:val="32"/>
        </w:rPr>
      </w:pPr>
    </w:p>
    <w:p>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pPr>
        <w:pStyle w:val="7"/>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5</w:t>
      </w:r>
      <w:r>
        <w:rPr>
          <w:rFonts w:hint="eastAsia" w:cs="宋体"/>
          <w:b/>
          <w:highlight w:val="none"/>
        </w:rPr>
        <w:t xml:space="preserve">. </w:t>
      </w:r>
      <w:r>
        <w:rPr>
          <w:rFonts w:hint="eastAsia" w:cs="宋体"/>
          <w:highlight w:val="none"/>
        </w:rPr>
        <w:t>合同主要条款详见第五部分拟签订的合同文本。</w:t>
      </w:r>
    </w:p>
    <w:p>
      <w:pPr>
        <w:pStyle w:val="7"/>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6</w:t>
      </w:r>
      <w:r>
        <w:rPr>
          <w:rFonts w:hint="eastAsia" w:cs="宋体"/>
          <w:b/>
          <w:highlight w:val="none"/>
        </w:rPr>
        <w:t>. 合同的签订</w:t>
      </w:r>
    </w:p>
    <w:p>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eastAsia="宋体" w:cs="宋体"/>
          <w:b/>
          <w:kern w:val="2"/>
          <w:sz w:val="24"/>
          <w:szCs w:val="24"/>
          <w:highlight w:val="none"/>
          <w:lang w:val="en-US" w:eastAsia="zh-CN" w:bidi="ar-SA"/>
        </w:rPr>
        <w:t>2</w:t>
      </w:r>
      <w:r>
        <w:rPr>
          <w:rFonts w:hint="eastAsia" w:ascii="宋体" w:hAnsi="宋体" w:cs="宋体"/>
          <w:b/>
          <w:kern w:val="2"/>
          <w:sz w:val="24"/>
          <w:szCs w:val="24"/>
          <w:highlight w:val="none"/>
          <w:lang w:val="en-US" w:eastAsia="zh-CN" w:bidi="ar-SA"/>
        </w:rPr>
        <w:t>6</w:t>
      </w:r>
      <w:r>
        <w:rPr>
          <w:rFonts w:hint="eastAsia" w:ascii="宋体" w:hAnsi="宋体" w:eastAsia="宋体" w:cs="宋体"/>
          <w:b/>
          <w:kern w:val="2"/>
          <w:sz w:val="24"/>
          <w:szCs w:val="24"/>
          <w:highlight w:val="none"/>
          <w:lang w:val="en-US" w:eastAsia="zh-CN" w:bidi="ar-SA"/>
        </w:rPr>
        <w:t xml:space="preserve">.1 </w:t>
      </w:r>
      <w:r>
        <w:rPr>
          <w:rFonts w:hint="eastAsia" w:ascii="宋体" w:hAnsi="宋体" w:cs="宋体"/>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29"/>
        <w:snapToGrid w:val="0"/>
        <w:spacing w:before="0"/>
        <w:ind w:firstLine="480"/>
        <w:rPr>
          <w:rFonts w:ascii="宋体" w:hAnsi="宋体" w:cs="宋体"/>
          <w:kern w:val="0"/>
          <w:highlight w:val="none"/>
        </w:rPr>
      </w:pPr>
      <w:r>
        <w:rPr>
          <w:rFonts w:hint="eastAsia" w:ascii="宋体" w:hAnsi="宋体" w:eastAsia="宋体" w:cs="宋体"/>
          <w:b/>
          <w:kern w:val="2"/>
          <w:sz w:val="24"/>
          <w:szCs w:val="24"/>
          <w:highlight w:val="none"/>
          <w:lang w:val="zh-CN" w:eastAsia="zh-CN" w:bidi="ar-SA"/>
        </w:rPr>
        <w:t>2</w:t>
      </w:r>
      <w:r>
        <w:rPr>
          <w:rFonts w:hint="eastAsia" w:ascii="宋体" w:hAnsi="宋体" w:cs="宋体"/>
          <w:b/>
          <w:kern w:val="2"/>
          <w:sz w:val="24"/>
          <w:szCs w:val="24"/>
          <w:highlight w:val="none"/>
          <w:lang w:val="en-US" w:eastAsia="zh-CN" w:bidi="ar-SA"/>
        </w:rPr>
        <w:t>6</w:t>
      </w:r>
      <w:r>
        <w:rPr>
          <w:rFonts w:hint="eastAsia" w:ascii="宋体" w:hAnsi="宋体" w:cs="宋体"/>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6</w:t>
      </w:r>
      <w:r>
        <w:rPr>
          <w:rFonts w:hint="eastAsia" w:ascii="宋体" w:hAnsi="宋体" w:eastAsia="宋体" w:cs="宋体"/>
          <w:b w:val="0"/>
          <w:bCs/>
          <w:kern w:val="2"/>
          <w:sz w:val="24"/>
          <w:szCs w:val="24"/>
          <w:highlight w:val="none"/>
          <w:lang w:val="zh-CN" w:eastAsia="zh-CN" w:bidi="ar-SA"/>
        </w:rPr>
        <w:t>.3</w:t>
      </w:r>
      <w:r>
        <w:rPr>
          <w:rFonts w:hint="eastAsia" w:ascii="宋体" w:hAnsi="宋体" w:cs="宋体"/>
          <w:highlight w:val="none"/>
        </w:rPr>
        <w:t>如签订合同并生效后，供应商无故拒绝或延期，除按照合同条款处理外，列入不良行为记录一次，并给予通报。</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6</w:t>
      </w:r>
      <w:r>
        <w:rPr>
          <w:rFonts w:hint="eastAsia" w:ascii="宋体" w:hAnsi="宋体" w:eastAsia="宋体" w:cs="宋体"/>
          <w:b w:val="0"/>
          <w:bCs/>
          <w:kern w:val="2"/>
          <w:sz w:val="24"/>
          <w:szCs w:val="24"/>
          <w:highlight w:val="none"/>
          <w:lang w:val="zh-CN" w:eastAsia="zh-CN" w:bidi="ar-SA"/>
        </w:rPr>
        <w:t>.4</w:t>
      </w:r>
      <w:r>
        <w:rPr>
          <w:rFonts w:hint="eastAsia" w:ascii="宋体" w:hAnsi="宋体" w:cs="宋体"/>
          <w:highlight w:val="none"/>
        </w:rPr>
        <w:t>中标供应商拒绝与采购人签订合同的，采购人可以按照评审报告推荐的中标或者成交候选人名单排序，确定下一候选人为中标供应商，也可以重新开展政府采购活动。</w:t>
      </w:r>
    </w:p>
    <w:p>
      <w:pPr>
        <w:pStyle w:val="129"/>
        <w:snapToGrid w:val="0"/>
        <w:spacing w:before="0" w:after="12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6</w:t>
      </w:r>
      <w:r>
        <w:rPr>
          <w:rFonts w:hint="eastAsia" w:ascii="宋体" w:hAnsi="宋体" w:eastAsia="宋体" w:cs="宋体"/>
          <w:b w:val="0"/>
          <w:bCs/>
          <w:kern w:val="2"/>
          <w:sz w:val="24"/>
          <w:szCs w:val="24"/>
          <w:highlight w:val="none"/>
          <w:lang w:val="zh-CN" w:eastAsia="zh-CN" w:bidi="ar-SA"/>
        </w:rPr>
        <w:t>.5采</w:t>
      </w:r>
      <w:r>
        <w:rPr>
          <w:rFonts w:hint="eastAsia" w:ascii="宋体" w:hAnsi="宋体" w:cs="宋体"/>
          <w:highlight w:val="none"/>
        </w:rPr>
        <w:t>购合同由采购人与中标供应商根据招标文件、投标文件等内容通过政府采购电子交易平台在线签订，自动备案。</w:t>
      </w:r>
    </w:p>
    <w:p>
      <w:pPr>
        <w:pStyle w:val="7"/>
        <w:spacing w:line="360" w:lineRule="auto"/>
        <w:ind w:left="479" w:hanging="479" w:hangingChars="199"/>
        <w:rPr>
          <w:rFonts w:cs="宋体"/>
          <w:b/>
        </w:rPr>
      </w:pPr>
      <w:r>
        <w:rPr>
          <w:rFonts w:hint="eastAsia" w:ascii="宋体" w:hAnsi="宋体" w:eastAsia="宋体" w:cs="宋体"/>
          <w:b/>
          <w:kern w:val="2"/>
          <w:sz w:val="24"/>
          <w:szCs w:val="24"/>
          <w:highlight w:val="none"/>
          <w:lang w:val="zh-CN" w:eastAsia="zh-CN" w:bidi="ar-SA"/>
        </w:rPr>
        <w:t>2</w:t>
      </w:r>
      <w:r>
        <w:rPr>
          <w:rFonts w:hint="eastAsia" w:cs="宋体"/>
          <w:b/>
          <w:kern w:val="2"/>
          <w:sz w:val="24"/>
          <w:szCs w:val="24"/>
          <w:highlight w:val="none"/>
          <w:lang w:val="en-US" w:eastAsia="zh-CN" w:bidi="ar-SA"/>
        </w:rPr>
        <w:t>7</w:t>
      </w:r>
      <w:r>
        <w:rPr>
          <w:rFonts w:hint="eastAsia" w:ascii="宋体" w:hAnsi="宋体" w:eastAsia="宋体" w:cs="宋体"/>
          <w:b/>
          <w:kern w:val="2"/>
          <w:sz w:val="24"/>
          <w:szCs w:val="24"/>
          <w:highlight w:val="none"/>
          <w:lang w:val="zh-CN" w:eastAsia="zh-CN" w:bidi="ar-SA"/>
        </w:rPr>
        <w:t>. 履</w:t>
      </w:r>
      <w:r>
        <w:rPr>
          <w:rFonts w:hint="eastAsia" w:cs="宋体"/>
          <w:b/>
          <w:highlight w:val="none"/>
        </w:rPr>
        <w:t>约保证</w:t>
      </w:r>
      <w:r>
        <w:rPr>
          <w:rFonts w:hint="eastAsia" w:cs="宋体"/>
          <w:b/>
        </w:rPr>
        <w:t>金</w:t>
      </w:r>
    </w:p>
    <w:p>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w:t>
      </w:r>
      <w:r>
        <w:rPr>
          <w:rFonts w:hint="eastAsia" w:ascii="宋体" w:hAnsi="宋体" w:cs="宋体"/>
          <w:sz w:val="24"/>
          <w:highlight w:val="none"/>
        </w:rPr>
        <w:t>，鼓励根据项目特点、供应商诚信等因素免收履约保证金或降低缴纳比例</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pPr>
        <w:pStyle w:val="4"/>
        <w:ind w:left="0" w:firstLine="480" w:firstLineChars="200"/>
        <w:rPr>
          <w:rFonts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bookmarkStart w:id="28" w:name="OLE_LINK5"/>
      <w:r>
        <w:rPr>
          <w:rFonts w:hint="eastAsia" w:ascii="宋体" w:hAnsi="宋体" w:eastAsia="宋体" w:cs="宋体"/>
          <w:b w:val="0"/>
          <w:bCs w:val="0"/>
          <w:snapToGrid w:val="0"/>
          <w:kern w:val="28"/>
          <w:sz w:val="24"/>
          <w:highlight w:val="none"/>
          <w:lang w:val="en-US" w:eastAsia="zh-CN"/>
        </w:rPr>
        <w:t>95763</w:t>
      </w:r>
      <w:bookmarkEnd w:id="28"/>
      <w:r>
        <w:rPr>
          <w:rFonts w:hint="eastAsia" w:ascii="宋体" w:hAnsi="宋体" w:eastAsia="宋体" w:cs="宋体"/>
          <w:b w:val="0"/>
          <w:bCs w:val="0"/>
          <w:snapToGrid w:val="0"/>
          <w:kern w:val="28"/>
          <w:sz w:val="24"/>
          <w:highlight w:val="none"/>
        </w:rPr>
        <w:t>。</w:t>
      </w:r>
    </w:p>
    <w:p>
      <w:pPr>
        <w:pStyle w:val="4"/>
        <w:rPr>
          <w:highlight w:val="none"/>
        </w:rPr>
      </w:pPr>
      <w:r>
        <w:rPr>
          <w:rFonts w:hint="eastAsia" w:ascii="宋体" w:hAnsi="宋体" w:eastAsia="宋体" w:cs="宋体"/>
          <w:b/>
          <w:bCs w:val="0"/>
          <w:kern w:val="2"/>
          <w:sz w:val="24"/>
          <w:szCs w:val="24"/>
          <w:highlight w:val="none"/>
          <w:lang w:val="en-US" w:eastAsia="zh-CN" w:bidi="ar-SA"/>
        </w:rPr>
        <w:t>28.</w:t>
      </w:r>
      <w:r>
        <w:rPr>
          <w:rFonts w:ascii="宋体" w:hAnsi="宋体" w:eastAsia="宋体"/>
          <w:b/>
          <w:bCs/>
          <w:sz w:val="24"/>
          <w:szCs w:val="32"/>
          <w:highlight w:val="none"/>
          <w:lang w:val="en-US"/>
        </w:rPr>
        <w:t>预付款</w:t>
      </w:r>
    </w:p>
    <w:p>
      <w:pPr>
        <w:adjustRightInd/>
        <w:spacing w:line="360" w:lineRule="auto"/>
        <w:ind w:firstLine="480" w:firstLineChars="200"/>
        <w:rPr>
          <w:highlight w:val="none"/>
        </w:rPr>
      </w:pPr>
      <w:r>
        <w:rPr>
          <w:rFonts w:hint="eastAsia" w:ascii="宋体" w:hAnsi="宋体"/>
          <w:sz w:val="24"/>
          <w:highlight w:val="none"/>
        </w:rPr>
        <w:t>采购单位应当在政府采购合同中约定预付款，对中小企业合同预付款比例原则上不低于合同金额的</w:t>
      </w:r>
      <w:r>
        <w:rPr>
          <w:rFonts w:ascii="宋体" w:hAnsi="宋体"/>
          <w:sz w:val="24"/>
          <w:highlight w:val="none"/>
        </w:rPr>
        <w:t>40％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highlight w:val="none"/>
        </w:rPr>
        <w:t>不低于</w:t>
      </w:r>
      <w:r>
        <w:rPr>
          <w:rFonts w:ascii="宋体" w:hAnsi="宋体"/>
          <w:sz w:val="24"/>
          <w:highlight w:val="none"/>
        </w:rPr>
        <w:t>项目年度计划支付资金额的40％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提交银行、保险公司等金融机构出具的预付款保函或其他担保措施。政府采购预付款应在合同生效以及具备实施条件后5个工作日内支付。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hint="eastAsia" w:ascii="宋体" w:hAnsi="宋体" w:eastAsia="宋体" w:cs="宋体"/>
          <w:b w:val="0"/>
          <w:bCs w:val="0"/>
          <w:snapToGrid w:val="0"/>
          <w:kern w:val="28"/>
          <w:sz w:val="24"/>
          <w:highlight w:val="none"/>
          <w:lang w:val="en-US" w:eastAsia="zh-CN"/>
        </w:rPr>
        <w:t>95763</w:t>
      </w:r>
      <w:r>
        <w:rPr>
          <w:rFonts w:ascii="宋体" w:hAnsi="宋体"/>
          <w:sz w:val="24"/>
          <w:highlight w:val="none"/>
        </w:rPr>
        <w:t>。</w:t>
      </w:r>
    </w:p>
    <w:p>
      <w:pPr>
        <w:rPr>
          <w:highlight w:val="none"/>
        </w:rPr>
      </w:pPr>
    </w:p>
    <w:p>
      <w:pPr>
        <w:snapToGrid w:val="0"/>
        <w:spacing w:line="360" w:lineRule="auto"/>
        <w:ind w:firstLine="3357" w:firstLineChars="1045"/>
        <w:rPr>
          <w:rFonts w:ascii="宋体" w:hAnsi="宋体" w:cs="宋体"/>
          <w:b/>
          <w:sz w:val="32"/>
          <w:highlight w:val="none"/>
        </w:rPr>
      </w:pPr>
    </w:p>
    <w:p>
      <w:pPr>
        <w:snapToGrid w:val="0"/>
        <w:spacing w:line="360" w:lineRule="auto"/>
        <w:ind w:firstLine="3357" w:firstLineChars="1045"/>
        <w:rPr>
          <w:rFonts w:ascii="宋体" w:hAnsi="宋体" w:cs="宋体"/>
          <w:b/>
          <w:sz w:val="24"/>
          <w:highlight w:val="none"/>
        </w:rPr>
      </w:pPr>
      <w:r>
        <w:rPr>
          <w:rFonts w:hint="eastAsia" w:ascii="宋体" w:hAnsi="宋体" w:cs="宋体"/>
          <w:b/>
          <w:sz w:val="32"/>
          <w:highlight w:val="none"/>
        </w:rPr>
        <w:t>八、电子交易活动的中止</w:t>
      </w:r>
    </w:p>
    <w:p>
      <w:pPr>
        <w:pStyle w:val="129"/>
        <w:snapToGrid w:val="0"/>
        <w:spacing w:before="0"/>
        <w:ind w:firstLine="0" w:firstLineChars="0"/>
        <w:rPr>
          <w:rFonts w:ascii="宋体" w:hAnsi="宋体" w:cs="宋体"/>
          <w:highlight w:val="none"/>
        </w:rPr>
      </w:pPr>
      <w:r>
        <w:rPr>
          <w:rFonts w:hint="eastAsia" w:ascii="宋体" w:hAnsi="宋体" w:eastAsia="宋体" w:cs="宋体"/>
          <w:b/>
          <w:kern w:val="2"/>
          <w:sz w:val="24"/>
          <w:szCs w:val="24"/>
          <w:highlight w:val="none"/>
          <w:lang w:val="zh-CN" w:eastAsia="zh-CN" w:bidi="ar-SA"/>
        </w:rPr>
        <w:t>2</w:t>
      </w:r>
      <w:r>
        <w:rPr>
          <w:rFonts w:hint="eastAsia" w:ascii="宋体" w:hAnsi="宋体" w:cs="宋体"/>
          <w:b/>
          <w:kern w:val="2"/>
          <w:sz w:val="24"/>
          <w:szCs w:val="24"/>
          <w:highlight w:val="none"/>
          <w:lang w:val="en-US" w:eastAsia="zh-CN" w:bidi="ar-SA"/>
        </w:rPr>
        <w:t>9</w:t>
      </w:r>
      <w:r>
        <w:rPr>
          <w:rFonts w:hint="eastAsia" w:ascii="宋体" w:hAnsi="宋体" w:eastAsia="宋体" w:cs="宋体"/>
          <w:b/>
          <w:kern w:val="2"/>
          <w:sz w:val="24"/>
          <w:szCs w:val="24"/>
          <w:highlight w:val="none"/>
          <w:lang w:val="zh-CN" w:eastAsia="zh-CN" w:bidi="ar-SA"/>
        </w:rPr>
        <w:t xml:space="preserve">. </w:t>
      </w:r>
      <w:r>
        <w:rPr>
          <w:rFonts w:hint="eastAsia" w:ascii="宋体" w:hAnsi="宋体" w:cs="宋体"/>
          <w:b/>
          <w:szCs w:val="24"/>
          <w:highlight w:val="none"/>
        </w:rPr>
        <w:t>电子交易活动的中止。</w:t>
      </w:r>
      <w:r>
        <w:rPr>
          <w:rFonts w:hint="eastAsia" w:ascii="宋体" w:hAnsi="宋体" w:cs="宋体"/>
          <w:highlight w:val="none"/>
        </w:rPr>
        <w:t>采购过程中出现以下情形，导致电子交易平台无法正常运行，或者无法保证电子交易的公平、公正和安全时，</w:t>
      </w:r>
      <w:r>
        <w:rPr>
          <w:rFonts w:hint="eastAsia" w:ascii="宋体" w:hAnsi="宋体" w:cs="宋体"/>
          <w:sz w:val="24"/>
          <w:highlight w:val="none"/>
          <w:lang w:eastAsia="zh-CN"/>
        </w:rPr>
        <w:t>采购机构</w:t>
      </w:r>
      <w:r>
        <w:rPr>
          <w:rFonts w:hint="eastAsia" w:ascii="宋体" w:hAnsi="宋体" w:cs="宋体"/>
          <w:highlight w:val="none"/>
        </w:rPr>
        <w:t>可中止电子交易活动：</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9</w:t>
      </w:r>
      <w:r>
        <w:rPr>
          <w:rFonts w:hint="eastAsia" w:ascii="宋体" w:hAnsi="宋体" w:eastAsia="宋体" w:cs="宋体"/>
          <w:b w:val="0"/>
          <w:bCs/>
          <w:kern w:val="2"/>
          <w:sz w:val="24"/>
          <w:szCs w:val="24"/>
          <w:highlight w:val="none"/>
          <w:lang w:val="zh-CN" w:eastAsia="zh-CN" w:bidi="ar-SA"/>
        </w:rPr>
        <w:t>.1</w:t>
      </w:r>
      <w:r>
        <w:rPr>
          <w:rFonts w:hint="eastAsia" w:ascii="宋体" w:hAnsi="宋体" w:cs="宋体"/>
          <w:highlight w:val="none"/>
        </w:rPr>
        <w:t xml:space="preserve">电子交易平台发生故障而无法登录访问的； </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9</w:t>
      </w:r>
      <w:r>
        <w:rPr>
          <w:rFonts w:hint="eastAsia" w:ascii="宋体" w:hAnsi="宋体" w:eastAsia="宋体" w:cs="宋体"/>
          <w:b w:val="0"/>
          <w:bCs/>
          <w:kern w:val="2"/>
          <w:sz w:val="24"/>
          <w:szCs w:val="24"/>
          <w:highlight w:val="none"/>
          <w:lang w:val="zh-CN" w:eastAsia="zh-CN" w:bidi="ar-SA"/>
        </w:rPr>
        <w:t>.2</w:t>
      </w:r>
      <w:r>
        <w:rPr>
          <w:rFonts w:hint="eastAsia" w:ascii="宋体" w:hAnsi="宋体" w:cs="宋体"/>
          <w:highlight w:val="none"/>
        </w:rPr>
        <w:t>电子交易平台应用或数据库出现错误，不能进行正常操作的；</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9</w:t>
      </w:r>
      <w:r>
        <w:rPr>
          <w:rFonts w:hint="eastAsia" w:ascii="宋体" w:hAnsi="宋体" w:eastAsia="宋体" w:cs="宋体"/>
          <w:b w:val="0"/>
          <w:bCs/>
          <w:kern w:val="2"/>
          <w:sz w:val="24"/>
          <w:szCs w:val="24"/>
          <w:highlight w:val="none"/>
          <w:lang w:val="zh-CN" w:eastAsia="zh-CN" w:bidi="ar-SA"/>
        </w:rPr>
        <w:t>.3</w:t>
      </w:r>
      <w:r>
        <w:rPr>
          <w:rFonts w:hint="eastAsia" w:ascii="宋体" w:hAnsi="宋体" w:cs="宋体"/>
          <w:highlight w:val="none"/>
        </w:rPr>
        <w:t>电子交易平台发现严重安全漏洞，有潜在泄密危险的；</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9</w:t>
      </w:r>
      <w:r>
        <w:rPr>
          <w:rFonts w:hint="eastAsia" w:ascii="宋体" w:hAnsi="宋体" w:eastAsia="宋体" w:cs="宋体"/>
          <w:b w:val="0"/>
          <w:bCs/>
          <w:kern w:val="2"/>
          <w:sz w:val="24"/>
          <w:szCs w:val="24"/>
          <w:highlight w:val="none"/>
          <w:lang w:val="zh-CN" w:eastAsia="zh-CN" w:bidi="ar-SA"/>
        </w:rPr>
        <w:t>.4</w:t>
      </w:r>
      <w:r>
        <w:rPr>
          <w:rFonts w:hint="eastAsia" w:ascii="宋体" w:hAnsi="宋体" w:cs="宋体"/>
          <w:highlight w:val="none"/>
        </w:rPr>
        <w:t xml:space="preserve">病毒发作导致不能进行正常操作的； </w:t>
      </w:r>
    </w:p>
    <w:p>
      <w:pPr>
        <w:pStyle w:val="129"/>
        <w:snapToGrid w:val="0"/>
        <w:spacing w:before="0"/>
        <w:ind w:firstLine="480"/>
        <w:rPr>
          <w:rFonts w:ascii="宋体" w:hAnsi="宋体" w:cs="宋体"/>
          <w:highlight w:val="none"/>
        </w:rPr>
      </w:pPr>
      <w:r>
        <w:rPr>
          <w:rFonts w:hint="eastAsia" w:ascii="宋体" w:hAnsi="宋体" w:eastAsia="宋体" w:cs="宋体"/>
          <w:b w:val="0"/>
          <w:bCs/>
          <w:kern w:val="2"/>
          <w:sz w:val="24"/>
          <w:szCs w:val="24"/>
          <w:highlight w:val="none"/>
          <w:lang w:val="zh-CN" w:eastAsia="zh-CN" w:bidi="ar-SA"/>
        </w:rPr>
        <w:t>2</w:t>
      </w:r>
      <w:r>
        <w:rPr>
          <w:rFonts w:hint="eastAsia" w:ascii="宋体" w:hAnsi="宋体" w:cs="宋体"/>
          <w:b w:val="0"/>
          <w:bCs/>
          <w:kern w:val="2"/>
          <w:sz w:val="24"/>
          <w:szCs w:val="24"/>
          <w:highlight w:val="none"/>
          <w:lang w:val="en-US" w:eastAsia="zh-CN" w:bidi="ar-SA"/>
        </w:rPr>
        <w:t>9</w:t>
      </w:r>
      <w:r>
        <w:rPr>
          <w:rFonts w:hint="eastAsia" w:ascii="宋体" w:hAnsi="宋体" w:eastAsia="宋体" w:cs="宋体"/>
          <w:b w:val="0"/>
          <w:bCs/>
          <w:kern w:val="2"/>
          <w:sz w:val="24"/>
          <w:szCs w:val="24"/>
          <w:highlight w:val="none"/>
          <w:lang w:val="zh-CN" w:eastAsia="zh-CN" w:bidi="ar-SA"/>
        </w:rPr>
        <w:t>.5</w:t>
      </w:r>
      <w:r>
        <w:rPr>
          <w:rFonts w:hint="eastAsia" w:ascii="宋体" w:hAnsi="宋体" w:cs="宋体"/>
          <w:highlight w:val="none"/>
        </w:rPr>
        <w:t>其他无法保证电子交易的公平、公正和安全的情况。</w:t>
      </w:r>
    </w:p>
    <w:p>
      <w:pPr>
        <w:pStyle w:val="129"/>
        <w:snapToGrid w:val="0"/>
        <w:spacing w:before="0"/>
        <w:ind w:firstLine="0" w:firstLineChars="0"/>
        <w:rPr>
          <w:rFonts w:ascii="宋体" w:hAnsi="宋体" w:cs="宋体"/>
          <w:highlight w:val="none"/>
        </w:rPr>
      </w:pPr>
      <w:r>
        <w:rPr>
          <w:rFonts w:hint="eastAsia" w:ascii="宋体" w:hAnsi="宋体" w:cs="宋体"/>
          <w:highlight w:val="none"/>
        </w:rPr>
        <w:t xml:space="preserve"> </w:t>
      </w:r>
      <w:r>
        <w:rPr>
          <w:rFonts w:hint="eastAsia" w:ascii="宋体" w:hAnsi="宋体" w:cs="宋体"/>
          <w:b/>
          <w:kern w:val="2"/>
          <w:sz w:val="24"/>
          <w:szCs w:val="24"/>
          <w:highlight w:val="none"/>
          <w:lang w:val="en-US" w:eastAsia="zh-CN" w:bidi="ar-SA"/>
        </w:rPr>
        <w:t>30</w:t>
      </w:r>
      <w:r>
        <w:rPr>
          <w:rFonts w:hint="eastAsia" w:ascii="宋体" w:hAnsi="宋体" w:eastAsia="宋体" w:cs="宋体"/>
          <w:b/>
          <w:kern w:val="2"/>
          <w:sz w:val="24"/>
          <w:szCs w:val="24"/>
          <w:highlight w:val="none"/>
          <w:lang w:val="zh-CN" w:eastAsia="zh-CN" w:bidi="ar-SA"/>
        </w:rPr>
        <w:t>.</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highlight w:val="none"/>
        </w:rPr>
      </w:pPr>
    </w:p>
    <w:p>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rPr>
        <w:t>九、验收</w:t>
      </w:r>
    </w:p>
    <w:p>
      <w:pPr>
        <w:pStyle w:val="7"/>
        <w:spacing w:line="360" w:lineRule="auto"/>
        <w:ind w:firstLine="0" w:firstLineChars="0"/>
        <w:rPr>
          <w:rFonts w:cs="宋体"/>
          <w:b/>
          <w:highlight w:val="none"/>
        </w:rPr>
      </w:pPr>
      <w:r>
        <w:rPr>
          <w:rFonts w:hint="eastAsia" w:ascii="宋体" w:hAnsi="宋体" w:eastAsia="宋体" w:cs="宋体"/>
          <w:b/>
          <w:bCs w:val="0"/>
          <w:kern w:val="2"/>
          <w:sz w:val="24"/>
          <w:szCs w:val="24"/>
          <w:highlight w:val="none"/>
          <w:lang w:val="en-US" w:eastAsia="zh-CN" w:bidi="ar-SA"/>
        </w:rPr>
        <w:t>3</w:t>
      </w:r>
      <w:r>
        <w:rPr>
          <w:rFonts w:hint="eastAsia" w:cs="宋体"/>
          <w:b/>
          <w:bCs w:val="0"/>
          <w:kern w:val="2"/>
          <w:sz w:val="24"/>
          <w:szCs w:val="24"/>
          <w:highlight w:val="none"/>
          <w:lang w:val="en-US" w:eastAsia="zh-CN" w:bidi="ar-SA"/>
        </w:rPr>
        <w:t>1</w:t>
      </w:r>
      <w:r>
        <w:rPr>
          <w:rFonts w:hint="eastAsia" w:ascii="宋体" w:hAnsi="宋体" w:eastAsia="宋体" w:cs="宋体"/>
          <w:b/>
          <w:bCs w:val="0"/>
          <w:kern w:val="2"/>
          <w:sz w:val="24"/>
          <w:szCs w:val="24"/>
          <w:highlight w:val="none"/>
          <w:lang w:val="en-US" w:eastAsia="zh-CN" w:bidi="ar-SA"/>
        </w:rPr>
        <w:t>.</w:t>
      </w:r>
      <w:r>
        <w:rPr>
          <w:rFonts w:hint="eastAsia" w:cs="宋体"/>
          <w:b/>
          <w:highlight w:val="none"/>
        </w:rPr>
        <w:t>验收</w:t>
      </w:r>
    </w:p>
    <w:p>
      <w:pPr>
        <w:tabs>
          <w:tab w:val="left" w:pos="0"/>
        </w:tabs>
        <w:spacing w:line="360" w:lineRule="auto"/>
        <w:ind w:firstLine="480"/>
        <w:rPr>
          <w:rFonts w:ascii="宋体" w:hAnsi="宋体" w:cs="宋体"/>
          <w:kern w:val="0"/>
          <w:sz w:val="24"/>
          <w:highlight w:val="none"/>
        </w:rPr>
      </w:pPr>
      <w:r>
        <w:rPr>
          <w:rFonts w:hint="eastAsia" w:ascii="宋体" w:hAnsi="宋体" w:eastAsia="宋体" w:cs="宋体"/>
          <w:kern w:val="2"/>
          <w:sz w:val="24"/>
          <w:szCs w:val="20"/>
          <w:highlight w:val="none"/>
          <w:lang w:val="en-US" w:eastAsia="zh-CN" w:bidi="ar-SA"/>
        </w:rPr>
        <w:t>3</w:t>
      </w:r>
      <w:r>
        <w:rPr>
          <w:rFonts w:hint="eastAsia" w:ascii="宋体" w:hAnsi="宋体" w:cs="宋体"/>
          <w:kern w:val="2"/>
          <w:sz w:val="24"/>
          <w:szCs w:val="20"/>
          <w:highlight w:val="none"/>
          <w:lang w:val="en-US" w:eastAsia="zh-CN" w:bidi="ar-SA"/>
        </w:rPr>
        <w:t>1</w:t>
      </w:r>
      <w:r>
        <w:rPr>
          <w:rFonts w:hint="eastAsia" w:ascii="宋体" w:hAnsi="宋体" w:eastAsia="宋体" w:cs="宋体"/>
          <w:kern w:val="2"/>
          <w:sz w:val="24"/>
          <w:szCs w:val="20"/>
          <w:highlight w:val="none"/>
          <w:lang w:val="en-US" w:eastAsia="zh-CN" w:bidi="ar-SA"/>
        </w:rPr>
        <w:t>.1</w:t>
      </w:r>
      <w:bookmarkStart w:id="29" w:name="OLE_LINK22"/>
      <w:r>
        <w:rPr>
          <w:rFonts w:hint="eastAsia" w:ascii="宋体" w:hAnsi="宋体" w:eastAsia="宋体" w:cs="宋体"/>
          <w:kern w:val="2"/>
          <w:sz w:val="24"/>
          <w:szCs w:val="20"/>
          <w:highlight w:val="none"/>
          <w:lang w:val="en-US" w:eastAsia="zh-CN" w:bidi="ar-SA"/>
        </w:rPr>
        <w:t>采</w:t>
      </w:r>
      <w:r>
        <w:rPr>
          <w:rFonts w:hint="eastAsia" w:ascii="宋体" w:hAnsi="宋体" w:cs="宋体"/>
          <w:kern w:val="0"/>
          <w:sz w:val="24"/>
          <w:highlight w:val="none"/>
        </w:rPr>
        <w:t>购人组织对供应商履约的验收。</w:t>
      </w:r>
      <w:bookmarkEnd w:id="29"/>
      <w:r>
        <w:rPr>
          <w:rFonts w:hint="eastAsia" w:ascii="宋体" w:hAnsi="宋体" w:cs="宋体"/>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highlight w:val="none"/>
        </w:rPr>
      </w:pPr>
      <w:r>
        <w:rPr>
          <w:rFonts w:hint="eastAsia" w:ascii="宋体" w:hAnsi="宋体" w:eastAsia="宋体" w:cs="宋体"/>
          <w:kern w:val="2"/>
          <w:sz w:val="24"/>
          <w:szCs w:val="20"/>
          <w:highlight w:val="none"/>
          <w:lang w:val="en-US" w:eastAsia="zh-CN" w:bidi="ar-SA"/>
        </w:rPr>
        <w:t>3</w:t>
      </w:r>
      <w:r>
        <w:rPr>
          <w:rFonts w:hint="eastAsia" w:ascii="宋体" w:hAnsi="宋体" w:cs="宋体"/>
          <w:kern w:val="2"/>
          <w:sz w:val="24"/>
          <w:szCs w:val="20"/>
          <w:highlight w:val="none"/>
          <w:lang w:val="en-US" w:eastAsia="zh-CN" w:bidi="ar-SA"/>
        </w:rPr>
        <w:t>1</w:t>
      </w:r>
      <w:r>
        <w:rPr>
          <w:rFonts w:hint="eastAsia" w:ascii="宋体" w:hAnsi="宋体" w:eastAsia="宋体" w:cs="宋体"/>
          <w:kern w:val="2"/>
          <w:sz w:val="24"/>
          <w:szCs w:val="20"/>
          <w:highlight w:val="none"/>
          <w:lang w:val="en-US" w:eastAsia="zh-CN" w:bidi="ar-SA"/>
        </w:rPr>
        <w:t>.2</w:t>
      </w:r>
      <w:r>
        <w:rPr>
          <w:rFonts w:hint="eastAsia" w:ascii="宋体" w:hAnsi="宋体" w:cs="宋体"/>
          <w:kern w:val="0"/>
          <w:sz w:val="24"/>
          <w:highlight w:val="none"/>
        </w:rPr>
        <w:t>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highlight w:val="none"/>
        </w:rPr>
      </w:pPr>
      <w:r>
        <w:rPr>
          <w:rFonts w:hint="eastAsia" w:ascii="宋体" w:hAnsi="宋体" w:eastAsia="宋体" w:cs="宋体"/>
          <w:kern w:val="2"/>
          <w:sz w:val="24"/>
          <w:szCs w:val="20"/>
          <w:highlight w:val="none"/>
          <w:lang w:val="en-US" w:eastAsia="zh-CN" w:bidi="ar-SA"/>
        </w:rPr>
        <w:t>3</w:t>
      </w:r>
      <w:r>
        <w:rPr>
          <w:rFonts w:hint="eastAsia" w:ascii="宋体" w:hAnsi="宋体" w:cs="宋体"/>
          <w:kern w:val="2"/>
          <w:sz w:val="24"/>
          <w:szCs w:val="20"/>
          <w:highlight w:val="none"/>
          <w:lang w:val="en-US" w:eastAsia="zh-CN" w:bidi="ar-SA"/>
        </w:rPr>
        <w:t>1</w:t>
      </w:r>
      <w:r>
        <w:rPr>
          <w:rFonts w:hint="eastAsia" w:ascii="宋体" w:hAnsi="宋体" w:eastAsia="宋体" w:cs="宋体"/>
          <w:kern w:val="2"/>
          <w:sz w:val="24"/>
          <w:szCs w:val="20"/>
          <w:highlight w:val="none"/>
          <w:lang w:val="en-US" w:eastAsia="zh-CN" w:bidi="ar-SA"/>
        </w:rPr>
        <w:t>.3</w:t>
      </w:r>
      <w:r>
        <w:rPr>
          <w:rFonts w:hint="eastAsia" w:ascii="宋体" w:hAnsi="宋体" w:cs="宋体"/>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kern w:val="0"/>
          <w:sz w:val="24"/>
          <w:highlight w:val="none"/>
        </w:rPr>
      </w:pPr>
      <w:r>
        <w:rPr>
          <w:rFonts w:hint="eastAsia" w:ascii="宋体" w:hAnsi="宋体" w:eastAsia="宋体" w:cs="宋体"/>
          <w:kern w:val="2"/>
          <w:sz w:val="24"/>
          <w:szCs w:val="20"/>
          <w:highlight w:val="none"/>
          <w:lang w:val="en-US" w:eastAsia="zh-CN" w:bidi="ar-SA"/>
        </w:rPr>
        <w:t>3</w:t>
      </w:r>
      <w:r>
        <w:rPr>
          <w:rFonts w:hint="eastAsia" w:ascii="宋体" w:hAnsi="宋体" w:cs="宋体"/>
          <w:kern w:val="2"/>
          <w:sz w:val="24"/>
          <w:szCs w:val="20"/>
          <w:highlight w:val="none"/>
          <w:lang w:val="en-US" w:eastAsia="zh-CN" w:bidi="ar-SA"/>
        </w:rPr>
        <w:t>1</w:t>
      </w:r>
      <w:r>
        <w:rPr>
          <w:rFonts w:hint="eastAsia" w:ascii="宋体" w:hAnsi="宋体" w:eastAsia="宋体" w:cs="宋体"/>
          <w:kern w:val="2"/>
          <w:sz w:val="24"/>
          <w:szCs w:val="20"/>
          <w:highlight w:val="none"/>
          <w:lang w:val="en-US" w:eastAsia="zh-CN" w:bidi="ar-SA"/>
        </w:rPr>
        <w:t>.4</w:t>
      </w:r>
      <w:r>
        <w:rPr>
          <w:rFonts w:hint="eastAsia" w:ascii="宋体" w:hAnsi="宋体" w:cs="宋体"/>
          <w:kern w:val="0"/>
          <w:sz w:val="24"/>
          <w:highlight w:val="none"/>
        </w:rPr>
        <w:t>验收合格的项目，采购人将根据采购合同的约定及时向供应商支付采购资金、退还履约保证金。验收不合格的</w:t>
      </w:r>
      <w:r>
        <w:rPr>
          <w:rFonts w:hint="eastAsia" w:ascii="宋体" w:hAnsi="宋体" w:eastAsia="宋体" w:cs="宋体"/>
          <w:b w:val="0"/>
          <w:bCs/>
          <w:kern w:val="2"/>
          <w:sz w:val="24"/>
          <w:szCs w:val="24"/>
          <w:highlight w:val="none"/>
          <w:lang w:val="en-US" w:eastAsia="zh-CN" w:bidi="ar-SA"/>
        </w:rPr>
        <w:t>项目</w:t>
      </w:r>
      <w:r>
        <w:rPr>
          <w:rFonts w:hint="eastAsia" w:ascii="宋体" w:hAnsi="宋体" w:cs="宋体"/>
          <w:kern w:val="0"/>
          <w:sz w:val="24"/>
          <w:highlight w:val="none"/>
        </w:rPr>
        <w:t>，采购人将依法及时处理。采购合同的履行、违约责任和解决争议的方式等适用《中华人民共和国民法典》。供应商在履约过程中有政府采购法律法规规定的违法违规情形的，采购人应当及时报告本级财政部门。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4"/>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kern w:val="2"/>
          <w:sz w:val="24"/>
          <w:szCs w:val="20"/>
          <w:highlight w:val="none"/>
          <w:lang w:val="en-US" w:eastAsia="zh-CN" w:bidi="ar-SA"/>
        </w:rPr>
        <w:t xml:space="preserve">31.5 </w:t>
      </w:r>
      <w:r>
        <w:rPr>
          <w:rFonts w:hint="eastAsia" w:ascii="宋体" w:hAnsi="宋体" w:eastAsia="宋体" w:cs="宋体"/>
          <w:b w:val="0"/>
          <w:bCs w:val="0"/>
          <w:color w:val="auto"/>
          <w:kern w:val="0"/>
          <w:sz w:val="24"/>
          <w:szCs w:val="24"/>
          <w:highlight w:val="none"/>
          <w:lang w:val="en-US"/>
        </w:rPr>
        <w:t>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pPr>
        <w:pStyle w:val="2"/>
        <w:rPr>
          <w:highlight w:val="none"/>
        </w:rPr>
      </w:pPr>
    </w:p>
    <w:bookmarkEnd w:id="26"/>
    <w:p>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30" w:name="_Hlt74714665"/>
      <w:bookmarkEnd w:id="30"/>
      <w:bookmarkStart w:id="31" w:name="_Hlt68072998"/>
      <w:bookmarkEnd w:id="31"/>
      <w:bookmarkStart w:id="32" w:name="_Hlt68072990"/>
      <w:bookmarkEnd w:id="32"/>
      <w:bookmarkStart w:id="33" w:name="_Hlt75236011"/>
      <w:bookmarkEnd w:id="33"/>
      <w:bookmarkStart w:id="34" w:name="_Hlt68403820"/>
      <w:bookmarkEnd w:id="34"/>
      <w:bookmarkStart w:id="35" w:name="_Hlt75236101"/>
      <w:bookmarkEnd w:id="35"/>
      <w:bookmarkStart w:id="36" w:name="_Hlt68057669"/>
      <w:bookmarkEnd w:id="36"/>
      <w:bookmarkStart w:id="37" w:name="_Hlt74707468"/>
      <w:bookmarkEnd w:id="37"/>
      <w:bookmarkStart w:id="38" w:name="_Hlt75236290"/>
      <w:bookmarkEnd w:id="38"/>
      <w:bookmarkStart w:id="39" w:name="_Hlt74729768"/>
      <w:bookmarkEnd w:id="39"/>
      <w:bookmarkStart w:id="40" w:name="_Hlt68073093"/>
      <w:bookmarkEnd w:id="40"/>
      <w:bookmarkStart w:id="41" w:name="_Hlt74730295"/>
      <w:bookmarkEnd w:id="41"/>
    </w:p>
    <w:bookmarkEnd w:id="17"/>
    <w:bookmarkEnd w:id="18"/>
    <w:p>
      <w:pPr>
        <w:spacing w:line="360" w:lineRule="auto"/>
        <w:jc w:val="center"/>
        <w:outlineLvl w:val="0"/>
        <w:rPr>
          <w:rFonts w:ascii="宋体" w:hAnsi="宋体" w:cs="宋体"/>
          <w:b/>
          <w:sz w:val="36"/>
          <w:szCs w:val="36"/>
        </w:rPr>
      </w:pPr>
      <w:bookmarkStart w:id="42" w:name="第四部分"/>
      <w:r>
        <w:rPr>
          <w:rFonts w:hint="eastAsia" w:ascii="宋体" w:hAnsi="宋体" w:cs="宋体"/>
          <w:b/>
          <w:sz w:val="36"/>
          <w:szCs w:val="36"/>
        </w:rPr>
        <w:t>第三部分   采购需求</w:t>
      </w:r>
    </w:p>
    <w:p>
      <w:pPr>
        <w:spacing w:line="360" w:lineRule="auto"/>
        <w:ind w:firstLine="181" w:firstLineChars="50"/>
        <w:rPr>
          <w:rFonts w:ascii="宋体" w:hAnsi="宋体" w:cs="宋体"/>
          <w:b/>
          <w:sz w:val="36"/>
          <w:szCs w:val="36"/>
        </w:rPr>
      </w:pPr>
    </w:p>
    <w:p>
      <w:pPr>
        <w:pStyle w:val="4"/>
        <w:snapToGrid w:val="0"/>
        <w:spacing w:line="560" w:lineRule="exact"/>
        <w:ind w:left="0" w:leftChars="0" w:firstLine="0" w:firstLineChars="0"/>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0"/>
          <w:sz w:val="22"/>
          <w:highlight w:val="none"/>
        </w:rPr>
        <w:t>一、</w:t>
      </w:r>
      <w:r>
        <w:rPr>
          <w:rFonts w:hint="eastAsia" w:ascii="宋体" w:hAnsi="宋体" w:eastAsia="宋体" w:cs="宋体"/>
          <w:color w:val="auto"/>
          <w:sz w:val="24"/>
          <w:szCs w:val="24"/>
          <w:highlight w:val="none"/>
          <w:lang w:val="en-US"/>
        </w:rPr>
        <w:t>项目基本情况</w:t>
      </w:r>
    </w:p>
    <w:p>
      <w:pPr>
        <w:pStyle w:val="129"/>
        <w:snapToGrid w:val="0"/>
        <w:spacing w:before="0" w:line="560" w:lineRule="exact"/>
        <w:ind w:firstLine="0" w:firstLineChars="0"/>
        <w:outlineLvl w:val="1"/>
        <w:rPr>
          <w:rFonts w:hint="eastAsia" w:ascii="宋体" w:hAnsi="宋体" w:eastAsia="宋体" w:cs="宋体"/>
          <w:color w:val="auto"/>
          <w:szCs w:val="24"/>
          <w:highlight w:val="none"/>
          <w:lang w:val="zh-CN"/>
        </w:rPr>
      </w:pPr>
      <w:bookmarkStart w:id="43" w:name="_Toc250317833"/>
      <w:bookmarkStart w:id="44" w:name="_Toc82338235"/>
      <w:bookmarkStart w:id="45" w:name="_Toc82873318"/>
      <w:bookmarkStart w:id="46" w:name="_Toc174420628"/>
      <w:r>
        <w:rPr>
          <w:rFonts w:hint="eastAsia" w:ascii="宋体" w:hAnsi="宋体" w:eastAsia="宋体" w:cs="宋体"/>
          <w:color w:val="auto"/>
          <w:szCs w:val="24"/>
          <w:highlight w:val="none"/>
          <w:lang w:val="zh-CN"/>
        </w:rPr>
        <w:t>（一）相关法规、管理条例与技术标准、行业规范</w:t>
      </w:r>
      <w:bookmarkEnd w:id="43"/>
      <w:bookmarkEnd w:id="44"/>
      <w:bookmarkEnd w:id="45"/>
      <w:bookmarkEnd w:id="46"/>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1.《物业管理条例》；</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2.《物业服务收费明码标价规定》</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3.国家规定的标准和规范，有新标准按新标准执行；</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4.行业标准及规范，有新标准按新标准执行；</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5.其他相关标准。</w:t>
      </w:r>
    </w:p>
    <w:p>
      <w:pPr>
        <w:snapToGrid w:val="0"/>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zh-CN"/>
        </w:rPr>
        <w:t>项目简介</w:t>
      </w:r>
      <w:r>
        <w:rPr>
          <w:rFonts w:hint="eastAsia" w:ascii="宋体" w:hAnsi="宋体" w:eastAsia="宋体" w:cs="宋体"/>
          <w:color w:val="auto"/>
          <w:sz w:val="24"/>
          <w:highlight w:val="none"/>
        </w:rPr>
        <w:t xml:space="preserve"> </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杭州市上城区小营街道南片6个社区（长明寺巷、金钱巷、茅廊巷、西牌楼、梅花碑、姚园寺巷社区）准物业服务项目</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项目预算</w:t>
      </w:r>
      <w:r>
        <w:rPr>
          <w:rFonts w:hint="eastAsia" w:ascii="宋体" w:hAnsi="宋体" w:eastAsia="宋体" w:cs="宋体"/>
          <w:color w:val="auto"/>
          <w:sz w:val="24"/>
          <w:highlight w:val="none"/>
          <w:lang w:val="en-US" w:eastAsia="zh-CN"/>
        </w:rPr>
        <w:t>9980000元/2年（4990000元/年），</w:t>
      </w:r>
      <w:r>
        <w:rPr>
          <w:rFonts w:hint="eastAsia" w:ascii="宋体" w:hAnsi="宋体" w:eastAsia="宋体" w:cs="宋体"/>
          <w:color w:val="auto"/>
          <w:sz w:val="24"/>
          <w:highlight w:val="none"/>
        </w:rPr>
        <w:t>其中街巷保洁</w:t>
      </w:r>
      <w:r>
        <w:rPr>
          <w:rFonts w:hint="eastAsia" w:ascii="宋体" w:hAnsi="宋体" w:eastAsia="宋体" w:cs="宋体"/>
          <w:color w:val="auto"/>
          <w:sz w:val="24"/>
          <w:highlight w:val="none"/>
          <w:lang w:val="en-US" w:eastAsia="zh-CN"/>
        </w:rPr>
        <w:t>2573685.</w:t>
      </w:r>
      <w:r>
        <w:rPr>
          <w:rFonts w:hint="eastAsia" w:ascii="宋体" w:hAnsi="宋体" w:cs="宋体"/>
          <w:color w:val="auto"/>
          <w:sz w:val="24"/>
          <w:highlight w:val="none"/>
          <w:lang w:val="en-US" w:eastAsia="zh-CN"/>
        </w:rPr>
        <w:t>337</w:t>
      </w:r>
      <w:r>
        <w:rPr>
          <w:rFonts w:hint="eastAsia" w:ascii="宋体" w:hAnsi="宋体" w:eastAsia="宋体" w:cs="宋体"/>
          <w:color w:val="auto"/>
          <w:sz w:val="24"/>
          <w:highlight w:val="none"/>
          <w:lang w:val="en-US" w:eastAsia="zh-CN"/>
        </w:rPr>
        <w:t>元/年;</w:t>
      </w:r>
      <w:r>
        <w:rPr>
          <w:rFonts w:hint="eastAsia" w:ascii="宋体" w:hAnsi="宋体" w:cs="宋体"/>
          <w:color w:val="auto"/>
          <w:sz w:val="24"/>
          <w:highlight w:val="none"/>
        </w:rPr>
        <w:t>老旧小区物业费按0.56/平方米</w:t>
      </w:r>
      <w:r>
        <w:rPr>
          <w:rFonts w:hint="eastAsia" w:ascii="宋体" w:hAnsi="宋体" w:cs="宋体"/>
          <w:color w:val="auto"/>
          <w:sz w:val="24"/>
          <w:highlight w:val="none"/>
          <w:lang w:val="en-US" w:eastAsia="zh-CN"/>
        </w:rPr>
        <w:t>收取</w:t>
      </w:r>
      <w:r>
        <w:rPr>
          <w:rFonts w:hint="eastAsia" w:ascii="宋体" w:hAnsi="宋体" w:cs="宋体"/>
          <w:color w:val="auto"/>
          <w:sz w:val="24"/>
          <w:highlight w:val="none"/>
          <w:lang w:eastAsia="zh-CN"/>
        </w:rPr>
        <w:t>，</w:t>
      </w:r>
      <w:r>
        <w:rPr>
          <w:rFonts w:hint="eastAsia" w:ascii="宋体" w:hAnsi="宋体" w:cs="宋体"/>
          <w:color w:val="auto"/>
          <w:kern w:val="2"/>
          <w:sz w:val="24"/>
          <w:szCs w:val="24"/>
          <w:highlight w:val="none"/>
          <w:lang w:val="en-US" w:eastAsia="zh-CN" w:bidi="ar"/>
        </w:rPr>
        <w:t>按总收取费用的</w:t>
      </w:r>
      <w:r>
        <w:rPr>
          <w:rFonts w:hint="eastAsia" w:ascii="宋体" w:hAnsi="宋体" w:eastAsia="宋体" w:cs="宋体"/>
          <w:color w:val="auto"/>
          <w:kern w:val="2"/>
          <w:sz w:val="24"/>
          <w:szCs w:val="24"/>
          <w:highlight w:val="none"/>
          <w:lang w:val="en-US" w:eastAsia="zh-CN" w:bidi="ar"/>
        </w:rPr>
        <w:t>15%</w:t>
      </w:r>
      <w:r>
        <w:rPr>
          <w:rFonts w:hint="eastAsia" w:ascii="宋体" w:hAnsi="宋体" w:cs="宋体"/>
          <w:color w:val="auto"/>
          <w:kern w:val="2"/>
          <w:sz w:val="24"/>
          <w:szCs w:val="24"/>
          <w:highlight w:val="none"/>
          <w:lang w:val="en-US" w:eastAsia="zh-CN" w:bidi="ar"/>
        </w:rPr>
        <w:t>收缴，</w:t>
      </w:r>
      <w:r>
        <w:rPr>
          <w:rFonts w:hint="eastAsia" w:ascii="宋体" w:hAnsi="宋体" w:eastAsia="宋体" w:cs="宋体"/>
          <w:color w:val="auto"/>
          <w:kern w:val="2"/>
          <w:sz w:val="24"/>
          <w:szCs w:val="24"/>
          <w:highlight w:val="none"/>
          <w:lang w:val="en-US" w:eastAsia="zh-CN" w:bidi="ar"/>
        </w:rPr>
        <w:t>为624678.6元</w:t>
      </w:r>
      <w:r>
        <w:rPr>
          <w:rFonts w:hint="eastAsia" w:ascii="宋体" w:hAnsi="宋体" w:cs="宋体"/>
          <w:color w:val="auto"/>
          <w:kern w:val="2"/>
          <w:sz w:val="24"/>
          <w:szCs w:val="24"/>
          <w:highlight w:val="none"/>
          <w:lang w:val="en-US" w:eastAsia="zh-CN" w:bidi="ar"/>
        </w:rPr>
        <w:t>/年（合同价中抵扣）</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sz w:val="24"/>
          <w:highlight w:val="none"/>
        </w:rPr>
        <w:t>停车费为1</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0000元/年</w:t>
      </w:r>
      <w:r>
        <w:rPr>
          <w:rFonts w:hint="eastAsia" w:ascii="宋体" w:hAnsi="宋体" w:cs="宋体"/>
          <w:color w:val="auto"/>
          <w:kern w:val="2"/>
          <w:sz w:val="24"/>
          <w:szCs w:val="24"/>
          <w:highlight w:val="none"/>
          <w:lang w:val="en-US" w:eastAsia="zh-CN" w:bidi="ar"/>
        </w:rPr>
        <w:t>（合同价中抵扣）</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物业费与停车费如有超出部分归乙方所有，不足部分由乙方自行承担</w:t>
      </w:r>
      <w:r>
        <w:rPr>
          <w:rFonts w:hint="default" w:ascii="宋体" w:hAnsi="宋体" w:cs="宋体"/>
          <w:color w:val="auto"/>
          <w:sz w:val="24"/>
          <w:highlight w:val="none"/>
        </w:rPr>
        <w:t>。</w:t>
      </w:r>
      <w:r>
        <w:rPr>
          <w:rFonts w:hint="eastAsia" w:ascii="宋体" w:hAnsi="宋体" w:cs="宋体"/>
          <w:color w:val="auto"/>
          <w:sz w:val="24"/>
          <w:highlight w:val="none"/>
        </w:rPr>
        <w:t>街道办事处补贴人民币</w:t>
      </w:r>
      <w:r>
        <w:rPr>
          <w:rFonts w:hint="eastAsia" w:ascii="宋体" w:hAnsi="宋体" w:cs="宋体"/>
          <w:color w:val="auto"/>
          <w:sz w:val="24"/>
          <w:highlight w:val="none"/>
          <w:lang w:val="en-US" w:eastAsia="zh-CN"/>
        </w:rPr>
        <w:t>591636</w:t>
      </w:r>
      <w:r>
        <w:rPr>
          <w:rFonts w:hint="eastAsia" w:ascii="宋体" w:hAnsi="宋体" w:cs="宋体"/>
          <w:color w:val="auto"/>
          <w:sz w:val="24"/>
          <w:highlight w:val="none"/>
        </w:rPr>
        <w:t>元/年</w:t>
      </w:r>
      <w:r>
        <w:rPr>
          <w:rFonts w:hint="eastAsia" w:ascii="宋体" w:hAnsi="宋体" w:cs="宋体"/>
          <w:color w:val="auto"/>
          <w:sz w:val="24"/>
          <w:highlight w:val="none"/>
          <w:lang w:val="en-US" w:eastAsia="zh-CN"/>
        </w:rPr>
        <w:t>。</w:t>
      </w:r>
    </w:p>
    <w:p>
      <w:pPr>
        <w:snapToGrid w:val="0"/>
        <w:spacing w:line="56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经费采用先服务后拨付的方式，次月10日（遇节假日顺延）前按合同期月平均经费的70%拨付；合同期月平均经费的20%作为月度考核，按月度考核成绩第三个月10日（遇节假日顺延）前发放；剩余部分10%作为年终考核，在年度期满按年度考核成绩公布后的六个月内一次性奖励或扣除。最终考核扣款以社区盖章签字的考核表为依据，街道统筹。</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杭州市上城区小营街道南片区由金钱巷、长明寺巷、茅廊巷、姚园寺巷、西牌楼、梅花碑6个社区组成，东至江</w:t>
      </w:r>
      <w:r>
        <w:rPr>
          <w:rFonts w:hint="eastAsia" w:ascii="宋体" w:hAnsi="宋体" w:cs="宋体"/>
          <w:color w:val="auto"/>
          <w:sz w:val="24"/>
          <w:highlight w:val="none"/>
          <w:lang w:eastAsia="zh-CN"/>
        </w:rPr>
        <w:t>城</w:t>
      </w:r>
      <w:r>
        <w:rPr>
          <w:rFonts w:hint="eastAsia" w:ascii="宋体" w:hAnsi="宋体" w:eastAsia="宋体" w:cs="宋体"/>
          <w:color w:val="auto"/>
          <w:sz w:val="24"/>
          <w:highlight w:val="none"/>
        </w:rPr>
        <w:t>路，南至望江路，西至中河中路，北至解放路；面积1.455平方千米；总住户12421户、楼道646个，楼道灯约4171盏，停车位</w:t>
      </w:r>
      <w:r>
        <w:rPr>
          <w:rFonts w:hint="eastAsia" w:ascii="宋体" w:hAnsi="宋体" w:cs="宋体"/>
          <w:color w:val="auto"/>
          <w:sz w:val="24"/>
          <w:highlight w:val="none"/>
          <w:lang w:val="en-US" w:eastAsia="zh-CN"/>
        </w:rPr>
        <w:t>728</w:t>
      </w:r>
      <w:r>
        <w:rPr>
          <w:rFonts w:hint="eastAsia" w:ascii="宋体" w:hAnsi="宋体" w:eastAsia="宋体" w:cs="宋体"/>
          <w:color w:val="auto"/>
          <w:sz w:val="24"/>
          <w:highlight w:val="none"/>
        </w:rPr>
        <w:t>个，绿化保洁面积59312平方米。</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社区主要包括多层住宅、平房住宅、公寓、医院、学校等物业类型，其中房屋建筑多以板楼、板塔结合结构为主。物业建筑年代多集中在80-90年代，绿化覆盖率达到30%。</w:t>
      </w:r>
    </w:p>
    <w:tbl>
      <w:tblPr>
        <w:tblStyle w:val="64"/>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75"/>
        <w:gridCol w:w="6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snapToGrid w:val="0"/>
              <w:spacing w:line="560" w:lineRule="exact"/>
              <w:jc w:val="center"/>
              <w:rPr>
                <w:rFonts w:hint="eastAsia" w:ascii="仿宋_GB2312" w:hAnsi="仿宋_GB2312" w:eastAsia="仿宋_GB2312" w:cs="仿宋_GB2312"/>
                <w:b/>
                <w:bCs/>
                <w:color w:val="auto"/>
                <w:sz w:val="24"/>
                <w:szCs w:val="24"/>
                <w:highlight w:val="none"/>
                <w:vertAlign w:val="baseline"/>
              </w:rPr>
            </w:pPr>
            <w:r>
              <w:rPr>
                <w:rFonts w:hint="eastAsia"/>
                <w:b/>
                <w:bCs/>
                <w:sz w:val="24"/>
                <w:szCs w:val="24"/>
              </w:rPr>
              <w:t>序号</w:t>
            </w:r>
          </w:p>
        </w:tc>
        <w:tc>
          <w:tcPr>
            <w:tcW w:w="1575" w:type="dxa"/>
            <w:vAlign w:val="center"/>
          </w:tcPr>
          <w:p>
            <w:pPr>
              <w:snapToGrid w:val="0"/>
              <w:spacing w:line="560" w:lineRule="exact"/>
              <w:jc w:val="center"/>
              <w:rPr>
                <w:rFonts w:hint="eastAsia" w:ascii="仿宋_GB2312" w:hAnsi="仿宋_GB2312" w:eastAsia="仿宋_GB2312" w:cs="仿宋_GB2312"/>
                <w:b/>
                <w:bCs/>
                <w:color w:val="auto"/>
                <w:sz w:val="24"/>
                <w:szCs w:val="24"/>
                <w:highlight w:val="none"/>
                <w:vertAlign w:val="baseline"/>
              </w:rPr>
            </w:pPr>
            <w:r>
              <w:rPr>
                <w:rFonts w:hint="eastAsia"/>
                <w:b/>
                <w:bCs/>
                <w:sz w:val="24"/>
                <w:szCs w:val="24"/>
              </w:rPr>
              <w:t>社区</w:t>
            </w:r>
          </w:p>
        </w:tc>
        <w:tc>
          <w:tcPr>
            <w:tcW w:w="6106" w:type="dxa"/>
            <w:vAlign w:val="center"/>
          </w:tcPr>
          <w:p>
            <w:pPr>
              <w:snapToGrid w:val="0"/>
              <w:spacing w:line="560" w:lineRule="exact"/>
              <w:jc w:val="center"/>
              <w:rPr>
                <w:rFonts w:hint="eastAsia" w:ascii="仿宋_GB2312" w:hAnsi="仿宋_GB2312" w:eastAsia="仿宋_GB2312" w:cs="仿宋_GB2312"/>
                <w:b/>
                <w:bCs/>
                <w:color w:val="auto"/>
                <w:sz w:val="24"/>
                <w:szCs w:val="24"/>
                <w:highlight w:val="none"/>
                <w:vertAlign w:val="baseline"/>
              </w:rPr>
            </w:pPr>
            <w:r>
              <w:rPr>
                <w:rFonts w:hint="eastAsia"/>
                <w:b/>
                <w:bCs/>
                <w:sz w:val="24"/>
                <w:szCs w:val="24"/>
              </w:rPr>
              <w:t>准物业区域小区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lang w:eastAsia="zh-CN"/>
              </w:rPr>
            </w:pPr>
            <w:r>
              <w:rPr>
                <w:rFonts w:hint="eastAsia" w:ascii="宋体" w:hAnsi="宋体" w:cs="宋体"/>
                <w:color w:val="auto"/>
                <w:kern w:val="0"/>
                <w:sz w:val="21"/>
                <w:szCs w:val="21"/>
                <w:highlight w:val="none"/>
                <w:lang w:bidi="ar"/>
              </w:rPr>
              <w:t>1</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金钱巷社区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南班巷小区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lang w:val="en-US" w:eastAsia="zh-CN"/>
              </w:rPr>
            </w:pPr>
            <w:r>
              <w:rPr>
                <w:rFonts w:hint="eastAsia" w:ascii="宋体" w:hAnsi="宋体" w:cs="宋体"/>
                <w:color w:val="auto"/>
                <w:kern w:val="0"/>
                <w:sz w:val="21"/>
                <w:szCs w:val="21"/>
                <w:highlight w:val="none"/>
                <w:lang w:bidi="ar"/>
              </w:rPr>
              <w:t>2</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金钱巷社区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严衙弄小区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lang w:eastAsia="zh-CN"/>
              </w:rPr>
            </w:pPr>
            <w:r>
              <w:rPr>
                <w:rFonts w:hint="eastAsia" w:ascii="宋体" w:hAnsi="宋体" w:cs="宋体"/>
                <w:color w:val="auto"/>
                <w:kern w:val="0"/>
                <w:sz w:val="21"/>
                <w:szCs w:val="21"/>
                <w:highlight w:val="none"/>
                <w:lang w:bidi="ar"/>
              </w:rPr>
              <w:t>3</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长明寺巷22号小区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lang w:eastAsia="zh-CN"/>
              </w:rPr>
            </w:pPr>
            <w:r>
              <w:rPr>
                <w:rFonts w:hint="eastAsia" w:ascii="宋体" w:hAnsi="宋体" w:cs="宋体"/>
                <w:color w:val="auto"/>
                <w:kern w:val="0"/>
                <w:sz w:val="21"/>
                <w:szCs w:val="21"/>
                <w:highlight w:val="none"/>
                <w:lang w:bidi="ar"/>
              </w:rPr>
              <w:t>4</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联珠里小区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lang w:val="en-US" w:eastAsia="zh-CN"/>
              </w:rPr>
            </w:pPr>
            <w:r>
              <w:rPr>
                <w:rFonts w:hint="eastAsia" w:ascii="宋体" w:hAnsi="宋体" w:cs="宋体"/>
                <w:color w:val="auto"/>
                <w:kern w:val="0"/>
                <w:sz w:val="21"/>
                <w:szCs w:val="21"/>
                <w:highlight w:val="none"/>
                <w:lang w:bidi="ar"/>
              </w:rPr>
              <w:t>5</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小米巷小区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6</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长庆里小区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7</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清泰街小区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8</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长明寺巷社区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锅子弄小区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9</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民权路7、9号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10</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状元弄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11</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民生路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12</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丰家兜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13</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丰禾巷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14</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大东山弄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15</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茅廊巷社区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义井巷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16</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建国南苑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17</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陆家河头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18</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称心里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19</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20</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羊线弄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21</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五柳巷区块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22</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姚园寺巷</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江城路742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23</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西牌楼社区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断河头小区（断河头、河坊街、百岁坊巷、直吉祥巷、横吉祥巷）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24</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西牌楼社区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建国南苑2-18幢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25</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梅花碑社区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梅花碑小区（梅花碑1.2.3.4.5.6号直吉祥巷）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26</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梅花碑社区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三益里新村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27</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梅花碑社区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福利新村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28</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梅花碑社区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信余里小区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cs="宋体"/>
                <w:color w:val="auto"/>
                <w:kern w:val="0"/>
                <w:sz w:val="21"/>
                <w:szCs w:val="21"/>
                <w:highlight w:val="none"/>
                <w:lang w:bidi="ar"/>
              </w:rPr>
              <w:t>30</w:t>
            </w: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梅花碑社区</w:t>
            </w: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r>
              <w:rPr>
                <w:rFonts w:hint="eastAsia"/>
              </w:rPr>
              <w:t>五柳巷（一桥至三桥、城头巷）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widowControl/>
              <w:jc w:val="center"/>
              <w:textAlignment w:val="center"/>
              <w:rPr>
                <w:rFonts w:hint="eastAsia" w:ascii="仿宋_GB2312" w:hAnsi="仿宋_GB2312" w:eastAsia="仿宋_GB2312" w:cs="仿宋_GB2312"/>
                <w:color w:val="auto"/>
                <w:sz w:val="21"/>
                <w:szCs w:val="21"/>
                <w:highlight w:val="none"/>
                <w:vertAlign w:val="baseline"/>
              </w:rPr>
            </w:pPr>
          </w:p>
        </w:tc>
        <w:tc>
          <w:tcPr>
            <w:tcW w:w="1575"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p>
        </w:tc>
        <w:tc>
          <w:tcPr>
            <w:tcW w:w="6106" w:type="dxa"/>
            <w:vAlign w:val="center"/>
          </w:tcPr>
          <w:p>
            <w:pPr>
              <w:snapToGrid w:val="0"/>
              <w:spacing w:line="560" w:lineRule="exact"/>
              <w:jc w:val="center"/>
              <w:rPr>
                <w:rFonts w:hint="eastAsia" w:ascii="仿宋_GB2312" w:hAnsi="仿宋_GB2312" w:eastAsia="仿宋_GB2312" w:cs="仿宋_GB2312"/>
                <w:color w:val="auto"/>
                <w:sz w:val="24"/>
                <w:highlight w:val="none"/>
                <w:vertAlign w:val="baseline"/>
              </w:rPr>
            </w:pPr>
          </w:p>
        </w:tc>
      </w:tr>
    </w:tbl>
    <w:p>
      <w:pPr>
        <w:pStyle w:val="4"/>
        <w:snapToGrid w:val="0"/>
        <w:spacing w:line="560" w:lineRule="exact"/>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根据杭州市区道路分类保洁管理定额标准，梅花碑社区辖区道路属一、二类街道。其中，一类所属路面保洁面积48675.98平方米；二类所属路面保洁面积86662.29平方米。</w:t>
      </w:r>
    </w:p>
    <w:tbl>
      <w:tblPr>
        <w:tblStyle w:val="63"/>
        <w:tblpPr w:leftFromText="180" w:rightFromText="180" w:vertAnchor="text" w:horzAnchor="page" w:tblpX="1166" w:tblpY="703"/>
        <w:tblOverlap w:val="never"/>
        <w:tblW w:w="9734" w:type="dxa"/>
        <w:tblInd w:w="0" w:type="dxa"/>
        <w:tblLayout w:type="fixed"/>
        <w:tblCellMar>
          <w:top w:w="0" w:type="dxa"/>
          <w:left w:w="108" w:type="dxa"/>
          <w:bottom w:w="0" w:type="dxa"/>
          <w:right w:w="108" w:type="dxa"/>
        </w:tblCellMar>
      </w:tblPr>
      <w:tblGrid>
        <w:gridCol w:w="540"/>
        <w:gridCol w:w="975"/>
        <w:gridCol w:w="1530"/>
        <w:gridCol w:w="4012"/>
        <w:gridCol w:w="1462"/>
        <w:gridCol w:w="1215"/>
      </w:tblGrid>
      <w:tr>
        <w:tblPrEx>
          <w:tblCellMar>
            <w:top w:w="0" w:type="dxa"/>
            <w:left w:w="108" w:type="dxa"/>
            <w:bottom w:w="0" w:type="dxa"/>
            <w:right w:w="108" w:type="dxa"/>
          </w:tblCellMar>
        </w:tblPrEx>
        <w:trPr>
          <w:trHeight w:val="440" w:hRule="atLeast"/>
        </w:trPr>
        <w:tc>
          <w:tcPr>
            <w:tcW w:w="9734" w:type="dxa"/>
            <w:gridSpan w:val="6"/>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202</w:t>
            </w:r>
            <w:r>
              <w:rPr>
                <w:rFonts w:hint="eastAsia" w:ascii="宋体" w:hAnsi="宋体" w:cs="宋体"/>
                <w:b/>
                <w:bCs/>
                <w:color w:val="auto"/>
                <w:kern w:val="0"/>
                <w:sz w:val="24"/>
                <w:highlight w:val="none"/>
                <w:lang w:val="en-US" w:eastAsia="zh-CN" w:bidi="ar"/>
              </w:rPr>
              <w:t>5</w:t>
            </w:r>
            <w:r>
              <w:rPr>
                <w:rFonts w:hint="eastAsia" w:ascii="宋体" w:hAnsi="宋体" w:eastAsia="宋体" w:cs="宋体"/>
                <w:b/>
                <w:bCs/>
                <w:color w:val="auto"/>
                <w:kern w:val="0"/>
                <w:sz w:val="24"/>
                <w:highlight w:val="none"/>
                <w:lang w:bidi="ar"/>
              </w:rPr>
              <w:t>年小营街道南片区街巷保洁面积明细</w:t>
            </w:r>
          </w:p>
        </w:tc>
      </w:tr>
      <w:tr>
        <w:tblPrEx>
          <w:tblCellMar>
            <w:top w:w="0" w:type="dxa"/>
            <w:left w:w="108" w:type="dxa"/>
            <w:bottom w:w="0" w:type="dxa"/>
            <w:right w:w="108"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bidi="ar"/>
              </w:rPr>
              <w:t>社区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bidi="ar"/>
              </w:rPr>
              <w:t>路名</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bidi="ar"/>
              </w:rPr>
              <w:t>起止地点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16"/>
                <w:szCs w:val="16"/>
                <w:highlight w:val="none"/>
                <w:lang w:eastAsia="zh-CN"/>
              </w:rPr>
            </w:pPr>
            <w:r>
              <w:rPr>
                <w:rFonts w:hint="eastAsia" w:ascii="宋体" w:hAnsi="宋体" w:eastAsia="宋体" w:cs="宋体"/>
                <w:b/>
                <w:bCs/>
                <w:color w:val="auto"/>
                <w:kern w:val="0"/>
                <w:sz w:val="16"/>
                <w:szCs w:val="16"/>
                <w:highlight w:val="none"/>
                <w:lang w:bidi="ar"/>
              </w:rPr>
              <w:t>面积</w:t>
            </w:r>
            <w:r>
              <w:rPr>
                <w:rFonts w:hint="eastAsia" w:ascii="宋体" w:hAnsi="宋体" w:eastAsia="宋体" w:cs="宋体"/>
                <w:b/>
                <w:bCs/>
                <w:color w:val="auto"/>
                <w:kern w:val="0"/>
                <w:sz w:val="16"/>
                <w:szCs w:val="16"/>
                <w:highlight w:val="none"/>
                <w:lang w:eastAsia="zh-CN" w:bidi="ar"/>
              </w:rPr>
              <w:t>（</w:t>
            </w:r>
            <w:r>
              <w:rPr>
                <w:rFonts w:hint="eastAsia" w:ascii="宋体" w:hAnsi="宋体" w:eastAsia="宋体" w:cs="宋体"/>
                <w:b/>
                <w:bCs/>
                <w:color w:val="auto"/>
                <w:kern w:val="0"/>
                <w:sz w:val="16"/>
                <w:szCs w:val="16"/>
                <w:highlight w:val="none"/>
                <w:lang w:val="en-US" w:eastAsia="zh-CN" w:bidi="ar"/>
              </w:rPr>
              <w:t>平方米</w:t>
            </w:r>
            <w:r>
              <w:rPr>
                <w:rFonts w:hint="eastAsia" w:ascii="宋体" w:hAnsi="宋体" w:eastAsia="宋体" w:cs="宋体"/>
                <w:b/>
                <w:bCs/>
                <w:color w:val="auto"/>
                <w:kern w:val="0"/>
                <w:sz w:val="16"/>
                <w:szCs w:val="16"/>
                <w:highlight w:val="none"/>
                <w:lang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kern w:val="0"/>
                <w:sz w:val="16"/>
                <w:szCs w:val="16"/>
                <w:highlight w:val="none"/>
                <w:lang w:bidi="ar"/>
              </w:rPr>
              <w:t>道路等级（一、二类街巷）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状元弄1-4号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565.9927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状元弄6号、状元弄6号、民生路42号、民生路32号、民生路26号、民生路28号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1244.7340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忠孝巷（清泰街488号－民权路）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1230.3063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民权路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2332.2155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潘衙弄5-6号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355.3828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潘衙弄5-7号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147.0559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欢乐巷（解放路50－中河路口）</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460.5022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茅廊巷(含大东山弄)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大东山弄4、5号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250.7298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茅廊巷(含大东山弄)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大东山弄8、11号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635.1142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茅廊巷(含大东山弄)</w:t>
            </w:r>
          </w:p>
        </w:tc>
        <w:tc>
          <w:tcPr>
            <w:tcW w:w="401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茅廊巷农贸市场北边道路（佑圣观路275号-解放路131号“西湖金座”－丰家兜12号旁）</w:t>
            </w:r>
          </w:p>
        </w:tc>
        <w:tc>
          <w:tcPr>
            <w:tcW w:w="14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2266.5045</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馆驿后（城头巷83号－佑圣观路126号）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1134.6934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城头巷119—120号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146.6889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城头巷122号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738.3570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梅花碑南（梅花碑1－6号）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1685.8766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梅花碑北（梅花碑7－8号）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2335.4671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斗富桥西河下</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斗富二桥西河下（斗富二桥西河下1－34号）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1741.5460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斗富桥西河下</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斗富一桥西河下（斗富一桥西河下1－22号）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1123.9460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斗富桥西河下</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斗富二桥（斗富二桥38－71号）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1147.7646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斗富桥西河下</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斗富三桥（斗富三桥31－66号）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1264.7313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直吉祥巷（河坊街口－直吉祥巷4号）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1474.9348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横吉祥巷（横吉祥巷1号－横吉祥巷19号）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490.3138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百岁坊巷（河坊街口－百岁坊巷1号）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906.4069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百岁坊巷（河坊街口－百岁坊巷1号）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610.4384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吉祥小区（直吉祥巷10号—百岁坊巷8号、直吉祥巷14号—百岁坊巷13号）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1672.3579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河坊街63号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288.6352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（姚园寺巷1－76号）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4230.0497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灰团巷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（建国南苑28幢－建国南苑36幢）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11655.1263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建新弄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（建新弄1号－建新弄2号）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143.5772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斗富三桥东河下</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（西湖大道＜建国南路247号＞－斗富三桥）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1794.7462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斗富二桥东河下</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（斗富二桥东河下24－1号－1号）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1917.5477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31</w:t>
            </w: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斗富一桥东河下</w:t>
            </w:r>
          </w:p>
        </w:tc>
        <w:tc>
          <w:tcPr>
            <w:tcW w:w="401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（斗富一桥东河下28号－斗富一桥东河下1号）</w:t>
            </w:r>
          </w:p>
        </w:tc>
        <w:tc>
          <w:tcPr>
            <w:tcW w:w="14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2136.2775</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柴弄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（柴弄1号－柴弄13－1号）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130.8343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河水弄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（河水弄1号－河水弄19－1号）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174.0901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三味庵巷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（三味庵巷1－8号）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243.0287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一类街巷</w:t>
            </w:r>
          </w:p>
        </w:tc>
      </w:tr>
      <w:tr>
        <w:tblPrEx>
          <w:tblCellMar>
            <w:top w:w="0" w:type="dxa"/>
            <w:left w:w="108" w:type="dxa"/>
            <w:bottom w:w="0" w:type="dxa"/>
            <w:right w:w="108" w:type="dxa"/>
          </w:tblCellMar>
        </w:tblPrEx>
        <w:trPr>
          <w:trHeight w:val="454" w:hRule="atLeast"/>
        </w:trPr>
        <w:tc>
          <w:tcPr>
            <w:tcW w:w="7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合计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48675.98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62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金钱巷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严衙弄幢间路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严衙弄大门后到金鸡岭、严衙弄9－14幢、2－6幢、城站幼儿园周边、九曲巷（一类）</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4789.7175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6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金钱巷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南班巷幢间路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南班巷1－5幢、南班巷健身场、6－14幢、15－20幢、21－25幢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8082.8401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金钱巷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南班巷幢间路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南班巷27幢、金钱巷32号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397.8163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金钱巷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南班巷幢间路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淳右桥西路（金鸡岭-淳佑桥桥中）</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1049.9769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义井巷幢间路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义井小区主干道、义井巷2幢、2幢、3幢、4幢、12幢、6幢、7幢、10幢、8幢、16幢、14幢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3858.3664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义井巷幢间路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小区健身场</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111.9872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7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丰家兜民生路幢间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丰家兜33、35、37号幢间、33、35、38号幢间、33、35、39号幢间、33、35、40号幢间、33、35、41号幢间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1341.4056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72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丰家兜民生路幢间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民生路9、11号幢间、9、12号幢间、9、13号幢间、9、11号幢间南侧空地（铁门外）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1378.1074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丰家兜民生路幢间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状元弄19号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108.5504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丰家兜民生路幢间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丰禾巷34号院内</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124.8597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6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丰家兜民生路幢间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民生路2幢一、二、三、四、五单元院内（上、下两层）、清泰街456号向北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451.3861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丰家兜民生路幢间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民生路64号一、二单元院子内</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89.18319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茅廊巷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义井巷幢间路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清泰街511号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220.8785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长寿弄（佑圣观路59号－信余里41号）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366.5160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长寿弄6号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86.2105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佑圣观路101号3幢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256.0528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信余里（北大门-南大门）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2172.0779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信余里6幢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367.2557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信余里3幢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458.1179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信余里4幢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625.1351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信余里7幢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294.9242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信余里8幢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358.9746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信余里9幢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471.6503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信余里41幢南—北</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807.3593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信余里47幢—45幢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420.3610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信余里5幢东—西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267.8088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信余里17幢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486.7753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信余里18幢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307.8867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三益里小区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三益里小区佑—10幢34号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397.1771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7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三益里小区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三益里小区6幢—11幢、6幢、7幢、8幢、9幢、10幢、5幢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1924.8223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福利新村（9幢-南大门）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1783.9456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福利新村8幢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366.0563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福利新村6—8幢、6幢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1183.5540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福利新村5幢后面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137.2175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福利新村3幢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278.1297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福利新村4幢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451.7591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福利新村2幢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417.1518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福利新村1幢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337.1576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城头巷（城头巷70－128号）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4184.8445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水亭址5号院内</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163.6860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福利新村小区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水亭址22号院内1、2、3幢间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727.3997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信余里小区</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佑圣观路101号2幢、4幢、5幢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1029.7256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106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直吉祥巷及幢间路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直吉祥巷（河坊街-梅花碑）、直吉祥巷37、39、42号北（即佑圣观路38幢北）、44幢、47幢、63、64、65号巷子、66、67、68、69号院子、佑圣观路44号院子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4449.0907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五柳巷幢间路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五柳巷（东：河边/南：斗富三桥/西：城头巷/北：西湖大道）</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3283.4698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仁智里</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佑圣观路49号对面</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206.0000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斗富二桥西河下22号北</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小块空地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108.0000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梅花碑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四维里一弄、二弄</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四维里一弄、二弄</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418.0000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建国南苑</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建国南苑2－18幢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7926.3499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西牌楼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断河头</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断河头1－30号幢间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2930.4045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江城路708号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403.8954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江城路722号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340.3739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江城路742号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174.1637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称心里（江城路74号－东塞）、称心里1-7号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906.2557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陆家河头1、3、4幢、5、6、7、8、9幢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2445.7619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羊线弄主干道（姚园寺巷9号－羊线弄37号）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1452.2968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羊线弄36号、35号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347.5028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羊线弄29号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189.7911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羊线弄38号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383.0250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羊线弄40号、33号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265.9873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姚园寺巷10号、9号、11号、22号、23号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902.1450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建国南苑46幢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202.4243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建国南苑57、62幢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292.1482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羊线弄幢间路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姚园寺巷37号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278.2000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姚园寺巷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江城路734号巷子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103.3201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99</w:t>
            </w:r>
          </w:p>
        </w:tc>
        <w:tc>
          <w:tcPr>
            <w:tcW w:w="97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锅子弄（锅子弄1－9号）</w:t>
            </w:r>
          </w:p>
        </w:tc>
        <w:tc>
          <w:tcPr>
            <w:tcW w:w="146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533.9753 </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小米巷（上马坡巷－小米巷21号）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971.5542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联珠里（长明寺巷22号－小米巷12号）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1376.3771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70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小米巷4号、2、3号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685.2560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联珠里1、2、3幢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704.1235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长明寺巷22号、联珠里9号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468.8279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锅子弄1-2号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207.0943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长明寺巷20号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192.2054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马坡巷12-15号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456.9654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马坡巷2、3号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388.0897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环东后16号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534.9077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小米巷幢间路(长明寺巷幢间路)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上马坡巷21号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173.0076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锅子弄4-5号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315.4113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锅子弄6-7号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205.3422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锅子弄8-9号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208.7384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锅子弄10-14号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564.6180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清泰街280号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454.2112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长庆里幢间路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长庆里（长庆里28－56号）、38号、39-41号、44号、55号、长庆里</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2948.2336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长庆里幢间路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清泰街184、186、188号幢间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390.6319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长庆里幢间路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清泰街257号幢间（清泰街南面）</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507.8653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锅子弄幢间路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清泰街210号幢间、214号幢间、218号幢间、222号幢间、226号幢间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935.4334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长明寺巷35号-37号</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长明寺巷35号-37号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231.0000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马坡巷（马坡巷直路）</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马坡巷（马坡巷直路）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 xml:space="preserve">1823.0000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122</w:t>
            </w:r>
          </w:p>
        </w:tc>
        <w:tc>
          <w:tcPr>
            <w:tcW w:w="975"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长明寺巷</w:t>
            </w:r>
          </w:p>
        </w:tc>
        <w:tc>
          <w:tcPr>
            <w:tcW w:w="153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锅子弄30号北侧小弄</w:t>
            </w:r>
          </w:p>
        </w:tc>
        <w:tc>
          <w:tcPr>
            <w:tcW w:w="401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锅子弄30号北侧小弄</w:t>
            </w:r>
          </w:p>
        </w:tc>
        <w:tc>
          <w:tcPr>
            <w:tcW w:w="14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6"/>
                <w:szCs w:val="16"/>
                <w:highlight w:val="none"/>
                <w:lang w:bidi="ar"/>
              </w:rPr>
              <w:t>242.0000</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二类街巷</w:t>
            </w:r>
          </w:p>
        </w:tc>
      </w:tr>
      <w:tr>
        <w:tblPrEx>
          <w:tblCellMar>
            <w:top w:w="0" w:type="dxa"/>
            <w:left w:w="108" w:type="dxa"/>
            <w:bottom w:w="0" w:type="dxa"/>
            <w:right w:w="108" w:type="dxa"/>
          </w:tblCellMar>
        </w:tblPrEx>
        <w:trPr>
          <w:trHeight w:val="454" w:hRule="atLeast"/>
        </w:trPr>
        <w:tc>
          <w:tcPr>
            <w:tcW w:w="7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lang w:bidi="ar"/>
              </w:rPr>
              <w:t>合计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shd w:val="clear" w:color="auto" w:fill="auto"/>
              </w:rPr>
            </w:pPr>
            <w:r>
              <w:rPr>
                <w:rFonts w:hint="eastAsia" w:ascii="宋体" w:hAnsi="宋体" w:cs="宋体"/>
                <w:color w:val="auto"/>
                <w:kern w:val="0"/>
                <w:sz w:val="16"/>
                <w:szCs w:val="16"/>
                <w:highlight w:val="none"/>
                <w:shd w:val="clear" w:color="auto" w:fill="auto"/>
                <w:lang w:bidi="ar"/>
              </w:rPr>
              <w:t xml:space="preserve">86662.29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shd w:val="clear" w:color="auto" w:fill="auto"/>
              </w:rPr>
            </w:pPr>
          </w:p>
        </w:tc>
      </w:tr>
    </w:tbl>
    <w:p>
      <w:pPr>
        <w:pStyle w:val="4"/>
        <w:numPr>
          <w:ilvl w:val="0"/>
          <w:numId w:val="2"/>
        </w:numPr>
        <w:snapToGrid w:val="0"/>
        <w:spacing w:line="560" w:lineRule="exact"/>
        <w:ind w:left="12" w:hanging="12"/>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项目采购需求</w:t>
      </w:r>
    </w:p>
    <w:p>
      <w:pPr>
        <w:pStyle w:val="4"/>
        <w:snapToGrid w:val="0"/>
        <w:spacing w:line="560" w:lineRule="exact"/>
        <w:ind w:left="0" w:firstLine="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服务内容、要求及标准</w:t>
      </w:r>
    </w:p>
    <w:p>
      <w:pPr>
        <w:pStyle w:val="256"/>
        <w:snapToGrid w:val="0"/>
        <w:spacing w:line="560" w:lineRule="exact"/>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（一）准物业管理服务内容</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1.物业管理区域内物业共用部位、共用设施设备的管理及维修养护；</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2.物业管理区域内公共秩序和环境卫生的维护；</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3.物业管理区域内的绿化养护和管理；</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4.物业管理区域内车辆机动车和非机动车行驶、停放及场所管理；</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5.供水、供电、供气、电信等专业单位在物业管理区域内对相关管线、设施维修养护时，进行必要的协调和管理；</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6.物业管理区域的日常安全巡查服务；</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7.物业档案资料的保管及有关物业服务费用的帐务管理。</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8.区域内业主投诉、文化建设和便民服务活动等。</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9.街道以及社区临时需要准物业完成、配合的各项工作。</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10.法律政策及合同规定的其他事项。</w:t>
      </w:r>
    </w:p>
    <w:p>
      <w:pPr>
        <w:snapToGrid w:val="0"/>
        <w:spacing w:line="560" w:lineRule="exac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服务要求及标准</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1.环境秩序：在保洁方面，首先负责物业范围内的全区域卫生，环境卫生要求按照街道、社区考核要求进行，其次对沿街店铺出店经营、门前三包工作做好对应的劝导工作，做到整齐划一。</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2.绿化养护：在绿化养护方面，要求实施专业绿化养护管理，定期修剪养护，清理杂草，确保绿地树木存活率，绿地植被覆盖良好，进一步美化小区环境。</w:t>
      </w:r>
      <w:r>
        <w:rPr>
          <w:rFonts w:hint="eastAsia" w:ascii="宋体" w:hAnsi="宋体" w:eastAsia="宋体" w:cs="宋体"/>
          <w:color w:val="auto"/>
          <w:sz w:val="24"/>
          <w:highlight w:val="none"/>
          <w:lang w:val="en-US" w:eastAsia="zh-CN"/>
        </w:rPr>
        <w:t>树木养护，其中10米以下的修枝由乙方自行处理，10米以上经经费测算后，报备社区、</w:t>
      </w:r>
      <w:r>
        <w:rPr>
          <w:rFonts w:hint="eastAsia" w:ascii="宋体" w:hAnsi="宋体" w:cs="宋体"/>
          <w:color w:val="auto"/>
          <w:sz w:val="24"/>
          <w:highlight w:val="none"/>
          <w:lang w:val="en-US" w:eastAsia="zh-CN"/>
        </w:rPr>
        <w:t>城市建设管理办公室。</w:t>
      </w:r>
    </w:p>
    <w:p>
      <w:pPr>
        <w:snapToGrid w:val="0"/>
        <w:spacing w:line="560" w:lineRule="exact"/>
        <w:ind w:firstLine="480" w:firstLineChars="200"/>
        <w:rPr>
          <w:rFonts w:hint="default" w:ascii="宋体" w:hAnsi="宋体" w:eastAsia="宋体" w:cs="宋体"/>
          <w:strike/>
          <w:dstrike w:val="0"/>
          <w:color w:val="auto"/>
          <w:sz w:val="24"/>
          <w:highlight w:val="none"/>
          <w:lang w:val="en-US"/>
        </w:rPr>
      </w:pPr>
      <w:r>
        <w:rPr>
          <w:rFonts w:hint="eastAsia" w:ascii="宋体" w:hAnsi="宋体" w:eastAsia="宋体" w:cs="宋体"/>
          <w:color w:val="auto"/>
          <w:sz w:val="24"/>
          <w:highlight w:val="none"/>
        </w:rPr>
        <w:t>3.设施维修：要求建立完善的信息资源库，制定管理工作流程、工作制度及工作职责，安排专业的维修人员，对小区内出现的公共设施问题，能够在最短的时间内得到解决，从而为居民提供优质高效的服务。</w:t>
      </w:r>
      <w:r>
        <w:rPr>
          <w:rFonts w:hint="eastAsia" w:ascii="宋体" w:hAnsi="宋体" w:cs="宋体"/>
          <w:color w:val="auto"/>
          <w:sz w:val="24"/>
          <w:highlight w:val="none"/>
          <w:lang w:val="en-US" w:eastAsia="zh-CN"/>
        </w:rPr>
        <w:t>1000元</w:t>
      </w:r>
      <w:r>
        <w:rPr>
          <w:rFonts w:hint="eastAsia" w:ascii="宋体" w:hAnsi="宋体" w:eastAsia="宋体" w:cs="宋体"/>
          <w:color w:val="auto"/>
          <w:sz w:val="24"/>
          <w:highlight w:val="none"/>
          <w:lang w:val="en-US" w:eastAsia="zh-CN"/>
        </w:rPr>
        <w:t>以下的</w:t>
      </w:r>
      <w:r>
        <w:rPr>
          <w:rFonts w:hint="eastAsia" w:ascii="宋体" w:hAnsi="宋体" w:cs="宋体"/>
          <w:color w:val="auto"/>
          <w:sz w:val="24"/>
          <w:highlight w:val="none"/>
          <w:lang w:val="en-US" w:eastAsia="zh-CN"/>
        </w:rPr>
        <w:t>维修</w:t>
      </w:r>
      <w:r>
        <w:rPr>
          <w:rFonts w:hint="eastAsia" w:ascii="宋体" w:hAnsi="宋体" w:eastAsia="宋体" w:cs="宋体"/>
          <w:color w:val="auto"/>
          <w:sz w:val="24"/>
          <w:highlight w:val="none"/>
          <w:lang w:val="en-US" w:eastAsia="zh-CN"/>
        </w:rPr>
        <w:t>由乙方自行</w:t>
      </w:r>
      <w:r>
        <w:rPr>
          <w:rFonts w:hint="eastAsia" w:ascii="宋体" w:hAnsi="宋体" w:cs="宋体"/>
          <w:color w:val="auto"/>
          <w:sz w:val="24"/>
          <w:highlight w:val="none"/>
          <w:lang w:val="en-US" w:eastAsia="zh-CN"/>
        </w:rPr>
        <w:t>支付</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1000元以上维修事项由社区进行评估测算后，上报建管办。</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避免因基础设施陈旧影响居民日常生活的问题，现小区内电控门、楼道灯、大铁门、垃圾房、窨井盖、空调雨水管、落水管、公共雨棚、公共晾衣架、屋面沿沟、雨水井、污水井、绿化等公共设施均列入综合管理范围（考虑到可变因素较大，屋顶补漏不列入本综合管理服务范围内），6个社区的社区公共管理维修，亦由</w:t>
      </w:r>
      <w:r>
        <w:rPr>
          <w:rFonts w:hint="eastAsia" w:ascii="宋体" w:hAnsi="宋体" w:cs="宋体"/>
          <w:color w:val="auto"/>
          <w:sz w:val="24"/>
          <w:highlight w:val="none"/>
          <w:lang w:eastAsia="zh-CN"/>
        </w:rPr>
        <w:t>中标单位</w:t>
      </w:r>
      <w:r>
        <w:rPr>
          <w:rFonts w:hint="eastAsia" w:ascii="宋体" w:hAnsi="宋体" w:eastAsia="宋体" w:cs="宋体"/>
          <w:color w:val="auto"/>
          <w:sz w:val="24"/>
          <w:highlight w:val="none"/>
        </w:rPr>
        <w:t>全面接管，每个社区费用设定为30000元，总计年度费用达180000元/年</w:t>
      </w:r>
      <w:r>
        <w:rPr>
          <w:rFonts w:hint="eastAsia" w:ascii="宋体" w:hAnsi="宋体" w:cs="宋体"/>
          <w:color w:val="auto"/>
          <w:sz w:val="24"/>
          <w:highlight w:val="none"/>
          <w:lang w:eastAsia="zh-CN"/>
        </w:rPr>
        <w:t>，由中标单位支出。</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4.楼道亮灯：居民楼里老人多，且房子老旧；夜间出行如遇楼道灯故障会非常不便，同时也存在安全隐患。对于故障的楼道灯，中标单位维修人员须在24小时内进行修复，以保证居民出行的安全。</w:t>
      </w:r>
    </w:p>
    <w:p>
      <w:pPr>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5.停车管理：中标单位须负责中标服务区域内车辆有序及安全停放管理，包含：小区</w:t>
      </w:r>
      <w:r>
        <w:rPr>
          <w:rFonts w:hint="eastAsia" w:ascii="宋体" w:hAnsi="宋体" w:cs="宋体"/>
          <w:color w:val="auto"/>
          <w:sz w:val="24"/>
          <w:highlight w:val="none"/>
          <w:lang w:val="en-US" w:eastAsia="zh-CN"/>
        </w:rPr>
        <w:t>区域内728个停车位全天</w:t>
      </w:r>
      <w:r>
        <w:rPr>
          <w:rFonts w:hint="eastAsia" w:ascii="宋体" w:hAnsi="宋体" w:eastAsia="宋体" w:cs="宋体"/>
          <w:color w:val="auto"/>
          <w:sz w:val="24"/>
          <w:highlight w:val="none"/>
        </w:rPr>
        <w:t>有序及安全停放管理、保证小区内车辆的有序进出及小区道路的顺畅通行。中标单位还须负责门禁系统及门禁道闸的操作、管理、维护，确保居民及访客的顺畅出入。</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消防、安全防范：指整个金钱巷、长明寺巷、茅廊巷、姚园寺巷、西牌楼、梅花碑组成南片区域的安保，安全监控系统24小时值班管理，公共区域24小时巡防。每日防火巡查，重点对电动自行车集中充停区域、消防车车道、楼道堆积物、公共消防器材等进行定期整治和维护。以及公共楼道、车库灭火器、小区室外消火栓消防设施、器材的增补和维护保养工作。通过努力达到稳定、和谐、规范、有序，确保安全，争创省内服务领先水平。</w:t>
      </w:r>
    </w:p>
    <w:p>
      <w:pPr>
        <w:pStyle w:val="4"/>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为避免因消防安全基础设施陈旧影响居民生活安全问题，6个社区的消防、安全设施、器材等，亦由物业公司全面接管，每个社区费用设定为10000元，总计年度费用达60000元/年。</w:t>
      </w:r>
    </w:p>
    <w:p>
      <w:pPr>
        <w:rPr>
          <w:rFonts w:hint="default"/>
          <w:lang w:val="en-US" w:eastAsia="zh-CN"/>
        </w:rPr>
      </w:pPr>
      <w:r>
        <w:rPr>
          <w:rFonts w:hint="eastAsia"/>
          <w:lang w:val="en-US" w:eastAsia="zh-CN"/>
        </w:rPr>
        <w:t xml:space="preserve">   </w:t>
      </w:r>
      <w:r>
        <w:rPr>
          <w:rFonts w:hint="eastAsia" w:ascii="宋体" w:hAnsi="宋体" w:eastAsia="宋体" w:cs="宋体"/>
          <w:color w:val="auto"/>
          <w:sz w:val="24"/>
          <w:highlight w:val="none"/>
          <w:lang w:val="en-US" w:eastAsia="zh-CN"/>
        </w:rPr>
        <w:t xml:space="preserve"> 7.垃圾分类：协助配合好街道、属地社区垃圾分类的相关工作。</w:t>
      </w:r>
    </w:p>
    <w:p>
      <w:pPr>
        <w:snapToGrid w:val="0"/>
        <w:spacing w:line="560" w:lineRule="exact"/>
        <w:ind w:firstLine="480" w:firstLineChars="200"/>
        <w:rPr>
          <w:rFonts w:hint="eastAsia" w:ascii="宋体" w:hAnsi="宋体" w:eastAsia="宋体" w:cs="宋体"/>
          <w:color w:val="auto"/>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其他服务：物业公司在现场应设有服务接待中心，公示24小时服务电话。有完整的报修、维修和回访记录，包括但不限于公共部位、业主的接报修等服务。协助组织开展社区文化和便民服务活动，积极开展老旧小区党建和文化建设，为居民提供丰富多彩的文化生活，提升老旧住宅小区居住幸福感和满意度。</w:t>
      </w:r>
    </w:p>
    <w:p>
      <w:pPr>
        <w:snapToGrid w:val="0"/>
        <w:spacing w:line="560" w:lineRule="exact"/>
        <w:ind w:firstLine="480" w:firstLineChars="200"/>
        <w:jc w:val="left"/>
        <w:rPr>
          <w:rFonts w:hint="default" w:ascii="宋体" w:hAnsi="宋体" w:eastAsia="宋体" w:cs="宋体"/>
          <w:bCs/>
          <w:color w:val="auto"/>
          <w:sz w:val="24"/>
          <w:highlight w:val="none"/>
          <w:shd w:val="clear" w:color="auto" w:fill="FFFFFF"/>
          <w:lang w:val="en-US" w:eastAsia="zh-CN"/>
        </w:rPr>
      </w:pPr>
      <w:r>
        <w:rPr>
          <w:rFonts w:hint="eastAsia" w:ascii="宋体" w:hAnsi="宋体" w:cs="宋体"/>
          <w:bCs/>
          <w:color w:val="auto"/>
          <w:sz w:val="24"/>
          <w:highlight w:val="none"/>
          <w:shd w:val="clear" w:color="auto" w:fill="FFFFFF"/>
          <w:lang w:val="en-US" w:eastAsia="zh-CN"/>
        </w:rPr>
        <w:t>9</w:t>
      </w:r>
      <w:r>
        <w:rPr>
          <w:rFonts w:hint="eastAsia" w:ascii="宋体" w:hAnsi="宋体" w:eastAsia="宋体" w:cs="宋体"/>
          <w:bCs/>
          <w:color w:val="auto"/>
          <w:sz w:val="24"/>
          <w:highlight w:val="none"/>
          <w:shd w:val="clear" w:color="auto" w:fill="FFFFFF"/>
        </w:rPr>
        <w:t>.大件清运：大件清运方面</w:t>
      </w:r>
      <w:r>
        <w:rPr>
          <w:rFonts w:hint="eastAsia" w:ascii="宋体" w:hAnsi="宋体" w:cs="宋体"/>
          <w:bCs/>
          <w:color w:val="auto"/>
          <w:sz w:val="24"/>
          <w:highlight w:val="none"/>
          <w:shd w:val="clear" w:color="auto" w:fill="FFFFFF"/>
          <w:lang w:val="en-US" w:eastAsia="zh-CN"/>
        </w:rPr>
        <w:t>工作</w:t>
      </w:r>
      <w:r>
        <w:rPr>
          <w:rFonts w:hint="eastAsia" w:ascii="宋体" w:hAnsi="宋体" w:eastAsia="宋体" w:cs="宋体"/>
          <w:bCs/>
          <w:color w:val="auto"/>
          <w:sz w:val="24"/>
          <w:highlight w:val="none"/>
          <w:shd w:val="clear" w:color="auto" w:fill="FFFFFF"/>
        </w:rPr>
        <w:t>统一</w:t>
      </w:r>
      <w:r>
        <w:rPr>
          <w:rFonts w:hint="eastAsia" w:ascii="宋体" w:hAnsi="宋体" w:cs="宋体"/>
          <w:bCs/>
          <w:color w:val="auto"/>
          <w:sz w:val="24"/>
          <w:highlight w:val="none"/>
          <w:shd w:val="clear" w:color="auto" w:fill="FFFFFF"/>
          <w:lang w:val="en-US" w:eastAsia="zh-CN"/>
        </w:rPr>
        <w:t>由中标</w:t>
      </w:r>
      <w:r>
        <w:rPr>
          <w:rFonts w:hint="eastAsia" w:ascii="宋体" w:hAnsi="宋体" w:eastAsia="宋体" w:cs="宋体"/>
          <w:bCs/>
          <w:color w:val="auto"/>
          <w:sz w:val="24"/>
          <w:highlight w:val="none"/>
          <w:shd w:val="clear" w:color="auto" w:fill="FFFFFF"/>
        </w:rPr>
        <w:t>物业公司负责清运</w:t>
      </w: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lang w:val="en-US" w:eastAsia="zh-CN"/>
        </w:rPr>
        <w:t>费用由中标物业单位负责。</w:t>
      </w:r>
    </w:p>
    <w:p>
      <w:pPr>
        <w:snapToGrid w:val="0"/>
        <w:spacing w:line="560" w:lineRule="exact"/>
        <w:ind w:firstLine="480" w:firstLineChars="200"/>
        <w:rPr>
          <w:rFonts w:hint="eastAsia" w:ascii="宋体" w:hAnsi="宋体" w:eastAsia="宋体" w:cs="宋体"/>
          <w:bCs/>
          <w:color w:val="auto"/>
          <w:sz w:val="24"/>
          <w:highlight w:val="none"/>
          <w:shd w:val="clear" w:color="auto" w:fill="FFFFFF"/>
          <w:lang w:val="en-US" w:eastAsia="zh-CN"/>
        </w:rPr>
      </w:pPr>
      <w:r>
        <w:rPr>
          <w:rFonts w:hint="eastAsia" w:ascii="宋体" w:hAnsi="宋体" w:eastAsia="宋体" w:cs="宋体"/>
          <w:bCs/>
          <w:color w:val="auto"/>
          <w:sz w:val="24"/>
          <w:highlight w:val="none"/>
          <w:shd w:val="clear" w:color="auto" w:fill="FFFFFF"/>
          <w:lang w:val="en-US" w:eastAsia="zh-CN"/>
        </w:rPr>
        <w:t>1</w:t>
      </w:r>
      <w:r>
        <w:rPr>
          <w:rFonts w:hint="eastAsia" w:ascii="宋体" w:hAnsi="宋体" w:cs="宋体"/>
          <w:bCs/>
          <w:color w:val="auto"/>
          <w:sz w:val="24"/>
          <w:highlight w:val="none"/>
          <w:shd w:val="clear" w:color="auto" w:fill="FFFFFF"/>
          <w:lang w:val="en-US" w:eastAsia="zh-CN"/>
        </w:rPr>
        <w:t>0.</w:t>
      </w:r>
      <w:r>
        <w:rPr>
          <w:rFonts w:hint="eastAsia" w:ascii="宋体" w:hAnsi="宋体" w:eastAsia="宋体" w:cs="宋体"/>
          <w:bCs/>
          <w:color w:val="auto"/>
          <w:sz w:val="24"/>
          <w:highlight w:val="none"/>
          <w:shd w:val="clear" w:color="auto" w:fill="FFFFFF"/>
        </w:rPr>
        <w:t>物业关于</w:t>
      </w:r>
      <w:r>
        <w:rPr>
          <w:rFonts w:hint="eastAsia" w:ascii="宋体" w:hAnsi="宋体" w:cs="宋体"/>
          <w:bCs/>
          <w:color w:val="auto"/>
          <w:sz w:val="24"/>
          <w:highlight w:val="none"/>
          <w:shd w:val="clear" w:color="auto" w:fill="FFFFFF"/>
          <w:lang w:val="en-US" w:eastAsia="zh-CN"/>
        </w:rPr>
        <w:t>小区环境管理</w:t>
      </w:r>
      <w:r>
        <w:rPr>
          <w:rFonts w:hint="eastAsia" w:ascii="宋体" w:hAnsi="宋体" w:eastAsia="宋体" w:cs="宋体"/>
          <w:bCs/>
          <w:color w:val="auto"/>
          <w:sz w:val="24"/>
          <w:highlight w:val="none"/>
          <w:shd w:val="clear" w:color="auto" w:fill="FFFFFF"/>
        </w:rPr>
        <w:t>细则</w:t>
      </w:r>
      <w:r>
        <w:rPr>
          <w:rFonts w:hint="eastAsia" w:ascii="宋体" w:hAnsi="宋体" w:cs="宋体"/>
          <w:bCs/>
          <w:color w:val="auto"/>
          <w:sz w:val="24"/>
          <w:highlight w:val="none"/>
          <w:shd w:val="clear" w:color="auto" w:fill="FFFFFF"/>
          <w:lang w:eastAsia="zh-CN"/>
        </w:rPr>
        <w:t>：</w:t>
      </w:r>
    </w:p>
    <w:p>
      <w:pPr>
        <w:spacing w:before="37"/>
        <w:rPr>
          <w:rFonts w:hint="eastAsia" w:ascii="宋体" w:hAnsi="宋体" w:eastAsia="宋体" w:cs="宋体"/>
          <w:color w:val="auto"/>
          <w:highlight w:val="none"/>
        </w:rPr>
      </w:pPr>
    </w:p>
    <w:tbl>
      <w:tblPr>
        <w:tblStyle w:val="963"/>
        <w:tblW w:w="9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6"/>
        <w:gridCol w:w="28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6386" w:type="dxa"/>
            <w:vAlign w:val="center"/>
          </w:tcPr>
          <w:p>
            <w:pPr>
              <w:pStyle w:val="338"/>
              <w:spacing w:before="143" w:line="225" w:lineRule="auto"/>
              <w:jc w:val="center"/>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检查及考核细则</w:t>
            </w:r>
          </w:p>
        </w:tc>
        <w:tc>
          <w:tcPr>
            <w:tcW w:w="2891" w:type="dxa"/>
            <w:vAlign w:val="center"/>
          </w:tcPr>
          <w:p>
            <w:pPr>
              <w:jc w:val="center"/>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扣除金额（元）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386" w:type="dxa"/>
            <w:vAlign w:val="center"/>
          </w:tcPr>
          <w:p>
            <w:pPr>
              <w:pStyle w:val="338"/>
              <w:keepNext w:val="0"/>
              <w:keepLines w:val="0"/>
              <w:pageBreakBefore w:val="0"/>
              <w:widowControl/>
              <w:kinsoku/>
              <w:wordWrap/>
              <w:overflowPunct/>
              <w:topLinePunct w:val="0"/>
              <w:autoSpaceDE/>
              <w:autoSpaceDN/>
              <w:bidi w:val="0"/>
              <w:adjustRightInd w:val="0"/>
              <w:snapToGrid/>
              <w:spacing w:before="0" w:after="0" w:line="226" w:lineRule="auto"/>
              <w:ind w:left="216" w:leftChars="103" w:firstLine="0" w:firstLineChars="0"/>
              <w:jc w:val="both"/>
              <w:textAlignment w:val="auto"/>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案卷处置超时倍数，问题实际处置时间超过规定处置时间的倍数</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300元/倍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386" w:type="dxa"/>
            <w:vAlign w:val="center"/>
          </w:tcPr>
          <w:p>
            <w:pPr>
              <w:pStyle w:val="338"/>
              <w:spacing w:before="65" w:line="224" w:lineRule="auto"/>
              <w:ind w:right="18" w:firstLine="240" w:firstLineChars="100"/>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推诿件，责任明确但拒绝处置的</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6386" w:type="dxa"/>
            <w:vAlign w:val="center"/>
          </w:tcPr>
          <w:p>
            <w:pPr>
              <w:pStyle w:val="338"/>
              <w:spacing w:before="65" w:line="225" w:lineRule="auto"/>
              <w:ind w:firstLine="240" w:firstLineChars="100"/>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有责差错件，问题处置、反馈不规范，影响问题处置的</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300元/次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386" w:type="dxa"/>
            <w:vAlign w:val="center"/>
          </w:tcPr>
          <w:p>
            <w:pPr>
              <w:pStyle w:val="338"/>
              <w:spacing w:before="159" w:line="242" w:lineRule="auto"/>
              <w:ind w:left="199" w:leftChars="95" w:right="20" w:firstLine="0" w:firstLineChars="0"/>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重复举报数，同一市民举报同一问题 2 次及以上的</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扣100元，每增加一次多扣100元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6386" w:type="dxa"/>
            <w:vAlign w:val="center"/>
          </w:tcPr>
          <w:p>
            <w:pPr>
              <w:pStyle w:val="338"/>
              <w:keepNext w:val="0"/>
              <w:keepLines w:val="0"/>
              <w:pageBreakBefore w:val="0"/>
              <w:widowControl/>
              <w:kinsoku w:val="0"/>
              <w:wordWrap/>
              <w:overflowPunct/>
              <w:topLinePunct w:val="0"/>
              <w:autoSpaceDE w:val="0"/>
              <w:autoSpaceDN w:val="0"/>
              <w:bidi w:val="0"/>
              <w:adjustRightInd w:val="0"/>
              <w:snapToGrid w:val="0"/>
              <w:spacing w:before="65" w:line="238" w:lineRule="auto"/>
              <w:ind w:left="199" w:leftChars="95" w:right="72" w:firstLine="0" w:firstLineChars="0"/>
              <w:jc w:val="both"/>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返工案卷</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200元/个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6386" w:type="dxa"/>
            <w:vAlign w:val="center"/>
          </w:tcPr>
          <w:p>
            <w:pPr>
              <w:pStyle w:val="338"/>
              <w:keepNext w:val="0"/>
              <w:keepLines w:val="0"/>
              <w:pageBreakBefore w:val="0"/>
              <w:widowControl/>
              <w:kinsoku w:val="0"/>
              <w:wordWrap/>
              <w:overflowPunct/>
              <w:topLinePunct w:val="0"/>
              <w:autoSpaceDE w:val="0"/>
              <w:autoSpaceDN w:val="0"/>
              <w:bidi w:val="0"/>
              <w:adjustRightInd w:val="0"/>
              <w:snapToGrid w:val="0"/>
              <w:spacing w:before="65" w:line="238" w:lineRule="auto"/>
              <w:ind w:left="199" w:leftChars="95" w:right="72" w:firstLine="0" w:firstLineChars="0"/>
              <w:jc w:val="both"/>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超缓办数，每条案卷最多可缓办 2 次，按次累计，月度缓办数不超过月度应解决数的 0.1%</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超出扣500元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6386" w:type="dxa"/>
            <w:vAlign w:val="center"/>
          </w:tcPr>
          <w:p>
            <w:pPr>
              <w:pStyle w:val="338"/>
              <w:keepNext w:val="0"/>
              <w:keepLines w:val="0"/>
              <w:pageBreakBefore w:val="0"/>
              <w:widowControl/>
              <w:kinsoku w:val="0"/>
              <w:wordWrap/>
              <w:overflowPunct/>
              <w:topLinePunct w:val="0"/>
              <w:autoSpaceDE w:val="0"/>
              <w:autoSpaceDN w:val="0"/>
              <w:bidi w:val="0"/>
              <w:adjustRightInd w:val="0"/>
              <w:snapToGrid w:val="0"/>
              <w:spacing w:before="65" w:line="238" w:lineRule="auto"/>
              <w:ind w:left="199" w:leftChars="95" w:right="72" w:firstLine="0" w:firstLineChars="0"/>
              <w:jc w:val="both"/>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反复发生件，被市数字城管判定为两同案卷的</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500元/个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386" w:type="dxa"/>
            <w:vAlign w:val="center"/>
          </w:tcPr>
          <w:p>
            <w:pPr>
              <w:pStyle w:val="338"/>
              <w:keepNext w:val="0"/>
              <w:keepLines w:val="0"/>
              <w:pageBreakBefore w:val="0"/>
              <w:widowControl/>
              <w:kinsoku w:val="0"/>
              <w:wordWrap/>
              <w:overflowPunct/>
              <w:topLinePunct w:val="0"/>
              <w:autoSpaceDE w:val="0"/>
              <w:autoSpaceDN w:val="0"/>
              <w:bidi w:val="0"/>
              <w:adjustRightInd w:val="0"/>
              <w:snapToGrid w:val="0"/>
              <w:spacing w:before="65" w:line="238" w:lineRule="auto"/>
              <w:ind w:left="199" w:leftChars="95" w:right="72" w:firstLine="0" w:firstLineChars="0"/>
              <w:jc w:val="both"/>
              <w:textAlignment w:val="baseline"/>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建筑垃圾(装潢垃圾)散落未袋装</w:t>
            </w:r>
          </w:p>
        </w:tc>
        <w:tc>
          <w:tcPr>
            <w:tcW w:w="2891" w:type="dxa"/>
            <w:vAlign w:val="center"/>
          </w:tcPr>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 1m³ , 150元/处</w:t>
            </w:r>
          </w:p>
          <w:p>
            <w:pPr>
              <w:pStyle w:val="338"/>
              <w:spacing w:before="65" w:line="225" w:lineRule="auto"/>
              <w:ind w:left="118"/>
              <w:jc w:val="both"/>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 1m³ , 200元/处</w:t>
            </w:r>
          </w:p>
        </w:tc>
      </w:tr>
    </w:tbl>
    <w:p>
      <w:pPr>
        <w:pStyle w:val="6"/>
        <w:numPr>
          <w:ilvl w:val="0"/>
          <w:numId w:val="0"/>
        </w:numPr>
        <w:rPr>
          <w:rFonts w:hint="eastAsia" w:ascii="宋体" w:hAnsi="宋体" w:eastAsia="宋体" w:cs="宋体"/>
          <w:bCs/>
          <w:snapToGrid/>
          <w:color w:val="auto"/>
          <w:kern w:val="2"/>
          <w:sz w:val="24"/>
          <w:szCs w:val="24"/>
          <w:highlight w:val="none"/>
          <w:shd w:val="clear" w:color="auto" w:fill="FFFFFF"/>
          <w:lang w:val="en-US" w:eastAsia="zh-CN" w:bidi="ar-SA"/>
        </w:rPr>
      </w:pPr>
    </w:p>
    <w:p>
      <w:pPr>
        <w:pStyle w:val="6"/>
        <w:numPr>
          <w:ilvl w:val="0"/>
          <w:numId w:val="0"/>
        </w:numPr>
        <w:ind w:leftChars="100" w:firstLine="240" w:firstLineChars="100"/>
        <w:rPr>
          <w:rFonts w:hint="eastAsia" w:ascii="宋体" w:hAnsi="宋体" w:eastAsia="宋体" w:cs="宋体"/>
          <w:bCs/>
          <w:snapToGrid/>
          <w:color w:val="auto"/>
          <w:kern w:val="2"/>
          <w:sz w:val="24"/>
          <w:szCs w:val="24"/>
          <w:highlight w:val="none"/>
          <w:shd w:val="clear" w:color="auto" w:fill="FFFFFF"/>
          <w:lang w:val="en-US" w:eastAsia="zh-CN" w:bidi="ar-SA"/>
        </w:rPr>
      </w:pPr>
      <w:r>
        <w:rPr>
          <w:rFonts w:hint="eastAsia" w:ascii="宋体" w:hAnsi="宋体" w:eastAsia="宋体" w:cs="宋体"/>
          <w:bCs/>
          <w:snapToGrid/>
          <w:color w:val="auto"/>
          <w:kern w:val="2"/>
          <w:sz w:val="24"/>
          <w:szCs w:val="24"/>
          <w:highlight w:val="none"/>
          <w:shd w:val="clear" w:color="auto" w:fill="FFFFFF"/>
          <w:lang w:val="en-US" w:eastAsia="zh-CN" w:bidi="ar-SA"/>
        </w:rPr>
        <w:t>11.小营街道“红管家”准物业管理工作考核标准：</w:t>
      </w:r>
    </w:p>
    <w:tbl>
      <w:tblPr>
        <w:tblStyle w:val="63"/>
        <w:tblW w:w="8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4995"/>
        <w:gridCol w:w="2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检查及考核细则</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扣款金额（元）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组织保障及制度建设</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是否设置专门的管理岗位。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400/人/考核周期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r>
              <w:rPr>
                <w:rFonts w:hint="default" w:ascii="宋体" w:hAnsi="宋体" w:eastAsia="宋体" w:cs="宋体"/>
                <w:i w:val="0"/>
                <w:iCs w:val="0"/>
                <w:color w:val="000000"/>
                <w:kern w:val="0"/>
                <w:sz w:val="24"/>
                <w:szCs w:val="24"/>
                <w:u w:val="none"/>
                <w:lang w:eastAsia="zh-CN" w:bidi="ar"/>
              </w:rPr>
              <w:t>按合同足额</w:t>
            </w:r>
            <w:r>
              <w:rPr>
                <w:rFonts w:hint="eastAsia" w:ascii="宋体" w:hAnsi="宋体" w:eastAsia="宋体" w:cs="宋体"/>
                <w:i w:val="0"/>
                <w:iCs w:val="0"/>
                <w:color w:val="000000"/>
                <w:kern w:val="0"/>
                <w:sz w:val="24"/>
                <w:szCs w:val="24"/>
                <w:u w:val="none"/>
                <w:lang w:val="en-US" w:eastAsia="zh-CN" w:bidi="ar"/>
              </w:rPr>
              <w:t>配备符合要求的作业人员。</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100/人/考核周期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是否建立住户档案、工作台账。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是否有保洁、保绿、保安、绿化养护、停车、维修等管理制度。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是否制定火灾、治安、公共卫生等突发事件的应急预案。</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是否在辖区范围内公示服务区域、服务电话、服务内容、收费标准。</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规范服务</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工作人员项目经理、客服、保安、保洁上岗时是否穿着相对应工作服。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50/人/考核周期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工作人员是否遵守安全操作规范实施作业。</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是否存在脱岗、无专人值班行为。</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是否存在无值班记录行为。</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工作人员在工作中是否按照行为标准使用礼貌用语，服务态度良好，是否存在不文明的言行。</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公共保洁</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是否按照合同要求时段进行全面清扫干净，及动态巡回保洁。</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w:t>
            </w:r>
            <w:r>
              <w:rPr>
                <w:rStyle w:val="964"/>
                <w:lang w:val="en-US" w:eastAsia="zh-CN" w:bidi="ar"/>
              </w:rPr>
              <w:t>地下车库、平改坡阁楼和顶部的公共公共区域按时保洁；垃圾箱周围等公共场所及时清扫并保持干净，路面无杂草、废土；楼道清扫、打尘、扶手按时清扫擦洗。</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是否有楼道堆积物0.5平方米/处。</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w:t>
            </w:r>
            <w:r>
              <w:rPr>
                <w:rStyle w:val="964"/>
                <w:lang w:val="en-US" w:eastAsia="zh-CN" w:bidi="ar"/>
              </w:rPr>
              <w:t>街巷沿线、楼道门及楼道内“牛皮癣”“蜘蛛网”及时清理及擦洗。</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是否做到街巷两侧目测范围内（人行道外边沿5米内）废土及时发现并及时清除（量比较大时，是否及时上报，经核实量后及时作业）。</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是否做到片区清扫保洁产生的垃圾按照垃圾减量要求分类入桶，不扫入市区主次街道。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w:t>
            </w:r>
            <w:r>
              <w:rPr>
                <w:rStyle w:val="964"/>
                <w:lang w:val="en-US" w:eastAsia="zh-CN" w:bidi="ar"/>
              </w:rPr>
              <w:t>辖区内大件垃圾及时清运。</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64"/>
                <w:rFonts w:hint="eastAsia"/>
                <w:lang w:val="en-US" w:eastAsia="zh-CN" w:bidi="ar"/>
              </w:rPr>
              <w:t>是否做到对于辖区内居民新装修进行登记（在居民发生投诉前已经登记、并对产生的垃圾进行监管。）</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绿化养护</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养护是否根据有关公共绿地养护保洁的规范。</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绿化带内是否存在泥土裸露现象；能否在三天内完成泥土裸露的绿化补种，植株缺损在二天内补种。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是否出现香樟等乔木未及时抹芽、疏枝，黄化。</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绿化苗木是否有明显病虫危害。</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50/株或50/㎡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发现枯枝、死枝能否在24小时内处理完毕。</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是否做到每天清除绿地内杂草、石块及垃圾，确保绿地内常年清洁，绿化带内无杂草。</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是否存在绿地被破坏，占绿、毁绿种菜现象。</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修枝后产生的大、小枝条能否及时清运。</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停车管理</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是否做到停车范围内的管理和公共配套设施的维护、养护。</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辖区内消防通道是否畅通。</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是否做到日常巡查、对不文明行为如违停等进行劝阻、纠正。</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50/辆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对“飞线”充电等行为落实“发现、劝阻、制止、报告”义务,并留有工作记录表；做好电动自行车充停场所日常巡查工作，对存在故障或安全隐患的充电设施及时报修。</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Times New Roman" w:hAnsi="Times New Roman" w:eastAsia="宋体" w:cs="Times New Roman"/>
                <w:i w:val="0"/>
                <w:iCs w:val="0"/>
                <w:color w:val="auto"/>
                <w:sz w:val="21"/>
                <w:szCs w:val="21"/>
                <w:u w:val="none"/>
                <w:lang w:val="en-US" w:eastAsia="zh-CN"/>
              </w:rPr>
              <w:t>无记录：</w:t>
            </w:r>
            <w:r>
              <w:rPr>
                <w:rFonts w:hint="eastAsia" w:ascii="宋体" w:hAnsi="宋体" w:eastAsia="宋体" w:cs="宋体"/>
                <w:i w:val="0"/>
                <w:iCs w:val="0"/>
                <w:color w:val="auto"/>
                <w:kern w:val="0"/>
                <w:sz w:val="24"/>
                <w:szCs w:val="24"/>
                <w:u w:val="none"/>
                <w:lang w:val="en-US" w:eastAsia="zh-CN" w:bidi="ar"/>
              </w:rPr>
              <w:t>50/次</w:t>
            </w:r>
          </w:p>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未及时报修：50元/次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设备维修维护</w:t>
            </w: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消防设施设备是否完好，是否定期维保检修。</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是否在24小时内修复楼道灯。</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是否存在视频监控设施损坏</w:t>
            </w:r>
            <w:r>
              <w:rPr>
                <w:rFonts w:hint="eastAsia" w:ascii="宋体" w:hAnsi="宋体" w:eastAsia="宋体" w:cs="宋体"/>
                <w:i w:val="0"/>
                <w:iCs w:val="0"/>
                <w:color w:val="auto"/>
                <w:kern w:val="0"/>
                <w:sz w:val="24"/>
                <w:szCs w:val="24"/>
                <w:u w:val="none"/>
                <w:lang w:val="en-US" w:eastAsia="zh-CN" w:bidi="ar"/>
              </w:rPr>
              <w:t>现象（被绿化遮挡、损坏黑屏超过24小时未报修）。</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有偿维修是否对提出需求的业主说明维修范围、价格及维修时间。 社区居民向乙方电话或口头报修，是否以记录、约定维修时间，并填写“维修单”。</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配合工作</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遇有重大活动或抗台、抗雪等突发事件，无条件及时组织力量是否做好配合如清扫保洁、应急保障工作等。</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群众信访、投诉处理件的处理、整改和回复工作。</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好在特殊时期的工作，比如夏季登革热、防涝等爱国卫生工作及文明城市复评、冬季水表（管）及地面的抗雪防冻、拆除违章建筑、大型活动场地布置、应急事件处置（比如居民发生房屋渗漏、公共管道的堵塞的应急处置等）等工作。</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被新闻媒体曝光经核查属实。</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加分项</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主流媒体正面报道。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各级检查始终排在前列。</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PS：奖励金额可抵扣扣款金额</w:t>
            </w:r>
          </w:p>
        </w:tc>
      </w:tr>
    </w:tbl>
    <w:p>
      <w:pPr>
        <w:numPr>
          <w:ilvl w:val="0"/>
          <w:numId w:val="0"/>
        </w:numPr>
        <w:rPr>
          <w:rFonts w:hint="eastAsia"/>
          <w:lang w:val="en-US" w:eastAsia="zh-CN"/>
        </w:rPr>
      </w:pPr>
    </w:p>
    <w:p>
      <w:pPr>
        <w:pStyle w:val="6"/>
        <w:ind w:left="0" w:leftChars="0" w:firstLine="720" w:firstLineChars="300"/>
        <w:rPr>
          <w:rFonts w:hint="eastAsia" w:ascii="宋体" w:hAnsi="宋体" w:eastAsia="宋体" w:cs="宋体"/>
          <w:bCs/>
          <w:snapToGrid/>
          <w:color w:val="auto"/>
          <w:kern w:val="2"/>
          <w:sz w:val="24"/>
          <w:szCs w:val="24"/>
          <w:highlight w:val="none"/>
          <w:shd w:val="clear" w:color="auto" w:fill="FFFFFF"/>
          <w:lang w:val="en-US" w:eastAsia="zh-CN" w:bidi="ar-SA"/>
        </w:rPr>
      </w:pPr>
      <w:r>
        <w:rPr>
          <w:rFonts w:hint="eastAsia" w:hAnsi="宋体" w:cs="宋体"/>
          <w:bCs/>
          <w:snapToGrid/>
          <w:color w:val="auto"/>
          <w:kern w:val="2"/>
          <w:sz w:val="24"/>
          <w:szCs w:val="24"/>
          <w:highlight w:val="none"/>
          <w:shd w:val="clear" w:color="auto" w:fill="FFFFFF"/>
          <w:lang w:val="en-US" w:eastAsia="zh-CN" w:bidi="ar-SA"/>
        </w:rPr>
        <w:t>12.</w:t>
      </w:r>
      <w:r>
        <w:rPr>
          <w:rFonts w:hint="eastAsia" w:ascii="宋体" w:hAnsi="宋体" w:eastAsia="宋体" w:cs="宋体"/>
          <w:bCs/>
          <w:snapToGrid/>
          <w:color w:val="auto"/>
          <w:kern w:val="2"/>
          <w:sz w:val="24"/>
          <w:szCs w:val="24"/>
          <w:highlight w:val="none"/>
          <w:shd w:val="clear" w:color="auto" w:fill="FFFFFF"/>
          <w:lang w:val="en-US" w:eastAsia="zh-CN" w:bidi="ar-SA"/>
        </w:rPr>
        <w:t>其它投诉考核：12345信访投诉1次扣200元；上级部门转发信访投诉、多次重复信访投诉扣500元。</w:t>
      </w:r>
    </w:p>
    <w:p>
      <w:pPr>
        <w:pStyle w:val="256"/>
        <w:snapToGrid w:val="0"/>
        <w:spacing w:line="560" w:lineRule="exact"/>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（二）街巷保洁作业内容</w:t>
      </w:r>
    </w:p>
    <w:p>
      <w:pPr>
        <w:snapToGrid w:val="0"/>
        <w:spacing w:line="560" w:lineRule="exact"/>
        <w:ind w:firstLine="480" w:firstLineChars="200"/>
        <w:rPr>
          <w:rFonts w:hint="eastAsia" w:ascii="仿宋_GB2312" w:hAnsi="仿宋_GB2312" w:eastAsia="仿宋_GB2312" w:cs="仿宋_GB2312"/>
          <w:color w:val="00B050"/>
          <w:sz w:val="24"/>
          <w:highlight w:val="none"/>
        </w:rPr>
      </w:pPr>
      <w:r>
        <w:rPr>
          <w:rFonts w:hint="eastAsia" w:ascii="宋体" w:hAnsi="宋体" w:eastAsia="宋体" w:cs="宋体"/>
          <w:color w:val="000000" w:themeColor="text1"/>
          <w:sz w:val="24"/>
          <w:highlight w:val="none"/>
          <w14:textFill>
            <w14:solidFill>
              <w14:schemeClr w14:val="tx1"/>
            </w14:solidFill>
          </w14:textFill>
        </w:rPr>
        <w:t>1、街巷保洁按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DB3301/T0475—2024</w:t>
      </w:r>
      <w:r>
        <w:rPr>
          <w:rFonts w:hint="eastAsia" w:ascii="宋体" w:hAnsi="宋体" w:eastAsia="宋体" w:cs="宋体"/>
          <w:color w:val="000000" w:themeColor="text1"/>
          <w:sz w:val="24"/>
          <w:highlight w:val="none"/>
          <w:lang w:val="zh-CN"/>
          <w14:textFill>
            <w14:solidFill>
              <w14:schemeClr w14:val="tx1"/>
            </w14:solidFill>
          </w14:textFill>
        </w:rPr>
        <w:t>城市道路清扫保洁作业规范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zh-CN"/>
          <w14:textFill>
            <w14:solidFill>
              <w14:schemeClr w14:val="tx1"/>
            </w14:solidFill>
          </w14:textFill>
        </w:rPr>
        <w:t>、《关于发布2021年版杭州市道路保洁经费定额的通知》（杭城管局﹝2021﹞138号）、</w:t>
      </w:r>
      <w:r>
        <w:rPr>
          <w:rFonts w:hint="eastAsia" w:ascii="宋体" w:hAnsi="宋体" w:eastAsia="宋体" w:cs="宋体"/>
          <w:color w:val="000000" w:themeColor="text1"/>
          <w:sz w:val="24"/>
          <w:highlight w:val="none"/>
          <w14:textFill>
            <w14:solidFill>
              <w14:schemeClr w14:val="tx1"/>
            </w14:solidFill>
          </w14:textFill>
        </w:rPr>
        <w:t>《关于统一杭州市环卫机械作业车辆外观的工作通知》、</w:t>
      </w:r>
      <w:r>
        <w:rPr>
          <w:rFonts w:hint="eastAsia" w:ascii="宋体" w:hAnsi="宋体" w:eastAsia="宋体" w:cs="宋体"/>
          <w:color w:val="000000" w:themeColor="text1"/>
          <w:sz w:val="24"/>
          <w:highlight w:val="none"/>
          <w:lang w:val="zh-CN"/>
          <w14:textFill>
            <w14:solidFill>
              <w14:schemeClr w14:val="tx1"/>
            </w14:solidFill>
          </w14:textFill>
        </w:rPr>
        <w:t>《关于印发杭州市城管行业服装统一标识规范的通知》（杭城管委﹝2018﹞16号）</w:t>
      </w:r>
      <w:r>
        <w:rPr>
          <w:rFonts w:hint="eastAsia" w:ascii="宋体" w:hAnsi="宋体" w:eastAsia="宋体" w:cs="宋体"/>
          <w:color w:val="000000" w:themeColor="text1"/>
          <w:sz w:val="24"/>
          <w:highlight w:val="none"/>
          <w14:textFill>
            <w14:solidFill>
              <w14:schemeClr w14:val="tx1"/>
            </w14:solidFill>
          </w14:textFill>
        </w:rPr>
        <w:t>执行。</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2、街巷清扫、保洁（含机扫、洒水、洁面工程）必须作业到两边建筑物基石（机扫、洒水到道路侧石），道路岔道、喇叭口清扫向外延伸15米。</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沿街街巷两侧店家生活垃圾（包括垃圾桶）必须做到不少于一日二次上门处置，并做到即满即清，同时保持街巷垃圾收集容器的完好和整洁，果壳箱无破损、歪斜、油漆剥落现象，箱门要关闭，垃圾桶不破损、盖好盖，垃圾房门关闭不敞开不破损、不生锈，周围无污水，做到一日二清二擦洗，无垃圾满溢、积存垃圾现象，外观无残标，对不能自主修复的果壳箱应及时上报管理部门。</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4、街巷两侧乱涂写清理及交通隔离墩擦洗，无生活污水。</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5、车行道、人行道、绿化带、花坛、天井、空地、垃圾箱周围等公共场所要及时清扫并保持干净，做到无杂物、无垃圾。</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6、路面无垃圾，无杂物，无积泥，晴天无积水。雨水井畅通干净，树圈无垃圾。</w:t>
      </w:r>
    </w:p>
    <w:p>
      <w:pPr>
        <w:snapToGrid w:val="0"/>
        <w:spacing w:line="56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7、建筑工地出入口保持清洁。</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、街巷两侧范围渣土、大件垃圾、建筑垃圾等应及时发现并提供专业清运车辆及时清理、清运及处理（量较大时，应及时上报，经核实量后及时作业）。</w:t>
      </w:r>
    </w:p>
    <w:p>
      <w:pPr>
        <w:snapToGrid w:val="0"/>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9、片区清扫保洁产生的垃圾就近倾倒，不准扫入市区主次道路。</w:t>
      </w:r>
    </w:p>
    <w:p>
      <w:pPr>
        <w:snapToGrid w:val="0"/>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10、道路沿线交通隔离墩路及灯杆、交通信号灯杆（2.2米以下部分）擦洗。</w:t>
      </w:r>
    </w:p>
    <w:p>
      <w:pPr>
        <w:snapToGrid w:val="0"/>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11、及时制止偷倒乱倒垃圾行为，及时清除无主垃圾和废土。</w:t>
      </w:r>
    </w:p>
    <w:p>
      <w:pPr>
        <w:snapToGrid w:val="0"/>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12、遇有重大活动或抗台、抗雪等突发事件，必须无条件及时组织力量做好清扫保洁等保障工作，服从甲方的统一指挥。</w:t>
      </w:r>
    </w:p>
    <w:p>
      <w:pPr>
        <w:snapToGrid w:val="0"/>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13、负责做好本合同标段作业范围内的长效管理抄告单、“数字城管”和群众信访、投诉处理件的处理、整改和回复工作。</w:t>
      </w:r>
    </w:p>
    <w:p>
      <w:pPr>
        <w:snapToGrid w:val="0"/>
        <w:spacing w:line="560" w:lineRule="exact"/>
        <w:ind w:firstLine="480" w:firstLineChars="200"/>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质量</w:t>
      </w:r>
      <w:r>
        <w:rPr>
          <w:rFonts w:hint="eastAsia" w:ascii="宋体" w:hAnsi="宋体" w:eastAsia="宋体" w:cs="宋体"/>
          <w:b/>
          <w:bCs/>
          <w:color w:val="auto"/>
          <w:sz w:val="24"/>
          <w:highlight w:val="none"/>
          <w:lang w:val="zh-CN"/>
        </w:rPr>
        <w:t>标准</w:t>
      </w:r>
    </w:p>
    <w:p>
      <w:pPr>
        <w:snapToGrid w:val="0"/>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街巷保洁按《DB3301/T0475—2024城市道路清扫保洁作业规范》、《关于发布2021年版杭州市道路保洁经费定额的通知》（杭城管局﹝2021﹞138号）、《浙江省关于进一步改善环卫工人工作生活条件促进环卫事业持续健康发展的若干意见》（浙政办发〔2009〕190号）、《杭州市人民政府办公厅关于进一步解决环卫工人实际困难保障其合法权益的意见》（杭政办〔2008〕14号）、《浙江省人民政府关于调整全省最低工资标准的通知》（浙政办发〔2024〕3号）、《杭州市人民政府关于调整市区最低工资标准的通知》（杭政函〔2024〕37号）、《关于印发《杭州市环卫作业人员着装与作业行为规范》及《杭州市环卫作业车辆标识与作业管理规范》的通知》（杭城管委〔2016〕130号）、《关于印发杭州市城管行业服装统一标识规范的通知》（杭城管委〔2018〕16号）、《关于统一杭州市环卫机械作业车辆外观的工作通知》执行。</w:t>
      </w:r>
      <w:r>
        <w:rPr>
          <w:rFonts w:hint="eastAsia" w:ascii="宋体" w:hAnsi="宋体" w:cs="宋体"/>
          <w:color w:val="auto"/>
          <w:sz w:val="24"/>
          <w:highlight w:val="none"/>
          <w:lang w:val="en-US" w:eastAsia="zh-CN"/>
        </w:rPr>
        <w:t>若有新的工资标准调整，按最新的标准实施。</w:t>
      </w:r>
    </w:p>
    <w:p>
      <w:pPr>
        <w:pStyle w:val="129"/>
        <w:snapToGrid w:val="0"/>
        <w:spacing w:before="0" w:line="560" w:lineRule="exact"/>
        <w:ind w:left="0" w:leftChars="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2、道路清扫采用机扫与人工相结合方式。道路清扫、洒水、机扫等要求按要求执行。</w:t>
      </w:r>
    </w:p>
    <w:p>
      <w:pPr>
        <w:pStyle w:val="129"/>
        <w:snapToGrid w:val="0"/>
        <w:spacing w:before="0" w:line="560" w:lineRule="exact"/>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3、具体要求如下：</w:t>
      </w:r>
    </w:p>
    <w:tbl>
      <w:tblPr>
        <w:tblStyle w:val="64"/>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adjustRightInd/>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清扫保洁等级</w:t>
            </w:r>
          </w:p>
        </w:tc>
        <w:tc>
          <w:tcPr>
            <w:tcW w:w="8251" w:type="dxa"/>
            <w:vAlign w:val="center"/>
          </w:tcPr>
          <w:p>
            <w:pPr>
              <w:adjustRightInd/>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保洁要求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adjustRightIn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一类街巷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二类街巷</w:t>
            </w:r>
          </w:p>
        </w:tc>
        <w:tc>
          <w:tcPr>
            <w:tcW w:w="82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1.保洁时长：14小时（5:00—19:00）。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2.洒水要求：机动车道日常洒水 3次/日，夏季4次/日。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3.机械化清洗：（1）道路结构分明的主次干道、城市支路（不含街巷及机非混行道路），高压冲洗1次/日；（2）宜配备护栏清洗 车，1次/10日。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4.普扫作业 ：（1）对区域内实施2次/日（早午）普扫作业；（2）除必要的应急保障、突发事件处置等 特殊工作需要外，原则上下班交通高峰时 段不应进行洒水、清扫等机械化作业；（3）机动车道宜采用洗扫吸三合一或机扫 车作业，每次普扫要求最外侧和最内侧车道，单向两边侧石、隔离栏底部全覆盖；（4）非机动车道及人行道日常清扫可采用 吹风机搭配小型道路清扫车进行机械化普 扫；每次普扫要求路面全覆盖；（5）街巷宜采用人工或人工结合小型机扫 车进行普扫，每次普扫要求路面全覆盖。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5.人工巡回保洁：在保洁时间段内 （5:00～19:00），除去普扫时间，其他时间段 不间断进行巡回保洁。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6.城市家具：全覆盖擦洗（频率）1次/周。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7.绿化带捡拾（频率）：（1）机非隔离、人行道内绿化带，落实每日巡回保洁 和清扫期间集中清理；（2）机动车道内 绿化带，每三天一次对机动车道内 绿化带进行集中清理。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8.非法涂写招贴清除：每日。</w:t>
            </w:r>
          </w:p>
        </w:tc>
      </w:tr>
    </w:tbl>
    <w:p>
      <w:pPr>
        <w:pStyle w:val="129"/>
        <w:snapToGrid w:val="0"/>
        <w:spacing w:before="0"/>
        <w:ind w:left="480" w:firstLine="0" w:firstLineChars="0"/>
        <w:rPr>
          <w:rFonts w:hint="eastAsia" w:ascii="宋体" w:hAnsi="宋体" w:eastAsia="宋体" w:cs="宋体"/>
          <w:color w:val="auto"/>
          <w:szCs w:val="24"/>
          <w:highlight w:val="none"/>
        </w:rPr>
      </w:pPr>
    </w:p>
    <w:p>
      <w:pPr>
        <w:pStyle w:val="129"/>
        <w:snapToGrid w:val="0"/>
        <w:spacing w:before="0"/>
        <w:ind w:left="480"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4、道路垃圾不得反扫、漏扫，垃圾不得扫入窨井、绿地等。</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5、清扫专用车整洁无破损、满溢，车厢无吊挂杂物现象，应密闭运输，不得停放在消防栓、公交车站旁、不得压盲道，停放离人行道侧石不超过20厘米，作业完毕后将工具清理干净，停放在规定地点。</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保洁质量应达到路面、人行道“五无”、“五净”。即“五无”：道路无垃圾、无杂物、无积泥、无积水、无污迹；“五净”：路面干净、绿地和树圈干净，边角侧石干净，雨水井沟眼畅通干净、果壳箱等环卫设施及交通隔离栏（墩）、路灯杆和交通信号杆（2.2米以下部分）干净。</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7、清扫垃圾采用专门车辆现场收集，不得焚烧垃圾、树叶，树枝落叶旺季及时清扫干净。</w:t>
      </w:r>
    </w:p>
    <w:p>
      <w:pPr>
        <w:pStyle w:val="129"/>
        <w:snapToGrid w:val="0"/>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管理要求</w:t>
      </w:r>
    </w:p>
    <w:p>
      <w:pPr>
        <w:pStyle w:val="129"/>
        <w:snapToGrid w:val="0"/>
        <w:spacing w:before="0"/>
        <w:ind w:firstLine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街巷保洁按《DB3301/T0475—2024城市道路清扫保洁作业规范》、《关于发布2021年版杭州市道路保洁经费定额的通知》（杭城管局﹝2021﹞138号）、《浙江省关于进一步改善环卫工人工作生活条件促进环卫事业持续健康发展的若干意见》（浙政办发〔2009〕190号）、《杭州市人民政府办公厅关于进一步解决环卫工人实际困难保障其合法权益的意见》（杭政办〔2008〕14号）、《浙江省人民政府关于调整全省最低工资标准的通知》（浙政办发〔2024〕3号）、《杭州市人民政府关于调整市区最低工资标准的通知》（杭政函〔2024〕37号）、《关于印发《杭州市环卫作业人员着装与作业行为规范》及《杭州市环卫作业车辆标识与作业管理规范》的通知》（杭城管委〔2016〕130号）、《关于印发杭州市城管行业服装统一标识规范的通知》（杭城管委〔2018〕16号）、《关于统一杭州市环卫机械作业车辆外观的工作通知》执行</w:t>
      </w:r>
      <w:r>
        <w:rPr>
          <w:rFonts w:hint="eastAsia" w:ascii="宋体" w:hAnsi="宋体" w:cs="宋体"/>
          <w:color w:val="auto"/>
          <w:szCs w:val="24"/>
          <w:highlight w:val="none"/>
          <w:lang w:eastAsia="zh-CN"/>
        </w:rPr>
        <w:t>；</w:t>
      </w:r>
      <w:r>
        <w:rPr>
          <w:rFonts w:hint="eastAsia" w:ascii="宋体" w:hAnsi="宋体" w:cs="宋体"/>
          <w:color w:val="auto"/>
          <w:sz w:val="24"/>
          <w:highlight w:val="none"/>
          <w:lang w:val="en-US" w:eastAsia="zh-CN"/>
        </w:rPr>
        <w:t>若有新的工资标准调整，按最新的标准实施。</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2、作业单位应加强作业质量管理，做好作业质量自查记录，作业交接班必须在作业现场进行。</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3、规范管理，文明作业，自觉接受合同甲方及上级各部门领导的检查和社会监督，对出现的问题要及时整改。</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4、作业时应严格遵守劳动纪律，遵守安全操作规程，确保安全，发生各种意外事故由中标单位自行依照法律法规妥善处理。</w:t>
      </w:r>
    </w:p>
    <w:p>
      <w:pPr>
        <w:pStyle w:val="129"/>
        <w:snapToGrid w:val="0"/>
        <w:spacing w:before="0"/>
        <w:ind w:left="480"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5、中标单位不得向沿街单位和个人收取任何费用。</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6、保持果壳箱的整洁完好，合同期间由于作业操作不善，造成破损的，由中标单位负责赔偿；因其它原因破损要调换的及时报告。</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7、清扫保洁员上岗须统一着装，佩戴上岗证、穿反光服和戴反光帽，对发现的问题要及时整改。</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8、作业时作业车辆应停放适当地点，不影响行人和交通，收工后存放在甲方指定的停车场所进行集中管理，收工后作业工具不得放置在在绿化带等位置，放置地点由中标方自行负责。</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9、遇到乱丢、乱扔、渣土抛洒污染路面等不文明行为及时进行劝阻，并进行市容环卫法规的宣传教育，做到说话文明，以理服人，对不听劝阻造成不良影响的，应及时向合同甲方或有关部门报告。</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10、每月25-26日中标单位向合同甲方提交本月工作情况自查表、有关情况书面报告和下月作业安排计划。</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按照以人为本原则关心职工，严格遵守《中华人民共和国劳动法》《中华人民共和国劳动合同法》等劳动法规，保障职工合法权益。认真贯彻《住房城乡建设部等4部门关于建立城市环卫工人工资专用账户制度的通知》（建城〔2025〕39号）、《省建设厅关于印发&lt;“整治拖欠环卫工人工资问题”具体实事工作方案&gt;的通知》（浙建城管发〔2025〕35 号）、《杭州市城市环卫工人工资专用账户管理实施细则（试行）》、《浙江省人民政府办公厅关于进一步改善环卫工人工作生活条件促进环卫事业持续健康发展的若干意见》（浙政办发〔2009〕190号）和《杭州市人民政府办公厅关于进一步解决环卫工人实际困难保障其合法权益的意见》（杭政办〔2008〕14号）文件精神，保洁人员工资不得低于《浙江省人民政府关于调整全省最低工资标准的通知》（浙政发〔2024〕3号）、《杭州市人民政府关于调整市区最低工资标准的通知》（杭政函〔2024〕37号），项目保洁人员工资不得低于最低工资标准的110%和定额内人员相关工资要求，日常加班工资按劳动法相关要求另行计算。必须为本项目人员缴纳五险（养老保险、医疗保险、失业保险、工伤保险和生育保险、意外伤害险）、住房公积金及杭政办〔2008〕14号和浙政办发〔2009〕190号文件规定的其它经费，须在缴纳“五险一金”，保障职工休息休假权利，加班必须足额支付加班费，环卫职工的工资、岗位津贴、加班工资等必须确保按月发放。</w:t>
      </w:r>
      <w:r>
        <w:rPr>
          <w:rFonts w:hint="eastAsia" w:ascii="宋体" w:hAnsi="宋体" w:eastAsia="宋体" w:cs="宋体"/>
          <w:color w:val="auto"/>
          <w:szCs w:val="24"/>
          <w:highlight w:val="none"/>
          <w:lang w:val="en-US" w:eastAsia="zh-CN"/>
        </w:rPr>
        <w:t>若有最新工资的标准调整，按最新的标准实施。</w:t>
      </w:r>
      <w:r>
        <w:rPr>
          <w:rFonts w:hint="default" w:ascii="宋体" w:hAnsi="宋体" w:cs="宋体"/>
          <w:color w:val="000000"/>
          <w:szCs w:val="24"/>
          <w:highlight w:val="none"/>
          <w:lang w:eastAsia="zh-CN"/>
        </w:rPr>
        <w:t>根据杭综法[2026]8号，环卫企业应设立环卫工人工资专用账户，签订资金管理三方协议，专户专款专用，不得提取现金或转移，具体按照相关文件执行，切实维护环卫工人劳动报酬权益。</w:t>
      </w:r>
      <w:r>
        <w:rPr>
          <w:rFonts w:hint="eastAsia" w:ascii="宋体" w:hAnsi="宋体" w:eastAsia="宋体" w:cs="宋体"/>
          <w:color w:val="auto"/>
          <w:szCs w:val="24"/>
          <w:highlight w:val="none"/>
        </w:rPr>
        <w:t>如因违法、违规造成上访或群体性事件的，由中标单位负责处理，并作警告处理。发生意外事件的，需在2小时内通知甲方。</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12、环卫职工的工资、岗位津贴、加班工资等必须确保按月发放。</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13、作业单位不得使用消防栓取水用于环卫作业。</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14、建有工会组织，定期召开职工大会。应制定宣贯方案，确定宣贯人员，定时组织环卫行业政策法规的宣贯，做到上情下达、下情上达，保持职工队伍稳定。</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 大件垃圾、建筑垃圾的清理、清运及处理等，需提供专业的清运车辆，同时对垃圾去向进行备案说明，如“有合作企业进行低价值处理、资源再生利用”等。禁止将垃圾转运以后非法倾倒。</w:t>
      </w:r>
    </w:p>
    <w:p>
      <w:pPr>
        <w:pStyle w:val="129"/>
        <w:snapToGrid w:val="0"/>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其它要求</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1、为提升作业队伍形象，作业人员服装（含帽子、雨披、雨鞋等）按照</w:t>
      </w:r>
      <w:r>
        <w:rPr>
          <w:rFonts w:hint="eastAsia" w:ascii="宋体" w:hAnsi="宋体" w:eastAsia="宋体" w:cs="宋体"/>
          <w:bCs/>
          <w:color w:val="auto"/>
          <w:sz w:val="24"/>
          <w:highlight w:val="none"/>
          <w:shd w:val="clear" w:color="auto" w:fill="FFFFFF"/>
        </w:rPr>
        <w:t>《关于印发&lt;杭州市 环卫作业人员着装与作业行为规范&gt;及&lt;杭州市环卫作业车辆标识与作业管理规 范&gt;的通知》（杭城管委〔2016〕130 号）、《关于印发杭州市城管行业服装统一标识规范的通知》（杭城管委﹝2018﹞ 16 号）</w:t>
      </w:r>
      <w:r>
        <w:rPr>
          <w:rFonts w:hint="eastAsia" w:ascii="宋体" w:hAnsi="宋体" w:eastAsia="宋体" w:cs="宋体"/>
          <w:color w:val="auto"/>
          <w:szCs w:val="24"/>
          <w:highlight w:val="none"/>
        </w:rPr>
        <w:t>要求进行统一招标采购，费用由中标单位列支。</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2、中标单位应支持街道改革、创新，如街道实施准物业封闭式管理，则准物业管理范围内保洁工作由街道准物业公司实施，中标单位必须做好相关配合与支持工作。</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3、建立监管、养护、执法三协同管理机制，第一时间发现城市管理“四化”及违法问题，应及时告知甲方，未及时告知，纳入清洁度考核。</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4、实际保洁作业过程中，涉及到原有保洁路段有拆迁、征用等其它原因，造成保洁面积有所变动的，按照实际保洁面积结算保洁费用。</w:t>
      </w:r>
    </w:p>
    <w:p>
      <w:pPr>
        <w:pStyle w:val="129"/>
        <w:snapToGrid w:val="0"/>
        <w:spacing w:before="0"/>
        <w:ind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5、保洁作业单位要建立内部诚信管理体系，并定期进行备案或更新，特别是各保洁人员发生廉洁、诚信、重大安全事故等方面问题，将被记录在案，同时服从甲方诚信管理要求。</w:t>
      </w:r>
    </w:p>
    <w:p>
      <w:pPr>
        <w:snapToGrid w:val="0"/>
        <w:spacing w:line="5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（四）审计要求</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在合同服务期内，为确保服务方的财务透明度及合规性，针对服务收入的使用和管理情况，中标方提供年度审计报告给甲方。审计费用由中标单位支付。</w:t>
      </w:r>
    </w:p>
    <w:p>
      <w:pPr>
        <w:snapToGrid w:val="0"/>
        <w:spacing w:line="5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三、投标报价要求</w:t>
      </w:r>
    </w:p>
    <w:p>
      <w:pPr>
        <w:snapToGrid w:val="0"/>
        <w:spacing w:line="560" w:lineRule="exact"/>
        <w:ind w:firstLine="480"/>
        <w:rPr>
          <w:rFonts w:hint="eastAsia"/>
        </w:rPr>
      </w:pPr>
      <w:r>
        <w:rPr>
          <w:rFonts w:hint="eastAsia" w:ascii="宋体" w:hAnsi="宋体" w:eastAsia="宋体" w:cs="宋体"/>
          <w:color w:val="auto"/>
          <w:sz w:val="24"/>
          <w:highlight w:val="none"/>
        </w:rPr>
        <w:t>投标人的报价应包括为完成本项目服务可能发生的全部费用及投标人的利润和应交纳的税金等。投标人对合同内容的费用、质量、安全、文明服务等实行全面承包。必须充分考虑劳动力成本上涨的因素、该区域内老旧公共设施破损概率高、维修费用高的因素以及充分考虑该区域内因各类矛盾（如停车矛盾）所带来的相应成本费用。</w:t>
      </w:r>
    </w:p>
    <w:p>
      <w:pPr>
        <w:snapToGrid w:val="0"/>
        <w:spacing w:line="56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四、人员数量要求</w:t>
      </w:r>
    </w:p>
    <w:p>
      <w:pPr>
        <w:autoSpaceDE w:val="0"/>
        <w:autoSpaceDN w:val="0"/>
        <w:snapToGrid w:val="0"/>
        <w:spacing w:line="560" w:lineRule="exact"/>
        <w:ind w:firstLine="480"/>
        <w:rPr>
          <w:rFonts w:hint="eastAsia" w:ascii="宋体" w:hAnsi="宋体" w:eastAsia="宋体" w:cs="宋体"/>
          <w:b w:val="0"/>
          <w:bCs/>
          <w:color w:val="auto"/>
          <w:sz w:val="24"/>
          <w:highlight w:val="none"/>
        </w:rPr>
      </w:pPr>
      <w:bookmarkStart w:id="47" w:name="OLE_LINK2"/>
      <w:r>
        <w:rPr>
          <w:rFonts w:hint="eastAsia" w:ascii="宋体" w:hAnsi="宋体" w:cs="宋体"/>
          <w:b w:val="0"/>
          <w:bCs/>
          <w:color w:val="auto"/>
          <w:sz w:val="24"/>
          <w:highlight w:val="none"/>
          <w:lang w:eastAsia="zh-CN"/>
        </w:rPr>
        <w:t>（一）</w:t>
      </w:r>
      <w:r>
        <w:rPr>
          <w:rFonts w:hint="eastAsia" w:ascii="宋体" w:hAnsi="宋体" w:eastAsia="宋体" w:cs="宋体"/>
          <w:b w:val="0"/>
          <w:bCs/>
          <w:color w:val="auto"/>
          <w:sz w:val="24"/>
          <w:highlight w:val="none"/>
        </w:rPr>
        <w:t>人员配置不少于</w:t>
      </w:r>
      <w:r>
        <w:rPr>
          <w:rFonts w:hint="eastAsia" w:ascii="宋体" w:hAnsi="宋体" w:cs="宋体"/>
          <w:b w:val="0"/>
          <w:bCs/>
          <w:color w:val="auto"/>
          <w:sz w:val="24"/>
          <w:highlight w:val="none"/>
          <w:lang w:val="en-US" w:eastAsia="zh-CN"/>
        </w:rPr>
        <w:t>87</w:t>
      </w:r>
      <w:r>
        <w:rPr>
          <w:rFonts w:hint="eastAsia" w:ascii="宋体" w:hAnsi="宋体" w:eastAsia="宋体" w:cs="宋体"/>
          <w:b w:val="0"/>
          <w:bCs/>
          <w:color w:val="auto"/>
          <w:sz w:val="24"/>
          <w:highlight w:val="none"/>
        </w:rPr>
        <w:t>人，其中：项目负责人1人、</w:t>
      </w:r>
      <w:r>
        <w:rPr>
          <w:rFonts w:hint="eastAsia" w:ascii="宋体" w:hAnsi="宋体" w:eastAsia="宋体" w:cs="宋体"/>
          <w:b w:val="0"/>
          <w:bCs/>
          <w:color w:val="auto"/>
          <w:sz w:val="24"/>
          <w:highlight w:val="none"/>
          <w:lang w:val="en-US" w:eastAsia="zh-CN"/>
        </w:rPr>
        <w:t>工程主管</w:t>
      </w:r>
      <w:r>
        <w:rPr>
          <w:rFonts w:hint="eastAsia" w:ascii="宋体" w:hAnsi="宋体" w:eastAsia="宋体" w:cs="宋体"/>
          <w:b w:val="0"/>
          <w:bCs/>
          <w:color w:val="auto"/>
          <w:sz w:val="24"/>
          <w:highlight w:val="none"/>
        </w:rPr>
        <w:t>1人</w:t>
      </w:r>
      <w:r>
        <w:rPr>
          <w:rFonts w:hint="eastAsia" w:ascii="宋体" w:hAnsi="宋体" w:eastAsia="宋体" w:cs="宋体"/>
          <w:b w:val="0"/>
          <w:bCs/>
          <w:color w:val="auto"/>
          <w:sz w:val="24"/>
          <w:highlight w:val="none"/>
          <w:lang w:val="en-US" w:eastAsia="zh-CN"/>
        </w:rPr>
        <w:t>、保安主管1</w:t>
      </w:r>
      <w:r>
        <w:rPr>
          <w:rFonts w:hint="eastAsia"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val="en-US" w:eastAsia="zh-CN"/>
        </w:rPr>
        <w:t>、保洁主管1</w:t>
      </w:r>
      <w:r>
        <w:rPr>
          <w:rFonts w:hint="eastAsia" w:ascii="宋体" w:hAnsi="宋体" w:eastAsia="宋体" w:cs="宋体"/>
          <w:b w:val="0"/>
          <w:bCs/>
          <w:color w:val="auto"/>
          <w:sz w:val="24"/>
          <w:highlight w:val="none"/>
        </w:rPr>
        <w:t>人、内勤6人、水电工</w:t>
      </w: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人</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eastAsia="zh-CN"/>
        </w:rPr>
        <w:t>至少</w:t>
      </w:r>
      <w:r>
        <w:rPr>
          <w:rFonts w:hint="eastAsia" w:ascii="宋体" w:hAnsi="宋体" w:eastAsia="宋体" w:cs="宋体"/>
          <w:b w:val="0"/>
          <w:bCs/>
          <w:color w:val="auto"/>
          <w:sz w:val="24"/>
          <w:highlight w:val="none"/>
          <w:lang w:val="en-US" w:eastAsia="zh-CN"/>
        </w:rPr>
        <w:t>需一本高压</w:t>
      </w:r>
      <w:r>
        <w:rPr>
          <w:rFonts w:hint="eastAsia" w:ascii="宋体" w:hAnsi="宋体" w:cs="宋体"/>
          <w:b w:val="0"/>
          <w:bCs/>
          <w:color w:val="auto"/>
          <w:sz w:val="24"/>
          <w:highlight w:val="none"/>
          <w:lang w:val="en-US" w:eastAsia="zh-CN"/>
        </w:rPr>
        <w:t>电工作业</w:t>
      </w:r>
      <w:r>
        <w:rPr>
          <w:rFonts w:hint="eastAsia" w:ascii="宋体" w:hAnsi="宋体" w:eastAsia="宋体" w:cs="宋体"/>
          <w:b w:val="0"/>
          <w:bCs/>
          <w:color w:val="auto"/>
          <w:sz w:val="24"/>
          <w:highlight w:val="none"/>
          <w:lang w:val="en-US" w:eastAsia="zh-CN"/>
        </w:rPr>
        <w:t>证，一本</w:t>
      </w:r>
      <w:r>
        <w:rPr>
          <w:rFonts w:hint="eastAsia" w:ascii="宋体" w:hAnsi="宋体" w:eastAsia="宋体" w:cs="宋体"/>
          <w:b w:val="0"/>
          <w:bCs/>
          <w:color w:val="auto"/>
          <w:sz w:val="24"/>
          <w:highlight w:val="none"/>
        </w:rPr>
        <w:t>低压电工作业</w:t>
      </w:r>
      <w:r>
        <w:rPr>
          <w:rFonts w:hint="eastAsia" w:ascii="宋体" w:hAnsi="宋体" w:eastAsia="宋体" w:cs="宋体"/>
          <w:b w:val="0"/>
          <w:bCs/>
          <w:color w:val="auto"/>
          <w:sz w:val="24"/>
          <w:highlight w:val="none"/>
          <w:lang w:val="en-US" w:eastAsia="zh-CN"/>
        </w:rPr>
        <w:t>证</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保安1</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13人均具有保安证</w:t>
      </w:r>
      <w:r>
        <w:rPr>
          <w:rFonts w:hint="eastAsia" w:ascii="宋体" w:hAnsi="宋体" w:cs="宋体"/>
          <w:b w:val="0"/>
          <w:bCs/>
          <w:color w:val="auto"/>
          <w:sz w:val="24"/>
          <w:highlight w:val="none"/>
          <w:lang w:val="en-US" w:eastAsia="zh-CN"/>
        </w:rPr>
        <w:t>、</w:t>
      </w:r>
      <w:r>
        <w:rPr>
          <w:rFonts w:hint="eastAsia" w:ascii="宋体" w:hAnsi="宋体" w:eastAsia="宋体" w:cs="宋体"/>
          <w:b w:val="0"/>
          <w:bCs/>
          <w:color w:val="auto"/>
          <w:sz w:val="24"/>
          <w:highlight w:val="none"/>
          <w:lang w:val="en-US" w:eastAsia="zh-CN"/>
        </w:rPr>
        <w:t>其中1人还需具有消防设施操作员证</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 xml:space="preserve">绿化养护 </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人，街巷保洁</w:t>
      </w:r>
      <w:r>
        <w:rPr>
          <w:rFonts w:hint="eastAsia" w:ascii="宋体" w:hAnsi="宋体" w:eastAsia="宋体" w:cs="宋体"/>
          <w:b w:val="0"/>
          <w:bCs/>
          <w:color w:val="auto"/>
          <w:sz w:val="24"/>
          <w:highlight w:val="none"/>
          <w:lang w:val="en-US" w:eastAsia="zh-CN"/>
        </w:rPr>
        <w:t>环卫工人</w:t>
      </w:r>
      <w:r>
        <w:rPr>
          <w:rFonts w:hint="eastAsia" w:ascii="宋体" w:hAnsi="宋体" w:cs="宋体"/>
          <w:b w:val="0"/>
          <w:bCs/>
          <w:color w:val="auto"/>
          <w:sz w:val="24"/>
          <w:highlight w:val="none"/>
          <w:lang w:val="en-US" w:eastAsia="zh-CN"/>
        </w:rPr>
        <w:t>57</w:t>
      </w:r>
      <w:r>
        <w:rPr>
          <w:rFonts w:hint="eastAsia"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街巷保洁</w:t>
      </w:r>
      <w:r>
        <w:rPr>
          <w:rFonts w:hint="eastAsia" w:ascii="宋体" w:hAnsi="宋体" w:eastAsia="宋体" w:cs="宋体"/>
          <w:b w:val="0"/>
          <w:bCs/>
          <w:color w:val="auto"/>
          <w:sz w:val="24"/>
          <w:highlight w:val="none"/>
          <w:lang w:val="en-US" w:eastAsia="zh-CN"/>
        </w:rPr>
        <w:t>环卫工人</w:t>
      </w:r>
      <w:r>
        <w:rPr>
          <w:rFonts w:hint="eastAsia" w:ascii="宋体" w:hAnsi="宋体" w:eastAsia="宋体" w:cs="宋体"/>
          <w:b w:val="0"/>
          <w:bCs/>
          <w:color w:val="auto"/>
          <w:sz w:val="24"/>
          <w:highlight w:val="none"/>
        </w:rPr>
        <w:t>35人</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楼梯保洁12人、</w:t>
      </w:r>
      <w:r>
        <w:rPr>
          <w:rFonts w:hint="eastAsia" w:ascii="宋体" w:hAnsi="宋体" w:eastAsia="宋体" w:cs="宋体"/>
          <w:b w:val="0"/>
          <w:bCs/>
          <w:color w:val="auto"/>
          <w:sz w:val="24"/>
          <w:highlight w:val="none"/>
          <w:lang w:val="en-US" w:eastAsia="zh-CN"/>
        </w:rPr>
        <w:t>其他保洁</w:t>
      </w:r>
      <w:r>
        <w:rPr>
          <w:rFonts w:hint="eastAsia" w:ascii="宋体" w:hAnsi="宋体" w:cs="宋体"/>
          <w:b w:val="0"/>
          <w:bCs/>
          <w:color w:val="auto"/>
          <w:sz w:val="24"/>
          <w:highlight w:val="none"/>
          <w:lang w:val="en-US" w:eastAsia="zh-CN"/>
        </w:rPr>
        <w:t>10</w:t>
      </w:r>
      <w:r>
        <w:rPr>
          <w:rFonts w:hint="eastAsia" w:ascii="宋体" w:hAnsi="宋体" w:eastAsia="宋体" w:cs="宋体"/>
          <w:b w:val="0"/>
          <w:bCs/>
          <w:color w:val="auto"/>
          <w:sz w:val="24"/>
          <w:highlight w:val="none"/>
          <w:lang w:val="en-US" w:eastAsia="zh-CN"/>
        </w:rPr>
        <w:t>人）</w:t>
      </w:r>
      <w:r>
        <w:rPr>
          <w:rFonts w:hint="eastAsia" w:ascii="宋体" w:hAnsi="宋体" w:eastAsia="宋体" w:cs="宋体"/>
          <w:b w:val="0"/>
          <w:bCs/>
          <w:color w:val="auto"/>
          <w:sz w:val="24"/>
          <w:highlight w:val="none"/>
        </w:rPr>
        <w:t>。本项目中如有上述要求持证上岗人员，在投标时，提供相应的证件。</w:t>
      </w:r>
    </w:p>
    <w:bookmarkEnd w:id="47"/>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二</w:t>
      </w:r>
      <w:r>
        <w:rPr>
          <w:rFonts w:hint="eastAsia" w:ascii="宋体" w:hAnsi="宋体" w:eastAsia="宋体" w:cs="宋体"/>
          <w:color w:val="auto"/>
          <w:sz w:val="24"/>
          <w:highlight w:val="none"/>
        </w:rPr>
        <w:t>）项目负责人：具有</w:t>
      </w:r>
      <w:r>
        <w:rPr>
          <w:rFonts w:hint="eastAsia" w:ascii="宋体" w:hAnsi="宋体" w:cs="宋体"/>
          <w:color w:val="auto"/>
          <w:sz w:val="24"/>
          <w:highlight w:val="none"/>
          <w:lang w:val="en-US" w:eastAsia="zh-CN"/>
        </w:rPr>
        <w:t>专科</w:t>
      </w:r>
      <w:r>
        <w:rPr>
          <w:rFonts w:hint="eastAsia" w:ascii="宋体" w:hAnsi="宋体" w:eastAsia="宋体" w:cs="宋体"/>
          <w:color w:val="auto"/>
          <w:sz w:val="24"/>
          <w:highlight w:val="none"/>
        </w:rPr>
        <w:t>及以上学历，熟悉物业管理服务专业知识及相关的法律法规，驻点梅花碑。要求：具有丰富的物业管理经验（有小区物业管理经验</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年以上），吃苦耐劳，爱岗敬业，具有较强的组织、沟通、协调和应变能力。负责梅花碑物业总体管理和社区间的协调、统筹。</w:t>
      </w:r>
      <w:r>
        <w:rPr>
          <w:rFonts w:hint="eastAsia" w:ascii="宋体" w:hAnsi="宋体" w:eastAsia="宋体" w:cs="宋体"/>
          <w:color w:val="auto"/>
          <w:sz w:val="24"/>
          <w:highlight w:val="none"/>
          <w:lang w:val="en-US" w:eastAsia="zh-CN"/>
        </w:rPr>
        <w:t>投标人与拟派项目负责人需共同出具保证能在本项目服务期间专职为本项目服务的承诺函。项目负责人离职前需提前一个月通知招标人，待新拟派项目负责人培训合格上岗后方可批准离职。投标人在服务期内更换项目负责人及其他主要管理人员的，新拟派人员需具备同等条件。此项纳入月度考核范围。</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三</w:t>
      </w:r>
      <w:r>
        <w:rPr>
          <w:rFonts w:hint="eastAsia" w:ascii="宋体" w:hAnsi="宋体" w:eastAsia="宋体" w:cs="宋体"/>
          <w:color w:val="auto"/>
          <w:sz w:val="24"/>
          <w:highlight w:val="none"/>
        </w:rPr>
        <w:t>）内勤人员：大专及以上学历，熟悉财务软件，建立完善的物业费收费台账。</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四</w:t>
      </w:r>
      <w:r>
        <w:rPr>
          <w:rFonts w:hint="eastAsia" w:ascii="宋体" w:hAnsi="宋体" w:eastAsia="宋体" w:cs="宋体"/>
          <w:color w:val="auto"/>
          <w:sz w:val="24"/>
          <w:highlight w:val="none"/>
        </w:rPr>
        <w:t>）水电工</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1、日常零星维修项目，主要通过物业人员的检查、巡查和业主随时报修等两个渠道来收集。零星维修要求及时、高效。应力争做到“水电急修不过夜，小修项目不过二，一般项目不过三”。要求零修合格率达到100%。</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2、时限要求：急修项目如：厕浴间排污管道严重堵塞、水管爆裂等，自接到报修之时起半小时到达现场并修复或协助处理；非常急修项目：自接到报修起，24小时之内处理修复，如遇不能修复的及时协助居民做好衔接、跟进服务。</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五</w:t>
      </w:r>
      <w:r>
        <w:rPr>
          <w:rFonts w:hint="eastAsia" w:ascii="宋体" w:hAnsi="宋体" w:eastAsia="宋体" w:cs="宋体"/>
          <w:color w:val="auto"/>
          <w:sz w:val="24"/>
          <w:highlight w:val="none"/>
        </w:rPr>
        <w:t>）保安人员</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1、服务内容：传达、治安监控、车辆管理。</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2、基本要求：身体健康，仪表端庄，训练有素，言语规范，知法守法；能做好小区公共秩序维护工作；正确使用各类消防、技防器械和设备，能够熟悉、掌握各类突发灾害事故的应急预案；上岗时佩戴统一标志，穿戴统一制服（精致），装备佩戴规范，配备对讲装置和其他必备的安全护卫器械。</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3、具体内容</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1、门岗：服务时间：主要出入口24小时值班看守；</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2、交接班：有详细完整的交接班记录；</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3、外来车辆：对外来车辆原则上禁止进小区，确需进入的实施证（卡）管理和登记，引导车辆有序通行、停放。</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4、车辆管理：车辆行驶安全、停放有序、无可见安全隐患。</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5、消防巡查：消防设施完好无损，发现问题及时报告；楼道内的灭火器每月巡检一次，并做好记录。</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6、业主帮助：在遇到业主需要帮助时，主动热情；在遇到业主紧急求助时，15分钟内赶到现场，采取相应措施。</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7、应急响应：接到火警警情后五分钟内到达现场，并报物业、社区及警方，协助采取有关措施。</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8、应急预案：按照要求制订各类突发事件应急预案，并将预案内容在办公室等处悬挂。完善各类应急预案，人员、物资、措施落实到位，做好防汛抗台防雷、防冻抗雪、气象防灾减灾等应急处置工作。</w:t>
      </w:r>
    </w:p>
    <w:p>
      <w:pPr>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9、应急队伍：应组建一支不少于6人的（含保安、保洁、维修）应急抢险队伍，在应急相应期间落实人员24小时值班制度。</w:t>
      </w:r>
    </w:p>
    <w:p>
      <w:pPr>
        <w:widowControl/>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）保洁保绿人员</w:t>
      </w:r>
    </w:p>
    <w:p>
      <w:pPr>
        <w:widowControl/>
        <w:snapToGrid w:val="0"/>
        <w:spacing w:line="560" w:lineRule="exact"/>
        <w:ind w:firstLine="465" w:firstLineChars="194"/>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服务内容：小区内各幢楼的楼梯、公共活动场所、楼宇外墙等所有公共部位，所有小区内道路、机动车停车场、非机动车停车库等所有公共场地的保洁服务，严格按街道、社区考核标准实施。</w:t>
      </w:r>
    </w:p>
    <w:p>
      <w:pPr>
        <w:widowControl/>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）仪表规范</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工作人员（含各作业人员）工作期间应严格按照规定要求穿着工作服，工作时必须穿戴统一配发的工作服、佩带工作证；应保持着装整洁，工作服无破损、无不洁、荧光条无剥落。作业时必须带工作帽、防护手套，雨天必须着统一雨衣、雨裤、雨鞋作业。</w:t>
      </w:r>
    </w:p>
    <w:p>
      <w:pPr>
        <w:widowControl/>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1、作业时衣冠整齐，拉链及风纪扣必须拉拢扣好，工作帽正带。内着衣服的帽子等物不得翻出工作服，不得穿拖鞋，不得加带袖套、腿套、围裙等物，不得卷裤腿、衣袖。</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2、作业人员工作证，一人一证，不得转借。凡离开作业队伍时，工作服和工作证一律上交。工作证要求佩戴在左胸前表袋内部，表面保持干净，工作证信息朝外，清晰准确。</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3、作业人员仪表应当整洁。作业人员上岗时不允许佩带夸张、色彩严厉的装饰物，不得留长指甲。男性作业人员不得留长发、蓄长须；女性作业人员应把头发盘夹好，头发不得散乱，不允许带浓妆。</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八</w:t>
      </w:r>
      <w:r>
        <w:rPr>
          <w:rFonts w:hint="eastAsia" w:ascii="宋体" w:hAnsi="宋体" w:eastAsia="宋体" w:cs="宋体"/>
          <w:color w:val="auto"/>
          <w:sz w:val="24"/>
          <w:highlight w:val="none"/>
        </w:rPr>
        <w:t>）行为规范</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1、工作人员应自觉做到文明礼仪，文明用语，礼让行人，规范作业，不得与他人、单位发生冲突。</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2、作业人员作业期间应精神振作，姿态良好。不得边作业边吸烟、吃东西，不得成群闲聊、打牌休闲，不得从事与工作无关的其它活动。</w:t>
      </w:r>
    </w:p>
    <w:p>
      <w:pPr>
        <w:widowControl/>
        <w:snapToGrid w:val="0"/>
        <w:spacing w:line="5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3、作业人员应自觉遵守交通法规，严禁不走人行横道线、骑车带人、向车外扔杂物或吐痰；驾驶环卫作业车辆时不得逆向行驶、强行超车、超载，遇到人行横道线时，要减速慢行，做到车让行人。</w:t>
      </w:r>
    </w:p>
    <w:p>
      <w:pPr>
        <w:widowControl/>
        <w:snapToGrid w:val="0"/>
        <w:spacing w:line="560" w:lineRule="exact"/>
        <w:ind w:firstLine="467" w:firstLineChars="19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中标人必须在合同签订前提供所有</w:t>
      </w:r>
      <w:r>
        <w:rPr>
          <w:rFonts w:hint="eastAsia" w:ascii="宋体" w:hAnsi="宋体" w:eastAsia="宋体" w:cs="宋体"/>
          <w:b/>
          <w:bCs/>
          <w:color w:val="auto"/>
          <w:sz w:val="24"/>
          <w:highlight w:val="none"/>
          <w:lang w:val="en-US" w:eastAsia="zh-CN"/>
        </w:rPr>
        <w:t>需持证上岗</w:t>
      </w:r>
      <w:r>
        <w:rPr>
          <w:rFonts w:hint="eastAsia" w:ascii="宋体" w:hAnsi="宋体" w:eastAsia="宋体" w:cs="宋体"/>
          <w:b/>
          <w:bCs/>
          <w:color w:val="auto"/>
          <w:sz w:val="24"/>
          <w:highlight w:val="none"/>
        </w:rPr>
        <w:t>人员的有效职称证、技工证、上岗证等原件供采购人审核，如果中标人不能提供，则采购人有权废除中标人的中标资格。所有人员必须专职为</w:t>
      </w:r>
      <w:r>
        <w:rPr>
          <w:rFonts w:hint="eastAsia" w:ascii="宋体" w:hAnsi="宋体" w:eastAsia="宋体" w:cs="宋体"/>
          <w:b/>
          <w:bCs/>
          <w:color w:val="auto"/>
          <w:sz w:val="24"/>
          <w:highlight w:val="none"/>
          <w:lang w:eastAsia="zh-CN"/>
        </w:rPr>
        <w:t>杭州市上城区小营街道南片区物业一体化管理服务项目</w:t>
      </w:r>
      <w:r>
        <w:rPr>
          <w:rFonts w:hint="eastAsia" w:ascii="宋体" w:hAnsi="宋体" w:eastAsia="宋体" w:cs="宋体"/>
          <w:b/>
          <w:bCs/>
          <w:color w:val="auto"/>
          <w:sz w:val="24"/>
          <w:highlight w:val="none"/>
        </w:rPr>
        <w:t>服务，不得兼职。主要工作人员（如项目负责人、</w:t>
      </w:r>
      <w:r>
        <w:rPr>
          <w:rFonts w:hint="eastAsia" w:ascii="宋体" w:hAnsi="宋体" w:eastAsia="宋体" w:cs="宋体"/>
          <w:b/>
          <w:bCs/>
          <w:color w:val="auto"/>
          <w:sz w:val="24"/>
          <w:highlight w:val="none"/>
          <w:lang w:val="en-US" w:eastAsia="zh-CN"/>
        </w:rPr>
        <w:t>助理、</w:t>
      </w:r>
      <w:r>
        <w:rPr>
          <w:rFonts w:hint="eastAsia" w:ascii="宋体" w:hAnsi="宋体" w:eastAsia="宋体" w:cs="宋体"/>
          <w:b/>
          <w:bCs/>
          <w:color w:val="auto"/>
          <w:sz w:val="24"/>
          <w:highlight w:val="none"/>
        </w:rPr>
        <w:t>主管等，以投标文件中名称为准）超过5日的请销假需经甲方同意。乙方派驻的物业人员应当根据相关法律、法规、规章等规定具有相应的资质且聘用该人员不可违法国家相关强制性规定。物业员工年龄，原则上女性不超过55岁，男性不超过60岁（社区留用人员可适当放宽），会使用智能手机，社区内的突击检查，物业所有人员必须配合开展工作。</w:t>
      </w:r>
    </w:p>
    <w:p>
      <w:pPr>
        <w:spacing w:line="360" w:lineRule="auto"/>
        <w:rPr>
          <w:rFonts w:ascii="宋体" w:hAnsi="宋体" w:cs="宋体"/>
          <w:sz w:val="24"/>
        </w:rPr>
      </w:pPr>
    </w:p>
    <w:p>
      <w:pPr>
        <w:widowControl/>
        <w:ind w:firstLine="720" w:firstLineChars="300"/>
        <w:jc w:val="left"/>
        <w:rPr>
          <w:rFonts w:ascii="宋体" w:hAnsi="宋体" w:cs="宋体"/>
          <w:bCs/>
          <w:sz w:val="24"/>
        </w:rPr>
      </w:pPr>
    </w:p>
    <w:p>
      <w:pPr>
        <w:rPr>
          <w:rFonts w:ascii="宋体" w:hAnsi="宋体" w:cs="宋体"/>
          <w:snapToGrid w:val="0"/>
          <w:kern w:val="0"/>
          <w:sz w:val="24"/>
        </w:rPr>
      </w:pPr>
    </w:p>
    <w:p>
      <w:pPr>
        <w:spacing w:line="360" w:lineRule="auto"/>
        <w:jc w:val="center"/>
        <w:outlineLvl w:val="0"/>
        <w:rPr>
          <w:rFonts w:ascii="宋体" w:hAnsi="宋体" w:cs="宋体"/>
          <w:b/>
          <w:sz w:val="36"/>
          <w:szCs w:val="36"/>
        </w:rPr>
      </w:pPr>
      <w:r>
        <w:rPr>
          <w:rFonts w:hint="eastAsia" w:ascii="宋体" w:hAnsi="宋体" w:cs="宋体"/>
          <w:b/>
          <w:sz w:val="24"/>
        </w:rPr>
        <w:br w:type="page"/>
      </w:r>
      <w:r>
        <w:rPr>
          <w:rFonts w:hint="eastAsia" w:ascii="宋体" w:hAnsi="宋体" w:cs="宋体"/>
          <w:b/>
          <w:sz w:val="36"/>
          <w:szCs w:val="36"/>
        </w:rPr>
        <w:t xml:space="preserve">第四部分   </w:t>
      </w:r>
      <w:bookmarkStart w:id="48" w:name="_Toc184314444"/>
      <w:bookmarkEnd w:id="48"/>
      <w:bookmarkStart w:id="49" w:name="_Toc184310283"/>
      <w:bookmarkEnd w:id="49"/>
      <w:bookmarkStart w:id="50" w:name="_Toc184312073"/>
      <w:bookmarkEnd w:id="50"/>
      <w:bookmarkStart w:id="51" w:name="_Toc184312131"/>
      <w:bookmarkEnd w:id="51"/>
      <w:bookmarkStart w:id="52" w:name="_Toc184314439"/>
      <w:bookmarkEnd w:id="52"/>
      <w:bookmarkStart w:id="53" w:name="_Toc184308082"/>
      <w:bookmarkEnd w:id="53"/>
      <w:bookmarkStart w:id="54" w:name="_Toc184314424"/>
      <w:bookmarkEnd w:id="54"/>
      <w:bookmarkStart w:id="55" w:name="_Toc184312136"/>
      <w:bookmarkEnd w:id="55"/>
      <w:bookmarkStart w:id="56" w:name="_Toc184312114"/>
      <w:bookmarkEnd w:id="56"/>
      <w:bookmarkStart w:id="57" w:name="_Toc184312090"/>
      <w:bookmarkEnd w:id="57"/>
      <w:bookmarkStart w:id="58" w:name="_Toc184310327"/>
      <w:bookmarkEnd w:id="58"/>
      <w:bookmarkStart w:id="59" w:name="_Toc184310317"/>
      <w:bookmarkEnd w:id="59"/>
      <w:bookmarkStart w:id="60" w:name="_Toc184312115"/>
      <w:bookmarkEnd w:id="60"/>
      <w:bookmarkStart w:id="61" w:name="_Toc184310272"/>
      <w:bookmarkEnd w:id="61"/>
      <w:bookmarkStart w:id="62" w:name="_Toc184308106"/>
      <w:bookmarkEnd w:id="62"/>
      <w:bookmarkStart w:id="63" w:name="_Toc184313246"/>
      <w:bookmarkEnd w:id="63"/>
      <w:bookmarkStart w:id="64" w:name="_Toc184308094"/>
      <w:bookmarkEnd w:id="64"/>
      <w:bookmarkStart w:id="65" w:name="_Toc184314450"/>
      <w:bookmarkEnd w:id="65"/>
      <w:bookmarkStart w:id="66" w:name="_Toc184312081"/>
      <w:bookmarkEnd w:id="66"/>
      <w:bookmarkStart w:id="67" w:name="_Toc184310275"/>
      <w:bookmarkEnd w:id="67"/>
      <w:bookmarkStart w:id="68" w:name="_Toc184313249"/>
      <w:bookmarkEnd w:id="68"/>
      <w:bookmarkStart w:id="69" w:name="_Toc184310284"/>
      <w:bookmarkEnd w:id="69"/>
      <w:bookmarkStart w:id="70" w:name="_Toc184314474"/>
      <w:bookmarkEnd w:id="70"/>
      <w:bookmarkStart w:id="71" w:name="_Toc184313309"/>
      <w:bookmarkEnd w:id="71"/>
      <w:bookmarkStart w:id="72" w:name="_Toc184313290"/>
      <w:bookmarkEnd w:id="72"/>
      <w:bookmarkStart w:id="73" w:name="_Toc184314460"/>
      <w:bookmarkEnd w:id="73"/>
      <w:bookmarkStart w:id="74" w:name="_Toc184312129"/>
      <w:bookmarkEnd w:id="74"/>
      <w:bookmarkStart w:id="75" w:name="_Toc184308090"/>
      <w:bookmarkEnd w:id="75"/>
      <w:bookmarkStart w:id="76" w:name="_Toc184308054"/>
      <w:bookmarkEnd w:id="76"/>
      <w:bookmarkStart w:id="77" w:name="_Toc184312128"/>
      <w:bookmarkEnd w:id="77"/>
      <w:bookmarkStart w:id="78" w:name="_Toc184310287"/>
      <w:bookmarkEnd w:id="78"/>
      <w:bookmarkStart w:id="79" w:name="_Toc184313245"/>
      <w:bookmarkEnd w:id="79"/>
      <w:bookmarkStart w:id="80" w:name="_Toc184310315"/>
      <w:bookmarkEnd w:id="80"/>
      <w:bookmarkStart w:id="81" w:name="_Toc184308060"/>
      <w:bookmarkEnd w:id="81"/>
      <w:bookmarkStart w:id="82" w:name="_Toc184310334"/>
      <w:bookmarkEnd w:id="82"/>
      <w:bookmarkStart w:id="83" w:name="_Toc184313273"/>
      <w:bookmarkEnd w:id="83"/>
      <w:bookmarkStart w:id="84" w:name="_Toc184314419"/>
      <w:bookmarkEnd w:id="84"/>
      <w:bookmarkStart w:id="85" w:name="_Toc184312094"/>
      <w:bookmarkEnd w:id="85"/>
      <w:bookmarkStart w:id="86" w:name="_Toc184313259"/>
      <w:bookmarkEnd w:id="86"/>
      <w:bookmarkStart w:id="87" w:name="_Toc184314482"/>
      <w:bookmarkEnd w:id="87"/>
      <w:bookmarkStart w:id="88" w:name="_Toc184308047"/>
      <w:bookmarkEnd w:id="88"/>
      <w:bookmarkStart w:id="89" w:name="_Toc184313266"/>
      <w:bookmarkEnd w:id="89"/>
      <w:bookmarkStart w:id="90" w:name="_Toc184310332"/>
      <w:bookmarkEnd w:id="90"/>
      <w:bookmarkStart w:id="91" w:name="_Toc184314454"/>
      <w:bookmarkEnd w:id="91"/>
      <w:bookmarkStart w:id="92" w:name="_Toc184313272"/>
      <w:bookmarkEnd w:id="92"/>
      <w:bookmarkStart w:id="93" w:name="_Toc184314459"/>
      <w:bookmarkEnd w:id="93"/>
      <w:bookmarkStart w:id="94" w:name="_Toc184308051"/>
      <w:bookmarkEnd w:id="94"/>
      <w:bookmarkStart w:id="95" w:name="_Toc184313268"/>
      <w:bookmarkEnd w:id="95"/>
      <w:bookmarkStart w:id="96" w:name="_Toc184312108"/>
      <w:bookmarkEnd w:id="96"/>
      <w:bookmarkStart w:id="97" w:name="_Toc184314432"/>
      <w:bookmarkEnd w:id="97"/>
      <w:bookmarkStart w:id="98" w:name="_Toc184310276"/>
      <w:bookmarkEnd w:id="98"/>
      <w:bookmarkStart w:id="99" w:name="_Toc184308067"/>
      <w:bookmarkEnd w:id="99"/>
      <w:bookmarkStart w:id="100" w:name="_Toc184308050"/>
      <w:bookmarkEnd w:id="100"/>
      <w:bookmarkStart w:id="101" w:name="_Toc184313256"/>
      <w:bookmarkEnd w:id="101"/>
      <w:bookmarkStart w:id="102" w:name="_Toc184314410"/>
      <w:bookmarkEnd w:id="102"/>
      <w:bookmarkStart w:id="103" w:name="_Toc184314433"/>
      <w:bookmarkEnd w:id="103"/>
      <w:bookmarkStart w:id="104" w:name="_Toc184310313"/>
      <w:bookmarkEnd w:id="104"/>
      <w:bookmarkStart w:id="105" w:name="_Toc184310343"/>
      <w:bookmarkEnd w:id="105"/>
      <w:bookmarkStart w:id="106" w:name="_Toc184313267"/>
      <w:bookmarkEnd w:id="106"/>
      <w:bookmarkStart w:id="107" w:name="_Toc184308039"/>
      <w:bookmarkEnd w:id="107"/>
      <w:bookmarkStart w:id="108" w:name="_Toc184313299"/>
      <w:bookmarkEnd w:id="108"/>
      <w:bookmarkStart w:id="109" w:name="_Toc184314479"/>
      <w:bookmarkEnd w:id="109"/>
      <w:bookmarkStart w:id="110" w:name="_Toc184313255"/>
      <w:bookmarkEnd w:id="110"/>
      <w:bookmarkStart w:id="111" w:name="_Toc184310308"/>
      <w:bookmarkEnd w:id="111"/>
      <w:bookmarkStart w:id="112" w:name="_Toc184312138"/>
      <w:bookmarkEnd w:id="112"/>
      <w:bookmarkStart w:id="113" w:name="_Toc184312074"/>
      <w:bookmarkEnd w:id="113"/>
      <w:bookmarkStart w:id="114" w:name="_Toc184313293"/>
      <w:bookmarkEnd w:id="114"/>
      <w:bookmarkStart w:id="115" w:name="_Toc184312130"/>
      <w:bookmarkEnd w:id="115"/>
      <w:bookmarkStart w:id="116" w:name="_Toc184310339"/>
      <w:bookmarkEnd w:id="116"/>
      <w:bookmarkStart w:id="117" w:name="_Toc184308085"/>
      <w:bookmarkEnd w:id="117"/>
      <w:bookmarkStart w:id="118" w:name="_Toc184313301"/>
      <w:bookmarkEnd w:id="118"/>
      <w:bookmarkStart w:id="119" w:name="_Toc184312097"/>
      <w:bookmarkEnd w:id="119"/>
      <w:bookmarkStart w:id="120" w:name="_Toc184308036"/>
      <w:bookmarkEnd w:id="120"/>
      <w:bookmarkStart w:id="121" w:name="_Toc184308077"/>
      <w:bookmarkEnd w:id="121"/>
      <w:bookmarkStart w:id="122" w:name="_Toc184308104"/>
      <w:bookmarkEnd w:id="122"/>
      <w:bookmarkStart w:id="123" w:name="_Toc184312082"/>
      <w:bookmarkEnd w:id="123"/>
      <w:bookmarkStart w:id="124" w:name="_Toc184312123"/>
      <w:bookmarkEnd w:id="124"/>
      <w:bookmarkStart w:id="125" w:name="_Toc184312111"/>
      <w:bookmarkEnd w:id="125"/>
      <w:bookmarkStart w:id="126" w:name="_Toc184308091"/>
      <w:bookmarkEnd w:id="126"/>
      <w:bookmarkStart w:id="127" w:name="_Toc184312109"/>
      <w:bookmarkEnd w:id="127"/>
      <w:bookmarkStart w:id="128" w:name="_Toc184313260"/>
      <w:bookmarkEnd w:id="128"/>
      <w:bookmarkStart w:id="129" w:name="_Toc184310336"/>
      <w:bookmarkEnd w:id="129"/>
      <w:bookmarkStart w:id="130" w:name="_Toc184312116"/>
      <w:bookmarkEnd w:id="130"/>
      <w:bookmarkStart w:id="131" w:name="_Toc184308080"/>
      <w:bookmarkEnd w:id="131"/>
      <w:bookmarkStart w:id="132" w:name="_Toc184312080"/>
      <w:bookmarkEnd w:id="132"/>
      <w:bookmarkStart w:id="133" w:name="_Toc184310322"/>
      <w:bookmarkEnd w:id="133"/>
      <w:bookmarkStart w:id="134" w:name="_Toc184312120"/>
      <w:bookmarkEnd w:id="134"/>
      <w:bookmarkStart w:id="135" w:name="_Toc184310273"/>
      <w:bookmarkEnd w:id="135"/>
      <w:bookmarkStart w:id="136" w:name="_Toc184314458"/>
      <w:bookmarkEnd w:id="136"/>
      <w:bookmarkStart w:id="137" w:name="_Toc184314421"/>
      <w:bookmarkEnd w:id="137"/>
      <w:bookmarkStart w:id="138" w:name="_Toc184312113"/>
      <w:bookmarkEnd w:id="138"/>
      <w:bookmarkStart w:id="139" w:name="_Toc184314462"/>
      <w:bookmarkEnd w:id="139"/>
      <w:bookmarkStart w:id="140" w:name="_Toc184310295"/>
      <w:bookmarkEnd w:id="140"/>
      <w:bookmarkStart w:id="141" w:name="_Toc184313280"/>
      <w:bookmarkEnd w:id="141"/>
      <w:bookmarkStart w:id="142" w:name="_Toc184308041"/>
      <w:bookmarkEnd w:id="142"/>
      <w:bookmarkStart w:id="143" w:name="_Toc184308081"/>
      <w:bookmarkEnd w:id="143"/>
      <w:bookmarkStart w:id="144" w:name="_Toc184308083"/>
      <w:bookmarkEnd w:id="144"/>
      <w:bookmarkStart w:id="145" w:name="_Toc184312077"/>
      <w:bookmarkEnd w:id="145"/>
      <w:bookmarkStart w:id="146" w:name="_Toc184312127"/>
      <w:bookmarkEnd w:id="146"/>
      <w:bookmarkStart w:id="147" w:name="_Toc184308098"/>
      <w:bookmarkEnd w:id="147"/>
      <w:bookmarkStart w:id="148" w:name="_Toc184314468"/>
      <w:bookmarkEnd w:id="148"/>
      <w:bookmarkStart w:id="149" w:name="_Toc184313294"/>
      <w:bookmarkEnd w:id="149"/>
      <w:bookmarkStart w:id="150" w:name="_Toc184313277"/>
      <w:bookmarkEnd w:id="150"/>
      <w:bookmarkStart w:id="151" w:name="_Toc184313278"/>
      <w:bookmarkEnd w:id="151"/>
      <w:bookmarkStart w:id="152" w:name="_Toc184313243"/>
      <w:bookmarkEnd w:id="152"/>
      <w:bookmarkStart w:id="153" w:name="_Toc184310320"/>
      <w:bookmarkEnd w:id="153"/>
      <w:bookmarkStart w:id="154" w:name="_Toc184313287"/>
      <w:bookmarkEnd w:id="154"/>
      <w:bookmarkStart w:id="155" w:name="_Toc184313305"/>
      <w:bookmarkEnd w:id="155"/>
      <w:bookmarkStart w:id="156" w:name="_Toc184310323"/>
      <w:bookmarkEnd w:id="156"/>
      <w:bookmarkStart w:id="157" w:name="_Toc184308074"/>
      <w:bookmarkEnd w:id="157"/>
      <w:bookmarkStart w:id="158" w:name="_Toc184308097"/>
      <w:bookmarkEnd w:id="158"/>
      <w:bookmarkStart w:id="159" w:name="_Toc184308070"/>
      <w:bookmarkEnd w:id="159"/>
      <w:bookmarkStart w:id="160" w:name="_Toc184314469"/>
      <w:bookmarkEnd w:id="160"/>
      <w:bookmarkStart w:id="161" w:name="_Toc184310314"/>
      <w:bookmarkEnd w:id="161"/>
      <w:bookmarkStart w:id="162" w:name="_Toc184313291"/>
      <w:bookmarkEnd w:id="162"/>
      <w:bookmarkStart w:id="163" w:name="_Toc184308089"/>
      <w:bookmarkEnd w:id="163"/>
      <w:bookmarkStart w:id="164" w:name="_Toc184312076"/>
      <w:bookmarkEnd w:id="164"/>
      <w:bookmarkStart w:id="165" w:name="_Toc184308088"/>
      <w:bookmarkEnd w:id="165"/>
      <w:bookmarkStart w:id="166" w:name="_Toc184312089"/>
      <w:bookmarkEnd w:id="166"/>
      <w:bookmarkStart w:id="167" w:name="_Toc184312084"/>
      <w:bookmarkEnd w:id="167"/>
      <w:bookmarkStart w:id="168" w:name="_Toc184313241"/>
      <w:bookmarkEnd w:id="168"/>
      <w:bookmarkStart w:id="169" w:name="_Toc184314464"/>
      <w:bookmarkEnd w:id="169"/>
      <w:bookmarkStart w:id="170" w:name="_Toc184308037"/>
      <w:bookmarkEnd w:id="170"/>
      <w:bookmarkStart w:id="171" w:name="_Toc184312124"/>
      <w:bookmarkEnd w:id="171"/>
      <w:bookmarkStart w:id="172" w:name="_Toc184314475"/>
      <w:bookmarkEnd w:id="172"/>
      <w:bookmarkStart w:id="173" w:name="_Toc184313307"/>
      <w:bookmarkEnd w:id="173"/>
      <w:bookmarkStart w:id="174" w:name="_Toc184310340"/>
      <w:bookmarkEnd w:id="174"/>
      <w:bookmarkStart w:id="175" w:name="_Toc184310288"/>
      <w:bookmarkEnd w:id="175"/>
      <w:bookmarkStart w:id="176" w:name="_Toc184308069"/>
      <w:bookmarkEnd w:id="176"/>
      <w:bookmarkStart w:id="177" w:name="_Toc184310306"/>
      <w:bookmarkEnd w:id="177"/>
      <w:bookmarkStart w:id="178" w:name="_Toc184312134"/>
      <w:bookmarkEnd w:id="178"/>
      <w:bookmarkStart w:id="179" w:name="_Toc184314456"/>
      <w:bookmarkEnd w:id="179"/>
      <w:bookmarkStart w:id="180" w:name="_Toc184314447"/>
      <w:bookmarkEnd w:id="180"/>
      <w:bookmarkStart w:id="181" w:name="_Toc184308084"/>
      <w:bookmarkEnd w:id="181"/>
      <w:bookmarkStart w:id="182" w:name="_Toc184314448"/>
      <w:bookmarkEnd w:id="182"/>
      <w:bookmarkStart w:id="183" w:name="_Toc184313240"/>
      <w:bookmarkEnd w:id="183"/>
      <w:bookmarkStart w:id="184" w:name="_Toc184312102"/>
      <w:bookmarkEnd w:id="184"/>
      <w:bookmarkStart w:id="185" w:name="_Toc184310318"/>
      <w:bookmarkEnd w:id="185"/>
      <w:bookmarkStart w:id="186" w:name="_Toc184314445"/>
      <w:bookmarkEnd w:id="186"/>
      <w:bookmarkStart w:id="187" w:name="_Toc184312069"/>
      <w:bookmarkEnd w:id="187"/>
      <w:bookmarkStart w:id="188" w:name="_Toc184314473"/>
      <w:bookmarkEnd w:id="188"/>
      <w:bookmarkStart w:id="189" w:name="_Toc184313296"/>
      <w:bookmarkEnd w:id="189"/>
      <w:bookmarkStart w:id="190" w:name="_Toc184314481"/>
      <w:bookmarkEnd w:id="190"/>
      <w:bookmarkStart w:id="191" w:name="_Toc184308099"/>
      <w:bookmarkEnd w:id="191"/>
      <w:bookmarkStart w:id="192" w:name="_Toc184308102"/>
      <w:bookmarkEnd w:id="192"/>
      <w:bookmarkStart w:id="193" w:name="_Toc184308076"/>
      <w:bookmarkEnd w:id="193"/>
      <w:bookmarkStart w:id="194" w:name="_Toc184310298"/>
      <w:bookmarkEnd w:id="194"/>
      <w:bookmarkStart w:id="195" w:name="_Toc184312095"/>
      <w:bookmarkEnd w:id="195"/>
      <w:bookmarkStart w:id="196" w:name="_Toc184313303"/>
      <w:bookmarkEnd w:id="196"/>
      <w:bookmarkStart w:id="197" w:name="_Toc184308057"/>
      <w:bookmarkEnd w:id="197"/>
      <w:bookmarkStart w:id="198" w:name="_Toc184312132"/>
      <w:bookmarkEnd w:id="198"/>
      <w:bookmarkStart w:id="199" w:name="_Toc184308101"/>
      <w:bookmarkEnd w:id="199"/>
      <w:bookmarkStart w:id="200" w:name="_Toc184312078"/>
      <w:bookmarkEnd w:id="200"/>
      <w:bookmarkStart w:id="201" w:name="_Toc184310297"/>
      <w:bookmarkEnd w:id="201"/>
      <w:bookmarkStart w:id="202" w:name="_Toc184313300"/>
      <w:bookmarkEnd w:id="202"/>
      <w:bookmarkStart w:id="203" w:name="_Toc184310341"/>
      <w:bookmarkEnd w:id="203"/>
      <w:bookmarkStart w:id="204" w:name="_Toc184310319"/>
      <w:bookmarkEnd w:id="204"/>
      <w:bookmarkStart w:id="205" w:name="_Toc184308049"/>
      <w:bookmarkEnd w:id="205"/>
      <w:bookmarkStart w:id="206" w:name="_Toc184314480"/>
      <w:bookmarkEnd w:id="206"/>
      <w:bookmarkStart w:id="207" w:name="_Toc184312118"/>
      <w:bookmarkEnd w:id="207"/>
      <w:bookmarkStart w:id="208" w:name="_Toc184310331"/>
      <w:bookmarkEnd w:id="208"/>
      <w:bookmarkStart w:id="209" w:name="_Toc184313284"/>
      <w:bookmarkEnd w:id="209"/>
      <w:bookmarkStart w:id="210" w:name="_Toc184310316"/>
      <w:bookmarkEnd w:id="210"/>
      <w:bookmarkStart w:id="211" w:name="_Toc184308071"/>
      <w:bookmarkEnd w:id="211"/>
      <w:bookmarkStart w:id="212" w:name="_Toc184308068"/>
      <w:bookmarkEnd w:id="212"/>
      <w:bookmarkStart w:id="213" w:name="_Toc184308108"/>
      <w:bookmarkEnd w:id="213"/>
      <w:bookmarkStart w:id="214" w:name="_Toc184314471"/>
      <w:bookmarkEnd w:id="214"/>
      <w:bookmarkStart w:id="215" w:name="_Toc184312135"/>
      <w:bookmarkEnd w:id="215"/>
      <w:bookmarkStart w:id="216" w:name="_Toc184310290"/>
      <w:bookmarkEnd w:id="216"/>
      <w:bookmarkStart w:id="217" w:name="_Toc184313244"/>
      <w:bookmarkEnd w:id="217"/>
      <w:bookmarkStart w:id="218" w:name="_Toc184313238"/>
      <w:bookmarkEnd w:id="218"/>
      <w:bookmarkStart w:id="219" w:name="_Toc184308056"/>
      <w:bookmarkEnd w:id="219"/>
      <w:bookmarkStart w:id="220" w:name="_Toc184312122"/>
      <w:bookmarkEnd w:id="220"/>
      <w:bookmarkStart w:id="221" w:name="_Toc184310307"/>
      <w:bookmarkEnd w:id="221"/>
      <w:bookmarkStart w:id="222" w:name="_Toc184314435"/>
      <w:bookmarkEnd w:id="222"/>
      <w:bookmarkStart w:id="223" w:name="_Toc184310280"/>
      <w:bookmarkEnd w:id="223"/>
      <w:bookmarkStart w:id="224" w:name="_Toc184314423"/>
      <w:bookmarkEnd w:id="224"/>
      <w:bookmarkStart w:id="225" w:name="_Toc184308046"/>
      <w:bookmarkEnd w:id="225"/>
      <w:bookmarkStart w:id="226" w:name="_Toc184314416"/>
      <w:bookmarkEnd w:id="226"/>
      <w:bookmarkStart w:id="227" w:name="_Toc184312137"/>
      <w:bookmarkEnd w:id="227"/>
      <w:bookmarkStart w:id="228" w:name="_Toc184314411"/>
      <w:bookmarkEnd w:id="228"/>
      <w:bookmarkStart w:id="229" w:name="_Toc184312085"/>
      <w:bookmarkEnd w:id="229"/>
      <w:bookmarkStart w:id="230" w:name="_Toc184313252"/>
      <w:bookmarkEnd w:id="230"/>
      <w:bookmarkStart w:id="231" w:name="_Toc184313254"/>
      <w:bookmarkEnd w:id="231"/>
      <w:bookmarkStart w:id="232" w:name="_Toc184312070"/>
      <w:bookmarkEnd w:id="232"/>
      <w:bookmarkStart w:id="233" w:name="_Toc184308100"/>
      <w:bookmarkEnd w:id="233"/>
      <w:bookmarkStart w:id="234" w:name="_Toc184313265"/>
      <w:bookmarkEnd w:id="234"/>
      <w:bookmarkStart w:id="235" w:name="_Toc184308072"/>
      <w:bookmarkEnd w:id="235"/>
      <w:bookmarkStart w:id="236" w:name="_Toc184314476"/>
      <w:bookmarkEnd w:id="236"/>
      <w:bookmarkStart w:id="237" w:name="_Toc184312098"/>
      <w:bookmarkEnd w:id="237"/>
      <w:bookmarkStart w:id="238" w:name="_Toc184310278"/>
      <w:bookmarkEnd w:id="238"/>
      <w:bookmarkStart w:id="239" w:name="_Toc184313275"/>
      <w:bookmarkEnd w:id="239"/>
      <w:bookmarkStart w:id="240" w:name="_Toc184310328"/>
      <w:bookmarkEnd w:id="240"/>
      <w:bookmarkStart w:id="241" w:name="_Toc184310310"/>
      <w:bookmarkEnd w:id="241"/>
      <w:bookmarkStart w:id="242" w:name="_Toc184312106"/>
      <w:bookmarkEnd w:id="242"/>
      <w:bookmarkStart w:id="243" w:name="_Toc184308092"/>
      <w:bookmarkEnd w:id="243"/>
      <w:bookmarkStart w:id="244" w:name="_Toc184310342"/>
      <w:bookmarkEnd w:id="244"/>
      <w:bookmarkStart w:id="245" w:name="_Toc184314478"/>
      <w:bookmarkEnd w:id="245"/>
      <w:bookmarkStart w:id="246" w:name="_Toc184310330"/>
      <w:bookmarkEnd w:id="246"/>
      <w:bookmarkStart w:id="247" w:name="_Toc184314431"/>
      <w:bookmarkEnd w:id="247"/>
      <w:bookmarkStart w:id="248" w:name="_Toc184313239"/>
      <w:bookmarkEnd w:id="248"/>
      <w:bookmarkStart w:id="249" w:name="_Toc184308103"/>
      <w:bookmarkEnd w:id="249"/>
      <w:bookmarkStart w:id="250" w:name="_Toc184310311"/>
      <w:bookmarkEnd w:id="250"/>
      <w:bookmarkStart w:id="251" w:name="_Toc184310335"/>
      <w:bookmarkEnd w:id="251"/>
      <w:bookmarkStart w:id="252" w:name="_Toc184312103"/>
      <w:bookmarkEnd w:id="252"/>
      <w:bookmarkStart w:id="253" w:name="_Toc184312110"/>
      <w:bookmarkEnd w:id="253"/>
      <w:bookmarkStart w:id="254" w:name="_Toc184314425"/>
      <w:bookmarkEnd w:id="254"/>
      <w:bookmarkStart w:id="255" w:name="_Toc184314443"/>
      <w:bookmarkEnd w:id="255"/>
      <w:bookmarkStart w:id="256" w:name="_Toc184310305"/>
      <w:bookmarkEnd w:id="256"/>
      <w:bookmarkStart w:id="257" w:name="_Toc184313306"/>
      <w:bookmarkEnd w:id="257"/>
      <w:bookmarkStart w:id="258" w:name="_Toc184314465"/>
      <w:bookmarkEnd w:id="258"/>
      <w:bookmarkStart w:id="259" w:name="_Toc184314422"/>
      <w:bookmarkEnd w:id="259"/>
      <w:bookmarkStart w:id="260" w:name="_Toc184310299"/>
      <w:bookmarkEnd w:id="260"/>
      <w:bookmarkStart w:id="261" w:name="_Toc184314441"/>
      <w:bookmarkEnd w:id="261"/>
      <w:bookmarkStart w:id="262" w:name="_Toc184313253"/>
      <w:bookmarkEnd w:id="262"/>
      <w:bookmarkStart w:id="263" w:name="_Toc184310292"/>
      <w:bookmarkEnd w:id="263"/>
      <w:bookmarkStart w:id="264" w:name="_Toc184310291"/>
      <w:bookmarkEnd w:id="264"/>
      <w:bookmarkStart w:id="265" w:name="_Toc184310329"/>
      <w:bookmarkEnd w:id="265"/>
      <w:bookmarkStart w:id="266" w:name="_Toc184312121"/>
      <w:bookmarkEnd w:id="266"/>
      <w:bookmarkStart w:id="267" w:name="_Toc184314412"/>
      <w:bookmarkEnd w:id="267"/>
      <w:bookmarkStart w:id="268" w:name="_Toc184310324"/>
      <w:bookmarkEnd w:id="268"/>
      <w:bookmarkStart w:id="269" w:name="_Toc184313257"/>
      <w:bookmarkEnd w:id="269"/>
      <w:bookmarkStart w:id="270" w:name="_Toc184313262"/>
      <w:bookmarkEnd w:id="270"/>
      <w:bookmarkStart w:id="271" w:name="_Toc184308044"/>
      <w:bookmarkEnd w:id="271"/>
      <w:bookmarkStart w:id="272" w:name="_Toc184314415"/>
      <w:bookmarkEnd w:id="272"/>
      <w:bookmarkStart w:id="273" w:name="_Toc184310294"/>
      <w:bookmarkEnd w:id="273"/>
      <w:bookmarkStart w:id="274" w:name="_Toc184313261"/>
      <w:bookmarkEnd w:id="274"/>
      <w:bookmarkStart w:id="275" w:name="_Toc184314457"/>
      <w:bookmarkEnd w:id="275"/>
      <w:bookmarkStart w:id="276" w:name="_Toc184312117"/>
      <w:bookmarkEnd w:id="276"/>
      <w:bookmarkStart w:id="277" w:name="_Toc184312119"/>
      <w:bookmarkEnd w:id="277"/>
      <w:bookmarkStart w:id="278" w:name="_Toc184312067"/>
      <w:bookmarkEnd w:id="278"/>
      <w:bookmarkStart w:id="279" w:name="_Toc184308062"/>
      <w:bookmarkEnd w:id="279"/>
      <w:bookmarkStart w:id="280" w:name="_Toc184310281"/>
      <w:bookmarkEnd w:id="280"/>
      <w:bookmarkStart w:id="281" w:name="_Toc184308040"/>
      <w:bookmarkEnd w:id="281"/>
      <w:bookmarkStart w:id="282" w:name="_Toc184310302"/>
      <w:bookmarkEnd w:id="282"/>
      <w:bookmarkStart w:id="283" w:name="_Toc184310325"/>
      <w:bookmarkEnd w:id="283"/>
      <w:bookmarkStart w:id="284" w:name="_Toc184308107"/>
      <w:bookmarkEnd w:id="284"/>
      <w:bookmarkStart w:id="285" w:name="_Toc184308095"/>
      <w:bookmarkEnd w:id="285"/>
      <w:bookmarkStart w:id="286" w:name="_Toc184308096"/>
      <w:bookmarkEnd w:id="286"/>
      <w:bookmarkStart w:id="287" w:name="_Toc184314434"/>
      <w:bookmarkEnd w:id="287"/>
      <w:bookmarkStart w:id="288" w:name="_Toc184310337"/>
      <w:bookmarkEnd w:id="288"/>
      <w:bookmarkStart w:id="289" w:name="_Toc184308086"/>
      <w:bookmarkEnd w:id="289"/>
      <w:bookmarkStart w:id="290" w:name="_Toc184313274"/>
      <w:bookmarkEnd w:id="290"/>
      <w:bookmarkStart w:id="291" w:name="_Toc184310289"/>
      <w:bookmarkEnd w:id="291"/>
      <w:bookmarkStart w:id="292" w:name="_Toc184312092"/>
      <w:bookmarkEnd w:id="292"/>
      <w:bookmarkStart w:id="293" w:name="_Toc184312091"/>
      <w:bookmarkEnd w:id="293"/>
      <w:bookmarkStart w:id="294" w:name="_Toc184314472"/>
      <w:bookmarkEnd w:id="294"/>
      <w:bookmarkStart w:id="295" w:name="_Toc184310309"/>
      <w:bookmarkEnd w:id="295"/>
      <w:bookmarkStart w:id="296" w:name="_Toc184310282"/>
      <w:bookmarkEnd w:id="296"/>
      <w:bookmarkStart w:id="297" w:name="_Toc184308058"/>
      <w:bookmarkEnd w:id="297"/>
      <w:bookmarkStart w:id="298" w:name="_Toc184314430"/>
      <w:bookmarkEnd w:id="298"/>
      <w:bookmarkStart w:id="299" w:name="_Toc184310274"/>
      <w:bookmarkEnd w:id="299"/>
      <w:bookmarkStart w:id="300" w:name="_Toc184313258"/>
      <w:bookmarkEnd w:id="300"/>
      <w:bookmarkStart w:id="301" w:name="_Toc184313250"/>
      <w:bookmarkEnd w:id="301"/>
      <w:bookmarkStart w:id="302" w:name="_Toc184313289"/>
      <w:bookmarkEnd w:id="302"/>
      <w:bookmarkStart w:id="303" w:name="_Toc184312071"/>
      <w:bookmarkEnd w:id="303"/>
      <w:bookmarkStart w:id="304" w:name="_Toc184314417"/>
      <w:bookmarkEnd w:id="304"/>
      <w:bookmarkStart w:id="305" w:name="_Toc184314437"/>
      <w:bookmarkEnd w:id="305"/>
      <w:bookmarkStart w:id="306" w:name="_Toc184314442"/>
      <w:bookmarkEnd w:id="306"/>
      <w:bookmarkStart w:id="307" w:name="_Toc184314461"/>
      <w:bookmarkEnd w:id="307"/>
      <w:bookmarkStart w:id="308" w:name="_Toc184314477"/>
      <w:bookmarkEnd w:id="308"/>
      <w:bookmarkStart w:id="309" w:name="_Toc184313281"/>
      <w:bookmarkEnd w:id="309"/>
      <w:bookmarkStart w:id="310" w:name="_Toc184314426"/>
      <w:bookmarkEnd w:id="310"/>
      <w:bookmarkStart w:id="311" w:name="_Toc184308064"/>
      <w:bookmarkEnd w:id="311"/>
      <w:bookmarkStart w:id="312" w:name="_Toc184313276"/>
      <w:bookmarkEnd w:id="312"/>
      <w:bookmarkStart w:id="313" w:name="_Toc184313285"/>
      <w:bookmarkEnd w:id="313"/>
      <w:bookmarkStart w:id="314" w:name="_Toc184314446"/>
      <w:bookmarkEnd w:id="314"/>
      <w:bookmarkStart w:id="315" w:name="_Toc184314429"/>
      <w:bookmarkEnd w:id="315"/>
      <w:bookmarkStart w:id="316" w:name="_Toc184310277"/>
      <w:bookmarkEnd w:id="316"/>
      <w:bookmarkStart w:id="317" w:name="_Toc184314455"/>
      <w:bookmarkEnd w:id="317"/>
      <w:bookmarkStart w:id="318" w:name="_Toc184314420"/>
      <w:bookmarkEnd w:id="318"/>
      <w:bookmarkStart w:id="319" w:name="_Toc184314466"/>
      <w:bookmarkEnd w:id="319"/>
      <w:bookmarkStart w:id="320" w:name="_Toc184308075"/>
      <w:bookmarkEnd w:id="320"/>
      <w:bookmarkStart w:id="321" w:name="_Toc184312099"/>
      <w:bookmarkEnd w:id="321"/>
      <w:bookmarkStart w:id="322" w:name="_Toc184313297"/>
      <w:bookmarkEnd w:id="322"/>
      <w:bookmarkStart w:id="323" w:name="_Toc184313286"/>
      <w:bookmarkEnd w:id="323"/>
      <w:bookmarkStart w:id="324" w:name="_Toc184308065"/>
      <w:bookmarkEnd w:id="324"/>
      <w:bookmarkStart w:id="325" w:name="_Toc184308042"/>
      <w:bookmarkEnd w:id="325"/>
      <w:bookmarkStart w:id="326" w:name="_Toc184312086"/>
      <w:bookmarkEnd w:id="326"/>
      <w:bookmarkStart w:id="327" w:name="_Toc184313242"/>
      <w:bookmarkEnd w:id="327"/>
      <w:bookmarkStart w:id="328" w:name="_Toc184308053"/>
      <w:bookmarkEnd w:id="328"/>
      <w:bookmarkStart w:id="329" w:name="_Toc184308061"/>
      <w:bookmarkEnd w:id="329"/>
      <w:bookmarkStart w:id="330" w:name="_Toc184308045"/>
      <w:bookmarkEnd w:id="330"/>
      <w:bookmarkStart w:id="331" w:name="_Toc184310293"/>
      <w:bookmarkEnd w:id="331"/>
      <w:bookmarkStart w:id="332" w:name="_Toc184313270"/>
      <w:bookmarkEnd w:id="332"/>
      <w:bookmarkStart w:id="333" w:name="_Toc184308043"/>
      <w:bookmarkEnd w:id="333"/>
      <w:bookmarkStart w:id="334" w:name="_Toc184312101"/>
      <w:bookmarkEnd w:id="334"/>
      <w:bookmarkStart w:id="335" w:name="_Toc184313264"/>
      <w:bookmarkEnd w:id="335"/>
      <w:bookmarkStart w:id="336" w:name="_Toc184310286"/>
      <w:bookmarkEnd w:id="336"/>
      <w:bookmarkStart w:id="337" w:name="_Toc184310279"/>
      <w:bookmarkEnd w:id="337"/>
      <w:bookmarkStart w:id="338" w:name="_Toc184310333"/>
      <w:bookmarkEnd w:id="338"/>
      <w:bookmarkStart w:id="339" w:name="_Toc184310312"/>
      <w:bookmarkEnd w:id="339"/>
      <w:bookmarkStart w:id="340" w:name="_Toc184312126"/>
      <w:bookmarkEnd w:id="340"/>
      <w:bookmarkStart w:id="341" w:name="_Toc184310301"/>
      <w:bookmarkEnd w:id="341"/>
      <w:bookmarkStart w:id="342" w:name="_Toc184314436"/>
      <w:bookmarkEnd w:id="342"/>
      <w:bookmarkStart w:id="343" w:name="_Toc184312088"/>
      <w:bookmarkEnd w:id="343"/>
      <w:bookmarkStart w:id="344" w:name="_Toc184310300"/>
      <w:bookmarkEnd w:id="344"/>
      <w:bookmarkStart w:id="345" w:name="_Toc184314452"/>
      <w:bookmarkEnd w:id="345"/>
      <w:bookmarkStart w:id="346" w:name="_Toc184312096"/>
      <w:bookmarkEnd w:id="346"/>
      <w:bookmarkStart w:id="347" w:name="_Toc184312105"/>
      <w:bookmarkEnd w:id="347"/>
      <w:bookmarkStart w:id="348" w:name="_Toc184313298"/>
      <w:bookmarkEnd w:id="348"/>
      <w:bookmarkStart w:id="349" w:name="_Toc184308073"/>
      <w:bookmarkEnd w:id="349"/>
      <w:bookmarkStart w:id="350" w:name="_Toc184314418"/>
      <w:bookmarkEnd w:id="350"/>
      <w:bookmarkStart w:id="351" w:name="_Toc184312079"/>
      <w:bookmarkEnd w:id="351"/>
      <w:bookmarkStart w:id="352" w:name="_Toc184313292"/>
      <w:bookmarkEnd w:id="352"/>
      <w:bookmarkStart w:id="353" w:name="_Toc184312087"/>
      <w:bookmarkEnd w:id="353"/>
      <w:bookmarkStart w:id="354" w:name="_Toc184314467"/>
      <w:bookmarkEnd w:id="354"/>
      <w:bookmarkStart w:id="355" w:name="_Toc184314451"/>
      <w:bookmarkEnd w:id="355"/>
      <w:bookmarkStart w:id="356" w:name="_Toc184314470"/>
      <w:bookmarkEnd w:id="356"/>
      <w:bookmarkStart w:id="357" w:name="_Toc184308063"/>
      <w:bookmarkEnd w:id="357"/>
      <w:bookmarkStart w:id="358" w:name="_Toc184308087"/>
      <w:bookmarkEnd w:id="358"/>
      <w:bookmarkStart w:id="359" w:name="_Toc184312139"/>
      <w:bookmarkEnd w:id="359"/>
      <w:bookmarkStart w:id="360" w:name="_Toc184308066"/>
      <w:bookmarkEnd w:id="360"/>
      <w:bookmarkStart w:id="361" w:name="_Toc184308059"/>
      <w:bookmarkEnd w:id="361"/>
      <w:bookmarkStart w:id="362" w:name="_Toc184312104"/>
      <w:bookmarkEnd w:id="362"/>
      <w:bookmarkStart w:id="363" w:name="_Toc184314463"/>
      <w:bookmarkEnd w:id="363"/>
      <w:bookmarkStart w:id="364" w:name="_Toc184310321"/>
      <w:bookmarkEnd w:id="364"/>
      <w:bookmarkStart w:id="365" w:name="_Toc184308048"/>
      <w:bookmarkEnd w:id="365"/>
      <w:bookmarkStart w:id="366" w:name="_Toc184312068"/>
      <w:bookmarkEnd w:id="366"/>
      <w:bookmarkStart w:id="367" w:name="_Toc184314449"/>
      <w:bookmarkEnd w:id="367"/>
      <w:bookmarkStart w:id="368" w:name="_Toc184313248"/>
      <w:bookmarkEnd w:id="368"/>
      <w:bookmarkStart w:id="369" w:name="_Toc184310326"/>
      <w:bookmarkEnd w:id="369"/>
      <w:bookmarkStart w:id="370" w:name="_Toc184313308"/>
      <w:bookmarkEnd w:id="370"/>
      <w:bookmarkStart w:id="371" w:name="_Toc184312107"/>
      <w:bookmarkEnd w:id="371"/>
      <w:bookmarkStart w:id="372" w:name="_Toc184310304"/>
      <w:bookmarkEnd w:id="372"/>
      <w:bookmarkStart w:id="373" w:name="_Toc184308052"/>
      <w:bookmarkEnd w:id="373"/>
      <w:bookmarkStart w:id="374" w:name="_Toc184314440"/>
      <w:bookmarkEnd w:id="374"/>
      <w:bookmarkStart w:id="375" w:name="_Toc184308105"/>
      <w:bookmarkEnd w:id="375"/>
      <w:bookmarkStart w:id="376" w:name="_Toc184310296"/>
      <w:bookmarkEnd w:id="376"/>
      <w:bookmarkStart w:id="377" w:name="_Toc184313251"/>
      <w:bookmarkEnd w:id="377"/>
      <w:bookmarkStart w:id="378" w:name="_Toc184314428"/>
      <w:bookmarkEnd w:id="378"/>
      <w:bookmarkStart w:id="379" w:name="_Toc184313247"/>
      <w:bookmarkEnd w:id="379"/>
      <w:bookmarkStart w:id="380" w:name="_Toc184310338"/>
      <w:bookmarkEnd w:id="380"/>
      <w:bookmarkStart w:id="381" w:name="_Toc184312125"/>
      <w:bookmarkEnd w:id="381"/>
      <w:bookmarkStart w:id="382" w:name="_Toc184312112"/>
      <w:bookmarkEnd w:id="382"/>
      <w:bookmarkStart w:id="383" w:name="_Toc184312083"/>
      <w:bookmarkEnd w:id="383"/>
      <w:bookmarkStart w:id="384" w:name="_Toc184312072"/>
      <w:bookmarkEnd w:id="384"/>
      <w:bookmarkStart w:id="385" w:name="_Toc184314414"/>
      <w:bookmarkEnd w:id="385"/>
      <w:bookmarkStart w:id="386" w:name="_Toc184314427"/>
      <w:bookmarkEnd w:id="386"/>
      <w:bookmarkStart w:id="387" w:name="_Toc184314413"/>
      <w:bookmarkEnd w:id="387"/>
      <w:bookmarkStart w:id="388" w:name="_Toc184313283"/>
      <w:bookmarkEnd w:id="388"/>
      <w:bookmarkStart w:id="389" w:name="_Toc184314438"/>
      <w:bookmarkEnd w:id="389"/>
      <w:bookmarkStart w:id="390" w:name="_Toc184312093"/>
      <w:bookmarkEnd w:id="390"/>
      <w:bookmarkStart w:id="391" w:name="_Toc184313269"/>
      <w:bookmarkEnd w:id="391"/>
      <w:bookmarkStart w:id="392" w:name="_Toc184308078"/>
      <w:bookmarkEnd w:id="392"/>
      <w:bookmarkStart w:id="393" w:name="_Toc184313271"/>
      <w:bookmarkEnd w:id="393"/>
      <w:bookmarkStart w:id="394" w:name="_Toc184313288"/>
      <w:bookmarkEnd w:id="394"/>
      <w:bookmarkStart w:id="395" w:name="_Toc184312100"/>
      <w:bookmarkEnd w:id="395"/>
      <w:bookmarkStart w:id="396" w:name="_Toc184313263"/>
      <w:bookmarkEnd w:id="396"/>
      <w:bookmarkStart w:id="397" w:name="_Toc184310303"/>
      <w:bookmarkEnd w:id="397"/>
      <w:bookmarkStart w:id="398" w:name="_Toc184313295"/>
      <w:bookmarkEnd w:id="398"/>
      <w:bookmarkStart w:id="399" w:name="_Toc184310285"/>
      <w:bookmarkEnd w:id="399"/>
      <w:bookmarkStart w:id="400" w:name="_Toc184314453"/>
      <w:bookmarkEnd w:id="400"/>
      <w:bookmarkStart w:id="401" w:name="_Toc184313304"/>
      <w:bookmarkEnd w:id="401"/>
      <w:bookmarkStart w:id="402" w:name="_Toc184308038"/>
      <w:bookmarkEnd w:id="402"/>
      <w:bookmarkStart w:id="403" w:name="_Toc184313302"/>
      <w:bookmarkEnd w:id="403"/>
      <w:bookmarkStart w:id="404" w:name="_Toc184312075"/>
      <w:bookmarkEnd w:id="404"/>
      <w:bookmarkStart w:id="405" w:name="_Toc184308055"/>
      <w:bookmarkEnd w:id="405"/>
      <w:bookmarkStart w:id="406" w:name="_Toc184313282"/>
      <w:bookmarkEnd w:id="406"/>
      <w:bookmarkStart w:id="407" w:name="_Toc184308079"/>
      <w:bookmarkEnd w:id="407"/>
      <w:bookmarkStart w:id="408" w:name="_Toc184313310"/>
      <w:bookmarkEnd w:id="408"/>
      <w:bookmarkStart w:id="409" w:name="_Toc184312133"/>
      <w:bookmarkEnd w:id="409"/>
      <w:bookmarkStart w:id="410" w:name="_Toc184313279"/>
      <w:bookmarkEnd w:id="410"/>
      <w:bookmarkStart w:id="411" w:name="_Toc184308093"/>
      <w:bookmarkEnd w:id="411"/>
      <w:bookmarkStart w:id="412" w:name="_Toc184310344"/>
      <w:bookmarkEnd w:id="412"/>
      <w:r>
        <w:rPr>
          <w:rFonts w:hint="eastAsia" w:ascii="宋体" w:hAnsi="宋体" w:cs="宋体"/>
          <w:b/>
          <w:sz w:val="36"/>
          <w:szCs w:val="36"/>
        </w:rPr>
        <w:t>评标办法</w:t>
      </w:r>
    </w:p>
    <w:p>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4"/>
        <w:tblW w:w="9104"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121"/>
        <w:gridCol w:w="706"/>
        <w:gridCol w:w="975"/>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90" w:type="dxa"/>
            <w:vAlign w:val="center"/>
          </w:tcPr>
          <w:p>
            <w:pPr>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w:t>
            </w:r>
            <w:r>
              <w:rPr>
                <w:rFonts w:hint="eastAsia" w:ascii="宋体" w:hAnsi="宋体" w:eastAsia="宋体" w:cs="宋体"/>
                <w:color w:val="auto"/>
                <w:kern w:val="0"/>
                <w:sz w:val="24"/>
                <w:highlight w:val="none"/>
              </w:rPr>
              <w:t>号</w:t>
            </w:r>
          </w:p>
        </w:tc>
        <w:tc>
          <w:tcPr>
            <w:tcW w:w="5121" w:type="dxa"/>
            <w:vAlign w:val="center"/>
          </w:tcPr>
          <w:p>
            <w:pPr>
              <w:spacing w:line="300" w:lineRule="auto"/>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w:t>
            </w:r>
          </w:p>
        </w:tc>
        <w:tc>
          <w:tcPr>
            <w:tcW w:w="706" w:type="dxa"/>
            <w:vAlign w:val="center"/>
          </w:tcPr>
          <w:p>
            <w:pPr>
              <w:spacing w:line="300" w:lineRule="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975" w:type="dxa"/>
            <w:vAlign w:val="center"/>
          </w:tcPr>
          <w:p>
            <w:pPr>
              <w:spacing w:line="300" w:lineRule="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主观分/客观分属性</w:t>
            </w:r>
          </w:p>
        </w:tc>
        <w:tc>
          <w:tcPr>
            <w:tcW w:w="1612" w:type="dxa"/>
            <w:vAlign w:val="center"/>
          </w:tcPr>
          <w:p>
            <w:pPr>
              <w:spacing w:line="300" w:lineRule="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90" w:type="dxa"/>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1</w:t>
            </w:r>
          </w:p>
        </w:tc>
        <w:tc>
          <w:tcPr>
            <w:tcW w:w="5121"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投标人具有在有效期内的质量管理体系证书、环境管理体系证书、职业健康安全管理体系证书；每项得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分，最高</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p>
            <w:pPr>
              <w:rPr>
                <w:rFonts w:hint="eastAsia" w:ascii="宋体" w:hAnsi="宋体" w:eastAsia="宋体" w:cs="宋体"/>
                <w:color w:val="auto"/>
                <w:highlight w:val="none"/>
              </w:rPr>
            </w:pPr>
            <w:r>
              <w:rPr>
                <w:rFonts w:hint="eastAsia" w:ascii="宋体" w:hAnsi="宋体" w:eastAsia="宋体" w:cs="宋体"/>
                <w:color w:val="auto"/>
                <w:sz w:val="24"/>
                <w:highlight w:val="none"/>
              </w:rPr>
              <w:t>证明材料：有效的认证证书复印件及全国认证认可信息公共服务平台（http://cx.cnca.cn/CertECloud/index/index/page）查询截图加盖公章。</w:t>
            </w:r>
          </w:p>
        </w:tc>
        <w:tc>
          <w:tcPr>
            <w:tcW w:w="706" w:type="dxa"/>
            <w:vAlign w:val="center"/>
          </w:tcPr>
          <w:p>
            <w:pPr>
              <w:snapToGrid w:val="0"/>
              <w:spacing w:line="360" w:lineRule="exact"/>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6</w:t>
            </w:r>
          </w:p>
        </w:tc>
        <w:tc>
          <w:tcPr>
            <w:tcW w:w="975" w:type="dxa"/>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客观</w:t>
            </w:r>
          </w:p>
        </w:tc>
        <w:tc>
          <w:tcPr>
            <w:tcW w:w="1612" w:type="dxa"/>
            <w:vAlign w:val="center"/>
          </w:tcPr>
          <w:p>
            <w:pPr>
              <w:snapToGrid w:val="0"/>
              <w:spacing w:line="360" w:lineRule="exact"/>
              <w:jc w:val="center"/>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认证</w:t>
            </w:r>
            <w:r>
              <w:rPr>
                <w:rFonts w:hint="eastAsia" w:ascii="宋体" w:hAnsi="宋体" w:eastAsia="宋体" w:cs="宋体"/>
                <w:color w:val="auto"/>
                <w:kern w:val="0"/>
                <w:sz w:val="24"/>
                <w:highlight w:val="none"/>
                <w:lang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投标人提供自202</w:t>
            </w:r>
            <w:r>
              <w:rPr>
                <w:rFonts w:hint="default" w:ascii="宋体" w:hAnsi="宋体" w:cs="宋体"/>
                <w:color w:val="auto"/>
                <w:kern w:val="0"/>
                <w:sz w:val="24"/>
                <w:highlight w:val="none"/>
              </w:rPr>
              <w:t>3</w:t>
            </w:r>
            <w:r>
              <w:rPr>
                <w:rFonts w:hint="eastAsia" w:ascii="宋体" w:hAnsi="宋体" w:eastAsia="宋体" w:cs="宋体"/>
                <w:color w:val="auto"/>
                <w:kern w:val="0"/>
                <w:sz w:val="24"/>
                <w:highlight w:val="none"/>
              </w:rPr>
              <w:t>年1月1日起（以合同签订时间为准）</w:t>
            </w:r>
            <w:r>
              <w:rPr>
                <w:rFonts w:hint="eastAsia" w:ascii="宋体" w:hAnsi="宋体" w:cs="宋体"/>
                <w:color w:val="auto"/>
                <w:kern w:val="0"/>
                <w:sz w:val="24"/>
                <w:highlight w:val="none"/>
                <w:lang w:val="en-US" w:eastAsia="zh-CN"/>
              </w:rPr>
              <w:t>同类物业</w:t>
            </w:r>
            <w:r>
              <w:rPr>
                <w:rFonts w:hint="eastAsia" w:ascii="宋体" w:hAnsi="宋体" w:eastAsia="宋体" w:cs="宋体"/>
                <w:color w:val="auto"/>
                <w:kern w:val="0"/>
                <w:sz w:val="24"/>
                <w:highlight w:val="none"/>
                <w:lang w:val="en-US" w:eastAsia="zh-CN"/>
              </w:rPr>
              <w:t>项目管理案例的</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rPr>
              <w:t>含街巷保洁），每个项目得</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分，本项最高得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分。注：投标文件中应提供证明材料复印件，投标文件中未提供证明材料复印件不得分。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1</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客观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落实《杭州市人民政府办公厅关于进一步解决环卫工人实际困难保障其合法权益的意见》（杭政办〔2008〕14号）情况。</w:t>
            </w:r>
          </w:p>
          <w:p>
            <w:pPr>
              <w:snapToGrid w:val="0"/>
              <w:spacing w:line="360" w:lineRule="exac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202</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年1月1日至今（以公告发布之日或通报文件生效之日为准），未发生过有关员工薪酬及权益保障方面的投诉、有责集体维权、被劳动部门处罚及被市级环卫主管部门通报批评的得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未发生过的，则响应文件中提供未发生过有关员工薪酬及权益保障方面的投诉、有责集体维权、被劳动部门处罚及被市级环卫主管部门通报批评的声明书，未提供声明书的不得分。若有隐瞒的取消其成交资格。</w:t>
            </w:r>
            <w:r>
              <w:rPr>
                <w:rFonts w:hint="eastAsia" w:ascii="宋体" w:hAnsi="宋体" w:cs="宋体"/>
                <w:color w:val="auto"/>
                <w:kern w:val="0"/>
                <w:sz w:val="24"/>
                <w:highlight w:val="none"/>
                <w:lang w:val="en-US" w:eastAsia="zh-CN"/>
              </w:rPr>
              <w:t>此项最高得2分。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2</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客观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员工薪资发放规范及权益保障情况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5121" w:type="dxa"/>
            <w:vAlign w:val="center"/>
          </w:tcPr>
          <w:p>
            <w:pPr>
              <w:snapToGrid w:val="0"/>
              <w:spacing w:line="36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投标人能根据本项目物业管理服务特点提出合理的物业</w:t>
            </w:r>
            <w:r>
              <w:rPr>
                <w:rFonts w:hint="eastAsia" w:ascii="宋体" w:hAnsi="宋体" w:eastAsia="宋体" w:cs="宋体"/>
                <w:color w:val="auto"/>
                <w:kern w:val="0"/>
                <w:sz w:val="24"/>
                <w:highlight w:val="none"/>
                <w:lang w:eastAsia="zh-CN"/>
              </w:rPr>
              <w:t>①</w:t>
            </w:r>
            <w:r>
              <w:rPr>
                <w:rFonts w:hint="eastAsia" w:ascii="宋体" w:hAnsi="宋体" w:eastAsia="宋体" w:cs="宋体"/>
                <w:color w:val="auto"/>
                <w:kern w:val="0"/>
                <w:sz w:val="24"/>
                <w:highlight w:val="none"/>
              </w:rPr>
              <w:t>服务理念、</w:t>
            </w:r>
            <w:r>
              <w:rPr>
                <w:rFonts w:hint="eastAsia" w:ascii="宋体" w:hAnsi="宋体" w:eastAsia="宋体" w:cs="宋体"/>
                <w:color w:val="auto"/>
                <w:kern w:val="0"/>
                <w:sz w:val="24"/>
                <w:highlight w:val="none"/>
                <w:lang w:eastAsia="zh-CN"/>
              </w:rPr>
              <w:t>②</w:t>
            </w:r>
            <w:r>
              <w:rPr>
                <w:rFonts w:hint="eastAsia" w:ascii="宋体" w:hAnsi="宋体" w:eastAsia="宋体" w:cs="宋体"/>
                <w:color w:val="auto"/>
                <w:kern w:val="0"/>
                <w:sz w:val="24"/>
                <w:highlight w:val="none"/>
              </w:rPr>
              <w:t>服务定位、</w:t>
            </w:r>
            <w:r>
              <w:rPr>
                <w:rFonts w:hint="eastAsia" w:ascii="宋体" w:hAnsi="宋体" w:eastAsia="宋体" w:cs="宋体"/>
                <w:color w:val="auto"/>
                <w:kern w:val="0"/>
                <w:sz w:val="24"/>
                <w:highlight w:val="none"/>
                <w:lang w:eastAsia="zh-CN"/>
              </w:rPr>
              <w:t>③</w:t>
            </w:r>
            <w:r>
              <w:rPr>
                <w:rFonts w:hint="eastAsia" w:ascii="宋体" w:hAnsi="宋体" w:eastAsia="宋体" w:cs="宋体"/>
                <w:color w:val="auto"/>
                <w:kern w:val="0"/>
                <w:sz w:val="24"/>
                <w:highlight w:val="none"/>
              </w:rPr>
              <w:t>服务目标。</w:t>
            </w:r>
            <w:r>
              <w:rPr>
                <w:rFonts w:hint="eastAsia" w:ascii="宋体" w:hAnsi="宋体" w:cs="宋体"/>
                <w:color w:val="auto"/>
                <w:kern w:val="0"/>
                <w:sz w:val="24"/>
                <w:highlight w:val="none"/>
                <w:lang w:eastAsia="zh-CN"/>
              </w:rPr>
              <w:t>每符合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项得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分</w:t>
            </w:r>
            <w:r>
              <w:rPr>
                <w:rFonts w:hint="eastAsia" w:ascii="宋体" w:hAnsi="宋体" w:cs="宋体"/>
                <w:i w:val="0"/>
                <w:iCs w:val="0"/>
                <w:snapToGrid w:val="0"/>
                <w:color w:val="auto"/>
                <w:kern w:val="2"/>
                <w:sz w:val="24"/>
                <w:szCs w:val="24"/>
                <w:highlight w:val="none"/>
                <w:u w:val="none"/>
                <w:lang w:eastAsia="zh-CN" w:bidi="ar-SA"/>
              </w:rPr>
              <w:t>，</w:t>
            </w:r>
            <w:r>
              <w:rPr>
                <w:rFonts w:hint="eastAsia" w:ascii="宋体" w:hAnsi="宋体" w:eastAsia="宋体" w:cs="宋体"/>
                <w:color w:val="auto"/>
                <w:kern w:val="0"/>
                <w:sz w:val="24"/>
                <w:highlight w:val="none"/>
              </w:rPr>
              <w:t>不符合不得分</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此项最高</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w:t>
            </w:r>
            <w:r>
              <w:rPr>
                <w:rFonts w:hint="eastAsia" w:ascii="宋体" w:hAnsi="宋体" w:cs="宋体"/>
                <w:color w:val="auto"/>
                <w:kern w:val="0"/>
                <w:sz w:val="24"/>
                <w:highlight w:val="none"/>
                <w:lang w:eastAsia="zh-CN"/>
              </w:rPr>
              <w:t>。</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0-</w:t>
            </w:r>
            <w:r>
              <w:rPr>
                <w:rFonts w:hint="eastAsia" w:ascii="宋体" w:hAnsi="宋体" w:eastAsia="宋体" w:cs="宋体"/>
                <w:color w:val="auto"/>
                <w:kern w:val="0"/>
                <w:sz w:val="24"/>
                <w:highlight w:val="none"/>
                <w:lang w:val="en-US" w:eastAsia="zh-CN"/>
              </w:rPr>
              <w:t>3</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5121" w:type="dxa"/>
            <w:vAlign w:val="center"/>
          </w:tcPr>
          <w:p>
            <w:pPr>
              <w:snapToGrid w:val="0"/>
              <w:spacing w:line="36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针对本项目有比较完善的组织架构得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分。能清晰简练地列出主要管理流程，包括①运作流程图、②激励机制、③监督机制、④自我约束机制、⑤信息反馈及处理机制。</w:t>
            </w:r>
            <w:r>
              <w:rPr>
                <w:rFonts w:hint="eastAsia" w:ascii="宋体" w:hAnsi="宋体" w:cs="宋体"/>
                <w:sz w:val="24"/>
                <w:highlight w:val="none"/>
                <w:lang w:val="en-US" w:eastAsia="zh-CN"/>
              </w:rPr>
              <w:t>内容完</w:t>
            </w:r>
            <w:r>
              <w:rPr>
                <w:rFonts w:hint="eastAsia" w:ascii="宋体" w:hAnsi="宋体" w:cs="宋体"/>
                <w:sz w:val="24"/>
                <w:highlight w:val="none"/>
              </w:rPr>
              <w:t>整、合理</w:t>
            </w:r>
            <w:r>
              <w:rPr>
                <w:rFonts w:hint="eastAsia" w:ascii="宋体" w:hAnsi="宋体" w:cs="宋体"/>
                <w:sz w:val="24"/>
                <w:highlight w:val="none"/>
                <w:lang w:eastAsia="zh-CN"/>
              </w:rPr>
              <w:t>的视为符合，</w:t>
            </w:r>
            <w:r>
              <w:rPr>
                <w:rFonts w:hint="eastAsia" w:ascii="宋体" w:hAnsi="宋体" w:cs="宋体"/>
                <w:color w:val="auto"/>
                <w:kern w:val="0"/>
                <w:sz w:val="24"/>
                <w:highlight w:val="none"/>
                <w:lang w:eastAsia="zh-CN"/>
              </w:rPr>
              <w:t>每</w:t>
            </w:r>
            <w:r>
              <w:rPr>
                <w:rFonts w:hint="eastAsia" w:ascii="宋体" w:hAnsi="宋体" w:eastAsia="宋体" w:cs="宋体"/>
                <w:color w:val="auto"/>
                <w:kern w:val="0"/>
                <w:sz w:val="24"/>
                <w:highlight w:val="none"/>
              </w:rPr>
              <w:t>符合1项得1分，不符合不得分</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此项最高</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分</w:t>
            </w:r>
            <w:r>
              <w:rPr>
                <w:rFonts w:hint="eastAsia" w:ascii="宋体" w:hAnsi="宋体" w:cs="宋体"/>
                <w:color w:val="auto"/>
                <w:kern w:val="0"/>
                <w:sz w:val="24"/>
                <w:highlight w:val="none"/>
                <w:lang w:eastAsia="zh-CN"/>
              </w:rPr>
              <w:t>。</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6</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组织架构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6</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根据相关法律法规及本项目的实际情况合理配备作业人员，提供作业人员配置计划表，评委根据投标文件响应情况及对有利于本项目实施的角度进行打分，</w:t>
            </w:r>
            <w:r>
              <w:rPr>
                <w:rFonts w:hint="eastAsia" w:ascii="宋体" w:hAnsi="宋体" w:eastAsia="宋体" w:cs="宋体"/>
                <w:color w:val="auto"/>
                <w:kern w:val="0"/>
                <w:sz w:val="24"/>
                <w:highlight w:val="none"/>
                <w:lang w:eastAsia="zh-CN"/>
              </w:rPr>
              <w:t>配置合理</w:t>
            </w:r>
            <w:r>
              <w:rPr>
                <w:rFonts w:hint="eastAsia" w:ascii="宋体" w:hAnsi="宋体" w:eastAsia="宋体" w:cs="宋体"/>
                <w:color w:val="auto"/>
                <w:kern w:val="0"/>
                <w:sz w:val="24"/>
                <w:highlight w:val="none"/>
              </w:rPr>
              <w:t>具</w:t>
            </w:r>
            <w:r>
              <w:rPr>
                <w:rFonts w:hint="eastAsia" w:ascii="宋体" w:hAnsi="宋体" w:eastAsia="宋体" w:cs="宋体"/>
                <w:color w:val="auto"/>
                <w:kern w:val="0"/>
                <w:sz w:val="24"/>
                <w:highlight w:val="none"/>
                <w:lang w:eastAsia="zh-CN"/>
              </w:rPr>
              <w:t>有</w:t>
            </w:r>
            <w:r>
              <w:rPr>
                <w:rFonts w:hint="eastAsia" w:ascii="宋体" w:hAnsi="宋体" w:eastAsia="宋体" w:cs="宋体"/>
                <w:color w:val="auto"/>
                <w:kern w:val="0"/>
                <w:sz w:val="24"/>
                <w:highlight w:val="none"/>
              </w:rPr>
              <w:t>科学性的得3分；配置</w:t>
            </w:r>
            <w:r>
              <w:rPr>
                <w:rFonts w:hint="eastAsia" w:ascii="宋体" w:hAnsi="宋体" w:eastAsia="宋体" w:cs="宋体"/>
                <w:color w:val="auto"/>
                <w:kern w:val="0"/>
                <w:sz w:val="24"/>
                <w:highlight w:val="none"/>
                <w:lang w:eastAsia="zh-CN"/>
              </w:rPr>
              <w:t>基本符合要求</w:t>
            </w:r>
            <w:r>
              <w:rPr>
                <w:rFonts w:hint="eastAsia" w:ascii="宋体" w:hAnsi="宋体" w:eastAsia="宋体" w:cs="宋体"/>
                <w:color w:val="auto"/>
                <w:kern w:val="0"/>
                <w:sz w:val="24"/>
                <w:highlight w:val="none"/>
              </w:rPr>
              <w:t>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w:t>
            </w:r>
            <w:r>
              <w:rPr>
                <w:rFonts w:hint="eastAsia" w:ascii="宋体" w:hAnsi="宋体" w:eastAsia="宋体" w:cs="宋体"/>
                <w:color w:val="auto"/>
                <w:kern w:val="0"/>
                <w:sz w:val="24"/>
                <w:highlight w:val="none"/>
                <w:lang w:eastAsia="zh-CN"/>
              </w:rPr>
              <w:t>不合理或</w:t>
            </w:r>
            <w:r>
              <w:rPr>
                <w:rFonts w:hint="eastAsia" w:ascii="宋体" w:hAnsi="宋体" w:eastAsia="宋体" w:cs="宋体"/>
                <w:color w:val="auto"/>
                <w:kern w:val="0"/>
                <w:sz w:val="24"/>
                <w:highlight w:val="none"/>
              </w:rPr>
              <w:t>未提供的不得分。</w:t>
            </w:r>
          </w:p>
        </w:tc>
        <w:tc>
          <w:tcPr>
            <w:tcW w:w="706" w:type="dxa"/>
            <w:vAlign w:val="center"/>
          </w:tcPr>
          <w:p>
            <w:pPr>
              <w:spacing w:line="300" w:lineRule="auto"/>
              <w:jc w:val="center"/>
              <w:outlineLvl w:val="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0-3</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人员保障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7</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投标人提供在本项目范围内设置（或承诺中标后设立）面积不少于10平方米休息站点并配备手机充电、热饭、提供开水、常用医用应急药品，针线包、书籍等功能的得2分；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提供休息站相关证明材料（已设有的提供：自有的提供自有产权证明和场地外观彩色照片，租赁的提供租赁合同复印件或相关证明文件复印件和场地外观彩色照片；未设有的提供承诺书），以上均未提供的不得分。</w:t>
            </w:r>
          </w:p>
        </w:tc>
        <w:tc>
          <w:tcPr>
            <w:tcW w:w="706" w:type="dxa"/>
            <w:vAlign w:val="center"/>
          </w:tcPr>
          <w:p>
            <w:pPr>
              <w:spacing w:line="300" w:lineRule="auto"/>
              <w:jc w:val="center"/>
              <w:outlineLvl w:val="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0-2</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客观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休息点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8</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针对本项目提出</w:t>
            </w:r>
            <w:r>
              <w:rPr>
                <w:rFonts w:hint="eastAsia" w:ascii="宋体" w:hAnsi="宋体" w:eastAsia="宋体" w:cs="宋体"/>
                <w:color w:val="auto"/>
                <w:kern w:val="0"/>
                <w:sz w:val="24"/>
                <w:highlight w:val="none"/>
                <w:lang w:eastAsia="zh-CN"/>
              </w:rPr>
              <w:t>①</w:t>
            </w:r>
            <w:r>
              <w:rPr>
                <w:rFonts w:hint="eastAsia" w:ascii="宋体" w:hAnsi="宋体" w:eastAsia="宋体" w:cs="宋体"/>
                <w:color w:val="auto"/>
                <w:kern w:val="0"/>
                <w:sz w:val="24"/>
                <w:highlight w:val="none"/>
              </w:rPr>
              <w:t>完善的物业管理制度；</w:t>
            </w:r>
            <w:r>
              <w:rPr>
                <w:rFonts w:hint="eastAsia" w:ascii="宋体" w:hAnsi="宋体" w:eastAsia="宋体" w:cs="宋体"/>
                <w:color w:val="auto"/>
                <w:kern w:val="0"/>
                <w:sz w:val="24"/>
                <w:highlight w:val="none"/>
                <w:lang w:eastAsia="zh-CN"/>
              </w:rPr>
              <w:t>②</w:t>
            </w:r>
            <w:r>
              <w:rPr>
                <w:rFonts w:hint="eastAsia" w:ascii="宋体" w:hAnsi="宋体" w:eastAsia="宋体" w:cs="宋体"/>
                <w:color w:val="auto"/>
                <w:kern w:val="0"/>
                <w:sz w:val="24"/>
                <w:highlight w:val="none"/>
              </w:rPr>
              <w:t>规范的作业流程；</w:t>
            </w:r>
            <w:r>
              <w:rPr>
                <w:rFonts w:hint="eastAsia" w:ascii="宋体" w:hAnsi="宋体" w:eastAsia="宋体" w:cs="宋体"/>
                <w:color w:val="auto"/>
                <w:kern w:val="0"/>
                <w:sz w:val="24"/>
                <w:highlight w:val="none"/>
                <w:lang w:eastAsia="zh-CN"/>
              </w:rPr>
              <w:t>③</w:t>
            </w:r>
            <w:r>
              <w:rPr>
                <w:rFonts w:hint="eastAsia" w:ascii="宋体" w:hAnsi="宋体" w:eastAsia="宋体" w:cs="宋体"/>
                <w:color w:val="auto"/>
                <w:kern w:val="0"/>
                <w:sz w:val="24"/>
                <w:highlight w:val="none"/>
              </w:rPr>
              <w:t>合理的物业管理工作计划；符合1项得1分，不符合不得分，最高3分。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0-3</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9</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针对本项目的理解和熟悉程度提出的项目关键点和重难点，针对提出的关键点和重难点，提出的合理化建议。根据可行性情况等进行评分，</w:t>
            </w:r>
            <w:r>
              <w:rPr>
                <w:rFonts w:hint="eastAsia" w:ascii="宋体" w:hAnsi="宋体" w:eastAsia="宋体" w:cs="宋体"/>
                <w:color w:val="auto"/>
                <w:kern w:val="0"/>
                <w:sz w:val="24"/>
                <w:highlight w:val="none"/>
                <w:lang w:eastAsia="zh-CN"/>
              </w:rPr>
              <w:t>分析符合实际情况且建议科学合理有操作性</w:t>
            </w:r>
            <w:r>
              <w:rPr>
                <w:rFonts w:hint="eastAsia" w:ascii="宋体" w:hAnsi="宋体" w:cs="宋体"/>
                <w:color w:val="auto"/>
                <w:kern w:val="0"/>
                <w:sz w:val="24"/>
                <w:highlight w:val="none"/>
                <w:lang w:eastAsia="zh-CN"/>
              </w:rPr>
              <w:t>的</w:t>
            </w:r>
            <w:r>
              <w:rPr>
                <w:rFonts w:hint="eastAsia" w:ascii="宋体" w:hAnsi="宋体" w:eastAsia="宋体" w:cs="宋体"/>
                <w:color w:val="auto"/>
                <w:kern w:val="0"/>
                <w:sz w:val="24"/>
                <w:highlight w:val="none"/>
                <w:lang w:eastAsia="zh-CN"/>
              </w:rPr>
              <w:t>视为符合。符合得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eastAsia="zh-CN"/>
              </w:rPr>
              <w:t>分，部分符合得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分，不符合不得分。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2</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关键点和重难点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690" w:type="dxa"/>
            <w:vAlign w:val="center"/>
          </w:tcPr>
          <w:p>
            <w:pPr>
              <w:snapToGrid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5121" w:type="dxa"/>
            <w:vAlign w:val="center"/>
          </w:tcPr>
          <w:p>
            <w:pPr>
              <w:snapToGrid w:val="0"/>
              <w:spacing w:line="36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针对本项目提出的保洁方案；①区域内日常清保洁服务；②业主装修垃圾的处理；③道路、水沟养护等；④</w:t>
            </w:r>
            <w:r>
              <w:rPr>
                <w:rFonts w:hint="eastAsia" w:ascii="宋体" w:hAnsi="宋体" w:cs="宋体"/>
                <w:color w:val="auto"/>
                <w:kern w:val="0"/>
                <w:sz w:val="24"/>
                <w:highlight w:val="none"/>
                <w:lang w:eastAsia="zh-CN"/>
              </w:rPr>
              <w:t>公共区域</w:t>
            </w:r>
            <w:r>
              <w:rPr>
                <w:rFonts w:hint="eastAsia" w:ascii="宋体" w:hAnsi="宋体" w:eastAsia="宋体" w:cs="宋体"/>
                <w:color w:val="auto"/>
                <w:kern w:val="0"/>
                <w:sz w:val="24"/>
                <w:highlight w:val="none"/>
              </w:rPr>
              <w:t>环境卫生的处理；⑤楼道卫生死角、乱堆乱放、乱贴乱画等情况的处理；方案根据服务区域内实际情况设计，能满足服务质量标准</w:t>
            </w:r>
            <w:r>
              <w:rPr>
                <w:rFonts w:hint="eastAsia" w:ascii="宋体" w:hAnsi="宋体" w:cs="宋体"/>
                <w:color w:val="auto"/>
                <w:kern w:val="0"/>
                <w:sz w:val="24"/>
                <w:highlight w:val="none"/>
                <w:lang w:eastAsia="zh-CN"/>
              </w:rPr>
              <w:t>，每</w:t>
            </w:r>
            <w:r>
              <w:rPr>
                <w:rFonts w:hint="eastAsia" w:ascii="宋体" w:hAnsi="宋体" w:eastAsia="宋体" w:cs="宋体"/>
                <w:color w:val="auto"/>
                <w:kern w:val="0"/>
                <w:sz w:val="24"/>
                <w:highlight w:val="none"/>
              </w:rPr>
              <w:t>符合1项得1分，不符合不得分</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此项最高5分</w:t>
            </w:r>
            <w:r>
              <w:rPr>
                <w:rFonts w:hint="eastAsia" w:ascii="宋体" w:hAnsi="宋体" w:cs="宋体"/>
                <w:color w:val="auto"/>
                <w:kern w:val="0"/>
                <w:sz w:val="24"/>
                <w:highlight w:val="none"/>
                <w:lang w:eastAsia="zh-CN"/>
              </w:rPr>
              <w:t>。</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保洁管理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90" w:type="dxa"/>
            <w:vAlign w:val="center"/>
          </w:tcPr>
          <w:p>
            <w:pPr>
              <w:snapToGrid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针对本项目提出的秩序服务方案有①公共秩序维护服务；②巡查管理，台账记录；③车辆管理服务；④街道应急服务的配合；方案根据服务区域内实际情况设计，能满足服务质量标准</w:t>
            </w:r>
            <w:r>
              <w:rPr>
                <w:rFonts w:hint="eastAsia" w:ascii="宋体" w:hAnsi="宋体" w:cs="宋体"/>
                <w:color w:val="auto"/>
                <w:kern w:val="0"/>
                <w:sz w:val="24"/>
                <w:highlight w:val="none"/>
                <w:lang w:eastAsia="zh-CN"/>
              </w:rPr>
              <w:t>，每</w:t>
            </w:r>
            <w:r>
              <w:rPr>
                <w:rFonts w:hint="eastAsia" w:ascii="宋体" w:hAnsi="宋体" w:eastAsia="宋体" w:cs="宋体"/>
                <w:color w:val="auto"/>
                <w:kern w:val="0"/>
                <w:sz w:val="24"/>
                <w:highlight w:val="none"/>
              </w:rPr>
              <w:t>符合1项</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lang w:val="en-US" w:eastAsia="zh-CN"/>
              </w:rPr>
              <w:t>2分</w:t>
            </w:r>
            <w:r>
              <w:rPr>
                <w:rFonts w:hint="eastAsia" w:ascii="宋体" w:hAnsi="宋体" w:eastAsia="宋体" w:cs="宋体"/>
                <w:color w:val="auto"/>
                <w:kern w:val="0"/>
                <w:sz w:val="24"/>
                <w:highlight w:val="none"/>
              </w:rPr>
              <w:t>，部分</w:t>
            </w:r>
            <w:r>
              <w:rPr>
                <w:rFonts w:hint="eastAsia" w:ascii="宋体" w:hAnsi="宋体" w:eastAsia="宋体" w:cs="宋体"/>
                <w:color w:val="auto"/>
                <w:kern w:val="0"/>
                <w:sz w:val="24"/>
                <w:highlight w:val="none"/>
                <w:lang w:eastAsia="zh-CN"/>
              </w:rPr>
              <w:t>符合的</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不符合不得分；此项最高8分。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0-8</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秩序管理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2</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针对本项目提出的工程维修实施方案有①日常零星维修方案；②急修处理方案③周末、节假日维修工作的保障方案。方案根据服务区域内实际情况设计，能满足服务质量标准</w:t>
            </w:r>
            <w:r>
              <w:rPr>
                <w:rFonts w:hint="eastAsia" w:ascii="宋体" w:hAnsi="宋体" w:cs="宋体"/>
                <w:color w:val="auto"/>
                <w:kern w:val="0"/>
                <w:sz w:val="24"/>
                <w:highlight w:val="none"/>
                <w:lang w:eastAsia="zh-CN"/>
              </w:rPr>
              <w:t>，每</w:t>
            </w:r>
            <w:r>
              <w:rPr>
                <w:rFonts w:hint="eastAsia" w:ascii="宋体" w:hAnsi="宋体" w:eastAsia="宋体" w:cs="宋体"/>
                <w:color w:val="auto"/>
                <w:kern w:val="0"/>
                <w:sz w:val="24"/>
                <w:highlight w:val="none"/>
              </w:rPr>
              <w:t>符合1项</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lang w:val="en-US" w:eastAsia="zh-CN"/>
              </w:rPr>
              <w:t>2分</w:t>
            </w:r>
            <w:r>
              <w:rPr>
                <w:rFonts w:hint="eastAsia" w:ascii="宋体" w:hAnsi="宋体" w:eastAsia="宋体" w:cs="宋体"/>
                <w:color w:val="auto"/>
                <w:kern w:val="0"/>
                <w:sz w:val="24"/>
                <w:highlight w:val="none"/>
              </w:rPr>
              <w:t>，部分</w:t>
            </w:r>
            <w:r>
              <w:rPr>
                <w:rFonts w:hint="eastAsia" w:ascii="宋体" w:hAnsi="宋体" w:eastAsia="宋体" w:cs="宋体"/>
                <w:color w:val="auto"/>
                <w:kern w:val="0"/>
                <w:sz w:val="24"/>
                <w:highlight w:val="none"/>
                <w:lang w:eastAsia="zh-CN"/>
              </w:rPr>
              <w:t>符合的</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不符合不得分；此项最高6分。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0-6</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3</w:t>
            </w:r>
          </w:p>
        </w:tc>
        <w:tc>
          <w:tcPr>
            <w:tcW w:w="5121" w:type="dxa"/>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针对本项目</w:t>
            </w:r>
            <w:r>
              <w:rPr>
                <w:rFonts w:hint="eastAsia" w:ascii="宋体" w:hAnsi="宋体" w:cs="宋体"/>
                <w:color w:val="auto"/>
                <w:kern w:val="0"/>
                <w:sz w:val="24"/>
                <w:highlight w:val="none"/>
                <w:lang w:eastAsia="zh-CN"/>
              </w:rPr>
              <w:t>提出的绿化养护方案有</w:t>
            </w:r>
            <w:r>
              <w:rPr>
                <w:rFonts w:hint="eastAsia" w:ascii="宋体" w:hAnsi="宋体" w:eastAsia="宋体" w:cs="宋体"/>
                <w:color w:val="auto"/>
                <w:kern w:val="0"/>
                <w:sz w:val="24"/>
                <w:highlight w:val="none"/>
              </w:rPr>
              <w:t>①树木、花草、色块等的日常养护和管理及周边绿化的养护；②绿化应急处理、虫害的防治方法等。方案根据服务区域内实际情况设计，能满足服务质量标准</w:t>
            </w:r>
            <w:r>
              <w:rPr>
                <w:rFonts w:hint="eastAsia" w:ascii="宋体" w:hAnsi="宋体" w:cs="宋体"/>
                <w:color w:val="auto"/>
                <w:kern w:val="0"/>
                <w:sz w:val="24"/>
                <w:highlight w:val="none"/>
                <w:lang w:eastAsia="zh-CN"/>
              </w:rPr>
              <w:t>，每</w:t>
            </w:r>
            <w:r>
              <w:rPr>
                <w:rFonts w:hint="eastAsia" w:ascii="宋体" w:hAnsi="宋体" w:eastAsia="宋体" w:cs="宋体"/>
                <w:color w:val="auto"/>
                <w:kern w:val="0"/>
                <w:sz w:val="24"/>
                <w:highlight w:val="none"/>
              </w:rPr>
              <w:t>符合1项</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lang w:val="en-US" w:eastAsia="zh-CN"/>
              </w:rPr>
              <w:t>2分</w:t>
            </w:r>
            <w:r>
              <w:rPr>
                <w:rFonts w:hint="eastAsia" w:ascii="宋体" w:hAnsi="宋体" w:eastAsia="宋体" w:cs="宋体"/>
                <w:color w:val="auto"/>
                <w:kern w:val="0"/>
                <w:sz w:val="24"/>
                <w:highlight w:val="none"/>
              </w:rPr>
              <w:t>，部分</w:t>
            </w:r>
            <w:r>
              <w:rPr>
                <w:rFonts w:hint="eastAsia" w:ascii="宋体" w:hAnsi="宋体" w:eastAsia="宋体" w:cs="宋体"/>
                <w:color w:val="auto"/>
                <w:kern w:val="0"/>
                <w:sz w:val="24"/>
                <w:highlight w:val="none"/>
                <w:lang w:eastAsia="zh-CN"/>
              </w:rPr>
              <w:t>符合的</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不符合不得分；此项最高4分。</w:t>
            </w:r>
          </w:p>
        </w:tc>
        <w:tc>
          <w:tcPr>
            <w:tcW w:w="706"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0-4</w:t>
            </w:r>
          </w:p>
        </w:tc>
        <w:tc>
          <w:tcPr>
            <w:tcW w:w="975"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w:t>
            </w:r>
          </w:p>
        </w:tc>
        <w:tc>
          <w:tcPr>
            <w:tcW w:w="1612" w:type="dxa"/>
            <w:vAlign w:val="center"/>
          </w:tcPr>
          <w:p>
            <w:pPr>
              <w:snapToGrid w:val="0"/>
              <w:spacing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690" w:type="dxa"/>
            <w:vAlign w:val="center"/>
          </w:tcPr>
          <w:p>
            <w:pPr>
              <w:snapToGrid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5121" w:type="dxa"/>
            <w:shd w:val="clear" w:color="auto" w:fill="auto"/>
            <w:vAlign w:val="center"/>
          </w:tcPr>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投标人提供过渡计划实施方案：①企业进、出场交接计划措施；②平稳过渡实施方案等相关措施；③硬件方面（人员、场地、设备等）全部配备到位。从完整性、合理性、可行性方面进行评分，能满足服务质量标准</w:t>
            </w:r>
            <w:r>
              <w:rPr>
                <w:rFonts w:hint="eastAsia" w:ascii="宋体" w:hAnsi="宋体" w:cs="宋体"/>
                <w:color w:val="auto"/>
                <w:kern w:val="0"/>
                <w:sz w:val="24"/>
                <w:highlight w:val="none"/>
                <w:lang w:eastAsia="zh-CN"/>
              </w:rPr>
              <w:t>的每项</w:t>
            </w:r>
            <w:r>
              <w:rPr>
                <w:rFonts w:hint="eastAsia" w:ascii="宋体" w:hAnsi="宋体" w:eastAsia="宋体" w:cs="宋体"/>
                <w:color w:val="auto"/>
                <w:kern w:val="0"/>
                <w:sz w:val="24"/>
                <w:highlight w:val="none"/>
              </w:rPr>
              <w:t>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分，部分符合</w:t>
            </w:r>
            <w:r>
              <w:rPr>
                <w:rFonts w:hint="eastAsia" w:ascii="宋体" w:hAnsi="宋体" w:cs="宋体"/>
                <w:color w:val="auto"/>
                <w:kern w:val="0"/>
                <w:sz w:val="24"/>
                <w:highlight w:val="none"/>
                <w:lang w:eastAsia="zh-CN"/>
              </w:rPr>
              <w:t>每项</w:t>
            </w:r>
            <w:r>
              <w:rPr>
                <w:rFonts w:hint="eastAsia" w:ascii="宋体" w:hAnsi="宋体" w:eastAsia="宋体" w:cs="宋体"/>
                <w:color w:val="auto"/>
                <w:kern w:val="0"/>
                <w:sz w:val="24"/>
                <w:highlight w:val="none"/>
              </w:rPr>
              <w:t>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分，不符合不得分。 本项最高得</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分。</w:t>
            </w:r>
          </w:p>
        </w:tc>
        <w:tc>
          <w:tcPr>
            <w:tcW w:w="706" w:type="dxa"/>
            <w:shd w:val="clear" w:color="auto" w:fill="auto"/>
            <w:vAlign w:val="center"/>
          </w:tcPr>
          <w:p>
            <w:pPr>
              <w:snapToGrid w:val="0"/>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6</w:t>
            </w:r>
          </w:p>
        </w:tc>
        <w:tc>
          <w:tcPr>
            <w:tcW w:w="975"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主观</w:t>
            </w:r>
          </w:p>
        </w:tc>
        <w:tc>
          <w:tcPr>
            <w:tcW w:w="1612"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平稳过渡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5</w:t>
            </w:r>
          </w:p>
        </w:tc>
        <w:tc>
          <w:tcPr>
            <w:tcW w:w="5121" w:type="dxa"/>
            <w:shd w:val="clear" w:color="auto" w:fill="auto"/>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评标委员会根据供应商的拟投入本项目的人员配置情况进行评议：</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1、项目经理（0-</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A、年龄50周岁及以下得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分；具有本科及以上学历得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B、具有</w:t>
            </w:r>
            <w:r>
              <w:rPr>
                <w:rFonts w:hint="eastAsia" w:ascii="宋体" w:hAnsi="宋体" w:eastAsia="宋体" w:cs="宋体"/>
                <w:color w:val="auto"/>
                <w:kern w:val="0"/>
                <w:sz w:val="24"/>
                <w:highlight w:val="none"/>
                <w:lang w:val="en-US" w:eastAsia="zh-CN"/>
              </w:rPr>
              <w:t>人社发的</w:t>
            </w:r>
            <w:r>
              <w:rPr>
                <w:rFonts w:hint="eastAsia" w:ascii="宋体" w:hAnsi="宋体" w:cs="宋体"/>
                <w:color w:val="auto"/>
                <w:kern w:val="0"/>
                <w:sz w:val="24"/>
                <w:highlight w:val="none"/>
                <w:lang w:val="en-US" w:eastAsia="zh-CN"/>
              </w:rPr>
              <w:t>助理</w:t>
            </w:r>
            <w:r>
              <w:rPr>
                <w:rFonts w:hint="eastAsia" w:ascii="宋体" w:hAnsi="宋体" w:eastAsia="宋体" w:cs="宋体"/>
                <w:color w:val="auto"/>
                <w:kern w:val="0"/>
                <w:sz w:val="24"/>
                <w:highlight w:val="none"/>
                <w:lang w:val="en-US" w:eastAsia="zh-CN"/>
              </w:rPr>
              <w:t>工程师</w:t>
            </w:r>
            <w:r>
              <w:rPr>
                <w:rFonts w:hint="eastAsia" w:ascii="宋体" w:hAnsi="宋体" w:cs="宋体"/>
                <w:color w:val="auto"/>
                <w:kern w:val="0"/>
                <w:sz w:val="24"/>
                <w:highlight w:val="none"/>
                <w:lang w:val="en-US" w:eastAsia="zh-CN"/>
              </w:rPr>
              <w:t>及以上证书</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w:t>
            </w:r>
            <w:r>
              <w:rPr>
                <w:rFonts w:hint="eastAsia" w:ascii="宋体" w:hAnsi="宋体" w:cs="宋体"/>
                <w:color w:val="auto"/>
                <w:kern w:val="0"/>
                <w:sz w:val="24"/>
                <w:highlight w:val="none"/>
                <w:lang w:eastAsia="zh-CN"/>
              </w:rPr>
              <w:t>具有</w:t>
            </w:r>
            <w:r>
              <w:rPr>
                <w:rFonts w:hint="eastAsia" w:ascii="宋体" w:hAnsi="宋体" w:cs="宋体"/>
                <w:color w:val="auto"/>
                <w:kern w:val="0"/>
                <w:sz w:val="24"/>
                <w:highlight w:val="none"/>
                <w:lang w:val="en-US" w:eastAsia="zh-CN"/>
              </w:rPr>
              <w:t>小区</w:t>
            </w:r>
            <w:r>
              <w:rPr>
                <w:rFonts w:hint="eastAsia" w:ascii="宋体" w:hAnsi="宋体" w:eastAsia="宋体" w:cs="宋体"/>
                <w:color w:val="auto"/>
                <w:sz w:val="24"/>
                <w:highlight w:val="none"/>
              </w:rPr>
              <w:t>物业管理经验</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年及以上得1分；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D、</w:t>
            </w:r>
            <w:r>
              <w:rPr>
                <w:rFonts w:hint="eastAsia" w:ascii="宋体" w:hAnsi="宋体" w:eastAsia="宋体" w:cs="宋体"/>
                <w:color w:val="auto"/>
                <w:kern w:val="0"/>
                <w:sz w:val="24"/>
                <w:highlight w:val="none"/>
              </w:rPr>
              <w:t>具有</w:t>
            </w:r>
            <w:r>
              <w:rPr>
                <w:rFonts w:hint="eastAsia" w:ascii="宋体" w:hAnsi="宋体" w:eastAsia="宋体" w:cs="宋体"/>
                <w:color w:val="auto"/>
                <w:kern w:val="0"/>
                <w:sz w:val="24"/>
                <w:highlight w:val="none"/>
                <w:lang w:val="en-US" w:eastAsia="zh-CN"/>
              </w:rPr>
              <w:t>红十字救</w:t>
            </w:r>
            <w:r>
              <w:rPr>
                <w:rFonts w:hint="eastAsia" w:ascii="宋体" w:hAnsi="宋体" w:cs="宋体"/>
                <w:color w:val="auto"/>
                <w:kern w:val="0"/>
                <w:sz w:val="24"/>
                <w:highlight w:val="none"/>
                <w:lang w:val="en-US" w:eastAsia="zh-CN"/>
              </w:rPr>
              <w:t>护员</w:t>
            </w:r>
            <w:r>
              <w:rPr>
                <w:rFonts w:hint="eastAsia" w:ascii="宋体" w:hAnsi="宋体" w:eastAsia="宋体" w:cs="宋体"/>
                <w:color w:val="auto"/>
                <w:kern w:val="0"/>
                <w:sz w:val="24"/>
                <w:highlight w:val="none"/>
                <w:lang w:val="en-US" w:eastAsia="zh-CN"/>
              </w:rPr>
              <w:t>证</w:t>
            </w:r>
            <w:r>
              <w:rPr>
                <w:rFonts w:hint="eastAsia" w:ascii="宋体" w:hAnsi="宋体" w:eastAsia="宋体" w:cs="宋体"/>
                <w:color w:val="auto"/>
                <w:kern w:val="0"/>
                <w:sz w:val="24"/>
                <w:highlight w:val="none"/>
              </w:rPr>
              <w:t>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2、工程</w:t>
            </w:r>
            <w:r>
              <w:rPr>
                <w:rFonts w:hint="eastAsia" w:ascii="宋体" w:hAnsi="宋体" w:eastAsia="宋体" w:cs="宋体"/>
                <w:color w:val="auto"/>
                <w:kern w:val="0"/>
                <w:sz w:val="24"/>
                <w:highlight w:val="none"/>
                <w:lang w:val="en-US" w:eastAsia="zh-CN"/>
              </w:rPr>
              <w:t>主管</w:t>
            </w:r>
            <w:r>
              <w:rPr>
                <w:rFonts w:hint="eastAsia" w:ascii="宋体" w:hAnsi="宋体" w:eastAsia="宋体" w:cs="宋体"/>
                <w:color w:val="auto"/>
                <w:kern w:val="0"/>
                <w:sz w:val="24"/>
                <w:highlight w:val="none"/>
              </w:rPr>
              <w:t>（0-</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w:t>
            </w:r>
            <w:r>
              <w:rPr>
                <w:rFonts w:hint="eastAsia" w:ascii="宋体" w:hAnsi="宋体" w:eastAsia="宋体" w:cs="宋体"/>
                <w:color w:val="auto"/>
                <w:kern w:val="0"/>
                <w:sz w:val="24"/>
                <w:highlight w:val="none"/>
                <w:lang w:val="en-US" w:eastAsia="zh-CN"/>
              </w:rPr>
              <w:t>年龄</w:t>
            </w:r>
            <w:r>
              <w:rPr>
                <w:rFonts w:hint="eastAsia" w:ascii="宋体" w:hAnsi="宋体" w:eastAsia="宋体" w:cs="宋体"/>
                <w:color w:val="auto"/>
                <w:kern w:val="0"/>
                <w:sz w:val="24"/>
                <w:highlight w:val="none"/>
              </w:rPr>
              <w:t>在</w:t>
            </w:r>
            <w:r>
              <w:rPr>
                <w:rFonts w:hint="eastAsia" w:ascii="宋体" w:hAnsi="宋体" w:cs="宋体"/>
                <w:color w:val="auto"/>
                <w:kern w:val="0"/>
                <w:sz w:val="24"/>
                <w:highlight w:val="none"/>
                <w:lang w:val="en-US" w:eastAsia="zh-CN"/>
              </w:rPr>
              <w:t>40</w:t>
            </w:r>
            <w:r>
              <w:rPr>
                <w:rFonts w:hint="eastAsia" w:ascii="宋体" w:hAnsi="宋体" w:eastAsia="宋体" w:cs="宋体"/>
                <w:color w:val="auto"/>
                <w:kern w:val="0"/>
                <w:sz w:val="24"/>
                <w:highlight w:val="none"/>
              </w:rPr>
              <w:t>周岁及以下得</w:t>
            </w:r>
            <w:r>
              <w:rPr>
                <w:rFonts w:hint="eastAsia" w:ascii="宋体" w:hAnsi="宋体" w:eastAsia="宋体" w:cs="宋体"/>
                <w:color w:val="auto"/>
                <w:kern w:val="0"/>
                <w:sz w:val="24"/>
                <w:highlight w:val="none"/>
                <w:lang w:val="en-US" w:eastAsia="zh-CN"/>
              </w:rPr>
              <w:t>0.5</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B、具有大专及以上学历得0.5分；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3、保安主管（0-</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A、年龄</w:t>
            </w:r>
            <w:r>
              <w:rPr>
                <w:rFonts w:hint="eastAsia" w:ascii="宋体" w:hAnsi="宋体" w:eastAsia="宋体" w:cs="宋体"/>
                <w:color w:val="auto"/>
                <w:kern w:val="0"/>
                <w:sz w:val="24"/>
                <w:highlight w:val="none"/>
                <w:lang w:val="en-US" w:eastAsia="zh-CN"/>
              </w:rPr>
              <w:t>35</w:t>
            </w:r>
            <w:r>
              <w:rPr>
                <w:rFonts w:hint="eastAsia" w:ascii="宋体" w:hAnsi="宋体" w:eastAsia="宋体" w:cs="宋体"/>
                <w:color w:val="auto"/>
                <w:kern w:val="0"/>
                <w:sz w:val="24"/>
                <w:highlight w:val="none"/>
              </w:rPr>
              <w:t>周岁及以下得0.5分；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B、具有</w:t>
            </w:r>
            <w:r>
              <w:rPr>
                <w:rFonts w:hint="eastAsia" w:ascii="宋体" w:hAnsi="宋体" w:eastAsia="宋体" w:cs="宋体"/>
                <w:color w:val="auto"/>
                <w:kern w:val="0"/>
                <w:sz w:val="24"/>
                <w:highlight w:val="none"/>
                <w:lang w:val="en-US" w:eastAsia="zh-CN"/>
              </w:rPr>
              <w:t>本科</w:t>
            </w:r>
            <w:r>
              <w:rPr>
                <w:rFonts w:hint="eastAsia" w:ascii="宋体" w:hAnsi="宋体" w:eastAsia="宋体" w:cs="宋体"/>
                <w:color w:val="auto"/>
                <w:kern w:val="0"/>
                <w:sz w:val="24"/>
                <w:highlight w:val="none"/>
              </w:rPr>
              <w:t>及以上学历得0.5分；</w:t>
            </w:r>
          </w:p>
          <w:p>
            <w:pPr>
              <w:pStyle w:val="6"/>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保</w:t>
            </w:r>
            <w:r>
              <w:rPr>
                <w:rFonts w:hint="eastAsia" w:ascii="宋体" w:hAnsi="宋体" w:eastAsia="宋体" w:cs="宋体"/>
                <w:color w:val="auto"/>
                <w:kern w:val="0"/>
                <w:sz w:val="24"/>
                <w:highlight w:val="none"/>
                <w:lang w:val="en-US" w:eastAsia="zh-CN"/>
              </w:rPr>
              <w:t>洁专项</w:t>
            </w:r>
            <w:r>
              <w:rPr>
                <w:rFonts w:hint="eastAsia" w:ascii="宋体" w:hAnsi="宋体" w:eastAsia="宋体" w:cs="宋体"/>
                <w:color w:val="auto"/>
                <w:kern w:val="0"/>
                <w:sz w:val="24"/>
                <w:highlight w:val="none"/>
              </w:rPr>
              <w:t>主管（0-</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A、年龄</w:t>
            </w:r>
            <w:r>
              <w:rPr>
                <w:rFonts w:hint="eastAsia" w:ascii="宋体" w:hAnsi="宋体" w:eastAsia="宋体" w:cs="宋体"/>
                <w:color w:val="auto"/>
                <w:kern w:val="0"/>
                <w:sz w:val="24"/>
                <w:highlight w:val="none"/>
                <w:lang w:val="en-US" w:eastAsia="zh-CN"/>
              </w:rPr>
              <w:t>45</w:t>
            </w:r>
            <w:r>
              <w:rPr>
                <w:rFonts w:hint="eastAsia" w:ascii="宋体" w:hAnsi="宋体" w:eastAsia="宋体" w:cs="宋体"/>
                <w:color w:val="auto"/>
                <w:kern w:val="0"/>
                <w:sz w:val="24"/>
                <w:highlight w:val="none"/>
              </w:rPr>
              <w:t>周岁及以下得0.5分；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B、具有</w:t>
            </w:r>
            <w:r>
              <w:rPr>
                <w:rFonts w:hint="eastAsia" w:ascii="宋体" w:hAnsi="宋体" w:eastAsia="宋体" w:cs="宋体"/>
                <w:color w:val="auto"/>
                <w:kern w:val="0"/>
                <w:sz w:val="24"/>
                <w:highlight w:val="none"/>
                <w:lang w:val="en-US" w:eastAsia="zh-CN"/>
              </w:rPr>
              <w:t>本科</w:t>
            </w:r>
            <w:r>
              <w:rPr>
                <w:rFonts w:hint="eastAsia" w:ascii="宋体" w:hAnsi="宋体" w:eastAsia="宋体" w:cs="宋体"/>
                <w:color w:val="auto"/>
                <w:kern w:val="0"/>
                <w:sz w:val="24"/>
                <w:highlight w:val="none"/>
              </w:rPr>
              <w:t>及以上学历得0.5分；</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w:t>
            </w:r>
            <w:r>
              <w:rPr>
                <w:rFonts w:hint="eastAsia" w:ascii="宋体" w:hAnsi="宋体" w:eastAsia="宋体" w:cs="宋体"/>
                <w:color w:val="auto"/>
                <w:kern w:val="0"/>
                <w:sz w:val="24"/>
                <w:highlight w:val="none"/>
                <w:lang w:val="en-US" w:eastAsia="zh-CN"/>
              </w:rPr>
              <w:t>具体街巷保洁</w:t>
            </w:r>
            <w:r>
              <w:rPr>
                <w:rFonts w:hint="eastAsia" w:ascii="宋体" w:hAnsi="宋体" w:cs="宋体"/>
                <w:color w:val="auto"/>
                <w:kern w:val="0"/>
                <w:sz w:val="24"/>
                <w:highlight w:val="none"/>
                <w:lang w:val="en-US" w:eastAsia="zh-CN"/>
              </w:rPr>
              <w:t>管理</w:t>
            </w:r>
            <w:r>
              <w:rPr>
                <w:rFonts w:hint="eastAsia" w:ascii="宋体" w:hAnsi="宋体" w:eastAsia="宋体" w:cs="宋体"/>
                <w:color w:val="auto"/>
                <w:kern w:val="0"/>
                <w:sz w:val="24"/>
                <w:highlight w:val="none"/>
                <w:lang w:val="en-US" w:eastAsia="zh-CN"/>
              </w:rPr>
              <w:t>经验2</w:t>
            </w:r>
            <w:r>
              <w:rPr>
                <w:rFonts w:hint="eastAsia" w:ascii="宋体" w:hAnsi="宋体" w:eastAsia="宋体" w:cs="宋体"/>
                <w:color w:val="auto"/>
                <w:kern w:val="0"/>
                <w:sz w:val="24"/>
                <w:highlight w:val="none"/>
              </w:rPr>
              <w:t>年及以上得1分；</w:t>
            </w:r>
          </w:p>
          <w:p>
            <w:pPr>
              <w:pStyle w:val="6"/>
              <w:ind w:left="0" w:leftChars="0" w:firstLine="0" w:firstLineChars="0"/>
              <w:rPr>
                <w:rFonts w:hint="eastAsia" w:ascii="宋体" w:hAnsi="宋体" w:eastAsia="宋体" w:cs="宋体"/>
                <w:color w:val="auto"/>
                <w:kern w:val="0"/>
                <w:sz w:val="24"/>
                <w:highlight w:val="none"/>
              </w:rPr>
            </w:pPr>
            <w:r>
              <w:rPr>
                <w:rFonts w:hint="eastAsia"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hAnsi="宋体" w:cs="宋体"/>
                <w:color w:val="auto"/>
                <w:kern w:val="0"/>
                <w:sz w:val="24"/>
                <w:highlight w:val="none"/>
                <w:lang w:val="en-US" w:eastAsia="zh-CN"/>
              </w:rPr>
              <w:t>工程人员</w:t>
            </w:r>
            <w:r>
              <w:rPr>
                <w:rFonts w:hint="eastAsia" w:ascii="宋体" w:hAnsi="宋体" w:eastAsia="宋体" w:cs="宋体"/>
                <w:color w:val="auto"/>
                <w:kern w:val="0"/>
                <w:sz w:val="24"/>
                <w:highlight w:val="none"/>
              </w:rPr>
              <w:t>（0-</w:t>
            </w:r>
            <w:r>
              <w:rPr>
                <w:rFonts w:hint="eastAsia" w:hAnsi="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p>
            <w:pPr>
              <w:snapToGrid w:val="0"/>
              <w:spacing w:line="360" w:lineRule="exac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A</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特种作业操作证：</w:t>
            </w:r>
            <w:r>
              <w:rPr>
                <w:rFonts w:hint="eastAsia" w:ascii="宋体" w:hAnsi="宋体" w:cs="宋体"/>
                <w:color w:val="auto"/>
                <w:kern w:val="0"/>
                <w:sz w:val="24"/>
                <w:highlight w:val="none"/>
                <w:lang w:val="en-US" w:eastAsia="zh-CN"/>
              </w:rPr>
              <w:t>在满足需求的情况下，</w:t>
            </w:r>
            <w:r>
              <w:rPr>
                <w:rFonts w:hint="eastAsia" w:ascii="宋体" w:hAnsi="宋体" w:eastAsia="宋体" w:cs="宋体"/>
                <w:color w:val="auto"/>
                <w:kern w:val="0"/>
                <w:sz w:val="24"/>
                <w:highlight w:val="none"/>
                <w:lang w:val="en-US" w:eastAsia="zh-CN"/>
              </w:rPr>
              <w:t>工程人员每具有一本</w:t>
            </w:r>
            <w:r>
              <w:rPr>
                <w:rFonts w:hint="eastAsia" w:ascii="宋体" w:hAnsi="宋体" w:cs="宋体"/>
                <w:color w:val="auto"/>
                <w:kern w:val="0"/>
                <w:sz w:val="24"/>
                <w:highlight w:val="none"/>
                <w:lang w:val="en-US" w:eastAsia="zh-CN"/>
              </w:rPr>
              <w:t>低压电工作业证</w:t>
            </w:r>
            <w:r>
              <w:rPr>
                <w:rFonts w:hint="eastAsia" w:ascii="宋体" w:hAnsi="宋体" w:eastAsia="宋体" w:cs="宋体"/>
                <w:color w:val="auto"/>
                <w:kern w:val="0"/>
                <w:sz w:val="24"/>
                <w:highlight w:val="none"/>
                <w:lang w:val="en-US" w:eastAsia="zh-CN"/>
              </w:rPr>
              <w:t>得1分，最高得2分；</w:t>
            </w:r>
          </w:p>
          <w:p>
            <w:pPr>
              <w:pStyle w:val="2"/>
              <w:widowControl w:val="0"/>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szCs w:val="24"/>
                <w:highlight w:val="none"/>
                <w:lang w:val="en-US" w:eastAsia="zh-CN" w:bidi="ar-SA"/>
              </w:rPr>
              <w:t>秩序人员（0-2分）</w:t>
            </w:r>
            <w:r>
              <w:rPr>
                <w:rFonts w:hint="eastAsia" w:ascii="宋体" w:hAnsi="宋体" w:eastAsia="宋体" w:cs="宋体"/>
                <w:color w:val="auto"/>
                <w:kern w:val="0"/>
                <w:sz w:val="24"/>
                <w:szCs w:val="24"/>
                <w:highlight w:val="none"/>
                <w:lang w:val="en-US" w:eastAsia="zh-CN" w:bidi="ar-SA"/>
              </w:rPr>
              <w:br w:type="textWrapping"/>
            </w:r>
            <w:r>
              <w:rPr>
                <w:rFonts w:hint="eastAsia" w:ascii="宋体" w:hAnsi="宋体" w:eastAsia="宋体" w:cs="宋体"/>
                <w:color w:val="auto"/>
                <w:kern w:val="0"/>
                <w:sz w:val="24"/>
                <w:szCs w:val="24"/>
                <w:highlight w:val="none"/>
                <w:lang w:val="en-US" w:eastAsia="zh-CN" w:bidi="ar-SA"/>
              </w:rPr>
              <w:t>A、在满足需求的情况下，每具有一本消防设施操作员证书得2分，最高得2分；</w:t>
            </w:r>
          </w:p>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highlight w:val="none"/>
              </w:rPr>
              <w:t>（上述1-</w:t>
            </w:r>
            <w:r>
              <w:rPr>
                <w:rFonts w:hint="eastAsia" w:ascii="宋体" w:hAnsi="宋体" w:eastAsia="宋体" w:cs="宋体"/>
                <w:b w:val="0"/>
                <w:bCs w:val="0"/>
                <w:color w:val="auto"/>
                <w:kern w:val="0"/>
                <w:sz w:val="24"/>
                <w:highlight w:val="none"/>
                <w:lang w:val="en-US" w:eastAsia="zh-CN"/>
              </w:rPr>
              <w:t>4</w:t>
            </w:r>
            <w:r>
              <w:rPr>
                <w:rFonts w:hint="eastAsia" w:ascii="宋体" w:hAnsi="宋体" w:eastAsia="宋体" w:cs="宋体"/>
                <w:b w:val="0"/>
                <w:bCs w:val="0"/>
                <w:color w:val="auto"/>
                <w:kern w:val="0"/>
                <w:sz w:val="24"/>
                <w:highlight w:val="none"/>
              </w:rPr>
              <w:t>项</w:t>
            </w:r>
            <w:r>
              <w:rPr>
                <w:rFonts w:hint="eastAsia" w:cs="仿宋_GB2312" w:asciiTheme="minorEastAsia" w:hAnsiTheme="minorEastAsia" w:eastAsiaTheme="minorEastAsia"/>
                <w:snapToGrid/>
                <w:color w:val="auto"/>
                <w:kern w:val="2"/>
                <w:sz w:val="24"/>
                <w:szCs w:val="24"/>
                <w:highlight w:val="none"/>
                <w:lang w:val="en-US" w:eastAsia="zh-CN" w:bidi="ar-SA"/>
              </w:rPr>
              <w:t>人员必须为投标单位人员，须提供身份证复印件正反面，相关证书，相关证明材料及投标截止时间前近三个月内任意一个月社保机构出具的投标人为其缴纳的社保证明，否则本项不得分。</w:t>
            </w:r>
            <w:r>
              <w:rPr>
                <w:rFonts w:hint="eastAsia" w:ascii="宋体" w:hAnsi="宋体" w:eastAsia="宋体" w:cs="宋体"/>
                <w:b w:val="0"/>
                <w:bCs w:val="0"/>
                <w:color w:val="auto"/>
                <w:kern w:val="0"/>
                <w:sz w:val="24"/>
                <w:highlight w:val="none"/>
              </w:rPr>
              <w:t>）此项最高1</w:t>
            </w:r>
            <w:r>
              <w:rPr>
                <w:rFonts w:hint="eastAsia" w:ascii="宋体" w:hAnsi="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分</w:t>
            </w:r>
            <w:r>
              <w:rPr>
                <w:rFonts w:hint="eastAsia" w:ascii="宋体" w:hAnsi="宋体" w:cs="宋体"/>
                <w:b w:val="0"/>
                <w:bCs w:val="0"/>
                <w:color w:val="auto"/>
                <w:kern w:val="0"/>
                <w:sz w:val="24"/>
                <w:highlight w:val="none"/>
                <w:lang w:eastAsia="zh-CN"/>
              </w:rPr>
              <w:t>。</w:t>
            </w:r>
          </w:p>
        </w:tc>
        <w:tc>
          <w:tcPr>
            <w:tcW w:w="706"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0-1</w:t>
            </w:r>
            <w:r>
              <w:rPr>
                <w:rFonts w:hint="eastAsia" w:ascii="宋体" w:hAnsi="宋体" w:cs="宋体"/>
                <w:color w:val="auto"/>
                <w:kern w:val="0"/>
                <w:sz w:val="24"/>
                <w:highlight w:val="none"/>
                <w:lang w:val="en-US" w:eastAsia="zh-CN"/>
              </w:rPr>
              <w:t>3</w:t>
            </w:r>
          </w:p>
        </w:tc>
        <w:tc>
          <w:tcPr>
            <w:tcW w:w="975"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客观</w:t>
            </w:r>
          </w:p>
        </w:tc>
        <w:tc>
          <w:tcPr>
            <w:tcW w:w="1612"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6</w:t>
            </w:r>
          </w:p>
        </w:tc>
        <w:tc>
          <w:tcPr>
            <w:tcW w:w="5121" w:type="dxa"/>
            <w:shd w:val="clear" w:color="auto" w:fill="auto"/>
            <w:vAlign w:val="center"/>
          </w:tcPr>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针对本项目特点接受采购人相关需求的人员培训方案，制订切实可行的员工素质能力提升培训计划等。根据培训方案合理性打分，从完整性、合理性、可行性方面进行评分，能</w:t>
            </w:r>
            <w:r>
              <w:rPr>
                <w:rFonts w:hint="eastAsia" w:ascii="宋体" w:hAnsi="宋体" w:eastAsia="宋体" w:cs="宋体"/>
                <w:color w:val="auto"/>
                <w:kern w:val="0"/>
                <w:sz w:val="24"/>
                <w:highlight w:val="none"/>
                <w:lang w:eastAsia="zh-CN"/>
              </w:rPr>
              <w:t>符合</w:t>
            </w:r>
            <w:r>
              <w:rPr>
                <w:rFonts w:hint="eastAsia" w:ascii="宋体" w:hAnsi="宋体" w:eastAsia="宋体" w:cs="宋体"/>
                <w:color w:val="auto"/>
                <w:kern w:val="0"/>
                <w:sz w:val="24"/>
                <w:highlight w:val="none"/>
              </w:rPr>
              <w:t>服务质量标准</w:t>
            </w:r>
            <w:r>
              <w:rPr>
                <w:rFonts w:hint="eastAsia" w:ascii="宋体" w:hAnsi="宋体" w:cs="宋体"/>
                <w:color w:val="auto"/>
                <w:kern w:val="0"/>
                <w:sz w:val="24"/>
                <w:highlight w:val="none"/>
                <w:lang w:eastAsia="zh-CN"/>
              </w:rPr>
              <w:t>的</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分，部分</w:t>
            </w:r>
            <w:r>
              <w:rPr>
                <w:rFonts w:hint="eastAsia" w:ascii="宋体" w:hAnsi="宋体" w:eastAsia="宋体" w:cs="宋体"/>
                <w:color w:val="auto"/>
                <w:kern w:val="0"/>
                <w:sz w:val="24"/>
                <w:highlight w:val="none"/>
                <w:lang w:eastAsia="zh-CN"/>
              </w:rPr>
              <w:t>符合的</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分，不符合不得分。 本项最高得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tc>
        <w:tc>
          <w:tcPr>
            <w:tcW w:w="706"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0-2</w:t>
            </w:r>
          </w:p>
        </w:tc>
        <w:tc>
          <w:tcPr>
            <w:tcW w:w="975"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主观</w:t>
            </w:r>
          </w:p>
        </w:tc>
        <w:tc>
          <w:tcPr>
            <w:tcW w:w="1612" w:type="dxa"/>
            <w:shd w:val="clear" w:color="auto" w:fill="auto"/>
            <w:vAlign w:val="center"/>
          </w:tcPr>
          <w:p>
            <w:pPr>
              <w:snapToGrid w:val="0"/>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napToGrid w:val="0"/>
              <w:spacing w:line="36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7</w:t>
            </w:r>
          </w:p>
        </w:tc>
        <w:tc>
          <w:tcPr>
            <w:tcW w:w="5121" w:type="dxa"/>
            <w:shd w:val="clear" w:color="auto" w:fill="auto"/>
            <w:vAlign w:val="center"/>
          </w:tcPr>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针对本项目提出应急预案</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内容包括</w:t>
            </w:r>
            <w:r>
              <w:rPr>
                <w:rFonts w:hint="eastAsia" w:ascii="宋体" w:hAnsi="宋体" w:eastAsia="宋体" w:cs="宋体"/>
                <w:color w:val="auto"/>
                <w:kern w:val="0"/>
                <w:sz w:val="24"/>
                <w:highlight w:val="none"/>
              </w:rPr>
              <w:t>①消防安全事故、②防汛抗台、③雨雪冰冻、④突发性停水停电、⑤重大活动和重点区域的应急能力保障、⑥</w:t>
            </w:r>
            <w:r>
              <w:rPr>
                <w:rFonts w:hint="eastAsia" w:ascii="宋体" w:hAnsi="宋体" w:eastAsia="宋体" w:cs="宋体"/>
                <w:color w:val="auto"/>
                <w:kern w:val="0"/>
                <w:sz w:val="24"/>
                <w:highlight w:val="none"/>
                <w:lang w:val="en-US" w:eastAsia="zh-CN"/>
              </w:rPr>
              <w:t>突发治安事件的</w:t>
            </w:r>
            <w:r>
              <w:rPr>
                <w:rFonts w:hint="eastAsia" w:ascii="宋体" w:hAnsi="宋体" w:eastAsia="宋体" w:cs="宋体"/>
                <w:color w:val="auto"/>
                <w:kern w:val="0"/>
                <w:sz w:val="24"/>
                <w:highlight w:val="none"/>
              </w:rPr>
              <w:t>应急处置能力保障。保障力度</w:t>
            </w:r>
            <w:r>
              <w:rPr>
                <w:rFonts w:hint="eastAsia" w:ascii="宋体" w:hAnsi="宋体" w:cs="宋体"/>
                <w:color w:val="auto"/>
                <w:kern w:val="0"/>
                <w:sz w:val="24"/>
                <w:highlight w:val="none"/>
                <w:lang w:eastAsia="zh-CN"/>
              </w:rPr>
              <w:t>强、</w:t>
            </w:r>
            <w:r>
              <w:rPr>
                <w:rFonts w:hint="eastAsia" w:ascii="宋体" w:hAnsi="宋体" w:eastAsia="宋体" w:cs="宋体"/>
                <w:color w:val="auto"/>
                <w:kern w:val="0"/>
                <w:sz w:val="24"/>
                <w:highlight w:val="none"/>
                <w:lang w:eastAsia="zh-CN"/>
              </w:rPr>
              <w:t>应对措施合理</w:t>
            </w:r>
            <w:r>
              <w:rPr>
                <w:rFonts w:hint="eastAsia" w:ascii="宋体" w:hAnsi="宋体" w:cs="宋体"/>
                <w:color w:val="auto"/>
                <w:kern w:val="0"/>
                <w:sz w:val="24"/>
                <w:highlight w:val="none"/>
                <w:lang w:eastAsia="zh-CN"/>
              </w:rPr>
              <w:t>的视为符合</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符合的</w:t>
            </w:r>
            <w:r>
              <w:rPr>
                <w:rFonts w:hint="eastAsia" w:ascii="宋体" w:hAnsi="宋体" w:eastAsia="宋体" w:cs="宋体"/>
                <w:color w:val="auto"/>
                <w:kern w:val="0"/>
                <w:sz w:val="24"/>
                <w:highlight w:val="none"/>
              </w:rPr>
              <w:t>每项</w:t>
            </w:r>
            <w:r>
              <w:rPr>
                <w:rFonts w:hint="eastAsia" w:ascii="宋体" w:hAnsi="宋体" w:cs="宋体"/>
                <w:color w:val="auto"/>
                <w:kern w:val="0"/>
                <w:sz w:val="24"/>
                <w:highlight w:val="none"/>
                <w:lang w:eastAsia="zh-CN"/>
              </w:rPr>
              <w:t>得</w:t>
            </w:r>
            <w:r>
              <w:rPr>
                <w:rFonts w:hint="eastAsia" w:ascii="宋体" w:hAnsi="宋体" w:eastAsia="宋体" w:cs="宋体"/>
                <w:color w:val="auto"/>
                <w:kern w:val="0"/>
                <w:sz w:val="24"/>
                <w:highlight w:val="none"/>
              </w:rPr>
              <w:t>0.5分，此项最高3分。</w:t>
            </w:r>
          </w:p>
        </w:tc>
        <w:tc>
          <w:tcPr>
            <w:tcW w:w="706"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0-3</w:t>
            </w:r>
          </w:p>
        </w:tc>
        <w:tc>
          <w:tcPr>
            <w:tcW w:w="975"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主观</w:t>
            </w:r>
          </w:p>
        </w:tc>
        <w:tc>
          <w:tcPr>
            <w:tcW w:w="1612"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690" w:type="dxa"/>
            <w:vAlign w:val="center"/>
          </w:tcPr>
          <w:p>
            <w:pPr>
              <w:snapToGrid w:val="0"/>
              <w:spacing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8</w:t>
            </w:r>
          </w:p>
        </w:tc>
        <w:tc>
          <w:tcPr>
            <w:tcW w:w="5121" w:type="dxa"/>
            <w:shd w:val="clear" w:color="auto" w:fill="auto"/>
            <w:vAlign w:val="center"/>
          </w:tcPr>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投标人具有:</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物业管理设备：（1）登高作业车（园林吊）一辆，满足得1分。（1分）</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（2）具有CCTV管道检测仪、管道潜望镜、管道封堵气囊的，每项得1分，最高3分。（3分）</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（3）工程救险的车辆（机动车行驶证上的使用性质为工程救（抢）险）一辆，满足得1分，最高得1分。（1分）</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（4）投标人具有大功率排水泵车（≥1500m3/h）的得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（1分）</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（5）投标人具有吸污车每台得1分，最高</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p>
            <w:pPr>
              <w:pStyle w:val="4"/>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（6））投标人具有无人机巡检设备的得1分</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以上各类机具须明确可提供的数量，并提供自有凭证或租赁合同（以上机具须提供①发票；②车辆需提供行驶证或政府部门的划拨单，如租赁合同需提供租赁方相关拥有机具证明材料，否则不得分）</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）街巷保洁：高压冲洗车2辆,</w:t>
            </w:r>
            <w:r>
              <w:rPr>
                <w:rFonts w:hint="eastAsia" w:ascii="宋体" w:hAnsi="宋体" w:eastAsia="宋体" w:cs="宋体"/>
                <w:color w:val="auto"/>
                <w:kern w:val="0"/>
                <w:sz w:val="24"/>
                <w:highlight w:val="none"/>
                <w:lang w:val="en-US" w:eastAsia="zh-CN"/>
              </w:rPr>
              <w:t>小型巡回保洁车3</w:t>
            </w:r>
            <w:r>
              <w:rPr>
                <w:rFonts w:hint="eastAsia" w:ascii="宋体" w:hAnsi="宋体" w:eastAsia="宋体" w:cs="宋体"/>
                <w:color w:val="auto"/>
                <w:kern w:val="0"/>
                <w:sz w:val="24"/>
                <w:highlight w:val="none"/>
              </w:rPr>
              <w:t>辆，</w:t>
            </w:r>
            <w:r>
              <w:rPr>
                <w:rFonts w:hint="eastAsia" w:ascii="宋体" w:hAnsi="宋体" w:eastAsia="宋体" w:cs="宋体"/>
                <w:color w:val="auto"/>
                <w:kern w:val="0"/>
                <w:sz w:val="24"/>
                <w:highlight w:val="none"/>
                <w:lang w:val="en-US" w:eastAsia="zh-CN"/>
              </w:rPr>
              <w:t>八桶垃圾收运车1辆，</w:t>
            </w:r>
            <w:r>
              <w:rPr>
                <w:rFonts w:hint="eastAsia" w:ascii="宋体" w:hAnsi="宋体" w:eastAsia="宋体" w:cs="宋体"/>
                <w:color w:val="auto"/>
                <w:kern w:val="0"/>
                <w:sz w:val="24"/>
                <w:highlight w:val="none"/>
              </w:rPr>
              <w:t>大件垃圾运输车1辆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吹风机1台</w:t>
            </w:r>
            <w:r>
              <w:rPr>
                <w:rFonts w:hint="eastAsia" w:ascii="宋体" w:hAnsi="宋体" w:eastAsia="宋体" w:cs="宋体"/>
                <w:color w:val="auto"/>
                <w:kern w:val="0"/>
                <w:sz w:val="24"/>
                <w:highlight w:val="none"/>
              </w:rPr>
              <w:t>。每</w:t>
            </w:r>
            <w:r>
              <w:rPr>
                <w:rFonts w:hint="eastAsia" w:ascii="宋体" w:hAnsi="宋体" w:eastAsia="宋体" w:cs="宋体"/>
                <w:color w:val="auto"/>
                <w:kern w:val="0"/>
                <w:sz w:val="24"/>
                <w:highlight w:val="none"/>
                <w:lang w:val="en-US" w:eastAsia="zh-CN"/>
              </w:rPr>
              <w:t>项</w:t>
            </w:r>
            <w:r>
              <w:rPr>
                <w:rFonts w:hint="eastAsia" w:ascii="宋体" w:hAnsi="宋体" w:eastAsia="宋体" w:cs="宋体"/>
                <w:color w:val="auto"/>
                <w:kern w:val="0"/>
                <w:sz w:val="24"/>
                <w:highlight w:val="none"/>
              </w:rPr>
              <w:t>0.5分，共</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分）（街巷保洁车辆</w:t>
            </w:r>
            <w:r>
              <w:rPr>
                <w:rFonts w:hint="eastAsia" w:ascii="宋体" w:hAnsi="宋体" w:cs="宋体"/>
                <w:color w:val="auto"/>
                <w:kern w:val="0"/>
                <w:sz w:val="24"/>
                <w:highlight w:val="none"/>
                <w:lang w:val="en-US" w:eastAsia="zh-CN"/>
              </w:rPr>
              <w:t>如</w:t>
            </w:r>
            <w:r>
              <w:rPr>
                <w:rFonts w:hint="eastAsia" w:ascii="宋体" w:hAnsi="宋体" w:eastAsia="宋体" w:cs="宋体"/>
                <w:color w:val="auto"/>
                <w:kern w:val="0"/>
                <w:sz w:val="24"/>
                <w:highlight w:val="none"/>
              </w:rPr>
              <w:t>自有</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须</w:t>
            </w:r>
            <w:r>
              <w:rPr>
                <w:rFonts w:hint="eastAsia" w:ascii="宋体" w:hAnsi="宋体" w:eastAsia="宋体" w:cs="宋体"/>
                <w:color w:val="auto"/>
                <w:kern w:val="0"/>
                <w:sz w:val="24"/>
                <w:highlight w:val="none"/>
              </w:rPr>
              <w:t>提供自有发票。如租赁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需提供租赁合同（合同需清晰体现租赁各方信息、租赁设备的型号、数量、租赁时长、租赁金额、责任条款等必要信息）、租赁双方营业执照和法人身份证复印件、租金支付发票、双方盖章的设备交接确认清单，租赁合同履约起止时间需覆盖本项目服务周期。任一租赁的车辆设备中标后3个自然日内无法到位的予以废标处理。</w:t>
            </w:r>
            <w:r>
              <w:rPr>
                <w:rFonts w:hint="eastAsia" w:ascii="宋体" w:hAnsi="宋体" w:eastAsia="宋体" w:cs="宋体"/>
                <w:color w:val="auto"/>
                <w:kern w:val="0"/>
                <w:sz w:val="24"/>
                <w:highlight w:val="none"/>
              </w:rPr>
              <w:t>所有机具还需提供保证仅用于本项目的承诺书</w:t>
            </w:r>
            <w:r>
              <w:rPr>
                <w:rFonts w:hint="eastAsia" w:ascii="宋体" w:hAnsi="宋体" w:cs="宋体"/>
                <w:color w:val="auto"/>
                <w:kern w:val="0"/>
                <w:sz w:val="24"/>
                <w:highlight w:val="none"/>
                <w:lang w:eastAsia="zh-CN"/>
              </w:rPr>
              <w:t>，否则不得分</w:t>
            </w:r>
            <w:r>
              <w:rPr>
                <w:rFonts w:hint="eastAsia" w:ascii="宋体" w:hAnsi="宋体" w:eastAsia="宋体" w:cs="宋体"/>
                <w:color w:val="auto"/>
                <w:kern w:val="0"/>
                <w:sz w:val="24"/>
                <w:highlight w:val="none"/>
              </w:rPr>
              <w:t>）</w:t>
            </w:r>
          </w:p>
          <w:p>
            <w:pPr>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以上提供机具配置计划表。未提供机具配置计划表的，该项不得分。</w:t>
            </w:r>
          </w:p>
        </w:tc>
        <w:tc>
          <w:tcPr>
            <w:tcW w:w="706"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0-1</w:t>
            </w:r>
            <w:r>
              <w:rPr>
                <w:rFonts w:hint="eastAsia" w:ascii="宋体" w:hAnsi="宋体" w:eastAsia="宋体" w:cs="宋体"/>
                <w:color w:val="auto"/>
                <w:kern w:val="0"/>
                <w:sz w:val="24"/>
                <w:highlight w:val="none"/>
                <w:lang w:val="en-US" w:eastAsia="zh-CN"/>
              </w:rPr>
              <w:t>3</w:t>
            </w:r>
          </w:p>
        </w:tc>
        <w:tc>
          <w:tcPr>
            <w:tcW w:w="975"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客观</w:t>
            </w:r>
          </w:p>
        </w:tc>
        <w:tc>
          <w:tcPr>
            <w:tcW w:w="1612" w:type="dxa"/>
            <w:shd w:val="clear" w:color="auto" w:fill="auto"/>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设置配备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napToGrid w:val="0"/>
              <w:spacing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19</w:t>
            </w:r>
          </w:p>
        </w:tc>
        <w:tc>
          <w:tcPr>
            <w:tcW w:w="5121" w:type="dxa"/>
            <w:shd w:val="clear" w:color="auto" w:fill="auto"/>
            <w:vAlign w:val="center"/>
          </w:tcPr>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投标人针对本项目的质量考核办法及奖惩制度的全面性、针对性及可行性进行综合评分。方案内容全面合理有针对性的得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分，基本符合适用的得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分，不合理或不提供的不得分。此项最高</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tc>
        <w:tc>
          <w:tcPr>
            <w:tcW w:w="706" w:type="dxa"/>
            <w:shd w:val="clear" w:color="auto" w:fill="auto"/>
            <w:vAlign w:val="center"/>
          </w:tcPr>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2</w:t>
            </w:r>
          </w:p>
        </w:tc>
        <w:tc>
          <w:tcPr>
            <w:tcW w:w="975" w:type="dxa"/>
            <w:shd w:val="clear" w:color="auto" w:fill="auto"/>
            <w:vAlign w:val="center"/>
          </w:tcPr>
          <w:p>
            <w:pPr>
              <w:snapToGrid w:val="0"/>
              <w:spacing w:line="36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主观分</w:t>
            </w:r>
          </w:p>
        </w:tc>
        <w:tc>
          <w:tcPr>
            <w:tcW w:w="1612" w:type="dxa"/>
            <w:shd w:val="clear" w:color="auto" w:fill="auto"/>
            <w:vAlign w:val="center"/>
          </w:tcPr>
          <w:p>
            <w:pPr>
              <w:snapToGrid w:val="0"/>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质量考核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napToGrid w:val="0"/>
              <w:spacing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w:t>
            </w:r>
          </w:p>
        </w:tc>
        <w:tc>
          <w:tcPr>
            <w:tcW w:w="5121" w:type="dxa"/>
            <w:shd w:val="clear" w:color="auto" w:fill="auto"/>
            <w:vAlign w:val="center"/>
          </w:tcPr>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有效投标报价的最低价作为评标基准价，其最低报价为满分；按［投标报价得分=（评标基准价/投标报价）*10］的计算公式计算。</w:t>
            </w:r>
          </w:p>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评标过程中，不得去掉报价中的最高报价和最低报价。</w:t>
            </w:r>
          </w:p>
        </w:tc>
        <w:tc>
          <w:tcPr>
            <w:tcW w:w="706" w:type="dxa"/>
            <w:shd w:val="clear" w:color="auto" w:fill="auto"/>
            <w:vAlign w:val="center"/>
          </w:tcPr>
          <w:p>
            <w:pPr>
              <w:snapToGrid w:val="0"/>
              <w:spacing w:line="360" w:lineRule="exac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0-10</w:t>
            </w:r>
          </w:p>
        </w:tc>
        <w:tc>
          <w:tcPr>
            <w:tcW w:w="975" w:type="dxa"/>
            <w:shd w:val="clear" w:color="auto" w:fill="auto"/>
            <w:vAlign w:val="center"/>
          </w:tcPr>
          <w:p>
            <w:pPr>
              <w:snapToGrid w:val="0"/>
              <w:spacing w:line="360" w:lineRule="exact"/>
              <w:rPr>
                <w:rFonts w:hint="eastAsia" w:ascii="宋体" w:hAnsi="宋体" w:eastAsia="宋体" w:cs="宋体"/>
                <w:color w:val="auto"/>
                <w:kern w:val="0"/>
                <w:sz w:val="24"/>
                <w:highlight w:val="none"/>
              </w:rPr>
            </w:pPr>
            <w:r>
              <w:rPr>
                <w:rFonts w:hint="eastAsia" w:ascii="宋体" w:hAnsi="宋体" w:eastAsia="宋体" w:cs="宋体"/>
                <w:color w:val="000000" w:themeColor="text1"/>
                <w:sz w:val="24"/>
                <w:szCs w:val="24"/>
                <w14:textFill>
                  <w14:solidFill>
                    <w14:schemeClr w14:val="tx1"/>
                  </w14:solidFill>
                </w14:textFill>
              </w:rPr>
              <w:t>价格分</w:t>
            </w:r>
          </w:p>
        </w:tc>
        <w:tc>
          <w:tcPr>
            <w:tcW w:w="1612" w:type="dxa"/>
            <w:shd w:val="clear" w:color="auto" w:fill="auto"/>
            <w:vAlign w:val="center"/>
          </w:tcPr>
          <w:p>
            <w:pPr>
              <w:snapToGrid w:val="0"/>
              <w:spacing w:line="360" w:lineRule="exact"/>
              <w:jc w:val="center"/>
              <w:rPr>
                <w:rFonts w:hint="eastAsia" w:ascii="宋体" w:hAnsi="宋体" w:eastAsia="宋体" w:cs="宋体"/>
                <w:color w:val="auto"/>
                <w:kern w:val="0"/>
                <w:sz w:val="24"/>
                <w:highlight w:val="none"/>
              </w:rPr>
            </w:pPr>
          </w:p>
        </w:tc>
      </w:tr>
    </w:tbl>
    <w:p/>
    <w:p>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pPr>
        <w:snapToGrid w:val="0"/>
        <w:spacing w:line="360" w:lineRule="auto"/>
        <w:rPr>
          <w:rFonts w:ascii="宋体" w:hAnsi="宋体" w:cs="宋体"/>
          <w:b/>
          <w:sz w:val="28"/>
          <w:szCs w:val="28"/>
        </w:rPr>
      </w:pPr>
      <w:r>
        <w:rPr>
          <w:rFonts w:hint="eastAsia" w:ascii="宋体" w:hAnsi="宋体" w:cs="宋体"/>
          <w:b/>
          <w:sz w:val="32"/>
        </w:rPr>
        <w:t>一、评标方法</w:t>
      </w:r>
    </w:p>
    <w:p>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kern w:val="0"/>
          <w:sz w:val="24"/>
        </w:rPr>
      </w:pPr>
      <w:r>
        <w:rPr>
          <w:rFonts w:hint="eastAsia" w:ascii="宋体" w:hAnsi="宋体" w:cs="宋体"/>
          <w:b/>
          <w:sz w:val="32"/>
        </w:rPr>
        <w:t>二、评标标准</w:t>
      </w:r>
    </w:p>
    <w:p>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pPr>
        <w:spacing w:line="360" w:lineRule="auto"/>
        <w:outlineLvl w:val="0"/>
        <w:rPr>
          <w:rFonts w:ascii="宋体" w:hAnsi="宋体" w:cs="宋体"/>
          <w:b/>
          <w:sz w:val="36"/>
          <w:szCs w:val="36"/>
        </w:rPr>
      </w:pPr>
      <w:r>
        <w:rPr>
          <w:rFonts w:hint="eastAsia" w:ascii="宋体" w:hAnsi="宋体" w:cs="宋体"/>
          <w:b/>
          <w:sz w:val="36"/>
          <w:szCs w:val="36"/>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129"/>
        <w:spacing w:before="0"/>
        <w:ind w:left="0" w:leftChars="0" w:firstLine="480" w:firstLineChars="20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pStyle w:val="129"/>
        <w:spacing w:before="0"/>
        <w:ind w:left="0" w:leftChars="0" w:firstLine="480" w:firstLineChars="200"/>
        <w:rPr>
          <w:rFonts w:hint="eastAsia" w:ascii="宋体" w:hAnsi="宋体" w:cs="宋体"/>
          <w:color w:val="auto"/>
          <w:kern w:val="0"/>
          <w:szCs w:val="24"/>
          <w:highlight w:val="none"/>
        </w:rPr>
      </w:pPr>
      <w:r>
        <w:rPr>
          <w:rFonts w:hint="eastAsia" w:ascii="宋体" w:hAnsi="宋体" w:cs="宋体"/>
          <w:kern w:val="0"/>
          <w:sz w:val="24"/>
          <w:szCs w:val="24"/>
          <w:highlight w:val="none"/>
        </w:rPr>
        <w:t>3.4.</w:t>
      </w:r>
      <w:r>
        <w:rPr>
          <w:rFonts w:hint="eastAsia" w:ascii="宋体" w:hAnsi="宋体" w:cs="宋体"/>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情形之一的，评标委员会应当启动异常低价投标（响应）审查程序。</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br w:type="textWrapping"/>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评标委员会启动异常低价投标（响应）审查后，属于招标文件第二部分投标人须知《前附表》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29"/>
        <w:spacing w:before="0"/>
        <w:ind w:firstLine="480"/>
        <w:rPr>
          <w:rFonts w:hint="eastAsia" w:ascii="宋体" w:hAnsi="宋体" w:cs="宋体"/>
          <w:kern w:val="0"/>
          <w:szCs w:val="24"/>
        </w:rPr>
      </w:pPr>
      <w:r>
        <w:rPr>
          <w:rFonts w:hint="eastAsia" w:ascii="宋体" w:hAnsi="宋体" w:cs="宋体"/>
          <w:kern w:val="0"/>
          <w:szCs w:val="24"/>
          <w:highlight w:val="none"/>
        </w:rPr>
        <w:t>3.4.</w:t>
      </w:r>
      <w:r>
        <w:rPr>
          <w:rFonts w:hint="eastAsia" w:ascii="宋体" w:hAnsi="宋体" w:cs="宋体"/>
          <w:kern w:val="0"/>
          <w:szCs w:val="24"/>
          <w:highlight w:val="none"/>
          <w:lang w:val="en-US" w:eastAsia="zh-CN"/>
        </w:rPr>
        <w:t>3</w:t>
      </w:r>
      <w:r>
        <w:rPr>
          <w:rFonts w:hint="eastAsia" w:ascii="宋体" w:hAnsi="宋体" w:cs="宋体"/>
          <w:kern w:val="0"/>
          <w:szCs w:val="24"/>
          <w:highlight w:val="none"/>
        </w:rPr>
        <w:t>对于未预留份额专门面向中小企业的政府采购货物项目，以及预留</w:t>
      </w:r>
      <w:r>
        <w:rPr>
          <w:rFonts w:hint="eastAsia" w:ascii="宋体" w:hAnsi="宋体" w:cs="宋体"/>
          <w:kern w:val="0"/>
          <w:szCs w:val="24"/>
        </w:rPr>
        <w:t>份额政府采购货物项目中的非预留部分标项，对小型和微型企业的投标报价给予10%-</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cs="宋体"/>
          <w:kern w:val="0"/>
          <w:szCs w:val="24"/>
          <w:highlight w:val="none"/>
        </w:rPr>
      </w:pPr>
      <w:r>
        <w:rPr>
          <w:rFonts w:hint="eastAsia" w:ascii="宋体" w:hAnsi="宋体" w:cs="宋体"/>
          <w:b w:val="0"/>
          <w:bCs/>
          <w:kern w:val="0"/>
          <w:sz w:val="24"/>
          <w:highlight w:val="none"/>
          <w:lang w:val="en-US" w:eastAsia="zh-CN"/>
        </w:rPr>
        <w:t>3.4.4</w:t>
      </w:r>
      <w:r>
        <w:rPr>
          <w:rFonts w:hint="eastAsia" w:ascii="宋体" w:hAnsi="宋体" w:cs="宋体"/>
          <w:b/>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1个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7"/>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rPr>
        <w:t xml:space="preserve"> </w:t>
      </w:r>
      <w:r>
        <w:rPr>
          <w:rFonts w:hint="eastAsia" w:ascii="宋体" w:hAnsi="宋体" w:cs="宋体"/>
          <w:kern w:val="0"/>
          <w:sz w:val="24"/>
          <w:highlight w:val="none"/>
        </w:rPr>
        <w:t xml:space="preserve">  4.2.6投标文件出现不是唯一的、有选择性投标报价的;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bookmarkStart w:id="413" w:name="OLE_LINK12"/>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bookmarkStart w:id="414" w:name="OLE_LINK15"/>
      <w:r>
        <w:rPr>
          <w:rFonts w:hint="eastAsia" w:ascii="宋体" w:hAnsi="宋体" w:cs="宋体"/>
          <w:color w:val="auto"/>
          <w:kern w:val="0"/>
          <w:sz w:val="24"/>
          <w:highlight w:val="none"/>
        </w:rPr>
        <w:t>投标人对根据修正原则修正后的报价不确认的；</w:t>
      </w:r>
      <w:bookmarkEnd w:id="414"/>
    </w:p>
    <w:bookmarkEnd w:id="413"/>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4.2.9</w:t>
      </w:r>
      <w:r>
        <w:rPr>
          <w:rFonts w:hint="eastAsia" w:ascii="宋体" w:hAnsi="宋体" w:cs="宋体"/>
          <w:kern w:val="0"/>
          <w:sz w:val="24"/>
          <w:highlight w:val="none"/>
          <w:lang w:val="en-US" w:eastAsia="zh-CN"/>
        </w:rPr>
        <w:t xml:space="preserve">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评标委员会启动异常低价投标（响应）审查后，投标（响应）供应商不能提供书面说明、证明材料，或者提供的书面说明、证明材料不能证明其报价合理性的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0</w:t>
      </w:r>
      <w:r>
        <w:rPr>
          <w:rFonts w:hint="eastAsia" w:ascii="宋体" w:hAnsi="宋体" w:cs="宋体"/>
          <w:kern w:val="0"/>
          <w:sz w:val="24"/>
          <w:highlight w:val="none"/>
        </w:rPr>
        <w:t>投标人提供虚假材料投标的；</w:t>
      </w:r>
    </w:p>
    <w:p>
      <w:pPr>
        <w:spacing w:line="360" w:lineRule="auto"/>
        <w:ind w:firstLine="240" w:firstLineChars="100"/>
        <w:rPr>
          <w:rFonts w:hint="eastAsia" w:ascii="宋体" w:hAnsi="宋体" w:cs="宋体"/>
          <w:kern w:val="0"/>
          <w:sz w:val="24"/>
          <w:highlight w:val="none"/>
        </w:rPr>
      </w:pPr>
      <w:r>
        <w:rPr>
          <w:rFonts w:hint="eastAsia" w:ascii="宋体" w:hAnsi="宋体" w:cs="宋体"/>
          <w:kern w:val="0"/>
          <w:sz w:val="24"/>
          <w:highlight w:val="none"/>
        </w:rPr>
        <w:t xml:space="preserve">  4.2.</w:t>
      </w:r>
      <w:r>
        <w:rPr>
          <w:rFonts w:hint="eastAsia" w:ascii="宋体" w:hAnsi="宋体" w:cs="宋体"/>
          <w:kern w:val="0"/>
          <w:sz w:val="24"/>
          <w:highlight w:val="none"/>
          <w:lang w:val="en-US" w:eastAsia="zh-CN"/>
        </w:rPr>
        <w:t>11</w:t>
      </w:r>
      <w:r>
        <w:rPr>
          <w:rFonts w:hint="eastAsia" w:ascii="宋体" w:hAnsi="宋体" w:cs="宋体"/>
          <w:kern w:val="0"/>
          <w:sz w:val="24"/>
          <w:highlight w:val="none"/>
        </w:rPr>
        <w:t>投标人有恶意串通、妨碍其他投标人的竞争行为、损害采购人或者其他投标人的合法权益情形的；</w:t>
      </w:r>
    </w:p>
    <w:p>
      <w:pPr>
        <w:pStyle w:val="4"/>
        <w:ind w:left="0" w:firstLine="480" w:firstLineChars="200"/>
        <w:rPr>
          <w:rFonts w:hint="eastAsia"/>
          <w:highlight w:val="none"/>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rPr>
        <w:t xml:space="preserve"> </w:t>
      </w:r>
      <w:r>
        <w:rPr>
          <w:rFonts w:hint="eastAsia" w:ascii="宋体" w:hAnsi="宋体" w:eastAsia="宋体" w:cs="宋体"/>
          <w:b w:val="0"/>
          <w:bCs w:val="0"/>
          <w:kern w:val="0"/>
          <w:sz w:val="24"/>
          <w:szCs w:val="24"/>
          <w:highlight w:val="none"/>
          <w:lang w:val="en-US"/>
        </w:rPr>
        <w:t>参与同一个采购包（标段）的供应商存在下列情形之一且无法合理解释的，其投标（响应）文件无效：1.不同供应商的电子投标（响应）文件上传计算机的</w:t>
      </w:r>
      <w:r>
        <w:rPr>
          <w:rFonts w:hint="eastAsia" w:ascii="宋体" w:hAnsi="宋体" w:eastAsia="宋体" w:cs="宋体"/>
          <w:b w:val="0"/>
          <w:bCs w:val="0"/>
          <w:kern w:val="0"/>
          <w:sz w:val="24"/>
          <w:szCs w:val="24"/>
          <w:highlight w:val="none"/>
          <w:lang w:val="en-US" w:eastAsia="zh-CN"/>
        </w:rPr>
        <w:t>IP地址、</w:t>
      </w:r>
      <w:r>
        <w:rPr>
          <w:rFonts w:hint="eastAsia" w:ascii="宋体" w:hAnsi="宋体" w:eastAsia="宋体" w:cs="宋体"/>
          <w:b w:val="0"/>
          <w:bCs w:val="0"/>
          <w:kern w:val="0"/>
          <w:sz w:val="24"/>
          <w:szCs w:val="24"/>
          <w:highlight w:val="none"/>
          <w:lang w:val="en-US"/>
        </w:rPr>
        <w:t>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3</w:t>
      </w:r>
      <w:r>
        <w:rPr>
          <w:rFonts w:hint="eastAsia" w:ascii="宋体" w:hAnsi="宋体" w:cs="宋体"/>
          <w:kern w:val="0"/>
          <w:sz w:val="24"/>
          <w:highlight w:val="none"/>
        </w:rPr>
        <w:t>投标人仅提交备份投标文件，未在电子交易平台传输递交投标文件的，投标无效；</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4</w:t>
      </w:r>
      <w:r>
        <w:rPr>
          <w:rFonts w:hint="eastAsia" w:ascii="宋体" w:hAnsi="宋体" w:cs="宋体"/>
          <w:kern w:val="0"/>
          <w:sz w:val="24"/>
          <w:highlight w:val="none"/>
        </w:rPr>
        <w:t>投标文件不满足招标文件的其它实质性要求的；</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5</w:t>
      </w:r>
      <w:r>
        <w:rPr>
          <w:rFonts w:hint="eastAsia" w:ascii="宋体" w:hAnsi="宋体" w:cs="宋体"/>
          <w:kern w:val="0"/>
          <w:sz w:val="24"/>
          <w:highlight w:val="none"/>
        </w:rPr>
        <w:t>法律、法规、规章（适用本市的）及省级以上规范性文件（适用本市的）规定的其他无效情形。</w:t>
      </w:r>
    </w:p>
    <w:p>
      <w:pPr>
        <w:pStyle w:val="7"/>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pPr>
        <w:pStyle w:val="7"/>
        <w:snapToGrid w:val="0"/>
        <w:spacing w:line="360" w:lineRule="auto"/>
        <w:rPr>
          <w:rFonts w:cs="宋体"/>
        </w:rPr>
      </w:pPr>
      <w:r>
        <w:rPr>
          <w:rFonts w:hint="eastAsia" w:cs="宋体"/>
          <w:highlight w:val="none"/>
        </w:rPr>
        <w:t>5.1符合专业条件的供应商或者对招标文件作实质响应的供应商不足3家</w:t>
      </w:r>
      <w:r>
        <w:rPr>
          <w:rFonts w:hint="eastAsia" w:cs="宋体"/>
        </w:rPr>
        <w:t>的；</w:t>
      </w:r>
    </w:p>
    <w:p>
      <w:pPr>
        <w:pStyle w:val="7"/>
        <w:snapToGrid w:val="0"/>
        <w:spacing w:line="360" w:lineRule="auto"/>
        <w:rPr>
          <w:rFonts w:cs="宋体"/>
        </w:rPr>
      </w:pPr>
      <w:r>
        <w:rPr>
          <w:rFonts w:hint="eastAsia" w:cs="宋体"/>
        </w:rPr>
        <w:t>5.2出现影响采购公正的违法、违规行为的；</w:t>
      </w:r>
    </w:p>
    <w:p>
      <w:pPr>
        <w:pStyle w:val="7"/>
        <w:snapToGrid w:val="0"/>
        <w:spacing w:line="360" w:lineRule="auto"/>
        <w:rPr>
          <w:rFonts w:cs="宋体"/>
        </w:rPr>
      </w:pPr>
      <w:r>
        <w:rPr>
          <w:rFonts w:hint="eastAsia" w:cs="宋体"/>
        </w:rPr>
        <w:t>5.3投标人的报价均超过了采购预算，采购人不能支付的；</w:t>
      </w:r>
    </w:p>
    <w:p>
      <w:pPr>
        <w:pStyle w:val="7"/>
        <w:snapToGrid w:val="0"/>
        <w:spacing w:line="360" w:lineRule="auto"/>
        <w:rPr>
          <w:rFonts w:cs="宋体"/>
        </w:rPr>
      </w:pPr>
      <w:r>
        <w:rPr>
          <w:rFonts w:hint="eastAsia" w:cs="宋体"/>
        </w:rPr>
        <w:t>5.4因重大变故，采购任务取消的。</w:t>
      </w:r>
    </w:p>
    <w:p>
      <w:pPr>
        <w:pStyle w:val="7"/>
        <w:snapToGrid w:val="0"/>
        <w:spacing w:line="360" w:lineRule="auto"/>
        <w:rPr>
          <w:rFonts w:cs="宋体"/>
        </w:rPr>
      </w:pPr>
      <w:r>
        <w:rPr>
          <w:rFonts w:hint="eastAsia" w:cs="宋体"/>
        </w:rPr>
        <w:t>废标后，</w:t>
      </w:r>
      <w:r>
        <w:rPr>
          <w:rFonts w:hint="eastAsia" w:ascii="宋体" w:hAnsi="宋体" w:cs="宋体"/>
          <w:sz w:val="24"/>
          <w:highlight w:val="none"/>
          <w:lang w:eastAsia="zh-CN"/>
        </w:rPr>
        <w:t>采购机构</w:t>
      </w:r>
      <w:r>
        <w:rPr>
          <w:rFonts w:hint="eastAsia" w:cs="宋体"/>
        </w:rPr>
        <w:t>应当将废标理由通知所有投标人。</w:t>
      </w:r>
    </w:p>
    <w:p>
      <w:pPr>
        <w:pStyle w:val="7"/>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ascii="宋体" w:hAnsi="宋体" w:cs="宋体"/>
          <w:sz w:val="24"/>
          <w:highlight w:val="none"/>
          <w:lang w:eastAsia="zh-CN"/>
        </w:rPr>
        <w:t>采购机构</w:t>
      </w:r>
      <w:r>
        <w:rPr>
          <w:rFonts w:hint="eastAsia" w:cs="宋体"/>
        </w:rPr>
        <w:t>沟通并作书面记录。采购人、</w:t>
      </w:r>
      <w:r>
        <w:rPr>
          <w:rFonts w:hint="eastAsia" w:ascii="宋体" w:hAnsi="宋体" w:cs="宋体"/>
          <w:sz w:val="24"/>
          <w:highlight w:val="none"/>
          <w:lang w:eastAsia="zh-CN"/>
        </w:rPr>
        <w:t>采购机构</w:t>
      </w:r>
      <w:r>
        <w:rPr>
          <w:rFonts w:hint="eastAsia" w:cs="宋体"/>
        </w:rPr>
        <w:t>确认后，将修改招标文件，重新组织采购活动。</w:t>
      </w:r>
    </w:p>
    <w:p>
      <w:pPr>
        <w:pStyle w:val="7"/>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pPr>
        <w:pStyle w:val="7"/>
        <w:snapToGrid w:val="0"/>
        <w:spacing w:line="360" w:lineRule="auto"/>
        <w:rPr>
          <w:rFonts w:cs="宋体"/>
        </w:rPr>
      </w:pPr>
      <w:r>
        <w:rPr>
          <w:rFonts w:hint="eastAsia" w:cs="宋体"/>
        </w:rPr>
        <w:t>7.1未确定中标供应商的，终止本次政府采购活动，重新开展政府采购活动。</w:t>
      </w:r>
    </w:p>
    <w:p>
      <w:pPr>
        <w:pStyle w:val="7"/>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pPr>
        <w:pStyle w:val="7"/>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pPr>
        <w:pStyle w:val="7"/>
        <w:snapToGrid w:val="0"/>
        <w:spacing w:line="360" w:lineRule="auto"/>
        <w:rPr>
          <w:rFonts w:cs="宋体"/>
        </w:rPr>
      </w:pPr>
      <w:r>
        <w:rPr>
          <w:rFonts w:hint="eastAsia" w:cs="宋体"/>
        </w:rPr>
        <w:t>7.4政府采购合同已经履行，给采购人、供应商造成损失的，由责任人承担赔偿责任。</w:t>
      </w:r>
    </w:p>
    <w:p>
      <w:pPr>
        <w:pStyle w:val="7"/>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pPr>
        <w:pStyle w:val="7"/>
        <w:snapToGrid w:val="0"/>
        <w:spacing w:line="360" w:lineRule="auto"/>
        <w:ind w:firstLine="0" w:firstLineChars="0"/>
        <w:rPr>
          <w:rFonts w:cs="宋体"/>
        </w:rPr>
      </w:pPr>
    </w:p>
    <w:bookmarkEnd w:id="42"/>
    <w:p>
      <w:pPr>
        <w:spacing w:line="360" w:lineRule="auto"/>
        <w:ind w:left="720" w:leftChars="343" w:firstLine="1084" w:firstLineChars="300"/>
        <w:outlineLvl w:val="0"/>
        <w:rPr>
          <w:rFonts w:ascii="宋体" w:hAnsi="宋体" w:cs="宋体"/>
          <w:b/>
          <w:sz w:val="36"/>
          <w:szCs w:val="36"/>
        </w:rPr>
      </w:pPr>
      <w:bookmarkStart w:id="415" w:name="第五部分"/>
      <w:bookmarkStart w:id="416" w:name="_Toc86217003"/>
    </w:p>
    <w:p>
      <w:pPr>
        <w:pStyle w:val="2"/>
        <w:rPr>
          <w:rFonts w:ascii="宋体" w:hAnsi="宋体" w:cs="宋体"/>
          <w:b/>
          <w:sz w:val="36"/>
          <w:szCs w:val="36"/>
        </w:rPr>
      </w:pPr>
    </w:p>
    <w:p>
      <w:pPr>
        <w:pStyle w:val="2"/>
        <w:rPr>
          <w:rFonts w:ascii="宋体" w:hAnsi="宋体" w:cs="宋体"/>
          <w:b/>
          <w:sz w:val="36"/>
          <w:szCs w:val="36"/>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hint="eastAsia" w:ascii="仿宋_GB2312" w:hAnsi="仿宋" w:eastAsia="仿宋_GB2312" w:cs="仿宋_GB2312"/>
          <w:b/>
          <w:sz w:val="36"/>
          <w:szCs w:val="36"/>
          <w:highlight w:val="none"/>
        </w:rPr>
      </w:pPr>
    </w:p>
    <w:p>
      <w:pPr>
        <w:spacing w:line="360" w:lineRule="auto"/>
        <w:jc w:val="center"/>
        <w:outlineLvl w:val="0"/>
        <w:rPr>
          <w:rFonts w:ascii="宋体" w:hAnsi="宋体" w:cs="宋体"/>
          <w:b/>
          <w:sz w:val="36"/>
          <w:szCs w:val="36"/>
          <w:highlight w:val="none"/>
        </w:rPr>
      </w:pPr>
      <w:r>
        <w:rPr>
          <w:rFonts w:hint="eastAsia" w:ascii="仿宋_GB2312" w:hAnsi="仿宋" w:eastAsia="仿宋_GB2312" w:cs="仿宋_GB2312"/>
          <w:b/>
          <w:sz w:val="36"/>
          <w:szCs w:val="36"/>
          <w:highlight w:val="none"/>
        </w:rPr>
        <w:t>第五部分</w:t>
      </w:r>
      <w:r>
        <w:rPr>
          <w:rFonts w:hint="eastAsia" w:ascii="宋体" w:hAnsi="宋体" w:cs="宋体"/>
          <w:b/>
          <w:sz w:val="36"/>
          <w:szCs w:val="36"/>
          <w:highlight w:val="none"/>
        </w:rPr>
        <w:t xml:space="preserve"> 拟签订的合同文本</w:t>
      </w: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政府采购合同参考范本</w:t>
      </w: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w:t>
      </w: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sz w:val="24"/>
          <w:highlight w:val="none"/>
        </w:rPr>
      </w:pPr>
    </w:p>
    <w:p>
      <w:pPr>
        <w:spacing w:before="120" w:line="22" w:lineRule="atLeast"/>
        <w:ind w:left="2158" w:leftChars="456" w:hanging="1200" w:hangingChars="500"/>
        <w:rPr>
          <w:rFonts w:hint="eastAsia" w:ascii="宋体" w:hAnsi="宋体" w:cs="宋体"/>
          <w:color w:val="auto"/>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b w:val="0"/>
          <w:bCs/>
          <w:color w:val="auto"/>
          <w:sz w:val="24"/>
          <w:szCs w:val="24"/>
          <w:highlight w:val="none"/>
          <w:u w:val="single"/>
        </w:rPr>
        <w:t>小营街道南片6个社区（长明寺巷</w:t>
      </w:r>
      <w:r>
        <w:rPr>
          <w:rFonts w:hint="eastAsia"/>
          <w:b w:val="0"/>
          <w:bCs/>
          <w:color w:val="auto"/>
          <w:sz w:val="24"/>
          <w:szCs w:val="24"/>
          <w:highlight w:val="none"/>
          <w:u w:val="single"/>
          <w:lang w:eastAsia="zh-CN"/>
        </w:rPr>
        <w:t>、</w:t>
      </w:r>
      <w:r>
        <w:rPr>
          <w:b w:val="0"/>
          <w:bCs/>
          <w:color w:val="auto"/>
          <w:sz w:val="24"/>
          <w:szCs w:val="24"/>
          <w:highlight w:val="none"/>
          <w:u w:val="single"/>
        </w:rPr>
        <w:t>金钱巷</w:t>
      </w:r>
      <w:r>
        <w:rPr>
          <w:rFonts w:hint="eastAsia"/>
          <w:b w:val="0"/>
          <w:bCs/>
          <w:color w:val="auto"/>
          <w:sz w:val="24"/>
          <w:szCs w:val="24"/>
          <w:highlight w:val="none"/>
          <w:u w:val="single"/>
          <w:lang w:eastAsia="zh-CN"/>
        </w:rPr>
        <w:t>、</w:t>
      </w:r>
      <w:r>
        <w:rPr>
          <w:b w:val="0"/>
          <w:bCs/>
          <w:color w:val="auto"/>
          <w:sz w:val="24"/>
          <w:szCs w:val="24"/>
          <w:highlight w:val="none"/>
          <w:u w:val="single"/>
        </w:rPr>
        <w:t>茅廊巷</w:t>
      </w:r>
      <w:r>
        <w:rPr>
          <w:rFonts w:hint="eastAsia"/>
          <w:b w:val="0"/>
          <w:bCs/>
          <w:color w:val="auto"/>
          <w:sz w:val="24"/>
          <w:szCs w:val="24"/>
          <w:highlight w:val="none"/>
          <w:u w:val="single"/>
          <w:lang w:eastAsia="zh-CN"/>
        </w:rPr>
        <w:t>、</w:t>
      </w:r>
      <w:r>
        <w:rPr>
          <w:b w:val="0"/>
          <w:bCs/>
          <w:color w:val="auto"/>
          <w:sz w:val="24"/>
          <w:szCs w:val="24"/>
          <w:highlight w:val="none"/>
          <w:u w:val="single"/>
        </w:rPr>
        <w:t>西牌楼</w:t>
      </w:r>
      <w:r>
        <w:rPr>
          <w:rFonts w:hint="eastAsia"/>
          <w:b w:val="0"/>
          <w:bCs/>
          <w:color w:val="auto"/>
          <w:sz w:val="24"/>
          <w:szCs w:val="24"/>
          <w:highlight w:val="none"/>
          <w:u w:val="single"/>
          <w:lang w:eastAsia="zh-CN"/>
        </w:rPr>
        <w:t>、</w:t>
      </w:r>
      <w:r>
        <w:rPr>
          <w:rFonts w:hint="eastAsia"/>
          <w:b w:val="0"/>
          <w:bCs/>
          <w:color w:val="auto"/>
          <w:sz w:val="24"/>
          <w:szCs w:val="24"/>
          <w:highlight w:val="none"/>
          <w:u w:val="single"/>
          <w:lang w:val="en-US" w:eastAsia="zh-CN"/>
        </w:rPr>
        <w:t>梅</w:t>
      </w:r>
      <w:r>
        <w:rPr>
          <w:b w:val="0"/>
          <w:bCs/>
          <w:color w:val="auto"/>
          <w:sz w:val="24"/>
          <w:szCs w:val="24"/>
          <w:highlight w:val="none"/>
          <w:u w:val="single"/>
        </w:rPr>
        <w:t>花碑</w:t>
      </w:r>
      <w:r>
        <w:rPr>
          <w:rFonts w:hint="eastAsia"/>
          <w:b w:val="0"/>
          <w:bCs/>
          <w:color w:val="auto"/>
          <w:sz w:val="24"/>
          <w:szCs w:val="24"/>
          <w:highlight w:val="none"/>
          <w:u w:val="single"/>
          <w:lang w:eastAsia="zh-CN"/>
        </w:rPr>
        <w:t>、</w:t>
      </w:r>
      <w:r>
        <w:rPr>
          <w:b w:val="0"/>
          <w:bCs/>
          <w:color w:val="auto"/>
          <w:sz w:val="24"/>
          <w:szCs w:val="24"/>
          <w:highlight w:val="none"/>
          <w:u w:val="single"/>
        </w:rPr>
        <w:t>姚园寺巷社区）准物业服务项</w:t>
      </w:r>
      <w:r>
        <w:rPr>
          <w:rFonts w:hint="eastAsia"/>
          <w:b w:val="0"/>
          <w:bCs/>
          <w:color w:val="auto"/>
          <w:sz w:val="24"/>
          <w:szCs w:val="24"/>
          <w:highlight w:val="none"/>
          <w:u w:val="single"/>
          <w:lang w:val="en-US" w:eastAsia="zh-CN"/>
        </w:rPr>
        <w:t>目</w:t>
      </w:r>
    </w:p>
    <w:p>
      <w:pPr>
        <w:rPr>
          <w:rFonts w:hint="eastAsia" w:ascii="宋体" w:hAnsi="宋体" w:cs="宋体"/>
          <w:color w:val="auto"/>
          <w:sz w:val="24"/>
          <w:highlight w:val="none"/>
        </w:rPr>
      </w:pPr>
    </w:p>
    <w:p>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杭州市上城区人民政府小营街道办事处    </w:t>
      </w:r>
    </w:p>
    <w:p>
      <w:pPr>
        <w:spacing w:before="120" w:line="22" w:lineRule="atLeast"/>
        <w:rPr>
          <w:rFonts w:hint="eastAsia" w:ascii="宋体" w:hAnsi="宋体" w:cs="宋体"/>
          <w:color w:val="auto"/>
          <w:sz w:val="24"/>
          <w:highlight w:val="none"/>
        </w:rPr>
      </w:pPr>
    </w:p>
    <w:p>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杭州市上城区人民政府小营街道办事处  </w:t>
      </w:r>
    </w:p>
    <w:p>
      <w:pPr>
        <w:pStyle w:val="6"/>
        <w:rPr>
          <w:color w:val="auto"/>
          <w:highlight w:val="none"/>
        </w:rPr>
      </w:pPr>
    </w:p>
    <w:p>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Fonts w:hint="eastAsia" w:ascii="宋体" w:hAnsi="宋体" w:cs="宋体"/>
          <w:color w:val="auto"/>
          <w:kern w:val="0"/>
          <w:sz w:val="24"/>
          <w:highlight w:val="none"/>
        </w:rPr>
        <w:sectPr>
          <w:headerReference r:id="rId8" w:type="default"/>
          <w:footerReference r:id="rId9" w:type="default"/>
          <w:pgSz w:w="11907" w:h="16840"/>
          <w:pgMar w:top="1474" w:right="1814" w:bottom="1474" w:left="1814" w:header="851" w:footer="851" w:gutter="0"/>
          <w:cols w:space="720" w:num="1"/>
        </w:sectPr>
      </w:pPr>
    </w:p>
    <w:p>
      <w:pPr>
        <w:spacing w:line="440" w:lineRule="exact"/>
        <w:ind w:firstLine="480" w:firstLineChars="200"/>
        <w:rPr>
          <w:rFonts w:hint="eastAsia" w:cs="宋体" w:asciiTheme="minorEastAsia" w:hAnsiTheme="minorEastAsia" w:eastAsiaTheme="minorEastAsia"/>
          <w:color w:val="auto"/>
          <w:sz w:val="24"/>
          <w:highlight w:val="none"/>
        </w:rPr>
      </w:pP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甲方：</w:t>
      </w:r>
    </w:p>
    <w:p>
      <w:pPr>
        <w:snapToGrid w:val="0"/>
        <w:spacing w:line="440" w:lineRule="exact"/>
        <w:ind w:firstLine="480" w:firstLineChars="200"/>
        <w:rPr>
          <w:rFonts w:hint="eastAsia" w:cs="仿宋"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根据《中华人民共和国民法典》等法律、法规和政策，经公开招标（</w:t>
      </w:r>
      <w:r>
        <w:rPr>
          <w:rFonts w:hint="eastAsia" w:asciiTheme="minorEastAsia" w:hAnsiTheme="minorEastAsia" w:eastAsiaTheme="minorEastAsia"/>
          <w:color w:val="auto"/>
          <w:sz w:val="24"/>
          <w:highlight w:val="none"/>
        </w:rPr>
        <w:t xml:space="preserve">项目:     </w:t>
      </w:r>
      <w:r>
        <w:rPr>
          <w:rFonts w:hint="eastAsia" w:cs="宋体" w:asciiTheme="minorEastAsia" w:hAnsiTheme="minorEastAsia" w:eastAsiaTheme="minorEastAsia"/>
          <w:color w:val="auto"/>
          <w:sz w:val="24"/>
          <w:highlight w:val="none"/>
        </w:rPr>
        <w:t xml:space="preserve">招标编号:    </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确定乙方为中标单位。甲乙双方在平等、自愿、协商一致的基础上，达成如下条款。</w:t>
      </w:r>
    </w:p>
    <w:p>
      <w:pPr>
        <w:pStyle w:val="256"/>
        <w:numPr>
          <w:ilvl w:val="0"/>
          <w:numId w:val="3"/>
        </w:numPr>
        <w:spacing w:line="440" w:lineRule="exact"/>
        <w:ind w:firstLineChars="0"/>
        <w:rPr>
          <w:rFonts w:hint="eastAsia" w:cs="仿宋" w:asciiTheme="minorEastAsia" w:hAnsiTheme="minorEastAsia" w:eastAsiaTheme="minorEastAsia"/>
          <w:color w:val="auto"/>
          <w:highlight w:val="none"/>
        </w:rPr>
      </w:pPr>
      <w:r>
        <w:rPr>
          <w:rFonts w:hint="eastAsia" w:cs="宋体" w:asciiTheme="minorEastAsia" w:hAnsiTheme="minorEastAsia" w:eastAsiaTheme="minorEastAsia"/>
          <w:b/>
          <w:bCs/>
          <w:color w:val="auto"/>
          <w:highlight w:val="none"/>
        </w:rPr>
        <w:t xml:space="preserve"> 服务范围：</w:t>
      </w:r>
    </w:p>
    <w:p>
      <w:pPr>
        <w:pStyle w:val="256"/>
        <w:snapToGrid w:val="0"/>
        <w:spacing w:line="440" w:lineRule="exact"/>
        <w:ind w:left="510" w:firstLine="48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小营街道南片区东至江成路，南至望江路，西至中河中路，北至解放路，包含金钱巷、长明寺巷、茅廊巷、姚园寺巷、西牌楼、梅花碑6个社区；面积1.455平方千米；总住户12421户、楼道646个，楼道灯约4171盏，停车位</w:t>
      </w:r>
      <w:r>
        <w:rPr>
          <w:rFonts w:hint="eastAsia" w:cs="宋体" w:asciiTheme="minorEastAsia" w:hAnsiTheme="minorEastAsia" w:eastAsiaTheme="minorEastAsia"/>
          <w:color w:val="auto"/>
          <w:highlight w:val="none"/>
          <w:lang w:val="en-US" w:eastAsia="zh-CN"/>
        </w:rPr>
        <w:t>728个</w:t>
      </w:r>
      <w:r>
        <w:rPr>
          <w:rFonts w:hint="eastAsia" w:cs="宋体" w:asciiTheme="minorEastAsia" w:hAnsiTheme="minorEastAsia" w:eastAsiaTheme="minorEastAsia"/>
          <w:color w:val="auto"/>
          <w:highlight w:val="none"/>
        </w:rPr>
        <w:t>，绿化保洁面积59312平方米。街巷保洁面积一类所属路面保洁面积48675.98平方米；二类所属路面保洁面积86662.29平方米。其中梅花碑社区辖区道路属一、二类街道。具体明细如下：</w:t>
      </w:r>
    </w:p>
    <w:p>
      <w:pPr>
        <w:snapToGrid w:val="0"/>
        <w:spacing w:line="44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zh-CN"/>
        </w:rPr>
        <w:t>甲方同意由乙方承包以下</w:t>
      </w:r>
      <w:r>
        <w:rPr>
          <w:rFonts w:hint="eastAsia" w:asciiTheme="minorEastAsia" w:hAnsiTheme="minorEastAsia" w:eastAsiaTheme="minorEastAsia"/>
          <w:color w:val="auto"/>
          <w:sz w:val="24"/>
          <w:highlight w:val="none"/>
        </w:rPr>
        <w:t>街巷</w:t>
      </w:r>
      <w:r>
        <w:rPr>
          <w:rFonts w:hint="eastAsia" w:asciiTheme="minorEastAsia" w:hAnsiTheme="minorEastAsia" w:eastAsiaTheme="minorEastAsia"/>
          <w:color w:val="auto"/>
          <w:sz w:val="24"/>
          <w:highlight w:val="none"/>
          <w:lang w:val="zh-CN"/>
        </w:rPr>
        <w:t>的清扫保洁工作：</w:t>
      </w:r>
    </w:p>
    <w:tbl>
      <w:tblPr>
        <w:tblStyle w:val="6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67"/>
        <w:gridCol w:w="2433"/>
        <w:gridCol w:w="900"/>
        <w:gridCol w:w="123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90" w:type="dxa"/>
            <w:vAlign w:val="center"/>
          </w:tcPr>
          <w:p>
            <w:pPr>
              <w:spacing w:line="440" w:lineRule="exact"/>
              <w:jc w:val="center"/>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067" w:type="dxa"/>
            <w:vAlign w:val="center"/>
          </w:tcPr>
          <w:p>
            <w:pPr>
              <w:spacing w:line="440" w:lineRule="exact"/>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路名</w:t>
            </w:r>
          </w:p>
        </w:tc>
        <w:tc>
          <w:tcPr>
            <w:tcW w:w="2433" w:type="dxa"/>
            <w:vAlign w:val="center"/>
          </w:tcPr>
          <w:p>
            <w:pPr>
              <w:spacing w:line="440" w:lineRule="exact"/>
              <w:jc w:val="center"/>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起止地点</w:t>
            </w:r>
          </w:p>
        </w:tc>
        <w:tc>
          <w:tcPr>
            <w:tcW w:w="900" w:type="dxa"/>
            <w:vAlign w:val="center"/>
          </w:tcPr>
          <w:p>
            <w:pPr>
              <w:spacing w:line="440" w:lineRule="exact"/>
              <w:jc w:val="center"/>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类别</w:t>
            </w:r>
          </w:p>
        </w:tc>
        <w:tc>
          <w:tcPr>
            <w:tcW w:w="1234" w:type="dxa"/>
            <w:vAlign w:val="center"/>
          </w:tcPr>
          <w:p>
            <w:pPr>
              <w:spacing w:line="440" w:lineRule="exact"/>
              <w:jc w:val="center"/>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面</w:t>
            </w:r>
            <w:r>
              <w:rPr>
                <w:rFonts w:hint="eastAsia" w:asciiTheme="minorEastAsia" w:hAnsiTheme="minorEastAsia" w:eastAsiaTheme="minorEastAsia"/>
                <w:color w:val="auto"/>
                <w:sz w:val="24"/>
                <w:highlight w:val="none"/>
                <w:lang w:val="zh-CN"/>
              </w:rPr>
              <w:t>积（</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w:t>
            </w:r>
          </w:p>
        </w:tc>
        <w:tc>
          <w:tcPr>
            <w:tcW w:w="2384" w:type="dxa"/>
            <w:vAlign w:val="center"/>
          </w:tcPr>
          <w:p>
            <w:pPr>
              <w:spacing w:line="440" w:lineRule="exact"/>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同一时段作业</w:t>
            </w:r>
            <w:r>
              <w:rPr>
                <w:rFonts w:hint="eastAsia" w:asciiTheme="minorEastAsia" w:hAnsiTheme="minorEastAsia" w:eastAsiaTheme="minorEastAsia"/>
                <w:color w:val="auto"/>
                <w:sz w:val="24"/>
                <w:highlight w:val="none"/>
                <w:lang w:val="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0"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1067"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2433"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900" w:type="dxa"/>
            <w:vAlign w:val="center"/>
          </w:tcPr>
          <w:p>
            <w:pPr>
              <w:spacing w:line="560" w:lineRule="exact"/>
              <w:jc w:val="center"/>
              <w:rPr>
                <w:rFonts w:hint="eastAsia" w:asciiTheme="minorEastAsia" w:hAnsiTheme="minorEastAsia" w:eastAsiaTheme="minorEastAsia"/>
                <w:color w:val="auto"/>
                <w:sz w:val="24"/>
                <w:highlight w:val="none"/>
                <w:lang w:val="zh-CN"/>
              </w:rPr>
            </w:pPr>
          </w:p>
        </w:tc>
        <w:tc>
          <w:tcPr>
            <w:tcW w:w="1234" w:type="dxa"/>
            <w:vAlign w:val="center"/>
          </w:tcPr>
          <w:p>
            <w:pPr>
              <w:spacing w:line="560" w:lineRule="exact"/>
              <w:jc w:val="center"/>
              <w:rPr>
                <w:rFonts w:hint="eastAsia" w:asciiTheme="minorEastAsia" w:hAnsiTheme="minorEastAsia" w:eastAsiaTheme="minorEastAsia"/>
                <w:color w:val="auto"/>
                <w:sz w:val="24"/>
                <w:highlight w:val="none"/>
                <w:lang w:val="zh-CN"/>
              </w:rPr>
            </w:pPr>
          </w:p>
        </w:tc>
        <w:tc>
          <w:tcPr>
            <w:tcW w:w="238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1067"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2433"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900" w:type="dxa"/>
            <w:vAlign w:val="center"/>
          </w:tcPr>
          <w:p>
            <w:pPr>
              <w:spacing w:line="560" w:lineRule="exact"/>
              <w:jc w:val="center"/>
              <w:rPr>
                <w:rFonts w:hint="eastAsia" w:asciiTheme="minorEastAsia" w:hAnsiTheme="minorEastAsia" w:eastAsiaTheme="minorEastAsia"/>
                <w:color w:val="auto"/>
                <w:sz w:val="24"/>
                <w:highlight w:val="none"/>
                <w:lang w:val="zh-CN"/>
              </w:rPr>
            </w:pPr>
          </w:p>
        </w:tc>
        <w:tc>
          <w:tcPr>
            <w:tcW w:w="1234" w:type="dxa"/>
            <w:vAlign w:val="center"/>
          </w:tcPr>
          <w:p>
            <w:pPr>
              <w:spacing w:line="560" w:lineRule="exact"/>
              <w:jc w:val="center"/>
              <w:rPr>
                <w:rFonts w:hint="eastAsia" w:asciiTheme="minorEastAsia" w:hAnsiTheme="minorEastAsia" w:eastAsiaTheme="minorEastAsia"/>
                <w:color w:val="auto"/>
                <w:sz w:val="24"/>
                <w:highlight w:val="none"/>
                <w:lang w:val="zh-CN"/>
              </w:rPr>
            </w:pPr>
          </w:p>
        </w:tc>
        <w:tc>
          <w:tcPr>
            <w:tcW w:w="2384" w:type="dxa"/>
            <w:vAlign w:val="center"/>
          </w:tcPr>
          <w:p>
            <w:pPr>
              <w:spacing w:line="560" w:lineRule="exact"/>
              <w:ind w:firstLine="480" w:firstLineChars="200"/>
              <w:jc w:val="center"/>
              <w:rPr>
                <w:rFonts w:hint="eastAsia" w:asciiTheme="minorEastAsia" w:hAnsiTheme="minorEastAsia" w:eastAsiaTheme="minorEastAsia"/>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1067"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2433"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900"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1234"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238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90" w:type="dxa"/>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4400" w:type="dxa"/>
            <w:gridSpan w:val="3"/>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合计</w:t>
            </w:r>
          </w:p>
        </w:tc>
        <w:tc>
          <w:tcPr>
            <w:tcW w:w="123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238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bl>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zh-CN"/>
        </w:rPr>
        <w:t>乙方拟投入机械设备一览表：</w:t>
      </w:r>
    </w:p>
    <w:tbl>
      <w:tblPr>
        <w:tblStyle w:val="6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724"/>
        <w:gridCol w:w="1523"/>
        <w:gridCol w:w="173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560" w:lineRule="exact"/>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2724"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车辆设备名称</w:t>
            </w:r>
          </w:p>
        </w:tc>
        <w:tc>
          <w:tcPr>
            <w:tcW w:w="1523"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734" w:type="dxa"/>
            <w:vAlign w:val="center"/>
          </w:tcPr>
          <w:p>
            <w:pPr>
              <w:spacing w:line="560" w:lineRule="exact"/>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总质量（</w:t>
            </w:r>
            <w:r>
              <w:rPr>
                <w:rFonts w:hint="eastAsia" w:asciiTheme="minorEastAsia" w:hAnsiTheme="minorEastAsia" w:eastAsiaTheme="minorEastAsia"/>
                <w:color w:val="auto"/>
                <w:sz w:val="24"/>
                <w:highlight w:val="none"/>
              </w:rPr>
              <w:t>吨</w:t>
            </w:r>
            <w:r>
              <w:rPr>
                <w:rFonts w:hint="eastAsia" w:asciiTheme="minorEastAsia" w:hAnsiTheme="minorEastAsia" w:eastAsiaTheme="minorEastAsia"/>
                <w:color w:val="auto"/>
                <w:sz w:val="24"/>
                <w:highlight w:val="none"/>
                <w:lang w:val="zh-CN"/>
              </w:rPr>
              <w:t>）</w:t>
            </w:r>
          </w:p>
        </w:tc>
        <w:tc>
          <w:tcPr>
            <w:tcW w:w="1675"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272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523"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73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675"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272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523"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73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675"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3</w:t>
            </w:r>
          </w:p>
        </w:tc>
        <w:tc>
          <w:tcPr>
            <w:tcW w:w="2724" w:type="dxa"/>
            <w:vAlign w:val="center"/>
          </w:tcPr>
          <w:p>
            <w:pPr>
              <w:spacing w:line="560" w:lineRule="exact"/>
              <w:ind w:firstLine="480" w:firstLineChars="200"/>
              <w:rPr>
                <w:rFonts w:hint="eastAsia" w:asciiTheme="minorEastAsia" w:hAnsiTheme="minorEastAsia" w:eastAsiaTheme="minorEastAsia"/>
                <w:color w:val="auto"/>
                <w:sz w:val="24"/>
                <w:highlight w:val="none"/>
                <w:lang w:val="zh-CN"/>
              </w:rPr>
            </w:pPr>
          </w:p>
        </w:tc>
        <w:tc>
          <w:tcPr>
            <w:tcW w:w="1523"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73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675"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56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72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523"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73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675"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pPr>
              <w:spacing w:line="56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272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523"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734"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c>
          <w:tcPr>
            <w:tcW w:w="1675" w:type="dxa"/>
            <w:vAlign w:val="center"/>
          </w:tcPr>
          <w:p>
            <w:pPr>
              <w:spacing w:line="560" w:lineRule="exact"/>
              <w:ind w:firstLine="480" w:firstLineChars="200"/>
              <w:rPr>
                <w:rFonts w:hint="eastAsia" w:asciiTheme="minorEastAsia" w:hAnsiTheme="minorEastAsia" w:eastAsiaTheme="minorEastAsia"/>
                <w:color w:val="auto"/>
                <w:sz w:val="24"/>
                <w:highlight w:val="none"/>
              </w:rPr>
            </w:pPr>
          </w:p>
        </w:tc>
      </w:tr>
    </w:tbl>
    <w:p>
      <w:pPr>
        <w:spacing w:line="440" w:lineRule="exact"/>
        <w:rPr>
          <w:rFonts w:hint="eastAsia" w:cs="仿宋" w:asciiTheme="minorEastAsia" w:hAnsiTheme="minorEastAsia" w:eastAsiaTheme="minorEastAsia"/>
          <w:b/>
          <w:color w:val="auto"/>
          <w:sz w:val="24"/>
          <w:highlight w:val="none"/>
        </w:rPr>
      </w:pPr>
    </w:p>
    <w:p>
      <w:pPr>
        <w:spacing w:line="440" w:lineRule="exact"/>
        <w:rPr>
          <w:rFonts w:hint="eastAsia" w:cs="仿宋" w:asciiTheme="minorEastAsia" w:hAnsiTheme="minorEastAsia" w:eastAsiaTheme="minorEastAsia"/>
          <w:b/>
          <w:color w:val="auto"/>
          <w:sz w:val="24"/>
          <w:highlight w:val="none"/>
        </w:rPr>
      </w:pPr>
    </w:p>
    <w:p>
      <w:pPr>
        <w:spacing w:line="440" w:lineRule="exact"/>
        <w:rPr>
          <w:rFonts w:hint="eastAsia" w:cs="宋体" w:asciiTheme="minorEastAsia" w:hAnsiTheme="minorEastAsia" w:eastAsiaTheme="minorEastAsia"/>
          <w:b/>
          <w:bCs/>
          <w:color w:val="auto"/>
          <w:sz w:val="24"/>
          <w:highlight w:val="none"/>
        </w:rPr>
      </w:pPr>
      <w:r>
        <w:rPr>
          <w:rFonts w:hint="eastAsia" w:cs="仿宋" w:asciiTheme="minorEastAsia" w:hAnsiTheme="minorEastAsia" w:eastAsiaTheme="minorEastAsia"/>
          <w:b/>
          <w:color w:val="auto"/>
          <w:sz w:val="24"/>
          <w:highlight w:val="none"/>
        </w:rPr>
        <w:t>二、服务内容：</w:t>
      </w:r>
    </w:p>
    <w:p>
      <w:pPr>
        <w:snapToGrid w:val="0"/>
        <w:spacing w:line="440" w:lineRule="exact"/>
        <w:ind w:firstLine="482" w:firstLineChars="200"/>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1、街巷保洁作业内容：</w:t>
      </w:r>
    </w:p>
    <w:p>
      <w:pPr>
        <w:pStyle w:val="129"/>
        <w:spacing w:line="440" w:lineRule="exact"/>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highlight w:val="none"/>
        </w:rPr>
        <w:t>（1）</w:t>
      </w:r>
      <w:r>
        <w:rPr>
          <w:rFonts w:hint="eastAsia" w:ascii="宋体" w:hAnsi="宋体" w:cs="仿宋"/>
          <w:color w:val="auto"/>
          <w:kern w:val="0"/>
          <w:szCs w:val="21"/>
          <w:highlight w:val="none"/>
        </w:rPr>
        <w:t>街巷保洁按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DB3301/T0475—2024</w:t>
      </w:r>
      <w:r>
        <w:rPr>
          <w:rFonts w:hint="eastAsia" w:ascii="宋体" w:hAnsi="宋体" w:eastAsia="宋体" w:cs="宋体"/>
          <w:color w:val="auto"/>
          <w:kern w:val="0"/>
          <w:szCs w:val="21"/>
          <w:highlight w:val="none"/>
          <w:lang w:val="zh-CN"/>
        </w:rPr>
        <w:t>城市道路清扫保洁作业规范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val="zh-CN"/>
        </w:rPr>
        <w:t>《关于发布2021年版杭州市道路保洁经费定额的通知》（杭城管局﹝2021﹞138号）</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浙江省关于进一步改善环卫工人工作生活条件促进环卫事业持续健康发展的若干意见</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浙政办发</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2009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190号</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杭州市人民政府办公厅关于进一步解决环卫工人实际困难保障其合法权益的意见</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杭政办</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2008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14号</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浙江省人民政府关于调整全省最低工资标准的通知</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浙政办发</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2024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3号</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杭州市人民政府关于调整市区最低工资标准的通知</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eastAsia="zh-CN"/>
        </w:rPr>
        <w:t>杭政函〔2024〕37号</w:t>
      </w:r>
      <w:r>
        <w:rPr>
          <w:rFonts w:hint="eastAsia" w:ascii="宋体" w:hAnsi="宋体" w:eastAsia="宋体" w:cs="宋体"/>
          <w:color w:val="auto"/>
          <w:kern w:val="0"/>
          <w:szCs w:val="21"/>
          <w:highlight w:val="none"/>
          <w:lang w:val="zh-CN"/>
        </w:rPr>
        <w:t>）《关于进一步明确“杭州城管驿站”管理相关事项的通知》（杭城管委〔2018〕233号）</w:t>
      </w:r>
      <w:r>
        <w:rPr>
          <w:rFonts w:hint="eastAsia" w:ascii="宋体" w:hAnsi="宋体" w:eastAsia="宋体" w:cs="宋体"/>
          <w:color w:val="auto"/>
          <w:kern w:val="0"/>
          <w:szCs w:val="21"/>
          <w:highlight w:val="none"/>
        </w:rPr>
        <w:t>、《关于统一杭州市环卫机械作业车辆外观的工作通知》、</w:t>
      </w:r>
      <w:r>
        <w:rPr>
          <w:rFonts w:hint="eastAsia" w:ascii="宋体" w:hAnsi="宋体" w:eastAsia="宋体" w:cs="宋体"/>
          <w:color w:val="auto"/>
          <w:kern w:val="0"/>
          <w:szCs w:val="21"/>
          <w:highlight w:val="none"/>
          <w:lang w:val="zh-CN"/>
        </w:rPr>
        <w:t>《关于印发杭州市城管行业服装统一标识规范的通知》（杭城管委﹝2018﹞16号）</w:t>
      </w:r>
      <w:r>
        <w:rPr>
          <w:rFonts w:hint="eastAsia" w:ascii="宋体" w:hAnsi="宋体" w:eastAsia="宋体" w:cs="宋体"/>
          <w:color w:val="auto"/>
          <w:szCs w:val="21"/>
          <w:highlight w:val="none"/>
        </w:rPr>
        <w:t>执行</w:t>
      </w:r>
      <w:r>
        <w:rPr>
          <w:rFonts w:hint="eastAsia" w:ascii="宋体" w:hAnsi="宋体" w:cs="仿宋"/>
          <w:color w:val="auto"/>
          <w:kern w:val="0"/>
          <w:szCs w:val="21"/>
          <w:highlight w:val="none"/>
          <w:lang w:val="zh-CN"/>
        </w:rPr>
        <w:t>；</w:t>
      </w:r>
    </w:p>
    <w:p>
      <w:pPr>
        <w:pStyle w:val="129"/>
        <w:spacing w:line="440" w:lineRule="exact"/>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（2）街巷清扫、保洁（含机扫、洒水、洁面工程）必须作业到两边建筑物基石（机扫、洒水到道路侧石），道路岔道、喇叭口清扫向外延伸15米。</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（3）街巷两侧乱涂写清理及擦洗，无生活污水。</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（4）绿化带、花坛、天井、空地、垃圾箱周围等公共场所要及时清扫并保持干净，做到无杂物、无垃圾。</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（5）路面无垃圾，无杂物，无积泥，晴天无积水。雨水井畅通干净，树圈无垃圾。</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（6）出入口保持清洁。</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（7）垃圾箱（房）清运时协助直运公司人员清除散落在地面的垃圾。</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（8）街巷两侧范围渣土、大件垃圾、建筑垃圾等应及时发现并及时清理、清运及处理（量较大时，应及时上报，经核实量后及时作业）。</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（9）片区清扫保洁产生的垃圾就近倾倒，不准扫入市区主次道路。</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（10）垃圾箱（房）必须加盖，垃圾清运应做到车走地净，垃圾箱周围无遗留垃圾，不得沿路散落垃圾。</w:t>
      </w:r>
    </w:p>
    <w:p>
      <w:pPr>
        <w:tabs>
          <w:tab w:val="left" w:pos="360"/>
          <w:tab w:val="left" w:pos="720"/>
        </w:tabs>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（11）垃圾箱（房）保持整洁，每天清洗一次。</w:t>
      </w:r>
    </w:p>
    <w:p>
      <w:pPr>
        <w:pStyle w:val="129"/>
        <w:spacing w:before="0" w:line="440" w:lineRule="exact"/>
        <w:ind w:firstLine="508" w:firstLineChars="212"/>
        <w:rPr>
          <w:rFonts w:hint="eastAsia" w:cs="宋体" w:asciiTheme="minorEastAsia" w:hAnsiTheme="minorEastAsia" w:eastAsiaTheme="minorEastAsia"/>
          <w:color w:val="auto"/>
          <w:kern w:val="0"/>
          <w:szCs w:val="24"/>
          <w:highlight w:val="none"/>
        </w:rPr>
      </w:pPr>
      <w:r>
        <w:rPr>
          <w:rFonts w:hint="eastAsia" w:asciiTheme="minorEastAsia" w:hAnsiTheme="minorEastAsia" w:eastAsiaTheme="minorEastAsia"/>
          <w:color w:val="auto"/>
          <w:szCs w:val="24"/>
          <w:highlight w:val="none"/>
        </w:rPr>
        <w:t>（12）及时</w:t>
      </w:r>
      <w:r>
        <w:rPr>
          <w:rFonts w:hint="eastAsia" w:cs="宋体" w:asciiTheme="minorEastAsia" w:hAnsiTheme="minorEastAsia" w:eastAsiaTheme="minorEastAsia"/>
          <w:color w:val="auto"/>
          <w:kern w:val="0"/>
          <w:szCs w:val="24"/>
          <w:highlight w:val="none"/>
        </w:rPr>
        <w:t>制止偷倒乱倒垃圾行为，及时清除无主垃圾和废土。</w:t>
      </w:r>
    </w:p>
    <w:p>
      <w:pPr>
        <w:pStyle w:val="129"/>
        <w:spacing w:before="0" w:line="440" w:lineRule="exact"/>
        <w:ind w:firstLine="480"/>
        <w:rPr>
          <w:rFonts w:hint="eastAsia" w:cs="宋体" w:asciiTheme="minorEastAsia" w:hAnsiTheme="minorEastAsia" w:eastAsiaTheme="minorEastAsia"/>
          <w:color w:val="auto"/>
          <w:kern w:val="0"/>
          <w:szCs w:val="24"/>
          <w:highlight w:val="none"/>
        </w:rPr>
      </w:pPr>
      <w:r>
        <w:rPr>
          <w:rFonts w:hint="eastAsia" w:asciiTheme="minorEastAsia" w:hAnsiTheme="minorEastAsia" w:eastAsiaTheme="minorEastAsia"/>
          <w:color w:val="auto"/>
          <w:szCs w:val="24"/>
          <w:highlight w:val="none"/>
        </w:rPr>
        <w:t>（13）</w:t>
      </w:r>
      <w:r>
        <w:rPr>
          <w:rFonts w:hint="eastAsia" w:cs="宋体" w:asciiTheme="minorEastAsia" w:hAnsiTheme="minorEastAsia" w:eastAsiaTheme="minorEastAsia"/>
          <w:color w:val="auto"/>
          <w:kern w:val="0"/>
          <w:szCs w:val="24"/>
          <w:highlight w:val="none"/>
        </w:rPr>
        <w:t>遇有重大活动或抗台、抗雪等突发事件，必须无条件及时组织力量做好清扫保洁等保障工作，服从甲方的统一指挥。</w:t>
      </w:r>
    </w:p>
    <w:p>
      <w:pPr>
        <w:pStyle w:val="129"/>
        <w:spacing w:before="0" w:line="440" w:lineRule="exact"/>
        <w:ind w:firstLine="480"/>
        <w:rPr>
          <w:rFonts w:hint="eastAsia" w:cs="宋体" w:asciiTheme="minorEastAsia" w:hAnsiTheme="minorEastAsia" w:eastAsiaTheme="minorEastAsia"/>
          <w:color w:val="auto"/>
          <w:kern w:val="0"/>
          <w:szCs w:val="24"/>
          <w:highlight w:val="none"/>
        </w:rPr>
      </w:pPr>
      <w:r>
        <w:rPr>
          <w:rFonts w:hint="eastAsia" w:asciiTheme="minorEastAsia" w:hAnsiTheme="minorEastAsia" w:eastAsiaTheme="minorEastAsia"/>
          <w:color w:val="auto"/>
          <w:szCs w:val="24"/>
          <w:highlight w:val="none"/>
        </w:rPr>
        <w:t>（14）</w:t>
      </w:r>
      <w:r>
        <w:rPr>
          <w:rFonts w:hint="eastAsia" w:cs="宋体" w:asciiTheme="minorEastAsia" w:hAnsiTheme="minorEastAsia" w:eastAsiaTheme="minorEastAsia"/>
          <w:color w:val="auto"/>
          <w:kern w:val="0"/>
          <w:szCs w:val="24"/>
          <w:highlight w:val="none"/>
        </w:rPr>
        <w:t>负责做好本合同标段作业范围内的城市管理类各项检查工作、长效管理抄告单、“数字城管”和群众信访、投诉处理件的处理、整改和回复工作。</w:t>
      </w:r>
    </w:p>
    <w:p>
      <w:pPr>
        <w:autoSpaceDE w:val="0"/>
        <w:autoSpaceDN w:val="0"/>
        <w:spacing w:line="440" w:lineRule="exact"/>
        <w:ind w:firstLine="482" w:firstLineChars="200"/>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2、 准物业管理作业内容</w:t>
      </w:r>
    </w:p>
    <w:p>
      <w:pPr>
        <w:autoSpaceDE w:val="0"/>
        <w:autoSpaceDN w:val="0"/>
        <w:spacing w:line="440" w:lineRule="exact"/>
        <w:ind w:firstLine="480" w:firstLineChars="200"/>
        <w:rPr>
          <w:rFonts w:hint="eastAsia" w:asciiTheme="minorEastAsia" w:hAnsiTheme="minorEastAsia" w:eastAsiaTheme="minorEastAsia"/>
          <w:b/>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Theme="minorEastAsia" w:hAnsiTheme="minorEastAsia" w:eastAsiaTheme="minorEastAsia"/>
          <w:color w:val="auto"/>
          <w:sz w:val="24"/>
          <w:highlight w:val="none"/>
        </w:rPr>
        <w:t xml:space="preserve"> 1.物业管理区域内物业共用部位、共用设施设备的管理及维修养护；</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2.物业管理区域内公共秩序和环境卫生的维护；</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3.物业管理区域内的绿化养护和管理；</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4.物业管理区域内车辆机动车和非机动车行驶、停放及场所管理；</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5.供水、供电、供气、电信等专业单位在物业管理区域内对相关管线、设施维修养护时，进行必要的协调和管理；</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6.物业管理区域的日常安全巡查服务；</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7.物业档案资料的保管及有关物业服务费用的帐务管理。</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8.区域内业主投诉、文化建设和便民服务活动等。</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9.街道以及社区临时需要准物业完成、配合的各项工作。</w:t>
      </w:r>
    </w:p>
    <w:p>
      <w:pPr>
        <w:snapToGrid w:val="0"/>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10.法律政策及合同规定的其他事项。</w:t>
      </w:r>
    </w:p>
    <w:p>
      <w:pPr>
        <w:snapToGrid w:val="0"/>
        <w:spacing w:line="440" w:lineRule="exact"/>
        <w:ind w:firstLine="482" w:firstLineChars="200"/>
        <w:rPr>
          <w:rFonts w:hint="eastAsia" w:cs="仿宋" w:asciiTheme="minorEastAsia" w:hAnsiTheme="minorEastAsia" w:eastAsiaTheme="minorEastAsia"/>
          <w:b/>
          <w:color w:val="auto"/>
          <w:sz w:val="24"/>
          <w:highlight w:val="none"/>
        </w:rPr>
      </w:pPr>
      <w:r>
        <w:rPr>
          <w:rFonts w:hint="eastAsia" w:cs="仿宋" w:asciiTheme="minorEastAsia" w:hAnsiTheme="minorEastAsia" w:eastAsiaTheme="minorEastAsia"/>
          <w:b/>
          <w:color w:val="auto"/>
          <w:sz w:val="24"/>
          <w:highlight w:val="none"/>
          <w:lang w:val="en-US" w:eastAsia="zh-CN"/>
        </w:rPr>
        <w:t>3</w:t>
      </w:r>
      <w:r>
        <w:rPr>
          <w:rFonts w:hint="eastAsia" w:cs="仿宋" w:asciiTheme="minorEastAsia" w:hAnsiTheme="minorEastAsia" w:eastAsiaTheme="minorEastAsia"/>
          <w:b/>
          <w:color w:val="auto"/>
          <w:sz w:val="24"/>
          <w:highlight w:val="none"/>
        </w:rPr>
        <w:t>、审计要求</w:t>
      </w:r>
    </w:p>
    <w:p>
      <w:pPr>
        <w:snapToGrid w:val="0"/>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在合同服务期内，为确保</w:t>
      </w:r>
      <w:r>
        <w:rPr>
          <w:rFonts w:hint="eastAsia" w:cs="仿宋" w:asciiTheme="minorEastAsia" w:hAnsiTheme="minorEastAsia" w:eastAsiaTheme="minorEastAsia"/>
          <w:bCs/>
          <w:color w:val="auto"/>
          <w:sz w:val="24"/>
          <w:highlight w:val="none"/>
          <w:lang w:val="en-US" w:eastAsia="zh-CN"/>
        </w:rPr>
        <w:t>乙方</w:t>
      </w:r>
      <w:r>
        <w:rPr>
          <w:rFonts w:hint="eastAsia" w:cs="仿宋" w:asciiTheme="minorEastAsia" w:hAnsiTheme="minorEastAsia" w:eastAsiaTheme="minorEastAsia"/>
          <w:bCs/>
          <w:color w:val="auto"/>
          <w:sz w:val="24"/>
          <w:highlight w:val="none"/>
        </w:rPr>
        <w:t>的财务透明度及合规性，针对服务收入的使用和管理情况，</w:t>
      </w:r>
      <w:r>
        <w:rPr>
          <w:rFonts w:hint="eastAsia" w:cs="仿宋" w:asciiTheme="minorEastAsia" w:hAnsiTheme="minorEastAsia" w:eastAsiaTheme="minorEastAsia"/>
          <w:bCs/>
          <w:color w:val="auto"/>
          <w:sz w:val="24"/>
          <w:highlight w:val="none"/>
          <w:lang w:val="en-US" w:eastAsia="zh-CN"/>
        </w:rPr>
        <w:t>乙方须按甲方要求，及时无条件配合</w:t>
      </w:r>
      <w:r>
        <w:rPr>
          <w:rFonts w:hint="eastAsia" w:cs="仿宋" w:asciiTheme="minorEastAsia" w:hAnsiTheme="minorEastAsia" w:eastAsiaTheme="minorEastAsia"/>
          <w:bCs/>
          <w:color w:val="auto"/>
          <w:sz w:val="24"/>
          <w:highlight w:val="none"/>
        </w:rPr>
        <w:t>提供年度审计报告给甲方。审计费用由</w:t>
      </w:r>
      <w:r>
        <w:rPr>
          <w:rFonts w:hint="eastAsia" w:cs="仿宋" w:asciiTheme="minorEastAsia" w:hAnsiTheme="minorEastAsia" w:eastAsiaTheme="minorEastAsia"/>
          <w:bCs/>
          <w:color w:val="auto"/>
          <w:sz w:val="24"/>
          <w:highlight w:val="none"/>
          <w:lang w:val="en-US" w:eastAsia="zh-CN"/>
        </w:rPr>
        <w:t>乙方</w:t>
      </w:r>
      <w:r>
        <w:rPr>
          <w:rFonts w:hint="eastAsia" w:cs="仿宋" w:asciiTheme="minorEastAsia" w:hAnsiTheme="minorEastAsia" w:eastAsiaTheme="minorEastAsia"/>
          <w:bCs/>
          <w:color w:val="auto"/>
          <w:sz w:val="24"/>
          <w:highlight w:val="none"/>
        </w:rPr>
        <w:t>支付。</w:t>
      </w:r>
    </w:p>
    <w:p>
      <w:pPr>
        <w:spacing w:line="440" w:lineRule="exact"/>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三、服务人员要求：</w:t>
      </w:r>
    </w:p>
    <w:p>
      <w:pPr>
        <w:autoSpaceDE w:val="0"/>
        <w:autoSpaceDN w:val="0"/>
        <w:snapToGrid w:val="0"/>
        <w:spacing w:line="560" w:lineRule="exact"/>
        <w:ind w:firstLine="480"/>
        <w:rPr>
          <w:rFonts w:hint="eastAsia" w:ascii="宋体" w:hAnsi="宋体" w:eastAsia="宋体" w:cs="宋体"/>
          <w:b w:val="0"/>
          <w:bCs/>
          <w:color w:val="auto"/>
          <w:sz w:val="24"/>
          <w:highlight w:val="none"/>
        </w:rPr>
      </w:pPr>
      <w:r>
        <w:rPr>
          <w:rFonts w:hint="eastAsia" w:cs="Times New Roman" w:asciiTheme="minorEastAsia" w:hAnsiTheme="minorEastAsia" w:eastAsiaTheme="minorEastAsia"/>
          <w:color w:val="auto"/>
          <w:sz w:val="24"/>
          <w:highlight w:val="none"/>
          <w:lang w:val="en-US" w:eastAsia="zh-CN"/>
        </w:rPr>
        <w:t>乙方的</w:t>
      </w:r>
      <w:r>
        <w:rPr>
          <w:rFonts w:hint="eastAsia" w:cs="Times New Roman" w:asciiTheme="minorEastAsia" w:hAnsiTheme="minorEastAsia" w:eastAsiaTheme="minorEastAsia"/>
          <w:color w:val="auto"/>
          <w:sz w:val="24"/>
          <w:highlight w:val="none"/>
        </w:rPr>
        <w:t>人员配置不少于</w:t>
      </w:r>
      <w:r>
        <w:rPr>
          <w:rFonts w:hint="eastAsia" w:cs="Times New Roman" w:asciiTheme="minorEastAsia" w:hAnsiTheme="minorEastAsia" w:eastAsiaTheme="minorEastAsia"/>
          <w:color w:val="auto"/>
          <w:sz w:val="24"/>
          <w:highlight w:val="none"/>
          <w:lang w:val="en-US" w:eastAsia="zh-CN"/>
        </w:rPr>
        <w:t>87</w:t>
      </w:r>
      <w:r>
        <w:rPr>
          <w:rFonts w:hint="eastAsia" w:cs="Times New Roman" w:asciiTheme="minorEastAsia" w:hAnsiTheme="minorEastAsia" w:eastAsiaTheme="minorEastAsia"/>
          <w:color w:val="auto"/>
          <w:sz w:val="24"/>
          <w:highlight w:val="none"/>
        </w:rPr>
        <w:t>人，其中：</w:t>
      </w:r>
      <w:r>
        <w:rPr>
          <w:rFonts w:hint="eastAsia" w:ascii="宋体" w:hAnsi="宋体" w:eastAsia="宋体" w:cs="宋体"/>
          <w:b w:val="0"/>
          <w:bCs/>
          <w:color w:val="auto"/>
          <w:sz w:val="24"/>
          <w:highlight w:val="none"/>
        </w:rPr>
        <w:t>人员配置不少于</w:t>
      </w:r>
      <w:r>
        <w:rPr>
          <w:rFonts w:hint="eastAsia" w:ascii="宋体" w:hAnsi="宋体" w:cs="宋体"/>
          <w:b w:val="0"/>
          <w:bCs/>
          <w:color w:val="auto"/>
          <w:sz w:val="24"/>
          <w:highlight w:val="none"/>
          <w:lang w:val="en-US" w:eastAsia="zh-CN"/>
        </w:rPr>
        <w:t>87</w:t>
      </w:r>
      <w:r>
        <w:rPr>
          <w:rFonts w:hint="eastAsia" w:ascii="宋体" w:hAnsi="宋体" w:eastAsia="宋体" w:cs="宋体"/>
          <w:b w:val="0"/>
          <w:bCs/>
          <w:color w:val="auto"/>
          <w:sz w:val="24"/>
          <w:highlight w:val="none"/>
        </w:rPr>
        <w:t>人，其中：项目负责人1人、</w:t>
      </w:r>
      <w:r>
        <w:rPr>
          <w:rFonts w:hint="eastAsia" w:ascii="宋体" w:hAnsi="宋体" w:eastAsia="宋体" w:cs="宋体"/>
          <w:b w:val="0"/>
          <w:bCs/>
          <w:color w:val="auto"/>
          <w:sz w:val="24"/>
          <w:highlight w:val="none"/>
          <w:lang w:val="en-US" w:eastAsia="zh-CN"/>
        </w:rPr>
        <w:t>工程主管</w:t>
      </w:r>
      <w:r>
        <w:rPr>
          <w:rFonts w:hint="eastAsia" w:ascii="宋体" w:hAnsi="宋体" w:eastAsia="宋体" w:cs="宋体"/>
          <w:b w:val="0"/>
          <w:bCs/>
          <w:color w:val="auto"/>
          <w:sz w:val="24"/>
          <w:highlight w:val="none"/>
        </w:rPr>
        <w:t>1人</w:t>
      </w:r>
      <w:r>
        <w:rPr>
          <w:rFonts w:hint="eastAsia" w:ascii="宋体" w:hAnsi="宋体" w:eastAsia="宋体" w:cs="宋体"/>
          <w:b w:val="0"/>
          <w:bCs/>
          <w:color w:val="auto"/>
          <w:sz w:val="24"/>
          <w:highlight w:val="none"/>
          <w:lang w:val="en-US" w:eastAsia="zh-CN"/>
        </w:rPr>
        <w:t>、保安主管1</w:t>
      </w:r>
      <w:r>
        <w:rPr>
          <w:rFonts w:hint="eastAsia"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val="en-US" w:eastAsia="zh-CN"/>
        </w:rPr>
        <w:t>、保洁主管1</w:t>
      </w:r>
      <w:r>
        <w:rPr>
          <w:rFonts w:hint="eastAsia" w:ascii="宋体" w:hAnsi="宋体" w:eastAsia="宋体" w:cs="宋体"/>
          <w:b w:val="0"/>
          <w:bCs/>
          <w:color w:val="auto"/>
          <w:sz w:val="24"/>
          <w:highlight w:val="none"/>
        </w:rPr>
        <w:t>人、内勤6人、水电工</w:t>
      </w: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人</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eastAsia="zh-CN"/>
        </w:rPr>
        <w:t>至少</w:t>
      </w:r>
      <w:r>
        <w:rPr>
          <w:rFonts w:hint="eastAsia" w:ascii="宋体" w:hAnsi="宋体" w:eastAsia="宋体" w:cs="宋体"/>
          <w:b w:val="0"/>
          <w:bCs/>
          <w:color w:val="auto"/>
          <w:sz w:val="24"/>
          <w:highlight w:val="none"/>
          <w:lang w:val="en-US" w:eastAsia="zh-CN"/>
        </w:rPr>
        <w:t>需一本高压</w:t>
      </w:r>
      <w:r>
        <w:rPr>
          <w:rFonts w:hint="eastAsia" w:ascii="宋体" w:hAnsi="宋体" w:cs="宋体"/>
          <w:b w:val="0"/>
          <w:bCs/>
          <w:color w:val="auto"/>
          <w:sz w:val="24"/>
          <w:highlight w:val="none"/>
          <w:lang w:val="en-US" w:eastAsia="zh-CN"/>
        </w:rPr>
        <w:t>电工作业</w:t>
      </w:r>
      <w:r>
        <w:rPr>
          <w:rFonts w:hint="eastAsia" w:ascii="宋体" w:hAnsi="宋体" w:eastAsia="宋体" w:cs="宋体"/>
          <w:b w:val="0"/>
          <w:bCs/>
          <w:color w:val="auto"/>
          <w:sz w:val="24"/>
          <w:highlight w:val="none"/>
          <w:lang w:val="en-US" w:eastAsia="zh-CN"/>
        </w:rPr>
        <w:t>证，一本</w:t>
      </w:r>
      <w:r>
        <w:rPr>
          <w:rFonts w:hint="eastAsia" w:ascii="宋体" w:hAnsi="宋体" w:eastAsia="宋体" w:cs="宋体"/>
          <w:b w:val="0"/>
          <w:bCs/>
          <w:color w:val="auto"/>
          <w:sz w:val="24"/>
          <w:highlight w:val="none"/>
        </w:rPr>
        <w:t>低压电工作业</w:t>
      </w:r>
      <w:r>
        <w:rPr>
          <w:rFonts w:hint="eastAsia" w:ascii="宋体" w:hAnsi="宋体" w:eastAsia="宋体" w:cs="宋体"/>
          <w:b w:val="0"/>
          <w:bCs/>
          <w:color w:val="auto"/>
          <w:sz w:val="24"/>
          <w:highlight w:val="none"/>
          <w:lang w:val="en-US" w:eastAsia="zh-CN"/>
        </w:rPr>
        <w:t>证</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保安1</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13人均具有保安证</w:t>
      </w:r>
      <w:r>
        <w:rPr>
          <w:rFonts w:hint="eastAsia" w:ascii="宋体" w:hAnsi="宋体" w:cs="宋体"/>
          <w:b w:val="0"/>
          <w:bCs/>
          <w:color w:val="auto"/>
          <w:sz w:val="24"/>
          <w:highlight w:val="none"/>
          <w:lang w:val="en-US" w:eastAsia="zh-CN"/>
        </w:rPr>
        <w:t>、</w:t>
      </w:r>
      <w:r>
        <w:rPr>
          <w:rFonts w:hint="eastAsia" w:ascii="宋体" w:hAnsi="宋体" w:eastAsia="宋体" w:cs="宋体"/>
          <w:b w:val="0"/>
          <w:bCs/>
          <w:color w:val="auto"/>
          <w:sz w:val="24"/>
          <w:highlight w:val="none"/>
          <w:lang w:val="en-US" w:eastAsia="zh-CN"/>
        </w:rPr>
        <w:t>其中1人还需具有消防设施操作员证</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 xml:space="preserve">绿化养护 </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人，街巷保洁</w:t>
      </w:r>
      <w:r>
        <w:rPr>
          <w:rFonts w:hint="eastAsia" w:ascii="宋体" w:hAnsi="宋体" w:eastAsia="宋体" w:cs="宋体"/>
          <w:b w:val="0"/>
          <w:bCs/>
          <w:color w:val="auto"/>
          <w:sz w:val="24"/>
          <w:highlight w:val="none"/>
          <w:lang w:val="en-US" w:eastAsia="zh-CN"/>
        </w:rPr>
        <w:t>环卫工人</w:t>
      </w:r>
      <w:r>
        <w:rPr>
          <w:rFonts w:hint="eastAsia" w:ascii="宋体" w:hAnsi="宋体" w:cs="宋体"/>
          <w:b w:val="0"/>
          <w:bCs/>
          <w:color w:val="auto"/>
          <w:sz w:val="24"/>
          <w:highlight w:val="none"/>
          <w:lang w:val="en-US" w:eastAsia="zh-CN"/>
        </w:rPr>
        <w:t>57</w:t>
      </w:r>
      <w:r>
        <w:rPr>
          <w:rFonts w:hint="eastAsia" w:ascii="宋体" w:hAnsi="宋体" w:eastAsia="宋体" w:cs="宋体"/>
          <w:b w:val="0"/>
          <w:bCs/>
          <w:color w:val="auto"/>
          <w:sz w:val="24"/>
          <w:highlight w:val="none"/>
        </w:rPr>
        <w:t>人</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街巷保洁</w:t>
      </w:r>
      <w:r>
        <w:rPr>
          <w:rFonts w:hint="eastAsia" w:ascii="宋体" w:hAnsi="宋体" w:eastAsia="宋体" w:cs="宋体"/>
          <w:b w:val="0"/>
          <w:bCs/>
          <w:color w:val="auto"/>
          <w:sz w:val="24"/>
          <w:highlight w:val="none"/>
          <w:lang w:val="en-US" w:eastAsia="zh-CN"/>
        </w:rPr>
        <w:t>环卫工人</w:t>
      </w:r>
      <w:r>
        <w:rPr>
          <w:rFonts w:hint="eastAsia" w:ascii="宋体" w:hAnsi="宋体" w:eastAsia="宋体" w:cs="宋体"/>
          <w:b w:val="0"/>
          <w:bCs/>
          <w:color w:val="auto"/>
          <w:sz w:val="24"/>
          <w:highlight w:val="none"/>
        </w:rPr>
        <w:t>35人</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楼梯保洁12人、</w:t>
      </w:r>
      <w:r>
        <w:rPr>
          <w:rFonts w:hint="eastAsia" w:ascii="宋体" w:hAnsi="宋体" w:eastAsia="宋体" w:cs="宋体"/>
          <w:b w:val="0"/>
          <w:bCs/>
          <w:color w:val="auto"/>
          <w:sz w:val="24"/>
          <w:highlight w:val="none"/>
          <w:lang w:val="en-US" w:eastAsia="zh-CN"/>
        </w:rPr>
        <w:t>其他保洁</w:t>
      </w:r>
      <w:r>
        <w:rPr>
          <w:rFonts w:hint="eastAsia" w:ascii="宋体" w:hAnsi="宋体" w:cs="宋体"/>
          <w:b w:val="0"/>
          <w:bCs/>
          <w:color w:val="auto"/>
          <w:sz w:val="24"/>
          <w:highlight w:val="none"/>
          <w:lang w:val="en-US" w:eastAsia="zh-CN"/>
        </w:rPr>
        <w:t>10</w:t>
      </w:r>
      <w:r>
        <w:rPr>
          <w:rFonts w:hint="eastAsia" w:ascii="宋体" w:hAnsi="宋体" w:eastAsia="宋体" w:cs="宋体"/>
          <w:b w:val="0"/>
          <w:bCs/>
          <w:color w:val="auto"/>
          <w:sz w:val="24"/>
          <w:highlight w:val="none"/>
          <w:lang w:val="en-US" w:eastAsia="zh-CN"/>
        </w:rPr>
        <w:t>人）</w:t>
      </w:r>
      <w:r>
        <w:rPr>
          <w:rFonts w:hint="eastAsia" w:ascii="宋体" w:hAnsi="宋体" w:eastAsia="宋体" w:cs="宋体"/>
          <w:b w:val="0"/>
          <w:bCs/>
          <w:color w:val="auto"/>
          <w:sz w:val="24"/>
          <w:highlight w:val="none"/>
        </w:rPr>
        <w:t>。</w:t>
      </w:r>
    </w:p>
    <w:p>
      <w:pPr>
        <w:autoSpaceDE w:val="0"/>
        <w:autoSpaceDN w:val="0"/>
        <w:snapToGrid w:val="0"/>
        <w:spacing w:line="440" w:lineRule="exact"/>
        <w:ind w:firstLine="480" w:firstLineChars="200"/>
        <w:rPr>
          <w:rFonts w:hint="default"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上述乙方派遣的全部工作人员须具有完全民事行为能力，品行端正，特殊岗位须具备相应合法有效的资质；否则，甲方可提出更换要求，乙方须无条件及时予以配合响应。</w:t>
      </w:r>
    </w:p>
    <w:p>
      <w:pPr>
        <w:spacing w:line="440" w:lineRule="exact"/>
        <w:ind w:firstLine="120" w:firstLineChars="5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四、合同有效期</w:t>
      </w:r>
      <w:r>
        <w:rPr>
          <w:rFonts w:hint="eastAsia" w:cs="宋体" w:asciiTheme="minorEastAsia" w:hAnsiTheme="minorEastAsia" w:eastAsiaTheme="minorEastAsia"/>
          <w:color w:val="auto"/>
          <w:sz w:val="24"/>
          <w:highlight w:val="none"/>
        </w:rPr>
        <w:t>：</w:t>
      </w:r>
    </w:p>
    <w:p>
      <w:pPr>
        <w:spacing w:line="440" w:lineRule="exact"/>
        <w:ind w:firstLine="480" w:firstLineChars="20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本项目合同期：</w:t>
      </w:r>
      <w:r>
        <w:rPr>
          <w:rFonts w:hint="eastAsia" w:cs="宋体" w:asciiTheme="minorEastAsia" w:hAnsiTheme="minorEastAsia" w:eastAsiaTheme="minorEastAsia"/>
          <w:color w:val="auto"/>
          <w:sz w:val="24"/>
          <w:highlight w:val="none"/>
          <w:lang w:val="en-US" w:eastAsia="zh-CN"/>
        </w:rPr>
        <w:t>24</w:t>
      </w:r>
      <w:r>
        <w:rPr>
          <w:rFonts w:hint="eastAsia" w:cs="宋体" w:asciiTheme="minorEastAsia" w:hAnsiTheme="minorEastAsia" w:eastAsiaTheme="minorEastAsia"/>
          <w:color w:val="auto"/>
          <w:sz w:val="24"/>
          <w:highlight w:val="none"/>
        </w:rPr>
        <w:t>个月。自</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日至</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日止</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合同期结束后，乙方须协助甲方完成新物业公司的合同签订。</w:t>
      </w:r>
    </w:p>
    <w:p>
      <w:pPr>
        <w:spacing w:line="440" w:lineRule="exact"/>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五、合同金额及支付方式</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项目合同总价：</w:t>
      </w:r>
      <w:r>
        <w:rPr>
          <w:rFonts w:hint="eastAsia" w:cs="宋体" w:asciiTheme="minorEastAsia" w:hAnsiTheme="minorEastAsia" w:eastAsiaTheme="minorEastAsia"/>
          <w:color w:val="auto"/>
          <w:sz w:val="24"/>
          <w:highlight w:val="none"/>
          <w:lang w:val="en-US" w:eastAsia="zh-CN"/>
        </w:rPr>
        <w:t>一</w:t>
      </w:r>
      <w:r>
        <w:rPr>
          <w:rFonts w:hint="eastAsia" w:cs="宋体" w:asciiTheme="minorEastAsia" w:hAnsiTheme="minorEastAsia" w:eastAsiaTheme="minorEastAsia"/>
          <w:color w:val="auto"/>
          <w:sz w:val="24"/>
          <w:highlight w:val="none"/>
        </w:rPr>
        <w:t xml:space="preserve">年人民币 </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none"/>
          <w:u w:val="single"/>
        </w:rPr>
        <w:t>元</w:t>
      </w:r>
      <w:r>
        <w:rPr>
          <w:rFonts w:hint="eastAsia" w:cs="仿宋" w:asciiTheme="minorEastAsia" w:hAnsiTheme="minorEastAsia" w:eastAsiaTheme="minorEastAsia"/>
          <w:color w:val="auto"/>
          <w:sz w:val="24"/>
          <w:highlight w:val="none"/>
        </w:rPr>
        <w:t>整（</w:t>
      </w:r>
      <w:r>
        <w:rPr>
          <w:rFonts w:hint="eastAsia" w:cs="仿宋" w:asciiTheme="minorEastAsia" w:hAnsiTheme="minorEastAsia" w:eastAsiaTheme="minorEastAsia"/>
          <w:color w:val="auto"/>
          <w:sz w:val="24"/>
          <w:highlight w:val="none"/>
          <w:lang w:val="en-US" w:eastAsia="zh-CN"/>
        </w:rPr>
        <w:t xml:space="preserve">     </w:t>
      </w:r>
      <w:r>
        <w:rPr>
          <w:rFonts w:hint="eastAsia" w:cs="仿宋" w:asciiTheme="minorEastAsia" w:hAnsiTheme="minorEastAsia" w:eastAsiaTheme="minorEastAsia"/>
          <w:color w:val="auto"/>
          <w:sz w:val="24"/>
          <w:highlight w:val="none"/>
          <w:u w:val="single"/>
        </w:rPr>
        <w:t>￥</w:t>
      </w:r>
      <w:r>
        <w:rPr>
          <w:rFonts w:hint="eastAsia" w:cs="仿宋" w:asciiTheme="minorEastAsia" w:hAnsiTheme="minorEastAsia" w:eastAsiaTheme="minorEastAsia"/>
          <w:color w:val="auto"/>
          <w:sz w:val="24"/>
          <w:highlight w:val="none"/>
          <w:u w:val="single"/>
          <w:lang w:eastAsia="zh-CN"/>
        </w:rPr>
        <w:t>、</w:t>
      </w:r>
      <w:r>
        <w:rPr>
          <w:rFonts w:hint="eastAsia" w:cs="仿宋" w:asciiTheme="minorEastAsia" w:hAnsiTheme="minorEastAsia" w:eastAsiaTheme="minorEastAsia"/>
          <w:color w:val="auto"/>
          <w:sz w:val="24"/>
          <w:highlight w:val="none"/>
          <w:u w:val="single"/>
          <w:lang w:val="en-US" w:eastAsia="zh-CN"/>
        </w:rPr>
        <w:t>该价格已含增值税</w:t>
      </w:r>
      <w:r>
        <w:rPr>
          <w:rFonts w:hint="eastAsia" w:cs="仿宋" w:asciiTheme="minorEastAsia" w:hAnsiTheme="minorEastAsia" w:eastAsiaTheme="minorEastAsia"/>
          <w:color w:val="auto"/>
          <w:sz w:val="24"/>
          <w:highlight w:val="none"/>
        </w:rPr>
        <w:t>）</w:t>
      </w:r>
    </w:p>
    <w:p>
      <w:pPr>
        <w:keepNext w:val="0"/>
        <w:keepLines w:val="0"/>
        <w:widowControl w:val="0"/>
        <w:suppressLineNumbers w:val="0"/>
        <w:adjustRightInd w:val="0"/>
        <w:spacing w:before="0" w:beforeAutospacing="0" w:after="0" w:afterAutospacing="0" w:line="360" w:lineRule="auto"/>
        <w:ind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其中老旧小区物业费按0.56/平方米</w:t>
      </w:r>
      <w:r>
        <w:rPr>
          <w:rFonts w:hint="eastAsia" w:ascii="宋体" w:hAnsi="宋体" w:cs="宋体"/>
          <w:color w:val="auto"/>
          <w:kern w:val="2"/>
          <w:sz w:val="24"/>
          <w:szCs w:val="24"/>
          <w:highlight w:val="none"/>
          <w:lang w:val="en-US" w:eastAsia="zh-CN" w:bidi="ar"/>
        </w:rPr>
        <w:t>收取，按总收取费用的</w:t>
      </w:r>
      <w:r>
        <w:rPr>
          <w:rFonts w:hint="eastAsia" w:ascii="宋体" w:hAnsi="宋体" w:eastAsia="宋体" w:cs="宋体"/>
          <w:color w:val="auto"/>
          <w:kern w:val="2"/>
          <w:sz w:val="24"/>
          <w:szCs w:val="24"/>
          <w:highlight w:val="none"/>
          <w:lang w:val="en-US" w:eastAsia="zh-CN" w:bidi="ar"/>
        </w:rPr>
        <w:t>15%</w:t>
      </w:r>
      <w:r>
        <w:rPr>
          <w:rFonts w:hint="eastAsia" w:ascii="宋体" w:hAnsi="宋体" w:cs="宋体"/>
          <w:color w:val="auto"/>
          <w:kern w:val="2"/>
          <w:sz w:val="24"/>
          <w:szCs w:val="24"/>
          <w:highlight w:val="none"/>
          <w:lang w:val="en-US" w:eastAsia="zh-CN" w:bidi="ar"/>
        </w:rPr>
        <w:t>收缴</w:t>
      </w:r>
      <w:r>
        <w:rPr>
          <w:rFonts w:hint="eastAsia" w:ascii="宋体" w:hAnsi="宋体" w:eastAsia="宋体" w:cs="宋体"/>
          <w:color w:val="auto"/>
          <w:kern w:val="2"/>
          <w:sz w:val="24"/>
          <w:szCs w:val="24"/>
          <w:highlight w:val="none"/>
          <w:lang w:val="en-US" w:eastAsia="zh-CN" w:bidi="ar"/>
        </w:rPr>
        <w:t>为</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val="en-US" w:eastAsia="zh-CN" w:bidi="ar"/>
        </w:rPr>
        <w:t>/年（合同价中抵扣）</w:t>
      </w:r>
      <w:r>
        <w:rPr>
          <w:rFonts w:hint="eastAsia" w:ascii="宋体" w:hAnsi="宋体" w:eastAsia="宋体" w:cs="宋体"/>
          <w:color w:val="auto"/>
          <w:kern w:val="2"/>
          <w:sz w:val="24"/>
          <w:szCs w:val="24"/>
          <w:highlight w:val="none"/>
          <w:lang w:val="en-US" w:eastAsia="zh-CN" w:bidi="ar"/>
        </w:rPr>
        <w:t>；停车费</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年为</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val="en-US" w:eastAsia="zh-CN" w:bidi="ar"/>
        </w:rPr>
        <w:t>（合同价中抵扣）</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sz w:val="24"/>
          <w:highlight w:val="none"/>
          <w:lang w:val="en-US" w:eastAsia="zh-CN"/>
        </w:rPr>
        <w:t>物业费与停车费如有超出部分归乙方所有，不足部分由乙方自行承担</w:t>
      </w:r>
      <w:r>
        <w:rPr>
          <w:rFonts w:hint="default" w:ascii="宋体" w:hAnsi="宋体" w:cs="宋体"/>
          <w:color w:val="auto"/>
          <w:sz w:val="24"/>
          <w:highlight w:val="none"/>
        </w:rPr>
        <w:t>。</w:t>
      </w:r>
      <w:r>
        <w:rPr>
          <w:rFonts w:hint="eastAsia" w:ascii="宋体" w:hAnsi="宋体" w:cs="宋体"/>
          <w:color w:val="auto"/>
          <w:kern w:val="2"/>
          <w:sz w:val="24"/>
          <w:szCs w:val="24"/>
          <w:highlight w:val="none"/>
          <w:lang w:val="en-US" w:eastAsia="zh-CN" w:bidi="ar"/>
        </w:rPr>
        <w:t>前述费用及金额，合同双方对此均无任何异议。</w:t>
      </w:r>
      <w:r>
        <w:rPr>
          <w:rFonts w:hint="eastAsia" w:ascii="宋体" w:hAnsi="宋体" w:eastAsia="宋体" w:cs="宋体"/>
          <w:color w:val="auto"/>
          <w:kern w:val="2"/>
          <w:sz w:val="24"/>
          <w:szCs w:val="24"/>
          <w:highlight w:val="none"/>
          <w:lang w:val="en-US" w:eastAsia="zh-CN" w:bidi="ar"/>
        </w:rPr>
        <w:t>街巷保洁</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元；街道办事处补贴</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年为</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元。</w:t>
      </w:r>
    </w:p>
    <w:p>
      <w:pPr>
        <w:snapToGrid w:val="0"/>
        <w:spacing w:line="440" w:lineRule="exact"/>
        <w:ind w:firstLine="480" w:firstLineChars="200"/>
        <w:rPr>
          <w:rFonts w:hint="eastAsia" w:cs="仿宋" w:asciiTheme="minorEastAsia" w:hAnsiTheme="minorEastAsia" w:eastAsiaTheme="minorEastAsia"/>
          <w:b/>
          <w:bCs w:val="0"/>
          <w:color w:val="auto"/>
          <w:sz w:val="24"/>
          <w:highlight w:val="none"/>
          <w:lang w:eastAsia="zh-CN"/>
        </w:rPr>
      </w:pPr>
      <w:r>
        <w:rPr>
          <w:rFonts w:hint="eastAsia" w:cs="仿宋" w:asciiTheme="minorEastAsia" w:hAnsiTheme="minorEastAsia" w:eastAsiaTheme="minorEastAsia"/>
          <w:bCs/>
          <w:color w:val="auto"/>
          <w:sz w:val="24"/>
          <w:highlight w:val="none"/>
        </w:rPr>
        <w:t>服务经费采用先服务后拨付的方式，次月10日（遇节假日顺延）前按合同期月平均经费的70%拨付；合同期月平均经费的20%作为月度考核，按月度考核成绩第三个月10日（遇节假日顺延）前发放；剩余部分10%作为年终考核，在年度期满按年度考核成绩公布后的六个月内一次性奖励或扣除。</w:t>
      </w:r>
      <w:r>
        <w:rPr>
          <w:rFonts w:hint="eastAsia" w:cs="仿宋" w:asciiTheme="minorEastAsia" w:hAnsiTheme="minorEastAsia" w:eastAsiaTheme="minorEastAsia"/>
          <w:b/>
          <w:bCs w:val="0"/>
          <w:color w:val="auto"/>
          <w:sz w:val="24"/>
          <w:highlight w:val="none"/>
        </w:rPr>
        <w:t>最终考核扣款以社区盖章签字的考核表为依据，街道统筹</w:t>
      </w:r>
      <w:r>
        <w:rPr>
          <w:rFonts w:hint="eastAsia" w:cs="仿宋" w:asciiTheme="minorEastAsia" w:hAnsiTheme="minorEastAsia" w:eastAsiaTheme="minorEastAsia"/>
          <w:b/>
          <w:bCs w:val="0"/>
          <w:color w:val="auto"/>
          <w:sz w:val="24"/>
          <w:highlight w:val="none"/>
          <w:lang w:eastAsia="zh-CN"/>
        </w:rPr>
        <w:t>。</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合同总价金额中已包括</w:t>
      </w:r>
      <w:r>
        <w:rPr>
          <w:rFonts w:hint="eastAsia" w:cs="宋体" w:asciiTheme="minorEastAsia" w:hAnsiTheme="minorEastAsia" w:eastAsiaTheme="minorEastAsia"/>
          <w:color w:val="auto"/>
          <w:sz w:val="24"/>
          <w:highlight w:val="none"/>
          <w:lang w:val="en-US" w:eastAsia="zh-CN"/>
        </w:rPr>
        <w:t>人力成本、</w:t>
      </w:r>
      <w:r>
        <w:rPr>
          <w:rFonts w:hint="eastAsia" w:cs="宋体" w:asciiTheme="minorEastAsia" w:hAnsiTheme="minorEastAsia" w:eastAsiaTheme="minorEastAsia"/>
          <w:color w:val="auto"/>
          <w:sz w:val="24"/>
          <w:highlight w:val="none"/>
        </w:rPr>
        <w:t>机械设备、工具、材料等生产业务及劳动防护费用、税费等一切费用。甲方每次支付，乙方均应开具对应金额的发票，甲方凭票支付。</w:t>
      </w:r>
    </w:p>
    <w:p>
      <w:pPr>
        <w:spacing w:line="440" w:lineRule="exact"/>
        <w:ind w:firstLine="120" w:firstLineChars="5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六、甲方责任条款</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1、提供街巷清扫保洁质量标准、作业规范及考核办法。</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2、按约定拨付费用。</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3、如遇突发事件，协调乙方在作业工程中同其他部门的关系。</w:t>
      </w:r>
    </w:p>
    <w:p>
      <w:pPr>
        <w:spacing w:line="440" w:lineRule="exact"/>
        <w:ind w:firstLine="480" w:firstLineChars="200"/>
        <w:rPr>
          <w:rFonts w:hint="eastAsia" w:cs="宋体" w:asciiTheme="minorEastAsia" w:hAnsiTheme="minorEastAsia" w:eastAsiaTheme="minorEastAsia"/>
          <w:color w:val="auto"/>
          <w:kern w:val="0"/>
          <w:sz w:val="24"/>
          <w:highlight w:val="none"/>
          <w:shd w:val="clear" w:color="auto" w:fill="FFFFFF"/>
        </w:rPr>
      </w:pPr>
      <w:r>
        <w:rPr>
          <w:rFonts w:hint="eastAsia" w:cs="宋体" w:asciiTheme="minorEastAsia" w:hAnsiTheme="minorEastAsia" w:eastAsiaTheme="minorEastAsia"/>
          <w:color w:val="auto"/>
          <w:kern w:val="0"/>
          <w:sz w:val="24"/>
          <w:highlight w:val="none"/>
        </w:rPr>
        <w:t>4、乙</w:t>
      </w:r>
      <w:r>
        <w:rPr>
          <w:rFonts w:hint="eastAsia" w:cs="宋体" w:asciiTheme="minorEastAsia" w:hAnsiTheme="minorEastAsia" w:eastAsiaTheme="minorEastAsia"/>
          <w:color w:val="auto"/>
          <w:kern w:val="0"/>
          <w:sz w:val="24"/>
          <w:highlight w:val="none"/>
          <w:shd w:val="clear" w:color="auto" w:fill="FFFFFF"/>
        </w:rPr>
        <w:t>方在街巷清扫保洁过程中达不到甲方的要求和标准，甲方有权按</w:t>
      </w:r>
      <w:r>
        <w:rPr>
          <w:rFonts w:hint="eastAsia" w:cs="宋体" w:asciiTheme="minorEastAsia" w:hAnsiTheme="minorEastAsia" w:eastAsiaTheme="minorEastAsia"/>
          <w:color w:val="auto"/>
          <w:kern w:val="0"/>
          <w:sz w:val="24"/>
          <w:highlight w:val="none"/>
          <w:shd w:val="clear" w:color="auto" w:fill="FFFFFF"/>
          <w:lang w:val="en-US" w:eastAsia="zh-CN"/>
        </w:rPr>
        <w:t>约定</w:t>
      </w:r>
      <w:r>
        <w:rPr>
          <w:rFonts w:hint="eastAsia" w:cs="宋体" w:asciiTheme="minorEastAsia" w:hAnsiTheme="minorEastAsia" w:eastAsiaTheme="minorEastAsia"/>
          <w:color w:val="auto"/>
          <w:kern w:val="0"/>
          <w:sz w:val="24"/>
          <w:highlight w:val="none"/>
          <w:shd w:val="clear" w:color="auto" w:fill="FFFFFF"/>
        </w:rPr>
        <w:t>进行</w:t>
      </w:r>
      <w:r>
        <w:rPr>
          <w:rFonts w:hint="eastAsia" w:cs="宋体" w:asciiTheme="minorEastAsia" w:hAnsiTheme="minorEastAsia" w:eastAsiaTheme="minorEastAsia"/>
          <w:color w:val="auto"/>
          <w:kern w:val="0"/>
          <w:sz w:val="24"/>
          <w:highlight w:val="none"/>
          <w:shd w:val="clear" w:color="auto" w:fill="FFFFFF"/>
          <w:lang w:val="en-US" w:eastAsia="zh-CN"/>
        </w:rPr>
        <w:t>违约责任承担的经济</w:t>
      </w:r>
      <w:r>
        <w:rPr>
          <w:rFonts w:hint="eastAsia" w:cs="宋体" w:asciiTheme="minorEastAsia" w:hAnsiTheme="minorEastAsia" w:eastAsiaTheme="minorEastAsia"/>
          <w:color w:val="auto"/>
          <w:kern w:val="0"/>
          <w:sz w:val="24"/>
          <w:highlight w:val="none"/>
          <w:shd w:val="clear" w:color="auto" w:fill="FFFFFF"/>
        </w:rPr>
        <w:t>处罚，直至</w:t>
      </w:r>
      <w:r>
        <w:rPr>
          <w:rFonts w:hint="eastAsia" w:cs="宋体" w:asciiTheme="minorEastAsia" w:hAnsiTheme="minorEastAsia" w:eastAsiaTheme="minorEastAsia"/>
          <w:color w:val="auto"/>
          <w:kern w:val="0"/>
          <w:sz w:val="24"/>
          <w:highlight w:val="none"/>
          <w:shd w:val="clear" w:color="auto" w:fill="FFFFFF"/>
          <w:lang w:val="en-US" w:eastAsia="zh-CN"/>
        </w:rPr>
        <w:t>解除本合同的履行</w:t>
      </w:r>
      <w:r>
        <w:rPr>
          <w:rFonts w:hint="eastAsia" w:cs="宋体" w:asciiTheme="minorEastAsia" w:hAnsiTheme="minorEastAsia" w:eastAsiaTheme="minorEastAsia"/>
          <w:color w:val="auto"/>
          <w:kern w:val="0"/>
          <w:sz w:val="24"/>
          <w:highlight w:val="none"/>
          <w:shd w:val="clear" w:color="auto" w:fill="FFFFFF"/>
        </w:rPr>
        <w:t>。</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 xml:space="preserve">5、清扫保洁年终成绩需进入全区前五名，以市、区综合考评成绩为准。根据年终公布的街道层面清扫保洁名次，进行奖励或处罚。 </w:t>
      </w:r>
    </w:p>
    <w:p>
      <w:pPr>
        <w:spacing w:line="440" w:lineRule="exact"/>
        <w:ind w:firstLine="480" w:firstLineChars="200"/>
        <w:rPr>
          <w:rFonts w:hint="eastAsia" w:cs="宋体" w:asciiTheme="minorEastAsia" w:hAnsiTheme="minorEastAsia" w:eastAsiaTheme="minorEastAsia"/>
          <w:color w:val="auto"/>
          <w:kern w:val="0"/>
          <w:sz w:val="24"/>
          <w:highlight w:val="none"/>
          <w:shd w:val="clear" w:color="auto" w:fill="FFFFFF"/>
        </w:rPr>
      </w:pPr>
      <w:r>
        <w:rPr>
          <w:rFonts w:hint="eastAsia" w:cs="宋体" w:asciiTheme="minorEastAsia" w:hAnsiTheme="minorEastAsia" w:eastAsiaTheme="minorEastAsia"/>
          <w:color w:val="auto"/>
          <w:kern w:val="0"/>
          <w:sz w:val="24"/>
          <w:highlight w:val="none"/>
        </w:rPr>
        <w:t>6、</w:t>
      </w:r>
      <w:r>
        <w:rPr>
          <w:rFonts w:hint="eastAsia" w:cs="宋体" w:asciiTheme="minorEastAsia" w:hAnsiTheme="minorEastAsia" w:eastAsiaTheme="minorEastAsia"/>
          <w:color w:val="auto"/>
          <w:kern w:val="0"/>
          <w:sz w:val="24"/>
          <w:highlight w:val="none"/>
          <w:shd w:val="clear" w:color="auto" w:fill="FFFFFF"/>
        </w:rPr>
        <w:t>本合同履行期内如市、区两级行政主管部门调整保洁员工工资福利标准，甲方</w:t>
      </w:r>
      <w:r>
        <w:rPr>
          <w:rFonts w:hint="eastAsia" w:cs="宋体" w:asciiTheme="minorEastAsia" w:hAnsiTheme="minorEastAsia" w:eastAsiaTheme="minorEastAsia"/>
          <w:color w:val="auto"/>
          <w:kern w:val="0"/>
          <w:sz w:val="24"/>
          <w:highlight w:val="none"/>
          <w:shd w:val="clear" w:color="auto" w:fill="FFFFFF"/>
          <w:lang w:val="en-US" w:eastAsia="zh-CN"/>
        </w:rPr>
        <w:t>可</w:t>
      </w:r>
      <w:r>
        <w:rPr>
          <w:rFonts w:hint="eastAsia" w:cs="宋体" w:asciiTheme="minorEastAsia" w:hAnsiTheme="minorEastAsia" w:eastAsiaTheme="minorEastAsia"/>
          <w:color w:val="auto"/>
          <w:kern w:val="0"/>
          <w:sz w:val="24"/>
          <w:highlight w:val="none"/>
          <w:shd w:val="clear" w:color="auto" w:fill="FFFFFF"/>
        </w:rPr>
        <w:t>按市、区两级行政主管部门文件为依据，给予乙方补增承包经费。</w:t>
      </w:r>
    </w:p>
    <w:p>
      <w:pPr>
        <w:spacing w:line="440" w:lineRule="exact"/>
        <w:ind w:firstLine="120" w:firstLineChars="5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七、乙方责任条款</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1、街巷清扫保洁的质量标准和作业规范符合</w:t>
      </w:r>
      <w:r>
        <w:rPr>
          <w:rFonts w:hint="eastAsia" w:cs="仿宋" w:asciiTheme="minorEastAsia" w:hAnsiTheme="minorEastAsia" w:eastAsiaTheme="minorEastAsia"/>
          <w:color w:val="auto"/>
          <w:sz w:val="24"/>
          <w:highlight w:val="none"/>
        </w:rPr>
        <w:t>最新杭州市城市街巷保洁分类管理检查考核评分标准和《招</w:t>
      </w:r>
      <w:r>
        <w:rPr>
          <w:rFonts w:hint="eastAsia" w:cs="宋体" w:asciiTheme="minorEastAsia" w:hAnsiTheme="minorEastAsia" w:eastAsiaTheme="minorEastAsia"/>
          <w:color w:val="auto"/>
          <w:kern w:val="0"/>
          <w:sz w:val="24"/>
          <w:highlight w:val="none"/>
        </w:rPr>
        <w:t>标文件》的各项规定。</w:t>
      </w:r>
      <w:r>
        <w:rPr>
          <w:rFonts w:hint="eastAsia" w:cs="仿宋" w:asciiTheme="minorEastAsia" w:hAnsiTheme="minorEastAsia" w:eastAsiaTheme="minorEastAsia"/>
          <w:color w:val="auto"/>
          <w:sz w:val="24"/>
          <w:highlight w:val="none"/>
        </w:rPr>
        <w:t>每班作业人数应按投标文件中预定的人数落实到位。</w:t>
      </w:r>
    </w:p>
    <w:p>
      <w:pPr>
        <w:spacing w:line="440" w:lineRule="exact"/>
        <w:ind w:firstLine="480" w:firstLineChars="200"/>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rPr>
        <w:t>2、严格遵守相关法律、法规</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lang w:val="en-US" w:eastAsia="zh-CN"/>
        </w:rPr>
        <w:t>规章及文件的规定</w:t>
      </w:r>
      <w:r>
        <w:rPr>
          <w:rFonts w:hint="eastAsia" w:cs="宋体" w:asciiTheme="minorEastAsia" w:hAnsiTheme="minorEastAsia" w:eastAsiaTheme="minorEastAsia"/>
          <w:color w:val="auto"/>
          <w:kern w:val="0"/>
          <w:sz w:val="24"/>
          <w:highlight w:val="none"/>
        </w:rPr>
        <w:t>，开展</w:t>
      </w:r>
      <w:r>
        <w:rPr>
          <w:rFonts w:hint="eastAsia" w:cs="宋体" w:asciiTheme="minorEastAsia" w:hAnsiTheme="minorEastAsia" w:eastAsiaTheme="minorEastAsia"/>
          <w:color w:val="auto"/>
          <w:kern w:val="0"/>
          <w:sz w:val="24"/>
          <w:highlight w:val="none"/>
          <w:lang w:val="en-US" w:eastAsia="zh-CN"/>
        </w:rPr>
        <w:t>安全、</w:t>
      </w:r>
      <w:r>
        <w:rPr>
          <w:rFonts w:hint="eastAsia" w:cs="宋体" w:asciiTheme="minorEastAsia" w:hAnsiTheme="minorEastAsia" w:eastAsiaTheme="minorEastAsia"/>
          <w:color w:val="auto"/>
          <w:kern w:val="0"/>
          <w:sz w:val="24"/>
          <w:highlight w:val="none"/>
        </w:rPr>
        <w:t>文明作业，作业时出现意外事故和其它法律问题，由</w:t>
      </w:r>
      <w:r>
        <w:rPr>
          <w:rFonts w:hint="eastAsia" w:cs="宋体" w:asciiTheme="minorEastAsia" w:hAnsiTheme="minorEastAsia" w:eastAsiaTheme="minorEastAsia"/>
          <w:color w:val="auto"/>
          <w:kern w:val="0"/>
          <w:sz w:val="24"/>
          <w:highlight w:val="none"/>
          <w:lang w:val="en-US" w:eastAsia="zh-CN"/>
        </w:rPr>
        <w:t>乙方</w:t>
      </w:r>
      <w:r>
        <w:rPr>
          <w:rFonts w:hint="eastAsia" w:cs="宋体" w:asciiTheme="minorEastAsia" w:hAnsiTheme="minorEastAsia" w:eastAsiaTheme="minorEastAsia"/>
          <w:color w:val="auto"/>
          <w:kern w:val="0"/>
          <w:sz w:val="24"/>
          <w:highlight w:val="none"/>
        </w:rPr>
        <w:t>自行负责解决。</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3、遇到突发事件或自然灾害，必须服从甲方指挥和安排。</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4、协助甲方调查，并根据甲方的要求及时处理解决市民来信来访及投诉，认真整改责任内“四化”、“数字城管”等抄告问题。</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5、发现环卫设施损坏或缺损，及时与相关部门联系。</w:t>
      </w:r>
    </w:p>
    <w:p>
      <w:pPr>
        <w:spacing w:line="440" w:lineRule="exact"/>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6、完成甲方交办的清扫保洁突击性任务。</w:t>
      </w:r>
    </w:p>
    <w:p>
      <w:pPr>
        <w:spacing w:line="440" w:lineRule="exact"/>
        <w:ind w:firstLine="480" w:firstLineChars="200"/>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7.</w:t>
      </w:r>
      <w:r>
        <w:rPr>
          <w:rFonts w:hint="eastAsia" w:cs="仿宋_GB2312" w:asciiTheme="minorEastAsia" w:hAnsiTheme="minorEastAsia" w:eastAsiaTheme="minorEastAsia"/>
          <w:color w:val="auto"/>
          <w:sz w:val="24"/>
          <w:highlight w:val="none"/>
        </w:rPr>
        <w:t>严格遵守《劳动法》、《劳动合同法》等劳动法规，保障环卫职工合法权益。认真贯彻《浙江省人民政府办公厅关于进一步改善环卫工人工作生活条件促进环卫事业持续健康发展的若干意见》（浙政办发〔2009〕190号）和《杭州市人民政府办公厅关于进一步解决环卫工人实际困难保障其合法权益的意见》（杭政办〔2008〕14号）文件精神，街巷保洁人员工资不得低于《浙江省人民政府关于调整全省最低工资标准的通知》（浙政发[2024]3号）、《杭州市人民政府关于调整市区最低工资标准的通知》（杭政函[2024]37号），项目街巷保洁人员工资不得低于杭州市最低工资标准的110%和定额内人员相关工资要求，日常加班工资按劳动法相关要求另行计算。必须为本项目人员缴纳五险（养老保险、医疗保险、失业保险、工伤保险和生育保险、意外伤害险）、住房公积金及杭政办〔2008〕14号和浙政办发〔2009〕190号文件规定的其它经费，须在杭州市本地缴纳“五险一金”，保障职工休息休假权利，加班必须足额支付加班费，环卫职工的工资、岗位津贴、加班工资等必须确保按月发放。</w:t>
      </w:r>
      <w:r>
        <w:rPr>
          <w:rFonts w:hint="eastAsia" w:cs="仿宋_GB2312" w:asciiTheme="minorEastAsia" w:hAnsiTheme="minorEastAsia" w:eastAsiaTheme="minorEastAsia"/>
          <w:color w:val="auto"/>
          <w:sz w:val="24"/>
          <w:highlight w:val="none"/>
          <w:lang w:val="en-US" w:eastAsia="zh-CN"/>
        </w:rPr>
        <w:t>若有最新工资的标准调整，按最新的标准实施。</w:t>
      </w:r>
      <w:r>
        <w:rPr>
          <w:rFonts w:hint="default" w:cs="仿宋_GB2312" w:asciiTheme="minorEastAsia" w:hAnsiTheme="minorEastAsia" w:eastAsiaTheme="minorEastAsia"/>
          <w:color w:val="000000"/>
          <w:sz w:val="24"/>
          <w:highlight w:val="none"/>
          <w:lang w:eastAsia="zh-CN"/>
        </w:rPr>
        <w:t>根据杭综法[2026]8号，环卫企业应设立环卫工人工资专用账户，签订资金管理三方协议，专户专款专用，不得提取现金或转移，具体按照相关文件执行，切实维护环卫工人劳动报酬权益。</w:t>
      </w:r>
      <w:r>
        <w:rPr>
          <w:rFonts w:hint="eastAsia" w:cs="仿宋_GB2312" w:asciiTheme="minorEastAsia" w:hAnsiTheme="minorEastAsia" w:eastAsiaTheme="minorEastAsia"/>
          <w:color w:val="auto"/>
          <w:sz w:val="24"/>
          <w:highlight w:val="none"/>
          <w:lang w:val="en-US" w:eastAsia="zh-CN"/>
        </w:rPr>
        <w:t>乙方</w:t>
      </w:r>
      <w:r>
        <w:rPr>
          <w:rFonts w:hint="eastAsia" w:cs="仿宋_GB2312" w:asciiTheme="minorEastAsia" w:hAnsiTheme="minorEastAsia" w:eastAsiaTheme="minorEastAsia"/>
          <w:color w:val="auto"/>
          <w:sz w:val="24"/>
          <w:highlight w:val="none"/>
        </w:rPr>
        <w:t>未达到上述任一要求的，</w:t>
      </w:r>
      <w:r>
        <w:rPr>
          <w:rFonts w:hint="eastAsia" w:cs="仿宋_GB2312" w:asciiTheme="minorEastAsia" w:hAnsiTheme="minorEastAsia" w:eastAsiaTheme="minorEastAsia"/>
          <w:color w:val="auto"/>
          <w:sz w:val="24"/>
          <w:highlight w:val="none"/>
          <w:lang w:val="en-US" w:eastAsia="zh-CN"/>
        </w:rPr>
        <w:t>甲方</w:t>
      </w:r>
      <w:r>
        <w:rPr>
          <w:rFonts w:hint="eastAsia" w:cs="仿宋_GB2312" w:asciiTheme="minorEastAsia" w:hAnsiTheme="minorEastAsia" w:eastAsiaTheme="minorEastAsia"/>
          <w:color w:val="auto"/>
          <w:sz w:val="24"/>
          <w:highlight w:val="none"/>
        </w:rPr>
        <w:t>有权立即终止本保洁合同（文件如有更新以最新文件为准）。发生意外事件的，需</w:t>
      </w:r>
      <w:r>
        <w:rPr>
          <w:rFonts w:hint="eastAsia" w:cs="仿宋_GB2312" w:asciiTheme="minorEastAsia" w:hAnsiTheme="minorEastAsia" w:eastAsiaTheme="minorEastAsia"/>
          <w:color w:val="auto"/>
          <w:sz w:val="24"/>
          <w:highlight w:val="none"/>
          <w:lang w:val="en-US" w:eastAsia="zh-CN"/>
        </w:rPr>
        <w:t>立即采取行动，尽一切可能降低各种损失的扩大，并</w:t>
      </w:r>
      <w:r>
        <w:rPr>
          <w:rFonts w:hint="eastAsia" w:cs="仿宋_GB2312" w:asciiTheme="minorEastAsia" w:hAnsiTheme="minorEastAsia" w:eastAsiaTheme="minorEastAsia"/>
          <w:color w:val="auto"/>
          <w:sz w:val="24"/>
          <w:highlight w:val="none"/>
        </w:rPr>
        <w:t>在1小时内通知</w:t>
      </w:r>
      <w:r>
        <w:rPr>
          <w:rFonts w:hint="eastAsia" w:cs="仿宋_GB2312" w:asciiTheme="minorEastAsia" w:hAnsiTheme="minorEastAsia" w:eastAsiaTheme="minorEastAsia"/>
          <w:color w:val="auto"/>
          <w:sz w:val="24"/>
          <w:highlight w:val="none"/>
          <w:lang w:val="en-US" w:eastAsia="zh-CN"/>
        </w:rPr>
        <w:t>甲方</w:t>
      </w:r>
      <w:r>
        <w:rPr>
          <w:rFonts w:hint="eastAsia" w:cs="仿宋_GB2312" w:asciiTheme="minorEastAsia" w:hAnsiTheme="minorEastAsia" w:eastAsiaTheme="minorEastAsia"/>
          <w:color w:val="auto"/>
          <w:sz w:val="24"/>
          <w:highlight w:val="none"/>
        </w:rPr>
        <w:t>。</w:t>
      </w:r>
    </w:p>
    <w:p>
      <w:pPr>
        <w:pStyle w:val="6"/>
        <w:rPr>
          <w:rFonts w:hint="eastAsia"/>
          <w:color w:val="000000" w:themeColor="text1"/>
          <w:highlight w:val="none"/>
          <w14:textFill>
            <w14:solidFill>
              <w14:schemeClr w14:val="tx1"/>
            </w14:solidFill>
          </w14:textFill>
        </w:rPr>
      </w:pPr>
      <w:r>
        <w:rPr>
          <w:rFonts w:hint="eastAsia" w:ascii="Helvetica" w:hAnsi="Helvetica" w:eastAsia="宋体" w:cs="Helvetica"/>
          <w:i w:val="0"/>
          <w:iCs w:val="0"/>
          <w:caps w:val="0"/>
          <w:color w:val="000000" w:themeColor="text1"/>
          <w:spacing w:val="1"/>
          <w:sz w:val="24"/>
          <w:szCs w:val="24"/>
          <w:highlight w:val="none"/>
          <w:shd w:val="clear" w:fill="FFFFFF"/>
          <w:lang w:val="en-US" w:eastAsia="zh-CN"/>
          <w14:textFill>
            <w14:solidFill>
              <w14:schemeClr w14:val="tx1"/>
            </w14:solidFill>
          </w14:textFill>
        </w:rPr>
        <w:t>8.</w:t>
      </w:r>
      <w:r>
        <w:rPr>
          <w:rFonts w:ascii="Helvetica" w:hAnsi="Helvetica" w:eastAsia="Helvetica" w:cs="Helvetica"/>
          <w:i w:val="0"/>
          <w:iCs w:val="0"/>
          <w:caps w:val="0"/>
          <w:color w:val="000000" w:themeColor="text1"/>
          <w:spacing w:val="1"/>
          <w:sz w:val="24"/>
          <w:szCs w:val="24"/>
          <w:highlight w:val="none"/>
          <w:shd w:val="clear" w:fill="FFFFFF"/>
          <w14:textFill>
            <w14:solidFill>
              <w14:schemeClr w14:val="tx1"/>
            </w14:solidFill>
          </w14:textFill>
        </w:rPr>
        <w:t>本合同期解除或终止后，乙方</w:t>
      </w:r>
      <w:r>
        <w:rPr>
          <w:rFonts w:hint="eastAsia" w:ascii="Helvetica" w:hAnsi="Helvetica" w:eastAsia="宋体" w:cs="Helvetica"/>
          <w:i w:val="0"/>
          <w:iCs w:val="0"/>
          <w:caps w:val="0"/>
          <w:color w:val="000000" w:themeColor="text1"/>
          <w:spacing w:val="1"/>
          <w:sz w:val="24"/>
          <w:szCs w:val="24"/>
          <w:highlight w:val="none"/>
          <w:shd w:val="clear" w:fill="FFFFFF"/>
          <w:lang w:val="en-US" w:eastAsia="zh-CN"/>
          <w14:textFill>
            <w14:solidFill>
              <w14:schemeClr w14:val="tx1"/>
            </w14:solidFill>
          </w14:textFill>
        </w:rPr>
        <w:t>须</w:t>
      </w:r>
      <w:r>
        <w:rPr>
          <w:rFonts w:ascii="Helvetica" w:hAnsi="Helvetica" w:eastAsia="Helvetica" w:cs="Helvetica"/>
          <w:i w:val="0"/>
          <w:iCs w:val="0"/>
          <w:caps w:val="0"/>
          <w:color w:val="000000" w:themeColor="text1"/>
          <w:spacing w:val="1"/>
          <w:sz w:val="24"/>
          <w:szCs w:val="24"/>
          <w:highlight w:val="none"/>
          <w:shd w:val="clear" w:fill="FFFFFF"/>
          <w14:textFill>
            <w14:solidFill>
              <w14:schemeClr w14:val="tx1"/>
            </w14:solidFill>
          </w14:textFill>
        </w:rPr>
        <w:t>协助甲方完成与新物业服务企业的合同签订工作，并按照甲方指定的时间及方式，办理全部移交手续。若截至本合同解除或终止之日，甲方尚未与新物业服务企业签订物业服务合同，则乙方应当在该过渡期间内继续履行本合同项下的全部权利义务，包括但不限于提供相应的物业服务并收取对应期间</w:t>
      </w:r>
      <w:r>
        <w:rPr>
          <w:rFonts w:hint="eastAsia" w:ascii="Helvetica" w:hAnsi="Helvetica" w:eastAsia="宋体" w:cs="Helvetica"/>
          <w:i w:val="0"/>
          <w:iCs w:val="0"/>
          <w:caps w:val="0"/>
          <w:color w:val="000000" w:themeColor="text1"/>
          <w:spacing w:val="1"/>
          <w:sz w:val="24"/>
          <w:szCs w:val="24"/>
          <w:highlight w:val="none"/>
          <w:shd w:val="clear" w:fill="FFFFFF"/>
          <w:lang w:val="en-US" w:eastAsia="zh-CN"/>
          <w14:textFill>
            <w14:solidFill>
              <w14:schemeClr w14:val="tx1"/>
            </w14:solidFill>
          </w14:textFill>
        </w:rPr>
        <w:t>按合同收取</w:t>
      </w:r>
      <w:r>
        <w:rPr>
          <w:rFonts w:ascii="Helvetica" w:hAnsi="Helvetica" w:eastAsia="Helvetica" w:cs="Helvetica"/>
          <w:i w:val="0"/>
          <w:iCs w:val="0"/>
          <w:caps w:val="0"/>
          <w:color w:val="000000" w:themeColor="text1"/>
          <w:spacing w:val="1"/>
          <w:sz w:val="24"/>
          <w:szCs w:val="24"/>
          <w:highlight w:val="none"/>
          <w:shd w:val="clear" w:fill="FFFFFF"/>
          <w14:textFill>
            <w14:solidFill>
              <w14:schemeClr w14:val="tx1"/>
            </w14:solidFill>
          </w14:textFill>
        </w:rPr>
        <w:t>的物业服务费用，直至实际完成向新物业服务企业的移交为止。如乙方未依本条规定履行过渡期内的物业服务义务，即构成违约，应向甲方支付相当于本合同年度物业服务费百分之二十（20%）的违约金。</w:t>
      </w:r>
    </w:p>
    <w:p>
      <w:pPr>
        <w:spacing w:line="440" w:lineRule="exact"/>
        <w:ind w:firstLine="361" w:firstLineChars="15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八、项目管理考核</w:t>
      </w:r>
    </w:p>
    <w:p>
      <w:pPr>
        <w:snapToGrid w:val="0"/>
        <w:spacing w:line="440" w:lineRule="exact"/>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1、考核办法：合同期内，如有新考核办法出台，以市、区、街道新考核办法执行。</w:t>
      </w:r>
    </w:p>
    <w:p>
      <w:pPr>
        <w:spacing w:line="440" w:lineRule="exact"/>
        <w:rPr>
          <w:rFonts w:hint="eastAsia" w:cs="仿宋_GB2312"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w:t>
      </w:r>
      <w:r>
        <w:rPr>
          <w:rFonts w:hint="eastAsia" w:cs="仿宋_GB2312" w:asciiTheme="minorEastAsia" w:hAnsiTheme="minorEastAsia" w:eastAsiaTheme="minorEastAsia"/>
          <w:color w:val="auto"/>
          <w:sz w:val="24"/>
          <w:highlight w:val="none"/>
        </w:rPr>
        <w:t>《杭州市人民政府办公厅转发市城管委关于杭州城区整洁度检查考核试行办法的通知》（杭政办函〔2012〕177 号）、《关于进一步明确“杭州城管 驿站 ”管理相关事项的通知》（杭城管委[2018]233 号）、《关于印发&lt;杭州市 环卫作业人员着装与作业行为规范&gt;及&lt;杭州市环卫作业车辆标识与作业管理规 范&gt;的通知》（杭城管委〔2016〕130 号）、《关于印发杭州市城管行业服装统一标识规范的通知》（杭城管委﹝2018﹞ 16 号）执行、《关于印发 2022 年度各 区县（市）政府（管委会）城市管理目标考核相关评分细则的通知》（杭城管综执联办﹝2022﹞ 1 号）、《2023年度清洁度考核细则（重点）》</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《关于发布 2021 年版杭州市道路保洁经费定额的通知》（杭城管局﹝2021﹞ 138 号）、《杭州市城市市容和环境卫生管理条例》、 《</w:t>
      </w:r>
      <w:r>
        <w:rPr>
          <w:rFonts w:hint="eastAsia" w:cs="仿宋_GB2312" w:asciiTheme="minorEastAsia" w:hAnsiTheme="minorEastAsia" w:eastAsiaTheme="minorEastAsia"/>
          <w:color w:val="auto"/>
          <w:sz w:val="24"/>
          <w:highlight w:val="none"/>
          <w:lang w:eastAsia="zh-CN"/>
        </w:rPr>
        <w:t>城市道路清扫保洁作业规范</w:t>
      </w:r>
      <w:r>
        <w:rPr>
          <w:rFonts w:hint="eastAsia" w:cs="仿宋_GB2312" w:asciiTheme="minorEastAsia" w:hAnsiTheme="minorEastAsia" w:eastAsiaTheme="minorEastAsia"/>
          <w:color w:val="auto"/>
          <w:sz w:val="24"/>
          <w:highlight w:val="none"/>
        </w:rPr>
        <w:t>》中规定的作业标准和指标执行（考核办法如有调整，按新规定执行）。</w:t>
      </w:r>
    </w:p>
    <w:p>
      <w:pPr>
        <w:spacing w:line="44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管理考核采取日常巡查管理和检查考核相结合。由杭州市上城区小营街道</w:t>
      </w:r>
      <w:r>
        <w:rPr>
          <w:rFonts w:hint="eastAsia" w:asciiTheme="minorEastAsia" w:hAnsiTheme="minorEastAsia" w:eastAsiaTheme="minorEastAsia"/>
          <w:color w:val="auto"/>
          <w:sz w:val="24"/>
          <w:highlight w:val="none"/>
          <w:lang w:val="en-US" w:eastAsia="zh-CN"/>
        </w:rPr>
        <w:t>南片6个</w:t>
      </w:r>
      <w:r>
        <w:rPr>
          <w:rFonts w:hint="eastAsia" w:asciiTheme="minorEastAsia" w:hAnsiTheme="minorEastAsia" w:eastAsiaTheme="minorEastAsia"/>
          <w:color w:val="auto"/>
          <w:sz w:val="24"/>
          <w:highlight w:val="none"/>
        </w:rPr>
        <w:t>社区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长明寺巷、金钱巷、茅廊巷、西牌楼、梅花碑、姚园寺巷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负责日常巡查管理、实行定期或不定期检查考核。</w:t>
      </w:r>
    </w:p>
    <w:p>
      <w:pPr>
        <w:snapToGrid w:val="0"/>
        <w:spacing w:line="440" w:lineRule="exact"/>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2、杭州市上城区小营街道南片</w:t>
      </w:r>
      <w:r>
        <w:rPr>
          <w:rFonts w:asciiTheme="minorEastAsia" w:hAnsiTheme="minorEastAsia" w:eastAsiaTheme="minorEastAsia"/>
          <w:b/>
          <w:color w:val="auto"/>
          <w:sz w:val="24"/>
          <w:highlight w:val="none"/>
        </w:rPr>
        <w:tab/>
      </w:r>
      <w:r>
        <w:rPr>
          <w:rFonts w:hint="eastAsia" w:asciiTheme="minorEastAsia" w:hAnsiTheme="minorEastAsia" w:eastAsiaTheme="minorEastAsia"/>
          <w:b/>
          <w:color w:val="auto"/>
          <w:sz w:val="24"/>
          <w:highlight w:val="none"/>
        </w:rPr>
        <w:t>区环卫保洁准物业服务和管理考核办法</w:t>
      </w:r>
    </w:p>
    <w:p>
      <w:pPr>
        <w:pStyle w:val="21"/>
        <w:spacing w:line="440" w:lineRule="exact"/>
        <w:rPr>
          <w:rFonts w:hint="eastAsia"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为加强小营街道的环卫保洁工作，提升环卫服务企业的工作水平，根据《关于印发2022年度各区县（市）政府（管委会）城市管理目标考核相关评分细则的通知》（杭城管综执联办﹝2022﹞1号），并结合本街道实际，特制定本办法。考核办法如有调整，按新规定执行。”</w:t>
      </w:r>
    </w:p>
    <w:p>
      <w:pPr>
        <w:tabs>
          <w:tab w:val="left" w:pos="360"/>
          <w:tab w:val="left" w:pos="720"/>
        </w:tabs>
        <w:spacing w:line="440" w:lineRule="exac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    （1）、指导思想：</w:t>
      </w:r>
    </w:p>
    <w:p>
      <w:pPr>
        <w:tabs>
          <w:tab w:val="left" w:pos="360"/>
          <w:tab w:val="left" w:pos="720"/>
        </w:tabs>
        <w:spacing w:line="44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以不断提高社区市容环境卫生长效管理水平为重点，以实现社区的“净、绿、亮、美”为目标，坚持环境卫生长效管理为经济建设服务的指导思想，不断加大工作力度，按照“巩固、完善、提高”的方针，严格按照管理目标，认真履行工作职责，负重奋进，狠抓落实，使社区市容环境卫生得到有效改观。</w:t>
      </w:r>
    </w:p>
    <w:p>
      <w:pPr>
        <w:tabs>
          <w:tab w:val="left" w:pos="360"/>
          <w:tab w:val="left" w:pos="720"/>
        </w:tabs>
        <w:spacing w:line="440" w:lineRule="exac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   （2）、考核对象：</w:t>
      </w:r>
    </w:p>
    <w:p>
      <w:pPr>
        <w:tabs>
          <w:tab w:val="left" w:pos="360"/>
          <w:tab w:val="left" w:pos="720"/>
        </w:tabs>
        <w:spacing w:line="44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环卫服务企业。</w:t>
      </w:r>
    </w:p>
    <w:p>
      <w:pPr>
        <w:tabs>
          <w:tab w:val="left" w:pos="360"/>
          <w:tab w:val="left" w:pos="720"/>
        </w:tabs>
        <w:spacing w:line="440" w:lineRule="exac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   （3）、考核范围：</w:t>
      </w:r>
    </w:p>
    <w:p>
      <w:pPr>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包括公共区域保洁、公共安全秩序维护、停车管理、设备维保、绿化养护、道路养护、维修服务等。</w:t>
      </w:r>
    </w:p>
    <w:p>
      <w:pPr>
        <w:pStyle w:val="129"/>
        <w:spacing w:before="0" w:line="440" w:lineRule="exact"/>
        <w:ind w:firstLine="482"/>
        <w:outlineLvl w:val="2"/>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（4）、考核内容及标准</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1、清扫作业：</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（1）早晨7时前全面清扫干净，上午7时至12时，下午14时至19时动态巡回保洁。</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（2）街巷清扫、保洁（含机扫、洒水、洁面工程）必须作业到两边建筑物基石（机扫、洒水到道路侧石），道路岔道、喇叭口清扫向外延伸5米。</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（3）街巷沿线建筑物上乱涂写清理及擦洗。</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（4）机动、非机动作业车不得停放在消防栓、公交车站旁，停放离人行道侧石不超过20厘米。</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（5）遇有重大活动或抗台、抗雪等突发事件，必须无条件及时组织力量做好清扫保洁、应急等保障工作，服从发包单位的统一指挥。</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（6）绿化带、花坛、天井、空地、垃圾箱周围等公共场所要及时清扫并保持干净，路面无杂草、废土。</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（7）污水沟畅通，无垃圾沉积物。</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（8）楼道清扫、打尘、扶手擦洗每星期不得少于2次。</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（9）清扫时要注意风向，按顺风方向清扫。</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2、清运作业：</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w:t>
      </w:r>
      <w:r>
        <w:rPr>
          <w:rFonts w:hint="eastAsia" w:asciiTheme="minorEastAsia" w:hAnsiTheme="minorEastAsia" w:eastAsiaTheme="minorEastAsia"/>
          <w:bCs/>
          <w:color w:val="auto"/>
          <w:szCs w:val="24"/>
          <w:highlight w:val="none"/>
          <w:lang w:val="en-US" w:eastAsia="zh-CN"/>
        </w:rPr>
        <w:t>1</w:t>
      </w:r>
      <w:r>
        <w:rPr>
          <w:rFonts w:hint="eastAsia" w:asciiTheme="minorEastAsia" w:hAnsiTheme="minorEastAsia" w:eastAsiaTheme="minorEastAsia"/>
          <w:bCs/>
          <w:color w:val="auto"/>
          <w:szCs w:val="24"/>
          <w:highlight w:val="none"/>
        </w:rPr>
        <w:t>）街巷两侧目测范围内（人行道外边沿5米内）废土应及时发现并及时清除（量比较大时，应及时上报，经核实量后及时作业）。</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w:t>
      </w:r>
      <w:r>
        <w:rPr>
          <w:rFonts w:hint="eastAsia" w:asciiTheme="minorEastAsia" w:hAnsiTheme="minorEastAsia" w:eastAsiaTheme="minorEastAsia"/>
          <w:bCs/>
          <w:color w:val="auto"/>
          <w:szCs w:val="24"/>
          <w:highlight w:val="none"/>
          <w:lang w:val="en-US" w:eastAsia="zh-CN"/>
        </w:rPr>
        <w:t>2</w:t>
      </w:r>
      <w:r>
        <w:rPr>
          <w:rFonts w:hint="eastAsia" w:asciiTheme="minorEastAsia" w:hAnsiTheme="minorEastAsia" w:eastAsiaTheme="minorEastAsia"/>
          <w:bCs/>
          <w:color w:val="auto"/>
          <w:szCs w:val="24"/>
          <w:highlight w:val="none"/>
        </w:rPr>
        <w:t>）片区清扫保洁产生的垃圾就近中转站倾倒，不准扫入市区主次街道。</w:t>
      </w:r>
    </w:p>
    <w:p>
      <w:pPr>
        <w:spacing w:line="440" w:lineRule="exact"/>
        <w:ind w:firstLine="480" w:firstLineChars="200"/>
        <w:rPr>
          <w:rFonts w:hint="eastAsia"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auto"/>
          <w:sz w:val="24"/>
          <w:highlight w:val="none"/>
        </w:rPr>
        <w:t>辖区内大件垃圾及时清运、负责对于辖区内居民户新装修产生的垃圾的监管工作，不得影响居民日常生活。</w:t>
      </w:r>
    </w:p>
    <w:p>
      <w:pPr>
        <w:pStyle w:val="129"/>
        <w:spacing w:before="0" w:line="440" w:lineRule="exact"/>
        <w:ind w:firstLine="480"/>
        <w:outlineLvl w:val="2"/>
        <w:rPr>
          <w:rFonts w:hint="eastAsia" w:asciiTheme="minorEastAsia" w:hAnsiTheme="minorEastAsia" w:eastAsiaTheme="minorEastAsia"/>
          <w:bCs/>
          <w:color w:val="auto"/>
          <w:szCs w:val="24"/>
          <w:highlight w:val="none"/>
        </w:rPr>
      </w:pPr>
    </w:p>
    <w:p>
      <w:pPr>
        <w:spacing w:line="440" w:lineRule="exact"/>
        <w:ind w:firstLine="240" w:firstLineChars="10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3、项目</w:t>
      </w:r>
      <w:r>
        <w:rPr>
          <w:rFonts w:asciiTheme="minorEastAsia" w:hAnsiTheme="minorEastAsia" w:eastAsiaTheme="minorEastAsia"/>
          <w:color w:val="auto"/>
          <w:sz w:val="24"/>
          <w:szCs w:val="20"/>
          <w:highlight w:val="none"/>
        </w:rPr>
        <w:t>清洁度评价</w:t>
      </w:r>
      <w:r>
        <w:rPr>
          <w:rFonts w:hint="eastAsia" w:asciiTheme="minorEastAsia" w:hAnsiTheme="minorEastAsia" w:eastAsiaTheme="minorEastAsia"/>
          <w:color w:val="auto"/>
          <w:sz w:val="24"/>
          <w:szCs w:val="20"/>
          <w:highlight w:val="none"/>
        </w:rPr>
        <w:t>标准</w:t>
      </w:r>
    </w:p>
    <w:tbl>
      <w:tblPr>
        <w:tblStyle w:val="63"/>
        <w:tblW w:w="9640" w:type="dxa"/>
        <w:tblInd w:w="-12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
      <w:tblGrid>
        <w:gridCol w:w="667"/>
        <w:gridCol w:w="510"/>
        <w:gridCol w:w="1517"/>
        <w:gridCol w:w="2410"/>
        <w:gridCol w:w="453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660" w:hRule="atLeast"/>
        </w:trPr>
        <w:tc>
          <w:tcPr>
            <w:tcW w:w="667" w:type="dxa"/>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项目</w:t>
            </w:r>
          </w:p>
        </w:tc>
        <w:tc>
          <w:tcPr>
            <w:tcW w:w="510" w:type="dxa"/>
            <w:vAlign w:val="center"/>
          </w:tcPr>
          <w:p>
            <w:pPr>
              <w:widowControl/>
              <w:jc w:val="left"/>
              <w:textAlignment w:val="center"/>
              <w:rPr>
                <w:rFonts w:hint="eastAsia"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序号</w:t>
            </w:r>
          </w:p>
        </w:tc>
        <w:tc>
          <w:tcPr>
            <w:tcW w:w="1517" w:type="dxa"/>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检查项目</w:t>
            </w:r>
          </w:p>
        </w:tc>
        <w:tc>
          <w:tcPr>
            <w:tcW w:w="2410" w:type="dxa"/>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管理作业标准</w:t>
            </w:r>
          </w:p>
        </w:tc>
        <w:tc>
          <w:tcPr>
            <w:tcW w:w="4536" w:type="dxa"/>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评分标准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886" w:hRule="atLeast"/>
        </w:trPr>
        <w:tc>
          <w:tcPr>
            <w:tcW w:w="667" w:type="dxa"/>
            <w:vMerge w:val="restart"/>
          </w:tcPr>
          <w:p>
            <w:pPr>
              <w:widowControl/>
              <w:textAlignment w:val="center"/>
              <w:rPr>
                <w:rFonts w:hint="eastAsia" w:cs="仿宋_GB2312" w:asciiTheme="minorEastAsia" w:hAnsiTheme="minorEastAsia" w:eastAsiaTheme="minorEastAsia"/>
                <w:b/>
                <w:color w:val="auto"/>
                <w:szCs w:val="21"/>
                <w:highlight w:val="none"/>
              </w:rPr>
            </w:pPr>
          </w:p>
        </w:tc>
        <w:tc>
          <w:tcPr>
            <w:tcW w:w="510" w:type="dxa"/>
            <w:vMerge w:val="restart"/>
            <w:vAlign w:val="center"/>
          </w:tcPr>
          <w:p>
            <w:pPr>
              <w:widowControl/>
              <w:jc w:val="center"/>
              <w:textAlignment w:val="center"/>
              <w:rPr>
                <w:rFonts w:hint="eastAsia"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1</w:t>
            </w:r>
          </w:p>
        </w:tc>
        <w:tc>
          <w:tcPr>
            <w:tcW w:w="1517" w:type="dxa"/>
            <w:vMerge w:val="restart"/>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kern w:val="0"/>
                <w:szCs w:val="21"/>
                <w:highlight w:val="none"/>
              </w:rPr>
              <w:t>街巷</w:t>
            </w:r>
            <w:r>
              <w:rPr>
                <w:rFonts w:cs="仿宋_GB2312" w:asciiTheme="minorEastAsia" w:hAnsiTheme="minorEastAsia" w:eastAsiaTheme="minorEastAsia"/>
                <w:b/>
                <w:color w:val="auto"/>
                <w:kern w:val="0"/>
                <w:szCs w:val="21"/>
                <w:highlight w:val="none"/>
              </w:rPr>
              <w:t>保洁质量</w:t>
            </w:r>
          </w:p>
        </w:tc>
        <w:tc>
          <w:tcPr>
            <w:tcW w:w="2410" w:type="dxa"/>
            <w:vAlign w:val="center"/>
          </w:tcPr>
          <w:p>
            <w:pPr>
              <w:widowControl/>
              <w:snapToGrid w:val="0"/>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按照保洁分类管理指标要求落实</w:t>
            </w: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保洁时间。</w:t>
            </w:r>
          </w:p>
        </w:tc>
        <w:tc>
          <w:tcPr>
            <w:tcW w:w="4536" w:type="dxa"/>
            <w:vAlign w:val="center"/>
          </w:tcPr>
          <w:p>
            <w:pPr>
              <w:widowControl/>
              <w:snapToGrid w:val="0"/>
              <w:jc w:val="left"/>
              <w:textAlignment w:val="center"/>
              <w:rPr>
                <w:rFonts w:hint="eastAsia" w:cs="仿宋_GB2312" w:asciiTheme="minorEastAsia" w:hAnsiTheme="minorEastAsia" w:eastAsiaTheme="minorEastAsia"/>
                <w:color w:val="auto"/>
                <w:sz w:val="20"/>
                <w:szCs w:val="20"/>
                <w:highlight w:val="none"/>
              </w:rPr>
            </w:pP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保洁时间未达到规定时间要求的，每条</w:t>
            </w: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每次扣8分。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697" w:hRule="atLeast"/>
        </w:trPr>
        <w:tc>
          <w:tcPr>
            <w:tcW w:w="667" w:type="dxa"/>
            <w:vMerge w:val="continue"/>
          </w:tcPr>
          <w:p>
            <w:pPr>
              <w:jc w:val="left"/>
              <w:rPr>
                <w:rFonts w:hint="eastAsia" w:cs="仿宋_GB2312" w:asciiTheme="minorEastAsia" w:hAnsiTheme="minorEastAsia" w:eastAsiaTheme="minorEastAsia"/>
                <w:b/>
                <w:color w:val="auto"/>
                <w:szCs w:val="21"/>
                <w:highlight w:val="none"/>
              </w:rPr>
            </w:pPr>
          </w:p>
        </w:tc>
        <w:tc>
          <w:tcPr>
            <w:tcW w:w="510" w:type="dxa"/>
            <w:vMerge w:val="continue"/>
            <w:vAlign w:val="center"/>
          </w:tcPr>
          <w:p>
            <w:pPr>
              <w:rPr>
                <w:rFonts w:hint="eastAsia" w:cs="宋体" w:asciiTheme="minorEastAsia" w:hAnsiTheme="minorEastAsia" w:eastAsiaTheme="minorEastAsia"/>
                <w:color w:val="auto"/>
                <w:sz w:val="22"/>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snapToGrid w:val="0"/>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按规定时间内完成普扫。</w:t>
            </w:r>
          </w:p>
        </w:tc>
        <w:tc>
          <w:tcPr>
            <w:tcW w:w="4536" w:type="dxa"/>
            <w:vAlign w:val="center"/>
          </w:tcPr>
          <w:p>
            <w:pPr>
              <w:widowControl/>
              <w:snapToGrid w:val="0"/>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未在规定时间内完成普扫的每条</w:t>
            </w: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扣5分，未全路段普扫的每条</w:t>
            </w: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扣3分。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78" w:hRule="atLeast"/>
        </w:trPr>
        <w:tc>
          <w:tcPr>
            <w:tcW w:w="667" w:type="dxa"/>
            <w:vMerge w:val="continue"/>
          </w:tcPr>
          <w:p>
            <w:pPr>
              <w:jc w:val="left"/>
              <w:rPr>
                <w:rFonts w:hint="eastAsia" w:cs="仿宋_GB2312" w:asciiTheme="minorEastAsia" w:hAnsiTheme="minorEastAsia" w:eastAsiaTheme="minorEastAsia"/>
                <w:b/>
                <w:color w:val="auto"/>
                <w:szCs w:val="21"/>
                <w:highlight w:val="none"/>
              </w:rPr>
            </w:pPr>
          </w:p>
        </w:tc>
        <w:tc>
          <w:tcPr>
            <w:tcW w:w="510" w:type="dxa"/>
            <w:vMerge w:val="continue"/>
            <w:vAlign w:val="center"/>
          </w:tcPr>
          <w:p>
            <w:pPr>
              <w:rPr>
                <w:rFonts w:hint="eastAsia" w:cs="宋体" w:asciiTheme="minorEastAsia" w:hAnsiTheme="minorEastAsia" w:eastAsiaTheme="minorEastAsia"/>
                <w:color w:val="auto"/>
                <w:sz w:val="22"/>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snapToGrid w:val="0"/>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路面无垃圾、无杂物、无积泥（沙石），晴天无积水。雨水井沟眼畅通干净，树圈清洁无垃圾、杂物，人行道板及各类井盖等处缝隙无垃圾、杂物。</w:t>
            </w:r>
          </w:p>
        </w:tc>
        <w:tc>
          <w:tcPr>
            <w:tcW w:w="4536" w:type="dxa"/>
            <w:vAlign w:val="center"/>
          </w:tcPr>
          <w:p>
            <w:pPr>
              <w:widowControl/>
              <w:snapToGrid w:val="0"/>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路面垃圾（杂物）＜0.5㎡的每处扣0.</w:t>
            </w:r>
            <w:r>
              <w:rPr>
                <w:rStyle w:val="144"/>
                <w:rFonts w:hint="default" w:asciiTheme="minorEastAsia" w:hAnsiTheme="minorEastAsia" w:eastAsiaTheme="minorEastAsia"/>
                <w:color w:val="auto"/>
                <w:highlight w:val="none"/>
              </w:rPr>
              <w:t>5分，＜2㎡的每处扣1分,≥2㎡的每处扣2分，有暴露垃圾堆的每处扣4分。雨水井沟眼积泥（嵌石）的每处扣0.5分，树圈有垃圾（杂物）的每处扣0.5分。烟蒂每个扣0.05分。积泥（沙石）长度＜5米的每处扣1分，＜10米的每处扣2分，＜20米的每处扣2.5分，≥20米的每处扣4分。建筑垃圾(装潢垃圾)散落未袋装＜1m³的每处扣1分，≥1m³的每处扣2分。晴天积水＜3㎡的每处扣3分，≥3㎡的每处扣5分，冬季路面积水导致路面结冰的每处扣5分，导致有责交通事故的每次扣10分。人行道板间、人行道各类井盖间等缝隙有垃圾（杂物）的每处扣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795" w:hRule="atLeast"/>
        </w:trPr>
        <w:tc>
          <w:tcPr>
            <w:tcW w:w="667" w:type="dxa"/>
            <w:vMerge w:val="continue"/>
          </w:tcPr>
          <w:p>
            <w:pPr>
              <w:jc w:val="left"/>
              <w:rPr>
                <w:rFonts w:hint="eastAsia" w:cs="仿宋_GB2312" w:asciiTheme="minorEastAsia" w:hAnsiTheme="minorEastAsia" w:eastAsiaTheme="minorEastAsia"/>
                <w:b/>
                <w:color w:val="auto"/>
                <w:szCs w:val="21"/>
                <w:highlight w:val="none"/>
              </w:rPr>
            </w:pPr>
          </w:p>
        </w:tc>
        <w:tc>
          <w:tcPr>
            <w:tcW w:w="510" w:type="dxa"/>
            <w:vMerge w:val="continue"/>
            <w:vAlign w:val="center"/>
          </w:tcPr>
          <w:p>
            <w:pPr>
              <w:rPr>
                <w:rFonts w:hint="eastAsia" w:cs="宋体" w:asciiTheme="minorEastAsia" w:hAnsiTheme="minorEastAsia" w:eastAsiaTheme="minorEastAsia"/>
                <w:color w:val="auto"/>
                <w:sz w:val="22"/>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绿地（含车道绿化隔离带、人行道绿地）保洁应与</w:t>
            </w: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保洁同步，做到绿化带内无杂物、无垃圾。</w:t>
            </w:r>
          </w:p>
        </w:tc>
        <w:tc>
          <w:tcPr>
            <w:tcW w:w="4536"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绿地内垃圾(杂物)＜0.5</w:t>
            </w:r>
            <w:r>
              <w:rPr>
                <w:rFonts w:hint="eastAsia" w:cs="宋体" w:asciiTheme="minorEastAsia" w:hAnsiTheme="minorEastAsia" w:eastAsiaTheme="minorEastAsia"/>
                <w:color w:val="auto"/>
                <w:kern w:val="0"/>
                <w:sz w:val="20"/>
                <w:szCs w:val="20"/>
                <w:highlight w:val="none"/>
              </w:rPr>
              <w:t>㎡</w:t>
            </w:r>
            <w:r>
              <w:rPr>
                <w:rFonts w:hint="eastAsia" w:cs="仿宋_GB2312" w:asciiTheme="minorEastAsia" w:hAnsiTheme="minorEastAsia" w:eastAsiaTheme="minorEastAsia"/>
                <w:color w:val="auto"/>
                <w:kern w:val="0"/>
                <w:sz w:val="20"/>
                <w:szCs w:val="20"/>
                <w:highlight w:val="none"/>
              </w:rPr>
              <w:t>的每处扣0.5</w:t>
            </w:r>
            <w:r>
              <w:rPr>
                <w:rFonts w:cs="仿宋_GB2312" w:asciiTheme="minorEastAsia" w:hAnsiTheme="minorEastAsia" w:eastAsiaTheme="minorEastAsia"/>
                <w:color w:val="auto"/>
                <w:kern w:val="0"/>
                <w:sz w:val="20"/>
                <w:szCs w:val="20"/>
                <w:highlight w:val="none"/>
              </w:rPr>
              <w:t>分，＜2</w:t>
            </w:r>
            <w:r>
              <w:rPr>
                <w:rFonts w:hint="eastAsia" w:cs="宋体" w:asciiTheme="minorEastAsia" w:hAnsiTheme="minorEastAsia" w:eastAsiaTheme="minorEastAsia"/>
                <w:color w:val="auto"/>
                <w:kern w:val="0"/>
                <w:sz w:val="20"/>
                <w:szCs w:val="20"/>
                <w:highlight w:val="none"/>
              </w:rPr>
              <w:t>㎡</w:t>
            </w:r>
            <w:r>
              <w:rPr>
                <w:rFonts w:hint="eastAsia" w:cs="仿宋_GB2312" w:asciiTheme="minorEastAsia" w:hAnsiTheme="minorEastAsia" w:eastAsiaTheme="minorEastAsia"/>
                <w:color w:val="auto"/>
                <w:kern w:val="0"/>
                <w:sz w:val="20"/>
                <w:szCs w:val="20"/>
                <w:highlight w:val="none"/>
              </w:rPr>
              <w:t>的每处扣1</w:t>
            </w:r>
            <w:r>
              <w:rPr>
                <w:rFonts w:cs="仿宋_GB2312" w:asciiTheme="minorEastAsia" w:hAnsiTheme="minorEastAsia" w:eastAsiaTheme="minorEastAsia"/>
                <w:color w:val="auto"/>
                <w:kern w:val="0"/>
                <w:sz w:val="20"/>
                <w:szCs w:val="20"/>
                <w:highlight w:val="none"/>
              </w:rPr>
              <w:t>分,≥2</w:t>
            </w:r>
            <w:r>
              <w:rPr>
                <w:rFonts w:hint="eastAsia" w:cs="宋体" w:asciiTheme="minorEastAsia" w:hAnsiTheme="minorEastAsia" w:eastAsiaTheme="minorEastAsia"/>
                <w:color w:val="auto"/>
                <w:kern w:val="0"/>
                <w:sz w:val="20"/>
                <w:szCs w:val="20"/>
                <w:highlight w:val="none"/>
              </w:rPr>
              <w:t>㎡</w:t>
            </w:r>
            <w:r>
              <w:rPr>
                <w:rFonts w:hint="eastAsia" w:cs="仿宋_GB2312" w:asciiTheme="minorEastAsia" w:hAnsiTheme="minorEastAsia" w:eastAsiaTheme="minorEastAsia"/>
                <w:color w:val="auto"/>
                <w:kern w:val="0"/>
                <w:sz w:val="20"/>
                <w:szCs w:val="20"/>
                <w:highlight w:val="none"/>
              </w:rPr>
              <w:t>的每处扣2</w:t>
            </w:r>
            <w:r>
              <w:rPr>
                <w:rFonts w:cs="仿宋_GB2312" w:asciiTheme="minorEastAsia" w:hAnsiTheme="minorEastAsia" w:eastAsiaTheme="minorEastAsia"/>
                <w:color w:val="auto"/>
                <w:kern w:val="0"/>
                <w:sz w:val="20"/>
                <w:szCs w:val="20"/>
                <w:highlight w:val="none"/>
              </w:rPr>
              <w:t>分，有暴露垃圾堆的每处扣</w:t>
            </w:r>
            <w:r>
              <w:rPr>
                <w:rFonts w:hint="eastAsia" w:cs="仿宋_GB2312" w:asciiTheme="minorEastAsia" w:hAnsiTheme="minorEastAsia" w:eastAsiaTheme="minorEastAsia"/>
                <w:color w:val="auto"/>
                <w:kern w:val="0"/>
                <w:sz w:val="20"/>
                <w:szCs w:val="20"/>
                <w:highlight w:val="none"/>
              </w:rPr>
              <w:t>4</w:t>
            </w:r>
            <w:r>
              <w:rPr>
                <w:rFonts w:cs="仿宋_GB2312" w:asciiTheme="minorEastAsia" w:hAnsiTheme="minorEastAsia" w:eastAsiaTheme="minorEastAsia"/>
                <w:color w:val="auto"/>
                <w:kern w:val="0"/>
                <w:sz w:val="20"/>
                <w:szCs w:val="20"/>
                <w:highlight w:val="none"/>
              </w:rPr>
              <w:t>分。</w:t>
            </w:r>
            <w:r>
              <w:rPr>
                <w:rStyle w:val="144"/>
                <w:rFonts w:hint="default" w:asciiTheme="minorEastAsia" w:hAnsiTheme="minorEastAsia" w:eastAsiaTheme="minorEastAsia"/>
                <w:color w:val="auto"/>
                <w:highlight w:val="none"/>
              </w:rPr>
              <w:t>烟蒂每个扣0.05分。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125" w:hRule="atLeast"/>
        </w:trPr>
        <w:tc>
          <w:tcPr>
            <w:tcW w:w="667" w:type="dxa"/>
            <w:vMerge w:val="continue"/>
          </w:tcPr>
          <w:p>
            <w:pPr>
              <w:jc w:val="left"/>
              <w:rPr>
                <w:rFonts w:hint="eastAsia" w:cs="仿宋_GB2312" w:asciiTheme="minorEastAsia" w:hAnsiTheme="minorEastAsia" w:eastAsiaTheme="minorEastAsia"/>
                <w:b/>
                <w:color w:val="auto"/>
                <w:szCs w:val="21"/>
                <w:highlight w:val="none"/>
              </w:rPr>
            </w:pPr>
          </w:p>
        </w:tc>
        <w:tc>
          <w:tcPr>
            <w:tcW w:w="510" w:type="dxa"/>
            <w:vMerge w:val="continue"/>
            <w:vAlign w:val="center"/>
          </w:tcPr>
          <w:p>
            <w:pPr>
              <w:rPr>
                <w:rFonts w:hint="eastAsia" w:cs="宋体" w:asciiTheme="minorEastAsia" w:hAnsiTheme="minorEastAsia" w:eastAsiaTheme="minorEastAsia"/>
                <w:color w:val="auto"/>
                <w:sz w:val="22"/>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清洗要做到路面、侧石、标志线见本色，无污渍。</w:t>
            </w:r>
          </w:p>
        </w:tc>
        <w:tc>
          <w:tcPr>
            <w:tcW w:w="4536"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路面油污、污渍＜1㎡的每处扣1.5分，≥1㎡的每处扣</w:t>
            </w:r>
            <w:r>
              <w:rPr>
                <w:rStyle w:val="144"/>
                <w:rFonts w:hint="default" w:asciiTheme="minorEastAsia" w:hAnsiTheme="minorEastAsia" w:eastAsiaTheme="minorEastAsia"/>
                <w:color w:val="auto"/>
                <w:highlight w:val="none"/>
              </w:rPr>
              <w:t>3分，路面清洗质量不到位未见本色的，每处扣4分。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713" w:hRule="atLeast"/>
        </w:trPr>
        <w:tc>
          <w:tcPr>
            <w:tcW w:w="667" w:type="dxa"/>
            <w:vMerge w:val="continue"/>
          </w:tcPr>
          <w:p>
            <w:pPr>
              <w:jc w:val="left"/>
              <w:rPr>
                <w:rFonts w:hint="eastAsia" w:cs="仿宋_GB2312" w:asciiTheme="minorEastAsia" w:hAnsiTheme="minorEastAsia" w:eastAsiaTheme="minorEastAsia"/>
                <w:b/>
                <w:color w:val="auto"/>
                <w:szCs w:val="21"/>
                <w:highlight w:val="none"/>
              </w:rPr>
            </w:pPr>
          </w:p>
        </w:tc>
        <w:tc>
          <w:tcPr>
            <w:tcW w:w="510" w:type="dxa"/>
            <w:vMerge w:val="continue"/>
            <w:vAlign w:val="center"/>
          </w:tcPr>
          <w:p>
            <w:pPr>
              <w:rPr>
                <w:rFonts w:hint="eastAsia" w:cs="宋体" w:asciiTheme="minorEastAsia" w:hAnsiTheme="minorEastAsia" w:eastAsiaTheme="minorEastAsia"/>
                <w:color w:val="auto"/>
                <w:sz w:val="22"/>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hint="eastAsia" w:cs="仿宋_GB2312" w:asciiTheme="minorEastAsia" w:hAnsiTheme="minorEastAsia" w:eastAsiaTheme="minorEastAsia"/>
                <w:color w:val="auto"/>
                <w:kern w:val="0"/>
                <w:sz w:val="20"/>
                <w:szCs w:val="20"/>
                <w:highlight w:val="none"/>
              </w:rPr>
              <w:t>街巷</w:t>
            </w:r>
            <w:r>
              <w:rPr>
                <w:rFonts w:cs="仿宋_GB2312" w:asciiTheme="minorEastAsia" w:hAnsiTheme="minorEastAsia" w:eastAsiaTheme="minorEastAsia"/>
                <w:color w:val="auto"/>
                <w:kern w:val="0"/>
                <w:sz w:val="20"/>
                <w:szCs w:val="20"/>
                <w:highlight w:val="none"/>
              </w:rPr>
              <w:t>两侧建筑工地出入口前路面（或空地）清洁。</w:t>
            </w:r>
          </w:p>
        </w:tc>
        <w:tc>
          <w:tcPr>
            <w:tcW w:w="4536"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街巷、人行道、侧石有乱涂写招贴的每处扣</w:t>
            </w:r>
            <w:r>
              <w:rPr>
                <w:rStyle w:val="144"/>
                <w:rFonts w:hint="default" w:asciiTheme="minorEastAsia" w:hAnsiTheme="minorEastAsia" w:eastAsiaTheme="minorEastAsia"/>
                <w:color w:val="auto"/>
                <w:highlight w:val="none"/>
              </w:rPr>
              <w:t>1分；生活污水污染路面＜1㎡的每处扣1分，≥1㎡的每处扣2分。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770" w:hRule="atLeast"/>
        </w:trPr>
        <w:tc>
          <w:tcPr>
            <w:tcW w:w="667" w:type="dxa"/>
            <w:vMerge w:val="continue"/>
          </w:tcPr>
          <w:p>
            <w:pPr>
              <w:jc w:val="left"/>
              <w:rPr>
                <w:rFonts w:hint="eastAsia" w:cs="仿宋_GB2312" w:asciiTheme="minorEastAsia" w:hAnsiTheme="minorEastAsia" w:eastAsiaTheme="minorEastAsia"/>
                <w:b/>
                <w:color w:val="auto"/>
                <w:szCs w:val="21"/>
                <w:highlight w:val="none"/>
              </w:rPr>
            </w:pPr>
          </w:p>
        </w:tc>
        <w:tc>
          <w:tcPr>
            <w:tcW w:w="510" w:type="dxa"/>
            <w:vMerge w:val="restart"/>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2</w:t>
            </w:r>
          </w:p>
        </w:tc>
        <w:tc>
          <w:tcPr>
            <w:tcW w:w="1517" w:type="dxa"/>
            <w:vMerge w:val="restart"/>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环卫设施管理情况</w:t>
            </w:r>
          </w:p>
        </w:tc>
        <w:tc>
          <w:tcPr>
            <w:tcW w:w="2410"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按照《生活垃圾分类管理规范》设置街巷果壳箱</w:t>
            </w:r>
            <w:r>
              <w:rPr>
                <w:rStyle w:val="144"/>
                <w:rFonts w:hint="default" w:asciiTheme="minorEastAsia" w:hAnsiTheme="minorEastAsia" w:eastAsiaTheme="minorEastAsia"/>
                <w:color w:val="auto"/>
                <w:highlight w:val="none"/>
              </w:rPr>
              <w:t>。</w:t>
            </w:r>
          </w:p>
        </w:tc>
        <w:tc>
          <w:tcPr>
            <w:tcW w:w="4536"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未按照《生活垃圾分类管理规范》设置果壳箱的，每条街巷</w:t>
            </w:r>
            <w:r>
              <w:rPr>
                <w:rFonts w:hint="eastAsia" w:cs="仿宋_GB2312" w:asciiTheme="minorEastAsia" w:hAnsiTheme="minorEastAsia" w:eastAsiaTheme="minorEastAsia"/>
                <w:color w:val="auto"/>
                <w:kern w:val="0"/>
                <w:sz w:val="20"/>
                <w:szCs w:val="20"/>
                <w:highlight w:val="none"/>
              </w:rPr>
              <w:t>扣3</w:t>
            </w:r>
            <w:r>
              <w:rPr>
                <w:rStyle w:val="144"/>
                <w:rFonts w:hint="default" w:asciiTheme="minorEastAsia" w:hAnsiTheme="minorEastAsia" w:eastAsiaTheme="minorEastAsia"/>
                <w:color w:val="auto"/>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800"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垃圾收集容器完好。</w:t>
            </w:r>
          </w:p>
        </w:tc>
        <w:tc>
          <w:tcPr>
            <w:tcW w:w="4536" w:type="dxa"/>
            <w:vAlign w:val="center"/>
          </w:tcPr>
          <w:p>
            <w:pPr>
              <w:widowControl/>
              <w:snapToGrid w:val="0"/>
              <w:spacing w:line="240" w:lineRule="atLeast"/>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街巷两侧的果壳箱破损的每处扣</w:t>
            </w:r>
            <w:r>
              <w:rPr>
                <w:rStyle w:val="144"/>
                <w:rFonts w:hint="default" w:asciiTheme="minorEastAsia" w:hAnsiTheme="minorEastAsia" w:eastAsiaTheme="minorEastAsia"/>
                <w:color w:val="auto"/>
                <w:highlight w:val="none"/>
              </w:rPr>
              <w:t>1分，油漆剥落（或严重褪色）、歪斜的每处扣1分，箱门未关闭的每处扣1分；垃圾桶破损的每处扣2分，未在规定时限内修复的每只扣2分。桶盖未盖好的每处扣2分。垃圾房门敞开未关闭的每处扣2分,破损、锈蚀、外墙面和地面有积存污垢，周围地面有积存污水的每处扣3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695" w:hRule="atLeast"/>
        </w:trPr>
        <w:tc>
          <w:tcPr>
            <w:tcW w:w="667" w:type="dxa"/>
            <w:vMerge w:val="restart"/>
            <w:vAlign w:val="center"/>
          </w:tcPr>
          <w:p>
            <w:pPr>
              <w:widowControl/>
              <w:jc w:val="center"/>
              <w:textAlignment w:val="center"/>
              <w:rPr>
                <w:rFonts w:hint="eastAsia" w:cs="仿宋_GB2312" w:asciiTheme="minorEastAsia" w:hAnsiTheme="minorEastAsia" w:eastAsiaTheme="minorEastAsia"/>
                <w:b/>
                <w:color w:val="auto"/>
                <w:kern w:val="0"/>
                <w:szCs w:val="21"/>
                <w:highlight w:val="none"/>
              </w:rPr>
            </w:pPr>
            <w:r>
              <w:rPr>
                <w:rFonts w:cs="仿宋_GB2312" w:asciiTheme="minorEastAsia" w:hAnsiTheme="minorEastAsia" w:eastAsiaTheme="minorEastAsia"/>
                <w:b/>
                <w:color w:val="auto"/>
                <w:kern w:val="0"/>
                <w:szCs w:val="21"/>
                <w:highlight w:val="none"/>
              </w:rPr>
              <w:t>街巷现场评价</w:t>
            </w:r>
          </w:p>
        </w:tc>
        <w:tc>
          <w:tcPr>
            <w:tcW w:w="510" w:type="dxa"/>
            <w:vMerge w:val="restart"/>
            <w:vAlign w:val="center"/>
          </w:tcPr>
          <w:p>
            <w:pPr>
              <w:jc w:val="center"/>
              <w:rPr>
                <w:rFonts w:hint="eastAsia"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2</w:t>
            </w:r>
          </w:p>
        </w:tc>
        <w:tc>
          <w:tcPr>
            <w:tcW w:w="1517" w:type="dxa"/>
            <w:vMerge w:val="restart"/>
            <w:vAlign w:val="center"/>
          </w:tcPr>
          <w:p>
            <w:pPr>
              <w:jc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环卫设施管理情况</w:t>
            </w: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垃圾桶不乱堆乱放，果壳箱、垃圾桶无积存垃圾，日产日清。果壳箱、垃圾桶、垃圾房清洁无污垢、无垃圾满溢现象，箱（桶、房）外无暴露垃圾。</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垃圾桶乱堆放，每个扣</w:t>
            </w:r>
            <w:r>
              <w:rPr>
                <w:rStyle w:val="144"/>
                <w:rFonts w:hint="default" w:asciiTheme="minorEastAsia" w:hAnsiTheme="minorEastAsia" w:eastAsiaTheme="minorEastAsia"/>
                <w:color w:val="auto"/>
                <w:highlight w:val="none"/>
              </w:rPr>
              <w:t>1分。垃圾未日产日清的每处扣2分，垃圾超出果壳箱、垃圾桶投放口平面的每处扣1分。垃圾收集容器边有暴露垃圾的每处扣2分，周边地面有垃圾污水、每处扣2分；果壳箱(垃圾箱、桶）等垃圾收集容器清洗不到位，外观不洁有污垢的每处扣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142"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环卫作业车辆统一环卫标志标识，轮毂刷白。外观整洁、无破损。</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环卫作业车辆未统一标识的，每辆车扣</w:t>
            </w:r>
            <w:r>
              <w:rPr>
                <w:rStyle w:val="144"/>
                <w:rFonts w:hint="default" w:asciiTheme="minorEastAsia" w:hAnsiTheme="minorEastAsia" w:eastAsiaTheme="minorEastAsia"/>
                <w:color w:val="auto"/>
                <w:highlight w:val="none"/>
              </w:rPr>
              <w:t>2分，轮毂未刷白的，每辆车扣1分。外观不洁、积尘、破损、车身油漆剥落（剥落面积大于15cm×15cm）扣3分。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395"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restart"/>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3</w:t>
            </w:r>
          </w:p>
        </w:tc>
        <w:tc>
          <w:tcPr>
            <w:tcW w:w="1517" w:type="dxa"/>
            <w:vMerge w:val="restart"/>
            <w:vAlign w:val="center"/>
          </w:tcPr>
          <w:p>
            <w:pPr>
              <w:widowControl/>
              <w:jc w:val="center"/>
              <w:textAlignment w:val="center"/>
              <w:rPr>
                <w:rFonts w:hint="eastAsia" w:cs="仿宋_GB2312" w:asciiTheme="minorEastAsia" w:hAnsiTheme="minorEastAsia" w:eastAsiaTheme="minorEastAsia"/>
                <w:b/>
                <w:color w:val="auto"/>
                <w:szCs w:val="21"/>
                <w:highlight w:val="none"/>
              </w:rPr>
            </w:pPr>
            <w:r>
              <w:rPr>
                <w:rFonts w:cs="仿宋_GB2312" w:asciiTheme="minorEastAsia" w:hAnsiTheme="minorEastAsia" w:eastAsiaTheme="minorEastAsia"/>
                <w:b/>
                <w:color w:val="auto"/>
                <w:kern w:val="0"/>
                <w:szCs w:val="21"/>
                <w:highlight w:val="none"/>
              </w:rPr>
              <w:t>现场作业规范</w:t>
            </w:r>
          </w:p>
        </w:tc>
        <w:tc>
          <w:tcPr>
            <w:tcW w:w="2410" w:type="dxa"/>
            <w:vAlign w:val="center"/>
          </w:tcPr>
          <w:p>
            <w:pPr>
              <w:widowControl/>
              <w:ind w:firstLine="200" w:firstLineChars="100"/>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不得采用跟踪检查组、临时突击保洁等不正常方式应对检查。</w:t>
            </w:r>
          </w:p>
        </w:tc>
        <w:tc>
          <w:tcPr>
            <w:tcW w:w="4536" w:type="dxa"/>
            <w:vAlign w:val="center"/>
          </w:tcPr>
          <w:p>
            <w:pPr>
              <w:widowControl/>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对利用各种交通工具或其他手段有意跟踪检查组，干扰正常检查秩序的，每发生1次扣1分。阻挠、延误检查人员开展检查的，每发生1次扣1分</w:t>
            </w:r>
            <w:r>
              <w:rPr>
                <w:rStyle w:val="144"/>
                <w:rFonts w:hint="default" w:asciiTheme="minorEastAsia" w:hAnsiTheme="minorEastAsia" w:eastAsiaTheme="minorEastAsia"/>
                <w:color w:val="auto"/>
                <w:highlight w:val="none"/>
              </w:rPr>
              <w:t>。发生跟踪、突击保洁的企业每发现一次，企业资信得分扣1分，并纳入招标资信库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700"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人工清扫保洁作业时，不得漏扫、反扫，垃圾应归拢、归堆并清除彻底，清扫保洁时不得将垃圾扫入雨水井、河道、绿地；垃圾清运小车作业时不得将垃圾直接落地转运；垃圾接驳时垃圾分类存放处置，不得混装混运；人工清雪作业时不得向路面洒雪。</w:t>
            </w:r>
          </w:p>
        </w:tc>
        <w:tc>
          <w:tcPr>
            <w:tcW w:w="4536" w:type="dxa"/>
          </w:tcPr>
          <w:p>
            <w:pPr>
              <w:widowControl/>
              <w:textAlignment w:val="top"/>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漏扫的每处扣1分，垃圾归拢、归堆未清除的每处扣2分，清除不彻底的每处扣2分，清扫保洁时将垃圾扫入窨井、雨水井、河道、绿地、沟渠的，每发生1次扣3分；垃圾清运小车将垃圾直接接触路面（或地面）进行转运的，每发生1次，扣2分；垃圾接驳时混装混运的，每发现一次扣2分，清雪作业时向路面洒雪的，每发生1次，扣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435"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气温低于2度时暂停清洗（含油污、积泥）作业，冰冻天气禁止洒水、清洗（含油污、积泥）作业。环卫作业车辆取水规范，无违规取水</w:t>
            </w:r>
            <w:r>
              <w:rPr>
                <w:rStyle w:val="144"/>
                <w:rFonts w:hint="default" w:asciiTheme="minorEastAsia" w:hAnsiTheme="minorEastAsia" w:eastAsiaTheme="minorEastAsia"/>
                <w:color w:val="auto"/>
                <w:highlight w:val="none"/>
              </w:rPr>
              <w:t>、取电现象。</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Style w:val="144"/>
                <w:rFonts w:hint="default" w:asciiTheme="minorEastAsia" w:hAnsiTheme="minorEastAsia" w:eastAsiaTheme="minorEastAsia"/>
                <w:color w:val="auto"/>
                <w:highlight w:val="none"/>
              </w:rPr>
              <w:t>冬季洒水使路面结冰发生有责投诉的，每发生1次，扣5分，导致有责交通事故的，扣10分。环卫作业车辆发生违规取水现象，每发生1次扣5分。发生企业违规取水取电现象的，每发生1次扣5分。违规取水取电的企业资信扣5分，并纳入招标资信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140"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环卫工人统一配置捡拾垃圾的手动钳、畚斗等作业工具，作业工具按规定放置在工具间等管理用房内。</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环卫工人未使用统一的保洁工具的每人次扣</w:t>
            </w:r>
            <w:r>
              <w:rPr>
                <w:rStyle w:val="144"/>
                <w:rFonts w:hint="default" w:asciiTheme="minorEastAsia" w:hAnsiTheme="minorEastAsia" w:eastAsiaTheme="minorEastAsia"/>
                <w:color w:val="auto"/>
                <w:highlight w:val="none"/>
              </w:rPr>
              <w:t>1分；将作业工具堆在绿化带等露天场所现象的，每次扣1分。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876"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垃圾应倾倒在规定地点，不得焚烧垃圾、树叶。落叶旺季做到及时清扫和转运处理。</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垃圾未倾倒在规定地点或焚烧垃圾、树叶的每次扣</w:t>
            </w:r>
            <w:r>
              <w:rPr>
                <w:rStyle w:val="144"/>
                <w:rFonts w:hint="default" w:asciiTheme="minorEastAsia" w:hAnsiTheme="minorEastAsia" w:eastAsiaTheme="minorEastAsia"/>
                <w:color w:val="auto"/>
                <w:highlight w:val="none"/>
              </w:rPr>
              <w:t>5分。落叶旺季未及时清扫落叶的每条扣2分，未及时转运处理树叶的每次扣2分。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215"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环卫工人应穿着统一配发的工作服、工作帽，配戴市级监管部门统一编码备案的工号牌。着装要整齐、整洁。环卫工人服只限于在工作时间或因工作需要时穿着，衣服整洁，不破旧，无污渍。</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环卫工人着装不规范，衣冠不整（如钮扣不扣、工作帽歪戴、穿拖鞋上岗等）、服装不洁、未穿着统一的工作服，非工作原因穿着工人服，每人次扣</w:t>
            </w:r>
            <w:r>
              <w:rPr>
                <w:rStyle w:val="144"/>
                <w:rFonts w:hint="default" w:asciiTheme="minorEastAsia" w:hAnsiTheme="minorEastAsia" w:eastAsiaTheme="minorEastAsia"/>
                <w:color w:val="auto"/>
                <w:highlight w:val="none"/>
              </w:rPr>
              <w:t>1分，未佩戴工号牌、工号牌佩戴不规范的每人次扣1分。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5"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环卫工人在工作期间不得做与工作无关的事情（特殊情况除外）。不准边作业边吸烟、吃东西。不得成群闲聊，聚众打牌休闲。</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环卫工人在工作期间边作业边吸烟、吃东西，成群闲聊，聚众打牌的，每人次扣</w:t>
            </w:r>
            <w:r>
              <w:rPr>
                <w:rStyle w:val="144"/>
                <w:rFonts w:hint="default" w:asciiTheme="minorEastAsia" w:hAnsiTheme="minorEastAsia" w:eastAsiaTheme="minorEastAsia"/>
                <w:color w:val="auto"/>
                <w:highlight w:val="none"/>
              </w:rPr>
              <w:t>1分。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010" w:hRule="atLeast"/>
        </w:trPr>
        <w:tc>
          <w:tcPr>
            <w:tcW w:w="66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510"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1517" w:type="dxa"/>
            <w:vMerge w:val="continue"/>
            <w:vAlign w:val="center"/>
          </w:tcPr>
          <w:p>
            <w:pPr>
              <w:jc w:val="center"/>
              <w:rPr>
                <w:rFonts w:hint="eastAsia" w:cs="仿宋_GB2312" w:asciiTheme="minorEastAsia" w:hAnsiTheme="minorEastAsia" w:eastAsiaTheme="minorEastAsia"/>
                <w:b/>
                <w:color w:val="auto"/>
                <w:szCs w:val="21"/>
                <w:highlight w:val="none"/>
              </w:rPr>
            </w:pPr>
          </w:p>
        </w:tc>
        <w:tc>
          <w:tcPr>
            <w:tcW w:w="2410"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环卫工人进行保洁作业时要遵守交通规则，环卫作业要实行顺行作业，不准横穿马路，不准逆向行驶，不准乱闯交通信号灯，不准攀爬隔离护栏。驾驶环卫电动车辆时严禁骑车带人或上机动车道行驶(临时借道除外)。</w:t>
            </w:r>
          </w:p>
        </w:tc>
        <w:tc>
          <w:tcPr>
            <w:tcW w:w="4536" w:type="dxa"/>
            <w:vAlign w:val="center"/>
          </w:tcPr>
          <w:p>
            <w:pPr>
              <w:widowControl/>
              <w:jc w:val="left"/>
              <w:textAlignment w:val="center"/>
              <w:rPr>
                <w:rFonts w:hint="eastAsia" w:cs="仿宋_GB2312" w:asciiTheme="minorEastAsia" w:hAnsiTheme="minorEastAsia" w:eastAsiaTheme="minorEastAsia"/>
                <w:color w:val="auto"/>
                <w:sz w:val="20"/>
                <w:szCs w:val="20"/>
                <w:highlight w:val="none"/>
              </w:rPr>
            </w:pPr>
            <w:r>
              <w:rPr>
                <w:rFonts w:cs="仿宋_GB2312" w:asciiTheme="minorEastAsia" w:hAnsiTheme="minorEastAsia" w:eastAsiaTheme="minorEastAsia"/>
                <w:color w:val="auto"/>
                <w:kern w:val="0"/>
                <w:sz w:val="20"/>
                <w:szCs w:val="20"/>
                <w:highlight w:val="none"/>
              </w:rPr>
              <w:t>保洁员不遵守交通规则，在非机动车道骑自行车逆向行驶的每人次扣</w:t>
            </w:r>
            <w:r>
              <w:rPr>
                <w:rStyle w:val="144"/>
                <w:rFonts w:hint="default" w:asciiTheme="minorEastAsia" w:hAnsiTheme="minorEastAsia" w:eastAsiaTheme="minorEastAsia"/>
                <w:color w:val="auto"/>
                <w:highlight w:val="none"/>
              </w:rPr>
              <w:t>2分；乱穿、乱闯交通信号灯，攀爬隔离护栏的，驾驶环卫电动车辆时骑车带人或上机动车道行驶（临时借道除外）的每人次扣2分。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519" w:hRule="atLeast"/>
        </w:trPr>
        <w:tc>
          <w:tcPr>
            <w:tcW w:w="667" w:type="dxa"/>
            <w:vAlign w:val="center"/>
          </w:tcPr>
          <w:p>
            <w:pPr>
              <w:jc w:val="center"/>
              <w:rPr>
                <w:rFonts w:hint="eastAsia" w:cs="仿宋_GB2312" w:asciiTheme="minorEastAsia" w:hAnsiTheme="minorEastAsia" w:eastAsiaTheme="minorEastAsia"/>
                <w:b/>
                <w:color w:val="auto"/>
                <w:kern w:val="0"/>
                <w:szCs w:val="21"/>
                <w:highlight w:val="none"/>
              </w:rPr>
            </w:pPr>
            <w:r>
              <w:rPr>
                <w:rFonts w:hint="eastAsia" w:cs="仿宋_GB2312" w:asciiTheme="minorEastAsia" w:hAnsiTheme="minorEastAsia" w:eastAsiaTheme="minorEastAsia"/>
                <w:b/>
                <w:color w:val="auto"/>
                <w:kern w:val="0"/>
                <w:szCs w:val="21"/>
                <w:highlight w:val="none"/>
              </w:rPr>
              <w:t xml:space="preserve">属地管理 现场      </w:t>
            </w:r>
          </w:p>
        </w:tc>
        <w:tc>
          <w:tcPr>
            <w:tcW w:w="510" w:type="dxa"/>
            <w:vAlign w:val="center"/>
          </w:tcPr>
          <w:p>
            <w:pPr>
              <w:jc w:val="center"/>
              <w:rPr>
                <w:rFonts w:hint="eastAsia" w:cs="仿宋_GB2312" w:asciiTheme="minorEastAsia" w:hAnsiTheme="minorEastAsia" w:eastAsiaTheme="minorEastAsia"/>
                <w:b/>
                <w:color w:val="auto"/>
                <w:kern w:val="0"/>
                <w:szCs w:val="21"/>
                <w:highlight w:val="none"/>
              </w:rPr>
            </w:pPr>
            <w:r>
              <w:rPr>
                <w:rFonts w:hint="eastAsia" w:cs="仿宋_GB2312" w:asciiTheme="minorEastAsia" w:hAnsiTheme="minorEastAsia" w:eastAsiaTheme="minorEastAsia"/>
                <w:b/>
                <w:color w:val="auto"/>
                <w:kern w:val="0"/>
                <w:szCs w:val="21"/>
                <w:highlight w:val="none"/>
              </w:rPr>
              <w:t>1</w:t>
            </w:r>
          </w:p>
        </w:tc>
        <w:tc>
          <w:tcPr>
            <w:tcW w:w="1517" w:type="dxa"/>
            <w:vAlign w:val="center"/>
          </w:tcPr>
          <w:p>
            <w:pPr>
              <w:jc w:val="center"/>
              <w:rPr>
                <w:rFonts w:hint="eastAsia" w:cs="仿宋_GB2312" w:asciiTheme="minorEastAsia" w:hAnsiTheme="minorEastAsia" w:eastAsiaTheme="minorEastAsia"/>
                <w:b/>
                <w:color w:val="auto"/>
                <w:kern w:val="0"/>
                <w:szCs w:val="21"/>
                <w:highlight w:val="none"/>
              </w:rPr>
            </w:pPr>
            <w:r>
              <w:rPr>
                <w:rFonts w:cs="仿宋_GB2312" w:asciiTheme="minorEastAsia" w:hAnsiTheme="minorEastAsia" w:eastAsiaTheme="minorEastAsia"/>
                <w:b/>
                <w:color w:val="auto"/>
                <w:kern w:val="0"/>
                <w:szCs w:val="21"/>
                <w:highlight w:val="none"/>
              </w:rPr>
              <w:t>现场作业标准</w:t>
            </w:r>
          </w:p>
        </w:tc>
        <w:tc>
          <w:tcPr>
            <w:tcW w:w="2410" w:type="dxa"/>
          </w:tcPr>
          <w:p>
            <w:pPr>
              <w:widowControl/>
              <w:textAlignment w:val="top"/>
              <w:rPr>
                <w:rFonts w:hint="eastAsia"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kern w:val="0"/>
                <w:szCs w:val="21"/>
                <w:highlight w:val="none"/>
              </w:rPr>
              <w:t>强化属地管理，建立保洁质量问责考核机制；加大对辖区内环卫保洁行业、对外开放卫生间指导服务和督办工作。创新管理思路及手段，加强辖区内环卫薄弱环节的管理，全覆盖进行监管。</w:t>
            </w:r>
          </w:p>
        </w:tc>
        <w:tc>
          <w:tcPr>
            <w:tcW w:w="4536" w:type="dxa"/>
          </w:tcPr>
          <w:p>
            <w:pPr>
              <w:widowControl/>
              <w:textAlignment w:val="top"/>
              <w:rPr>
                <w:rFonts w:hint="eastAsia"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kern w:val="0"/>
                <w:szCs w:val="21"/>
                <w:highlight w:val="none"/>
              </w:rPr>
              <w:t>发生发现问题未及时</w:t>
            </w:r>
            <w:r>
              <w:rPr>
                <w:rFonts w:hint="eastAsia" w:cs="仿宋_GB2312" w:asciiTheme="minorEastAsia" w:hAnsiTheme="minorEastAsia" w:eastAsiaTheme="minorEastAsia"/>
                <w:color w:val="auto"/>
                <w:kern w:val="0"/>
                <w:szCs w:val="21"/>
                <w:highlight w:val="none"/>
              </w:rPr>
              <w:t>整改</w:t>
            </w:r>
            <w:r>
              <w:rPr>
                <w:rFonts w:cs="仿宋_GB2312" w:asciiTheme="minorEastAsia" w:hAnsiTheme="minorEastAsia" w:eastAsiaTheme="minorEastAsia"/>
                <w:color w:val="auto"/>
                <w:kern w:val="0"/>
                <w:szCs w:val="21"/>
                <w:highlight w:val="none"/>
              </w:rPr>
              <w:t>，每发现一次扣</w:t>
            </w:r>
            <w:r>
              <w:rPr>
                <w:rFonts w:hint="eastAsia" w:cs="仿宋_GB2312" w:asciiTheme="minorEastAsia" w:hAnsiTheme="minorEastAsia" w:eastAsiaTheme="minorEastAsia"/>
                <w:color w:val="auto"/>
                <w:kern w:val="0"/>
                <w:szCs w:val="21"/>
                <w:highlight w:val="none"/>
              </w:rPr>
              <w:t>10</w:t>
            </w:r>
            <w:r>
              <w:rPr>
                <w:rFonts w:cs="仿宋_GB2312" w:asciiTheme="minorEastAsia" w:hAnsiTheme="minorEastAsia" w:eastAsiaTheme="minorEastAsia"/>
                <w:color w:val="auto"/>
                <w:kern w:val="0"/>
                <w:szCs w:val="21"/>
                <w:highlight w:val="none"/>
              </w:rPr>
              <w:t>分。</w:t>
            </w:r>
            <w:r>
              <w:rPr>
                <w:rFonts w:hint="eastAsia" w:cs="仿宋_GB2312" w:asciiTheme="minorEastAsia" w:hAnsiTheme="minorEastAsia" w:eastAsiaTheme="minorEastAsia"/>
                <w:color w:val="auto"/>
                <w:kern w:val="0"/>
                <w:szCs w:val="21"/>
                <w:highlight w:val="none"/>
              </w:rPr>
              <w:t>被市民、领导投诉的，每发生一起扣10分，媒体负面曝光的每发生一起扣15分。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515" w:hRule="atLeast"/>
        </w:trPr>
        <w:tc>
          <w:tcPr>
            <w:tcW w:w="667" w:type="dxa"/>
            <w:vAlign w:val="center"/>
          </w:tcPr>
          <w:p>
            <w:pPr>
              <w:jc w:val="center"/>
              <w:rPr>
                <w:rFonts w:hint="eastAsia" w:cs="仿宋_GB2312" w:asciiTheme="minorEastAsia" w:hAnsiTheme="minorEastAsia" w:eastAsiaTheme="minorEastAsia"/>
                <w:b/>
                <w:color w:val="auto"/>
                <w:kern w:val="0"/>
                <w:szCs w:val="21"/>
                <w:highlight w:val="none"/>
              </w:rPr>
            </w:pPr>
            <w:r>
              <w:rPr>
                <w:rFonts w:hint="eastAsia" w:cs="仿宋_GB2312" w:asciiTheme="minorEastAsia" w:hAnsiTheme="minorEastAsia" w:eastAsiaTheme="minorEastAsia"/>
                <w:b/>
                <w:color w:val="auto"/>
                <w:kern w:val="0"/>
                <w:szCs w:val="21"/>
                <w:highlight w:val="none"/>
              </w:rPr>
              <w:t xml:space="preserve">数字城管管理现场    </w:t>
            </w:r>
          </w:p>
        </w:tc>
        <w:tc>
          <w:tcPr>
            <w:tcW w:w="510" w:type="dxa"/>
            <w:vAlign w:val="center"/>
          </w:tcPr>
          <w:p>
            <w:pPr>
              <w:jc w:val="center"/>
              <w:rPr>
                <w:rFonts w:hint="eastAsia" w:cs="仿宋_GB2312" w:asciiTheme="minorEastAsia" w:hAnsiTheme="minorEastAsia" w:eastAsiaTheme="minorEastAsia"/>
                <w:b/>
                <w:color w:val="auto"/>
                <w:kern w:val="0"/>
                <w:szCs w:val="21"/>
                <w:highlight w:val="none"/>
              </w:rPr>
            </w:pPr>
            <w:r>
              <w:rPr>
                <w:rFonts w:hint="eastAsia" w:cs="仿宋_GB2312" w:asciiTheme="minorEastAsia" w:hAnsiTheme="minorEastAsia" w:eastAsiaTheme="minorEastAsia"/>
                <w:b/>
                <w:color w:val="auto"/>
                <w:kern w:val="0"/>
                <w:szCs w:val="21"/>
                <w:highlight w:val="none"/>
              </w:rPr>
              <w:t>1</w:t>
            </w:r>
          </w:p>
        </w:tc>
        <w:tc>
          <w:tcPr>
            <w:tcW w:w="1517" w:type="dxa"/>
            <w:vAlign w:val="center"/>
          </w:tcPr>
          <w:p>
            <w:pPr>
              <w:jc w:val="center"/>
              <w:rPr>
                <w:rFonts w:hint="eastAsia" w:cs="仿宋_GB2312" w:asciiTheme="minorEastAsia" w:hAnsiTheme="minorEastAsia" w:eastAsiaTheme="minorEastAsia"/>
                <w:b/>
                <w:color w:val="auto"/>
                <w:kern w:val="0"/>
                <w:szCs w:val="21"/>
                <w:highlight w:val="none"/>
              </w:rPr>
            </w:pPr>
            <w:r>
              <w:rPr>
                <w:rFonts w:cs="仿宋_GB2312" w:asciiTheme="minorEastAsia" w:hAnsiTheme="minorEastAsia" w:eastAsiaTheme="minorEastAsia"/>
                <w:b/>
                <w:color w:val="auto"/>
                <w:kern w:val="0"/>
                <w:szCs w:val="21"/>
                <w:highlight w:val="none"/>
              </w:rPr>
              <w:t>现场作业标准</w:t>
            </w:r>
          </w:p>
        </w:tc>
        <w:tc>
          <w:tcPr>
            <w:tcW w:w="2410" w:type="dxa"/>
          </w:tcPr>
          <w:p>
            <w:pPr>
              <w:widowControl/>
              <w:textAlignment w:val="top"/>
              <w:rPr>
                <w:rFonts w:hint="eastAsia"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kern w:val="0"/>
                <w:szCs w:val="21"/>
                <w:highlight w:val="none"/>
              </w:rPr>
              <w:t>数字城管采纳问题及时落实整改。</w:t>
            </w:r>
          </w:p>
        </w:tc>
        <w:tc>
          <w:tcPr>
            <w:tcW w:w="4536" w:type="dxa"/>
          </w:tcPr>
          <w:p>
            <w:pPr>
              <w:widowControl/>
              <w:textAlignment w:val="top"/>
              <w:rPr>
                <w:rFonts w:hint="eastAsia"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kern w:val="0"/>
                <w:szCs w:val="21"/>
                <w:highlight w:val="none"/>
              </w:rPr>
              <w:t>数字城管问题经分析纳入考核。</w:t>
            </w:r>
          </w:p>
        </w:tc>
      </w:tr>
    </w:tbl>
    <w:p>
      <w:pPr>
        <w:pStyle w:val="129"/>
        <w:spacing w:before="0" w:line="440" w:lineRule="exact"/>
        <w:ind w:firstLine="480"/>
        <w:outlineLvl w:val="2"/>
        <w:rPr>
          <w:rFonts w:hint="eastAsia" w:asciiTheme="minorEastAsia" w:hAnsiTheme="minorEastAsia" w:eastAsiaTheme="minorEastAsia"/>
          <w:bCs/>
          <w:color w:val="auto"/>
          <w:szCs w:val="24"/>
          <w:highlight w:val="none"/>
        </w:rPr>
      </w:pPr>
      <w:r>
        <w:rPr>
          <w:rFonts w:hint="eastAsia" w:asciiTheme="minorEastAsia" w:hAnsiTheme="minorEastAsia" w:eastAsiaTheme="minorEastAsia"/>
          <w:bCs/>
          <w:color w:val="auto"/>
          <w:szCs w:val="24"/>
          <w:highlight w:val="none"/>
        </w:rPr>
        <w:t>4、物业考核：</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（1）环境秩序：在保洁方面，首先负责物业范围内的全区域卫生，环境卫生要求按照街道、社区考核要求进行，其次对沿街店铺出店经营、门前三包工作做好对应的劝导工作，做到整齐划一。</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绿化养护：在绿化养护方面，要求实施专业绿化养护管理，定期修剪养护，清理杂草，确保绿地树木存活率，绿地植被覆盖良好，进一步美化小区环境。树木养护，其中10米以下的修枝由乙方自行处理，10米以上经经费测算后，报备社区、城管科，由甲方聘请专业人员来处理。</w:t>
      </w:r>
    </w:p>
    <w:p>
      <w:pPr>
        <w:snapToGrid w:val="0"/>
        <w:spacing w:line="440" w:lineRule="exact"/>
        <w:ind w:firstLine="480" w:firstLineChars="200"/>
        <w:rPr>
          <w:rFonts w:hint="eastAsia" w:ascii="宋体" w:hAnsi="宋体" w:cs="宋体"/>
          <w:color w:val="auto"/>
          <w:sz w:val="24"/>
          <w:highlight w:val="none"/>
          <w:lang w:val="en-US" w:eastAsia="zh-CN"/>
        </w:rPr>
      </w:pPr>
      <w:r>
        <w:rPr>
          <w:rFonts w:hint="eastAsia" w:asciiTheme="minorEastAsia" w:hAnsiTheme="minorEastAsia" w:eastAsiaTheme="minorEastAsia"/>
          <w:bCs/>
          <w:color w:val="auto"/>
          <w:sz w:val="24"/>
          <w:highlight w:val="none"/>
        </w:rPr>
        <w:t>（3）设施维修：要求建立完善的信息资源库，制定管理工作流程、工作制度及工作职责，安排专业的维修人员，对小区内出现的公共设施问题，能够在最短的时间内得到解决，从而为居民提供优质高效的服务。</w:t>
      </w:r>
      <w:r>
        <w:rPr>
          <w:rFonts w:hint="eastAsia" w:ascii="宋体" w:hAnsi="宋体" w:cs="宋体"/>
          <w:color w:val="auto"/>
          <w:sz w:val="24"/>
          <w:highlight w:val="none"/>
          <w:lang w:val="en-US" w:eastAsia="zh-CN"/>
        </w:rPr>
        <w:t>1000元</w:t>
      </w:r>
      <w:r>
        <w:rPr>
          <w:rFonts w:hint="eastAsia" w:ascii="宋体" w:hAnsi="宋体" w:eastAsia="宋体" w:cs="宋体"/>
          <w:color w:val="auto"/>
          <w:sz w:val="24"/>
          <w:highlight w:val="none"/>
          <w:lang w:val="en-US" w:eastAsia="zh-CN"/>
        </w:rPr>
        <w:t>以下的</w:t>
      </w:r>
      <w:r>
        <w:rPr>
          <w:rFonts w:hint="eastAsia" w:ascii="宋体" w:hAnsi="宋体" w:cs="宋体"/>
          <w:color w:val="auto"/>
          <w:sz w:val="24"/>
          <w:highlight w:val="none"/>
          <w:lang w:val="en-US" w:eastAsia="zh-CN"/>
        </w:rPr>
        <w:t>维修</w:t>
      </w:r>
      <w:r>
        <w:rPr>
          <w:rFonts w:hint="eastAsia" w:ascii="宋体" w:hAnsi="宋体" w:eastAsia="宋体" w:cs="宋体"/>
          <w:color w:val="auto"/>
          <w:sz w:val="24"/>
          <w:highlight w:val="none"/>
          <w:lang w:val="en-US" w:eastAsia="zh-CN"/>
        </w:rPr>
        <w:t>由乙方自行</w:t>
      </w:r>
      <w:r>
        <w:rPr>
          <w:rFonts w:hint="eastAsia" w:ascii="宋体" w:hAnsi="宋体" w:cs="宋体"/>
          <w:color w:val="auto"/>
          <w:sz w:val="24"/>
          <w:highlight w:val="none"/>
          <w:lang w:val="en-US" w:eastAsia="zh-CN"/>
        </w:rPr>
        <w:t>支付</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1000元以上维修事项由社区进行评估测算费用后，上报城市建设管理办公室。</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为避免因基础设施陈旧影响居民日常生活的问题，现小区内电控门、楼道灯、大铁门、垃圾房、窨井盖、空调雨水管、落水管、公共雨棚、公共晾衣架、屋面沿沟、雨水井、污水井、绿化等公共设施均列入综合管理范围（考虑到可变因素较大，屋顶补漏不列入本综合管理服务范围内），6个社区的社区公共管理维修，亦由物业公司全面接管，每个社区费用设定为30000元，总计年度费用达180000元/年。</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（4）楼道亮灯：居民楼里老人多，且房子老旧；夜间出行如遇楼道灯故障会非常不便，同时也存在安全隐患。对于故障的楼道灯，中标单位维修人员须在24小时内进行修复，以保证居民出行的安全。</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停车管理：中标单位须负责中标服务区域内车辆有序及安全停放管理，包含：小区内车辆有序及安全停放管理、保证小区内车辆的有序进出及小区道路的顺畅通行。中标单位还须负责门禁系统及门禁道闸的操作、管理、维护，确保居民及访客的顺畅出入。</w:t>
      </w:r>
    </w:p>
    <w:p>
      <w:pPr>
        <w:spacing w:line="46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6）消防、安全防范：指整个金钱巷、长明寺巷、茅廊巷、姚园寺巷、西牌楼、梅花碑组成南片区域的安保，安全监控系统24小时值班管理，公共区域24小时巡防。每日防火巡查，重点对电动自行车集中充停区域、消防车车道、楼道堆积物、公共消防器材等进行定期整治和维护。以及公共楼道、车库灭火器、小区室外消火栓消防设施、器材的增补和维护保养工作。通过努力达到稳定、和谐、规范、有序，确保安全，争创省内服务领先水平。</w:t>
      </w:r>
    </w:p>
    <w:p>
      <w:pPr>
        <w:pStyle w:val="6"/>
        <w:rPr>
          <w:rFonts w:hint="eastAsia"/>
        </w:rPr>
      </w:pPr>
      <w:r>
        <w:rPr>
          <w:rFonts w:hint="eastAsia"/>
        </w:rPr>
        <w:t>为避免因消防安全基础设施陈旧影响居民生活安全问题，6个社区的消防、安全设施、器材等，亦由物业公司全面接管，每个社区费用设定为10000元，总计年度费用达60000元/年。</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7</w:t>
      </w:r>
      <w:r>
        <w:rPr>
          <w:rFonts w:hint="eastAsia" w:asciiTheme="minorEastAsia" w:hAnsiTheme="minorEastAsia" w:eastAsiaTheme="minorEastAsia"/>
          <w:bCs/>
          <w:color w:val="auto"/>
          <w:sz w:val="24"/>
          <w:highlight w:val="none"/>
        </w:rPr>
        <w:t>）其他服务：物业公司在现场应设有服务接待中心，公示24小时服务电话。有完整的报修、维修和回访记录，包括但不限于公共部位、业主的接报修等服务。协助组织开展社区文化和便民服务活动，积极开展老旧小区党建和文化建设，为居民提供丰富多彩的文化生活，提升老旧住宅小区居住幸福感和满意度。</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8</w:t>
      </w:r>
      <w:r>
        <w:rPr>
          <w:rFonts w:hint="eastAsia" w:asciiTheme="minorEastAsia" w:hAnsiTheme="minorEastAsia" w:eastAsiaTheme="minorEastAsia"/>
          <w:bCs/>
          <w:color w:val="auto"/>
          <w:sz w:val="24"/>
          <w:highlight w:val="none"/>
        </w:rPr>
        <w:t>）物业关于</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美丽杭州</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问题处置情况</w:t>
      </w:r>
      <w:r>
        <w:rPr>
          <w:rFonts w:hint="eastAsia" w:asciiTheme="minorEastAsia" w:hAnsiTheme="minorEastAsia" w:eastAsiaTheme="minorEastAsia"/>
          <w:bCs/>
          <w:color w:val="auto"/>
          <w:sz w:val="24"/>
          <w:highlight w:val="none"/>
        </w:rPr>
        <w:t>扣款细则</w:t>
      </w:r>
    </w:p>
    <w:tbl>
      <w:tblPr>
        <w:tblStyle w:val="963"/>
        <w:tblW w:w="9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6"/>
        <w:gridCol w:w="28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检查及考核细则</w:t>
            </w:r>
          </w:p>
        </w:tc>
        <w:tc>
          <w:tcPr>
            <w:tcW w:w="2891"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扣除金额（元）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案卷处置超时倍数，问题实际处置时间超过规定处置时间的倍数</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300元/倍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推诿件，责任明确但拒绝处置的</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500元/次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有责差错件，问题处置、反馈不规范，影响问题处置的</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300元/次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重复举报数，同一市民举报同一问题 2 次及以上的</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扣100元，每增加一次多扣100元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返工案卷</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200元/个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超缓办数，每条案卷最多可缓办 2 次，按次累计，月度缓办数不超过月度应解决数的 0.1%</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超出扣500元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反复发生件，被市数字城管判定为两同案卷的</w:t>
            </w:r>
          </w:p>
        </w:tc>
        <w:tc>
          <w:tcPr>
            <w:tcW w:w="2891" w:type="dxa"/>
            <w:vAlign w:val="center"/>
          </w:tcPr>
          <w:p>
            <w:pPr>
              <w:snapToGrid w:val="0"/>
              <w:spacing w:line="440" w:lineRule="exact"/>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500元/个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386" w:type="dxa"/>
            <w:vAlign w:val="center"/>
          </w:tcPr>
          <w:p>
            <w:pPr>
              <w:snapToGrid w:val="0"/>
              <w:spacing w:line="440" w:lineRule="exact"/>
              <w:ind w:firstLine="480" w:firstLineChars="200"/>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建筑垃圾(装潢垃圾)散落未袋装</w:t>
            </w:r>
          </w:p>
        </w:tc>
        <w:tc>
          <w:tcPr>
            <w:tcW w:w="2891" w:type="dxa"/>
            <w:vAlign w:val="center"/>
          </w:tcPr>
          <w:p>
            <w:pPr>
              <w:snapToGrid w:val="0"/>
              <w:spacing w:line="440" w:lineRule="exact"/>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1m³ , 150元/处</w:t>
            </w:r>
          </w:p>
          <w:p>
            <w:pPr>
              <w:snapToGrid w:val="0"/>
              <w:spacing w:line="440" w:lineRule="exac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1m³ , 200元/处</w:t>
            </w:r>
          </w:p>
        </w:tc>
      </w:tr>
    </w:tbl>
    <w:p>
      <w:pPr>
        <w:pStyle w:val="6"/>
        <w:ind w:left="0" w:leftChars="0" w:firstLine="0" w:firstLineChars="0"/>
        <w:rPr>
          <w:rFonts w:hint="eastAsia" w:cs="Times New Roman" w:asciiTheme="minorEastAsia" w:hAnsiTheme="minorEastAsia" w:eastAsiaTheme="minorEastAsia"/>
          <w:bCs/>
          <w:snapToGrid/>
          <w:color w:val="auto"/>
          <w:kern w:val="2"/>
          <w:sz w:val="24"/>
          <w:szCs w:val="24"/>
          <w:highlight w:val="none"/>
          <w:lang w:val="en-US" w:eastAsia="zh-CN" w:bidi="ar-SA"/>
        </w:rPr>
      </w:pPr>
      <w:r>
        <w:rPr>
          <w:rFonts w:hint="eastAsia" w:cs="Times New Roman" w:asciiTheme="minorEastAsia" w:hAnsiTheme="minorEastAsia" w:eastAsiaTheme="minorEastAsia"/>
          <w:bCs/>
          <w:snapToGrid/>
          <w:color w:val="auto"/>
          <w:kern w:val="2"/>
          <w:sz w:val="24"/>
          <w:szCs w:val="24"/>
          <w:highlight w:val="none"/>
          <w:lang w:val="en-US" w:eastAsia="zh-CN" w:bidi="ar-SA"/>
        </w:rPr>
        <w:t xml:space="preserve"> </w:t>
      </w:r>
    </w:p>
    <w:p>
      <w:pPr>
        <w:pStyle w:val="6"/>
        <w:numPr>
          <w:ilvl w:val="0"/>
          <w:numId w:val="0"/>
        </w:numPr>
        <w:ind w:leftChars="100" w:firstLine="480" w:firstLineChars="200"/>
        <w:rPr>
          <w:rFonts w:hint="eastAsia" w:ascii="宋体" w:hAnsi="宋体" w:eastAsia="宋体" w:cs="宋体"/>
          <w:bCs/>
          <w:snapToGrid/>
          <w:color w:val="auto"/>
          <w:kern w:val="2"/>
          <w:sz w:val="24"/>
          <w:szCs w:val="24"/>
          <w:highlight w:val="red"/>
          <w:shd w:val="clear" w:color="auto" w:fill="FFFFFF"/>
          <w:lang w:val="en-US" w:eastAsia="zh-CN" w:bidi="ar-SA"/>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9</w:t>
      </w:r>
      <w:r>
        <w:rPr>
          <w:rFonts w:hint="eastAsia" w:asciiTheme="minorEastAsia" w:hAnsiTheme="minorEastAsia" w:eastAsiaTheme="minorEastAsia"/>
          <w:bCs/>
          <w:color w:val="auto"/>
          <w:sz w:val="24"/>
          <w:highlight w:val="none"/>
        </w:rPr>
        <w:t>）</w:t>
      </w:r>
      <w:r>
        <w:rPr>
          <w:rFonts w:hint="eastAsia" w:ascii="宋体" w:hAnsi="宋体" w:eastAsia="宋体" w:cs="宋体"/>
          <w:bCs/>
          <w:snapToGrid/>
          <w:color w:val="auto"/>
          <w:kern w:val="2"/>
          <w:sz w:val="24"/>
          <w:szCs w:val="24"/>
          <w:highlight w:val="none"/>
          <w:shd w:val="clear" w:color="auto" w:fill="FFFFFF"/>
          <w:lang w:val="en-US" w:eastAsia="zh-CN" w:bidi="ar-SA"/>
        </w:rPr>
        <w:t>小营街道“红管家”准物业管理工作考核标准：</w:t>
      </w:r>
    </w:p>
    <w:p>
      <w:pPr>
        <w:pStyle w:val="7"/>
        <w:rPr>
          <w:rFonts w:hint="eastAsia"/>
          <w:lang w:val="en-US" w:eastAsia="zh-CN"/>
        </w:rPr>
      </w:pPr>
    </w:p>
    <w:tbl>
      <w:tblPr>
        <w:tblStyle w:val="63"/>
        <w:tblW w:w="8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4995"/>
        <w:gridCol w:w="2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检查及考核细则</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扣款金额（元）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组织保障及制度建设</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是否设置专门的管理岗位。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400/人/考核周期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w:t>
            </w:r>
            <w:r>
              <w:rPr>
                <w:rFonts w:hint="default" w:ascii="宋体" w:hAnsi="宋体" w:eastAsia="宋体" w:cs="宋体"/>
                <w:i w:val="0"/>
                <w:iCs w:val="0"/>
                <w:color w:val="000000"/>
                <w:kern w:val="0"/>
                <w:sz w:val="24"/>
                <w:szCs w:val="24"/>
                <w:u w:val="none"/>
                <w:lang w:eastAsia="zh-CN" w:bidi="ar"/>
              </w:rPr>
              <w:t>按合同足额</w:t>
            </w:r>
            <w:r>
              <w:rPr>
                <w:rFonts w:hint="eastAsia" w:ascii="宋体" w:hAnsi="宋体" w:eastAsia="宋体" w:cs="宋体"/>
                <w:i w:val="0"/>
                <w:iCs w:val="0"/>
                <w:color w:val="000000"/>
                <w:kern w:val="0"/>
                <w:sz w:val="24"/>
                <w:szCs w:val="24"/>
                <w:u w:val="none"/>
                <w:lang w:val="en-US" w:eastAsia="zh-CN" w:bidi="ar"/>
              </w:rPr>
              <w:t>配备符合要求的作业人员。</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100/人/考核周期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是否建立住户档案、工作台账。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是否有保洁、保绿、保安、绿化养护、停车、维修等管理制度。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是否制定火灾、治安、公共卫生等突发事件的应急预案。</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是否在辖区范围内公示服务区域、服务电话、服务内容、收费标准。</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规范服务</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工作人员项目经理、客服、保安、保洁上岗时是否穿着相对应工作服。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50/人/考核周期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工作人员是否遵守安全操作规范实施作业。</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是否存在脱岗、无专人值班行为。</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是否存在无值班记录行为。</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200/考核周期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工作人员在工作中是否按照行为标准使用礼貌用语，服务态度良好，是否存在不文明的言行。</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公共保洁</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公共保洁</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是否按照合同要求时段进行全面清扫干净，及动态巡回保洁。</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w:t>
            </w:r>
            <w:r>
              <w:rPr>
                <w:rStyle w:val="964"/>
                <w:lang w:val="en-US" w:eastAsia="zh-CN" w:bidi="ar"/>
              </w:rPr>
              <w:t>地下车库、平改坡阁楼和顶部的公共公共区域按时保洁；垃圾箱周围等公共场所及时清扫并保持干净，路面无杂草、废土；楼道清扫、打尘、扶手按时清扫擦洗。</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是否有楼道堆积物0.5平方米/处。</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w:t>
            </w:r>
            <w:r>
              <w:rPr>
                <w:rStyle w:val="964"/>
                <w:lang w:val="en-US" w:eastAsia="zh-CN" w:bidi="ar"/>
              </w:rPr>
              <w:t>街巷沿线、楼道门及楼道内“牛皮癣”“蜘蛛网”及时清理及擦洗。</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20/处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是否做到街巷两侧目测范围内（人行道外边沿5米内）废土及时发现并及时清除（量比较大时，是否及时上报，经核实量后及时作业）。</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是否做到片区清扫保洁产生的垃圾按照垃圾减量要求分类入桶，不扫入市区主次街道。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w:t>
            </w:r>
            <w:r>
              <w:rPr>
                <w:rStyle w:val="964"/>
                <w:lang w:val="en-US" w:eastAsia="zh-CN" w:bidi="ar"/>
              </w:rPr>
              <w:t>辖区内大件垃圾及时清运。</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100/处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64"/>
                <w:rFonts w:hint="eastAsia"/>
                <w:lang w:val="en-US" w:eastAsia="zh-CN" w:bidi="ar"/>
              </w:rPr>
              <w:t>是否做到对于辖区内居民新装修进行登记（在居民发生投诉前已经登记、并对产生的垃圾进行监管。）</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1"/>
                <w:szCs w:val="21"/>
                <w:u w:val="none"/>
                <w:lang w:val="en-US" w:eastAsia="zh-CN"/>
              </w:rPr>
              <w:t>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绿化养护</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养护是否根据有关公共绿地养护保洁的规范。</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绿化带内是否存在泥土裸露现象；能否在三天内完成泥土裸露的绿化补种，植株缺损在二天内补种。</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是否出现香樟等乔木未及时抹芽、疏枝，黄化。</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绿化苗木是否有明显病虫危害。</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50/株或50/㎡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发现枯枝、死枝能否在24小时内处理完毕。</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是否做到每天清除绿地内杂草、石块及垃圾，确保绿地内常年清洁，绿化带内无杂草。</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是否存在绿地被破坏，占绿、毁绿种菜现象。</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修枝后产生的大、小枝条能否及时清运。</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停车管理</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是否做到停车范围内的管理和公共配套设施的维护、养护。</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辖区内消防通道是否畅通。</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是否做到日常巡查、对不文明行为如违停等进行劝阻、纠正。</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50/辆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对“飞线”充电等行为落实“发现、劝阻、制止、报告”义务,并留有工作记录表；做好电动自行车充停场所日常巡查工作，对存在故障或安全隐患的充电设施及时报修。</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Times New Roman" w:hAnsi="Times New Roman" w:eastAsia="宋体" w:cs="Times New Roman"/>
                <w:i w:val="0"/>
                <w:iCs w:val="0"/>
                <w:color w:val="auto"/>
                <w:sz w:val="21"/>
                <w:szCs w:val="21"/>
                <w:u w:val="none"/>
                <w:lang w:val="en-US" w:eastAsia="zh-CN"/>
              </w:rPr>
              <w:t>无记录：</w:t>
            </w:r>
            <w:r>
              <w:rPr>
                <w:rFonts w:hint="eastAsia" w:ascii="宋体" w:hAnsi="宋体" w:eastAsia="宋体" w:cs="宋体"/>
                <w:i w:val="0"/>
                <w:iCs w:val="0"/>
                <w:color w:val="auto"/>
                <w:kern w:val="0"/>
                <w:sz w:val="24"/>
                <w:szCs w:val="24"/>
                <w:u w:val="none"/>
                <w:lang w:val="en-US" w:eastAsia="zh-CN" w:bidi="ar"/>
              </w:rPr>
              <w:t>50/次</w:t>
            </w:r>
          </w:p>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未及时报修：50元/次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设备维修维护</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设备维修维护</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消防设施设备是否完好，是否定期维保检修。</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是否在24小时内修复楼道灯。</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是否存在视频监控设施损坏</w:t>
            </w:r>
            <w:r>
              <w:rPr>
                <w:rFonts w:hint="eastAsia" w:ascii="宋体" w:hAnsi="宋体" w:eastAsia="宋体" w:cs="宋体"/>
                <w:i w:val="0"/>
                <w:iCs w:val="0"/>
                <w:color w:val="auto"/>
                <w:kern w:val="0"/>
                <w:sz w:val="24"/>
                <w:szCs w:val="24"/>
                <w:u w:val="none"/>
                <w:lang w:val="en-US" w:eastAsia="zh-CN" w:bidi="ar"/>
              </w:rPr>
              <w:t>现象（被绿化遮挡、损坏黑屏超过24小时未报修）。</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有偿维修是否对提出需求的业主说明维修范围、价格及维修时间。 社区居民向乙方电话或口头报修，是否以记录、约定维修时间，并填写“维修单”。</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sz w:val="24"/>
                <w:szCs w:val="24"/>
                <w:u w:val="none"/>
              </w:rPr>
            </w:pPr>
            <w:r>
              <w:rPr>
                <w:rStyle w:val="961"/>
                <w:rFonts w:eastAsia="宋体"/>
                <w:lang w:val="en-US" w:eastAsia="zh-CN" w:bidi="ar"/>
              </w:rPr>
              <w:t xml:space="preserve"> </w:t>
            </w:r>
            <w:r>
              <w:rPr>
                <w:rStyle w:val="961"/>
                <w:rFonts w:hint="eastAsia" w:eastAsia="宋体"/>
                <w:lang w:val="en-US" w:eastAsia="zh-CN" w:bidi="ar"/>
              </w:rPr>
              <w:t xml:space="preserve">      </w:t>
            </w:r>
            <w:r>
              <w:rPr>
                <w:rStyle w:val="204"/>
                <w:lang w:val="en-US" w:eastAsia="zh-CN" w:bidi="ar"/>
              </w:rPr>
              <w:t>配合工作</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遇有重大活动或抗台、抗雪等突发事件，无条件及时组织力量是否做好配合如清扫保洁、应急保障工作等。</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群众信访、投诉处理件的处理、整改和回复工作。</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好在特殊时期的工作，比如夏季登革热、防涝等爱国卫生工作及文明城市复评、冬季水表（管）及地面的抗雪防冻、拆除违章建筑、大型活动场地布置、应急事件处置（比如居民发生房屋渗漏、公共管道的堵塞的应急处置等）等工作。</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被新闻媒体曝光经核查属实。</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加分项</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主流媒体正面报道。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各级检查始终排在前列。</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PS：奖励金额可抵扣扣款金额</w:t>
            </w:r>
          </w:p>
        </w:tc>
      </w:tr>
    </w:tbl>
    <w:p>
      <w:pPr>
        <w:pStyle w:val="6"/>
        <w:ind w:left="0" w:leftChars="0" w:firstLine="0" w:firstLineChars="0"/>
        <w:rPr>
          <w:rFonts w:hint="eastAsia" w:cs="Times New Roman" w:asciiTheme="minorEastAsia" w:hAnsiTheme="minorEastAsia" w:eastAsiaTheme="minorEastAsia"/>
          <w:bCs/>
          <w:snapToGrid/>
          <w:color w:val="auto"/>
          <w:kern w:val="2"/>
          <w:sz w:val="24"/>
          <w:szCs w:val="24"/>
          <w:highlight w:val="none"/>
          <w:lang w:val="en-US" w:eastAsia="zh-CN" w:bidi="ar-SA"/>
        </w:rPr>
      </w:pPr>
    </w:p>
    <w:p>
      <w:pPr>
        <w:pStyle w:val="129"/>
        <w:spacing w:before="0"/>
        <w:ind w:firstLine="240" w:firstLineChars="100"/>
        <w:outlineLvl w:val="2"/>
        <w:rPr>
          <w:rFonts w:hint="default" w:asciiTheme="minorEastAsia" w:hAnsiTheme="minorEastAsia" w:eastAsiaTheme="minorEastAsia"/>
          <w:bCs/>
          <w:color w:val="auto"/>
          <w:szCs w:val="24"/>
          <w:highlight w:val="none"/>
          <w:lang w:val="en-US" w:eastAsia="zh-CN"/>
        </w:rPr>
      </w:pPr>
      <w:r>
        <w:rPr>
          <w:rFonts w:hint="eastAsia"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lang w:val="en-US" w:eastAsia="zh-CN"/>
        </w:rPr>
        <w:t>1</w:t>
      </w:r>
      <w:r>
        <w:rPr>
          <w:rFonts w:hint="eastAsia" w:asciiTheme="minorEastAsia" w:hAnsiTheme="minorEastAsia" w:eastAsiaTheme="minorEastAsia"/>
          <w:bCs/>
          <w:color w:val="auto"/>
          <w:sz w:val="24"/>
          <w:highlight w:val="none"/>
        </w:rPr>
        <w:t>）</w:t>
      </w:r>
      <w:r>
        <w:rPr>
          <w:rFonts w:hint="eastAsia" w:cs="Times New Roman" w:asciiTheme="minorEastAsia" w:hAnsiTheme="minorEastAsia" w:eastAsiaTheme="minorEastAsia"/>
          <w:bCs/>
          <w:snapToGrid/>
          <w:color w:val="auto"/>
          <w:kern w:val="2"/>
          <w:sz w:val="24"/>
          <w:szCs w:val="24"/>
          <w:highlight w:val="none"/>
          <w:lang w:val="en-US" w:eastAsia="zh-CN" w:bidi="ar-SA"/>
        </w:rPr>
        <w:t>其它投诉考核：</w:t>
      </w:r>
      <w:r>
        <w:rPr>
          <w:rFonts w:hint="default" w:cs="Times New Roman" w:asciiTheme="minorEastAsia" w:hAnsiTheme="minorEastAsia" w:eastAsiaTheme="minorEastAsia"/>
          <w:bCs/>
          <w:snapToGrid/>
          <w:color w:val="auto"/>
          <w:kern w:val="2"/>
          <w:sz w:val="24"/>
          <w:szCs w:val="24"/>
          <w:highlight w:val="none"/>
          <w:lang w:val="en-US" w:eastAsia="zh-CN" w:bidi="ar-SA"/>
        </w:rPr>
        <w:t>12345</w:t>
      </w:r>
      <w:r>
        <w:rPr>
          <w:rFonts w:hint="eastAsia" w:cs="Times New Roman" w:asciiTheme="minorEastAsia" w:hAnsiTheme="minorEastAsia" w:eastAsiaTheme="minorEastAsia"/>
          <w:bCs/>
          <w:snapToGrid/>
          <w:color w:val="auto"/>
          <w:kern w:val="2"/>
          <w:sz w:val="24"/>
          <w:szCs w:val="24"/>
          <w:highlight w:val="none"/>
          <w:lang w:val="en-US" w:eastAsia="zh-CN" w:bidi="ar-SA"/>
        </w:rPr>
        <w:t>信访投诉</w:t>
      </w:r>
      <w:r>
        <w:rPr>
          <w:rFonts w:hint="default" w:cs="Times New Roman" w:asciiTheme="minorEastAsia" w:hAnsiTheme="minorEastAsia" w:eastAsiaTheme="minorEastAsia"/>
          <w:bCs/>
          <w:snapToGrid/>
          <w:color w:val="auto"/>
          <w:kern w:val="2"/>
          <w:sz w:val="24"/>
          <w:szCs w:val="24"/>
          <w:highlight w:val="none"/>
          <w:lang w:val="en-US" w:eastAsia="zh-CN" w:bidi="ar-SA"/>
        </w:rPr>
        <w:t>1</w:t>
      </w:r>
      <w:r>
        <w:rPr>
          <w:rFonts w:hint="eastAsia" w:cs="Times New Roman" w:asciiTheme="minorEastAsia" w:hAnsiTheme="minorEastAsia" w:eastAsiaTheme="minorEastAsia"/>
          <w:bCs/>
          <w:snapToGrid/>
          <w:color w:val="auto"/>
          <w:kern w:val="2"/>
          <w:sz w:val="24"/>
          <w:szCs w:val="24"/>
          <w:highlight w:val="none"/>
          <w:lang w:val="en-US" w:eastAsia="zh-CN" w:bidi="ar-SA"/>
        </w:rPr>
        <w:t>次扣</w:t>
      </w:r>
      <w:r>
        <w:rPr>
          <w:rFonts w:hint="default" w:cs="Times New Roman" w:asciiTheme="minorEastAsia" w:hAnsiTheme="minorEastAsia" w:eastAsiaTheme="minorEastAsia"/>
          <w:bCs/>
          <w:snapToGrid/>
          <w:color w:val="auto"/>
          <w:kern w:val="2"/>
          <w:sz w:val="24"/>
          <w:szCs w:val="24"/>
          <w:highlight w:val="none"/>
          <w:lang w:val="en-US" w:eastAsia="zh-CN" w:bidi="ar-SA"/>
        </w:rPr>
        <w:t>200</w:t>
      </w:r>
      <w:r>
        <w:rPr>
          <w:rFonts w:hint="eastAsia" w:cs="Times New Roman" w:asciiTheme="minorEastAsia" w:hAnsiTheme="minorEastAsia" w:eastAsiaTheme="minorEastAsia"/>
          <w:bCs/>
          <w:snapToGrid/>
          <w:color w:val="auto"/>
          <w:kern w:val="2"/>
          <w:sz w:val="24"/>
          <w:szCs w:val="24"/>
          <w:highlight w:val="none"/>
          <w:lang w:val="en-US" w:eastAsia="zh-CN" w:bidi="ar-SA"/>
        </w:rPr>
        <w:t>元；上级部门转发信访投诉、多次重复信访投诉扣</w:t>
      </w:r>
      <w:r>
        <w:rPr>
          <w:rFonts w:hint="default" w:cs="Times New Roman" w:asciiTheme="minorEastAsia" w:hAnsiTheme="minorEastAsia" w:eastAsiaTheme="minorEastAsia"/>
          <w:bCs/>
          <w:snapToGrid/>
          <w:color w:val="auto"/>
          <w:kern w:val="2"/>
          <w:sz w:val="24"/>
          <w:szCs w:val="24"/>
          <w:highlight w:val="none"/>
          <w:lang w:val="en-US" w:eastAsia="zh-CN" w:bidi="ar-SA"/>
        </w:rPr>
        <w:t>500</w:t>
      </w:r>
      <w:r>
        <w:rPr>
          <w:rFonts w:hint="eastAsia" w:cs="Times New Roman" w:asciiTheme="minorEastAsia" w:hAnsiTheme="minorEastAsia" w:eastAsiaTheme="minorEastAsia"/>
          <w:bCs/>
          <w:snapToGrid/>
          <w:color w:val="auto"/>
          <w:kern w:val="2"/>
          <w:sz w:val="24"/>
          <w:szCs w:val="24"/>
          <w:highlight w:val="none"/>
          <w:lang w:val="en-US" w:eastAsia="zh-CN" w:bidi="ar-SA"/>
        </w:rPr>
        <w:t>元。</w:t>
      </w:r>
    </w:p>
    <w:p>
      <w:pPr>
        <w:spacing w:line="440" w:lineRule="exact"/>
        <w:ind w:firstLine="472" w:firstLineChars="196"/>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九、质量要求</w:t>
      </w:r>
    </w:p>
    <w:p>
      <w:pPr>
        <w:snapToGrid w:val="0"/>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严格按</w:t>
      </w:r>
      <w:r>
        <w:rPr>
          <w:rFonts w:hint="eastAsia" w:asciiTheme="minorEastAsia" w:hAnsiTheme="minorEastAsia" w:eastAsiaTheme="minorEastAsia"/>
          <w:color w:val="auto"/>
          <w:sz w:val="24"/>
          <w:highlight w:val="none"/>
        </w:rPr>
        <w:t>《关于印发2022年度各区县（市）政府（管委会）城市管理目标考核相关评分细则的通知》（杭城管综执联办﹝2022﹞1号）</w:t>
      </w:r>
      <w:r>
        <w:rPr>
          <w:rFonts w:hint="eastAsia" w:cs="仿宋" w:asciiTheme="minorEastAsia" w:hAnsiTheme="minorEastAsia" w:eastAsiaTheme="minorEastAsia"/>
          <w:bCs/>
          <w:color w:val="auto"/>
          <w:sz w:val="24"/>
          <w:highlight w:val="none"/>
        </w:rPr>
        <w:t>中明确的相关要求执行。</w:t>
      </w:r>
    </w:p>
    <w:p>
      <w:pPr>
        <w:snapToGrid w:val="0"/>
        <w:spacing w:line="440" w:lineRule="exact"/>
        <w:ind w:firstLine="480" w:firstLineChars="200"/>
        <w:rPr>
          <w:rFonts w:hint="eastAsia" w:cs="仿宋" w:asciiTheme="minorEastAsia" w:hAnsiTheme="minorEastAsia" w:eastAsiaTheme="minorEastAsia"/>
          <w:b/>
          <w:bCs/>
          <w:color w:val="auto"/>
          <w:sz w:val="24"/>
          <w:highlight w:val="none"/>
        </w:rPr>
      </w:pPr>
      <w:r>
        <w:rPr>
          <w:rFonts w:hint="eastAsia" w:cs="仿宋" w:asciiTheme="minorEastAsia" w:hAnsiTheme="minorEastAsia" w:eastAsiaTheme="minorEastAsia"/>
          <w:bCs/>
          <w:color w:val="auto"/>
          <w:sz w:val="24"/>
          <w:highlight w:val="none"/>
        </w:rPr>
        <w:t>实行街巷清扫保洁时间段内不间断巡回保洁，各类街巷每日规定时间前完成一遍普扫，慢车道、人行道需安排保洁人员落实全天候巡回保洁。</w:t>
      </w:r>
    </w:p>
    <w:p>
      <w:pPr>
        <w:snapToGrid w:val="0"/>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道路垃圾不得反扫、漏扫，垃圾不得扫入窨井、绿地等。 </w:t>
      </w:r>
    </w:p>
    <w:p>
      <w:pPr>
        <w:snapToGrid w:val="0"/>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保洁质量应达到路面、人行道“五无”、“五净”。即“五无”：道路无垃圾、无杂物、无积泥、无积水、无污迹；“五净”：路面干净、绿地和树圈干净，边角侧石干净，雨水井沟眼畅通干净，垃圾桶、果壳箱等环卫设施及交通隔离栏（墩）、路灯杆和交通信号杆（2.2米以下部分）干净。</w:t>
      </w:r>
    </w:p>
    <w:p>
      <w:pPr>
        <w:spacing w:line="440" w:lineRule="exact"/>
        <w:ind w:firstLine="354" w:firstLineChars="147"/>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十、安全管理</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乙方必须加强安全管理工作，定期进行安全培训。发生各类事故后乙方应及时向甲方报告，并自行负责处理。如事故因乙方责任导致发生的，甲方将视情况对乙方做出经济处罚，情节严重的可直接终止合同。</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乙方在履行过程中，若给自身及任何第三方造成人身及财产损失的，相应的行政、经济、法律责任，均由乙方承担</w:t>
      </w:r>
      <w:r>
        <w:rPr>
          <w:rFonts w:hint="eastAsia" w:cs="宋体" w:asciiTheme="minorEastAsia" w:hAnsiTheme="minorEastAsia" w:eastAsiaTheme="minorEastAsia"/>
          <w:color w:val="auto"/>
          <w:kern w:val="0"/>
          <w:sz w:val="24"/>
          <w:highlight w:val="none"/>
          <w:lang w:val="en-US" w:eastAsia="zh-CN"/>
        </w:rPr>
        <w:t>；若甲方已先行垫付，乙方须立即支付甲方。</w:t>
      </w:r>
    </w:p>
    <w:p>
      <w:pPr>
        <w:spacing w:line="440" w:lineRule="exact"/>
        <w:ind w:firstLine="482" w:firstLineChars="20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十一、警告</w:t>
      </w:r>
      <w:r>
        <w:rPr>
          <w:rFonts w:hint="eastAsia" w:cs="宋体" w:asciiTheme="minorEastAsia" w:hAnsiTheme="minorEastAsia" w:eastAsiaTheme="minorEastAsia"/>
          <w:b/>
          <w:bCs/>
          <w:color w:val="auto"/>
          <w:sz w:val="24"/>
          <w:highlight w:val="none"/>
          <w:lang w:val="en-US" w:eastAsia="zh-CN"/>
        </w:rPr>
        <w:t>及解除、</w:t>
      </w:r>
      <w:r>
        <w:rPr>
          <w:rFonts w:hint="eastAsia" w:cs="宋体" w:asciiTheme="minorEastAsia" w:hAnsiTheme="minorEastAsia" w:eastAsiaTheme="minorEastAsia"/>
          <w:b/>
          <w:bCs/>
          <w:color w:val="auto"/>
          <w:sz w:val="24"/>
          <w:highlight w:val="none"/>
        </w:rPr>
        <w:t>退出办法</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1、警告。在项目管理中，有下列情景之一的给予一次警告：</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（1）合同标段数字城管问题及时整改率未达到100%的。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（2）市、区领导检查发现抄告问题未限期整改到位的。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（3）管理混乱，发生长期拖欠工资或保洁人员集体上访的。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（4）不遵守交通法规，未按照规程操作发生有责交通事故的。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（5）遇有重大活动或突发事件时，未按要求落实作业机具和人员，保障不力而造成严重不良影响的。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2、退出。在项目管理中，符合以下之一的予以退出，</w:t>
      </w:r>
      <w:r>
        <w:rPr>
          <w:rFonts w:hint="eastAsia" w:cs="宋体" w:asciiTheme="minorEastAsia" w:hAnsiTheme="minorEastAsia" w:eastAsiaTheme="minorEastAsia"/>
          <w:color w:val="auto"/>
          <w:sz w:val="24"/>
          <w:highlight w:val="none"/>
          <w:lang w:val="en-US" w:eastAsia="zh-CN"/>
        </w:rPr>
        <w:t>甲方可单方</w:t>
      </w:r>
      <w:r>
        <w:rPr>
          <w:rFonts w:hint="eastAsia" w:cs="宋体" w:asciiTheme="minorEastAsia" w:hAnsiTheme="minorEastAsia" w:eastAsiaTheme="minorEastAsia"/>
          <w:color w:val="auto"/>
          <w:sz w:val="24"/>
          <w:highlight w:val="none"/>
        </w:rPr>
        <w:t>提前</w:t>
      </w:r>
      <w:r>
        <w:rPr>
          <w:rFonts w:hint="eastAsia" w:cs="宋体" w:asciiTheme="minorEastAsia" w:hAnsiTheme="minorEastAsia" w:eastAsiaTheme="minorEastAsia"/>
          <w:color w:val="auto"/>
          <w:sz w:val="24"/>
          <w:highlight w:val="none"/>
          <w:lang w:val="en-US" w:eastAsia="zh-CN"/>
        </w:rPr>
        <w:t>解除</w:t>
      </w:r>
      <w:r>
        <w:rPr>
          <w:rFonts w:hint="eastAsia" w:cs="宋体" w:asciiTheme="minorEastAsia" w:hAnsiTheme="minorEastAsia" w:eastAsiaTheme="minorEastAsia"/>
          <w:color w:val="auto"/>
          <w:sz w:val="24"/>
          <w:highlight w:val="none"/>
        </w:rPr>
        <w:t>终止合同</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解除效力自甲方的解除通知送达乙方之日起生效</w:t>
      </w:r>
      <w:r>
        <w:rPr>
          <w:rFonts w:hint="eastAsia" w:cs="宋体" w:asciiTheme="minorEastAsia" w:hAnsiTheme="minorEastAsia" w:eastAsiaTheme="minorEastAsia"/>
          <w:color w:val="auto"/>
          <w:sz w:val="24"/>
          <w:highlight w:val="none"/>
        </w:rPr>
        <w:t>：</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（1）组织管理机构、人员素质、保洁人数与投标承诺不符，无法完成项目服务任务的。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（2）同一合同标段在合同期一年内累计被警告3次以上的。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（3）未落实《杭州市人民政府办公厅关于进一步解决环卫工人实际困难保障其合法权益的意见》（杭政办〔2008〕14号）文件相关规定要求的。</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未落实《杭州市人民政府办公厅关于进一步解决环卫工人实际困难保障其合法权益的意见》（杭政办〔2008〕14号）文件相关规定要求，导致保洁、保安人员发生集体上访、聚集等群体性事件的，属乙方责任的；视情节由乙方承担违约责任10万元至20万元。</w:t>
      </w:r>
    </w:p>
    <w:p>
      <w:pPr>
        <w:spacing w:line="440" w:lineRule="exact"/>
        <w:ind w:firstLine="480" w:firstLineChars="200"/>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本条约定的解除或终止合同，甲方并不承担任何赔偿及违约责任。</w:t>
      </w:r>
    </w:p>
    <w:p>
      <w:pPr>
        <w:snapToGrid w:val="0"/>
        <w:spacing w:line="440" w:lineRule="exact"/>
        <w:ind w:firstLine="482" w:firstLineChars="200"/>
        <w:rPr>
          <w:rFonts w:hint="eastAsia" w:cs="仿宋"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十二、履约保证金</w:t>
      </w:r>
    </w:p>
    <w:p>
      <w:pPr>
        <w:snapToGrid w:val="0"/>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乙方</w:t>
      </w:r>
      <w:r>
        <w:rPr>
          <w:rFonts w:hint="eastAsia" w:cs="仿宋" w:asciiTheme="minorEastAsia" w:hAnsiTheme="minorEastAsia" w:eastAsiaTheme="minorEastAsia"/>
          <w:color w:val="auto"/>
          <w:sz w:val="24"/>
          <w:highlight w:val="none"/>
        </w:rPr>
        <w:t>在收到中标通知书后，需向</w:t>
      </w:r>
      <w:r>
        <w:rPr>
          <w:rFonts w:hint="eastAsia" w:cs="仿宋" w:asciiTheme="minorEastAsia" w:hAnsiTheme="minorEastAsia" w:eastAsiaTheme="minorEastAsia"/>
          <w:color w:val="auto"/>
          <w:sz w:val="24"/>
          <w:highlight w:val="none"/>
          <w:lang w:val="en-US" w:eastAsia="zh-CN"/>
        </w:rPr>
        <w:t>甲方</w:t>
      </w:r>
      <w:r>
        <w:rPr>
          <w:rFonts w:hint="eastAsia" w:cs="仿宋" w:asciiTheme="minorEastAsia" w:hAnsiTheme="minorEastAsia" w:eastAsiaTheme="minorEastAsia"/>
          <w:color w:val="auto"/>
          <w:sz w:val="24"/>
          <w:highlight w:val="none"/>
        </w:rPr>
        <w:t>提供合同总价1％的履约保证金。履约保证金在</w:t>
      </w:r>
      <w:r>
        <w:rPr>
          <w:rFonts w:hint="eastAsia" w:cs="仿宋" w:asciiTheme="minorEastAsia" w:hAnsiTheme="minorEastAsia" w:eastAsiaTheme="minorEastAsia"/>
          <w:color w:val="auto"/>
          <w:sz w:val="24"/>
          <w:highlight w:val="none"/>
          <w:lang w:val="en-US" w:eastAsia="zh-CN"/>
        </w:rPr>
        <w:t>合同双方</w:t>
      </w:r>
      <w:r>
        <w:rPr>
          <w:rFonts w:hint="eastAsia" w:cs="仿宋" w:asciiTheme="minorEastAsia" w:hAnsiTheme="minorEastAsia" w:eastAsiaTheme="minorEastAsia"/>
          <w:color w:val="auto"/>
          <w:sz w:val="24"/>
          <w:highlight w:val="none"/>
        </w:rPr>
        <w:t>签订合同前递交。履约保证金自提交之日起至项目结束前有效。</w:t>
      </w:r>
    </w:p>
    <w:p>
      <w:pPr>
        <w:snapToGrid w:val="0"/>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 xml:space="preserve">    2、甲方有权从履约保证金中扣除用于修复乙方损坏甲方的设备、设施、场地或因乙方违约而导致损失的金额或违约金，且乙方应在接到扣除履约保证金通知后一周内补足扣除差额，保证承包期间履约保证金的完整。</w:t>
      </w:r>
    </w:p>
    <w:p>
      <w:pPr>
        <w:snapToGrid w:val="0"/>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    3、甲方认为乙方在承包期内没有涉及甲方</w:t>
      </w:r>
      <w:r>
        <w:rPr>
          <w:rFonts w:hint="eastAsia" w:cs="仿宋" w:asciiTheme="minorEastAsia" w:hAnsiTheme="minorEastAsia" w:eastAsiaTheme="minorEastAsia"/>
          <w:color w:val="auto"/>
          <w:sz w:val="24"/>
          <w:highlight w:val="none"/>
          <w:lang w:val="en-US" w:eastAsia="zh-CN"/>
        </w:rPr>
        <w:t>或第三方</w:t>
      </w:r>
      <w:r>
        <w:rPr>
          <w:rFonts w:hint="eastAsia" w:cs="仿宋" w:asciiTheme="minorEastAsia" w:hAnsiTheme="minorEastAsia" w:eastAsiaTheme="minorEastAsia"/>
          <w:color w:val="auto"/>
          <w:sz w:val="24"/>
          <w:highlight w:val="none"/>
        </w:rPr>
        <w:t>的应付而未付金额或违约行为，甲方在承包期满后或提前终止承包后一个月内全额退还履约保证金</w:t>
      </w:r>
      <w:r>
        <w:rPr>
          <w:rFonts w:hint="eastAsia" w:cs="仿宋" w:asciiTheme="minorEastAsia" w:hAnsiTheme="minorEastAsia" w:eastAsiaTheme="minorEastAsia"/>
          <w:color w:val="auto"/>
          <w:sz w:val="24"/>
          <w:highlight w:val="none"/>
          <w:lang w:val="en-US" w:eastAsia="zh-CN"/>
        </w:rPr>
        <w:t>本金</w:t>
      </w:r>
      <w:r>
        <w:rPr>
          <w:rFonts w:hint="eastAsia" w:cs="仿宋" w:asciiTheme="minorEastAsia" w:hAnsiTheme="minorEastAsia" w:eastAsiaTheme="minorEastAsia"/>
          <w:color w:val="auto"/>
          <w:sz w:val="24"/>
          <w:highlight w:val="none"/>
        </w:rPr>
        <w:t>，否则，甲方将在扣除乙方应付金额或违约金后退还保证金</w:t>
      </w:r>
      <w:r>
        <w:rPr>
          <w:rFonts w:hint="eastAsia" w:cs="仿宋" w:asciiTheme="minorEastAsia" w:hAnsiTheme="minorEastAsia" w:eastAsiaTheme="minorEastAsia"/>
          <w:color w:val="auto"/>
          <w:sz w:val="24"/>
          <w:highlight w:val="none"/>
          <w:lang w:val="en-US" w:eastAsia="zh-CN"/>
        </w:rPr>
        <w:t>本金</w:t>
      </w:r>
      <w:r>
        <w:rPr>
          <w:rFonts w:hint="eastAsia" w:cs="仿宋" w:asciiTheme="minorEastAsia" w:hAnsiTheme="minorEastAsia" w:eastAsiaTheme="minorEastAsia"/>
          <w:color w:val="auto"/>
          <w:sz w:val="24"/>
          <w:highlight w:val="none"/>
        </w:rPr>
        <w:t xml:space="preserve">余额。   </w:t>
      </w:r>
    </w:p>
    <w:p>
      <w:pPr>
        <w:spacing w:line="440" w:lineRule="exact"/>
        <w:ind w:firstLine="482" w:firstLineChars="20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十三、违约责任</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1、乙方不得以任何形式</w:t>
      </w:r>
      <w:r>
        <w:rPr>
          <w:rFonts w:hint="eastAsia" w:cs="宋体" w:asciiTheme="minorEastAsia" w:hAnsiTheme="minorEastAsia" w:eastAsiaTheme="minorEastAsia"/>
          <w:color w:val="auto"/>
          <w:sz w:val="24"/>
          <w:highlight w:val="none"/>
          <w:lang w:val="en-US" w:eastAsia="zh-CN"/>
        </w:rPr>
        <w:t>及理由</w:t>
      </w:r>
      <w:r>
        <w:rPr>
          <w:rFonts w:hint="eastAsia" w:cs="宋体" w:asciiTheme="minorEastAsia" w:hAnsiTheme="minorEastAsia" w:eastAsiaTheme="minorEastAsia"/>
          <w:color w:val="auto"/>
          <w:sz w:val="24"/>
          <w:highlight w:val="none"/>
        </w:rPr>
        <w:t>将本合同项下之义务</w:t>
      </w:r>
      <w:r>
        <w:rPr>
          <w:rFonts w:hint="eastAsia" w:cs="宋体" w:asciiTheme="minorEastAsia" w:hAnsiTheme="minorEastAsia" w:eastAsiaTheme="minorEastAsia"/>
          <w:color w:val="auto"/>
          <w:sz w:val="24"/>
          <w:highlight w:val="none"/>
          <w:lang w:val="en-US" w:eastAsia="zh-CN"/>
        </w:rPr>
        <w:t>的部分及全部，</w:t>
      </w:r>
      <w:r>
        <w:rPr>
          <w:rFonts w:hint="eastAsia" w:cs="宋体" w:asciiTheme="minorEastAsia" w:hAnsiTheme="minorEastAsia" w:eastAsiaTheme="minorEastAsia"/>
          <w:color w:val="auto"/>
          <w:sz w:val="24"/>
          <w:highlight w:val="none"/>
        </w:rPr>
        <w:t>转（分）包给任何第三方实施；</w:t>
      </w:r>
      <w:r>
        <w:rPr>
          <w:rFonts w:hint="eastAsia" w:cs="宋体" w:asciiTheme="minorEastAsia" w:hAnsiTheme="minorEastAsia" w:eastAsiaTheme="minorEastAsia"/>
          <w:color w:val="auto"/>
          <w:sz w:val="24"/>
          <w:highlight w:val="none"/>
          <w:lang w:val="en-US" w:eastAsia="zh-CN"/>
        </w:rPr>
        <w:t>且乙方承诺其在本合同履行期间，完全具备履行本合同所需具备的真实、合法、有效的资质；</w:t>
      </w:r>
      <w:r>
        <w:rPr>
          <w:rFonts w:hint="eastAsia" w:cs="宋体" w:asciiTheme="minorEastAsia" w:hAnsiTheme="minorEastAsia" w:eastAsiaTheme="minorEastAsia"/>
          <w:color w:val="auto"/>
          <w:sz w:val="24"/>
          <w:highlight w:val="none"/>
        </w:rPr>
        <w:t>否则，甲方可提前解除本合同，并由乙方承担合同总价20%的违约责任。</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2、合同履行后，未经对方书面许可，任何乙方不得提前终止本合同的履行；否则，违约方应承担合同总价20%的违约责任。</w:t>
      </w:r>
    </w:p>
    <w:p>
      <w:pPr>
        <w:spacing w:line="440" w:lineRule="exact"/>
        <w:ind w:firstLine="480" w:firstLineChars="200"/>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本合同不论以何种原因解除、终止，乙方均须无条件按甲方要求，及时配合向甲方及第三方进行移交、交接，并将全部人员及乙方物品全部撤场。不配合或逾期履行本项义务的，视为乙方违约，承担合同总价20%违约金。</w:t>
      </w:r>
    </w:p>
    <w:p>
      <w:pPr>
        <w:spacing w:line="440" w:lineRule="exact"/>
        <w:ind w:firstLine="482" w:firstLineChars="200"/>
        <w:rPr>
          <w:rFonts w:hint="default" w:cs="宋体" w:asciiTheme="minorEastAsia" w:hAnsiTheme="minorEastAsia" w:eastAsiaTheme="minorEastAsia"/>
          <w:b/>
          <w:bCs/>
          <w:color w:val="auto"/>
          <w:sz w:val="24"/>
          <w:highlight w:val="none"/>
          <w:lang w:val="en-US" w:eastAsia="zh-CN"/>
        </w:rPr>
      </w:pPr>
      <w:r>
        <w:rPr>
          <w:rFonts w:hint="eastAsia" w:cs="宋体" w:asciiTheme="minorEastAsia" w:hAnsiTheme="minorEastAsia" w:eastAsiaTheme="minorEastAsia"/>
          <w:b/>
          <w:bCs/>
          <w:color w:val="auto"/>
          <w:sz w:val="24"/>
          <w:highlight w:val="none"/>
        </w:rPr>
        <w:t>十四、合同变更及解除</w:t>
      </w:r>
      <w:r>
        <w:rPr>
          <w:rFonts w:hint="eastAsia" w:cs="宋体" w:asciiTheme="minorEastAsia" w:hAnsiTheme="minorEastAsia" w:eastAsiaTheme="minorEastAsia"/>
          <w:b/>
          <w:bCs/>
          <w:color w:val="auto"/>
          <w:sz w:val="24"/>
          <w:highlight w:val="none"/>
          <w:lang w:eastAsia="zh-CN"/>
        </w:rPr>
        <w:t>、</w:t>
      </w:r>
      <w:r>
        <w:rPr>
          <w:rFonts w:hint="eastAsia" w:cs="宋体" w:asciiTheme="minorEastAsia" w:hAnsiTheme="minorEastAsia" w:eastAsiaTheme="minorEastAsia"/>
          <w:b/>
          <w:bCs/>
          <w:color w:val="auto"/>
          <w:sz w:val="24"/>
          <w:highlight w:val="none"/>
          <w:lang w:val="en-US" w:eastAsia="zh-CN"/>
        </w:rPr>
        <w:t>管辖</w:t>
      </w:r>
    </w:p>
    <w:p>
      <w:pPr>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 xml:space="preserve">    1、在承包期间发生地震、火灾及其他双方不能控制的原因，导致承包区域不能正常经营，合同不能或不能全部履行。双方可以按以下各项执行：</w:t>
      </w:r>
    </w:p>
    <w:p>
      <w:pPr>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 xml:space="preserve">    2、任何一方可以书面形式终止合同无需做出任何赔偿。</w:t>
      </w:r>
    </w:p>
    <w:p>
      <w:pPr>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 xml:space="preserve">    3、因不可抗力导致合同终止，并不影响任何一方对不可抗力先前发生的违约行为合法追偿。</w:t>
      </w:r>
    </w:p>
    <w:p>
      <w:pPr>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 xml:space="preserve">    4、甲方不负责因不可抗力造成合同不能正常履行的责任。</w:t>
      </w:r>
    </w:p>
    <w:p>
      <w:pPr>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 xml:space="preserve">    5、因不可抗力造成甲方的损害，甲方的保险赔偿不受影响。对恢复承包合同期间的价格及其它费用双方可以协商解决。</w:t>
      </w:r>
    </w:p>
    <w:p>
      <w:pPr>
        <w:spacing w:line="440" w:lineRule="exact"/>
        <w:ind w:firstLine="480" w:firstLineChars="200"/>
        <w:rPr>
          <w:rFonts w:hint="eastAsia" w:cs="宋体" w:asciiTheme="minorEastAsia" w:hAnsiTheme="minorEastAsia" w:eastAsiaTheme="minorEastAsia"/>
          <w:b/>
          <w:bCs/>
          <w:color w:val="auto"/>
          <w:sz w:val="24"/>
          <w:highlight w:val="none"/>
        </w:rPr>
      </w:pPr>
      <w:r>
        <w:rPr>
          <w:rFonts w:hint="eastAsia" w:cs="仿宋" w:asciiTheme="minorEastAsia" w:hAnsiTheme="minorEastAsia" w:eastAsiaTheme="minorEastAsia"/>
          <w:color w:val="auto"/>
          <w:sz w:val="24"/>
          <w:highlight w:val="none"/>
        </w:rPr>
        <w:t xml:space="preserve">    6、遇国家政策性调整，影响合同履行，双方协商解决。</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7、本合同如发生纠纷，甲、乙双方应当及时协商解决，如协商不成，交由甲方所在地人民法院裁决。</w:t>
      </w:r>
    </w:p>
    <w:p>
      <w:pPr>
        <w:spacing w:line="440" w:lineRule="exact"/>
        <w:ind w:firstLine="482" w:firstLineChars="200"/>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十五、其它</w:t>
      </w:r>
    </w:p>
    <w:p>
      <w:pPr>
        <w:pStyle w:val="34"/>
        <w:spacing w:line="44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本合同一式陆份，甲乙双方各执二份，上级市容环卫主管部门执一份，采购代理机构执一份。本合同经甲乙双方法定代表人或其委托人签字</w:t>
      </w:r>
      <w:r>
        <w:rPr>
          <w:rFonts w:hint="eastAsia" w:cs="宋体" w:asciiTheme="minorEastAsia" w:hAnsiTheme="minorEastAsia" w:eastAsiaTheme="minorEastAsia"/>
          <w:color w:val="auto"/>
          <w:sz w:val="24"/>
          <w:szCs w:val="24"/>
          <w:highlight w:val="none"/>
          <w:lang w:val="en-US" w:eastAsia="zh-CN"/>
        </w:rPr>
        <w:t>并</w:t>
      </w:r>
      <w:r>
        <w:rPr>
          <w:rFonts w:hint="eastAsia" w:cs="宋体" w:asciiTheme="minorEastAsia" w:hAnsiTheme="minorEastAsia" w:eastAsiaTheme="minorEastAsia"/>
          <w:color w:val="auto"/>
          <w:sz w:val="24"/>
          <w:szCs w:val="24"/>
          <w:highlight w:val="none"/>
        </w:rPr>
        <w:t>盖章后生效。</w:t>
      </w:r>
    </w:p>
    <w:p>
      <w:pPr>
        <w:pStyle w:val="34"/>
        <w:spacing w:line="44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本合同双方预留地址为真实、合法、有效地址，若以该地址为送达邮寄地址的，均被视文书的</w:t>
      </w:r>
      <w:r>
        <w:rPr>
          <w:rFonts w:hint="eastAsia" w:cs="宋体" w:asciiTheme="minorEastAsia" w:hAnsiTheme="minorEastAsia" w:eastAsiaTheme="minorEastAsia"/>
          <w:color w:val="auto"/>
          <w:sz w:val="24"/>
          <w:szCs w:val="24"/>
          <w:highlight w:val="none"/>
          <w:lang w:val="en-US" w:eastAsia="zh-CN"/>
        </w:rPr>
        <w:t>真实、</w:t>
      </w:r>
      <w:r>
        <w:rPr>
          <w:rFonts w:hint="eastAsia" w:cs="宋体" w:asciiTheme="minorEastAsia" w:hAnsiTheme="minorEastAsia" w:eastAsiaTheme="minorEastAsia"/>
          <w:color w:val="auto"/>
          <w:sz w:val="24"/>
          <w:szCs w:val="24"/>
          <w:highlight w:val="none"/>
        </w:rPr>
        <w:t>合法、有效送达。</w:t>
      </w:r>
    </w:p>
    <w:p>
      <w:pPr>
        <w:pStyle w:val="34"/>
        <w:spacing w:line="440" w:lineRule="exact"/>
        <w:ind w:firstLine="480" w:firstLineChars="200"/>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本合同全部附件均为本合同有效组成部分，与本合同同样具有法律效力。</w:t>
      </w:r>
    </w:p>
    <w:p>
      <w:pPr>
        <w:pStyle w:val="34"/>
        <w:spacing w:line="440" w:lineRule="exact"/>
        <w:ind w:firstLine="482" w:firstLineChars="200"/>
        <w:rPr>
          <w:rFonts w:hint="eastAsia" w:cs="宋体" w:asciiTheme="minorEastAsia" w:hAnsiTheme="minorEastAsia" w:eastAsiaTheme="minorEastAsia"/>
          <w:b/>
          <w:bCs/>
          <w:color w:val="auto"/>
          <w:sz w:val="24"/>
          <w:szCs w:val="24"/>
          <w:highlight w:val="none"/>
        </w:rPr>
      </w:pPr>
    </w:p>
    <w:p>
      <w:pPr>
        <w:pStyle w:val="34"/>
        <w:spacing w:line="440" w:lineRule="exact"/>
        <w:ind w:firstLine="480" w:firstLineChars="200"/>
        <w:rPr>
          <w:rFonts w:hint="eastAsia" w:cs="宋体" w:asciiTheme="minorEastAsia" w:hAnsiTheme="minorEastAsia" w:eastAsiaTheme="minorEastAsia"/>
          <w:color w:val="auto"/>
          <w:sz w:val="24"/>
          <w:szCs w:val="24"/>
          <w:highlight w:val="none"/>
        </w:rPr>
      </w:pP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甲方：（盖章）                       乙方：（盖章）</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                           法定代表人</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或其委托人（签字）：                 或其委托人（签字）：</w:t>
      </w:r>
    </w:p>
    <w:p>
      <w:pPr>
        <w:pStyle w:val="34"/>
        <w:spacing w:line="440" w:lineRule="exact"/>
        <w:ind w:left="5100" w:leftChars="200" w:hanging="4680" w:hangingChars="195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地址：                               地址：</w:t>
      </w:r>
    </w:p>
    <w:p>
      <w:pPr>
        <w:pStyle w:val="34"/>
        <w:spacing w:line="44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电话：                               电话：</w:t>
      </w:r>
    </w:p>
    <w:p>
      <w:pPr>
        <w:pStyle w:val="34"/>
        <w:spacing w:line="440" w:lineRule="exact"/>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传真：                               传真：</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开户银行：                           开户银行：</w:t>
      </w:r>
    </w:p>
    <w:p>
      <w:pPr>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账号：                               账号：</w:t>
      </w:r>
    </w:p>
    <w:p>
      <w:pPr>
        <w:pStyle w:val="7"/>
        <w:ind w:firstLine="0" w:firstLineChars="0"/>
        <w:rPr>
          <w:color w:val="auto"/>
          <w:highlight w:val="none"/>
        </w:rPr>
      </w:pPr>
    </w:p>
    <w:p>
      <w:pPr>
        <w:rPr>
          <w:color w:val="auto"/>
          <w:highlight w:val="none"/>
        </w:rPr>
      </w:pPr>
    </w:p>
    <w:p>
      <w:pPr>
        <w:snapToGrid w:val="0"/>
        <w:spacing w:line="360" w:lineRule="auto"/>
        <w:rPr>
          <w:rFonts w:hint="eastAsia" w:cs="宋体" w:asciiTheme="minorEastAsia" w:hAnsiTheme="minorEastAsia" w:eastAsiaTheme="minorEastAsia"/>
          <w:color w:val="auto"/>
          <w:sz w:val="24"/>
          <w:highlight w:val="none"/>
        </w:rPr>
      </w:pPr>
    </w:p>
    <w:p>
      <w:pPr>
        <w:snapToGrid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附件一：作业内容和质量细则要求</w:t>
      </w:r>
    </w:p>
    <w:p>
      <w:pPr>
        <w:pStyle w:val="3"/>
        <w:widowControl/>
        <w:tabs>
          <w:tab w:val="left" w:pos="7665"/>
        </w:tabs>
        <w:adjustRightInd/>
        <w:spacing w:before="0" w:after="0" w:line="600" w:lineRule="exact"/>
        <w:ind w:left="0" w:firstLine="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街巷保洁：</w:t>
      </w:r>
    </w:p>
    <w:p>
      <w:pPr>
        <w:pStyle w:val="3"/>
        <w:widowControl/>
        <w:tabs>
          <w:tab w:val="left" w:pos="7665"/>
        </w:tabs>
        <w:adjustRightInd/>
        <w:spacing w:before="0" w:after="0" w:line="600" w:lineRule="exact"/>
        <w:ind w:left="0" w:firstLine="0"/>
        <w:rPr>
          <w:rFonts w:hint="eastAsia" w:cs="仿宋" w:asciiTheme="minorEastAsia" w:hAnsiTheme="minorEastAsia" w:eastAsiaTheme="minorEastAsia"/>
          <w:b w:val="0"/>
          <w:bCs w:val="0"/>
          <w:color w:val="auto"/>
          <w:sz w:val="24"/>
          <w:highlight w:val="none"/>
        </w:rPr>
      </w:pPr>
      <w:r>
        <w:rPr>
          <w:rFonts w:hint="eastAsia" w:cs="仿宋" w:asciiTheme="minorEastAsia" w:hAnsiTheme="minorEastAsia" w:eastAsiaTheme="minorEastAsia"/>
          <w:b w:val="0"/>
          <w:bCs w:val="0"/>
          <w:color w:val="auto"/>
          <w:sz w:val="24"/>
          <w:highlight w:val="none"/>
        </w:rPr>
        <w:t>一、街巷范围：</w:t>
      </w:r>
    </w:p>
    <w:p>
      <w:pPr>
        <w:pStyle w:val="3"/>
        <w:widowControl/>
        <w:tabs>
          <w:tab w:val="left" w:pos="7665"/>
        </w:tabs>
        <w:adjustRightInd/>
        <w:spacing w:before="0" w:after="0" w:line="600" w:lineRule="exact"/>
        <w:ind w:left="214" w:leftChars="102" w:firstLine="352" w:firstLineChars="147"/>
        <w:rPr>
          <w:rFonts w:hint="eastAsia" w:cs="仿宋" w:asciiTheme="minorEastAsia" w:hAnsiTheme="minorEastAsia" w:eastAsiaTheme="minorEastAsia"/>
          <w:b w:val="0"/>
          <w:bCs w:val="0"/>
          <w:color w:val="auto"/>
          <w:kern w:val="2"/>
          <w:sz w:val="24"/>
          <w:szCs w:val="24"/>
          <w:highlight w:val="none"/>
        </w:rPr>
      </w:pPr>
      <w:r>
        <w:rPr>
          <w:rFonts w:hint="eastAsia" w:cs="仿宋" w:asciiTheme="minorEastAsia" w:hAnsiTheme="minorEastAsia" w:eastAsiaTheme="minorEastAsia"/>
          <w:b w:val="0"/>
          <w:bCs w:val="0"/>
          <w:color w:val="auto"/>
          <w:sz w:val="24"/>
          <w:highlight w:val="none"/>
        </w:rPr>
        <w:t>杭州市上城区小营街道南片区（包括金钱巷、长明寺巷、茅廊巷、姚园寺巷、西牌楼、梅花碑6个社区）街巷保洁物业管理一体化服务采购项目，根据杭州市区道路分类保洁管理定额标准，小营街道南片区道路属一类、二类街巷，日均保洁时间为14小时。其中，一类街巷面积：48675.98平方米（定额19.99元/平方米）；二类街巷面积：</w:t>
      </w:r>
      <w:r>
        <w:rPr>
          <w:rFonts w:hint="eastAsia" w:hAnsi="仿宋_GB2312" w:cs="仿宋_GB2312"/>
          <w:b w:val="0"/>
          <w:bCs w:val="0"/>
          <w:color w:val="auto"/>
          <w:kern w:val="2"/>
          <w:sz w:val="24"/>
          <w:szCs w:val="24"/>
          <w:highlight w:val="none"/>
        </w:rPr>
        <w:t>86662.29</w:t>
      </w:r>
      <w:r>
        <w:rPr>
          <w:rFonts w:hint="eastAsia" w:cs="仿宋" w:asciiTheme="minorEastAsia" w:hAnsiTheme="minorEastAsia" w:eastAsiaTheme="minorEastAsia"/>
          <w:b w:val="0"/>
          <w:bCs w:val="0"/>
          <w:color w:val="auto"/>
          <w:sz w:val="24"/>
          <w:highlight w:val="none"/>
        </w:rPr>
        <w:t>平方米（定额18.47元/平方米），绿化保洁面积59312平方米，楼道646个。</w:t>
      </w:r>
      <w:r>
        <w:rPr>
          <w:rFonts w:hint="eastAsia" w:cs="仿宋" w:asciiTheme="minorEastAsia" w:hAnsiTheme="minorEastAsia" w:eastAsiaTheme="minorEastAsia"/>
          <w:b w:val="0"/>
          <w:bCs w:val="0"/>
          <w:color w:val="auto"/>
          <w:kern w:val="2"/>
          <w:sz w:val="24"/>
          <w:szCs w:val="24"/>
          <w:highlight w:val="none"/>
        </w:rPr>
        <w:t>具体如下：</w:t>
      </w:r>
    </w:p>
    <w:p>
      <w:pPr>
        <w:spacing w:line="44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1、建筑物内：楼房公共的楼道的路面、扶手、墙面、灯、单元防盗门、公共卫生间、电梯间和电梯内、集中信箱、消防栓、水箱、公共库房、设备房、停车房、管道井、平改坡阁楼、地下室等等。</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 xml:space="preserve">    2、建筑物外：小区内大小公共路面、幢间空地，绿化带、护拦、路灯、标识牌、休息椅、公共车棚、垃圾箱（桶）、露天娱乐配套设施、天井平台、墙门院内等。对于雨水井、污水井等设施故障要做好监督和上报处理工作。</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二、具体作业要求：</w:t>
      </w:r>
    </w:p>
    <w:p>
      <w:pPr>
        <w:spacing w:line="440" w:lineRule="exact"/>
        <w:ind w:left="479" w:leftChars="228"/>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（一）住宅小区每天的保洁工作内容：</w:t>
      </w:r>
    </w:p>
    <w:p>
      <w:pPr>
        <w:spacing w:line="440" w:lineRule="exact"/>
        <w:ind w:left="479" w:leftChars="228"/>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（1）清运垃圾、清洗垃圾箱（桶）；</w:t>
      </w:r>
    </w:p>
    <w:p>
      <w:pPr>
        <w:spacing w:line="440" w:lineRule="exact"/>
        <w:ind w:left="479" w:leftChars="228"/>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（2）清扫小区内大小道路、墙门院内、幢间空地等；</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（3）清理小区建筑物外部及内部的牛皮癣等；</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（4）清扫小区公共车棚内部及顶部；</w:t>
      </w:r>
    </w:p>
    <w:p>
      <w:pPr>
        <w:spacing w:line="440" w:lineRule="exact"/>
        <w:ind w:left="479" w:leftChars="228"/>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（5）清扫绿化带内垃圾、杂草等；</w:t>
      </w:r>
    </w:p>
    <w:p>
      <w:pPr>
        <w:spacing w:line="440" w:lineRule="exact"/>
        <w:ind w:left="479" w:leftChars="228"/>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（6）清扫露天娱乐配套设施；</w:t>
      </w:r>
    </w:p>
    <w:p>
      <w:pPr>
        <w:spacing w:line="440" w:lineRule="exact"/>
        <w:ind w:left="479" w:leftChars="228"/>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（7）擦洗休息椅、草坪灯、指示牌；</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（8）清理对于乱停放在绿化带及路面上的共享单车（可与保安配套作业，具体由物业公司进行安排分配）；</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（9）按照相关考核及检查要求完成辖区内数字城管案卷处置等。</w:t>
      </w:r>
    </w:p>
    <w:p>
      <w:pPr>
        <w:spacing w:line="440" w:lineRule="exact"/>
        <w:ind w:left="479" w:leftChars="228"/>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（二）、住宅小区每周的保洁内容：</w:t>
      </w:r>
    </w:p>
    <w:p>
      <w:pPr>
        <w:spacing w:line="440" w:lineRule="exact"/>
        <w:ind w:left="479" w:leftChars="228"/>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（1）清扫楼道内地面、墙面、明沟及辖区卫生死角等；</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（2）清擦楼道扶手、楼道窗户、墙面附属物（消防栓、公告栏等）、单元防盗门、集中信箱；</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（3）老鼠、蟑螂和蚊蝇的消灭（按政府相关规定根据活动及生长规律时间而定）；</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（4）在雨雪天气，应及时对区域内主路、干路，积雪进行清扫；</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（5）对于地下车库、平改坡阁楼、楼道内堆积物等定期进行清理。</w:t>
      </w:r>
    </w:p>
    <w:p>
      <w:pPr>
        <w:widowControl/>
        <w:snapToGrid w:val="0"/>
        <w:spacing w:line="440" w:lineRule="exact"/>
        <w:ind w:firstLine="482" w:firstLineChars="200"/>
        <w:rPr>
          <w:rFonts w:hint="eastAsia" w:cs="仿宋" w:asciiTheme="minorEastAsia" w:hAnsiTheme="minorEastAsia" w:eastAsiaTheme="minorEastAsia"/>
          <w:b/>
          <w:color w:val="auto"/>
          <w:sz w:val="24"/>
          <w:highlight w:val="none"/>
        </w:rPr>
      </w:pPr>
      <w:r>
        <w:rPr>
          <w:rFonts w:hint="eastAsia" w:cs="仿宋" w:asciiTheme="minorEastAsia" w:hAnsiTheme="minorEastAsia" w:eastAsiaTheme="minorEastAsia"/>
          <w:b/>
          <w:color w:val="auto"/>
          <w:sz w:val="24"/>
          <w:highlight w:val="none"/>
        </w:rPr>
        <w:t>（一）环境卫生：</w:t>
      </w:r>
    </w:p>
    <w:p>
      <w:pPr>
        <w:spacing w:line="440" w:lineRule="exact"/>
        <w:ind w:firstLine="482" w:firstLineChars="200"/>
        <w:rPr>
          <w:rFonts w:hint="eastAsia"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（1）保洁作业要求</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1、清扫作业（以下结合保洁作业附件1相关要求进行考核）</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（1）早晨7时前全面清扫干净，上午7时至12时，下午14时至19时动态巡回保洁。</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（2）街巷清扫、保洁（含机扫、洒水、洁面工程）必须作业到两边建筑物基石（机扫、洒水到道路侧石），道路岔道、喇叭口清扫向外延伸5米。</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车行道、人行道、绿化带（花坛）、天井平台、墙门院内、空地等卫生死角、垃圾箱周围等公共场所要及时清扫并保持干净，路面无杂草、废土；楼道内、地下车库、平改坡阁楼和顶部的公共区域堆积物的定期清理及保洁；污水沟畅通，无垃圾沉积物。</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（4）街巷沿线、楼道门及楼道内的“牛皮癣”清理及擦洗；楼道清扫、打尘、扶手擦洗每星期不得少于2次。</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（5）监督沿街街巷两侧店家生活垃圾（包括垃圾桶）的规范投放与清洗，督促店家不得积存垃圾、无明显污迹，对不能自主修复的垃圾桶（箱）应及时上报管理部门。</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（6）遇有重大活动或抗台、抗雪等突发事件，必须无条件及时组织力量做好清扫保洁、应急等保障工作，服从甲方代表（马市街社区）的统一指挥。</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（7）机动、非机动作业车不得停放在消防栓、公交车站旁，停放离人行道侧石不超过20厘米。</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（8）清扫时要注意风向，按顺风方向清扫。</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2、清运作业：</w:t>
      </w:r>
    </w:p>
    <w:p>
      <w:pPr>
        <w:spacing w:line="440" w:lineRule="exact"/>
        <w:ind w:firstLine="480" w:firstLineChars="200"/>
        <w:rPr>
          <w:rFonts w:hint="eastAsia"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cs="仿宋" w:asciiTheme="minorEastAsia" w:hAnsiTheme="minorEastAsia" w:eastAsiaTheme="minorEastAsia"/>
          <w:color w:val="000000" w:themeColor="text1"/>
          <w:sz w:val="24"/>
          <w:highlight w:val="none"/>
          <w14:textFill>
            <w14:solidFill>
              <w14:schemeClr w14:val="tx1"/>
            </w14:solidFill>
          </w14:textFill>
        </w:rPr>
        <w:t>）街巷两侧目测范围内（人行道外边沿5米内）废土应及时发现并及时清除（量比较大时，应及时上报，经核实量后及时作业）。</w:t>
      </w:r>
    </w:p>
    <w:p>
      <w:pPr>
        <w:spacing w:line="440" w:lineRule="exact"/>
        <w:ind w:firstLine="480" w:firstLineChars="200"/>
        <w:rPr>
          <w:rFonts w:hint="eastAsia"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cs="仿宋" w:asciiTheme="minorEastAsia" w:hAnsiTheme="minorEastAsia" w:eastAsiaTheme="minorEastAsia"/>
          <w:color w:val="000000" w:themeColor="text1"/>
          <w:sz w:val="24"/>
          <w:highlight w:val="none"/>
          <w14:textFill>
            <w14:solidFill>
              <w14:schemeClr w14:val="tx1"/>
            </w14:solidFill>
          </w14:textFill>
        </w:rPr>
        <w:t>）片区清扫保洁产生的垃圾按照垃圾减量要求分类入桶，不得扫入市区主次街道。</w:t>
      </w:r>
    </w:p>
    <w:p>
      <w:pPr>
        <w:spacing w:line="440" w:lineRule="exact"/>
        <w:ind w:firstLine="480" w:firstLineChars="200"/>
        <w:rPr>
          <w:rFonts w:hint="eastAsia"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cs="仿宋" w:asciiTheme="minorEastAsia" w:hAnsiTheme="minorEastAsia" w:eastAsiaTheme="minorEastAsia"/>
          <w:color w:val="000000" w:themeColor="text1"/>
          <w:sz w:val="24"/>
          <w:highlight w:val="none"/>
          <w14:textFill>
            <w14:solidFill>
              <w14:schemeClr w14:val="tx1"/>
            </w14:solidFill>
          </w14:textFill>
        </w:rPr>
        <w:t>）负责对于辖区内居民户新装修产生的垃圾的监管工作，不得影响居民日常生活。</w:t>
      </w:r>
    </w:p>
    <w:p>
      <w:pPr>
        <w:spacing w:line="440" w:lineRule="exact"/>
        <w:ind w:firstLine="482" w:firstLineChars="200"/>
        <w:rPr>
          <w:rFonts w:hint="eastAsia" w:cs="仿宋" w:asciiTheme="minorEastAsia" w:hAnsiTheme="minorEastAsia" w:eastAsiaTheme="minorEastAsia"/>
          <w:b/>
          <w:bCs/>
          <w:color w:val="auto"/>
          <w:sz w:val="24"/>
          <w:highlight w:val="none"/>
        </w:rPr>
      </w:pPr>
    </w:p>
    <w:p>
      <w:pPr>
        <w:spacing w:line="440" w:lineRule="exact"/>
        <w:ind w:firstLine="482" w:firstLineChars="200"/>
        <w:rPr>
          <w:rFonts w:hint="eastAsia"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w:t>
      </w:r>
      <w:r>
        <w:rPr>
          <w:rFonts w:hint="eastAsia" w:cs="仿宋" w:asciiTheme="minorEastAsia" w:hAnsiTheme="minorEastAsia" w:eastAsiaTheme="minorEastAsia"/>
          <w:b/>
          <w:bCs/>
          <w:color w:val="auto"/>
          <w:sz w:val="24"/>
          <w:highlight w:val="none"/>
          <w:lang w:val="en-US" w:eastAsia="zh-CN"/>
        </w:rPr>
        <w:t>2</w:t>
      </w:r>
      <w:r>
        <w:rPr>
          <w:rFonts w:hint="eastAsia" w:cs="仿宋" w:asciiTheme="minorEastAsia" w:hAnsiTheme="minorEastAsia" w:eastAsiaTheme="minorEastAsia"/>
          <w:b/>
          <w:bCs/>
          <w:color w:val="auto"/>
          <w:sz w:val="24"/>
          <w:highlight w:val="none"/>
        </w:rPr>
        <w:t>）服务作业及着装规范</w:t>
      </w:r>
    </w:p>
    <w:p>
      <w:pPr>
        <w:spacing w:line="440" w:lineRule="exact"/>
        <w:ind w:firstLine="482" w:firstLineChars="200"/>
        <w:rPr>
          <w:rFonts w:hint="eastAsia" w:cs="仿宋" w:asciiTheme="minorEastAsia" w:hAnsiTheme="minorEastAsia" w:eastAsiaTheme="minorEastAsia"/>
          <w:b/>
          <w:color w:val="auto"/>
          <w:sz w:val="24"/>
          <w:highlight w:val="none"/>
        </w:rPr>
      </w:pPr>
      <w:r>
        <w:rPr>
          <w:rFonts w:hint="eastAsia" w:cs="仿宋" w:asciiTheme="minorEastAsia" w:hAnsiTheme="minorEastAsia" w:eastAsiaTheme="minorEastAsia"/>
          <w:b/>
          <w:color w:val="auto"/>
          <w:sz w:val="24"/>
          <w:highlight w:val="none"/>
        </w:rPr>
        <w:t>1）服务规范</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  应做到文明、清洁、安全和有序，最大限度地减少对环境的污染和对公众生活的影响。</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1.2  环卫作业人员应持证上岗。工作期间应穿工作服（含鞋、帽），佩戴工号牌或工作证,着装整洁。</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1.3  环卫作业车辆出车前应进行检查，确保车况良好，车容整洁。当日作业结束后，应对车辆进行清洗，保持车辆外观整洁，并做好车辆维护和保养工作。非工作需要不得随意使用环卫专用车辆。</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1.4  合理安排作业计划。在清晨或深夜在居民住宅小区或周边进行环卫作业时，不得大声喧哗，并应注意控制机具噪音。</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  在寒冷季节，当日作业结束后，应将环卫作业车辆水箱、水管中的水排尽，以防止冻裂。</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1.6  下雪及雪后应根据需要，及时进行路面除雪作业，消除路面积雪、结冰，为交通畅通创造良好通行条件。</w:t>
      </w:r>
      <w:r>
        <w:rPr>
          <w:rFonts w:hint="eastAsia" w:cs="仿宋" w:asciiTheme="minorEastAsia" w:hAnsiTheme="minorEastAsia" w:eastAsiaTheme="minorEastAsia"/>
          <w:bCs/>
          <w:color w:val="auto"/>
          <w:sz w:val="24"/>
          <w:highlight w:val="none"/>
        </w:rPr>
        <w:t>清理的积雪不得堆放在雨水井口,禁止向路面、绿化带、绿地抛撒积雪。</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1.7  人工清洗作业时应设置荧光锥形筒等警示标识围护清扫保洁区域。</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1.8  环卫作业车辆禁止停放在消防通道、公交车站、盲道等影响车辆和行人通行的公共通道。</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9</w:t>
      </w:r>
      <w:r>
        <w:rPr>
          <w:rFonts w:hint="eastAsia" w:cs="仿宋" w:asciiTheme="minorEastAsia" w:hAnsiTheme="minorEastAsia" w:eastAsiaTheme="minorEastAsia"/>
          <w:color w:val="auto"/>
          <w:sz w:val="24"/>
          <w:highlight w:val="none"/>
        </w:rPr>
        <w:t xml:space="preserve"> 街巷、楼道沿线张贴物、污染物清理及隔离设施擦洗。</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0</w:t>
      </w:r>
      <w:r>
        <w:rPr>
          <w:rFonts w:hint="eastAsia" w:cs="仿宋" w:asciiTheme="minorEastAsia" w:hAnsiTheme="minorEastAsia" w:eastAsiaTheme="minorEastAsia"/>
          <w:color w:val="auto"/>
          <w:sz w:val="24"/>
          <w:highlight w:val="none"/>
        </w:rPr>
        <w:t xml:space="preserve"> 机动、非机动作业车不得停放在消防栓、公交车站旁，停放离人行道侧石不超过20厘米。</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1</w:t>
      </w:r>
      <w:r>
        <w:rPr>
          <w:rFonts w:hint="eastAsia" w:cs="仿宋" w:asciiTheme="minorEastAsia" w:hAnsiTheme="minorEastAsia" w:eastAsiaTheme="minorEastAsia"/>
          <w:color w:val="auto"/>
          <w:sz w:val="24"/>
          <w:highlight w:val="none"/>
        </w:rPr>
        <w:t xml:space="preserve"> 遇有重大活动或抗台、抗雪等突发事件，必须无条件及时组织力量做好清扫保洁等保障工作，服从招标单位的统一指挥。</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2</w:t>
      </w:r>
      <w:r>
        <w:rPr>
          <w:rFonts w:hint="eastAsia" w:cs="仿宋" w:asciiTheme="minorEastAsia" w:hAnsiTheme="minorEastAsia" w:eastAsiaTheme="minorEastAsia"/>
          <w:color w:val="auto"/>
          <w:sz w:val="24"/>
          <w:highlight w:val="none"/>
        </w:rPr>
        <w:t xml:space="preserve"> 车行道、人行道、绿化带、花坛、天井、空地、垃圾箱周围等公共场所要及时清扫并保持干净，路面无杂草、废土。</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3</w:t>
      </w:r>
      <w:r>
        <w:rPr>
          <w:rFonts w:hint="eastAsia" w:cs="仿宋" w:asciiTheme="minorEastAsia" w:hAnsiTheme="minorEastAsia" w:eastAsiaTheme="minorEastAsia"/>
          <w:color w:val="auto"/>
          <w:sz w:val="24"/>
          <w:highlight w:val="none"/>
        </w:rPr>
        <w:t xml:space="preserve"> 污水沟畅通，无垃圾沉积物。</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4</w:t>
      </w:r>
      <w:r>
        <w:rPr>
          <w:rFonts w:hint="eastAsia" w:cs="仿宋" w:asciiTheme="minorEastAsia" w:hAnsiTheme="minorEastAsia" w:eastAsiaTheme="minorEastAsia"/>
          <w:color w:val="auto"/>
          <w:sz w:val="24"/>
          <w:highlight w:val="none"/>
        </w:rPr>
        <w:t xml:space="preserve"> 对居民废弃的非生活垃圾（如旧家具、旧家电）应及时安排人员运输到甲方指定的场地内，对单位废弃的非生活垃圾（如旧家具、旧家电）应督促自行处置或委托处置。</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 xml:space="preserve"> 及时清除楼道、公共车库（棚）、公共地下车库（室）内各种垃圾、杂物，目视楼道公共车库（棚）、公共地下车库（棚）及其他设施:无烟头、果皮、纸屑、广告纸、蜘蛛网、积尘、污迹等。</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6</w:t>
      </w:r>
      <w:r>
        <w:rPr>
          <w:rFonts w:hint="eastAsia" w:cs="仿宋" w:asciiTheme="minorEastAsia" w:hAnsiTheme="minorEastAsia" w:eastAsiaTheme="minorEastAsia"/>
          <w:color w:val="auto"/>
          <w:sz w:val="24"/>
          <w:highlight w:val="none"/>
        </w:rPr>
        <w:t xml:space="preserve"> 楼道、公共车库（棚）、公共地下车库（室）清扫、打尘、扶手擦洗每星期不得少于二次，地面、墙面不得有污迹、污损，楼道台阶每月用拖把拖抹二次；窗户玻璃每月清洁二次,不得有明显水迹、手印、灰尘；电控门、电表箱、配电箱、信报箱、消防设备等每月清洁二次；新出现楼道堆积物一周内清除完毕，目视楼道无堆积物，目视天花板表面无污迹、灰尘、蜘蛛网；保持居住环境的整洁，保证保洁人员工作规范，作风优良。</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1.1</w:t>
      </w:r>
      <w:r>
        <w:rPr>
          <w:rFonts w:hint="eastAsia" w:cs="仿宋" w:asciiTheme="minorEastAsia" w:hAnsiTheme="minorEastAsia" w:eastAsiaTheme="minorEastAsia"/>
          <w:color w:val="auto"/>
          <w:sz w:val="24"/>
          <w:highlight w:val="none"/>
          <w:lang w:val="en-US" w:eastAsia="zh-CN"/>
        </w:rPr>
        <w:t>7</w:t>
      </w:r>
      <w:r>
        <w:rPr>
          <w:rFonts w:hint="eastAsia" w:cs="仿宋" w:asciiTheme="minorEastAsia" w:hAnsiTheme="minorEastAsia" w:eastAsiaTheme="minorEastAsia"/>
          <w:color w:val="auto"/>
          <w:sz w:val="24"/>
          <w:highlight w:val="none"/>
        </w:rPr>
        <w:t xml:space="preserve"> 综合管理区域内楼道、公共车库（棚）、公共地下车库（室）的环境卫生管理，包括楼道（台阶）、扶手、电控门、电表箱、配电箱、信报箱、墙面、</w:t>
      </w:r>
      <w:r>
        <w:rPr>
          <w:color w:val="auto"/>
          <w:highlight w:val="none"/>
        </w:rPr>
        <w:fldChar w:fldCharType="begin"/>
      </w:r>
      <w:r>
        <w:rPr>
          <w:color w:val="auto"/>
          <w:highlight w:val="none"/>
        </w:rPr>
        <w:instrText xml:space="preserve"> HYPERLINK "http://www.fdcew.com/wgwd/baxf/Index.html" \t "_blank" </w:instrText>
      </w:r>
      <w:r>
        <w:rPr>
          <w:color w:val="auto"/>
          <w:highlight w:val="none"/>
        </w:rPr>
        <w:fldChar w:fldCharType="separate"/>
      </w:r>
      <w:r>
        <w:rPr>
          <w:rFonts w:hint="eastAsia" w:cs="仿宋" w:asciiTheme="minorEastAsia" w:hAnsiTheme="minorEastAsia" w:eastAsiaTheme="minorEastAsia"/>
          <w:color w:val="auto"/>
          <w:sz w:val="24"/>
          <w:highlight w:val="none"/>
        </w:rPr>
        <w:t>消防</w:t>
      </w:r>
      <w:r>
        <w:rPr>
          <w:rFonts w:hint="eastAsia" w:cs="仿宋" w:asciiTheme="minorEastAsia" w:hAnsiTheme="minorEastAsia" w:eastAsiaTheme="minorEastAsia"/>
          <w:color w:val="auto"/>
          <w:sz w:val="24"/>
          <w:highlight w:val="none"/>
        </w:rPr>
        <w:fldChar w:fldCharType="end"/>
      </w:r>
      <w:r>
        <w:rPr>
          <w:rFonts w:hint="eastAsia" w:cs="仿宋" w:asciiTheme="minorEastAsia" w:hAnsiTheme="minorEastAsia" w:eastAsiaTheme="minorEastAsia"/>
          <w:color w:val="auto"/>
          <w:sz w:val="24"/>
          <w:highlight w:val="none"/>
        </w:rPr>
        <w:t>设备、楼道窗户、楼道灯开关等日常保洁保养。</w:t>
      </w:r>
    </w:p>
    <w:p>
      <w:pPr>
        <w:spacing w:line="440" w:lineRule="exact"/>
        <w:ind w:firstLine="482" w:firstLineChars="200"/>
        <w:rPr>
          <w:rFonts w:hint="eastAsia" w:cs="仿宋" w:asciiTheme="minorEastAsia" w:hAnsiTheme="minorEastAsia" w:eastAsiaTheme="minorEastAsia"/>
          <w:b/>
          <w:color w:val="auto"/>
          <w:sz w:val="24"/>
          <w:highlight w:val="none"/>
        </w:rPr>
      </w:pPr>
      <w:r>
        <w:rPr>
          <w:rFonts w:hint="eastAsia" w:cs="仿宋" w:asciiTheme="minorEastAsia" w:hAnsiTheme="minorEastAsia" w:eastAsiaTheme="minorEastAsia"/>
          <w:b/>
          <w:color w:val="auto"/>
          <w:sz w:val="24"/>
          <w:highlight w:val="none"/>
        </w:rPr>
        <w:t>2）仪表规范</w:t>
      </w:r>
    </w:p>
    <w:p>
      <w:pPr>
        <w:spacing w:line="440" w:lineRule="exact"/>
        <w:ind w:firstLine="480" w:firstLineChars="200"/>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环卫作业人员工作期间应严格按照规定要求穿着环卫工作服，作业时必须穿戴统一配发的工作服、佩带工作证；应保持着装整洁，工作服无破损、不洁、荧光条无剥落。作业时必须带工作帽、防护手套，雨天必须着统一雨衣、雨裤、雨鞋作业。</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2.1夏季着装时间为每年6月-10月，其余时间段均应着春秋季工作服。冬季着装时间为10月-次年3月，冬季着装时必须内着春秋季工作服。换装具体日期由杭州市城管委统一通知。</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2.2  作业时衣冠整齐，拉链及风纪扣必须拉拢扣好，工作帽正带。内着衣服的帽子等物不得翻出工作服，不得穿拖鞋，不得加带袖套、腿套、围裙等物，不得卷裤腿、衣袖。不得用其它制式服装替代环卫工作服，不得将衣物悬挂在环卫作业车辆上。在非工作时间，不得穿戴环卫工作服。</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2.3  环卫作业人员工作证，一人一证，不得转借。凡离开环卫作业队伍时，工作服和工作证一律上交。工作证要求佩戴在左胸前表袋内部，表面保持干净，工作证信息朝外，清晰准确。</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2.4  环卫作业人员仪表应当整洁。环卫作业人员上岗时不允许佩带耳环、戒指、项链、手镯等装饰物（手表除外），不得留长指甲。男性作业人员不得留长发、蓄长须；女性作业人员应把头发盘夹好，头发不得露出工作帽外。不允许带浓妆，涂带色指甲油。</w:t>
      </w:r>
    </w:p>
    <w:p>
      <w:pPr>
        <w:spacing w:line="440" w:lineRule="exact"/>
        <w:ind w:firstLine="482" w:firstLineChars="200"/>
        <w:rPr>
          <w:rFonts w:hint="eastAsia" w:cs="仿宋" w:asciiTheme="minorEastAsia" w:hAnsiTheme="minorEastAsia" w:eastAsiaTheme="minorEastAsia"/>
          <w:b/>
          <w:color w:val="auto"/>
          <w:sz w:val="24"/>
          <w:highlight w:val="none"/>
        </w:rPr>
      </w:pPr>
      <w:r>
        <w:rPr>
          <w:rFonts w:hint="eastAsia" w:cs="仿宋" w:asciiTheme="minorEastAsia" w:hAnsiTheme="minorEastAsia" w:eastAsiaTheme="minorEastAsia"/>
          <w:b/>
          <w:color w:val="auto"/>
          <w:sz w:val="24"/>
          <w:highlight w:val="none"/>
        </w:rPr>
        <w:t>3）行为规范</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3.1  环卫作业人员应自觉做到文明礼仪，文明用语，礼让行人，规范作业，不得与他人、单位发生冲突。</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3.2  环卫作业人员作业期间应精神振作，姿态良好。不得边作业边吸烟、吃东西，不得成群闲聊、打牌休闲，不得从事与工作无关的其它活动。</w:t>
      </w:r>
    </w:p>
    <w:p>
      <w:pPr>
        <w:spacing w:line="440" w:lineRule="exact"/>
        <w:ind w:firstLine="480" w:firstLineChars="200"/>
        <w:rPr>
          <w:rFonts w:hint="eastAsia"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3.3  环卫作业人员应自觉遵守交通法规，严禁闯红灯、不走人行横道线、骑车带人、向车外扔杂物或吐痰；驾驶环卫作业车辆时不得逆向行驶、强行超车、超载，遇到人行横道线时，要减速慢行，做到车让行人。</w:t>
      </w:r>
    </w:p>
    <w:p>
      <w:pPr>
        <w:snapToGrid w:val="0"/>
        <w:spacing w:line="440" w:lineRule="exact"/>
        <w:rPr>
          <w:rFonts w:hint="eastAsia" w:asciiTheme="minorEastAsia" w:hAnsiTheme="minorEastAsia" w:eastAsiaTheme="minorEastAsia"/>
          <w:b/>
          <w:color w:val="auto"/>
          <w:sz w:val="24"/>
          <w:highlight w:val="none"/>
        </w:rPr>
      </w:pPr>
    </w:p>
    <w:p>
      <w:pPr>
        <w:snapToGrid w:val="0"/>
        <w:spacing w:line="440" w:lineRule="exac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准物业管理：</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（1）环境秩序：在保洁方面，首先负责物业范围内的全区域卫生，环境卫生要求按照街道、社区考核要求进行，其次对沿街店铺出店经营、门前三包工作做好对应的劝导工作，做到整齐划一。</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（2）绿化养护：在绿化养护方面，要求实施专业绿化养护管理，定期修剪养护，清理杂草，确保绿地树木存活率，绿地植被覆盖良好，进一步美化小区环境。</w:t>
      </w:r>
      <w:r>
        <w:rPr>
          <w:rFonts w:hint="eastAsia" w:ascii="宋体" w:hAnsi="宋体" w:eastAsia="宋体" w:cs="宋体"/>
          <w:color w:val="auto"/>
          <w:sz w:val="24"/>
          <w:highlight w:val="none"/>
          <w:lang w:val="en-US" w:eastAsia="zh-CN"/>
        </w:rPr>
        <w:t>树木养护，其中10米以下的修枝由乙方自行处理，10米以上经经费测算后，报备社区、城管科，由甲方聘请专业人员来处理。</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（3）设施维修：要求建立完善的信息资源库，制定管理工作流程、工作制度及工作职责，安排专业的维修人员，对小区内出现的公共设施问题，能够在最短的时间内得到解决，从而为居民提供优质高效的服务。</w:t>
      </w:r>
      <w:r>
        <w:rPr>
          <w:rFonts w:hint="eastAsia" w:ascii="宋体" w:hAnsi="宋体" w:cs="宋体"/>
          <w:color w:val="auto"/>
          <w:sz w:val="24"/>
          <w:highlight w:val="none"/>
          <w:lang w:val="en-US" w:eastAsia="zh-CN"/>
        </w:rPr>
        <w:t>1000元以上维修事项由社区进行评估测算后，上报建管办。</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为避免因基础设施陈旧影响居民日常生活的问题，现小区内电控门、楼道灯、大铁门、垃圾房、窨井盖、空调雨水管、落水管、公共雨棚、公共晾衣架、屋面沿沟、雨水井、污水井、绿化等公共设施均列入综合管理范围（考虑到可变因素较大，屋顶补漏不列入本综合管理服务范围内），6个社区的社区公共管理维修，亦由物业公司全面接管，每个社区费用设定为30000元，总计年度费用达180000元/年。</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（4）楼道亮灯：居民楼里老人多，且房子老旧；夜间出行如遇楼道灯故障会非常不便，同时也存在安全隐患。对于故障的楼道灯，中标单位维修人员须在24小时内进行修复，以保证居民出行的安全。</w:t>
      </w:r>
    </w:p>
    <w:p>
      <w:pPr>
        <w:snapToGrid w:val="0"/>
        <w:spacing w:line="44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停车管理：中标单位须负责中标服务区域内车辆有序及安全停放管理，包含：小区内车辆有序及安全停放管理、保证小区内车辆的有序进出及小区道路的顺畅通行。中标单位还须负责门禁系统及门禁道闸的操作、管理、维护，确保居民及访客的顺畅出入。</w:t>
      </w:r>
    </w:p>
    <w:p>
      <w:pPr>
        <w:spacing w:line="460" w:lineRule="exact"/>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6）消防、安全防范：指整个金钱巷、长明寺巷、茅廊巷、姚园寺巷、西牌楼、梅花碑组成南片区域的安保，安全监控系统24小时值班管理，公共区域24小时巡防。每日防火巡查，重点对电动自行车集中充停区域、消防车车道、楼道堆积物、公共消防器材等进行定期整治和维护。以及公共楼道、车库灭火器、小区室外消火栓消防设施、器材的增补和维护保养工作。通过努力达到稳定、和谐、规范、有序，确保安全，争创省内服务领先水平。</w:t>
      </w:r>
    </w:p>
    <w:p>
      <w:pPr>
        <w:pStyle w:val="4"/>
        <w:ind w:left="0" w:leftChars="0" w:firstLine="480" w:firstLineChars="200"/>
        <w:rPr>
          <w:rFonts w:hint="eastAsia"/>
        </w:rPr>
      </w:pPr>
      <w:r>
        <w:rPr>
          <w:rFonts w:hint="eastAsia" w:ascii="宋体" w:hAnsi="宋体" w:eastAsia="宋体" w:cs="宋体"/>
          <w:b w:val="0"/>
          <w:bCs w:val="0"/>
          <w:color w:val="auto"/>
          <w:kern w:val="2"/>
          <w:sz w:val="24"/>
          <w:szCs w:val="24"/>
          <w:highlight w:val="none"/>
          <w:lang w:val="en-US" w:eastAsia="zh-CN" w:bidi="ar-SA"/>
        </w:rPr>
        <w:t>为避免因消防安全基础设施陈旧影响居民生活安全问题，6个社区的消防、安全设施、器材等，亦由物业公司全面接管，每个社区费用设定为10000元，总计年度费用达60000元/年。</w:t>
      </w:r>
    </w:p>
    <w:p>
      <w:pPr>
        <w:snapToGrid w:val="0"/>
        <w:spacing w:line="440" w:lineRule="exact"/>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7</w:t>
      </w:r>
      <w:r>
        <w:rPr>
          <w:rFonts w:hint="eastAsia" w:asciiTheme="minorEastAsia" w:hAnsiTheme="minorEastAsia" w:eastAsiaTheme="minorEastAsia"/>
          <w:bCs/>
          <w:color w:val="auto"/>
          <w:sz w:val="24"/>
          <w:highlight w:val="none"/>
        </w:rPr>
        <w:t>）其他服务：物业公司在现场应设有服务接待中心，公示24小时服务电话。有完整的报修、维修和回访记录，包括但不限于公共部位、业主的接报修等服务。协助组</w:t>
      </w:r>
      <w:r>
        <w:rPr>
          <w:rFonts w:hint="eastAsia" w:asciiTheme="minorEastAsia" w:hAnsiTheme="minorEastAsia" w:eastAsiaTheme="minorEastAsia"/>
          <w:bCs/>
          <w:sz w:val="24"/>
          <w:highlight w:val="none"/>
        </w:rPr>
        <w:t>织开展社区文化和便民服务活动，积极开展老旧小区党建和文化建设，为居民提供丰富多彩的文化生活，提升老旧住宅小区居住幸福感和满意度。</w:t>
      </w:r>
    </w:p>
    <w:p>
      <w:pPr>
        <w:pStyle w:val="2"/>
        <w:rPr>
          <w:rFonts w:ascii="宋体" w:hAnsi="宋体" w:cs="宋体"/>
          <w:b/>
          <w:sz w:val="36"/>
          <w:szCs w:val="36"/>
        </w:rPr>
      </w:pPr>
    </w:p>
    <w:p>
      <w:pPr>
        <w:pStyle w:val="2"/>
        <w:rPr>
          <w:rFonts w:ascii="宋体" w:hAnsi="宋体" w:cs="宋体"/>
          <w:b/>
          <w:sz w:val="36"/>
          <w:szCs w:val="36"/>
        </w:rPr>
      </w:pPr>
    </w:p>
    <w:p>
      <w:pPr>
        <w:pStyle w:val="2"/>
        <w:rPr>
          <w:rFonts w:ascii="宋体" w:hAnsi="宋体" w:cs="宋体"/>
          <w:b/>
          <w:sz w:val="36"/>
          <w:szCs w:val="36"/>
        </w:rPr>
      </w:pPr>
    </w:p>
    <w:p>
      <w:pPr>
        <w:pStyle w:val="2"/>
        <w:rPr>
          <w:rFonts w:ascii="宋体" w:hAnsi="宋体" w:cs="宋体"/>
          <w:b/>
          <w:sz w:val="36"/>
          <w:szCs w:val="36"/>
        </w:rPr>
      </w:pPr>
    </w:p>
    <w:p>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 xml:space="preserve">    </w:t>
      </w:r>
    </w:p>
    <w:p>
      <w:pPr>
        <w:spacing w:line="360" w:lineRule="auto"/>
        <w:ind w:left="-420" w:leftChars="-200" w:right="-420" w:rightChars="-200" w:firstLine="480" w:firstLineChars="200"/>
        <w:jc w:val="center"/>
        <w:outlineLvl w:val="0"/>
        <w:rPr>
          <w:rFonts w:ascii="宋体" w:hAnsi="宋体" w:cs="宋体"/>
          <w:sz w:val="24"/>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hint="eastAsia" w:ascii="宋体" w:hAnsi="宋体" w:cs="宋体"/>
          <w:b/>
          <w:sz w:val="36"/>
          <w:szCs w:val="20"/>
        </w:rPr>
      </w:pPr>
    </w:p>
    <w:p>
      <w:pPr>
        <w:widowControl/>
        <w:adjustRightInd/>
        <w:jc w:val="center"/>
        <w:rPr>
          <w:rFonts w:ascii="宋体" w:hAnsi="宋体" w:cs="宋体"/>
          <w:b/>
          <w:sz w:val="36"/>
          <w:szCs w:val="20"/>
        </w:rPr>
      </w:pPr>
      <w:r>
        <w:rPr>
          <w:rFonts w:hint="eastAsia" w:ascii="宋体" w:hAnsi="宋体" w:cs="宋体"/>
          <w:b/>
          <w:sz w:val="36"/>
          <w:szCs w:val="20"/>
        </w:rPr>
        <w:t>第六部分</w:t>
      </w:r>
      <w:bookmarkEnd w:id="415"/>
      <w:r>
        <w:rPr>
          <w:rFonts w:hint="eastAsia" w:ascii="宋体" w:hAnsi="宋体" w:cs="宋体"/>
          <w:b/>
          <w:sz w:val="36"/>
          <w:szCs w:val="20"/>
        </w:rPr>
        <w:t xml:space="preserve"> </w:t>
      </w:r>
      <w:bookmarkEnd w:id="416"/>
      <w:r>
        <w:rPr>
          <w:rFonts w:hint="eastAsia" w:ascii="宋体" w:hAnsi="宋体" w:cs="宋体"/>
          <w:b/>
          <w:sz w:val="36"/>
          <w:szCs w:val="20"/>
        </w:rPr>
        <w:t>应提交的有关格式范例</w:t>
      </w:r>
    </w:p>
    <w:p>
      <w:pPr>
        <w:spacing w:line="360" w:lineRule="auto"/>
        <w:jc w:val="center"/>
        <w:outlineLvl w:val="0"/>
        <w:rPr>
          <w:rFonts w:ascii="宋体" w:hAnsi="宋体" w:cs="宋体"/>
          <w:b/>
          <w:kern w:val="0"/>
          <w:sz w:val="36"/>
          <w:szCs w:val="36"/>
        </w:r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hint="eastAsia" w:ascii="宋体" w:hAnsi="宋体" w:cs="宋体"/>
          <w:sz w:val="24"/>
          <w:highlight w:val="none"/>
        </w:rPr>
      </w:pPr>
      <w:r>
        <w:rPr>
          <w:rFonts w:hint="eastAsia" w:ascii="宋体" w:hAnsi="宋体" w:cs="宋体"/>
          <w:sz w:val="24"/>
          <w:highlight w:val="none"/>
        </w:rPr>
        <w:t>（1）符合参加政府采购活动应当具备的一般条件的承诺函……………（页码）</w:t>
      </w:r>
    </w:p>
    <w:p>
      <w:pPr>
        <w:snapToGrid w:val="0"/>
        <w:spacing w:line="360" w:lineRule="auto"/>
        <w:rPr>
          <w:rFonts w:hint="eastAsia"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napToGrid w:val="0"/>
          <w:color w:val="FF0000"/>
          <w:kern w:val="28"/>
          <w:sz w:val="24"/>
          <w:szCs w:val="20"/>
          <w:highlight w:val="none"/>
        </w:rPr>
        <w:t>（如果有)</w:t>
      </w:r>
      <w:r>
        <w:rPr>
          <w:rFonts w:hint="eastAsia" w:ascii="宋体" w:hAnsi="宋体" w:cs="宋体"/>
          <w:sz w:val="24"/>
          <w:highlight w:val="none"/>
        </w:rPr>
        <w:t>……………………………………………………（页码）</w:t>
      </w:r>
    </w:p>
    <w:p>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color w:val="FF0000"/>
          <w:kern w:val="28"/>
          <w:sz w:val="24"/>
          <w:szCs w:val="20"/>
          <w:highlight w:val="none"/>
        </w:rPr>
        <w:t>（如果有)</w:t>
      </w:r>
      <w:r>
        <w:rPr>
          <w:rFonts w:hint="eastAsia" w:ascii="宋体" w:hAnsi="宋体" w:cs="宋体"/>
          <w:sz w:val="24"/>
          <w:highlight w:val="none"/>
        </w:rPr>
        <w:t>……………………（页码）</w:t>
      </w:r>
    </w:p>
    <w:p>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color w:val="FF0000"/>
          <w:kern w:val="28"/>
          <w:sz w:val="24"/>
          <w:szCs w:val="20"/>
          <w:highlight w:val="none"/>
        </w:rPr>
        <w:t>（如果有)</w:t>
      </w:r>
      <w:r>
        <w:rPr>
          <w:rFonts w:hint="eastAsia" w:ascii="宋体" w:hAnsi="宋体" w:cs="宋体"/>
          <w:sz w:val="24"/>
          <w:highlight w:val="none"/>
        </w:rPr>
        <w:t>……………………………………（页码）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rPr>
        <w:br w:type="page"/>
      </w:r>
      <w:r>
        <w:rPr>
          <w:rFonts w:hint="eastAsia" w:ascii="宋体" w:hAnsi="宋体" w:cs="宋体"/>
          <w:b/>
          <w:kern w:val="0"/>
          <w:sz w:val="32"/>
          <w:szCs w:val="32"/>
          <w:highlight w:val="none"/>
        </w:rPr>
        <w:t xml:space="preserve">  一、 符合参加政府采购活动应当具备的一般条件的承诺函</w:t>
      </w:r>
    </w:p>
    <w:p>
      <w:pPr>
        <w:snapToGrid w:val="0"/>
        <w:spacing w:line="360" w:lineRule="auto"/>
        <w:rPr>
          <w:rFonts w:ascii="宋体" w:hAnsi="宋体" w:cs="宋体"/>
          <w:sz w:val="24"/>
          <w:highlight w:val="none"/>
        </w:rPr>
      </w:pPr>
      <w:r>
        <w:rPr>
          <w:rFonts w:hint="eastAsia" w:ascii="宋体" w:hAnsi="宋体" w:cs="宋体"/>
          <w:color w:val="auto"/>
          <w:sz w:val="24"/>
          <w:highlight w:val="none"/>
          <w:lang w:eastAsia="zh-CN"/>
        </w:rPr>
        <w:t>杭州市上城区人民政府小营街道办事处</w:t>
      </w:r>
      <w:r>
        <w:rPr>
          <w:rFonts w:hint="eastAsia" w:ascii="宋体" w:hAnsi="宋体" w:cs="宋体"/>
          <w:sz w:val="24"/>
          <w:highlight w:val="none"/>
        </w:rPr>
        <w:t>、</w:t>
      </w:r>
      <w:r>
        <w:rPr>
          <w:rFonts w:hint="eastAsia" w:cs="仿宋_GB2312" w:asciiTheme="minorEastAsia" w:hAnsiTheme="minorEastAsia" w:eastAsiaTheme="minorEastAsia"/>
          <w:sz w:val="24"/>
          <w:highlight w:val="none"/>
        </w:rPr>
        <w:t>杭州市公共资源交易中心上城分中心</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我方参与</w:t>
      </w:r>
      <w:r>
        <w:rPr>
          <w:rFonts w:hint="eastAsia" w:ascii="宋体" w:hAnsi="宋体" w:cs="宋体"/>
          <w:color w:val="auto"/>
          <w:sz w:val="24"/>
          <w:highlight w:val="none"/>
          <w:lang w:eastAsia="zh-CN"/>
        </w:rPr>
        <w:t>杭州市上城区小营街道南片6个社区（长明寺巷、金钱巷、茅廊巷、西牌楼、梅花碑、姚园寺巷社区）准物业服务项目</w:t>
      </w:r>
      <w:r>
        <w:rPr>
          <w:rFonts w:hint="eastAsia" w:ascii="宋体" w:hAnsi="宋体" w:cs="宋体"/>
          <w:sz w:val="24"/>
          <w:highlight w:val="none"/>
        </w:rPr>
        <w:t>【招标编号：</w:t>
      </w:r>
      <w:r>
        <w:rPr>
          <w:rFonts w:hint="eastAsia" w:ascii="宋体" w:hAnsi="宋体" w:cs="宋体"/>
          <w:color w:val="auto"/>
          <w:sz w:val="24"/>
          <w:highlight w:val="none"/>
        </w:rPr>
        <w:t>SCCG2026-GK-08</w:t>
      </w:r>
      <w:r>
        <w:rPr>
          <w:rFonts w:hint="eastAsia" w:ascii="宋体" w:hAnsi="宋体" w:cs="宋体"/>
          <w:sz w:val="24"/>
          <w:highlight w:val="none"/>
        </w:rPr>
        <w:t>】政府采购活动，郑重承诺：</w:t>
      </w:r>
    </w:p>
    <w:p>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pStyle w:val="2"/>
        <w:rPr>
          <w:rFonts w:ascii="宋体" w:hAnsi="宋体" w:cs="宋体"/>
          <w:b/>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pStyle w:val="2"/>
        <w:rPr>
          <w:rFonts w:ascii="宋体" w:hAnsi="宋体" w:cs="宋体"/>
          <w:b/>
          <w:kern w:val="0"/>
          <w:sz w:val="32"/>
          <w:szCs w:val="32"/>
          <w:highlight w:val="none"/>
        </w:rPr>
      </w:pPr>
    </w:p>
    <w:p>
      <w:pPr>
        <w:widowControl/>
        <w:spacing w:line="360" w:lineRule="auto"/>
        <w:jc w:val="center"/>
        <w:rPr>
          <w:rFonts w:ascii="宋体" w:hAnsi="宋体" w:cs="宋体"/>
          <w:b/>
          <w:kern w:val="0"/>
          <w:sz w:val="32"/>
          <w:szCs w:val="32"/>
        </w:rPr>
      </w:pPr>
      <w:r>
        <w:rPr>
          <w:rFonts w:hint="eastAsia" w:ascii="宋体" w:hAnsi="宋体" w:cs="宋体"/>
          <w:b/>
          <w:kern w:val="0"/>
          <w:sz w:val="32"/>
          <w:szCs w:val="32"/>
        </w:rPr>
        <w:t>二、联合协议</w:t>
      </w:r>
      <w:r>
        <w:rPr>
          <w:rFonts w:hint="eastAsia" w:ascii="宋体" w:hAnsi="宋体" w:cs="宋体"/>
          <w:b/>
          <w:color w:val="FF0000"/>
          <w:kern w:val="0"/>
          <w:sz w:val="32"/>
          <w:szCs w:val="32"/>
        </w:rPr>
        <w:t>（如果有）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.专门面向中小企业，服务全部由符合政策要求的中小企业承接的，提供相应的中小企业声明函（附件</w:t>
      </w:r>
      <w:r>
        <w:rPr>
          <w:rFonts w:ascii="宋体" w:hAnsi="宋体" w:cs="宋体"/>
          <w:sz w:val="24"/>
        </w:rPr>
        <w:t>7</w:t>
      </w:r>
      <w:r>
        <w:rPr>
          <w:rFonts w:hint="eastAsia" w:ascii="宋体" w:hAnsi="宋体" w:cs="宋体"/>
          <w:sz w:val="24"/>
        </w:rPr>
        <w:t xml:space="preserve">）。 </w:t>
      </w:r>
    </w:p>
    <w:p>
      <w:pPr>
        <w:widowControl/>
        <w:spacing w:line="360" w:lineRule="auto"/>
        <w:ind w:firstLine="480"/>
        <w:jc w:val="left"/>
        <w:rPr>
          <w:rFonts w:ascii="宋体" w:hAnsi="宋体" w:cs="宋体"/>
          <w:sz w:val="24"/>
        </w:rPr>
      </w:pPr>
    </w:p>
    <w:p>
      <w:pPr>
        <w:widowControl/>
        <w:spacing w:line="360" w:lineRule="auto"/>
        <w:ind w:left="15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pPr>
        <w:rPr>
          <w:rFonts w:ascii="宋体" w:hAnsi="宋体" w:cs="宋体"/>
        </w:rPr>
      </w:pPr>
    </w:p>
    <w:p>
      <w:pPr>
        <w:snapToGrid w:val="0"/>
        <w:spacing w:line="360" w:lineRule="auto"/>
        <w:ind w:right="480"/>
        <w:jc w:val="center"/>
        <w:rPr>
          <w:rFonts w:ascii="宋体" w:hAnsi="宋体" w:cs="宋体"/>
          <w:b/>
          <w:kern w:val="0"/>
          <w:sz w:val="32"/>
          <w:szCs w:val="32"/>
        </w:rPr>
      </w:pPr>
    </w:p>
    <w:p>
      <w:pPr>
        <w:widowControl/>
        <w:adjustRightInd/>
        <w:jc w:val="left"/>
        <w:rPr>
          <w:rFonts w:ascii="宋体" w:hAnsi="宋体" w:cs="宋体"/>
          <w:b/>
          <w:kern w:val="0"/>
          <w:sz w:val="36"/>
          <w:szCs w:val="36"/>
        </w:rPr>
      </w:pPr>
      <w:r>
        <w:rPr>
          <w:rFonts w:ascii="宋体" w:hAnsi="宋体" w:cs="宋体"/>
          <w:b/>
          <w:kern w:val="0"/>
          <w:sz w:val="36"/>
          <w:szCs w:val="36"/>
        </w:rPr>
        <w:br w:type="page"/>
      </w:r>
    </w:p>
    <w:p>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outlineLvl w:val="0"/>
        <w:rPr>
          <w:rFonts w:ascii="宋体" w:hAnsi="宋体" w:cs="宋体"/>
          <w:b/>
          <w:kern w:val="0"/>
          <w:sz w:val="24"/>
        </w:rPr>
      </w:pP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（1）投标函</w:t>
      </w:r>
      <w:r>
        <w:rPr>
          <w:rFonts w:hint="eastAsia" w:ascii="宋体" w:hAnsi="宋体" w:cs="宋体"/>
          <w:highlight w:val="none"/>
        </w:rPr>
        <w:t>…………………………………………………………………………………（页码）</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color w:val="FF0000"/>
          <w:kern w:val="28"/>
          <w:sz w:val="24"/>
          <w:szCs w:val="20"/>
          <w:highlight w:val="none"/>
        </w:rPr>
        <w:t>（如果有)</w:t>
      </w:r>
      <w:r>
        <w:rPr>
          <w:rFonts w:hint="eastAsia" w:ascii="宋体" w:hAnsi="宋体" w:cs="宋体"/>
          <w:highlight w:val="none"/>
        </w:rPr>
        <w:t>……………………………………………………………（页码）</w:t>
      </w:r>
    </w:p>
    <w:p>
      <w:pPr>
        <w:snapToGrid w:val="0"/>
        <w:spacing w:line="360" w:lineRule="auto"/>
        <w:ind w:firstLine="480" w:firstLineChars="200"/>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………………………………………………………………………（页码）</w:t>
      </w:r>
    </w:p>
    <w:p>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……………（页码）</w:t>
      </w: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……………（页码）</w:t>
      </w: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）商务技术偏离表</w:t>
      </w:r>
      <w:r>
        <w:rPr>
          <w:rFonts w:hint="eastAsia" w:ascii="宋体" w:hAnsi="宋体" w:cs="宋体"/>
          <w:highlight w:val="none"/>
        </w:rPr>
        <w:t>………………………………………………………………………（页码）</w:t>
      </w:r>
    </w:p>
    <w:p>
      <w:pPr>
        <w:snapToGrid w:val="0"/>
        <w:spacing w:line="360" w:lineRule="auto"/>
        <w:ind w:left="479" w:leftChars="228"/>
        <w:rPr>
          <w:rFonts w:hint="eastAsia" w:ascii="宋体" w:hAnsi="宋体" w:cs="宋体"/>
          <w:highlight w:val="none"/>
        </w:rPr>
      </w:pP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pPr>
        <w:snapToGrid w:val="0"/>
        <w:spacing w:line="360" w:lineRule="auto"/>
        <w:jc w:val="center"/>
        <w:rPr>
          <w:rFonts w:hint="eastAsia"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rPr>
          <w:rFonts w:ascii="宋体" w:hAnsi="宋体" w:cs="宋体"/>
          <w:b/>
          <w:kern w:val="0"/>
          <w:sz w:val="32"/>
          <w:szCs w:val="32"/>
          <w:lang w:val="zh-CN"/>
        </w:rPr>
      </w:pPr>
    </w:p>
    <w:p>
      <w:pPr>
        <w:widowControl/>
        <w:adjustRightInd/>
        <w:jc w:val="left"/>
        <w:rPr>
          <w:rFonts w:ascii="宋体" w:hAnsi="宋体" w:cs="宋体"/>
          <w:b/>
          <w:kern w:val="0"/>
          <w:sz w:val="32"/>
          <w:szCs w:val="32"/>
        </w:rPr>
      </w:pPr>
    </w:p>
    <w:p>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color w:val="auto"/>
          <w:sz w:val="24"/>
          <w:highlight w:val="none"/>
          <w:lang w:eastAsia="zh-CN"/>
        </w:rPr>
        <w:t>杭州市上城区人民政府小营街道办事处</w:t>
      </w:r>
      <w:r>
        <w:rPr>
          <w:rFonts w:hint="eastAsia" w:ascii="宋体" w:hAnsi="宋体" w:cs="宋体"/>
          <w:sz w:val="24"/>
        </w:rPr>
        <w:t>、</w:t>
      </w:r>
      <w:r>
        <w:rPr>
          <w:rFonts w:hint="eastAsia" w:cs="仿宋_GB2312" w:asciiTheme="minorEastAsia" w:hAnsiTheme="minorEastAsia" w:eastAsiaTheme="minorEastAsia"/>
          <w:sz w:val="24"/>
        </w:rPr>
        <w:t>杭州市公共资源交易中心上城分中心</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color w:val="auto"/>
          <w:sz w:val="24"/>
          <w:highlight w:val="none"/>
          <w:lang w:eastAsia="zh-CN"/>
        </w:rPr>
        <w:t>杭州市上城区小营街道南片6个社区（长明寺巷、金钱巷、茅廊巷、西牌楼、梅花碑、姚园寺巷社区）准物业服务项目</w:t>
      </w:r>
      <w:r>
        <w:rPr>
          <w:rFonts w:hint="eastAsia" w:ascii="宋体" w:hAnsi="宋体" w:cs="宋体"/>
          <w:sz w:val="24"/>
        </w:rPr>
        <w:t>【招标编号：</w:t>
      </w:r>
      <w:r>
        <w:rPr>
          <w:rFonts w:hint="eastAsia" w:ascii="宋体" w:hAnsi="宋体" w:cs="宋体"/>
          <w:color w:val="auto"/>
          <w:sz w:val="24"/>
        </w:rPr>
        <w:t>SCCG2026-GK-08</w:t>
      </w:r>
      <w:r>
        <w:rPr>
          <w:rFonts w:hint="eastAsia" w:ascii="宋体" w:hAnsi="宋体" w:cs="宋体"/>
          <w:sz w:val="24"/>
        </w:rPr>
        <w:t>】招标的有关活动，并对此项目进行投标。为此：</w:t>
      </w:r>
    </w:p>
    <w:p>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17" w:name="_Hlk101257010"/>
      <w:r>
        <w:rPr>
          <w:rFonts w:hint="eastAsia" w:ascii="宋体" w:hAnsi="宋体" w:cs="宋体"/>
          <w:color w:val="FF0000"/>
          <w:sz w:val="24"/>
        </w:rPr>
        <w:t>（如果有)</w:t>
      </w:r>
      <w:bookmarkEnd w:id="417"/>
      <w:r>
        <w:rPr>
          <w:rFonts w:hint="eastAsia" w:ascii="宋体" w:hAnsi="宋体" w:cs="宋体"/>
          <w:snapToGrid w:val="0"/>
          <w:color w:val="0000FF"/>
          <w:kern w:val="28"/>
          <w:sz w:val="24"/>
          <w:szCs w:val="20"/>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color w:val="FF0000"/>
          <w:sz w:val="24"/>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color w:val="FF0000"/>
          <w:sz w:val="24"/>
        </w:rPr>
        <w:t>（如果有)</w:t>
      </w:r>
      <w:r>
        <w:rPr>
          <w:rFonts w:hint="eastAsia" w:ascii="宋体" w:hAnsi="宋体" w:cs="宋体"/>
          <w:sz w:val="24"/>
        </w:rPr>
        <w:t>。</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color w:val="FF0000"/>
          <w:sz w:val="24"/>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678" w:leftChars="323" w:firstLine="216" w:firstLineChars="90"/>
        <w:rPr>
          <w:rFonts w:hint="eastAsia" w:ascii="宋体" w:hAnsi="宋体" w:cs="宋体"/>
          <w:sz w:val="24"/>
        </w:rPr>
      </w:pPr>
      <w:r>
        <w:rPr>
          <w:rFonts w:hint="eastAsia" w:ascii="宋体" w:hAnsi="宋体" w:cs="宋体"/>
          <w:sz w:val="24"/>
        </w:rPr>
        <w:t>2.3.1开标一览表（报价表）；</w:t>
      </w:r>
      <w:bookmarkStart w:id="418" w:name="OLE_LINK24"/>
    </w:p>
    <w:p>
      <w:pPr>
        <w:snapToGrid w:val="0"/>
        <w:spacing w:line="360" w:lineRule="auto"/>
        <w:ind w:left="678" w:leftChars="323" w:firstLine="216" w:firstLineChars="90"/>
        <w:rPr>
          <w:rFonts w:hint="eastAsia" w:ascii="宋体" w:hAnsi="宋体" w:cs="宋体"/>
          <w:color w:val="auto"/>
          <w:sz w:val="24"/>
          <w:highlight w:val="none"/>
          <w:lang w:val="en-US" w:eastAsia="zh-CN"/>
        </w:rPr>
      </w:pPr>
      <w:r>
        <w:rPr>
          <w:rFonts w:hint="eastAsia" w:ascii="宋体" w:hAnsi="宋体" w:cs="宋体"/>
          <w:sz w:val="24"/>
        </w:rPr>
        <w:t>2.3.2</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FF0000"/>
          <w:sz w:val="24"/>
          <w:highlight w:val="none"/>
          <w:lang w:val="en-US" w:eastAsia="zh-CN"/>
        </w:rPr>
        <w:t>（如果有）</w:t>
      </w:r>
      <w:r>
        <w:rPr>
          <w:rFonts w:hint="eastAsia" w:ascii="宋体" w:hAnsi="宋体" w:cs="宋体"/>
          <w:color w:val="auto"/>
          <w:sz w:val="24"/>
          <w:highlight w:val="none"/>
          <w:lang w:val="en-US" w:eastAsia="zh-CN"/>
        </w:rPr>
        <w:t>；</w:t>
      </w:r>
    </w:p>
    <w:p>
      <w:pPr>
        <w:snapToGrid w:val="0"/>
        <w:spacing w:line="360" w:lineRule="auto"/>
        <w:ind w:firstLine="960" w:firstLineChars="400"/>
        <w:rPr>
          <w:rFonts w:ascii="宋体" w:hAnsi="宋体" w:cs="宋体"/>
          <w:color w:val="FF0000"/>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如果有）</w:t>
      </w:r>
      <w:r>
        <w:rPr>
          <w:rFonts w:hint="eastAsia" w:ascii="宋体" w:hAnsi="宋体" w:cs="宋体"/>
          <w:color w:val="auto"/>
          <w:sz w:val="24"/>
          <w:highlight w:val="none"/>
        </w:rPr>
        <w:t>。</w:t>
      </w:r>
      <w:bookmarkEnd w:id="418"/>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r>
        <w:rPr>
          <w:rFonts w:hint="eastAsia" w:ascii="宋体" w:hAnsi="宋体" w:cs="宋体"/>
          <w:color w:val="auto"/>
          <w:sz w:val="24"/>
          <w:highlight w:val="none"/>
          <w:lang w:eastAsia="zh-CN"/>
        </w:rPr>
        <w:t>对投标文件中材料的真实性、合法性负责，积极配合采购人复核投标文件中的资料。</w:t>
      </w:r>
    </w:p>
    <w:p>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 xml:space="preserve">4.4在合同约定的期限内完成合同规定的全部义务。 </w:t>
      </w:r>
    </w:p>
    <w:p>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both"/>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pPr>
        <w:snapToGrid w:val="0"/>
        <w:spacing w:line="360" w:lineRule="auto"/>
        <w:rPr>
          <w:rFonts w:ascii="宋体" w:hAnsi="宋体" w:cs="宋体"/>
          <w:color w:val="auto"/>
          <w:kern w:val="0"/>
          <w:sz w:val="24"/>
        </w:rPr>
      </w:pPr>
      <w:r>
        <w:rPr>
          <w:rFonts w:hint="eastAsia" w:ascii="宋体" w:hAnsi="宋体" w:cs="宋体"/>
          <w:color w:val="auto"/>
          <w:sz w:val="24"/>
          <w:lang w:eastAsia="zh-CN"/>
        </w:rPr>
        <w:t>杭州市上城区人民政府小营街道办事处</w:t>
      </w:r>
      <w:r>
        <w:rPr>
          <w:rFonts w:hint="eastAsia" w:ascii="宋体" w:hAnsi="宋体" w:cs="宋体"/>
          <w:color w:val="auto"/>
          <w:sz w:val="24"/>
        </w:rPr>
        <w:t>、</w:t>
      </w:r>
      <w:r>
        <w:rPr>
          <w:rFonts w:hint="eastAsia" w:cs="仿宋_GB2312" w:asciiTheme="minorEastAsia" w:hAnsiTheme="minorEastAsia" w:eastAsiaTheme="minorEastAsia"/>
          <w:color w:val="auto"/>
          <w:sz w:val="24"/>
        </w:rPr>
        <w:t>杭州市公共资源交易中心上城分中心</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lang w:eastAsia="zh-CN"/>
        </w:rPr>
        <w:t>杭州市上城区小营街道南片6个社区（长明寺巷、金钱巷、茅廊巷、西牌楼、梅花碑、姚园寺巷社区）准物业服务项目</w:t>
      </w:r>
      <w:r>
        <w:rPr>
          <w:rFonts w:hint="eastAsia" w:ascii="宋体" w:hAnsi="宋体" w:cs="宋体"/>
          <w:color w:val="auto"/>
          <w:sz w:val="24"/>
        </w:rPr>
        <w:t>【招标编号：</w:t>
      </w:r>
      <w:r>
        <w:rPr>
          <w:rFonts w:hint="eastAsia" w:ascii="宋体" w:hAnsi="宋体" w:cs="宋体"/>
          <w:color w:val="auto"/>
          <w:sz w:val="24"/>
          <w:lang w:eastAsia="zh-CN"/>
        </w:rPr>
        <w:t>SCCG2026-GK-08</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lang w:val="zh-CN"/>
        </w:rPr>
        <w:t xml:space="preserve">               </w:t>
      </w:r>
      <w:r>
        <w:rPr>
          <w:rFonts w:hint="eastAsia" w:ascii="宋体" w:hAnsi="宋体" w:cs="宋体"/>
          <w:kern w:val="0"/>
          <w:sz w:val="24"/>
          <w:highlight w:val="none"/>
          <w:lang w:val="zh-CN"/>
        </w:rPr>
        <w:t xml:space="preserve">                                  签发日期：  年  月   日</w:t>
      </w: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杭州市上城区人民政府小营街道办事处</w:t>
      </w:r>
      <w:r>
        <w:rPr>
          <w:rFonts w:hint="eastAsia" w:ascii="宋体" w:hAnsi="宋体" w:cs="宋体"/>
          <w:color w:val="auto"/>
          <w:sz w:val="24"/>
          <w:highlight w:val="none"/>
        </w:rPr>
        <w:t>、</w:t>
      </w:r>
      <w:r>
        <w:rPr>
          <w:rFonts w:hint="eastAsia" w:cs="仿宋_GB2312" w:asciiTheme="minorEastAsia" w:hAnsiTheme="minorEastAsia" w:eastAsiaTheme="minorEastAsia"/>
          <w:color w:val="auto"/>
          <w:sz w:val="24"/>
          <w:highlight w:val="none"/>
        </w:rPr>
        <w:t>杭州市公共资源交易中心上城分中心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杭州市上城区小营街道南片6个社区（长明寺巷、金钱巷、茅廊巷、西牌楼、梅花碑、姚园寺巷社区）准物业服务项目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SCCG2026-GK-08</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w:t>
      </w:r>
      <w:r>
        <w:rPr>
          <w:rFonts w:hint="eastAsia" w:ascii="宋体" w:hAnsi="宋体" w:cs="宋体"/>
          <w:kern w:val="0"/>
          <w:sz w:val="24"/>
          <w:highlight w:val="none"/>
          <w:lang w:val="zh-CN"/>
        </w:rPr>
        <w:t>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b/>
          <w:kern w:val="0"/>
          <w:sz w:val="32"/>
          <w:szCs w:val="32"/>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rPr>
          <w:rFonts w:ascii="宋体" w:hAnsi="宋体" w:cs="宋体"/>
          <w:highlight w:val="none"/>
        </w:rPr>
      </w:pP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autoSpaceDE w:val="0"/>
        <w:autoSpaceDN w:val="0"/>
        <w:spacing w:line="360" w:lineRule="auto"/>
        <w:jc w:val="both"/>
        <w:rPr>
          <w:rFonts w:ascii="宋体" w:hAnsi="宋体" w:cs="宋体"/>
          <w:b/>
          <w:kern w:val="0"/>
          <w:sz w:val="32"/>
          <w:szCs w:val="32"/>
          <w:highlight w:val="none"/>
          <w:lang w:val="zh-CN"/>
        </w:rPr>
      </w:pP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hint="eastAsia" w:ascii="宋体" w:hAnsi="宋体" w:cs="宋体"/>
          <w:b/>
          <w:kern w:val="0"/>
          <w:sz w:val="32"/>
          <w:szCs w:val="32"/>
          <w:lang w:val="zh-CN"/>
        </w:r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pPr>
        <w:pStyle w:val="147"/>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7"/>
              <w:adjustRightInd w:val="0"/>
              <w:spacing w:line="360" w:lineRule="auto"/>
              <w:rPr>
                <w:rFonts w:hAnsi="宋体" w:cs="宋体"/>
                <w:bCs/>
                <w:sz w:val="24"/>
              </w:rPr>
            </w:pPr>
            <w:r>
              <w:rPr>
                <w:rFonts w:hint="eastAsia" w:hAnsi="宋体" w:cs="宋体"/>
                <w:bCs/>
                <w:sz w:val="24"/>
              </w:rPr>
              <w:t>正面：                                 反面：</w:t>
            </w:r>
          </w:p>
          <w:p>
            <w:pPr>
              <w:pStyle w:val="147"/>
              <w:adjustRightInd w:val="0"/>
              <w:spacing w:line="360" w:lineRule="auto"/>
              <w:rPr>
                <w:rFonts w:hAnsi="宋体" w:cs="宋体"/>
                <w:bCs/>
                <w:sz w:val="24"/>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both"/>
        <w:rPr>
          <w:rFonts w:ascii="宋体" w:hAnsi="宋体" w:cs="宋体"/>
          <w:b/>
          <w:kern w:val="0"/>
          <w:sz w:val="32"/>
          <w:szCs w:val="32"/>
        </w:rPr>
      </w:pPr>
    </w:p>
    <w:p>
      <w:pPr>
        <w:snapToGrid w:val="0"/>
        <w:spacing w:line="360" w:lineRule="auto"/>
        <w:ind w:right="480"/>
        <w:rPr>
          <w:rFonts w:ascii="宋体" w:hAnsi="宋体" w:cs="宋体"/>
          <w:b/>
          <w:kern w:val="0"/>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napToGrid w:val="0"/>
        <w:spacing w:line="360" w:lineRule="auto"/>
        <w:ind w:firstLine="3534" w:firstLineChars="1100"/>
        <w:rPr>
          <w:rFonts w:ascii="宋体" w:hAnsi="宋体" w:cs="宋体"/>
          <w:b/>
          <w:kern w:val="0"/>
          <w:sz w:val="32"/>
          <w:szCs w:val="32"/>
        </w:rPr>
      </w:pPr>
      <w:r>
        <w:rPr>
          <w:rFonts w:hint="eastAsia" w:ascii="宋体" w:hAnsi="宋体" w:cs="宋体"/>
          <w:b/>
          <w:kern w:val="0"/>
          <w:sz w:val="32"/>
          <w:szCs w:val="32"/>
        </w:rPr>
        <w:t>三、分包意向协议</w:t>
      </w:r>
      <w:r>
        <w:rPr>
          <w:rFonts w:hint="eastAsia" w:ascii="宋体" w:hAnsi="宋体" w:cs="宋体"/>
          <w:b/>
          <w:color w:val="FF0000"/>
          <w:kern w:val="0"/>
          <w:sz w:val="32"/>
          <w:szCs w:val="32"/>
        </w:rPr>
        <w:t>（如果有）</w:t>
      </w:r>
    </w:p>
    <w:p>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pPr>
        <w:snapToGrid w:val="0"/>
        <w:spacing w:line="360" w:lineRule="auto"/>
        <w:rPr>
          <w:rFonts w:ascii="宋体" w:hAnsi="宋体" w:cs="宋体"/>
          <w:kern w:val="0"/>
          <w:sz w:val="24"/>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四、符合性审查资料</w:t>
      </w:r>
    </w:p>
    <w:p>
      <w:pPr>
        <w:jc w:val="center"/>
        <w:rPr>
          <w:rFonts w:ascii="宋体" w:hAnsi="宋体" w:cs="宋体"/>
          <w:b/>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hint="eastAsia" w:ascii="宋体" w:hAnsi="宋体" w:cs="宋体"/>
                <w:b/>
                <w:sz w:val="24"/>
              </w:rPr>
            </w:pPr>
            <w:r>
              <w:rPr>
                <w:rFonts w:hint="eastAsia" w:ascii="宋体" w:hAnsi="宋体" w:cs="宋体"/>
                <w:b/>
                <w:sz w:val="24"/>
              </w:rPr>
              <w:t>投标文件中的</w:t>
            </w:r>
          </w:p>
          <w:p>
            <w:pPr>
              <w:snapToGrid w:val="0"/>
              <w:spacing w:line="240" w:lineRule="atLeast"/>
              <w:jc w:val="center"/>
              <w:rPr>
                <w:rFonts w:ascii="宋体" w:hAnsi="宋体" w:cs="宋体"/>
                <w:b/>
                <w:sz w:val="24"/>
                <w:highlight w:val="none"/>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rPr>
              <w:t>1</w:t>
            </w:r>
          </w:p>
        </w:tc>
        <w:tc>
          <w:tcPr>
            <w:tcW w:w="4991" w:type="dxa"/>
            <w:vAlign w:val="center"/>
          </w:tcPr>
          <w:p>
            <w:pPr>
              <w:spacing w:line="360" w:lineRule="auto"/>
              <w:rPr>
                <w:rFonts w:ascii="宋体" w:hAnsi="宋体" w:cs="宋体"/>
                <w:sz w:val="24"/>
                <w:highlight w:val="none"/>
              </w:rPr>
            </w:pPr>
            <w:r>
              <w:rPr>
                <w:rFonts w:hint="eastAsia" w:ascii="宋体" w:hAnsi="宋体" w:cs="宋体"/>
                <w:sz w:val="24"/>
              </w:rPr>
              <w:t>投标文件按照招标文件要求签署、盖章。</w:t>
            </w:r>
          </w:p>
        </w:tc>
        <w:tc>
          <w:tcPr>
            <w:tcW w:w="2551" w:type="dxa"/>
            <w:vAlign w:val="center"/>
          </w:tcPr>
          <w:p>
            <w:pPr>
              <w:rPr>
                <w:rFonts w:ascii="宋体" w:hAnsi="宋体" w:cs="宋体"/>
                <w:sz w:val="24"/>
                <w:highlight w:val="none"/>
              </w:rPr>
            </w:pPr>
            <w:r>
              <w:rPr>
                <w:rFonts w:hint="eastAsia" w:ascii="宋体" w:hAnsi="宋体" w:cs="宋体"/>
                <w:sz w:val="24"/>
              </w:rPr>
              <w:t>需要使用电子签名或者签字盖章的投标文件的组成部分</w:t>
            </w:r>
          </w:p>
        </w:tc>
        <w:tc>
          <w:tcPr>
            <w:tcW w:w="1418" w:type="dxa"/>
            <w:vAlign w:val="center"/>
          </w:tcPr>
          <w:p>
            <w:pPr>
              <w:rPr>
                <w:rFonts w:hint="eastAsia" w:ascii="宋体" w:hAnsi="宋体" w:cs="宋体"/>
                <w:sz w:val="24"/>
              </w:rPr>
            </w:pPr>
            <w:r>
              <w:rPr>
                <w:rFonts w:hint="eastAsia" w:ascii="宋体" w:hAnsi="宋体" w:cs="宋体"/>
                <w:sz w:val="24"/>
              </w:rPr>
              <w:t>见投标文件</w:t>
            </w:r>
          </w:p>
          <w:p>
            <w:pPr>
              <w:rPr>
                <w:rFonts w:ascii="宋体" w:hAnsi="宋体" w:cs="宋体"/>
                <w:highlight w:val="none"/>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rPr>
              <w:t>2</w:t>
            </w:r>
          </w:p>
        </w:tc>
        <w:tc>
          <w:tcPr>
            <w:tcW w:w="4991" w:type="dxa"/>
            <w:vAlign w:val="center"/>
          </w:tcPr>
          <w:p>
            <w:pPr>
              <w:spacing w:line="360" w:lineRule="auto"/>
              <w:rPr>
                <w:rFonts w:ascii="宋体" w:hAnsi="宋体" w:cs="宋体"/>
                <w:sz w:val="24"/>
                <w:highlight w:val="none"/>
              </w:rPr>
            </w:pPr>
            <w:r>
              <w:rPr>
                <w:rFonts w:hint="eastAsia" w:ascii="宋体" w:hAnsi="宋体" w:cs="宋体"/>
                <w:sz w:val="24"/>
              </w:rPr>
              <w:t>投标文件中承诺的投标有效期不少于招标文件中载明的投标有效期。</w:t>
            </w:r>
          </w:p>
        </w:tc>
        <w:tc>
          <w:tcPr>
            <w:tcW w:w="2551" w:type="dxa"/>
            <w:vAlign w:val="center"/>
          </w:tcPr>
          <w:p>
            <w:pPr>
              <w:rPr>
                <w:rFonts w:ascii="宋体" w:hAnsi="宋体" w:cs="宋体"/>
                <w:sz w:val="24"/>
                <w:highlight w:val="none"/>
              </w:rPr>
            </w:pPr>
            <w:r>
              <w:rPr>
                <w:rFonts w:hint="eastAsia" w:ascii="宋体" w:hAnsi="宋体" w:cs="宋体"/>
                <w:sz w:val="24"/>
              </w:rPr>
              <w:t>投标函</w:t>
            </w:r>
          </w:p>
        </w:tc>
        <w:tc>
          <w:tcPr>
            <w:tcW w:w="1418" w:type="dxa"/>
            <w:vAlign w:val="center"/>
          </w:tcPr>
          <w:p>
            <w:pPr>
              <w:rPr>
                <w:rFonts w:ascii="宋体" w:hAnsi="宋体" w:cs="宋体"/>
                <w:highlight w:val="none"/>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b w:val="0"/>
                <w:bCs w:val="0"/>
                <w:sz w:val="24"/>
                <w:highlight w:val="none"/>
                <w:lang w:val="en-US" w:eastAsia="zh-CN"/>
              </w:rPr>
              <w:t>3</w:t>
            </w:r>
          </w:p>
        </w:tc>
        <w:tc>
          <w:tcPr>
            <w:tcW w:w="4991" w:type="dxa"/>
            <w:vAlign w:val="center"/>
          </w:tcPr>
          <w:p>
            <w:pPr>
              <w:snapToGrid w:val="0"/>
              <w:spacing w:line="360" w:lineRule="auto"/>
              <w:ind w:firstLine="0" w:firstLineChars="0"/>
              <w:jc w:val="both"/>
              <w:rPr>
                <w:rFonts w:ascii="宋体" w:hAnsi="宋体" w:cs="宋体"/>
                <w:sz w:val="24"/>
                <w:highlight w:val="none"/>
              </w:rPr>
            </w:pPr>
            <w:r>
              <w:rPr>
                <w:rFonts w:hint="eastAsia" w:ascii="宋体" w:hAnsi="宋体" w:cs="宋体"/>
                <w:b w:val="0"/>
                <w:bCs w:val="0"/>
                <w:snapToGrid w:val="0"/>
                <w:sz w:val="24"/>
                <w:highlight w:val="none"/>
              </w:rPr>
              <w:t>投标</w:t>
            </w:r>
            <w:r>
              <w:rPr>
                <w:rFonts w:hint="eastAsia" w:ascii="宋体" w:hAnsi="宋体" w:cs="宋体"/>
                <w:b w:val="0"/>
                <w:bCs w:val="0"/>
                <w:snapToGrid w:val="0"/>
                <w:sz w:val="24"/>
                <w:highlight w:val="none"/>
                <w:lang w:val="en-US" w:eastAsia="zh-CN"/>
              </w:rPr>
              <w:t>文件的组成应符合招标文件要求</w:t>
            </w:r>
          </w:p>
        </w:tc>
        <w:tc>
          <w:tcPr>
            <w:tcW w:w="2551" w:type="dxa"/>
            <w:vAlign w:val="center"/>
          </w:tcPr>
          <w:p>
            <w:pPr>
              <w:jc w:val="both"/>
              <w:rPr>
                <w:rFonts w:ascii="宋体" w:hAnsi="宋体" w:cs="宋体"/>
                <w:sz w:val="24"/>
                <w:highlight w:val="none"/>
              </w:rPr>
            </w:pPr>
            <w:r>
              <w:rPr>
                <w:rFonts w:hint="eastAsia" w:ascii="宋体" w:hAnsi="宋体" w:cs="宋体"/>
                <w:b w:val="0"/>
                <w:bCs w:val="0"/>
                <w:sz w:val="24"/>
                <w:highlight w:val="none"/>
                <w:lang w:val="en-US" w:eastAsia="zh-CN"/>
              </w:rPr>
              <w:t>投标文件</w:t>
            </w:r>
          </w:p>
        </w:tc>
        <w:tc>
          <w:tcPr>
            <w:tcW w:w="1418" w:type="dxa"/>
            <w:vAlign w:val="center"/>
          </w:tcPr>
          <w:p>
            <w:pPr>
              <w:jc w:val="both"/>
              <w:rPr>
                <w:rFonts w:ascii="宋体" w:hAnsi="宋体" w:cs="宋体"/>
                <w:highlight w:val="none"/>
              </w:rPr>
            </w:pPr>
            <w:r>
              <w:rPr>
                <w:rFonts w:hint="eastAsia" w:ascii="宋体" w:hAnsi="宋体" w:cs="宋体"/>
                <w:b w:val="0"/>
                <w:bCs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sz w:val="24"/>
                <w:highlight w:val="none"/>
              </w:rPr>
            </w:pPr>
            <w:r>
              <w:rPr>
                <w:rFonts w:hint="eastAsia" w:ascii="宋体" w:hAnsi="宋体" w:cs="宋体"/>
                <w:sz w:val="24"/>
                <w:lang w:val="en-US" w:eastAsia="zh-CN"/>
              </w:rPr>
              <w:t>4</w:t>
            </w:r>
          </w:p>
        </w:tc>
        <w:tc>
          <w:tcPr>
            <w:tcW w:w="4991" w:type="dxa"/>
            <w:vAlign w:val="center"/>
          </w:tcPr>
          <w:p>
            <w:pPr>
              <w:spacing w:line="360" w:lineRule="auto"/>
              <w:rPr>
                <w:rFonts w:hint="eastAsia" w:ascii="宋体" w:hAnsi="宋体" w:cs="宋体"/>
                <w:sz w:val="24"/>
                <w:highlight w:val="none"/>
              </w:rPr>
            </w:pPr>
            <w:r>
              <w:rPr>
                <w:rFonts w:hint="eastAsia" w:ascii="宋体" w:hAnsi="宋体" w:cs="宋体"/>
                <w:snapToGrid w:val="0"/>
                <w:sz w:val="24"/>
              </w:rPr>
              <w:t>其他实质性要求1（如有）：</w:t>
            </w:r>
          </w:p>
        </w:tc>
        <w:tc>
          <w:tcPr>
            <w:tcW w:w="2551" w:type="dxa"/>
            <w:vMerge w:val="restart"/>
            <w:vAlign w:val="center"/>
          </w:tcPr>
          <w:p>
            <w:pPr>
              <w:spacing w:line="360" w:lineRule="auto"/>
              <w:rPr>
                <w:rFonts w:hint="eastAsia" w:ascii="宋体" w:hAnsi="宋体" w:cs="宋体"/>
                <w:sz w:val="24"/>
              </w:rPr>
            </w:pPr>
            <w:r>
              <w:rPr>
                <w:rFonts w:hint="eastAsia" w:ascii="宋体" w:hAnsi="宋体" w:cs="宋体"/>
                <w:sz w:val="24"/>
              </w:rPr>
              <w:t>招标文件其它实质性要求相应的材料（“▲” 系指实质性要求条款，招标文件无其它实质性要求的，无需提供）</w:t>
            </w:r>
          </w:p>
          <w:p>
            <w:pPr>
              <w:rPr>
                <w:rFonts w:hint="eastAsia" w:ascii="宋体" w:hAnsi="宋体" w:cs="宋体"/>
                <w:kern w:val="0"/>
                <w:sz w:val="24"/>
                <w:highlight w:val="none"/>
              </w:rPr>
            </w:pPr>
          </w:p>
        </w:tc>
        <w:tc>
          <w:tcPr>
            <w:tcW w:w="1418" w:type="dxa"/>
            <w:vAlign w:val="center"/>
          </w:tcPr>
          <w:p>
            <w:pPr>
              <w:rPr>
                <w:rFonts w:hint="eastAsia" w:ascii="宋体" w:hAnsi="宋体" w:cs="宋体"/>
                <w:sz w:val="24"/>
                <w:highlight w:val="none"/>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sz w:val="24"/>
                <w:highlight w:val="none"/>
              </w:rPr>
            </w:pPr>
            <w:r>
              <w:rPr>
                <w:rFonts w:hint="eastAsia" w:ascii="宋体" w:hAnsi="宋体" w:cs="宋体"/>
                <w:sz w:val="24"/>
                <w:lang w:val="en-US" w:eastAsia="zh-CN"/>
              </w:rPr>
              <w:t>5</w:t>
            </w:r>
          </w:p>
        </w:tc>
        <w:tc>
          <w:tcPr>
            <w:tcW w:w="4991" w:type="dxa"/>
            <w:vAlign w:val="center"/>
          </w:tcPr>
          <w:p>
            <w:pPr>
              <w:spacing w:line="360" w:lineRule="auto"/>
              <w:rPr>
                <w:rFonts w:hint="eastAsia" w:ascii="宋体" w:hAnsi="宋体" w:cs="宋体"/>
                <w:sz w:val="24"/>
                <w:highlight w:val="none"/>
              </w:rPr>
            </w:pPr>
            <w:r>
              <w:rPr>
                <w:rFonts w:hint="eastAsia" w:ascii="宋体" w:hAnsi="宋体" w:cs="宋体"/>
                <w:snapToGrid w:val="0"/>
                <w:sz w:val="24"/>
              </w:rPr>
              <w:t>其他实质性要求2（如有）：</w:t>
            </w:r>
          </w:p>
        </w:tc>
        <w:tc>
          <w:tcPr>
            <w:tcW w:w="2551" w:type="dxa"/>
            <w:vMerge w:val="continue"/>
            <w:vAlign w:val="center"/>
          </w:tcPr>
          <w:p>
            <w:pPr>
              <w:rPr>
                <w:rFonts w:hint="eastAsia" w:ascii="宋体" w:hAnsi="宋体" w:cs="宋体"/>
                <w:kern w:val="0"/>
                <w:sz w:val="24"/>
                <w:highlight w:val="none"/>
              </w:rPr>
            </w:pPr>
          </w:p>
        </w:tc>
        <w:tc>
          <w:tcPr>
            <w:tcW w:w="1418" w:type="dxa"/>
            <w:vAlign w:val="center"/>
          </w:tcPr>
          <w:p>
            <w:pPr>
              <w:rPr>
                <w:rFonts w:hint="eastAsia" w:ascii="宋体" w:hAnsi="宋体" w:cs="宋体"/>
                <w:sz w:val="24"/>
                <w:highlight w:val="none"/>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招标文件中实质性要求必须明确响应。</w:t>
      </w:r>
    </w:p>
    <w:p>
      <w:pPr>
        <w:pStyle w:val="2"/>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 xml:space="preserve">            </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rPr>
      </w:pPr>
      <w:r>
        <w:rPr>
          <w:rFonts w:hint="eastAsia" w:ascii="宋体" w:hAnsi="宋体" w:cs="宋体"/>
          <w:b/>
          <w:kern w:val="0"/>
          <w:sz w:val="32"/>
          <w:szCs w:val="32"/>
        </w:rPr>
        <w:t>五、评标标准相应的商务技术资料</w:t>
      </w:r>
    </w:p>
    <w:p>
      <w:pPr>
        <w:snapToGrid w:val="0"/>
        <w:spacing w:line="360" w:lineRule="auto"/>
        <w:jc w:val="left"/>
        <w:rPr>
          <w:rFonts w:hint="eastAsia" w:ascii="宋体" w:hAnsi="宋体" w:cs="宋体"/>
          <w:b/>
          <w:color w:val="auto"/>
          <w:sz w:val="24"/>
          <w:highlight w:val="none"/>
        </w:rPr>
      </w:pPr>
      <w:r>
        <w:rPr>
          <w:rFonts w:hint="eastAsia" w:ascii="宋体" w:hAnsi="宋体" w:cs="宋体"/>
          <w:b/>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p>
        </w:tc>
        <w:tc>
          <w:tcPr>
            <w:tcW w:w="3046" w:type="dxa"/>
          </w:tcPr>
          <w:p>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pPr>
        <w:jc w:val="both"/>
        <w:rPr>
          <w:rFonts w:ascii="宋体" w:hAnsi="宋体" w:cs="宋体"/>
          <w:b/>
          <w:kern w:val="0"/>
          <w:sz w:val="32"/>
          <w:szCs w:val="32"/>
          <w:highlight w:val="none"/>
        </w:rPr>
      </w:pPr>
    </w:p>
    <w:p>
      <w:pPr>
        <w:jc w:val="center"/>
        <w:rPr>
          <w:rFonts w:ascii="宋体" w:hAnsi="宋体" w:cs="宋体"/>
          <w:b/>
          <w:kern w:val="0"/>
          <w:sz w:val="32"/>
          <w:szCs w:val="32"/>
          <w:highlight w:val="none"/>
        </w:rPr>
      </w:pPr>
    </w:p>
    <w:p>
      <w:pPr>
        <w:ind w:firstLine="2891" w:firstLineChars="900"/>
        <w:rPr>
          <w:rFonts w:ascii="宋体" w:hAnsi="宋体" w:cs="宋体"/>
          <w:b/>
          <w:kern w:val="0"/>
          <w:sz w:val="32"/>
          <w:szCs w:val="32"/>
          <w:highlight w:val="none"/>
        </w:rPr>
      </w:pPr>
      <w:r>
        <w:rPr>
          <w:rFonts w:hint="eastAsia" w:ascii="宋体" w:hAnsi="宋体" w:cs="宋体"/>
          <w:b/>
          <w:kern w:val="0"/>
          <w:sz w:val="32"/>
          <w:szCs w:val="32"/>
          <w:highlight w:val="none"/>
        </w:rPr>
        <w:t>六、投标标的清单</w:t>
      </w:r>
    </w:p>
    <w:tbl>
      <w:tblPr>
        <w:tblStyle w:val="6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35"/>
        <w:gridCol w:w="2280"/>
        <w:gridCol w:w="1560"/>
        <w:gridCol w:w="18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color w:val="auto"/>
                <w:sz w:val="24"/>
                <w:highlight w:val="none"/>
              </w:rPr>
              <w:t>序号</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color w:val="auto"/>
                <w:sz w:val="24"/>
                <w:highlight w:val="none"/>
              </w:rPr>
              <w:t>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color w:val="auto"/>
                <w:sz w:val="24"/>
                <w:highlight w:val="none"/>
              </w:rPr>
              <w:t>品牌（如果有）</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color w:val="auto"/>
                <w:sz w:val="24"/>
                <w:highlight w:val="none"/>
              </w:rPr>
              <w:t>规格型号</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color w:val="auto"/>
                <w:sz w:val="24"/>
                <w:highlight w:val="none"/>
              </w:rPr>
              <w:t>数量</w:t>
            </w:r>
          </w:p>
        </w:tc>
        <w:tc>
          <w:tcPr>
            <w:tcW w:w="1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color w:val="auto"/>
                <w:sz w:val="24"/>
                <w:highlight w:val="none"/>
              </w:rPr>
              <w:t>1</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color w:val="auto"/>
                <w:sz w:val="24"/>
                <w:highlight w:val="none"/>
                <w:lang w:val="en-US" w:eastAsia="zh-CN"/>
              </w:rPr>
              <w:t>XXX</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color w:val="auto"/>
                <w:sz w:val="24"/>
                <w:highlight w:val="none"/>
              </w:rPr>
              <w:t>2</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color w:val="auto"/>
                <w:sz w:val="24"/>
                <w:highlight w:val="none"/>
                <w:lang w:val="en-US" w:eastAsia="zh-CN"/>
              </w:rPr>
              <w:t>XXX</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color w:val="auto"/>
                <w:sz w:val="24"/>
                <w:highlight w:val="none"/>
              </w:rPr>
              <w:t>……</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pStyle w:val="2"/>
        <w:rPr>
          <w:rFonts w:ascii="宋体" w:hAnsi="宋体" w:cs="宋体"/>
          <w:b/>
          <w:kern w:val="0"/>
          <w:sz w:val="32"/>
          <w:szCs w:val="32"/>
        </w:rPr>
      </w:pPr>
    </w:p>
    <w:p>
      <w:pPr>
        <w:pStyle w:val="2"/>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招标文件章节及具体内容</w:t>
            </w:r>
          </w:p>
        </w:tc>
        <w:tc>
          <w:tcPr>
            <w:tcW w:w="3546" w:type="dxa"/>
          </w:tcPr>
          <w:p>
            <w:pPr>
              <w:jc w:val="center"/>
              <w:rPr>
                <w:rFonts w:ascii="宋体" w:hAnsi="宋体" w:cs="宋体"/>
                <w:b/>
                <w:bCs/>
                <w:sz w:val="24"/>
              </w:rPr>
            </w:pPr>
            <w:r>
              <w:rPr>
                <w:rFonts w:hint="eastAsia" w:ascii="宋体" w:hAnsi="宋体" w:cs="宋体"/>
                <w:b/>
                <w:bCs/>
                <w:sz w:val="24"/>
              </w:rPr>
              <w:t>投标文件章节及具体内容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pPr>
        <w:jc w:val="center"/>
        <w:rPr>
          <w:rFonts w:ascii="宋体" w:hAnsi="宋体" w:cs="宋体"/>
          <w:b/>
          <w:kern w:val="0"/>
          <w:sz w:val="32"/>
          <w:szCs w:val="32"/>
          <w:highlight w:val="none"/>
        </w:rPr>
      </w:pPr>
    </w:p>
    <w:p>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color w:val="auto"/>
          <w:sz w:val="24"/>
          <w:lang w:eastAsia="zh-CN"/>
        </w:rPr>
        <w:t>杭州市上城区人民政府小营街道办事处</w:t>
      </w:r>
      <w:r>
        <w:rPr>
          <w:rFonts w:hint="eastAsia" w:ascii="宋体" w:hAnsi="宋体" w:cs="宋体"/>
          <w:color w:val="auto"/>
          <w:sz w:val="24"/>
        </w:rPr>
        <w:t>、</w:t>
      </w:r>
      <w:r>
        <w:rPr>
          <w:rFonts w:hint="eastAsia" w:cs="仿宋_GB2312" w:asciiTheme="minorEastAsia" w:hAnsiTheme="minorEastAsia" w:eastAsiaTheme="minorEastAsia"/>
          <w:sz w:val="24"/>
        </w:rPr>
        <w:t>杭州市公共资源交易中心上城分中心</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ascii="宋体" w:hAnsi="宋体" w:cs="宋体"/>
          <w:b/>
          <w:bCs/>
          <w:sz w:val="24"/>
        </w:rPr>
        <w:sectPr>
          <w:headerReference r:id="rId15" w:type="first"/>
          <w:footerReference r:id="rId17" w:type="first"/>
          <w:headerReference r:id="rId14" w:type="defaul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ascii="宋体" w:hAnsi="宋体" w:cs="宋体"/>
          <w:sz w:val="24"/>
          <w:highlight w:val="none"/>
        </w:rPr>
      </w:pPr>
      <w:r>
        <w:rPr>
          <w:rFonts w:hint="eastAsia" w:ascii="宋体" w:hAnsi="宋体" w:cs="宋体"/>
          <w:sz w:val="24"/>
          <w:highlight w:val="none"/>
        </w:rPr>
        <w:t>（1）开标一览表（报价表）………………………………………………………（页码）</w:t>
      </w:r>
    </w:p>
    <w:p>
      <w:pPr>
        <w:snapToGrid w:val="0"/>
        <w:spacing w:line="360" w:lineRule="auto"/>
        <w:rPr>
          <w:rFonts w:hint="eastAsia" w:ascii="宋体" w:hAnsi="宋体" w:cs="宋体"/>
          <w:sz w:val="24"/>
        </w:rPr>
      </w:pPr>
      <w:bookmarkStart w:id="419" w:name="OLE_LINK23"/>
      <w:r>
        <w:rPr>
          <w:rFonts w:hint="eastAsia" w:ascii="宋体" w:hAnsi="宋体" w:cs="宋体"/>
          <w:sz w:val="24"/>
        </w:rPr>
        <w:t>（2）</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FF0000"/>
          <w:sz w:val="24"/>
          <w:highlight w:val="none"/>
          <w:lang w:val="en-US" w:eastAsia="zh-CN"/>
        </w:rPr>
        <w:t>（如果有）</w:t>
      </w:r>
      <w:r>
        <w:rPr>
          <w:rFonts w:hint="eastAsia" w:ascii="宋体" w:hAnsi="宋体" w:cs="宋体"/>
          <w:sz w:val="24"/>
          <w:highlight w:val="none"/>
        </w:rPr>
        <w:t>…</w:t>
      </w:r>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sz w:val="24"/>
          <w:highlight w:val="none"/>
        </w:rPr>
        <w:t>中小企业声明函</w:t>
      </w:r>
      <w:bookmarkStart w:id="420" w:name="OLE_LINK7"/>
      <w:r>
        <w:rPr>
          <w:rFonts w:hint="eastAsia" w:ascii="宋体" w:hAnsi="宋体" w:cs="宋体"/>
          <w:color w:val="FF0000"/>
          <w:sz w:val="24"/>
          <w:highlight w:val="none"/>
        </w:rPr>
        <w:t>（如果有）</w:t>
      </w:r>
      <w:bookmarkEnd w:id="420"/>
      <w:r>
        <w:rPr>
          <w:rFonts w:hint="eastAsia" w:ascii="宋体" w:hAnsi="宋体" w:cs="宋体"/>
          <w:sz w:val="24"/>
          <w:highlight w:val="none"/>
        </w:rPr>
        <w:t>…………………………………………………（页码）</w:t>
      </w:r>
    </w:p>
    <w:bookmarkEnd w:id="419"/>
    <w:p>
      <w:pPr>
        <w:snapToGrid w:val="0"/>
        <w:spacing w:line="360" w:lineRule="auto"/>
        <w:rPr>
          <w:rFonts w:hint="eastAsia" w:ascii="宋体" w:hAnsi="宋体" w:cs="宋体"/>
          <w:color w:val="auto"/>
          <w:sz w:val="24"/>
          <w:highlight w:val="yellow"/>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9" w:type="first"/>
          <w:footerReference r:id="rId21" w:type="first"/>
          <w:headerReference r:id="rId18" w:type="default"/>
          <w:footerReference r:id="rId2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pPr>
        <w:snapToGrid w:val="0"/>
        <w:spacing w:line="360" w:lineRule="auto"/>
        <w:rPr>
          <w:rFonts w:ascii="宋体" w:hAnsi="宋体" w:cs="宋体"/>
          <w:color w:val="auto"/>
          <w:kern w:val="0"/>
          <w:sz w:val="24"/>
        </w:rPr>
      </w:pPr>
      <w:r>
        <w:rPr>
          <w:rFonts w:hint="eastAsia" w:ascii="宋体" w:hAnsi="宋体" w:cs="宋体"/>
          <w:color w:val="auto"/>
          <w:sz w:val="24"/>
          <w:lang w:eastAsia="zh-CN"/>
        </w:rPr>
        <w:t>杭州市上城区人民政府小营街道办事处</w:t>
      </w:r>
      <w:r>
        <w:rPr>
          <w:rFonts w:hint="eastAsia" w:ascii="宋体" w:hAnsi="宋体" w:cs="宋体"/>
          <w:color w:val="auto"/>
          <w:sz w:val="24"/>
        </w:rPr>
        <w:t>、</w:t>
      </w:r>
      <w:r>
        <w:rPr>
          <w:rFonts w:hint="eastAsia" w:cs="仿宋_GB2312" w:asciiTheme="minorEastAsia" w:hAnsiTheme="minorEastAsia" w:eastAsiaTheme="minorEastAsia"/>
          <w:color w:val="auto"/>
          <w:sz w:val="24"/>
        </w:rPr>
        <w:t>杭州市公共资源交易中心上城分中心</w:t>
      </w:r>
      <w:r>
        <w:rPr>
          <w:rFonts w:hint="eastAsia" w:ascii="宋体" w:hAnsi="宋体" w:cs="宋体"/>
          <w:color w:val="auto"/>
          <w:kern w:val="0"/>
          <w:sz w:val="24"/>
          <w:lang w:val="zh-CN"/>
        </w:rPr>
        <w:t>：</w:t>
      </w:r>
    </w:p>
    <w:p>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lang w:eastAsia="zh-CN"/>
        </w:rPr>
        <w:t>杭州市上城区小营街道南片6个社区（长明寺巷、金钱巷、茅廊巷、西牌楼、梅花碑、姚园寺巷社区）准物业服务项目</w:t>
      </w:r>
      <w:r>
        <w:rPr>
          <w:rFonts w:hint="eastAsia" w:ascii="宋体" w:hAnsi="宋体" w:cs="宋体"/>
          <w:color w:val="auto"/>
          <w:kern w:val="0"/>
          <w:sz w:val="24"/>
          <w:lang w:val="zh-CN"/>
        </w:rPr>
        <w:t>【招标编号：</w:t>
      </w:r>
      <w:r>
        <w:rPr>
          <w:rFonts w:hint="eastAsia" w:ascii="宋体" w:hAnsi="宋体" w:cs="宋体"/>
          <w:color w:val="auto"/>
          <w:sz w:val="24"/>
          <w:lang w:eastAsia="zh-CN"/>
        </w:rPr>
        <w:t>SCCG2026-GK-08</w:t>
      </w:r>
      <w:r>
        <w:rPr>
          <w:rFonts w:hint="eastAsia" w:ascii="宋体" w:hAnsi="宋体" w:cs="宋体"/>
          <w:color w:val="auto"/>
          <w:sz w:val="24"/>
        </w:rPr>
        <w:t>】的实施</w:t>
      </w:r>
      <w:r>
        <w:rPr>
          <w:rFonts w:hint="eastAsia" w:ascii="宋体" w:hAnsi="宋体" w:cs="宋体"/>
          <w:color w:val="auto"/>
          <w:kern w:val="0"/>
          <w:sz w:val="24"/>
          <w:lang w:val="zh-CN"/>
        </w:rPr>
        <w:t>。</w:t>
      </w:r>
    </w:p>
    <w:p>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3"/>
        <w:tblpPr w:leftFromText="180" w:rightFromText="180" w:vertAnchor="text" w:horzAnchor="page" w:tblpX="1256" w:tblpY="458"/>
        <w:tblOverlap w:val="never"/>
        <w:tblW w:w="15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71"/>
        <w:gridCol w:w="1890"/>
        <w:gridCol w:w="2098"/>
        <w:gridCol w:w="1757"/>
        <w:gridCol w:w="1829"/>
        <w:gridCol w:w="194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2771"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名称</w:t>
            </w:r>
          </w:p>
        </w:tc>
        <w:tc>
          <w:tcPr>
            <w:tcW w:w="1890" w:type="dxa"/>
          </w:tcPr>
          <w:p>
            <w:pPr>
              <w:spacing w:line="360" w:lineRule="auto"/>
              <w:jc w:val="center"/>
              <w:rPr>
                <w:rFonts w:hint="eastAsia" w:ascii="宋体" w:hAnsi="宋体" w:cs="宋体"/>
                <w:b/>
                <w:sz w:val="24"/>
                <w:highlight w:val="none"/>
              </w:rPr>
            </w:pPr>
          </w:p>
          <w:p>
            <w:pPr>
              <w:spacing w:line="360" w:lineRule="auto"/>
              <w:jc w:val="center"/>
              <w:rPr>
                <w:rFonts w:hint="eastAsia" w:ascii="宋体" w:hAnsi="宋体" w:cs="宋体"/>
                <w:b/>
                <w:sz w:val="24"/>
                <w:highlight w:val="none"/>
              </w:rPr>
            </w:pPr>
            <w:r>
              <w:rPr>
                <w:rFonts w:hint="eastAsia" w:ascii="宋体" w:hAnsi="宋体" w:cs="宋体"/>
                <w:b/>
                <w:sz w:val="24"/>
                <w:highlight w:val="none"/>
              </w:rPr>
              <w:t>服务范围</w:t>
            </w:r>
          </w:p>
        </w:tc>
        <w:tc>
          <w:tcPr>
            <w:tcW w:w="2098"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服务要求</w:t>
            </w:r>
          </w:p>
        </w:tc>
        <w:tc>
          <w:tcPr>
            <w:tcW w:w="1757"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服务时间</w:t>
            </w:r>
          </w:p>
        </w:tc>
        <w:tc>
          <w:tcPr>
            <w:tcW w:w="1829"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服务标准</w:t>
            </w:r>
          </w:p>
        </w:tc>
        <w:tc>
          <w:tcPr>
            <w:tcW w:w="1941" w:type="dxa"/>
          </w:tcPr>
          <w:p>
            <w:pPr>
              <w:spacing w:line="360" w:lineRule="auto"/>
              <w:jc w:val="center"/>
              <w:rPr>
                <w:rFonts w:hint="eastAsia" w:ascii="宋体" w:hAnsi="宋体" w:cs="宋体"/>
                <w:b/>
                <w:sz w:val="24"/>
                <w:highlight w:val="none"/>
              </w:rPr>
            </w:pPr>
          </w:p>
          <w:p>
            <w:pPr>
              <w:spacing w:line="360" w:lineRule="auto"/>
              <w:jc w:val="center"/>
              <w:rPr>
                <w:rFonts w:hint="eastAsia" w:ascii="宋体" w:hAnsi="宋体" w:cs="宋体"/>
                <w:b/>
                <w:sz w:val="24"/>
                <w:highlight w:val="none"/>
              </w:rPr>
            </w:pPr>
            <w:r>
              <w:rPr>
                <w:rFonts w:hint="eastAsia" w:ascii="宋体" w:hAnsi="宋体" w:cs="宋体"/>
                <w:b/>
                <w:sz w:val="24"/>
                <w:highlight w:val="none"/>
              </w:rPr>
              <w:t>服务人数</w:t>
            </w:r>
          </w:p>
        </w:tc>
        <w:tc>
          <w:tcPr>
            <w:tcW w:w="2100" w:type="dxa"/>
            <w:vAlign w:val="center"/>
          </w:tcPr>
          <w:p>
            <w:pPr>
              <w:spacing w:line="360" w:lineRule="auto"/>
              <w:jc w:val="center"/>
              <w:rPr>
                <w:rFonts w:hint="eastAsia" w:ascii="宋体" w:hAnsi="宋体" w:cs="宋体"/>
                <w:b/>
                <w:sz w:val="24"/>
                <w:highlight w:val="none"/>
              </w:rPr>
            </w:pPr>
          </w:p>
          <w:p>
            <w:pPr>
              <w:spacing w:line="360" w:lineRule="auto"/>
              <w:jc w:val="center"/>
              <w:rPr>
                <w:rFonts w:hint="eastAsia" w:ascii="宋体" w:hAnsi="宋体" w:cs="宋体"/>
                <w:b/>
                <w:sz w:val="24"/>
                <w:highlight w:val="none"/>
              </w:rPr>
            </w:pPr>
            <w:r>
              <w:rPr>
                <w:rFonts w:hint="eastAsia" w:ascii="宋体" w:hAnsi="宋体" w:cs="宋体"/>
                <w:b/>
                <w:sz w:val="24"/>
                <w:highlight w:val="none"/>
              </w:rPr>
              <w:t>备注（如果有）</w:t>
            </w:r>
          </w:p>
          <w:p>
            <w:pPr>
              <w:spacing w:line="360" w:lineRule="auto"/>
              <w:jc w:val="center"/>
              <w:rPr>
                <w:rFonts w:hint="eastAsia"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hint="eastAsia" w:ascii="宋体" w:hAnsi="宋体" w:cs="宋体"/>
                <w:color w:val="0000FF"/>
                <w:sz w:val="24"/>
                <w:highlight w:val="none"/>
              </w:rPr>
            </w:pPr>
            <w:r>
              <w:rPr>
                <w:rFonts w:hint="eastAsia" w:ascii="宋体" w:hAnsi="宋体" w:cs="宋体"/>
                <w:sz w:val="24"/>
                <w:highlight w:val="none"/>
              </w:rPr>
              <w:t>1</w:t>
            </w:r>
          </w:p>
        </w:tc>
        <w:tc>
          <w:tcPr>
            <w:tcW w:w="2771" w:type="dxa"/>
            <w:vAlign w:val="center"/>
          </w:tcPr>
          <w:p>
            <w:pPr>
              <w:snapToGrid w:val="0"/>
              <w:spacing w:line="360" w:lineRule="auto"/>
              <w:jc w:val="center"/>
              <w:rPr>
                <w:rFonts w:hint="eastAsia" w:ascii="宋体" w:hAnsi="宋体" w:cs="宋体"/>
                <w:color w:val="0000FF"/>
                <w:sz w:val="24"/>
                <w:highlight w:val="none"/>
              </w:rPr>
            </w:pPr>
            <w:r>
              <w:rPr>
                <w:rFonts w:hint="eastAsia" w:ascii="宋体" w:hAnsi="宋体" w:cs="宋体"/>
                <w:color w:val="auto"/>
                <w:sz w:val="24"/>
                <w:highlight w:val="none"/>
                <w:lang w:eastAsia="zh-CN"/>
              </w:rPr>
              <w:t>杭州市上城区小营街道南片6个社区（长明寺巷、金钱巷、茅廊巷、西牌楼、梅花碑、姚园寺巷社区）准物业服务项目</w:t>
            </w:r>
          </w:p>
        </w:tc>
        <w:tc>
          <w:tcPr>
            <w:tcW w:w="1890" w:type="dxa"/>
            <w:vAlign w:val="center"/>
          </w:tcPr>
          <w:p>
            <w:pPr>
              <w:snapToGrid w:val="0"/>
              <w:spacing w:line="360" w:lineRule="auto"/>
              <w:jc w:val="center"/>
              <w:rPr>
                <w:rFonts w:hint="eastAsia" w:ascii="宋体" w:hAnsi="宋体" w:cs="宋体"/>
                <w:sz w:val="24"/>
                <w:highlight w:val="none"/>
              </w:rPr>
            </w:pPr>
          </w:p>
        </w:tc>
        <w:tc>
          <w:tcPr>
            <w:tcW w:w="2098" w:type="dxa"/>
            <w:vAlign w:val="center"/>
          </w:tcPr>
          <w:p>
            <w:pPr>
              <w:snapToGrid w:val="0"/>
              <w:spacing w:line="360" w:lineRule="auto"/>
              <w:jc w:val="center"/>
              <w:rPr>
                <w:rFonts w:hint="eastAsia" w:ascii="宋体" w:hAnsi="宋体" w:cs="宋体"/>
                <w:sz w:val="24"/>
                <w:highlight w:val="none"/>
              </w:rPr>
            </w:pPr>
          </w:p>
        </w:tc>
        <w:tc>
          <w:tcPr>
            <w:tcW w:w="1757" w:type="dxa"/>
            <w:vAlign w:val="center"/>
          </w:tcPr>
          <w:p>
            <w:pPr>
              <w:snapToGrid w:val="0"/>
              <w:spacing w:line="360" w:lineRule="auto"/>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年</w:t>
            </w:r>
          </w:p>
        </w:tc>
        <w:tc>
          <w:tcPr>
            <w:tcW w:w="1829" w:type="dxa"/>
            <w:vAlign w:val="center"/>
          </w:tcPr>
          <w:p>
            <w:pPr>
              <w:spacing w:line="360" w:lineRule="auto"/>
              <w:jc w:val="center"/>
              <w:rPr>
                <w:rFonts w:hint="eastAsia" w:ascii="宋体" w:hAnsi="宋体" w:cs="宋体"/>
                <w:sz w:val="24"/>
                <w:highlight w:val="none"/>
              </w:rPr>
            </w:pPr>
          </w:p>
        </w:tc>
        <w:tc>
          <w:tcPr>
            <w:tcW w:w="1941" w:type="dxa"/>
          </w:tcPr>
          <w:p>
            <w:pPr>
              <w:spacing w:line="360" w:lineRule="auto"/>
              <w:jc w:val="center"/>
              <w:rPr>
                <w:rFonts w:hint="eastAsia" w:ascii="宋体" w:hAnsi="宋体" w:cs="宋体"/>
                <w:sz w:val="24"/>
                <w:highlight w:val="none"/>
              </w:rPr>
            </w:pPr>
          </w:p>
        </w:tc>
        <w:tc>
          <w:tcPr>
            <w:tcW w:w="2100" w:type="dxa"/>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478" w:type="dxa"/>
            <w:gridSpan w:val="3"/>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投标报价（小写）</w:t>
            </w:r>
          </w:p>
        </w:tc>
        <w:tc>
          <w:tcPr>
            <w:tcW w:w="9725" w:type="dxa"/>
            <w:gridSpan w:val="5"/>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78" w:type="dxa"/>
            <w:gridSpan w:val="3"/>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投标报价（大写）</w:t>
            </w:r>
          </w:p>
        </w:tc>
        <w:tc>
          <w:tcPr>
            <w:tcW w:w="9725" w:type="dxa"/>
            <w:gridSpan w:val="5"/>
          </w:tcPr>
          <w:p>
            <w:pPr>
              <w:spacing w:line="360" w:lineRule="auto"/>
              <w:jc w:val="center"/>
              <w:rPr>
                <w:rFonts w:hint="eastAsia" w:ascii="宋体" w:hAnsi="宋体" w:cs="宋体"/>
                <w:sz w:val="24"/>
                <w:highlight w:val="none"/>
              </w:rPr>
            </w:pPr>
          </w:p>
        </w:tc>
      </w:tr>
    </w:tbl>
    <w:p>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特别提示：</w:t>
      </w:r>
      <w:r>
        <w:rPr>
          <w:rFonts w:hint="eastAsia" w:ascii="宋体" w:hAnsi="宋体" w:cs="宋体"/>
          <w:color w:val="auto"/>
          <w:kern w:val="0"/>
          <w:sz w:val="24"/>
          <w:highlight w:val="none"/>
          <w:lang w:val="zh-CN" w:eastAsia="zh-CN"/>
        </w:rPr>
        <w:t>采购机构</w:t>
      </w:r>
      <w:r>
        <w:rPr>
          <w:rFonts w:hint="eastAsia" w:ascii="宋体" w:hAnsi="宋体" w:cs="宋体"/>
          <w:color w:val="auto"/>
          <w:kern w:val="0"/>
          <w:sz w:val="24"/>
          <w:highlight w:val="none"/>
          <w:lang w:val="zh-CN"/>
        </w:rPr>
        <w:t>将对项目名称和项目编号，中标供应商名称、地址和中标金额，主要中标标的名称、服务范围、服务要求、服务时间、服务标准等予以公示。</w:t>
      </w:r>
    </w:p>
    <w:p>
      <w:pPr>
        <w:spacing w:line="360" w:lineRule="auto"/>
        <w:ind w:firstLine="482" w:firstLineChars="200"/>
        <w:rPr>
          <w:rFonts w:ascii="宋体" w:hAnsi="宋体" w:cs="宋体"/>
          <w:b/>
          <w:sz w:val="24"/>
          <w:highlight w:val="none"/>
        </w:rPr>
      </w:pPr>
    </w:p>
    <w:p>
      <w:pPr>
        <w:snapToGrid w:val="0"/>
        <w:spacing w:line="360" w:lineRule="auto"/>
        <w:ind w:firstLine="8400" w:firstLineChars="3500"/>
        <w:rPr>
          <w:rFonts w:hint="eastAsia" w:ascii="宋体" w:hAnsi="宋体" w:cs="宋体"/>
          <w:kern w:val="0"/>
          <w:sz w:val="24"/>
          <w:highlight w:val="none"/>
          <w:lang w:val="zh-CN"/>
        </w:rPr>
      </w:pPr>
      <w:r>
        <w:rPr>
          <w:rFonts w:hint="eastAsia" w:ascii="宋体" w:hAnsi="宋体" w:cs="宋体"/>
          <w:kern w:val="0"/>
          <w:sz w:val="24"/>
          <w:highlight w:val="none"/>
          <w:lang w:val="zh-CN"/>
        </w:rPr>
        <w:t>投标人名称(电子签名)：</w:t>
      </w:r>
    </w:p>
    <w:p>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lang w:val="zh-CN"/>
        </w:rPr>
        <w:t>日期：  年  月   日</w:t>
      </w:r>
    </w:p>
    <w:p>
      <w:pPr>
        <w:spacing w:line="360" w:lineRule="auto"/>
        <w:ind w:firstLine="482" w:firstLineChars="200"/>
        <w:rPr>
          <w:rFonts w:ascii="宋体" w:hAnsi="宋体" w:cs="宋体"/>
          <w:b/>
          <w:kern w:val="0"/>
          <w:sz w:val="24"/>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snapToGrid w:val="0"/>
        <w:spacing w:line="500" w:lineRule="exact"/>
        <w:jc w:val="center"/>
        <w:rPr>
          <w:rFonts w:hint="eastAsia" w:ascii="仿宋" w:hAnsi="仿宋" w:eastAsia="仿宋"/>
          <w:b/>
          <w:sz w:val="28"/>
          <w:szCs w:val="28"/>
          <w:highlight w:val="none"/>
        </w:rPr>
      </w:pPr>
    </w:p>
    <w:p>
      <w:pPr>
        <w:snapToGrid w:val="0"/>
        <w:spacing w:line="500" w:lineRule="exact"/>
        <w:jc w:val="center"/>
        <w:rPr>
          <w:rFonts w:hint="eastAsia" w:ascii="仿宋" w:hAnsi="仿宋" w:eastAsia="仿宋"/>
          <w:b/>
          <w:sz w:val="28"/>
          <w:szCs w:val="28"/>
          <w:highlight w:val="none"/>
        </w:rPr>
      </w:pPr>
    </w:p>
    <w:p>
      <w:pPr>
        <w:snapToGrid w:val="0"/>
        <w:spacing w:line="500" w:lineRule="exact"/>
        <w:jc w:val="center"/>
        <w:rPr>
          <w:rFonts w:hint="eastAsia" w:ascii="仿宋" w:hAnsi="仿宋" w:eastAsia="仿宋"/>
          <w:b/>
          <w:sz w:val="28"/>
          <w:szCs w:val="28"/>
          <w:highlight w:val="none"/>
        </w:rPr>
      </w:pPr>
    </w:p>
    <w:p>
      <w:pPr>
        <w:snapToGrid w:val="0"/>
        <w:spacing w:line="500" w:lineRule="exact"/>
        <w:jc w:val="center"/>
        <w:rPr>
          <w:rFonts w:hint="eastAsia" w:ascii="仿宋" w:hAnsi="仿宋" w:eastAsia="仿宋"/>
          <w:b/>
          <w:sz w:val="28"/>
          <w:szCs w:val="28"/>
          <w:highlight w:val="none"/>
        </w:rPr>
      </w:pPr>
    </w:p>
    <w:p>
      <w:pPr>
        <w:snapToGrid w:val="0"/>
        <w:spacing w:line="500" w:lineRule="exact"/>
        <w:jc w:val="center"/>
        <w:rPr>
          <w:rFonts w:hint="eastAsia" w:ascii="仿宋" w:hAnsi="仿宋" w:eastAsia="仿宋"/>
          <w:b/>
          <w:sz w:val="28"/>
          <w:szCs w:val="28"/>
          <w:highlight w:val="none"/>
        </w:rPr>
      </w:pPr>
    </w:p>
    <w:p>
      <w:pPr>
        <w:snapToGrid w:val="0"/>
        <w:spacing w:line="500" w:lineRule="exact"/>
        <w:jc w:val="center"/>
        <w:rPr>
          <w:rFonts w:hint="eastAsia" w:ascii="仿宋" w:hAnsi="仿宋" w:eastAsia="仿宋"/>
          <w:b/>
          <w:sz w:val="28"/>
          <w:szCs w:val="28"/>
          <w:highlight w:val="none"/>
          <w:lang w:eastAsia="zh-CN"/>
        </w:rPr>
      </w:pPr>
      <w:r>
        <w:rPr>
          <w:rFonts w:hint="eastAsia" w:ascii="仿宋" w:hAnsi="仿宋" w:eastAsia="仿宋"/>
          <w:b/>
          <w:sz w:val="28"/>
          <w:szCs w:val="28"/>
          <w:highlight w:val="none"/>
        </w:rPr>
        <w:t>报价明细清单</w:t>
      </w:r>
      <w:r>
        <w:rPr>
          <w:rFonts w:hint="eastAsia" w:ascii="仿宋" w:hAnsi="仿宋" w:eastAsia="仿宋"/>
          <w:b/>
          <w:sz w:val="28"/>
          <w:szCs w:val="28"/>
          <w:highlight w:val="none"/>
          <w:lang w:eastAsia="zh-CN"/>
        </w:rPr>
        <w:t>（两年）</w:t>
      </w:r>
    </w:p>
    <w:tbl>
      <w:tblPr>
        <w:tblStyle w:val="63"/>
        <w:tblW w:w="14278"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13" w:type="dxa"/>
          <w:bottom w:w="0" w:type="dxa"/>
          <w:right w:w="113" w:type="dxa"/>
        </w:tblCellMar>
      </w:tblPr>
      <w:tblGrid>
        <w:gridCol w:w="872"/>
        <w:gridCol w:w="624"/>
        <w:gridCol w:w="673"/>
        <w:gridCol w:w="2600"/>
        <w:gridCol w:w="2101"/>
        <w:gridCol w:w="2508"/>
        <w:gridCol w:w="2505"/>
        <w:gridCol w:w="239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序号</w:t>
            </w:r>
          </w:p>
        </w:tc>
        <w:tc>
          <w:tcPr>
            <w:tcW w:w="3897" w:type="dxa"/>
            <w:gridSpan w:val="3"/>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名称</w:t>
            </w:r>
          </w:p>
        </w:tc>
        <w:tc>
          <w:tcPr>
            <w:tcW w:w="2101"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单价（元/</w:t>
            </w:r>
            <w:r>
              <w:rPr>
                <w:rFonts w:hint="eastAsia" w:ascii="仿宋" w:hAnsi="仿宋" w:eastAsia="仿宋" w:cs="Arial"/>
                <w:szCs w:val="21"/>
                <w:highlight w:val="none"/>
                <w:lang w:eastAsia="zh-CN"/>
              </w:rPr>
              <w:t>两</w:t>
            </w:r>
            <w:r>
              <w:rPr>
                <w:rFonts w:hint="eastAsia" w:ascii="仿宋" w:hAnsi="仿宋" w:eastAsia="仿宋" w:cs="Arial"/>
                <w:szCs w:val="21"/>
                <w:highlight w:val="none"/>
              </w:rPr>
              <w:t>年）</w:t>
            </w:r>
          </w:p>
        </w:tc>
        <w:tc>
          <w:tcPr>
            <w:tcW w:w="2508"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数量（</w:t>
            </w:r>
            <w:r>
              <w:rPr>
                <w:rFonts w:hint="eastAsia" w:ascii="仿宋" w:hAnsi="仿宋" w:eastAsia="仿宋" w:cs="Arial"/>
                <w:szCs w:val="21"/>
                <w:highlight w:val="none"/>
                <w:lang w:eastAsia="zh-CN"/>
              </w:rPr>
              <w:t>两</w:t>
            </w:r>
            <w:r>
              <w:rPr>
                <w:rFonts w:hint="eastAsia" w:ascii="仿宋" w:hAnsi="仿宋" w:eastAsia="仿宋" w:cs="Arial"/>
                <w:szCs w:val="21"/>
                <w:highlight w:val="none"/>
              </w:rPr>
              <w:t>年）</w:t>
            </w:r>
          </w:p>
        </w:tc>
        <w:tc>
          <w:tcPr>
            <w:tcW w:w="2505"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总计</w:t>
            </w:r>
          </w:p>
        </w:tc>
        <w:tc>
          <w:tcPr>
            <w:tcW w:w="2395"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5" w:hRule="atLeast"/>
        </w:trPr>
        <w:tc>
          <w:tcPr>
            <w:tcW w:w="872" w:type="dxa"/>
            <w:vMerge w:val="restart"/>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1</w:t>
            </w:r>
          </w:p>
        </w:tc>
        <w:tc>
          <w:tcPr>
            <w:tcW w:w="624" w:type="dxa"/>
            <w:vMerge w:val="restart"/>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人工费用</w:t>
            </w: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人员基础工资</w:t>
            </w:r>
          </w:p>
        </w:tc>
        <w:tc>
          <w:tcPr>
            <w:tcW w:w="2101" w:type="dxa"/>
            <w:vMerge w:val="restart"/>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 xml:space="preserve">   人/</w:t>
            </w:r>
            <w:r>
              <w:rPr>
                <w:rFonts w:hint="eastAsia" w:ascii="仿宋" w:hAnsi="仿宋" w:eastAsia="仿宋" w:cs="Arial"/>
                <w:szCs w:val="21"/>
                <w:highlight w:val="none"/>
                <w:lang w:eastAsia="zh-CN"/>
              </w:rPr>
              <w:t>两</w:t>
            </w:r>
            <w:r>
              <w:rPr>
                <w:rFonts w:hint="eastAsia" w:ascii="仿宋" w:hAnsi="仿宋" w:eastAsia="仿宋" w:cs="Arial"/>
                <w:szCs w:val="21"/>
                <w:highlight w:val="none"/>
              </w:rPr>
              <w:t>年/元</w:t>
            </w:r>
          </w:p>
        </w:tc>
        <w:tc>
          <w:tcPr>
            <w:tcW w:w="2508" w:type="dxa"/>
            <w:vMerge w:val="restart"/>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restart"/>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restart"/>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624"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环卫特殊岗位津贴</w:t>
            </w:r>
          </w:p>
        </w:tc>
        <w:tc>
          <w:tcPr>
            <w:tcW w:w="2101"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624"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高温费</w:t>
            </w:r>
          </w:p>
        </w:tc>
        <w:tc>
          <w:tcPr>
            <w:tcW w:w="2101"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624"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社会保险费</w:t>
            </w:r>
          </w:p>
        </w:tc>
        <w:tc>
          <w:tcPr>
            <w:tcW w:w="2101"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624"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住房公积金</w:t>
            </w:r>
          </w:p>
        </w:tc>
        <w:tc>
          <w:tcPr>
            <w:tcW w:w="2101"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624"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双休日及法定节假日加班费</w:t>
            </w:r>
          </w:p>
        </w:tc>
        <w:tc>
          <w:tcPr>
            <w:tcW w:w="2101"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624"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3273" w:type="dxa"/>
            <w:gridSpan w:val="2"/>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医疗体检费</w:t>
            </w:r>
          </w:p>
        </w:tc>
        <w:tc>
          <w:tcPr>
            <w:tcW w:w="2101"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Merge w:val="continue"/>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64" w:hRule="atLeast"/>
        </w:trPr>
        <w:tc>
          <w:tcPr>
            <w:tcW w:w="872"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2</w:t>
            </w:r>
          </w:p>
        </w:tc>
        <w:tc>
          <w:tcPr>
            <w:tcW w:w="3897" w:type="dxa"/>
            <w:gridSpan w:val="3"/>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日常办公费用</w:t>
            </w:r>
          </w:p>
        </w:tc>
        <w:tc>
          <w:tcPr>
            <w:tcW w:w="2101"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95" w:hRule="atLeast"/>
        </w:trPr>
        <w:tc>
          <w:tcPr>
            <w:tcW w:w="872" w:type="dxa"/>
            <w:tcBorders>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3</w:t>
            </w:r>
          </w:p>
        </w:tc>
        <w:tc>
          <w:tcPr>
            <w:tcW w:w="3897" w:type="dxa"/>
            <w:gridSpan w:val="3"/>
            <w:tcBorders>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秩序维护部运行费用</w:t>
            </w:r>
          </w:p>
        </w:tc>
        <w:tc>
          <w:tcPr>
            <w:tcW w:w="2101" w:type="dxa"/>
            <w:tcBorders>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tcBorders>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tcBorders>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tcBorders>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80" w:hRule="atLeast"/>
        </w:trPr>
        <w:tc>
          <w:tcPr>
            <w:tcW w:w="872"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4</w:t>
            </w:r>
          </w:p>
        </w:tc>
        <w:tc>
          <w:tcPr>
            <w:tcW w:w="3897" w:type="dxa"/>
            <w:gridSpan w:val="3"/>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保洁绿化部运行费用</w:t>
            </w:r>
          </w:p>
        </w:tc>
        <w:tc>
          <w:tcPr>
            <w:tcW w:w="2101"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80" w:hRule="atLeast"/>
        </w:trPr>
        <w:tc>
          <w:tcPr>
            <w:tcW w:w="872"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5</w:t>
            </w:r>
          </w:p>
        </w:tc>
        <w:tc>
          <w:tcPr>
            <w:tcW w:w="3897" w:type="dxa"/>
            <w:gridSpan w:val="3"/>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公共设施设备年检、维护费用</w:t>
            </w:r>
          </w:p>
        </w:tc>
        <w:tc>
          <w:tcPr>
            <w:tcW w:w="2101"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tcBorders>
              <w:top w:val="single" w:color="auto" w:sz="4" w:space="0"/>
              <w:bottom w:val="single" w:color="auto" w:sz="4" w:space="0"/>
            </w:tcBorders>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54" w:hRule="atLeast"/>
        </w:trPr>
        <w:tc>
          <w:tcPr>
            <w:tcW w:w="872"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6</w:t>
            </w:r>
          </w:p>
        </w:tc>
        <w:tc>
          <w:tcPr>
            <w:tcW w:w="3897" w:type="dxa"/>
            <w:gridSpan w:val="3"/>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管理费</w:t>
            </w:r>
          </w:p>
        </w:tc>
        <w:tc>
          <w:tcPr>
            <w:tcW w:w="2101"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464" w:hRule="atLeast"/>
        </w:trPr>
        <w:tc>
          <w:tcPr>
            <w:tcW w:w="872" w:type="dxa"/>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7</w:t>
            </w:r>
          </w:p>
        </w:tc>
        <w:tc>
          <w:tcPr>
            <w:tcW w:w="3897" w:type="dxa"/>
            <w:gridSpan w:val="3"/>
            <w:vAlign w:val="center"/>
          </w:tcPr>
          <w:p>
            <w:pPr>
              <w:shd w:val="clear" w:color="auto" w:fill="FFFFFF"/>
              <w:snapToGrid w:val="0"/>
              <w:spacing w:line="300" w:lineRule="auto"/>
              <w:jc w:val="center"/>
              <w:rPr>
                <w:rFonts w:hint="eastAsia" w:ascii="仿宋" w:hAnsi="仿宋" w:eastAsia="仿宋" w:cs="Arial"/>
                <w:szCs w:val="21"/>
                <w:highlight w:val="none"/>
              </w:rPr>
            </w:pPr>
            <w:r>
              <w:rPr>
                <w:rFonts w:hint="eastAsia" w:ascii="仿宋" w:hAnsi="仿宋" w:eastAsia="仿宋" w:cs="Arial"/>
                <w:szCs w:val="21"/>
                <w:highlight w:val="none"/>
              </w:rPr>
              <w:t>其它费用</w:t>
            </w:r>
          </w:p>
        </w:tc>
        <w:tc>
          <w:tcPr>
            <w:tcW w:w="2101"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8"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505" w:type="dxa"/>
            <w:vAlign w:val="center"/>
          </w:tcPr>
          <w:p>
            <w:pPr>
              <w:shd w:val="clear" w:color="auto" w:fill="FFFFFF"/>
              <w:snapToGrid w:val="0"/>
              <w:spacing w:line="300" w:lineRule="auto"/>
              <w:jc w:val="center"/>
              <w:rPr>
                <w:rFonts w:hint="eastAsia" w:ascii="仿宋" w:hAnsi="仿宋" w:eastAsia="仿宋" w:cs="Arial"/>
                <w:szCs w:val="21"/>
                <w:highlight w:val="none"/>
              </w:rPr>
            </w:pPr>
          </w:p>
        </w:tc>
        <w:tc>
          <w:tcPr>
            <w:tcW w:w="2395" w:type="dxa"/>
            <w:vAlign w:val="center"/>
          </w:tcPr>
          <w:p>
            <w:pPr>
              <w:shd w:val="clear" w:color="auto" w:fill="FFFFFF"/>
              <w:snapToGrid w:val="0"/>
              <w:spacing w:line="300" w:lineRule="auto"/>
              <w:jc w:val="center"/>
              <w:rPr>
                <w:rFonts w:hint="eastAsia" w:ascii="仿宋" w:hAnsi="仿宋" w:eastAsia="仿宋" w:cs="Arial"/>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13" w:type="dxa"/>
            <w:bottom w:w="0" w:type="dxa"/>
            <w:right w:w="113" w:type="dxa"/>
          </w:tblCellMar>
        </w:tblPrEx>
        <w:trPr>
          <w:trHeight w:val="848" w:hRule="atLeast"/>
        </w:trPr>
        <w:tc>
          <w:tcPr>
            <w:tcW w:w="2169" w:type="dxa"/>
            <w:gridSpan w:val="3"/>
            <w:tcBorders>
              <w:right w:val="single" w:color="auto" w:sz="4" w:space="0"/>
            </w:tcBorders>
            <w:vAlign w:val="center"/>
          </w:tcPr>
          <w:p>
            <w:pPr>
              <w:shd w:val="clear" w:color="auto" w:fill="FFFFFF"/>
              <w:snapToGrid w:val="0"/>
              <w:spacing w:line="300" w:lineRule="auto"/>
              <w:jc w:val="left"/>
              <w:rPr>
                <w:rFonts w:hint="eastAsia" w:ascii="仿宋" w:hAnsi="仿宋" w:eastAsia="仿宋" w:cs="Arial"/>
                <w:szCs w:val="21"/>
                <w:highlight w:val="none"/>
              </w:rPr>
            </w:pPr>
            <w:r>
              <w:rPr>
                <w:rFonts w:ascii="仿宋" w:hAnsi="仿宋" w:eastAsia="仿宋" w:cs="Arial"/>
                <w:szCs w:val="21"/>
                <w:highlight w:val="none"/>
              </w:rPr>
              <w:t>总计</w:t>
            </w:r>
          </w:p>
        </w:tc>
        <w:tc>
          <w:tcPr>
            <w:tcW w:w="7209" w:type="dxa"/>
            <w:gridSpan w:val="3"/>
            <w:tcBorders>
              <w:left w:val="single" w:color="auto" w:sz="4" w:space="0"/>
              <w:right w:val="single" w:color="auto" w:sz="4" w:space="0"/>
            </w:tcBorders>
            <w:vAlign w:val="center"/>
          </w:tcPr>
          <w:p>
            <w:pPr>
              <w:shd w:val="clear" w:color="auto" w:fill="FFFFFF"/>
              <w:snapToGrid w:val="0"/>
              <w:spacing w:line="300" w:lineRule="auto"/>
              <w:jc w:val="left"/>
              <w:rPr>
                <w:rFonts w:hint="eastAsia" w:ascii="宋体" w:hAnsi="宋体" w:cs="宋体"/>
                <w:szCs w:val="21"/>
                <w:highlight w:val="none"/>
                <w:u w:val="single"/>
              </w:rPr>
            </w:pPr>
            <w:r>
              <w:rPr>
                <w:rFonts w:hint="eastAsia" w:ascii="仿宋" w:hAnsi="仿宋" w:eastAsia="仿宋" w:cs="Arial"/>
                <w:szCs w:val="21"/>
                <w:highlight w:val="none"/>
              </w:rPr>
              <w:t>大写：</w:t>
            </w:r>
            <w:r>
              <w:rPr>
                <w:rFonts w:hint="eastAsia" w:ascii="宋体" w:hAnsi="宋体" w:cs="宋体"/>
                <w:szCs w:val="21"/>
                <w:highlight w:val="none"/>
                <w:u w:val="single"/>
              </w:rPr>
              <w:t xml:space="preserve">                                                                              </w:t>
            </w:r>
          </w:p>
          <w:p>
            <w:pPr>
              <w:shd w:val="clear" w:color="auto" w:fill="FFFFFF"/>
              <w:snapToGrid w:val="0"/>
              <w:spacing w:line="300" w:lineRule="auto"/>
              <w:jc w:val="left"/>
              <w:rPr>
                <w:rFonts w:hint="eastAsia" w:ascii="宋体" w:hAnsi="宋体" w:cs="宋体"/>
                <w:szCs w:val="21"/>
                <w:highlight w:val="none"/>
              </w:rPr>
            </w:pPr>
            <w:r>
              <w:rPr>
                <w:rFonts w:hint="eastAsia" w:ascii="仿宋" w:hAnsi="仿宋" w:eastAsia="仿宋" w:cs="Arial"/>
                <w:szCs w:val="21"/>
                <w:highlight w:val="none"/>
              </w:rPr>
              <w:t>小写：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仿宋" w:hAnsi="仿宋" w:eastAsia="仿宋" w:cs="Arial"/>
                <w:szCs w:val="21"/>
                <w:highlight w:val="none"/>
              </w:rPr>
              <w:t>小写：人民币元)</w:t>
            </w:r>
          </w:p>
        </w:tc>
        <w:tc>
          <w:tcPr>
            <w:tcW w:w="4900" w:type="dxa"/>
            <w:gridSpan w:val="2"/>
            <w:tcBorders>
              <w:right w:val="single" w:color="auto" w:sz="4" w:space="0"/>
            </w:tcBorders>
            <w:vAlign w:val="center"/>
          </w:tcPr>
          <w:p>
            <w:pPr>
              <w:shd w:val="clear" w:color="auto" w:fill="FFFFFF"/>
              <w:snapToGrid w:val="0"/>
              <w:spacing w:line="300" w:lineRule="auto"/>
              <w:jc w:val="left"/>
              <w:rPr>
                <w:rFonts w:hint="eastAsia" w:ascii="仿宋" w:hAnsi="仿宋" w:eastAsia="仿宋" w:cs="Arial"/>
                <w:szCs w:val="21"/>
                <w:highlight w:val="none"/>
                <w:lang w:val="en-GB"/>
              </w:rPr>
            </w:pPr>
            <w:r>
              <w:rPr>
                <w:rFonts w:hint="eastAsia" w:ascii="仿宋" w:hAnsi="仿宋" w:eastAsia="仿宋" w:cs="Arial"/>
                <w:szCs w:val="21"/>
                <w:highlight w:val="none"/>
                <w:lang w:val="en-GB"/>
              </w:rPr>
              <w:t>服务期限：</w:t>
            </w:r>
          </w:p>
          <w:p>
            <w:pPr>
              <w:shd w:val="clear" w:color="auto" w:fill="FFFFFF"/>
              <w:snapToGrid w:val="0"/>
              <w:spacing w:line="300" w:lineRule="auto"/>
              <w:jc w:val="lef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tc>
      </w:tr>
    </w:tbl>
    <w:p>
      <w:pPr>
        <w:pStyle w:val="25"/>
        <w:rPr>
          <w:rFonts w:hint="eastAsia" w:asciiTheme="minorEastAsia" w:hAnsiTheme="minorEastAsia" w:eastAsiaTheme="minorEastAsia" w:cstheme="minorEastAsia"/>
          <w:kern w:val="0"/>
          <w:sz w:val="24"/>
          <w:szCs w:val="24"/>
          <w:highlight w:val="none"/>
          <w:lang w:val="zh-CN"/>
        </w:rPr>
      </w:pPr>
    </w:p>
    <w:p>
      <w:pPr>
        <w:rPr>
          <w:rFonts w:hint="eastAsia" w:ascii="宋体" w:hAnsi="宋体" w:eastAsia="宋体" w:cs="宋体"/>
          <w:color w:val="FF0000"/>
          <w:kern w:val="2"/>
          <w:sz w:val="24"/>
          <w:szCs w:val="24"/>
          <w:lang w:val="zh-CN"/>
        </w:rPr>
      </w:pPr>
    </w:p>
    <w:p>
      <w:pPr>
        <w:spacing w:line="360" w:lineRule="auto"/>
        <w:ind w:firstLine="482" w:firstLineChars="200"/>
        <w:rPr>
          <w:rFonts w:hint="eastAsia" w:ascii="仿宋" w:hAnsi="仿宋" w:eastAsia="仿宋" w:cs="仿宋_GB2312"/>
          <w:b/>
          <w:kern w:val="0"/>
          <w:sz w:val="24"/>
          <w:highlight w:val="none"/>
          <w:lang w:val="zh-CN"/>
        </w:rPr>
      </w:pPr>
      <w:r>
        <w:rPr>
          <w:rFonts w:hint="eastAsia" w:ascii="仿宋" w:hAnsi="仿宋" w:eastAsia="仿宋" w:cs="仿宋_GB2312"/>
          <w:b/>
          <w:kern w:val="0"/>
          <w:sz w:val="24"/>
          <w:highlight w:val="none"/>
          <w:lang w:val="zh-CN"/>
        </w:rPr>
        <w:t>注：</w:t>
      </w:r>
    </w:p>
    <w:p>
      <w:pPr>
        <w:spacing w:line="360" w:lineRule="auto"/>
        <w:ind w:left="-2" w:leftChars="-1"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1、投标人需按本表格式填写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kern w:val="0"/>
          <w:sz w:val="24"/>
          <w:highlight w:val="none"/>
          <w:lang w:val="zh-CN"/>
        </w:rPr>
        <w:t>。</w:t>
      </w:r>
    </w:p>
    <w:p>
      <w:pPr>
        <w:spacing w:line="360" w:lineRule="auto"/>
        <w:ind w:firstLine="480" w:firstLineChars="200"/>
        <w:rPr>
          <w:rFonts w:hint="eastAsia" w:ascii="宋体" w:hAnsi="宋体" w:cs="宋体"/>
          <w:b/>
          <w:sz w:val="24"/>
          <w:highlight w:val="none"/>
        </w:rPr>
      </w:pPr>
      <w:r>
        <w:rPr>
          <w:rFonts w:hint="eastAsia" w:ascii="宋体" w:hAnsi="宋体" w:cs="宋体"/>
          <w:kern w:val="0"/>
          <w:sz w:val="24"/>
          <w:highlight w:val="none"/>
          <w:lang w:val="zh-CN"/>
        </w:rPr>
        <w:t>2、有关本项目实施所涉及的一切费用均计入报价。总价不为零，报价明细表中部分产品、服务单价为零的，视作已包含在总价中。</w:t>
      </w:r>
      <w:r>
        <w:rPr>
          <w:rFonts w:hint="eastAsia" w:ascii="宋体" w:hAnsi="宋体" w:cs="宋体"/>
          <w:b/>
          <w:kern w:val="0"/>
          <w:sz w:val="24"/>
          <w:highlight w:val="none"/>
          <w:lang w:val="zh-CN"/>
        </w:rPr>
        <w:t>采购人将以合同形式有偿取得货物或服务，不接受投标人给予的赠品、回扣或者与采购无关的其他商品、服务；采购内容未包含在《开标一览表（报价表）》名称栏中，投标人不能作出合理解释的，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pPr>
        <w:snapToGrid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3、特别提示：采购机构将对项目名称和项目编号，中标供应商名称、地址和中标金额，主要中标标的名称、品牌（如果有）、规格型号、数量、单价等予以公示。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hint="eastAsia" w:ascii="宋体" w:hAnsi="宋体" w:cs="宋体"/>
          <w:kern w:val="0"/>
          <w:sz w:val="24"/>
          <w:highlight w:val="none"/>
          <w:lang w:val="zh-CN"/>
        </w:rPr>
      </w:pPr>
      <w:r>
        <w:rPr>
          <w:rFonts w:ascii="宋体" w:hAnsi="宋体" w:cs="宋体"/>
          <w:kern w:val="0"/>
          <w:sz w:val="24"/>
          <w:szCs w:val="22"/>
          <w:highlight w:val="none"/>
          <w:lang w:val="zh-CN"/>
        </w:rPr>
        <w:t>4</w:t>
      </w:r>
      <w:r>
        <w:rPr>
          <w:rFonts w:hint="eastAsia" w:ascii="宋体" w:hAnsi="宋体" w:cs="宋体"/>
          <w:kern w:val="0"/>
          <w:sz w:val="24"/>
          <w:szCs w:val="22"/>
          <w:highlight w:val="none"/>
          <w:lang w:val="zh-CN"/>
        </w:rPr>
        <w:t>、</w:t>
      </w:r>
      <w:r>
        <w:rPr>
          <w:rFonts w:hint="eastAsia" w:ascii="宋体" w:hAnsi="宋体" w:cs="宋体"/>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360" w:lineRule="auto"/>
        <w:ind w:firstLine="482" w:firstLineChars="200"/>
        <w:rPr>
          <w:rFonts w:hint="eastAsia" w:eastAsia="宋体"/>
          <w:highlight w:val="none"/>
          <w:lang w:eastAsia="zh-CN"/>
        </w:rPr>
      </w:pPr>
      <w:r>
        <w:rPr>
          <w:rFonts w:hint="eastAsia" w:ascii="宋体" w:hAnsi="宋体" w:cs="宋体"/>
          <w:b/>
          <w:sz w:val="24"/>
          <w:highlight w:val="none"/>
        </w:rPr>
        <w:t>5、特别说明：▲供应商报价低于项目预算50%的，应当在报价文件中详细阐述不影响产品质量或者诚信履约的具体原因，否则投标无</w:t>
      </w:r>
      <w:r>
        <w:rPr>
          <w:rFonts w:hint="eastAsia" w:ascii="宋体" w:hAnsi="宋体" w:cs="宋体"/>
          <w:b/>
          <w:sz w:val="24"/>
          <w:highlight w:val="none"/>
          <w:lang w:eastAsia="zh-CN"/>
        </w:rPr>
        <w:t>。</w:t>
      </w:r>
    </w:p>
    <w:p>
      <w:pPr>
        <w:pStyle w:val="25"/>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pPr>
        <w:pStyle w:val="691"/>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kern w:val="2"/>
          <w:sz w:val="32"/>
          <w:szCs w:val="32"/>
          <w:u w:val="none"/>
        </w:rPr>
        <w:t>二、</w:t>
      </w:r>
      <w:r>
        <w:rPr>
          <w:rFonts w:hint="eastAsia" w:ascii="宋体" w:hAnsi="宋体" w:eastAsia="宋体" w:cs="宋体"/>
          <w:color w:val="auto"/>
          <w:kern w:val="2"/>
          <w:sz w:val="32"/>
          <w:szCs w:val="32"/>
          <w:highlight w:val="none"/>
          <w:lang w:val="en-US" w:eastAsia="zh-CN"/>
        </w:rPr>
        <w:t>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pPr>
        <w:widowControl/>
        <w:spacing w:line="360" w:lineRule="auto"/>
        <w:ind w:firstLine="120" w:firstLineChars="50"/>
        <w:jc w:val="left"/>
        <w:rPr>
          <w:rFonts w:hint="eastAsia" w:ascii="宋体" w:hAnsi="宋体" w:cs="宋体"/>
          <w:b/>
          <w:sz w:val="24"/>
          <w:highlight w:val="none"/>
        </w:rPr>
      </w:pPr>
    </w:p>
    <w:p>
      <w:pPr>
        <w:widowControl/>
        <w:spacing w:line="360" w:lineRule="auto"/>
        <w:ind w:firstLine="120" w:firstLineChars="50"/>
        <w:jc w:val="left"/>
        <w:rPr>
          <w:rFonts w:hint="eastAsia" w:ascii="宋体" w:hAnsi="宋体" w:cs="宋体"/>
          <w:b/>
          <w:sz w:val="24"/>
          <w:highlight w:val="none"/>
        </w:rPr>
      </w:pPr>
    </w:p>
    <w:p>
      <w:pPr>
        <w:pStyle w:val="691"/>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pPr>
    </w:p>
    <w:p>
      <w:pPr>
        <w:pStyle w:val="691"/>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kern w:val="2"/>
          <w:sz w:val="32"/>
          <w:szCs w:val="32"/>
          <w:highlight w:val="none"/>
          <w:lang w:eastAsia="zh-CN"/>
        </w:rPr>
        <w:t>三</w:t>
      </w:r>
      <w:r>
        <w:rPr>
          <w:rFonts w:hint="eastAsia" w:ascii="宋体" w:hAnsi="宋体" w:eastAsia="宋体" w:cs="宋体"/>
          <w:kern w:val="2"/>
          <w:sz w:val="32"/>
          <w:szCs w:val="32"/>
          <w:highlight w:val="none"/>
        </w:rPr>
        <w:t>、</w:t>
      </w:r>
      <w:r>
        <w:rPr>
          <w:rFonts w:hint="eastAsia" w:ascii="宋体" w:hAnsi="宋体" w:eastAsia="宋体" w:cs="宋体"/>
          <w:color w:val="auto"/>
          <w:sz w:val="32"/>
          <w:szCs w:val="32"/>
          <w:highlight w:val="none"/>
        </w:rPr>
        <w:t>中小企业声明函</w:t>
      </w:r>
      <w:bookmarkStart w:id="421" w:name="_Hlk101259491"/>
      <w:r>
        <w:rPr>
          <w:rFonts w:hint="eastAsia" w:ascii="宋体" w:hAnsi="宋体" w:eastAsia="宋体" w:cs="宋体"/>
          <w:color w:val="auto"/>
          <w:sz w:val="32"/>
          <w:szCs w:val="32"/>
          <w:highlight w:val="none"/>
        </w:rPr>
        <w:t>（如果有）</w:t>
      </w:r>
      <w:bookmarkEnd w:id="421"/>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1"/>
        <w:keepNext w:val="0"/>
        <w:pageBreakBefore w:val="0"/>
        <w:tabs>
          <w:tab w:val="clear" w:pos="720"/>
        </w:tabs>
        <w:snapToGrid w:val="0"/>
        <w:spacing w:before="120" w:after="120"/>
        <w:ind w:firstLine="643"/>
        <w:outlineLvl w:val="9"/>
        <w:rPr>
          <w:rFonts w:hint="eastAsia" w:ascii="宋体" w:hAnsi="宋体" w:eastAsia="宋体" w:cs="宋体"/>
          <w:kern w:val="2"/>
          <w:sz w:val="24"/>
          <w:szCs w:val="24"/>
        </w:rPr>
      </w:pPr>
    </w:p>
    <w:p>
      <w:pPr>
        <w:widowControl/>
        <w:spacing w:line="360" w:lineRule="auto"/>
        <w:ind w:firstLine="120" w:firstLineChars="50"/>
        <w:jc w:val="left"/>
        <w:rPr>
          <w:rFonts w:hint="eastAsia" w:ascii="宋体" w:hAnsi="宋体" w:cs="宋体"/>
          <w:b/>
          <w:sz w:val="24"/>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rPr>
          <w:rFonts w:ascii="宋体" w:hAnsi="宋体" w:cs="宋体"/>
          <w:b/>
          <w:kern w:val="0"/>
          <w:sz w:val="36"/>
          <w:szCs w:val="36"/>
        </w:rPr>
      </w:pPr>
    </w:p>
    <w:p>
      <w:pPr>
        <w:pStyle w:val="3"/>
        <w:keepNext w:val="0"/>
        <w:keepLines w:val="0"/>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pPr>
        <w:spacing w:line="360" w:lineRule="auto"/>
        <w:rPr>
          <w:rFonts w:ascii="宋体" w:hAnsi="宋体" w:cs="宋体"/>
          <w:b/>
          <w:spacing w:val="6"/>
          <w:sz w:val="32"/>
          <w:szCs w:val="32"/>
        </w:rPr>
      </w:pPr>
      <w:r>
        <w:rPr>
          <w:rFonts w:hint="eastAsia" w:ascii="宋体" w:hAnsi="宋体" w:cs="宋体"/>
          <w:b/>
          <w:spacing w:val="6"/>
          <w:sz w:val="32"/>
          <w:szCs w:val="32"/>
        </w:rPr>
        <w:t>附件1：</w:t>
      </w:r>
    </w:p>
    <w:p>
      <w:pPr>
        <w:spacing w:line="360" w:lineRule="auto"/>
        <w:jc w:val="center"/>
        <w:rPr>
          <w:rFonts w:ascii="宋体" w:hAnsi="宋体" w:cs="宋体"/>
          <w:b/>
          <w:spacing w:val="6"/>
          <w:sz w:val="32"/>
          <w:szCs w:val="32"/>
        </w:rPr>
      </w:pPr>
      <w:bookmarkStart w:id="422" w:name="OLE_LINK13"/>
      <w:bookmarkStart w:id="423" w:name="OLE_LINK14"/>
      <w:r>
        <w:rPr>
          <w:rFonts w:hint="eastAsia" w:ascii="宋体" w:hAnsi="宋体" w:cs="宋体"/>
          <w:b/>
          <w:spacing w:val="6"/>
          <w:sz w:val="32"/>
          <w:szCs w:val="32"/>
        </w:rPr>
        <w:t>残疾人福利性单位声明函</w:t>
      </w:r>
    </w:p>
    <w:bookmarkEnd w:id="422"/>
    <w:bookmarkEnd w:id="423"/>
    <w:p>
      <w:pPr>
        <w:spacing w:line="360" w:lineRule="auto"/>
        <w:rPr>
          <w:rFonts w:ascii="宋体" w:hAnsi="宋体" w:cs="宋体"/>
          <w:b/>
          <w:spacing w:val="6"/>
          <w:sz w:val="30"/>
          <w:szCs w:val="30"/>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rPr>
        <w:t>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lang w:eastAsia="zh-CN"/>
        </w:rPr>
        <w:t>杭州市上城区小营街道南片6个社区（长明寺巷、金钱巷、茅廊巷、西牌楼、梅花碑、姚园寺巷社区）准物业服务项目</w:t>
      </w:r>
      <w:r>
        <w:rPr>
          <w:rFonts w:hint="eastAsia" w:ascii="宋体" w:hAnsi="宋体" w:cs="宋体"/>
          <w:color w:val="auto"/>
          <w:sz w:val="24"/>
        </w:rPr>
        <w:t>__</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pPr>
        <w:spacing w:line="360" w:lineRule="auto"/>
        <w:ind w:firstLine="480" w:firstLineChars="200"/>
        <w:rPr>
          <w:rFonts w:ascii="宋体" w:hAnsi="宋体" w:cs="宋体"/>
          <w:sz w:val="24"/>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pPr>
        <w:spacing w:line="360" w:lineRule="auto"/>
        <w:jc w:val="center"/>
        <w:rPr>
          <w:rFonts w:ascii="宋体" w:hAnsi="宋体" w:cs="宋体"/>
          <w:b/>
          <w:sz w:val="24"/>
        </w:rPr>
      </w:pPr>
    </w:p>
    <w:p>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pPr>
        <w:spacing w:line="360" w:lineRule="auto"/>
        <w:rPr>
          <w:rFonts w:ascii="宋体" w:hAnsi="宋体" w:cs="宋体"/>
          <w:sz w:val="24"/>
        </w:rPr>
      </w:pPr>
      <w:r>
        <w:rPr>
          <w:rFonts w:hint="eastAsia" w:ascii="宋体" w:hAnsi="宋体" w:cs="宋体"/>
          <w:sz w:val="24"/>
        </w:rPr>
        <w:t>一、投诉相关主体基本情况</w:t>
      </w:r>
    </w:p>
    <w:p>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被投诉人2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二、投诉项目基本情况</w:t>
      </w:r>
    </w:p>
    <w:p>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三、质疑基本情况</w:t>
      </w:r>
    </w:p>
    <w:p>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pPr>
        <w:spacing w:line="360" w:lineRule="auto"/>
        <w:rPr>
          <w:rFonts w:ascii="宋体" w:hAnsi="宋体" w:cs="宋体"/>
          <w:sz w:val="24"/>
        </w:rPr>
      </w:pPr>
      <w:r>
        <w:rPr>
          <w:rFonts w:hint="eastAsia" w:ascii="宋体" w:hAnsi="宋体" w:cs="宋体"/>
          <w:sz w:val="24"/>
        </w:rPr>
        <w:t>四、投诉事项具体内容</w:t>
      </w:r>
    </w:p>
    <w:p>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投诉事项2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五、与投诉事项相关的投诉请求</w:t>
      </w:r>
    </w:p>
    <w:p>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投诉书制作说明：</w:t>
      </w:r>
    </w:p>
    <w:p>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pPr>
        <w:spacing w:line="360" w:lineRule="auto"/>
        <w:rPr>
          <w:rFonts w:ascii="宋体" w:hAnsi="宋体" w:cs="宋体"/>
          <w:color w:val="auto"/>
          <w:sz w:val="24"/>
          <w:u w:val="single"/>
        </w:rPr>
      </w:pPr>
    </w:p>
    <w:p>
      <w:pPr>
        <w:spacing w:line="360" w:lineRule="auto"/>
        <w:rPr>
          <w:rFonts w:ascii="宋体" w:hAnsi="宋体" w:cs="宋体"/>
          <w:color w:val="auto"/>
          <w:sz w:val="24"/>
        </w:rPr>
      </w:pPr>
      <w:r>
        <w:rPr>
          <w:rFonts w:hint="eastAsia" w:ascii="宋体" w:hAnsi="宋体" w:cs="宋体"/>
          <w:color w:val="auto"/>
          <w:sz w:val="24"/>
          <w:u w:val="single"/>
          <w:lang w:eastAsia="zh-CN"/>
        </w:rPr>
        <w:t>杭州市上城区人民政府小营街道办事处</w:t>
      </w:r>
      <w:r>
        <w:rPr>
          <w:rFonts w:hint="eastAsia" w:ascii="宋体" w:hAnsi="宋体" w:cs="宋体"/>
          <w:color w:val="auto"/>
          <w:sz w:val="24"/>
          <w:u w:val="single"/>
        </w:rPr>
        <w:t>、</w:t>
      </w:r>
      <w:r>
        <w:rPr>
          <w:rFonts w:hint="eastAsia" w:ascii="宋体" w:hAnsi="宋体" w:cs="宋体"/>
          <w:color w:val="auto"/>
          <w:sz w:val="24"/>
          <w:u w:val="single"/>
          <w:lang w:eastAsia="zh-CN"/>
        </w:rPr>
        <w:t>杭州市公共资源交易中心上城分中心</w:t>
      </w:r>
      <w:r>
        <w:rPr>
          <w:rFonts w:hint="eastAsia" w:ascii="宋体" w:hAnsi="宋体" w:cs="宋体"/>
          <w:color w:val="auto"/>
          <w:sz w:val="24"/>
          <w:u w:val="single"/>
        </w:rPr>
        <w:t>：</w:t>
      </w:r>
    </w:p>
    <w:p>
      <w:pPr>
        <w:spacing w:line="360" w:lineRule="auto"/>
        <w:ind w:firstLine="480" w:firstLineChars="200"/>
        <w:rPr>
          <w:rFonts w:ascii="宋体" w:hAnsi="宋体" w:cs="宋体"/>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w:t>
      </w:r>
      <w:r>
        <w:rPr>
          <w:rFonts w:hint="eastAsia" w:ascii="宋体" w:hAnsi="宋体" w:cs="宋体"/>
          <w:color w:val="auto"/>
          <w:sz w:val="24"/>
          <w:lang w:eastAsia="zh-CN"/>
        </w:rPr>
        <w:t>杭州市上城区小营街道南片6个社区（长明寺巷、金钱巷、茅廊巷、西牌楼、梅花碑、姚园寺巷社区）准物业服务项目</w:t>
      </w:r>
      <w:r>
        <w:rPr>
          <w:rFonts w:hint="eastAsia" w:ascii="宋体" w:hAnsi="宋体" w:cs="宋体"/>
          <w:color w:val="auto"/>
          <w:sz w:val="24"/>
        </w:rPr>
        <w:t>【招标编号：</w:t>
      </w:r>
      <w:r>
        <w:rPr>
          <w:rFonts w:hint="eastAsia" w:ascii="宋体" w:hAnsi="宋体" w:cs="宋体"/>
          <w:color w:val="auto"/>
          <w:sz w:val="24"/>
          <w:lang w:eastAsia="zh-CN"/>
        </w:rPr>
        <w:t>SCCG2026-GK-08</w:t>
      </w:r>
      <w:r>
        <w:rPr>
          <w:rFonts w:hint="eastAsia" w:ascii="宋体" w:hAnsi="宋体" w:cs="宋体"/>
          <w:color w:val="auto"/>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pPr>
        <w:ind w:right="1440" w:firstLine="494"/>
        <w:jc w:val="center"/>
        <w:rPr>
          <w:rFonts w:ascii="宋体" w:hAnsi="宋体" w:cs="宋体"/>
          <w:sz w:val="24"/>
        </w:rPr>
      </w:pPr>
      <w:r>
        <w:rPr>
          <w:rFonts w:hint="eastAsia" w:ascii="宋体" w:hAnsi="宋体" w:cs="宋体"/>
          <w:sz w:val="24"/>
        </w:rPr>
        <w:t xml:space="preserve">                              日期：       年     月     日</w:t>
      </w:r>
    </w:p>
    <w:p>
      <w:pPr>
        <w:rPr>
          <w:rFonts w:ascii="宋体" w:hAnsi="宋体" w:cs="宋体"/>
          <w:sz w:val="24"/>
        </w:rPr>
      </w:pPr>
      <w:r>
        <w:rPr>
          <w:rFonts w:hint="eastAsia" w:ascii="宋体" w:hAnsi="宋体" w:cs="宋体"/>
          <w:b/>
          <w:bCs/>
          <w:sz w:val="24"/>
        </w:rPr>
        <w:t>附：</w:t>
      </w:r>
    </w:p>
    <w:p>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color w:val="auto"/>
          <w:sz w:val="24"/>
          <w:lang w:eastAsia="zh-CN"/>
        </w:rPr>
        <w:t>杭州市上城区小营街道南片6个社区（长明寺巷、金钱巷、茅廊巷、西牌楼、梅花碑、姚园寺巷社区）准物业服务项目</w:t>
      </w:r>
      <w:r>
        <w:rPr>
          <w:rFonts w:hint="eastAsia" w:ascii="宋体" w:hAnsi="宋体" w:cs="宋体"/>
          <w:color w:val="auto"/>
          <w:sz w:val="24"/>
        </w:rPr>
        <w:t>【招标编号：</w:t>
      </w:r>
      <w:r>
        <w:rPr>
          <w:rFonts w:hint="eastAsia" w:ascii="宋体" w:hAnsi="宋体" w:cs="宋体"/>
          <w:color w:val="auto"/>
          <w:sz w:val="24"/>
          <w:lang w:eastAsia="zh-CN"/>
        </w:rPr>
        <w:t>SCCG2026-GK-08</w:t>
      </w:r>
      <w:r>
        <w:rPr>
          <w:rFonts w:hint="eastAsia" w:ascii="宋体" w:hAnsi="宋体" w:cs="宋体"/>
          <w:color w:val="auto"/>
          <w:sz w:val="24"/>
        </w:rPr>
        <w:t>】</w:t>
      </w:r>
      <w:r>
        <w:rPr>
          <w:rFonts w:hint="eastAsia" w:ascii="宋体" w:hAnsi="宋体" w:cs="宋体"/>
          <w:color w:val="auto"/>
          <w:kern w:val="0"/>
          <w:sz w:val="24"/>
          <w:lang w:val="zh-CN"/>
        </w:rPr>
        <w:t xml:space="preserve">投标。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w:t>
      </w:r>
      <w:r>
        <w:rPr>
          <w:rFonts w:hint="eastAsia" w:ascii="宋体" w:hAnsi="宋体" w:cs="宋体"/>
          <w:kern w:val="0"/>
          <w:sz w:val="24"/>
          <w:highlight w:val="none"/>
          <w:lang w:val="zh-CN"/>
        </w:rPr>
        <w:t>招标文件规定及投标内容而对采购人、</w:t>
      </w:r>
      <w:r>
        <w:rPr>
          <w:rFonts w:hint="eastAsia" w:ascii="宋体" w:hAnsi="宋体" w:cs="宋体"/>
          <w:sz w:val="24"/>
          <w:highlight w:val="none"/>
          <w:lang w:eastAsia="zh-CN"/>
        </w:rPr>
        <w:t>采购机构</w:t>
      </w:r>
      <w:r>
        <w:rPr>
          <w:rFonts w:hint="eastAsia" w:ascii="宋体" w:hAnsi="宋体" w:cs="宋体"/>
          <w:kern w:val="0"/>
          <w:sz w:val="24"/>
          <w:highlight w:val="none"/>
          <w:lang w:val="zh-CN"/>
        </w:rPr>
        <w:t>所作的任何合法承诺，包括书面澄清及</w:t>
      </w:r>
      <w:r>
        <w:rPr>
          <w:rFonts w:hint="eastAsia" w:ascii="宋体" w:hAnsi="宋体" w:cs="宋体"/>
          <w:kern w:val="0"/>
          <w:sz w:val="24"/>
          <w:highlight w:val="none"/>
          <w:lang w:val="en-US" w:eastAsia="zh-CN"/>
        </w:rPr>
        <w:t>响应</w:t>
      </w:r>
      <w:r>
        <w:rPr>
          <w:rFonts w:hint="eastAsia" w:ascii="宋体" w:hAnsi="宋体" w:cs="宋体"/>
          <w:kern w:val="0"/>
          <w:sz w:val="24"/>
          <w:highlight w:val="none"/>
          <w:lang w:val="zh-CN"/>
        </w:rPr>
        <w:t>等均对联合投标各方产生约束力。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p>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lang w:val="zh-CN"/>
        </w:rPr>
        <w:t>四、联合体成员中小企业合同份额。</w:t>
      </w:r>
      <w:r>
        <w:rPr>
          <w:rFonts w:hint="eastAsia" w:ascii="宋体" w:hAnsi="宋体" w:cs="宋体"/>
          <w:kern w:val="0"/>
          <w:sz w:val="24"/>
          <w:highlight w:val="none"/>
          <w:lang w:val="zh-CN"/>
        </w:rPr>
        <w:t>（根据项目具体情况二选一填写）</w:t>
      </w:r>
    </w:p>
    <w:p>
      <w:pPr>
        <w:snapToGrid w:val="0"/>
        <w:spacing w:line="360" w:lineRule="auto"/>
        <w:ind w:firstLine="576"/>
        <w:rPr>
          <w:rFonts w:hint="eastAsia" w:ascii="宋体" w:hAnsi="宋体" w:cs="宋体"/>
          <w:b/>
          <w:kern w:val="0"/>
          <w:sz w:val="24"/>
          <w:highlight w:val="none"/>
          <w:lang w:val="zh-CN"/>
        </w:rPr>
      </w:pPr>
      <w:r>
        <w:rPr>
          <w:rFonts w:hint="eastAsia" w:ascii="宋体" w:hAnsi="宋体" w:cs="宋体"/>
          <w:kern w:val="0"/>
          <w:sz w:val="24"/>
          <w:highlight w:val="none"/>
          <w:u w:val="none"/>
        </w:rPr>
        <w:t xml:space="preserve">☐ </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提供的全部货物由小微企业制造，其合同份额占到合同总金额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napToGrid w:val="0"/>
        <w:spacing w:line="360" w:lineRule="auto"/>
        <w:ind w:firstLine="576"/>
        <w:rPr>
          <w:rFonts w:hint="eastAsia" w:ascii="宋体" w:hAnsi="宋体" w:cs="宋体"/>
          <w:kern w:val="0"/>
          <w:sz w:val="24"/>
          <w:lang w:val="zh-CN"/>
        </w:rPr>
      </w:pPr>
      <w:r>
        <w:rPr>
          <w:rFonts w:hint="eastAsia" w:ascii="宋体" w:hAnsi="宋体" w:cs="宋体"/>
          <w:kern w:val="0"/>
          <w:sz w:val="24"/>
          <w:highlight w:val="none"/>
          <w:u w:val="none"/>
        </w:rPr>
        <w:t xml:space="preserve">☐ </w:t>
      </w: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w:t>
      </w:r>
      <w:r>
        <w:rPr>
          <w:rFonts w:hint="eastAsia" w:ascii="宋体" w:hAnsi="宋体" w:cs="宋体"/>
          <w:sz w:val="24"/>
        </w:rPr>
        <w:t>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pPr>
        <w:spacing w:line="360" w:lineRule="auto"/>
        <w:ind w:firstLine="480" w:firstLineChars="200"/>
        <w:rPr>
          <w:rFonts w:ascii="宋体" w:hAnsi="宋体" w:cs="宋体"/>
          <w:b/>
          <w:bCs/>
          <w:kern w:val="0"/>
          <w:sz w:val="24"/>
          <w:lang w:val="zh-CN"/>
        </w:rPr>
      </w:pPr>
      <w:r>
        <w:rPr>
          <w:rFonts w:hint="eastAsia" w:ascii="宋体" w:hAnsi="宋体" w:cs="宋体"/>
          <w:sz w:val="24"/>
          <w:highlight w:val="none"/>
        </w:rPr>
        <w:t>2、</w:t>
      </w:r>
      <w:bookmarkStart w:id="424"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其中</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w:t>
      </w:r>
      <w:r>
        <w:rPr>
          <w:rFonts w:hint="eastAsia" w:ascii="宋体" w:hAnsi="宋体" w:cs="宋体"/>
          <w:b/>
          <w:bCs/>
          <w:sz w:val="24"/>
        </w:rPr>
        <w:t>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24"/>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w:t>
      </w:r>
      <w:r>
        <w:rPr>
          <w:rFonts w:hint="eastAsia" w:ascii="宋体" w:hAnsi="宋体" w:cs="宋体"/>
          <w:sz w:val="24"/>
          <w:highlight w:val="none"/>
          <w:lang w:eastAsia="zh-CN"/>
        </w:rPr>
        <w:t>采购机构</w:t>
      </w:r>
      <w:r>
        <w:rPr>
          <w:rFonts w:hint="eastAsia" w:ascii="宋体" w:hAnsi="宋体" w:cs="宋体"/>
          <w:kern w:val="0"/>
          <w:sz w:val="24"/>
          <w:lang w:val="zh-CN"/>
        </w:rPr>
        <w:t>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widowControl/>
        <w:adjustRightInd/>
        <w:jc w:val="left"/>
        <w:rPr>
          <w:rFonts w:ascii="宋体" w:hAnsi="宋体" w:cs="宋体"/>
          <w:b/>
          <w:spacing w:val="6"/>
          <w:sz w:val="32"/>
          <w:szCs w:val="32"/>
        </w:rPr>
      </w:pPr>
    </w:p>
    <w:p>
      <w:pPr>
        <w:snapToGrid w:val="0"/>
        <w:spacing w:line="360" w:lineRule="auto"/>
        <w:ind w:firstLine="3666" w:firstLineChars="1100"/>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pPr>
        <w:snapToGrid w:val="0"/>
        <w:spacing w:line="360" w:lineRule="auto"/>
        <w:ind w:firstLine="576"/>
        <w:rPr>
          <w:rFonts w:ascii="宋体" w:hAnsi="宋体" w:cs="宋体"/>
          <w:color w:val="auto"/>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w:t>
      </w:r>
      <w:r>
        <w:rPr>
          <w:rFonts w:hint="eastAsia" w:ascii="宋体" w:hAnsi="宋体" w:cs="宋体"/>
          <w:color w:val="auto"/>
          <w:kern w:val="0"/>
          <w:sz w:val="24"/>
          <w:lang w:val="zh-CN"/>
        </w:rPr>
        <w:t>为</w:t>
      </w:r>
      <w:r>
        <w:rPr>
          <w:rFonts w:hint="eastAsia" w:ascii="宋体" w:hAnsi="宋体" w:cs="宋体"/>
          <w:color w:val="auto"/>
          <w:sz w:val="24"/>
          <w:lang w:eastAsia="zh-CN"/>
        </w:rPr>
        <w:t>杭州市上城区小营街道南片6个社区（长明寺巷、金钱巷、茅廊巷、西牌楼、梅花碑、姚园寺巷社区）准物业服务项目</w:t>
      </w:r>
      <w:r>
        <w:rPr>
          <w:rFonts w:hint="eastAsia" w:ascii="宋体" w:hAnsi="宋体" w:cs="宋体"/>
          <w:color w:val="auto"/>
          <w:sz w:val="24"/>
        </w:rPr>
        <w:t>【招标编号：</w:t>
      </w:r>
      <w:r>
        <w:rPr>
          <w:rFonts w:hint="eastAsia" w:ascii="宋体" w:hAnsi="宋体" w:cs="宋体"/>
          <w:color w:val="auto"/>
          <w:sz w:val="24"/>
          <w:lang w:eastAsia="zh-CN"/>
        </w:rPr>
        <w:t>SCCG2026-GK-08</w:t>
      </w:r>
      <w:r>
        <w:rPr>
          <w:rFonts w:hint="eastAsia" w:ascii="宋体" w:hAnsi="宋体" w:cs="宋体"/>
          <w:color w:val="auto"/>
          <w:sz w:val="24"/>
        </w:rPr>
        <w:t>】</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kern w:val="0"/>
          <w:sz w:val="24"/>
          <w:highlight w:val="none"/>
          <w:lang w:val="zh-CN"/>
        </w:rPr>
        <w:t>一、</w:t>
      </w:r>
      <w:r>
        <w:rPr>
          <w:rFonts w:hint="eastAsia" w:ascii="宋体" w:hAnsi="宋体" w:cs="宋体"/>
          <w:kern w:val="0"/>
          <w:sz w:val="24"/>
          <w:highlight w:val="none"/>
          <w:u w:val="single"/>
          <w:lang w:val="zh-CN"/>
        </w:rPr>
        <w:t>（投标人名称）</w:t>
      </w:r>
      <w:r>
        <w:rPr>
          <w:rFonts w:hint="eastAsia" w:ascii="宋体" w:hAnsi="宋体" w:cs="宋体"/>
          <w:kern w:val="0"/>
          <w:sz w:val="24"/>
          <w:highlight w:val="none"/>
          <w:u w:val="none"/>
          <w:lang w:val="zh-CN"/>
        </w:rPr>
        <w:t>将工作</w:t>
      </w:r>
      <w:r>
        <w:rPr>
          <w:rFonts w:hint="eastAsia" w:ascii="宋体" w:hAnsi="宋体" w:cs="宋体"/>
          <w:kern w:val="0"/>
          <w:sz w:val="24"/>
          <w:highlight w:val="none"/>
          <w:lang w:val="zh-CN"/>
        </w:rPr>
        <w:t>分包如下</w:t>
      </w:r>
      <w:r>
        <w:rPr>
          <w:rFonts w:hint="eastAsia" w:ascii="宋体" w:hAnsi="宋体" w:cs="宋体"/>
          <w:i w:val="0"/>
          <w:iCs w:val="0"/>
          <w:kern w:val="0"/>
          <w:sz w:val="24"/>
          <w:highlight w:val="none"/>
          <w:lang w:val="zh-CN"/>
        </w:rPr>
        <w:t>：</w:t>
      </w:r>
      <w:r>
        <w:rPr>
          <w:rFonts w:hint="eastAsia" w:ascii="宋体" w:hAnsi="宋体" w:cs="宋体"/>
          <w:b/>
          <w:bCs/>
          <w:i w:val="0"/>
          <w:iCs w:val="0"/>
          <w:color w:val="auto"/>
          <w:kern w:val="0"/>
          <w:sz w:val="24"/>
          <w:szCs w:val="24"/>
          <w:highlight w:val="none"/>
          <w:lang w:val="zh-CN"/>
        </w:rPr>
        <w:t>（注：投标人只能将招标文件第二部分中“前附表”的“分包”规定的工作进行分包）</w:t>
      </w:r>
    </w:p>
    <w:p>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pPr>
        <w:pStyle w:val="4"/>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pStyle w:val="4"/>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二、分包供应商中小企业合同份额（根据项目具体情况二选一填写）</w:t>
      </w:r>
    </w:p>
    <w:p>
      <w:pPr>
        <w:snapToGrid w:val="0"/>
        <w:spacing w:line="360" w:lineRule="auto"/>
        <w:ind w:firstLine="576"/>
        <w:rPr>
          <w:rFonts w:hint="eastAsia" w:ascii="宋体" w:hAnsi="宋体" w:cs="宋体"/>
          <w:b/>
          <w:kern w:val="0"/>
          <w:sz w:val="24"/>
          <w:highlight w:val="none"/>
          <w:lang w:val="zh-CN"/>
        </w:rPr>
      </w:pPr>
      <w:r>
        <w:rPr>
          <w:rFonts w:hint="eastAsia" w:ascii="宋体" w:hAnsi="宋体" w:cs="宋体"/>
          <w:kern w:val="0"/>
          <w:sz w:val="24"/>
          <w:highlight w:val="none"/>
          <w:u w:val="none"/>
        </w:rPr>
        <w:t xml:space="preserve">☐ </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……）提供的货物全部由小微企业制造，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pacing w:line="360" w:lineRule="auto"/>
        <w:ind w:firstLine="480" w:firstLineChars="200"/>
        <w:rPr>
          <w:rFonts w:hint="eastAsia" w:ascii="宋体" w:hAnsi="宋体" w:cs="宋体"/>
          <w:b/>
          <w:bCs/>
          <w:kern w:val="0"/>
          <w:sz w:val="24"/>
          <w:highlight w:val="none"/>
          <w:lang w:val="zh-CN"/>
        </w:rPr>
      </w:pPr>
      <w:r>
        <w:rPr>
          <w:rFonts w:hint="eastAsia" w:ascii="宋体" w:hAnsi="宋体" w:cs="宋体"/>
          <w:kern w:val="0"/>
          <w:sz w:val="24"/>
          <w:highlight w:val="none"/>
          <w:u w:val="none"/>
        </w:rPr>
        <w:t xml:space="preserve">☐ </w:t>
      </w: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pPr>
        <w:snapToGrid w:val="0"/>
        <w:spacing w:line="360" w:lineRule="auto"/>
        <w:ind w:left="573" w:leftChars="273"/>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3"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left="690" w:leftChars="300" w:hanging="60" w:hangingChars="25"/>
        <w:rPr>
          <w:rFonts w:hint="eastAsia" w:ascii="宋体" w:hAnsi="宋体" w:cs="宋体"/>
          <w:kern w:val="0"/>
          <w:sz w:val="24"/>
          <w:highlight w:val="none"/>
          <w:lang w:val="zh-CN"/>
        </w:rPr>
      </w:pPr>
      <w:r>
        <w:rPr>
          <w:rFonts w:hint="eastAsia" w:ascii="宋体" w:hAnsi="宋体" w:cs="宋体"/>
          <w:kern w:val="0"/>
          <w:sz w:val="24"/>
          <w:highlight w:val="none"/>
          <w:lang w:val="zh-CN"/>
        </w:rPr>
        <w:t>八、其他</w:t>
      </w:r>
    </w:p>
    <w:p>
      <w:pPr>
        <w:snapToGrid w:val="0"/>
        <w:spacing w:line="360" w:lineRule="auto"/>
        <w:ind w:firstLine="576"/>
        <w:rPr>
          <w:rFonts w:hint="eastAsia"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投标人名称(电子签名)：</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pPr>
        <w:spacing w:line="360" w:lineRule="auto"/>
        <w:jc w:val="center"/>
        <w:rPr>
          <w:rFonts w:ascii="宋体" w:hAnsi="宋体" w:cs="宋体"/>
          <w:sz w:val="24"/>
          <w:u w:val="single"/>
        </w:rPr>
      </w:pPr>
    </w:p>
    <w:p>
      <w:pPr>
        <w:spacing w:line="360" w:lineRule="auto"/>
        <w:jc w:val="center"/>
        <w:rPr>
          <w:rFonts w:ascii="宋体" w:hAnsi="宋体" w:cs="宋体"/>
          <w:b/>
          <w:sz w:val="32"/>
          <w:szCs w:val="32"/>
        </w:rPr>
      </w:pPr>
      <w:r>
        <w:rPr>
          <w:rFonts w:hint="eastAsia" w:ascii="宋体" w:hAnsi="宋体" w:cs="宋体"/>
          <w:b/>
          <w:sz w:val="32"/>
          <w:szCs w:val="32"/>
        </w:rPr>
        <w:t>中小企业声明函（服务）</w:t>
      </w:r>
    </w:p>
    <w:p>
      <w:pPr>
        <w:spacing w:line="360" w:lineRule="auto"/>
        <w:ind w:firstLine="360" w:firstLineChars="150"/>
        <w:jc w:val="left"/>
        <w:rPr>
          <w:rFonts w:ascii="宋体" w:hAnsi="宋体" w:cs="宋体"/>
          <w:color w:val="auto"/>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lang w:eastAsia="zh-CN"/>
        </w:rPr>
        <w:t>杭州市上城区人民政府小营街道办事处</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杭州市上城区小营街道南片6个社区（长明寺巷、金钱巷、茅廊巷、西牌楼、梅花碑、姚园寺巷社区）准物业服务项目</w:t>
      </w:r>
      <w:r>
        <w:rPr>
          <w:rFonts w:hint="eastAsia" w:ascii="宋体" w:hAnsi="宋体" w:cs="宋体"/>
          <w:color w:val="auto"/>
          <w:sz w:val="24"/>
          <w:u w:val="single"/>
        </w:rPr>
        <w:t xml:space="preserve">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highlight w:val="none"/>
          <w:u w:val="single"/>
          <w:lang w:eastAsia="zh-CN"/>
        </w:rPr>
        <w:t>杭州市上城区小营街道南片6个社区（长明寺巷、金钱巷、茅廊巷、西牌楼、梅花碑、姚园寺巷社区）准物业服务项目</w:t>
      </w:r>
      <w:r>
        <w:rPr>
          <w:rFonts w:hint="eastAsia" w:ascii="宋体" w:hAnsi="宋体" w:cs="宋体"/>
          <w:color w:val="auto"/>
          <w:sz w:val="24"/>
        </w:rPr>
        <w:t>，属于</w:t>
      </w:r>
      <w:r>
        <w:rPr>
          <w:rFonts w:hint="eastAsia" w:ascii="宋体" w:hAnsi="宋体" w:cs="宋体"/>
          <w:color w:val="auto"/>
          <w:sz w:val="24"/>
          <w:u w:val="single"/>
        </w:rPr>
        <w:t xml:space="preserve"> </w:t>
      </w:r>
      <w:r>
        <w:rPr>
          <w:rFonts w:hint="eastAsia" w:ascii="宋体" w:hAnsi="宋体" w:cs="宋体"/>
          <w:color w:val="auto"/>
          <w:sz w:val="24"/>
          <w:highlight w:val="none"/>
          <w:u w:val="single"/>
          <w:lang w:eastAsia="zh-CN"/>
        </w:rPr>
        <w:t>物业管理业</w:t>
      </w:r>
      <w:r>
        <w:rPr>
          <w:rFonts w:hint="eastAsia" w:ascii="宋体" w:hAnsi="宋体" w:cs="宋体"/>
          <w:color w:val="auto"/>
          <w:sz w:val="24"/>
        </w:rPr>
        <w:t xml:space="preserve"> ；承建（承接）企业为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pPr>
        <w:spacing w:line="360" w:lineRule="auto"/>
        <w:ind w:firstLine="480" w:firstLineChars="200"/>
        <w:jc w:val="left"/>
        <w:rPr>
          <w:rFonts w:ascii="宋体" w:hAnsi="宋体" w:cs="宋体"/>
          <w:sz w:val="24"/>
        </w:rPr>
      </w:pPr>
      <w:r>
        <w:rPr>
          <w:rFonts w:hint="eastAsia" w:ascii="宋体" w:hAnsi="宋体" w:cs="宋体"/>
          <w:color w:val="auto"/>
          <w:sz w:val="24"/>
        </w:rPr>
        <w:t>2.</w:t>
      </w:r>
      <w:r>
        <w:rPr>
          <w:rFonts w:hint="eastAsia" w:ascii="宋体" w:hAnsi="宋体" w:cs="宋体"/>
          <w:color w:val="auto"/>
          <w:sz w:val="24"/>
          <w:u w:val="single"/>
        </w:rPr>
        <w:t xml:space="preserve"> （标的名称），</w:t>
      </w:r>
      <w:r>
        <w:rPr>
          <w:rFonts w:hint="eastAsia" w:ascii="宋体" w:hAnsi="宋体" w:cs="宋体"/>
          <w:color w:val="auto"/>
          <w:sz w:val="24"/>
        </w:rPr>
        <w:t xml:space="preserve">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；承建（承接）企业为 </w:t>
      </w:r>
      <w:r>
        <w:rPr>
          <w:rFonts w:hint="eastAsia" w:ascii="宋体" w:hAnsi="宋体" w:cs="宋体"/>
          <w:color w:val="auto"/>
          <w:sz w:val="24"/>
          <w:u w:val="single"/>
        </w:rPr>
        <w:t>（企</w:t>
      </w:r>
      <w:r>
        <w:rPr>
          <w:rFonts w:hint="eastAsia" w:ascii="宋体" w:hAnsi="宋体" w:cs="宋体"/>
          <w:sz w:val="24"/>
          <w:u w:val="single"/>
        </w:rPr>
        <w:t>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spacing w:line="360" w:lineRule="auto"/>
        <w:ind w:right="1760"/>
        <w:jc w:val="right"/>
        <w:rPr>
          <w:rFonts w:ascii="宋体" w:hAnsi="宋体" w:cs="宋体"/>
          <w:sz w:val="24"/>
        </w:rPr>
      </w:pPr>
      <w:r>
        <w:rPr>
          <w:rFonts w:hint="eastAsia" w:ascii="宋体" w:hAnsi="宋体" w:cs="宋体"/>
          <w:sz w:val="24"/>
        </w:rPr>
        <w:t>投标人名称（电子签名）：</w:t>
      </w:r>
    </w:p>
    <w:p>
      <w:pPr>
        <w:spacing w:line="360" w:lineRule="auto"/>
        <w:ind w:right="1120" w:firstLine="4680" w:firstLineChars="1950"/>
        <w:rPr>
          <w:rFonts w:ascii="宋体" w:hAnsi="宋体" w:cs="宋体"/>
          <w:sz w:val="24"/>
          <w:highlight w:val="none"/>
        </w:rPr>
      </w:pPr>
      <w:r>
        <w:rPr>
          <w:rFonts w:hint="eastAsia" w:ascii="宋体" w:hAnsi="宋体" w:cs="宋体"/>
          <w:sz w:val="24"/>
          <w:highlight w:val="none"/>
        </w:rPr>
        <w:t>日 期：</w:t>
      </w:r>
    </w:p>
    <w:p>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pPr>
        <w:snapToGrid w:val="0"/>
        <w:spacing w:line="360" w:lineRule="auto"/>
        <w:outlineLvl w:val="0"/>
        <w:rPr>
          <w:rFonts w:hint="eastAsia" w:ascii="宋体" w:hAnsi="宋体" w:cs="宋体"/>
          <w:b/>
          <w:kern w:val="0"/>
          <w:sz w:val="32"/>
          <w:szCs w:val="32"/>
        </w:rPr>
      </w:pPr>
      <w:r>
        <w:rPr>
          <w:rFonts w:hint="eastAsia" w:ascii="宋体" w:hAnsi="宋体" w:cs="宋体"/>
          <w:b/>
          <w:kern w:val="0"/>
          <w:sz w:val="32"/>
          <w:szCs w:val="32"/>
          <w:lang w:val="zh-CN"/>
        </w:rPr>
        <w:t>附件</w:t>
      </w:r>
      <w:r>
        <w:rPr>
          <w:rFonts w:hint="eastAsia" w:ascii="宋体" w:hAnsi="宋体" w:cs="宋体"/>
          <w:b/>
          <w:kern w:val="0"/>
          <w:sz w:val="32"/>
          <w:szCs w:val="32"/>
        </w:rPr>
        <w:t>8：</w:t>
      </w:r>
    </w:p>
    <w:p>
      <w:pPr>
        <w:snapToGrid w:val="0"/>
        <w:spacing w:before="0" w:line="360" w:lineRule="auto"/>
        <w:ind w:left="0" w:right="0" w:firstLine="643" w:firstLineChars="200"/>
        <w:jc w:val="center"/>
        <w:rPr>
          <w:rFonts w:hint="eastAsia" w:ascii="宋体" w:hAnsi="宋体" w:cs="宋体"/>
          <w:color w:val="auto"/>
          <w:spacing w:val="0"/>
          <w:kern w:val="0"/>
          <w:sz w:val="24"/>
          <w:szCs w:val="24"/>
          <w:highlight w:val="cyan"/>
          <w:lang w:val="en-US" w:eastAsia="zh-CN"/>
        </w:rPr>
      </w:pPr>
      <w:r>
        <w:rPr>
          <w:rFonts w:hint="eastAsia" w:ascii="宋体" w:hAnsi="宋体" w:eastAsia="宋体" w:cs="宋体"/>
          <w:b/>
          <w:color w:val="auto"/>
          <w:spacing w:val="0"/>
          <w:sz w:val="32"/>
          <w:szCs w:val="32"/>
          <w:highlight w:val="none"/>
          <w:lang w:val="zh-CN"/>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sz w:val="24"/>
          <w:highlight w:val="none"/>
          <w:u w:val="single"/>
          <w:lang w:val="en-US" w:eastAsia="zh-CN"/>
        </w:rPr>
        <w:t xml:space="preserve">           </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tbl>
      <w:tblPr>
        <w:tblStyle w:val="64"/>
        <w:tblpPr w:leftFromText="180" w:rightFromText="180" w:vertAnchor="text" w:horzAnchor="page" w:tblpX="1952" w:tblpY="631"/>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6208"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8"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pPr>
        <w:snapToGrid w:val="0"/>
        <w:spacing w:before="0" w:line="360" w:lineRule="auto"/>
        <w:ind w:left="0"/>
        <w:jc w:val="righ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pPr>
        <w:snapToGrid w:val="0"/>
        <w:spacing w:before="0" w:line="360" w:lineRule="auto"/>
        <w:ind w:left="0"/>
        <w:jc w:val="right"/>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pPr>
        <w:pStyle w:val="4"/>
        <w:rPr>
          <w:rFonts w:hint="eastAsia"/>
          <w:highlight w:val="none"/>
        </w:rPr>
      </w:pPr>
    </w:p>
    <w:p>
      <w:pPr>
        <w:pStyle w:val="2"/>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2" w:usb3="00000000" w:csb0="4002009F" w:csb1="DFD70000"/>
  </w:font>
  <w:font w:name="Cambria Math">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25" w:name="_Toc131845147"/>
    <w:bookmarkStart w:id="426" w:name="_Toc164085800"/>
    <w:bookmarkStart w:id="427" w:name="_Toc36110187"/>
    <w:bookmarkStart w:id="428" w:name="_Toc91899912"/>
    <w:r>
      <w:rPr>
        <w:rFonts w:hint="eastAsia" w:ascii="仿宋_GB2312" w:eastAsia="仿宋_GB2312"/>
        <w:kern w:val="0"/>
        <w:szCs w:val="21"/>
      </w:rPr>
      <w:t xml:space="preserve"> 页</w:t>
    </w:r>
    <w:bookmarkEnd w:id="425"/>
    <w:bookmarkEnd w:id="426"/>
    <w:bookmarkEnd w:id="427"/>
    <w:bookmarkEnd w:id="42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fldChar w:fldCharType="begin"/>
    </w:r>
    <w:r>
      <w:instrText xml:space="preserve"> PAGE   \* MERGEFORMAT </w:instrText>
    </w:r>
    <w:r>
      <w:fldChar w:fldCharType="separate"/>
    </w:r>
    <w:r>
      <w:rPr>
        <w:lang w:val="zh-CN"/>
      </w:rPr>
      <w:t>15</w:t>
    </w:r>
    <w:r>
      <w:rPr>
        <w:lang w:val="zh-CN"/>
      </w:rPr>
      <w:fldChar w:fldCharType="end"/>
    </w:r>
  </w:p>
  <w:p>
    <w:pPr>
      <w:pStyle w:val="4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pPr>
    <w:r>
      <w:t></w:t>
    </w:r>
    <w:r>
      <w:rPr>
        <w:rFonts w:hint="eastAsia"/>
      </w:rPr>
      <w:t xml:space="preserve">  </w:t>
    </w:r>
    <w:r>
      <w:rPr>
        <w:rFonts w:hint="eastAsia"/>
        <w:b w:val="0"/>
        <w:bCs/>
        <w:sz w:val="21"/>
        <w:szCs w:val="21"/>
      </w:rPr>
      <w:t>杭州市公共资源交易中心上城分中心</w:t>
    </w:r>
  </w:p>
  <w:p>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w:t>
    </w:r>
    <w:r>
      <w:rPr>
        <w:rFonts w:hint="eastAsia"/>
        <w:b w:val="0"/>
        <w:bCs/>
        <w:sz w:val="21"/>
        <w:szCs w:val="21"/>
      </w:rPr>
      <w:t>杭州市公共资源交易中心上城分中心</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rPr>
        <w:rFonts w:hint="eastAsia"/>
        <w:b w:val="0"/>
        <w:bCs/>
        <w:sz w:val="21"/>
        <w:szCs w:val="21"/>
      </w:rPr>
      <w:t>杭州市公共资源交易中心上城分中心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杭州市公共资源交易中心上城分中心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t xml:space="preserve">         </w:t>
    </w:r>
    <w:r>
      <w:rPr>
        <w:rFonts w:hint="eastAsia"/>
        <w:b w:val="0"/>
        <w:bCs/>
        <w:sz w:val="21"/>
        <w:szCs w:val="21"/>
      </w:rPr>
      <w:t>杭州市公共资源交易中心上城分中心</w:t>
    </w:r>
  </w:p>
  <w:p>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pPr>
    <w:r>
      <w:rPr>
        <w:rFonts w:hint="eastAsia"/>
      </w:rPr>
      <w:t xml:space="preserve">                                                               </w:t>
    </w:r>
    <w:r>
      <w:rPr>
        <w:rFonts w:hint="eastAsia"/>
        <w:b w:val="0"/>
        <w:bCs/>
        <w:sz w:val="21"/>
        <w:szCs w:val="21"/>
      </w:rPr>
      <w:t>杭州市公共资源交易中心上城分中心</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rPr>
        <w:rFonts w:hint="eastAsia"/>
        <w:b w:val="0"/>
        <w:bCs/>
        <w:sz w:val="21"/>
        <w:szCs w:val="21"/>
      </w:rPr>
      <w:t>杭州市公共资源交易中心上城分中心</w:t>
    </w:r>
  </w:p>
  <w:p>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w:t>
    </w:r>
    <w:r>
      <w:rPr>
        <w:rFonts w:hint="eastAsia"/>
      </w:rPr>
      <w:t xml:space="preserve">                 </w:t>
    </w:r>
    <w:r>
      <w:t xml:space="preserve">                                </w:t>
    </w:r>
    <w:r>
      <w:rPr>
        <w:rFonts w:hint="eastAsia"/>
      </w:rPr>
      <w:t xml:space="preserve">         </w:t>
    </w:r>
    <w:r>
      <w:rPr>
        <w:rFonts w:hint="eastAsia"/>
        <w:b w:val="0"/>
        <w:bCs/>
        <w:sz w:val="21"/>
        <w:szCs w:val="21"/>
      </w:rPr>
      <w:t>杭州市公共资源交易中心上城分中心</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rPr>
        <w:rFonts w:hint="eastAsia"/>
      </w:rPr>
      <w:t xml:space="preserve">                                  </w:t>
    </w:r>
    <w:r>
      <w:rPr>
        <w:rFonts w:hint="eastAsia"/>
        <w:b w:val="0"/>
        <w:bCs/>
        <w:sz w:val="21"/>
        <w:szCs w:val="21"/>
      </w:rPr>
      <w:t>杭州市公共资源交易中心上城分中心</w:t>
    </w:r>
  </w:p>
  <w:p>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rPr>
        <w:rFonts w:hint="eastAsia"/>
      </w:rPr>
      <w:t xml:space="preserve">                                                                                                        </w:t>
    </w:r>
    <w:r>
      <w:rPr>
        <w:rFonts w:hint="eastAsia"/>
        <w:b w:val="0"/>
        <w:bCs/>
        <w:sz w:val="21"/>
        <w:szCs w:val="21"/>
      </w:rPr>
      <w:t>杭州市公共资源交易中心上城分中心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214C5"/>
    <w:multiLevelType w:val="singleLevel"/>
    <w:tmpl w:val="2A3214C5"/>
    <w:lvl w:ilvl="0" w:tentative="0">
      <w:start w:val="2"/>
      <w:numFmt w:val="chineseCounting"/>
      <w:suff w:val="nothing"/>
      <w:lvlText w:val="%1、"/>
      <w:lvlJc w:val="left"/>
      <w:rPr>
        <w:rFonts w:hint="eastAsia"/>
      </w:rPr>
    </w:lvl>
  </w:abstractNum>
  <w:abstractNum w:abstractNumId="1">
    <w:nsid w:val="53385EA9"/>
    <w:multiLevelType w:val="multilevel"/>
    <w:tmpl w:val="53385EA9"/>
    <w:lvl w:ilvl="0" w:tentative="0">
      <w:start w:val="1"/>
      <w:numFmt w:val="japaneseCounting"/>
      <w:lvlText w:val="%1、"/>
      <w:lvlJc w:val="left"/>
      <w:pPr>
        <w:ind w:left="510" w:hanging="510"/>
      </w:pPr>
      <w:rPr>
        <w:rFonts w:hint="default" w:cs="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70EBDE"/>
    <w:multiLevelType w:val="singleLevel"/>
    <w:tmpl w:val="7570EBDE"/>
    <w:lvl w:ilvl="0" w:tentative="0">
      <w:start w:val="1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26B"/>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423"/>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8A"/>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E4A"/>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307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09B"/>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8B4"/>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742"/>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C45"/>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3E64"/>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4773"/>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6F8"/>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789B"/>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6BB1"/>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4F42"/>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92C"/>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234F"/>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F63"/>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2F4"/>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370"/>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4CC4"/>
    <w:rsid w:val="01236AFB"/>
    <w:rsid w:val="012958F6"/>
    <w:rsid w:val="012C2FF8"/>
    <w:rsid w:val="012D42FD"/>
    <w:rsid w:val="012F71A6"/>
    <w:rsid w:val="01376E0A"/>
    <w:rsid w:val="014D6DB0"/>
    <w:rsid w:val="01583AF5"/>
    <w:rsid w:val="015C15C8"/>
    <w:rsid w:val="016D0AE6"/>
    <w:rsid w:val="0171156E"/>
    <w:rsid w:val="017A43FC"/>
    <w:rsid w:val="0183728A"/>
    <w:rsid w:val="01863B5B"/>
    <w:rsid w:val="018A4696"/>
    <w:rsid w:val="019F7441"/>
    <w:rsid w:val="01B37585"/>
    <w:rsid w:val="01BA73E4"/>
    <w:rsid w:val="01C247F0"/>
    <w:rsid w:val="01D55165"/>
    <w:rsid w:val="01DB7918"/>
    <w:rsid w:val="01DF6BF8"/>
    <w:rsid w:val="01E305A8"/>
    <w:rsid w:val="01E46029"/>
    <w:rsid w:val="01E50228"/>
    <w:rsid w:val="01E924B1"/>
    <w:rsid w:val="01EC2C57"/>
    <w:rsid w:val="01EF1635"/>
    <w:rsid w:val="01F1123A"/>
    <w:rsid w:val="01F462C4"/>
    <w:rsid w:val="01F65F44"/>
    <w:rsid w:val="01F739C5"/>
    <w:rsid w:val="02042650"/>
    <w:rsid w:val="021A0C65"/>
    <w:rsid w:val="021D3C05"/>
    <w:rsid w:val="02233590"/>
    <w:rsid w:val="02241011"/>
    <w:rsid w:val="023C44BA"/>
    <w:rsid w:val="023F543E"/>
    <w:rsid w:val="02497F4C"/>
    <w:rsid w:val="024F1E56"/>
    <w:rsid w:val="02522DDA"/>
    <w:rsid w:val="0252665D"/>
    <w:rsid w:val="02572AE5"/>
    <w:rsid w:val="025F0711"/>
    <w:rsid w:val="026268F8"/>
    <w:rsid w:val="02672D80"/>
    <w:rsid w:val="026B2E25"/>
    <w:rsid w:val="026D1CA4"/>
    <w:rsid w:val="02824C2E"/>
    <w:rsid w:val="02824D4D"/>
    <w:rsid w:val="028E0A41"/>
    <w:rsid w:val="02913BC4"/>
    <w:rsid w:val="02921645"/>
    <w:rsid w:val="0296004B"/>
    <w:rsid w:val="029E5458"/>
    <w:rsid w:val="02A23E5E"/>
    <w:rsid w:val="02A50666"/>
    <w:rsid w:val="02AB476E"/>
    <w:rsid w:val="02AC7FF1"/>
    <w:rsid w:val="02AE56F2"/>
    <w:rsid w:val="02AF3174"/>
    <w:rsid w:val="02BB6F86"/>
    <w:rsid w:val="02BC2489"/>
    <w:rsid w:val="02BF340E"/>
    <w:rsid w:val="02C7081A"/>
    <w:rsid w:val="02DC4B10"/>
    <w:rsid w:val="02DD76CE"/>
    <w:rsid w:val="02E958D7"/>
    <w:rsid w:val="02EC2FD9"/>
    <w:rsid w:val="02EE3C38"/>
    <w:rsid w:val="02F019DF"/>
    <w:rsid w:val="02F24EE2"/>
    <w:rsid w:val="02F36323"/>
    <w:rsid w:val="02F5619C"/>
    <w:rsid w:val="02F8486D"/>
    <w:rsid w:val="02FB57F1"/>
    <w:rsid w:val="02FC1075"/>
    <w:rsid w:val="030054FC"/>
    <w:rsid w:val="031D37A8"/>
    <w:rsid w:val="0326446A"/>
    <w:rsid w:val="032D5555"/>
    <w:rsid w:val="032E4D47"/>
    <w:rsid w:val="033049C7"/>
    <w:rsid w:val="03315CCB"/>
    <w:rsid w:val="03362153"/>
    <w:rsid w:val="03374714"/>
    <w:rsid w:val="0345496C"/>
    <w:rsid w:val="03521A83"/>
    <w:rsid w:val="036634D2"/>
    <w:rsid w:val="036A38A7"/>
    <w:rsid w:val="037D0349"/>
    <w:rsid w:val="038012CE"/>
    <w:rsid w:val="038631D7"/>
    <w:rsid w:val="038D72DF"/>
    <w:rsid w:val="038E4D60"/>
    <w:rsid w:val="03911568"/>
    <w:rsid w:val="03B9272D"/>
    <w:rsid w:val="03C52F64"/>
    <w:rsid w:val="03C638F5"/>
    <w:rsid w:val="03D06ACE"/>
    <w:rsid w:val="03DC6164"/>
    <w:rsid w:val="03DD35E4"/>
    <w:rsid w:val="03E84175"/>
    <w:rsid w:val="03EB076B"/>
    <w:rsid w:val="03F66D0E"/>
    <w:rsid w:val="03FC2E16"/>
    <w:rsid w:val="04043AA5"/>
    <w:rsid w:val="04076900"/>
    <w:rsid w:val="041A5A3B"/>
    <w:rsid w:val="042311BA"/>
    <w:rsid w:val="042B157A"/>
    <w:rsid w:val="04354274"/>
    <w:rsid w:val="043A06FC"/>
    <w:rsid w:val="0443358A"/>
    <w:rsid w:val="04510321"/>
    <w:rsid w:val="0456002C"/>
    <w:rsid w:val="04664A43"/>
    <w:rsid w:val="048530FA"/>
    <w:rsid w:val="04860B7C"/>
    <w:rsid w:val="048F763B"/>
    <w:rsid w:val="049F330E"/>
    <w:rsid w:val="04AA775C"/>
    <w:rsid w:val="04AF1889"/>
    <w:rsid w:val="04B403C6"/>
    <w:rsid w:val="04B829AA"/>
    <w:rsid w:val="04CF3948"/>
    <w:rsid w:val="04DA2804"/>
    <w:rsid w:val="04F66F48"/>
    <w:rsid w:val="050E77DB"/>
    <w:rsid w:val="050F525C"/>
    <w:rsid w:val="0510745B"/>
    <w:rsid w:val="05234C3E"/>
    <w:rsid w:val="05251E14"/>
    <w:rsid w:val="05295E06"/>
    <w:rsid w:val="052B5A86"/>
    <w:rsid w:val="055702AE"/>
    <w:rsid w:val="055F62E0"/>
    <w:rsid w:val="05734F81"/>
    <w:rsid w:val="0574012B"/>
    <w:rsid w:val="05754C01"/>
    <w:rsid w:val="05785B85"/>
    <w:rsid w:val="05796E8A"/>
    <w:rsid w:val="05814297"/>
    <w:rsid w:val="05A16594"/>
    <w:rsid w:val="05A16D4A"/>
    <w:rsid w:val="05A7762D"/>
    <w:rsid w:val="05AE605F"/>
    <w:rsid w:val="05B66CEF"/>
    <w:rsid w:val="05C1727E"/>
    <w:rsid w:val="05C8248C"/>
    <w:rsid w:val="05D77224"/>
    <w:rsid w:val="05D92727"/>
    <w:rsid w:val="05DC112D"/>
    <w:rsid w:val="05E277B3"/>
    <w:rsid w:val="05ED13C7"/>
    <w:rsid w:val="05F61CD7"/>
    <w:rsid w:val="05F66454"/>
    <w:rsid w:val="05F92C5C"/>
    <w:rsid w:val="060E5941"/>
    <w:rsid w:val="06110FAF"/>
    <w:rsid w:val="06223E20"/>
    <w:rsid w:val="0623601E"/>
    <w:rsid w:val="062F5B3B"/>
    <w:rsid w:val="06300BB7"/>
    <w:rsid w:val="063F594E"/>
    <w:rsid w:val="064829DB"/>
    <w:rsid w:val="0649045C"/>
    <w:rsid w:val="06493CA7"/>
    <w:rsid w:val="06515869"/>
    <w:rsid w:val="065232EA"/>
    <w:rsid w:val="065A6178"/>
    <w:rsid w:val="06661F8B"/>
    <w:rsid w:val="066F1CF3"/>
    <w:rsid w:val="06714029"/>
    <w:rsid w:val="06765AA8"/>
    <w:rsid w:val="067E2EB5"/>
    <w:rsid w:val="06930BB8"/>
    <w:rsid w:val="069872E2"/>
    <w:rsid w:val="06A541AB"/>
    <w:rsid w:val="06B86512"/>
    <w:rsid w:val="06C44528"/>
    <w:rsid w:val="06D14EBD"/>
    <w:rsid w:val="06EE226F"/>
    <w:rsid w:val="06EF6011"/>
    <w:rsid w:val="06F84D7D"/>
    <w:rsid w:val="07063DE8"/>
    <w:rsid w:val="07082E19"/>
    <w:rsid w:val="070C5F9C"/>
    <w:rsid w:val="071546AD"/>
    <w:rsid w:val="072004C0"/>
    <w:rsid w:val="07245D42"/>
    <w:rsid w:val="07264C62"/>
    <w:rsid w:val="07287ACA"/>
    <w:rsid w:val="0729334D"/>
    <w:rsid w:val="074D008A"/>
    <w:rsid w:val="07541C13"/>
    <w:rsid w:val="0757641B"/>
    <w:rsid w:val="075A5E7B"/>
    <w:rsid w:val="075B4E21"/>
    <w:rsid w:val="075F3828"/>
    <w:rsid w:val="076247AC"/>
    <w:rsid w:val="07691BB9"/>
    <w:rsid w:val="07713742"/>
    <w:rsid w:val="07736C45"/>
    <w:rsid w:val="0779354C"/>
    <w:rsid w:val="077A4051"/>
    <w:rsid w:val="077E0859"/>
    <w:rsid w:val="077E62DB"/>
    <w:rsid w:val="07840EB4"/>
    <w:rsid w:val="078D77EF"/>
    <w:rsid w:val="078E5270"/>
    <w:rsid w:val="07924977"/>
    <w:rsid w:val="079466F6"/>
    <w:rsid w:val="07A90B17"/>
    <w:rsid w:val="07AE3AB5"/>
    <w:rsid w:val="07B567B5"/>
    <w:rsid w:val="07B66435"/>
    <w:rsid w:val="07BE3841"/>
    <w:rsid w:val="07CE18DD"/>
    <w:rsid w:val="07E66B80"/>
    <w:rsid w:val="07E9598A"/>
    <w:rsid w:val="07ED4390"/>
    <w:rsid w:val="07EE658E"/>
    <w:rsid w:val="07F6721E"/>
    <w:rsid w:val="07F901A3"/>
    <w:rsid w:val="08061376"/>
    <w:rsid w:val="080674B8"/>
    <w:rsid w:val="080D6E43"/>
    <w:rsid w:val="081C165C"/>
    <w:rsid w:val="08261F6C"/>
    <w:rsid w:val="0828546F"/>
    <w:rsid w:val="082F067D"/>
    <w:rsid w:val="08452D77"/>
    <w:rsid w:val="084F532E"/>
    <w:rsid w:val="085375B8"/>
    <w:rsid w:val="0857273B"/>
    <w:rsid w:val="085801BC"/>
    <w:rsid w:val="086401F8"/>
    <w:rsid w:val="086F3665"/>
    <w:rsid w:val="08751CAA"/>
    <w:rsid w:val="087E4C40"/>
    <w:rsid w:val="08A871D0"/>
    <w:rsid w:val="08AF108B"/>
    <w:rsid w:val="08BC7EE1"/>
    <w:rsid w:val="08BF0E65"/>
    <w:rsid w:val="08C2566D"/>
    <w:rsid w:val="08D04983"/>
    <w:rsid w:val="08D66AD6"/>
    <w:rsid w:val="08DA33A3"/>
    <w:rsid w:val="08E80F13"/>
    <w:rsid w:val="08F04EB8"/>
    <w:rsid w:val="08F95874"/>
    <w:rsid w:val="090C47E8"/>
    <w:rsid w:val="091153EC"/>
    <w:rsid w:val="09146371"/>
    <w:rsid w:val="092D4D1C"/>
    <w:rsid w:val="09335624"/>
    <w:rsid w:val="094244A6"/>
    <w:rsid w:val="0944690F"/>
    <w:rsid w:val="095274DB"/>
    <w:rsid w:val="09535675"/>
    <w:rsid w:val="095835E2"/>
    <w:rsid w:val="095D0797"/>
    <w:rsid w:val="095F057D"/>
    <w:rsid w:val="09642282"/>
    <w:rsid w:val="09670379"/>
    <w:rsid w:val="09733572"/>
    <w:rsid w:val="09772C16"/>
    <w:rsid w:val="098353B5"/>
    <w:rsid w:val="09886330"/>
    <w:rsid w:val="098A1833"/>
    <w:rsid w:val="09A92330"/>
    <w:rsid w:val="09B06B87"/>
    <w:rsid w:val="09C13146"/>
    <w:rsid w:val="09C63C16"/>
    <w:rsid w:val="09CA261C"/>
    <w:rsid w:val="09D5642F"/>
    <w:rsid w:val="09DA06B8"/>
    <w:rsid w:val="09DD383B"/>
    <w:rsid w:val="09E04166"/>
    <w:rsid w:val="09E431C6"/>
    <w:rsid w:val="09E61F4C"/>
    <w:rsid w:val="09E766C8"/>
    <w:rsid w:val="09EB63D4"/>
    <w:rsid w:val="09F25D5F"/>
    <w:rsid w:val="09FB666F"/>
    <w:rsid w:val="0A064A00"/>
    <w:rsid w:val="0A1C0718"/>
    <w:rsid w:val="0A362FD0"/>
    <w:rsid w:val="0A3E3710"/>
    <w:rsid w:val="0A3E7710"/>
    <w:rsid w:val="0A451F66"/>
    <w:rsid w:val="0A4F60F9"/>
    <w:rsid w:val="0A546CFD"/>
    <w:rsid w:val="0A5B7E63"/>
    <w:rsid w:val="0A623A94"/>
    <w:rsid w:val="0A665D1E"/>
    <w:rsid w:val="0A8330D0"/>
    <w:rsid w:val="0A8B1F60"/>
    <w:rsid w:val="0A8C5F5E"/>
    <w:rsid w:val="0AA2487E"/>
    <w:rsid w:val="0AA374A5"/>
    <w:rsid w:val="0AA55803"/>
    <w:rsid w:val="0AAB7649"/>
    <w:rsid w:val="0AB3259A"/>
    <w:rsid w:val="0AB55A9D"/>
    <w:rsid w:val="0ABC5606"/>
    <w:rsid w:val="0ABF3E2E"/>
    <w:rsid w:val="0AC30636"/>
    <w:rsid w:val="0AE465EC"/>
    <w:rsid w:val="0AEF0200"/>
    <w:rsid w:val="0AF214D5"/>
    <w:rsid w:val="0AF92D0E"/>
    <w:rsid w:val="0AFB5E25"/>
    <w:rsid w:val="0B0F2CB4"/>
    <w:rsid w:val="0B16483D"/>
    <w:rsid w:val="0B1C1FC9"/>
    <w:rsid w:val="0B2515D4"/>
    <w:rsid w:val="0B264AD7"/>
    <w:rsid w:val="0B272559"/>
    <w:rsid w:val="0B2A34DD"/>
    <w:rsid w:val="0B2C69E0"/>
    <w:rsid w:val="0B30404E"/>
    <w:rsid w:val="0B3166EB"/>
    <w:rsid w:val="0B4C6C14"/>
    <w:rsid w:val="0B547599"/>
    <w:rsid w:val="0B611439"/>
    <w:rsid w:val="0B631A88"/>
    <w:rsid w:val="0B683D45"/>
    <w:rsid w:val="0B701A53"/>
    <w:rsid w:val="0B744BD6"/>
    <w:rsid w:val="0B7F3F11"/>
    <w:rsid w:val="0B81776F"/>
    <w:rsid w:val="0B856175"/>
    <w:rsid w:val="0B883877"/>
    <w:rsid w:val="0B884417"/>
    <w:rsid w:val="0B8870FA"/>
    <w:rsid w:val="0BB04A3B"/>
    <w:rsid w:val="0BB64746"/>
    <w:rsid w:val="0BBA534B"/>
    <w:rsid w:val="0BBE5BD8"/>
    <w:rsid w:val="0BBF5056"/>
    <w:rsid w:val="0BF6188C"/>
    <w:rsid w:val="0BF73C91"/>
    <w:rsid w:val="0C020FC2"/>
    <w:rsid w:val="0C117D0F"/>
    <w:rsid w:val="0C170175"/>
    <w:rsid w:val="0C1F2AF1"/>
    <w:rsid w:val="0C206374"/>
    <w:rsid w:val="0C2314F7"/>
    <w:rsid w:val="0C370197"/>
    <w:rsid w:val="0C385C19"/>
    <w:rsid w:val="0C3C461F"/>
    <w:rsid w:val="0C46551C"/>
    <w:rsid w:val="0C4A71B8"/>
    <w:rsid w:val="0C5010C1"/>
    <w:rsid w:val="0C560A4C"/>
    <w:rsid w:val="0C571A41"/>
    <w:rsid w:val="0C5B4ED4"/>
    <w:rsid w:val="0C5C1171"/>
    <w:rsid w:val="0C5E1CBC"/>
    <w:rsid w:val="0C615B50"/>
    <w:rsid w:val="0C7015F6"/>
    <w:rsid w:val="0C8445DA"/>
    <w:rsid w:val="0C8572F6"/>
    <w:rsid w:val="0C87121B"/>
    <w:rsid w:val="0C875035"/>
    <w:rsid w:val="0C8C0F26"/>
    <w:rsid w:val="0C9949B9"/>
    <w:rsid w:val="0C9E6C42"/>
    <w:rsid w:val="0CA15648"/>
    <w:rsid w:val="0CA27847"/>
    <w:rsid w:val="0CA37067"/>
    <w:rsid w:val="0CAD5BD8"/>
    <w:rsid w:val="0CAF10DB"/>
    <w:rsid w:val="0CB1205F"/>
    <w:rsid w:val="0CB33364"/>
    <w:rsid w:val="0CB642E9"/>
    <w:rsid w:val="0CB819EA"/>
    <w:rsid w:val="0CB92CEF"/>
    <w:rsid w:val="0CC007F7"/>
    <w:rsid w:val="0CC5327E"/>
    <w:rsid w:val="0CC617AC"/>
    <w:rsid w:val="0CDF76AC"/>
    <w:rsid w:val="0CE618DF"/>
    <w:rsid w:val="0CF47651"/>
    <w:rsid w:val="0CFE707A"/>
    <w:rsid w:val="0D063BDA"/>
    <w:rsid w:val="0D06536D"/>
    <w:rsid w:val="0D08375F"/>
    <w:rsid w:val="0D0A17F5"/>
    <w:rsid w:val="0D1036FE"/>
    <w:rsid w:val="0D15578E"/>
    <w:rsid w:val="0D177805"/>
    <w:rsid w:val="0D184CFB"/>
    <w:rsid w:val="0D1B3C8D"/>
    <w:rsid w:val="0D22141A"/>
    <w:rsid w:val="0D246B1B"/>
    <w:rsid w:val="0D4528D3"/>
    <w:rsid w:val="0D494B5D"/>
    <w:rsid w:val="0D4A44B5"/>
    <w:rsid w:val="0D4A7419"/>
    <w:rsid w:val="0D4D3563"/>
    <w:rsid w:val="0D500C64"/>
    <w:rsid w:val="0D662E08"/>
    <w:rsid w:val="0D67410D"/>
    <w:rsid w:val="0D693D8C"/>
    <w:rsid w:val="0D716C1A"/>
    <w:rsid w:val="0D7948CC"/>
    <w:rsid w:val="0D827401"/>
    <w:rsid w:val="0D84094E"/>
    <w:rsid w:val="0D886840"/>
    <w:rsid w:val="0D8A00E9"/>
    <w:rsid w:val="0D8D589E"/>
    <w:rsid w:val="0D8E0749"/>
    <w:rsid w:val="0DA01C73"/>
    <w:rsid w:val="0DAF7D84"/>
    <w:rsid w:val="0DB75190"/>
    <w:rsid w:val="0DD63300"/>
    <w:rsid w:val="0DDB40CB"/>
    <w:rsid w:val="0DDC1B4D"/>
    <w:rsid w:val="0DDE5050"/>
    <w:rsid w:val="0DEC0AE2"/>
    <w:rsid w:val="0DF04F6A"/>
    <w:rsid w:val="0DF50604"/>
    <w:rsid w:val="0DF702FE"/>
    <w:rsid w:val="0DFE7B03"/>
    <w:rsid w:val="0E0461FB"/>
    <w:rsid w:val="0E060E51"/>
    <w:rsid w:val="0E1E25B6"/>
    <w:rsid w:val="0E1E73D0"/>
    <w:rsid w:val="0E205AB9"/>
    <w:rsid w:val="0E21353B"/>
    <w:rsid w:val="0E272251"/>
    <w:rsid w:val="0E2A1C4C"/>
    <w:rsid w:val="0E2C734E"/>
    <w:rsid w:val="0E3634E0"/>
    <w:rsid w:val="0E3756DF"/>
    <w:rsid w:val="0E3A10FB"/>
    <w:rsid w:val="0E467EF7"/>
    <w:rsid w:val="0E473FCD"/>
    <w:rsid w:val="0E500807"/>
    <w:rsid w:val="0E560192"/>
    <w:rsid w:val="0E5604B2"/>
    <w:rsid w:val="0E5D7B1D"/>
    <w:rsid w:val="0E604325"/>
    <w:rsid w:val="0E681731"/>
    <w:rsid w:val="0E6971B2"/>
    <w:rsid w:val="0E6D5D79"/>
    <w:rsid w:val="0E6F10BC"/>
    <w:rsid w:val="0E7B0752"/>
    <w:rsid w:val="0E801CCA"/>
    <w:rsid w:val="0E8222DB"/>
    <w:rsid w:val="0E853D3D"/>
    <w:rsid w:val="0E860CE1"/>
    <w:rsid w:val="0E9D0089"/>
    <w:rsid w:val="0EB803EE"/>
    <w:rsid w:val="0EB949B3"/>
    <w:rsid w:val="0EBE68BC"/>
    <w:rsid w:val="0EBF2140"/>
    <w:rsid w:val="0EC07BC1"/>
    <w:rsid w:val="0EE5237F"/>
    <w:rsid w:val="0EE67E01"/>
    <w:rsid w:val="0EF94D4B"/>
    <w:rsid w:val="0F057031"/>
    <w:rsid w:val="0F191555"/>
    <w:rsid w:val="0F2365E1"/>
    <w:rsid w:val="0F2A39ED"/>
    <w:rsid w:val="0F3A17E3"/>
    <w:rsid w:val="0F4942A2"/>
    <w:rsid w:val="0F4958DC"/>
    <w:rsid w:val="0F5074B0"/>
    <w:rsid w:val="0F515DF7"/>
    <w:rsid w:val="0F527130"/>
    <w:rsid w:val="0F596BA8"/>
    <w:rsid w:val="0F5A7DC0"/>
    <w:rsid w:val="0F6248D2"/>
    <w:rsid w:val="0F693536"/>
    <w:rsid w:val="0F701F63"/>
    <w:rsid w:val="0F737665"/>
    <w:rsid w:val="0F78156E"/>
    <w:rsid w:val="0F7B0511"/>
    <w:rsid w:val="0F7B76D9"/>
    <w:rsid w:val="0F80697A"/>
    <w:rsid w:val="0F816ACD"/>
    <w:rsid w:val="0F883D87"/>
    <w:rsid w:val="0F891808"/>
    <w:rsid w:val="0F8F1193"/>
    <w:rsid w:val="0F9832DB"/>
    <w:rsid w:val="0FA511FF"/>
    <w:rsid w:val="0FA66BBA"/>
    <w:rsid w:val="0FAC4347"/>
    <w:rsid w:val="0FB41753"/>
    <w:rsid w:val="0FBE2419"/>
    <w:rsid w:val="0FBF3FD2"/>
    <w:rsid w:val="0FBF7FF3"/>
    <w:rsid w:val="0FE77623"/>
    <w:rsid w:val="0FFE504A"/>
    <w:rsid w:val="1013176C"/>
    <w:rsid w:val="10247488"/>
    <w:rsid w:val="103706A7"/>
    <w:rsid w:val="103F5AB4"/>
    <w:rsid w:val="104841C5"/>
    <w:rsid w:val="10646583"/>
    <w:rsid w:val="10755F8E"/>
    <w:rsid w:val="107D339A"/>
    <w:rsid w:val="107D4B15"/>
    <w:rsid w:val="107E0E1C"/>
    <w:rsid w:val="108A3C80"/>
    <w:rsid w:val="109777C7"/>
    <w:rsid w:val="10994EC9"/>
    <w:rsid w:val="10B2256F"/>
    <w:rsid w:val="10B730C3"/>
    <w:rsid w:val="10B9797C"/>
    <w:rsid w:val="10BA4216"/>
    <w:rsid w:val="10BC0900"/>
    <w:rsid w:val="10BD6382"/>
    <w:rsid w:val="10C26171"/>
    <w:rsid w:val="10D64D2E"/>
    <w:rsid w:val="10DE59BD"/>
    <w:rsid w:val="10E67546"/>
    <w:rsid w:val="10F20DDB"/>
    <w:rsid w:val="10F33360"/>
    <w:rsid w:val="10F935B2"/>
    <w:rsid w:val="10FC16EA"/>
    <w:rsid w:val="110F1D40"/>
    <w:rsid w:val="11154812"/>
    <w:rsid w:val="111E2F24"/>
    <w:rsid w:val="11266F33"/>
    <w:rsid w:val="112B2239"/>
    <w:rsid w:val="114875EB"/>
    <w:rsid w:val="115049F7"/>
    <w:rsid w:val="1155307D"/>
    <w:rsid w:val="11604C92"/>
    <w:rsid w:val="11643698"/>
    <w:rsid w:val="116E61A6"/>
    <w:rsid w:val="11766E35"/>
    <w:rsid w:val="11855DCB"/>
    <w:rsid w:val="118963A1"/>
    <w:rsid w:val="11907CAB"/>
    <w:rsid w:val="11925FF3"/>
    <w:rsid w:val="11B21219"/>
    <w:rsid w:val="11B36C9A"/>
    <w:rsid w:val="11BC3D26"/>
    <w:rsid w:val="11C6522A"/>
    <w:rsid w:val="11CE1A42"/>
    <w:rsid w:val="11D007C9"/>
    <w:rsid w:val="11D30171"/>
    <w:rsid w:val="11D4394C"/>
    <w:rsid w:val="11E104CC"/>
    <w:rsid w:val="11E20309"/>
    <w:rsid w:val="11E4557E"/>
    <w:rsid w:val="11F41C82"/>
    <w:rsid w:val="11FE0013"/>
    <w:rsid w:val="121A219E"/>
    <w:rsid w:val="12255233"/>
    <w:rsid w:val="122733D6"/>
    <w:rsid w:val="12375BEF"/>
    <w:rsid w:val="12460407"/>
    <w:rsid w:val="12527A9D"/>
    <w:rsid w:val="12530213"/>
    <w:rsid w:val="125D1443"/>
    <w:rsid w:val="12722FD6"/>
    <w:rsid w:val="12744D32"/>
    <w:rsid w:val="127723A9"/>
    <w:rsid w:val="127A31E0"/>
    <w:rsid w:val="128227EB"/>
    <w:rsid w:val="12862074"/>
    <w:rsid w:val="12883966"/>
    <w:rsid w:val="12897870"/>
    <w:rsid w:val="12912E05"/>
    <w:rsid w:val="12920887"/>
    <w:rsid w:val="12980212"/>
    <w:rsid w:val="129E45B4"/>
    <w:rsid w:val="12A1781C"/>
    <w:rsid w:val="12A44024"/>
    <w:rsid w:val="12B1333A"/>
    <w:rsid w:val="12B87441"/>
    <w:rsid w:val="12C72BB5"/>
    <w:rsid w:val="12D81596"/>
    <w:rsid w:val="12DC79C3"/>
    <w:rsid w:val="12E93494"/>
    <w:rsid w:val="12F83AAE"/>
    <w:rsid w:val="13072A44"/>
    <w:rsid w:val="13103353"/>
    <w:rsid w:val="13142389"/>
    <w:rsid w:val="131A74E6"/>
    <w:rsid w:val="131B16E4"/>
    <w:rsid w:val="132D1193"/>
    <w:rsid w:val="1330168A"/>
    <w:rsid w:val="134273A6"/>
    <w:rsid w:val="134504DD"/>
    <w:rsid w:val="13484B32"/>
    <w:rsid w:val="134A2234"/>
    <w:rsid w:val="134B7D96"/>
    <w:rsid w:val="13530945"/>
    <w:rsid w:val="13584DCD"/>
    <w:rsid w:val="135F4BE2"/>
    <w:rsid w:val="1377657B"/>
    <w:rsid w:val="13884297"/>
    <w:rsid w:val="138B521B"/>
    <w:rsid w:val="138D071E"/>
    <w:rsid w:val="13901C58"/>
    <w:rsid w:val="139B1A0A"/>
    <w:rsid w:val="139D25C7"/>
    <w:rsid w:val="13BF3CE4"/>
    <w:rsid w:val="13C90583"/>
    <w:rsid w:val="13CB3A86"/>
    <w:rsid w:val="13CF028E"/>
    <w:rsid w:val="13E214AD"/>
    <w:rsid w:val="13E5163F"/>
    <w:rsid w:val="13E968BA"/>
    <w:rsid w:val="13EA0AB8"/>
    <w:rsid w:val="13EB653A"/>
    <w:rsid w:val="14013F61"/>
    <w:rsid w:val="140E1078"/>
    <w:rsid w:val="141008D8"/>
    <w:rsid w:val="14116779"/>
    <w:rsid w:val="14125FE6"/>
    <w:rsid w:val="1426153A"/>
    <w:rsid w:val="143534B6"/>
    <w:rsid w:val="14363136"/>
    <w:rsid w:val="143B2E41"/>
    <w:rsid w:val="143E3DC5"/>
    <w:rsid w:val="146B5B8E"/>
    <w:rsid w:val="146D271E"/>
    <w:rsid w:val="14767376"/>
    <w:rsid w:val="147A61A9"/>
    <w:rsid w:val="147D38AA"/>
    <w:rsid w:val="148854BE"/>
    <w:rsid w:val="14982588"/>
    <w:rsid w:val="149A5AD9"/>
    <w:rsid w:val="14A511EB"/>
    <w:rsid w:val="14A7619D"/>
    <w:rsid w:val="14A97BF1"/>
    <w:rsid w:val="14AA5673"/>
    <w:rsid w:val="14B8020C"/>
    <w:rsid w:val="14BE4314"/>
    <w:rsid w:val="14BF1D95"/>
    <w:rsid w:val="14C804A6"/>
    <w:rsid w:val="14D41D3A"/>
    <w:rsid w:val="14DE5ECD"/>
    <w:rsid w:val="14E632DA"/>
    <w:rsid w:val="14E70D5B"/>
    <w:rsid w:val="14E754D8"/>
    <w:rsid w:val="150536C3"/>
    <w:rsid w:val="150B7C96"/>
    <w:rsid w:val="150C1963"/>
    <w:rsid w:val="150C5718"/>
    <w:rsid w:val="15127621"/>
    <w:rsid w:val="151447A0"/>
    <w:rsid w:val="15196FAC"/>
    <w:rsid w:val="15306BD1"/>
    <w:rsid w:val="15456B76"/>
    <w:rsid w:val="154A6454"/>
    <w:rsid w:val="154E1128"/>
    <w:rsid w:val="15501684"/>
    <w:rsid w:val="15636126"/>
    <w:rsid w:val="156F1F39"/>
    <w:rsid w:val="1571543C"/>
    <w:rsid w:val="15762120"/>
    <w:rsid w:val="15763AC2"/>
    <w:rsid w:val="157D344D"/>
    <w:rsid w:val="158B01E4"/>
    <w:rsid w:val="158C14E9"/>
    <w:rsid w:val="158C5C66"/>
    <w:rsid w:val="159468F5"/>
    <w:rsid w:val="15992D7D"/>
    <w:rsid w:val="15AB431C"/>
    <w:rsid w:val="15AC1D9E"/>
    <w:rsid w:val="15BC67B5"/>
    <w:rsid w:val="15D363DA"/>
    <w:rsid w:val="15D62BE2"/>
    <w:rsid w:val="15D64DE0"/>
    <w:rsid w:val="15E13171"/>
    <w:rsid w:val="15E8637F"/>
    <w:rsid w:val="15E93E01"/>
    <w:rsid w:val="15F1340C"/>
    <w:rsid w:val="15F331F0"/>
    <w:rsid w:val="15F33E49"/>
    <w:rsid w:val="160F623F"/>
    <w:rsid w:val="161539CC"/>
    <w:rsid w:val="16155F4A"/>
    <w:rsid w:val="161F0A58"/>
    <w:rsid w:val="162C42B3"/>
    <w:rsid w:val="16471C1C"/>
    <w:rsid w:val="164C60A4"/>
    <w:rsid w:val="1651252C"/>
    <w:rsid w:val="16516CA8"/>
    <w:rsid w:val="16527926"/>
    <w:rsid w:val="165B2E3B"/>
    <w:rsid w:val="166B30D5"/>
    <w:rsid w:val="16733D65"/>
    <w:rsid w:val="16811B3A"/>
    <w:rsid w:val="16892685"/>
    <w:rsid w:val="16A85139"/>
    <w:rsid w:val="16A8729C"/>
    <w:rsid w:val="16B33777"/>
    <w:rsid w:val="16BC70A7"/>
    <w:rsid w:val="16BD765C"/>
    <w:rsid w:val="16C6339E"/>
    <w:rsid w:val="16C90EF1"/>
    <w:rsid w:val="16DC7F11"/>
    <w:rsid w:val="16DE2D97"/>
    <w:rsid w:val="16E60821"/>
    <w:rsid w:val="16F72CB9"/>
    <w:rsid w:val="170D4E5D"/>
    <w:rsid w:val="1722157F"/>
    <w:rsid w:val="172D3193"/>
    <w:rsid w:val="172F2D79"/>
    <w:rsid w:val="17461B3F"/>
    <w:rsid w:val="174775C1"/>
    <w:rsid w:val="17530E55"/>
    <w:rsid w:val="17557BEF"/>
    <w:rsid w:val="1757785B"/>
    <w:rsid w:val="175A4F5C"/>
    <w:rsid w:val="176209B1"/>
    <w:rsid w:val="178612A4"/>
    <w:rsid w:val="17920939"/>
    <w:rsid w:val="17967340"/>
    <w:rsid w:val="17A36655"/>
    <w:rsid w:val="17A440D7"/>
    <w:rsid w:val="17AA1863"/>
    <w:rsid w:val="17B0376D"/>
    <w:rsid w:val="17B346F1"/>
    <w:rsid w:val="17D349C1"/>
    <w:rsid w:val="17DA0D2E"/>
    <w:rsid w:val="17E106B9"/>
    <w:rsid w:val="17F915E3"/>
    <w:rsid w:val="17FE5A6A"/>
    <w:rsid w:val="180C6085"/>
    <w:rsid w:val="182511AD"/>
    <w:rsid w:val="182F6239"/>
    <w:rsid w:val="1830729E"/>
    <w:rsid w:val="183171BE"/>
    <w:rsid w:val="18355BC4"/>
    <w:rsid w:val="1844295B"/>
    <w:rsid w:val="184503DD"/>
    <w:rsid w:val="185254F4"/>
    <w:rsid w:val="18537546"/>
    <w:rsid w:val="185A0382"/>
    <w:rsid w:val="1870062C"/>
    <w:rsid w:val="187146E7"/>
    <w:rsid w:val="187B413A"/>
    <w:rsid w:val="18804D3F"/>
    <w:rsid w:val="18817102"/>
    <w:rsid w:val="18830A15"/>
    <w:rsid w:val="18852B28"/>
    <w:rsid w:val="188B5321"/>
    <w:rsid w:val="189F7330"/>
    <w:rsid w:val="18A62A00"/>
    <w:rsid w:val="18AB3604"/>
    <w:rsid w:val="18B24B6A"/>
    <w:rsid w:val="18BB16A1"/>
    <w:rsid w:val="18C3452E"/>
    <w:rsid w:val="18DD50D8"/>
    <w:rsid w:val="18DF05DB"/>
    <w:rsid w:val="18F32AFF"/>
    <w:rsid w:val="18F3507E"/>
    <w:rsid w:val="18FF6912"/>
    <w:rsid w:val="190B01A6"/>
    <w:rsid w:val="190C23A4"/>
    <w:rsid w:val="19127B31"/>
    <w:rsid w:val="191355B2"/>
    <w:rsid w:val="191974BC"/>
    <w:rsid w:val="191A4F3D"/>
    <w:rsid w:val="192148C8"/>
    <w:rsid w:val="19216AC6"/>
    <w:rsid w:val="19231FC9"/>
    <w:rsid w:val="19314B62"/>
    <w:rsid w:val="1955189F"/>
    <w:rsid w:val="195C122A"/>
    <w:rsid w:val="195E332D"/>
    <w:rsid w:val="197255CC"/>
    <w:rsid w:val="197C175F"/>
    <w:rsid w:val="197E13DE"/>
    <w:rsid w:val="19932372"/>
    <w:rsid w:val="19946E05"/>
    <w:rsid w:val="19A20DD5"/>
    <w:rsid w:val="19A75E26"/>
    <w:rsid w:val="19AC22AE"/>
    <w:rsid w:val="19AE03F1"/>
    <w:rsid w:val="19B45AA3"/>
    <w:rsid w:val="19BA37C2"/>
    <w:rsid w:val="19C169D0"/>
    <w:rsid w:val="19C9185E"/>
    <w:rsid w:val="19CA3A5C"/>
    <w:rsid w:val="1A003F36"/>
    <w:rsid w:val="1A0202EB"/>
    <w:rsid w:val="1A071A03"/>
    <w:rsid w:val="1A0738C1"/>
    <w:rsid w:val="1A1E34E6"/>
    <w:rsid w:val="1A1F16AE"/>
    <w:rsid w:val="1A2124D0"/>
    <w:rsid w:val="1A221EEC"/>
    <w:rsid w:val="1A240C73"/>
    <w:rsid w:val="1A2972F9"/>
    <w:rsid w:val="1A3B5C77"/>
    <w:rsid w:val="1A4768A9"/>
    <w:rsid w:val="1A54013D"/>
    <w:rsid w:val="1A5E1D51"/>
    <w:rsid w:val="1A612CD6"/>
    <w:rsid w:val="1A6A5B64"/>
    <w:rsid w:val="1A722F70"/>
    <w:rsid w:val="1A79617E"/>
    <w:rsid w:val="1A7F2A75"/>
    <w:rsid w:val="1A984BAD"/>
    <w:rsid w:val="1A9C2CCF"/>
    <w:rsid w:val="1AA56C42"/>
    <w:rsid w:val="1AAA0B4C"/>
    <w:rsid w:val="1AB8220E"/>
    <w:rsid w:val="1ABE55EE"/>
    <w:rsid w:val="1AE4166C"/>
    <w:rsid w:val="1AE93EB4"/>
    <w:rsid w:val="1AF06CFB"/>
    <w:rsid w:val="1AF11B8D"/>
    <w:rsid w:val="1AF26D42"/>
    <w:rsid w:val="1AFB7651"/>
    <w:rsid w:val="1B027D5B"/>
    <w:rsid w:val="1B084769"/>
    <w:rsid w:val="1B0C78EB"/>
    <w:rsid w:val="1B11359C"/>
    <w:rsid w:val="1B217891"/>
    <w:rsid w:val="1B240815"/>
    <w:rsid w:val="1B28721C"/>
    <w:rsid w:val="1B2A271F"/>
    <w:rsid w:val="1B3A29B9"/>
    <w:rsid w:val="1B46204F"/>
    <w:rsid w:val="1B485552"/>
    <w:rsid w:val="1B530544"/>
    <w:rsid w:val="1B6D1F0E"/>
    <w:rsid w:val="1B713184"/>
    <w:rsid w:val="1B8617B4"/>
    <w:rsid w:val="1B8C6F40"/>
    <w:rsid w:val="1BA209CF"/>
    <w:rsid w:val="1BA86870"/>
    <w:rsid w:val="1BB4777D"/>
    <w:rsid w:val="1BBA678A"/>
    <w:rsid w:val="1BC50626"/>
    <w:rsid w:val="1BC54B1C"/>
    <w:rsid w:val="1BD62837"/>
    <w:rsid w:val="1BD75AB8"/>
    <w:rsid w:val="1BD815BE"/>
    <w:rsid w:val="1BDA123E"/>
    <w:rsid w:val="1BDB6CBF"/>
    <w:rsid w:val="1BE62AD2"/>
    <w:rsid w:val="1BEB27DD"/>
    <w:rsid w:val="1BEE3761"/>
    <w:rsid w:val="1BF146E6"/>
    <w:rsid w:val="1BF84071"/>
    <w:rsid w:val="1C0459C2"/>
    <w:rsid w:val="1C0D6AD9"/>
    <w:rsid w:val="1C1B3B4A"/>
    <w:rsid w:val="1C224EB5"/>
    <w:rsid w:val="1C2E0CC8"/>
    <w:rsid w:val="1C340653"/>
    <w:rsid w:val="1C3560D4"/>
    <w:rsid w:val="1C363B56"/>
    <w:rsid w:val="1C387059"/>
    <w:rsid w:val="1C442E6B"/>
    <w:rsid w:val="1C481872"/>
    <w:rsid w:val="1C4B46F2"/>
    <w:rsid w:val="1C596D3F"/>
    <w:rsid w:val="1C7F77CD"/>
    <w:rsid w:val="1C88086E"/>
    <w:rsid w:val="1CA47A0D"/>
    <w:rsid w:val="1CA82B90"/>
    <w:rsid w:val="1CAE031C"/>
    <w:rsid w:val="1CB42226"/>
    <w:rsid w:val="1CB67927"/>
    <w:rsid w:val="1CB731AA"/>
    <w:rsid w:val="1CD4055C"/>
    <w:rsid w:val="1CDA2465"/>
    <w:rsid w:val="1CDB5968"/>
    <w:rsid w:val="1CDE68ED"/>
    <w:rsid w:val="1CEA6E7C"/>
    <w:rsid w:val="1CF21D0A"/>
    <w:rsid w:val="1CF94F18"/>
    <w:rsid w:val="1D050D2B"/>
    <w:rsid w:val="1D1125BF"/>
    <w:rsid w:val="1D150FC5"/>
    <w:rsid w:val="1D194148"/>
    <w:rsid w:val="1D201555"/>
    <w:rsid w:val="1D266CE1"/>
    <w:rsid w:val="1D3963AF"/>
    <w:rsid w:val="1D4F3D64"/>
    <w:rsid w:val="1D6A673C"/>
    <w:rsid w:val="1D6B3F53"/>
    <w:rsid w:val="1D6E4ED7"/>
    <w:rsid w:val="1D7C1C6E"/>
    <w:rsid w:val="1D7D3EDE"/>
    <w:rsid w:val="1D801C31"/>
    <w:rsid w:val="1D8202F5"/>
    <w:rsid w:val="1D854AFC"/>
    <w:rsid w:val="1D893503"/>
    <w:rsid w:val="1D9247AE"/>
    <w:rsid w:val="1D9C4722"/>
    <w:rsid w:val="1DA52E33"/>
    <w:rsid w:val="1DB567EC"/>
    <w:rsid w:val="1DD113EF"/>
    <w:rsid w:val="1DDC7709"/>
    <w:rsid w:val="1DF51A98"/>
    <w:rsid w:val="1E033DED"/>
    <w:rsid w:val="1E042E4C"/>
    <w:rsid w:val="1E0972D4"/>
    <w:rsid w:val="1E0E375C"/>
    <w:rsid w:val="1E1121C0"/>
    <w:rsid w:val="1E150B68"/>
    <w:rsid w:val="1E15696A"/>
    <w:rsid w:val="1E1B62F5"/>
    <w:rsid w:val="1E345B9A"/>
    <w:rsid w:val="1E3D060F"/>
    <w:rsid w:val="1E3F7D2E"/>
    <w:rsid w:val="1E4134E4"/>
    <w:rsid w:val="1E422931"/>
    <w:rsid w:val="1E5062B3"/>
    <w:rsid w:val="1E523514"/>
    <w:rsid w:val="1E6131E6"/>
    <w:rsid w:val="1E6F5D7F"/>
    <w:rsid w:val="1E714A66"/>
    <w:rsid w:val="1E76570A"/>
    <w:rsid w:val="1E77318B"/>
    <w:rsid w:val="1E782E0B"/>
    <w:rsid w:val="1E7B3D90"/>
    <w:rsid w:val="1E7F2796"/>
    <w:rsid w:val="1E802593"/>
    <w:rsid w:val="1E8659A4"/>
    <w:rsid w:val="1E8B6156"/>
    <w:rsid w:val="1E8C402A"/>
    <w:rsid w:val="1E944CBA"/>
    <w:rsid w:val="1E977E3D"/>
    <w:rsid w:val="1E9E304B"/>
    <w:rsid w:val="1EA21A51"/>
    <w:rsid w:val="1EA703CC"/>
    <w:rsid w:val="1EB64E6E"/>
    <w:rsid w:val="1EB7330C"/>
    <w:rsid w:val="1EB83BF5"/>
    <w:rsid w:val="1EBF330F"/>
    <w:rsid w:val="1ED20022"/>
    <w:rsid w:val="1ED50FA6"/>
    <w:rsid w:val="1EF15053"/>
    <w:rsid w:val="1F0152EE"/>
    <w:rsid w:val="1F0A0FF3"/>
    <w:rsid w:val="1F0F0D80"/>
    <w:rsid w:val="1F111D05"/>
    <w:rsid w:val="1F187491"/>
    <w:rsid w:val="1F192994"/>
    <w:rsid w:val="1F20231F"/>
    <w:rsid w:val="1F4437D9"/>
    <w:rsid w:val="1F516372"/>
    <w:rsid w:val="1F554D78"/>
    <w:rsid w:val="1F5771FF"/>
    <w:rsid w:val="1F65178F"/>
    <w:rsid w:val="1F665012"/>
    <w:rsid w:val="1F6B3698"/>
    <w:rsid w:val="1F746526"/>
    <w:rsid w:val="1F857AC5"/>
    <w:rsid w:val="1F8B19CE"/>
    <w:rsid w:val="1FA37075"/>
    <w:rsid w:val="1FA75A7B"/>
    <w:rsid w:val="1FAF670B"/>
    <w:rsid w:val="1FCA14B3"/>
    <w:rsid w:val="1FCF11BE"/>
    <w:rsid w:val="1FD52DD5"/>
    <w:rsid w:val="1FD81ACE"/>
    <w:rsid w:val="1FDC04D4"/>
    <w:rsid w:val="1FE3205D"/>
    <w:rsid w:val="1FE868A9"/>
    <w:rsid w:val="1FEF16F3"/>
    <w:rsid w:val="1FF07174"/>
    <w:rsid w:val="1FF14BF6"/>
    <w:rsid w:val="20034907"/>
    <w:rsid w:val="20070EAC"/>
    <w:rsid w:val="20076D9A"/>
    <w:rsid w:val="20173E4B"/>
    <w:rsid w:val="202E28ED"/>
    <w:rsid w:val="204824B6"/>
    <w:rsid w:val="204E48BC"/>
    <w:rsid w:val="204F4F90"/>
    <w:rsid w:val="206B48C0"/>
    <w:rsid w:val="207573CE"/>
    <w:rsid w:val="207F7CDD"/>
    <w:rsid w:val="20834165"/>
    <w:rsid w:val="208921B3"/>
    <w:rsid w:val="209059F9"/>
    <w:rsid w:val="20973DEB"/>
    <w:rsid w:val="20AC1AA6"/>
    <w:rsid w:val="20B26522"/>
    <w:rsid w:val="20B44310"/>
    <w:rsid w:val="20B44934"/>
    <w:rsid w:val="20CB1D99"/>
    <w:rsid w:val="20E45483"/>
    <w:rsid w:val="210F30EE"/>
    <w:rsid w:val="211116EB"/>
    <w:rsid w:val="212152E8"/>
    <w:rsid w:val="212826F4"/>
    <w:rsid w:val="21436B21"/>
    <w:rsid w:val="215C1C4A"/>
    <w:rsid w:val="216133FC"/>
    <w:rsid w:val="216721D9"/>
    <w:rsid w:val="21687C5B"/>
    <w:rsid w:val="21BF60EB"/>
    <w:rsid w:val="21C30033"/>
    <w:rsid w:val="21CE6705"/>
    <w:rsid w:val="21D32FF7"/>
    <w:rsid w:val="21D56769"/>
    <w:rsid w:val="21D81213"/>
    <w:rsid w:val="21E01EA3"/>
    <w:rsid w:val="21E52EF3"/>
    <w:rsid w:val="21FB5D7B"/>
    <w:rsid w:val="21FE1453"/>
    <w:rsid w:val="22015E94"/>
    <w:rsid w:val="220A5266"/>
    <w:rsid w:val="220B1C3D"/>
    <w:rsid w:val="22177DFE"/>
    <w:rsid w:val="221D1D20"/>
    <w:rsid w:val="22202C8C"/>
    <w:rsid w:val="22295B1A"/>
    <w:rsid w:val="22334A87"/>
    <w:rsid w:val="2250130C"/>
    <w:rsid w:val="226136F6"/>
    <w:rsid w:val="22711792"/>
    <w:rsid w:val="22765C1A"/>
    <w:rsid w:val="22803FAB"/>
    <w:rsid w:val="22885B34"/>
    <w:rsid w:val="22902F40"/>
    <w:rsid w:val="22981523"/>
    <w:rsid w:val="229F5759"/>
    <w:rsid w:val="22BE6801"/>
    <w:rsid w:val="22D8243B"/>
    <w:rsid w:val="22D86BB8"/>
    <w:rsid w:val="22DA593E"/>
    <w:rsid w:val="22F07AE2"/>
    <w:rsid w:val="230044F9"/>
    <w:rsid w:val="23092C0A"/>
    <w:rsid w:val="23097387"/>
    <w:rsid w:val="232956BD"/>
    <w:rsid w:val="233500BF"/>
    <w:rsid w:val="23377FF7"/>
    <w:rsid w:val="233D7BE1"/>
    <w:rsid w:val="234B5230"/>
    <w:rsid w:val="234B6811"/>
    <w:rsid w:val="234D45F8"/>
    <w:rsid w:val="23667720"/>
    <w:rsid w:val="236B425F"/>
    <w:rsid w:val="236F5E31"/>
    <w:rsid w:val="23723533"/>
    <w:rsid w:val="23792EBE"/>
    <w:rsid w:val="23834AD2"/>
    <w:rsid w:val="23836192"/>
    <w:rsid w:val="23901F29"/>
    <w:rsid w:val="239C0061"/>
    <w:rsid w:val="23A04402"/>
    <w:rsid w:val="23B83CA7"/>
    <w:rsid w:val="23B908A4"/>
    <w:rsid w:val="23CA7445"/>
    <w:rsid w:val="23CF38CC"/>
    <w:rsid w:val="23D65853"/>
    <w:rsid w:val="23E704BC"/>
    <w:rsid w:val="23E76D75"/>
    <w:rsid w:val="23E95BEF"/>
    <w:rsid w:val="23FD0064"/>
    <w:rsid w:val="240B1533"/>
    <w:rsid w:val="242001D4"/>
    <w:rsid w:val="242341FB"/>
    <w:rsid w:val="24283062"/>
    <w:rsid w:val="242F29EC"/>
    <w:rsid w:val="243313F3"/>
    <w:rsid w:val="244D1F9C"/>
    <w:rsid w:val="245375B0"/>
    <w:rsid w:val="24642C0A"/>
    <w:rsid w:val="2472475B"/>
    <w:rsid w:val="24760BE2"/>
    <w:rsid w:val="2485597A"/>
    <w:rsid w:val="2492140C"/>
    <w:rsid w:val="24967E12"/>
    <w:rsid w:val="249C559F"/>
    <w:rsid w:val="24B03D22"/>
    <w:rsid w:val="24B22173"/>
    <w:rsid w:val="24B95AD9"/>
    <w:rsid w:val="24BE24DA"/>
    <w:rsid w:val="24BE7930"/>
    <w:rsid w:val="24CF5825"/>
    <w:rsid w:val="24D02F61"/>
    <w:rsid w:val="24D27B98"/>
    <w:rsid w:val="24D663E6"/>
    <w:rsid w:val="24D77F2B"/>
    <w:rsid w:val="24DD6008"/>
    <w:rsid w:val="24EA789C"/>
    <w:rsid w:val="24F2272A"/>
    <w:rsid w:val="25024F43"/>
    <w:rsid w:val="25074C4E"/>
    <w:rsid w:val="2509234F"/>
    <w:rsid w:val="250C10D6"/>
    <w:rsid w:val="2518296A"/>
    <w:rsid w:val="252541FE"/>
    <w:rsid w:val="25275183"/>
    <w:rsid w:val="253720AE"/>
    <w:rsid w:val="253C3E23"/>
    <w:rsid w:val="254237AE"/>
    <w:rsid w:val="254A443E"/>
    <w:rsid w:val="255B68D6"/>
    <w:rsid w:val="25602D5E"/>
    <w:rsid w:val="25637566"/>
    <w:rsid w:val="25641764"/>
    <w:rsid w:val="257B4C0D"/>
    <w:rsid w:val="257C1EB5"/>
    <w:rsid w:val="25884B22"/>
    <w:rsid w:val="258B00E2"/>
    <w:rsid w:val="259F60C6"/>
    <w:rsid w:val="25A442C2"/>
    <w:rsid w:val="25A917A6"/>
    <w:rsid w:val="25B6156F"/>
    <w:rsid w:val="25BE27CC"/>
    <w:rsid w:val="25C61809"/>
    <w:rsid w:val="25D06895"/>
    <w:rsid w:val="25D21D98"/>
    <w:rsid w:val="25D71AA3"/>
    <w:rsid w:val="25D73CA2"/>
    <w:rsid w:val="25DA4C26"/>
    <w:rsid w:val="25DD5104"/>
    <w:rsid w:val="25DD5BAB"/>
    <w:rsid w:val="25F74A5C"/>
    <w:rsid w:val="2628662C"/>
    <w:rsid w:val="262D45DE"/>
    <w:rsid w:val="26407E4E"/>
    <w:rsid w:val="2648525A"/>
    <w:rsid w:val="264E29E7"/>
    <w:rsid w:val="26505EEA"/>
    <w:rsid w:val="26536E6E"/>
    <w:rsid w:val="26665E8F"/>
    <w:rsid w:val="26675B0F"/>
    <w:rsid w:val="266C1F97"/>
    <w:rsid w:val="266D329C"/>
    <w:rsid w:val="266D7A18"/>
    <w:rsid w:val="267F31B6"/>
    <w:rsid w:val="26842EC1"/>
    <w:rsid w:val="26871DC8"/>
    <w:rsid w:val="268E15A5"/>
    <w:rsid w:val="268E7F4D"/>
    <w:rsid w:val="26A53EF9"/>
    <w:rsid w:val="26A57B72"/>
    <w:rsid w:val="26A94201"/>
    <w:rsid w:val="26AC274F"/>
    <w:rsid w:val="26AE6283"/>
    <w:rsid w:val="26AF3D05"/>
    <w:rsid w:val="26B11406"/>
    <w:rsid w:val="26C55EA9"/>
    <w:rsid w:val="26CD6B38"/>
    <w:rsid w:val="26CE67B8"/>
    <w:rsid w:val="26D0553E"/>
    <w:rsid w:val="26D406C1"/>
    <w:rsid w:val="26D72012"/>
    <w:rsid w:val="26EE126B"/>
    <w:rsid w:val="26F9507E"/>
    <w:rsid w:val="26FA2AFF"/>
    <w:rsid w:val="27044A29"/>
    <w:rsid w:val="27054714"/>
    <w:rsid w:val="27066912"/>
    <w:rsid w:val="27107221"/>
    <w:rsid w:val="271414AB"/>
    <w:rsid w:val="271D1DBA"/>
    <w:rsid w:val="271D34C8"/>
    <w:rsid w:val="271E783C"/>
    <w:rsid w:val="2724717E"/>
    <w:rsid w:val="273264DD"/>
    <w:rsid w:val="273C6DEC"/>
    <w:rsid w:val="27424579"/>
    <w:rsid w:val="275834F0"/>
    <w:rsid w:val="276142BF"/>
    <w:rsid w:val="2764252F"/>
    <w:rsid w:val="276C1B3A"/>
    <w:rsid w:val="27783712"/>
    <w:rsid w:val="277C35D8"/>
    <w:rsid w:val="278213D8"/>
    <w:rsid w:val="27907362"/>
    <w:rsid w:val="279142F8"/>
    <w:rsid w:val="27922F76"/>
    <w:rsid w:val="279A7186"/>
    <w:rsid w:val="279F6E91"/>
    <w:rsid w:val="27A6429D"/>
    <w:rsid w:val="27A7649B"/>
    <w:rsid w:val="27A9199E"/>
    <w:rsid w:val="27AF712B"/>
    <w:rsid w:val="27B66AB6"/>
    <w:rsid w:val="27C94452"/>
    <w:rsid w:val="27CF3DDC"/>
    <w:rsid w:val="27D327E3"/>
    <w:rsid w:val="27DD30F2"/>
    <w:rsid w:val="280520B8"/>
    <w:rsid w:val="280B1A43"/>
    <w:rsid w:val="280B3FC1"/>
    <w:rsid w:val="280B61C0"/>
    <w:rsid w:val="28216165"/>
    <w:rsid w:val="28331903"/>
    <w:rsid w:val="28333E1D"/>
    <w:rsid w:val="283A348C"/>
    <w:rsid w:val="283E1E92"/>
    <w:rsid w:val="2842411B"/>
    <w:rsid w:val="28454BD6"/>
    <w:rsid w:val="28455253"/>
    <w:rsid w:val="28474D20"/>
    <w:rsid w:val="284D24AC"/>
    <w:rsid w:val="284F59AF"/>
    <w:rsid w:val="28520B41"/>
    <w:rsid w:val="28541E37"/>
    <w:rsid w:val="28551971"/>
    <w:rsid w:val="285B1C53"/>
    <w:rsid w:val="285E01C8"/>
    <w:rsid w:val="28701767"/>
    <w:rsid w:val="28757DED"/>
    <w:rsid w:val="287C2FFC"/>
    <w:rsid w:val="28840408"/>
    <w:rsid w:val="28855E8A"/>
    <w:rsid w:val="288A4510"/>
    <w:rsid w:val="289F7086"/>
    <w:rsid w:val="28AA6FC3"/>
    <w:rsid w:val="28AC24C6"/>
    <w:rsid w:val="28AF6CCE"/>
    <w:rsid w:val="28B1694E"/>
    <w:rsid w:val="28BF6F68"/>
    <w:rsid w:val="28C32028"/>
    <w:rsid w:val="28CC407F"/>
    <w:rsid w:val="28CC490F"/>
    <w:rsid w:val="28D10507"/>
    <w:rsid w:val="28DE40AA"/>
    <w:rsid w:val="28F82606"/>
    <w:rsid w:val="28F925C5"/>
    <w:rsid w:val="28FE22D0"/>
    <w:rsid w:val="29040956"/>
    <w:rsid w:val="290441D9"/>
    <w:rsid w:val="2907735C"/>
    <w:rsid w:val="29084DDE"/>
    <w:rsid w:val="290D7067"/>
    <w:rsid w:val="290F4769"/>
    <w:rsid w:val="29334D29"/>
    <w:rsid w:val="29345E77"/>
    <w:rsid w:val="294604C6"/>
    <w:rsid w:val="294C65AD"/>
    <w:rsid w:val="29563377"/>
    <w:rsid w:val="29641C74"/>
    <w:rsid w:val="29672BF9"/>
    <w:rsid w:val="296C7081"/>
    <w:rsid w:val="296D4B02"/>
    <w:rsid w:val="29710F8A"/>
    <w:rsid w:val="29716D8C"/>
    <w:rsid w:val="29784198"/>
    <w:rsid w:val="297C2B9E"/>
    <w:rsid w:val="29806583"/>
    <w:rsid w:val="29870F2F"/>
    <w:rsid w:val="298B3C4C"/>
    <w:rsid w:val="298C7710"/>
    <w:rsid w:val="299D30D3"/>
    <w:rsid w:val="299E43D8"/>
    <w:rsid w:val="29BD768D"/>
    <w:rsid w:val="29CB61A1"/>
    <w:rsid w:val="29DE3B3C"/>
    <w:rsid w:val="29E0703F"/>
    <w:rsid w:val="29E87CCF"/>
    <w:rsid w:val="29EB0C54"/>
    <w:rsid w:val="29F26D24"/>
    <w:rsid w:val="29FC6970"/>
    <w:rsid w:val="2A0475FF"/>
    <w:rsid w:val="2A15033F"/>
    <w:rsid w:val="2A1662C1"/>
    <w:rsid w:val="2A1C7367"/>
    <w:rsid w:val="2A2815FA"/>
    <w:rsid w:val="2A282CB7"/>
    <w:rsid w:val="2A2C16BD"/>
    <w:rsid w:val="2A315B45"/>
    <w:rsid w:val="2A35454B"/>
    <w:rsid w:val="2A4370E4"/>
    <w:rsid w:val="2A560303"/>
    <w:rsid w:val="2A6D6092"/>
    <w:rsid w:val="2A6E59AA"/>
    <w:rsid w:val="2A704730"/>
    <w:rsid w:val="2A7D01C3"/>
    <w:rsid w:val="2A7D76B4"/>
    <w:rsid w:val="2A871192"/>
    <w:rsid w:val="2AA34B7F"/>
    <w:rsid w:val="2AA9450A"/>
    <w:rsid w:val="2AC32EB5"/>
    <w:rsid w:val="2ADF27E6"/>
    <w:rsid w:val="2AF034F9"/>
    <w:rsid w:val="2AF04C7E"/>
    <w:rsid w:val="2AF77E8C"/>
    <w:rsid w:val="2B04391F"/>
    <w:rsid w:val="2B0471A2"/>
    <w:rsid w:val="2B0748A3"/>
    <w:rsid w:val="2B0A5828"/>
    <w:rsid w:val="2B1206B6"/>
    <w:rsid w:val="2B2A3B5F"/>
    <w:rsid w:val="2B332270"/>
    <w:rsid w:val="2B352ACA"/>
    <w:rsid w:val="2B417007"/>
    <w:rsid w:val="2B437463"/>
    <w:rsid w:val="2B4A4093"/>
    <w:rsid w:val="2B5272A1"/>
    <w:rsid w:val="2B57670F"/>
    <w:rsid w:val="2B590E2A"/>
    <w:rsid w:val="2B5946AE"/>
    <w:rsid w:val="2B62173A"/>
    <w:rsid w:val="2B6504C0"/>
    <w:rsid w:val="2B723F53"/>
    <w:rsid w:val="2B7807EE"/>
    <w:rsid w:val="2B9D3E9D"/>
    <w:rsid w:val="2B9F0ECD"/>
    <w:rsid w:val="2BA50BF7"/>
    <w:rsid w:val="2BA8442D"/>
    <w:rsid w:val="2BA95732"/>
    <w:rsid w:val="2BAC66B6"/>
    <w:rsid w:val="2BB1742D"/>
    <w:rsid w:val="2BBC6951"/>
    <w:rsid w:val="2BBF00EC"/>
    <w:rsid w:val="2BC362DB"/>
    <w:rsid w:val="2BC37CFD"/>
    <w:rsid w:val="2BC43D5D"/>
    <w:rsid w:val="2BCC0EF1"/>
    <w:rsid w:val="2BD40774"/>
    <w:rsid w:val="2BD5237F"/>
    <w:rsid w:val="2BDD3602"/>
    <w:rsid w:val="2BE536CE"/>
    <w:rsid w:val="2BE758D9"/>
    <w:rsid w:val="2BEA0719"/>
    <w:rsid w:val="2BEC2B5B"/>
    <w:rsid w:val="2BED6535"/>
    <w:rsid w:val="2BFB6435"/>
    <w:rsid w:val="2C033842"/>
    <w:rsid w:val="2C09049E"/>
    <w:rsid w:val="2C0A653C"/>
    <w:rsid w:val="2C1837E7"/>
    <w:rsid w:val="2C191F85"/>
    <w:rsid w:val="2C1A3467"/>
    <w:rsid w:val="2C1A49FF"/>
    <w:rsid w:val="2C225F74"/>
    <w:rsid w:val="2C372A17"/>
    <w:rsid w:val="2C447B2E"/>
    <w:rsid w:val="2C4F0E6D"/>
    <w:rsid w:val="2C60493C"/>
    <w:rsid w:val="2C676DE9"/>
    <w:rsid w:val="2C6E6774"/>
    <w:rsid w:val="2C7176F9"/>
    <w:rsid w:val="2C74067E"/>
    <w:rsid w:val="2C8F0EA7"/>
    <w:rsid w:val="2C971B37"/>
    <w:rsid w:val="2CA50E4D"/>
    <w:rsid w:val="2CAB4F54"/>
    <w:rsid w:val="2CBF7478"/>
    <w:rsid w:val="2CD02F96"/>
    <w:rsid w:val="2CD74B1F"/>
    <w:rsid w:val="2CDE7D2D"/>
    <w:rsid w:val="2CE53E34"/>
    <w:rsid w:val="2CE82D6F"/>
    <w:rsid w:val="2CEF21C5"/>
    <w:rsid w:val="2CF85053"/>
    <w:rsid w:val="2D0211E6"/>
    <w:rsid w:val="2D067BEC"/>
    <w:rsid w:val="2D07566E"/>
    <w:rsid w:val="2D0A07F1"/>
    <w:rsid w:val="2D0C3CF4"/>
    <w:rsid w:val="2D125BFD"/>
    <w:rsid w:val="2D323F34"/>
    <w:rsid w:val="2D343236"/>
    <w:rsid w:val="2D3A4BC3"/>
    <w:rsid w:val="2D591BF5"/>
    <w:rsid w:val="2D593DF3"/>
    <w:rsid w:val="2D626C81"/>
    <w:rsid w:val="2D691E8F"/>
    <w:rsid w:val="2D780E25"/>
    <w:rsid w:val="2D894942"/>
    <w:rsid w:val="2D8F42CD"/>
    <w:rsid w:val="2DAD167F"/>
    <w:rsid w:val="2DBA631F"/>
    <w:rsid w:val="2DBD6096"/>
    <w:rsid w:val="2DCA7536"/>
    <w:rsid w:val="2DD15014"/>
    <w:rsid w:val="2DD33ABD"/>
    <w:rsid w:val="2DD611BE"/>
    <w:rsid w:val="2DD724C3"/>
    <w:rsid w:val="2DDC694B"/>
    <w:rsid w:val="2DE95C61"/>
    <w:rsid w:val="2DF36570"/>
    <w:rsid w:val="2DF72DE4"/>
    <w:rsid w:val="2E0220AF"/>
    <w:rsid w:val="2E105B20"/>
    <w:rsid w:val="2E1F613B"/>
    <w:rsid w:val="2E200339"/>
    <w:rsid w:val="2E2E50D0"/>
    <w:rsid w:val="2E3624DD"/>
    <w:rsid w:val="2E3859E0"/>
    <w:rsid w:val="2E3A4766"/>
    <w:rsid w:val="2E445076"/>
    <w:rsid w:val="2E454CF5"/>
    <w:rsid w:val="2E4B082A"/>
    <w:rsid w:val="2E5D019E"/>
    <w:rsid w:val="2E5D4E86"/>
    <w:rsid w:val="2E5D790B"/>
    <w:rsid w:val="2E637093"/>
    <w:rsid w:val="2E6B07B8"/>
    <w:rsid w:val="2E704C40"/>
    <w:rsid w:val="2E716E3E"/>
    <w:rsid w:val="2E7632C6"/>
    <w:rsid w:val="2E8944E5"/>
    <w:rsid w:val="2E9A3C18"/>
    <w:rsid w:val="2E9B3506"/>
    <w:rsid w:val="2EA11B8C"/>
    <w:rsid w:val="2EA53E15"/>
    <w:rsid w:val="2EA9281C"/>
    <w:rsid w:val="2EBB0FEE"/>
    <w:rsid w:val="2EBF2F4F"/>
    <w:rsid w:val="2EC06E4D"/>
    <w:rsid w:val="2EC63002"/>
    <w:rsid w:val="2EC7564F"/>
    <w:rsid w:val="2ED72066"/>
    <w:rsid w:val="2EDF2CF6"/>
    <w:rsid w:val="2EE04EF4"/>
    <w:rsid w:val="2EE23C7A"/>
    <w:rsid w:val="2EE6487F"/>
    <w:rsid w:val="2F005429"/>
    <w:rsid w:val="2F0A6B38"/>
    <w:rsid w:val="2F0C4ABE"/>
    <w:rsid w:val="2F0E7FC2"/>
    <w:rsid w:val="2F1E025C"/>
    <w:rsid w:val="2F2346E4"/>
    <w:rsid w:val="2F265668"/>
    <w:rsid w:val="2F2B1AF0"/>
    <w:rsid w:val="2F305F78"/>
    <w:rsid w:val="2F311268"/>
    <w:rsid w:val="2F31727D"/>
    <w:rsid w:val="2F511D30"/>
    <w:rsid w:val="2F5219B0"/>
    <w:rsid w:val="2F58713C"/>
    <w:rsid w:val="2F594BBE"/>
    <w:rsid w:val="2F5B36B3"/>
    <w:rsid w:val="2F797671"/>
    <w:rsid w:val="2F946CCB"/>
    <w:rsid w:val="2F9724A4"/>
    <w:rsid w:val="2FA45F37"/>
    <w:rsid w:val="2FA539B8"/>
    <w:rsid w:val="2FA5723B"/>
    <w:rsid w:val="2FA969A4"/>
    <w:rsid w:val="2FB43FD3"/>
    <w:rsid w:val="2FB461D1"/>
    <w:rsid w:val="2FB618D6"/>
    <w:rsid w:val="2FB829D9"/>
    <w:rsid w:val="2FBC35DD"/>
    <w:rsid w:val="2FC17A65"/>
    <w:rsid w:val="2FC67770"/>
    <w:rsid w:val="2FC71D37"/>
    <w:rsid w:val="2FC90CF2"/>
    <w:rsid w:val="2FCB7E61"/>
    <w:rsid w:val="2FD25781"/>
    <w:rsid w:val="2FD8768A"/>
    <w:rsid w:val="2FD9098F"/>
    <w:rsid w:val="2FDB060F"/>
    <w:rsid w:val="2FDC745C"/>
    <w:rsid w:val="2FE20F33"/>
    <w:rsid w:val="2FF93442"/>
    <w:rsid w:val="2FFD7934"/>
    <w:rsid w:val="2FFE78CA"/>
    <w:rsid w:val="30052AD8"/>
    <w:rsid w:val="30210D83"/>
    <w:rsid w:val="30336318"/>
    <w:rsid w:val="304D2ECC"/>
    <w:rsid w:val="306A027E"/>
    <w:rsid w:val="306B5D00"/>
    <w:rsid w:val="306D3401"/>
    <w:rsid w:val="30733ACD"/>
    <w:rsid w:val="30816FDF"/>
    <w:rsid w:val="308455A5"/>
    <w:rsid w:val="308568A9"/>
    <w:rsid w:val="3086432B"/>
    <w:rsid w:val="308C3862"/>
    <w:rsid w:val="308F13B7"/>
    <w:rsid w:val="309379D8"/>
    <w:rsid w:val="30A203D8"/>
    <w:rsid w:val="30A270F7"/>
    <w:rsid w:val="30A45AD9"/>
    <w:rsid w:val="30BA5A7F"/>
    <w:rsid w:val="30D3442A"/>
    <w:rsid w:val="30DE49BA"/>
    <w:rsid w:val="30DF1478"/>
    <w:rsid w:val="30EC586F"/>
    <w:rsid w:val="30EC7553"/>
    <w:rsid w:val="30ED4FD4"/>
    <w:rsid w:val="30F310DC"/>
    <w:rsid w:val="30FC3F6A"/>
    <w:rsid w:val="30FE2CF0"/>
    <w:rsid w:val="30FF4EEE"/>
    <w:rsid w:val="31152915"/>
    <w:rsid w:val="312A4E39"/>
    <w:rsid w:val="313421AC"/>
    <w:rsid w:val="31414A5E"/>
    <w:rsid w:val="314550B7"/>
    <w:rsid w:val="31526EF7"/>
    <w:rsid w:val="31584683"/>
    <w:rsid w:val="315F1A90"/>
    <w:rsid w:val="317B5B3D"/>
    <w:rsid w:val="319C6071"/>
    <w:rsid w:val="31AC537E"/>
    <w:rsid w:val="31B5119A"/>
    <w:rsid w:val="31BA5621"/>
    <w:rsid w:val="31C37EE6"/>
    <w:rsid w:val="31C417B4"/>
    <w:rsid w:val="31C823B9"/>
    <w:rsid w:val="31CC0DBF"/>
    <w:rsid w:val="31D10ACA"/>
    <w:rsid w:val="31D2654B"/>
    <w:rsid w:val="31DD48DC"/>
    <w:rsid w:val="31E3679B"/>
    <w:rsid w:val="31E732FD"/>
    <w:rsid w:val="31F1357D"/>
    <w:rsid w:val="31F20FFF"/>
    <w:rsid w:val="31FF6116"/>
    <w:rsid w:val="32013817"/>
    <w:rsid w:val="32134DB6"/>
    <w:rsid w:val="321737BD"/>
    <w:rsid w:val="3224724F"/>
    <w:rsid w:val="32285C55"/>
    <w:rsid w:val="322E33E2"/>
    <w:rsid w:val="32354F6B"/>
    <w:rsid w:val="323629ED"/>
    <w:rsid w:val="323C48F6"/>
    <w:rsid w:val="324F1398"/>
    <w:rsid w:val="32517576"/>
    <w:rsid w:val="325A22A3"/>
    <w:rsid w:val="32674841"/>
    <w:rsid w:val="32706398"/>
    <w:rsid w:val="328175E9"/>
    <w:rsid w:val="32994C8F"/>
    <w:rsid w:val="32A27B1D"/>
    <w:rsid w:val="32A92D2C"/>
    <w:rsid w:val="32BE5C2C"/>
    <w:rsid w:val="32C75B5F"/>
    <w:rsid w:val="32CE54EA"/>
    <w:rsid w:val="32D40CBF"/>
    <w:rsid w:val="32E730AC"/>
    <w:rsid w:val="32FB6478"/>
    <w:rsid w:val="3300373A"/>
    <w:rsid w:val="33055644"/>
    <w:rsid w:val="330E4C4E"/>
    <w:rsid w:val="331D2CEA"/>
    <w:rsid w:val="33242675"/>
    <w:rsid w:val="33263B3F"/>
    <w:rsid w:val="332B3AC7"/>
    <w:rsid w:val="33363C14"/>
    <w:rsid w:val="33394B99"/>
    <w:rsid w:val="33417A27"/>
    <w:rsid w:val="334915B0"/>
    <w:rsid w:val="33527CC1"/>
    <w:rsid w:val="33583DC9"/>
    <w:rsid w:val="335F6FD7"/>
    <w:rsid w:val="33650EE0"/>
    <w:rsid w:val="336963EB"/>
    <w:rsid w:val="3377467E"/>
    <w:rsid w:val="337820FF"/>
    <w:rsid w:val="337C1504"/>
    <w:rsid w:val="33816EEB"/>
    <w:rsid w:val="339574B1"/>
    <w:rsid w:val="339F1FBF"/>
    <w:rsid w:val="339F7DC0"/>
    <w:rsid w:val="33A07A40"/>
    <w:rsid w:val="33A309C5"/>
    <w:rsid w:val="33A46447"/>
    <w:rsid w:val="33A97744"/>
    <w:rsid w:val="33B20FDF"/>
    <w:rsid w:val="33D44A17"/>
    <w:rsid w:val="33DB0B1F"/>
    <w:rsid w:val="33E32E64"/>
    <w:rsid w:val="33EB55CD"/>
    <w:rsid w:val="33EC4C02"/>
    <w:rsid w:val="33FF585B"/>
    <w:rsid w:val="34045E06"/>
    <w:rsid w:val="340B70F0"/>
    <w:rsid w:val="340D2360"/>
    <w:rsid w:val="3410665D"/>
    <w:rsid w:val="34110FF9"/>
    <w:rsid w:val="34172F02"/>
    <w:rsid w:val="34211214"/>
    <w:rsid w:val="342E63AB"/>
    <w:rsid w:val="34314988"/>
    <w:rsid w:val="34455FD0"/>
    <w:rsid w:val="345352E6"/>
    <w:rsid w:val="345507E9"/>
    <w:rsid w:val="345D2BBE"/>
    <w:rsid w:val="346B6210"/>
    <w:rsid w:val="346D5E8F"/>
    <w:rsid w:val="347B2C27"/>
    <w:rsid w:val="348070AE"/>
    <w:rsid w:val="34825E35"/>
    <w:rsid w:val="34907349"/>
    <w:rsid w:val="34950E68"/>
    <w:rsid w:val="34972557"/>
    <w:rsid w:val="34986E94"/>
    <w:rsid w:val="349B56DA"/>
    <w:rsid w:val="34A614EC"/>
    <w:rsid w:val="34AF62C9"/>
    <w:rsid w:val="34B7500A"/>
    <w:rsid w:val="34C865A9"/>
    <w:rsid w:val="34CB4388"/>
    <w:rsid w:val="34CE04B2"/>
    <w:rsid w:val="34DE4EC9"/>
    <w:rsid w:val="34EE76E2"/>
    <w:rsid w:val="34F373ED"/>
    <w:rsid w:val="34FA6E12"/>
    <w:rsid w:val="34FD1EFB"/>
    <w:rsid w:val="350B6C92"/>
    <w:rsid w:val="35301450"/>
    <w:rsid w:val="35304CD4"/>
    <w:rsid w:val="353201D7"/>
    <w:rsid w:val="35370DDB"/>
    <w:rsid w:val="353942DE"/>
    <w:rsid w:val="353B77E2"/>
    <w:rsid w:val="354016EB"/>
    <w:rsid w:val="35403806"/>
    <w:rsid w:val="354A30A0"/>
    <w:rsid w:val="354D7158"/>
    <w:rsid w:val="354E4284"/>
    <w:rsid w:val="355F671C"/>
    <w:rsid w:val="35611C20"/>
    <w:rsid w:val="3566192B"/>
    <w:rsid w:val="356815AA"/>
    <w:rsid w:val="3572573D"/>
    <w:rsid w:val="35764143"/>
    <w:rsid w:val="35771BC5"/>
    <w:rsid w:val="3585695C"/>
    <w:rsid w:val="358D5588"/>
    <w:rsid w:val="359207AA"/>
    <w:rsid w:val="359A6901"/>
    <w:rsid w:val="35BA13B5"/>
    <w:rsid w:val="35C267C1"/>
    <w:rsid w:val="35CA5DCC"/>
    <w:rsid w:val="35DC727B"/>
    <w:rsid w:val="35E34777"/>
    <w:rsid w:val="35F36F90"/>
    <w:rsid w:val="360062A6"/>
    <w:rsid w:val="36075C31"/>
    <w:rsid w:val="36350CFE"/>
    <w:rsid w:val="363A3B40"/>
    <w:rsid w:val="363B2C08"/>
    <w:rsid w:val="363E2844"/>
    <w:rsid w:val="363E6B4A"/>
    <w:rsid w:val="36414B11"/>
    <w:rsid w:val="364D63A5"/>
    <w:rsid w:val="365302AE"/>
    <w:rsid w:val="36545D30"/>
    <w:rsid w:val="36607A0A"/>
    <w:rsid w:val="366849D0"/>
    <w:rsid w:val="36692452"/>
    <w:rsid w:val="366E227C"/>
    <w:rsid w:val="366F2E0D"/>
    <w:rsid w:val="367252E0"/>
    <w:rsid w:val="36732D61"/>
    <w:rsid w:val="367B6A5C"/>
    <w:rsid w:val="368A2987"/>
    <w:rsid w:val="36946B19"/>
    <w:rsid w:val="369D6A39"/>
    <w:rsid w:val="36A04B2A"/>
    <w:rsid w:val="36A114D2"/>
    <w:rsid w:val="36A31332"/>
    <w:rsid w:val="36A74ADA"/>
    <w:rsid w:val="36AD60D5"/>
    <w:rsid w:val="36B224F9"/>
    <w:rsid w:val="36C52B6C"/>
    <w:rsid w:val="36CD2176"/>
    <w:rsid w:val="36CF5679"/>
    <w:rsid w:val="36DB4D0F"/>
    <w:rsid w:val="36DE2411"/>
    <w:rsid w:val="36DF4E43"/>
    <w:rsid w:val="36EC0CC9"/>
    <w:rsid w:val="36EE7182"/>
    <w:rsid w:val="3702714D"/>
    <w:rsid w:val="37036DCD"/>
    <w:rsid w:val="37071057"/>
    <w:rsid w:val="370C1C5B"/>
    <w:rsid w:val="37105A48"/>
    <w:rsid w:val="371C5779"/>
    <w:rsid w:val="37227682"/>
    <w:rsid w:val="372A0312"/>
    <w:rsid w:val="373A08A4"/>
    <w:rsid w:val="373D5CAD"/>
    <w:rsid w:val="373E5B6C"/>
    <w:rsid w:val="373F410B"/>
    <w:rsid w:val="37406C32"/>
    <w:rsid w:val="374530BA"/>
    <w:rsid w:val="3745693D"/>
    <w:rsid w:val="376016E5"/>
    <w:rsid w:val="37684573"/>
    <w:rsid w:val="376F7781"/>
    <w:rsid w:val="37720706"/>
    <w:rsid w:val="377372C9"/>
    <w:rsid w:val="37743C09"/>
    <w:rsid w:val="379344BE"/>
    <w:rsid w:val="379B18CA"/>
    <w:rsid w:val="379C154A"/>
    <w:rsid w:val="37AA07D2"/>
    <w:rsid w:val="37B4116F"/>
    <w:rsid w:val="37D8392D"/>
    <w:rsid w:val="37DB48B2"/>
    <w:rsid w:val="37DE7FA0"/>
    <w:rsid w:val="37EE7094"/>
    <w:rsid w:val="37F863E1"/>
    <w:rsid w:val="381E6620"/>
    <w:rsid w:val="3824052A"/>
    <w:rsid w:val="38296C89"/>
    <w:rsid w:val="383002EB"/>
    <w:rsid w:val="38360444"/>
    <w:rsid w:val="38586797"/>
    <w:rsid w:val="385A0A04"/>
    <w:rsid w:val="38615E10"/>
    <w:rsid w:val="3862000E"/>
    <w:rsid w:val="386D1C23"/>
    <w:rsid w:val="38895CD0"/>
    <w:rsid w:val="388E2157"/>
    <w:rsid w:val="38907859"/>
    <w:rsid w:val="38984C65"/>
    <w:rsid w:val="389A0168"/>
    <w:rsid w:val="38A07AF3"/>
    <w:rsid w:val="38A677FE"/>
    <w:rsid w:val="38B13611"/>
    <w:rsid w:val="38B21092"/>
    <w:rsid w:val="38BC0149"/>
    <w:rsid w:val="38BF03A8"/>
    <w:rsid w:val="38C36DAE"/>
    <w:rsid w:val="38CD76BE"/>
    <w:rsid w:val="38D87D1C"/>
    <w:rsid w:val="38ED2171"/>
    <w:rsid w:val="38EE3475"/>
    <w:rsid w:val="38F4537F"/>
    <w:rsid w:val="38FA1486"/>
    <w:rsid w:val="38FA4D0A"/>
    <w:rsid w:val="38FB6F08"/>
    <w:rsid w:val="38FC4989"/>
    <w:rsid w:val="392748D4"/>
    <w:rsid w:val="392E425F"/>
    <w:rsid w:val="39461996"/>
    <w:rsid w:val="39477387"/>
    <w:rsid w:val="39561BA0"/>
    <w:rsid w:val="395D152B"/>
    <w:rsid w:val="39636459"/>
    <w:rsid w:val="396B7F6C"/>
    <w:rsid w:val="396E7247"/>
    <w:rsid w:val="39741150"/>
    <w:rsid w:val="397E74E1"/>
    <w:rsid w:val="398B0D75"/>
    <w:rsid w:val="398F38E2"/>
    <w:rsid w:val="399D7D96"/>
    <w:rsid w:val="39A74E22"/>
    <w:rsid w:val="39AF7CB0"/>
    <w:rsid w:val="39B417A9"/>
    <w:rsid w:val="39B44138"/>
    <w:rsid w:val="39B5543D"/>
    <w:rsid w:val="39BB7346"/>
    <w:rsid w:val="39CB3D5D"/>
    <w:rsid w:val="39E42709"/>
    <w:rsid w:val="39F71729"/>
    <w:rsid w:val="39FC5695"/>
    <w:rsid w:val="3A006D8E"/>
    <w:rsid w:val="3A1976E0"/>
    <w:rsid w:val="3A1C60E6"/>
    <w:rsid w:val="3A1E5D66"/>
    <w:rsid w:val="3A263172"/>
    <w:rsid w:val="3A2D469E"/>
    <w:rsid w:val="3A3651E5"/>
    <w:rsid w:val="3A5307BE"/>
    <w:rsid w:val="3A5A0149"/>
    <w:rsid w:val="3A5D10CE"/>
    <w:rsid w:val="3A5D4951"/>
    <w:rsid w:val="3A6677DF"/>
    <w:rsid w:val="3A6F486B"/>
    <w:rsid w:val="3A744481"/>
    <w:rsid w:val="3A7909FE"/>
    <w:rsid w:val="3A7A067E"/>
    <w:rsid w:val="3A800389"/>
    <w:rsid w:val="3A871F12"/>
    <w:rsid w:val="3A883217"/>
    <w:rsid w:val="3A8C7BEF"/>
    <w:rsid w:val="3A906246"/>
    <w:rsid w:val="3A977FAE"/>
    <w:rsid w:val="3A9F75B9"/>
    <w:rsid w:val="3AA12ABC"/>
    <w:rsid w:val="3ABE7E6D"/>
    <w:rsid w:val="3AC37B79"/>
    <w:rsid w:val="3AC5307C"/>
    <w:rsid w:val="3ACB4F85"/>
    <w:rsid w:val="3ACD0488"/>
    <w:rsid w:val="3AD16E8E"/>
    <w:rsid w:val="3AE212EA"/>
    <w:rsid w:val="3AF40348"/>
    <w:rsid w:val="3AF44AC4"/>
    <w:rsid w:val="3B0911E6"/>
    <w:rsid w:val="3B2349B7"/>
    <w:rsid w:val="3B306EA8"/>
    <w:rsid w:val="3B5D0C70"/>
    <w:rsid w:val="3B616CFF"/>
    <w:rsid w:val="3B6259F6"/>
    <w:rsid w:val="3B632B7A"/>
    <w:rsid w:val="3B6B76FA"/>
    <w:rsid w:val="3B744119"/>
    <w:rsid w:val="3B8C75C1"/>
    <w:rsid w:val="3B965952"/>
    <w:rsid w:val="3B976654"/>
    <w:rsid w:val="3BA21765"/>
    <w:rsid w:val="3BAB67F1"/>
    <w:rsid w:val="3BB545D4"/>
    <w:rsid w:val="3BC01EFC"/>
    <w:rsid w:val="3BC7753E"/>
    <w:rsid w:val="3BC91625"/>
    <w:rsid w:val="3BCA786A"/>
    <w:rsid w:val="3BCF2878"/>
    <w:rsid w:val="3BD31E2F"/>
    <w:rsid w:val="3BE70BD5"/>
    <w:rsid w:val="3BE940D8"/>
    <w:rsid w:val="3BEB75DB"/>
    <w:rsid w:val="3BEF1864"/>
    <w:rsid w:val="3BF15831"/>
    <w:rsid w:val="3BF97BF5"/>
    <w:rsid w:val="3C007580"/>
    <w:rsid w:val="3C053A08"/>
    <w:rsid w:val="3C105946"/>
    <w:rsid w:val="3C15041F"/>
    <w:rsid w:val="3C240A39"/>
    <w:rsid w:val="3C4056B6"/>
    <w:rsid w:val="3C471448"/>
    <w:rsid w:val="3C5F759A"/>
    <w:rsid w:val="3C685CAB"/>
    <w:rsid w:val="3C6C525A"/>
    <w:rsid w:val="3C6E7BB4"/>
    <w:rsid w:val="3C7207B9"/>
    <w:rsid w:val="3C73623A"/>
    <w:rsid w:val="3C775B4C"/>
    <w:rsid w:val="3C9541F0"/>
    <w:rsid w:val="3C961C72"/>
    <w:rsid w:val="3C9776F3"/>
    <w:rsid w:val="3C99647A"/>
    <w:rsid w:val="3CBB4430"/>
    <w:rsid w:val="3CCC59CF"/>
    <w:rsid w:val="3CCE23CB"/>
    <w:rsid w:val="3CD17D17"/>
    <w:rsid w:val="3CD54FDA"/>
    <w:rsid w:val="3CD97263"/>
    <w:rsid w:val="3CEC4BFF"/>
    <w:rsid w:val="3CFC071D"/>
    <w:rsid w:val="3D1141CF"/>
    <w:rsid w:val="3D1228C0"/>
    <w:rsid w:val="3D19224B"/>
    <w:rsid w:val="3D1F4154"/>
    <w:rsid w:val="3D232B5B"/>
    <w:rsid w:val="3D2E696D"/>
    <w:rsid w:val="3D3C7F39"/>
    <w:rsid w:val="3D440F09"/>
    <w:rsid w:val="3D4504A0"/>
    <w:rsid w:val="3D471A96"/>
    <w:rsid w:val="3D477897"/>
    <w:rsid w:val="3D4F6EA2"/>
    <w:rsid w:val="3D5C61B8"/>
    <w:rsid w:val="3D5D3C39"/>
    <w:rsid w:val="3D5E16BB"/>
    <w:rsid w:val="3D68584E"/>
    <w:rsid w:val="3D702C5A"/>
    <w:rsid w:val="3D72615D"/>
    <w:rsid w:val="3D7570E2"/>
    <w:rsid w:val="3D7E79F1"/>
    <w:rsid w:val="3D8734BB"/>
    <w:rsid w:val="3D98059B"/>
    <w:rsid w:val="3D9A11D4"/>
    <w:rsid w:val="3D9A7321"/>
    <w:rsid w:val="3DA13429"/>
    <w:rsid w:val="3DA16CAC"/>
    <w:rsid w:val="3DA16D89"/>
    <w:rsid w:val="3DA364BE"/>
    <w:rsid w:val="3DA962B7"/>
    <w:rsid w:val="3DC832E8"/>
    <w:rsid w:val="3DCC5572"/>
    <w:rsid w:val="3DD119FA"/>
    <w:rsid w:val="3DD16176"/>
    <w:rsid w:val="3DD23BF8"/>
    <w:rsid w:val="3DE041CB"/>
    <w:rsid w:val="3DEE6DAB"/>
    <w:rsid w:val="3DF06A2B"/>
    <w:rsid w:val="3DF379B0"/>
    <w:rsid w:val="3DF56736"/>
    <w:rsid w:val="3E006CC6"/>
    <w:rsid w:val="3E050AA1"/>
    <w:rsid w:val="3E087955"/>
    <w:rsid w:val="3E0A75D5"/>
    <w:rsid w:val="3E0B5057"/>
    <w:rsid w:val="3E0D48F6"/>
    <w:rsid w:val="3E143768"/>
    <w:rsid w:val="3E1533E8"/>
    <w:rsid w:val="3E1868B4"/>
    <w:rsid w:val="3E1D4077"/>
    <w:rsid w:val="3E297E8A"/>
    <w:rsid w:val="3E2A2088"/>
    <w:rsid w:val="3E320799"/>
    <w:rsid w:val="3E377251"/>
    <w:rsid w:val="3E3948A1"/>
    <w:rsid w:val="3E3D6B2B"/>
    <w:rsid w:val="3E42664B"/>
    <w:rsid w:val="3E4464B5"/>
    <w:rsid w:val="3E52324D"/>
    <w:rsid w:val="3E5776D4"/>
    <w:rsid w:val="3E5A7334"/>
    <w:rsid w:val="3E5C73DF"/>
    <w:rsid w:val="3E6853F0"/>
    <w:rsid w:val="3E7B5D6B"/>
    <w:rsid w:val="3E843E66"/>
    <w:rsid w:val="3E860224"/>
    <w:rsid w:val="3E861F65"/>
    <w:rsid w:val="3E887EA3"/>
    <w:rsid w:val="3E8E3445"/>
    <w:rsid w:val="3E8F51FE"/>
    <w:rsid w:val="3E926F87"/>
    <w:rsid w:val="3E9726BC"/>
    <w:rsid w:val="3E9A59DE"/>
    <w:rsid w:val="3E9B10C2"/>
    <w:rsid w:val="3EA62CD7"/>
    <w:rsid w:val="3EAF4836"/>
    <w:rsid w:val="3EC33DFA"/>
    <w:rsid w:val="3EC42287"/>
    <w:rsid w:val="3EE26435"/>
    <w:rsid w:val="3EE5603F"/>
    <w:rsid w:val="3EFA6EDE"/>
    <w:rsid w:val="3F060E16"/>
    <w:rsid w:val="3F1D1096"/>
    <w:rsid w:val="3F2F0234"/>
    <w:rsid w:val="3F446058"/>
    <w:rsid w:val="3F4F1E6B"/>
    <w:rsid w:val="3F577277"/>
    <w:rsid w:val="3F5C36FF"/>
    <w:rsid w:val="3F5E6C02"/>
    <w:rsid w:val="3F6363FE"/>
    <w:rsid w:val="3F6A6298"/>
    <w:rsid w:val="3F6D4C9E"/>
    <w:rsid w:val="3F6F01A1"/>
    <w:rsid w:val="3F756B8F"/>
    <w:rsid w:val="3F8A45CE"/>
    <w:rsid w:val="3F9006D6"/>
    <w:rsid w:val="3F923BD9"/>
    <w:rsid w:val="3F95482B"/>
    <w:rsid w:val="3FA06772"/>
    <w:rsid w:val="3FA23E73"/>
    <w:rsid w:val="3FB83E19"/>
    <w:rsid w:val="3FB93A98"/>
    <w:rsid w:val="3FBE37A3"/>
    <w:rsid w:val="3FBE7F20"/>
    <w:rsid w:val="3FC03423"/>
    <w:rsid w:val="3FC06CA7"/>
    <w:rsid w:val="3FC456AD"/>
    <w:rsid w:val="3FC80830"/>
    <w:rsid w:val="3FC840B3"/>
    <w:rsid w:val="3FCB17B4"/>
    <w:rsid w:val="3FD768CC"/>
    <w:rsid w:val="3FE86B66"/>
    <w:rsid w:val="3FEC0DF0"/>
    <w:rsid w:val="3FEE0A6F"/>
    <w:rsid w:val="3FEE42F3"/>
    <w:rsid w:val="3FFA5B87"/>
    <w:rsid w:val="4019356B"/>
    <w:rsid w:val="40292E53"/>
    <w:rsid w:val="40364148"/>
    <w:rsid w:val="40374367"/>
    <w:rsid w:val="403C65F0"/>
    <w:rsid w:val="40425F7B"/>
    <w:rsid w:val="40472403"/>
    <w:rsid w:val="40592157"/>
    <w:rsid w:val="405A3622"/>
    <w:rsid w:val="4063169D"/>
    <w:rsid w:val="40682937"/>
    <w:rsid w:val="406E1CAE"/>
    <w:rsid w:val="4073454C"/>
    <w:rsid w:val="407709D4"/>
    <w:rsid w:val="407E035E"/>
    <w:rsid w:val="408F27F7"/>
    <w:rsid w:val="40942FCF"/>
    <w:rsid w:val="40A0133A"/>
    <w:rsid w:val="40BB4940"/>
    <w:rsid w:val="40C27B4E"/>
    <w:rsid w:val="40C31A53"/>
    <w:rsid w:val="40C66554"/>
    <w:rsid w:val="40CA29DC"/>
    <w:rsid w:val="40CF6E64"/>
    <w:rsid w:val="40EB2F11"/>
    <w:rsid w:val="40F70F22"/>
    <w:rsid w:val="40F94425"/>
    <w:rsid w:val="40FF545D"/>
    <w:rsid w:val="410067C8"/>
    <w:rsid w:val="410924C1"/>
    <w:rsid w:val="411C36E0"/>
    <w:rsid w:val="411F7EE8"/>
    <w:rsid w:val="41217B68"/>
    <w:rsid w:val="41282D76"/>
    <w:rsid w:val="412874F2"/>
    <w:rsid w:val="412A6279"/>
    <w:rsid w:val="413B3F95"/>
    <w:rsid w:val="413D5CA3"/>
    <w:rsid w:val="413D7498"/>
    <w:rsid w:val="414A2F2A"/>
    <w:rsid w:val="414E1930"/>
    <w:rsid w:val="41570042"/>
    <w:rsid w:val="415C66C8"/>
    <w:rsid w:val="415D4149"/>
    <w:rsid w:val="41675A87"/>
    <w:rsid w:val="416C4764"/>
    <w:rsid w:val="41741B70"/>
    <w:rsid w:val="417D2480"/>
    <w:rsid w:val="418F0D2A"/>
    <w:rsid w:val="41A945C9"/>
    <w:rsid w:val="41AB7ACC"/>
    <w:rsid w:val="41AF06D0"/>
    <w:rsid w:val="41B525D9"/>
    <w:rsid w:val="41BB2BB0"/>
    <w:rsid w:val="41C602F5"/>
    <w:rsid w:val="41C837F8"/>
    <w:rsid w:val="41CA4AFD"/>
    <w:rsid w:val="41CD7C80"/>
    <w:rsid w:val="41D01505"/>
    <w:rsid w:val="41DB2819"/>
    <w:rsid w:val="41F25CC2"/>
    <w:rsid w:val="420E1D6F"/>
    <w:rsid w:val="421F7A8A"/>
    <w:rsid w:val="4229039A"/>
    <w:rsid w:val="422B001A"/>
    <w:rsid w:val="422B264F"/>
    <w:rsid w:val="422D0F9E"/>
    <w:rsid w:val="422F22A3"/>
    <w:rsid w:val="42301F23"/>
    <w:rsid w:val="42474939"/>
    <w:rsid w:val="424853CC"/>
    <w:rsid w:val="424C1853"/>
    <w:rsid w:val="424C3C57"/>
    <w:rsid w:val="42513ADD"/>
    <w:rsid w:val="42613FF3"/>
    <w:rsid w:val="42660D96"/>
    <w:rsid w:val="42733C91"/>
    <w:rsid w:val="428667D2"/>
    <w:rsid w:val="428916B8"/>
    <w:rsid w:val="429709CE"/>
    <w:rsid w:val="42C30598"/>
    <w:rsid w:val="42C34D15"/>
    <w:rsid w:val="42CD1CE0"/>
    <w:rsid w:val="42D2752E"/>
    <w:rsid w:val="42D65F34"/>
    <w:rsid w:val="42D9273C"/>
    <w:rsid w:val="42E1381E"/>
    <w:rsid w:val="42E255CA"/>
    <w:rsid w:val="42EA4BD5"/>
    <w:rsid w:val="42EB2656"/>
    <w:rsid w:val="42ED6459"/>
    <w:rsid w:val="42F71CEC"/>
    <w:rsid w:val="42FE58DD"/>
    <w:rsid w:val="42FF70F8"/>
    <w:rsid w:val="4302007D"/>
    <w:rsid w:val="4317479F"/>
    <w:rsid w:val="43174B3D"/>
    <w:rsid w:val="43222DDF"/>
    <w:rsid w:val="43236033"/>
    <w:rsid w:val="432418B7"/>
    <w:rsid w:val="432824BB"/>
    <w:rsid w:val="43305190"/>
    <w:rsid w:val="433D6BDD"/>
    <w:rsid w:val="433E7EE2"/>
    <w:rsid w:val="434268E8"/>
    <w:rsid w:val="434B790E"/>
    <w:rsid w:val="43554284"/>
    <w:rsid w:val="435B5F68"/>
    <w:rsid w:val="4360274F"/>
    <w:rsid w:val="43636E1D"/>
    <w:rsid w:val="436A67A8"/>
    <w:rsid w:val="437C1F45"/>
    <w:rsid w:val="438163CD"/>
    <w:rsid w:val="438276D2"/>
    <w:rsid w:val="438A4ADE"/>
    <w:rsid w:val="43977AB6"/>
    <w:rsid w:val="43A06C82"/>
    <w:rsid w:val="43A3342B"/>
    <w:rsid w:val="43B45922"/>
    <w:rsid w:val="43BF1735"/>
    <w:rsid w:val="43C42299"/>
    <w:rsid w:val="43C6583D"/>
    <w:rsid w:val="43C77C27"/>
    <w:rsid w:val="43CE64CC"/>
    <w:rsid w:val="43D24ED2"/>
    <w:rsid w:val="43DE09EE"/>
    <w:rsid w:val="43DF0451"/>
    <w:rsid w:val="43EF2284"/>
    <w:rsid w:val="43F5638C"/>
    <w:rsid w:val="43F61C0F"/>
    <w:rsid w:val="44002FAD"/>
    <w:rsid w:val="440D3A32"/>
    <w:rsid w:val="4413593C"/>
    <w:rsid w:val="441C07CA"/>
    <w:rsid w:val="441F174E"/>
    <w:rsid w:val="44202A53"/>
    <w:rsid w:val="44364BF7"/>
    <w:rsid w:val="443E2003"/>
    <w:rsid w:val="444F35A2"/>
    <w:rsid w:val="4451415C"/>
    <w:rsid w:val="44641089"/>
    <w:rsid w:val="446B3DCC"/>
    <w:rsid w:val="446D2B52"/>
    <w:rsid w:val="44757F5F"/>
    <w:rsid w:val="44767BDF"/>
    <w:rsid w:val="447B4066"/>
    <w:rsid w:val="44877E79"/>
    <w:rsid w:val="448C7B84"/>
    <w:rsid w:val="448D7804"/>
    <w:rsid w:val="448E082A"/>
    <w:rsid w:val="449101DD"/>
    <w:rsid w:val="4494718F"/>
    <w:rsid w:val="44962692"/>
    <w:rsid w:val="44BC28D1"/>
    <w:rsid w:val="44C2005E"/>
    <w:rsid w:val="44CA2EEC"/>
    <w:rsid w:val="44D73DDA"/>
    <w:rsid w:val="44DE1391"/>
    <w:rsid w:val="44E24D0F"/>
    <w:rsid w:val="44E9469A"/>
    <w:rsid w:val="44FC113D"/>
    <w:rsid w:val="450456C6"/>
    <w:rsid w:val="45053FCB"/>
    <w:rsid w:val="450774CE"/>
    <w:rsid w:val="45093E70"/>
    <w:rsid w:val="451B225C"/>
    <w:rsid w:val="451F4B74"/>
    <w:rsid w:val="452410C9"/>
    <w:rsid w:val="452F4E0F"/>
    <w:rsid w:val="45317DFB"/>
    <w:rsid w:val="453B0C21"/>
    <w:rsid w:val="453F7628"/>
    <w:rsid w:val="45462836"/>
    <w:rsid w:val="455517CB"/>
    <w:rsid w:val="455C6BD8"/>
    <w:rsid w:val="456D26F5"/>
    <w:rsid w:val="456D3CE4"/>
    <w:rsid w:val="45765583"/>
    <w:rsid w:val="4579042C"/>
    <w:rsid w:val="457F0571"/>
    <w:rsid w:val="45851176"/>
    <w:rsid w:val="45A369D2"/>
    <w:rsid w:val="45AA0617"/>
    <w:rsid w:val="45B06662"/>
    <w:rsid w:val="45B75FEC"/>
    <w:rsid w:val="45B83A6E"/>
    <w:rsid w:val="45BE11FB"/>
    <w:rsid w:val="45C04347"/>
    <w:rsid w:val="45C148E0"/>
    <w:rsid w:val="45C168FC"/>
    <w:rsid w:val="45C63B94"/>
    <w:rsid w:val="45C95ED2"/>
    <w:rsid w:val="45D1241A"/>
    <w:rsid w:val="45D57E8E"/>
    <w:rsid w:val="45D668A1"/>
    <w:rsid w:val="45D974FF"/>
    <w:rsid w:val="45F261D2"/>
    <w:rsid w:val="45F33C53"/>
    <w:rsid w:val="45F61354"/>
    <w:rsid w:val="460E7DA5"/>
    <w:rsid w:val="461B3B13"/>
    <w:rsid w:val="461E6C96"/>
    <w:rsid w:val="4622569C"/>
    <w:rsid w:val="4623311D"/>
    <w:rsid w:val="46295027"/>
    <w:rsid w:val="462A632B"/>
    <w:rsid w:val="462B3DAD"/>
    <w:rsid w:val="46317EB5"/>
    <w:rsid w:val="46422483"/>
    <w:rsid w:val="464E3068"/>
    <w:rsid w:val="4659254A"/>
    <w:rsid w:val="465B0637"/>
    <w:rsid w:val="465E3F0D"/>
    <w:rsid w:val="465E7A7F"/>
    <w:rsid w:val="466A16E6"/>
    <w:rsid w:val="467F5A35"/>
    <w:rsid w:val="468653C0"/>
    <w:rsid w:val="46893F2B"/>
    <w:rsid w:val="46896345"/>
    <w:rsid w:val="46A017ED"/>
    <w:rsid w:val="46B62F1D"/>
    <w:rsid w:val="46BB5C1A"/>
    <w:rsid w:val="46C155A5"/>
    <w:rsid w:val="46C4686E"/>
    <w:rsid w:val="46C84F30"/>
    <w:rsid w:val="46CA4BB0"/>
    <w:rsid w:val="46E22257"/>
    <w:rsid w:val="46F53476"/>
    <w:rsid w:val="47072496"/>
    <w:rsid w:val="47095999"/>
    <w:rsid w:val="470F78A3"/>
    <w:rsid w:val="47120827"/>
    <w:rsid w:val="47251A46"/>
    <w:rsid w:val="472707CD"/>
    <w:rsid w:val="473D4EEF"/>
    <w:rsid w:val="4745607B"/>
    <w:rsid w:val="47531291"/>
    <w:rsid w:val="475B669D"/>
    <w:rsid w:val="475D1BA0"/>
    <w:rsid w:val="476063A8"/>
    <w:rsid w:val="47691236"/>
    <w:rsid w:val="476E56BE"/>
    <w:rsid w:val="477B778F"/>
    <w:rsid w:val="478203EC"/>
    <w:rsid w:val="4782435E"/>
    <w:rsid w:val="478430E5"/>
    <w:rsid w:val="47847862"/>
    <w:rsid w:val="4789756D"/>
    <w:rsid w:val="47981D85"/>
    <w:rsid w:val="479A13D4"/>
    <w:rsid w:val="479D620D"/>
    <w:rsid w:val="479F390E"/>
    <w:rsid w:val="47A45B98"/>
    <w:rsid w:val="47A46A90"/>
    <w:rsid w:val="47B025FA"/>
    <w:rsid w:val="47EC5F8C"/>
    <w:rsid w:val="47F17E95"/>
    <w:rsid w:val="47F40E1A"/>
    <w:rsid w:val="48021483"/>
    <w:rsid w:val="4809698F"/>
    <w:rsid w:val="4811697D"/>
    <w:rsid w:val="48135E4C"/>
    <w:rsid w:val="481F76E0"/>
    <w:rsid w:val="48274AEC"/>
    <w:rsid w:val="482A5A71"/>
    <w:rsid w:val="48310C7F"/>
    <w:rsid w:val="4843441C"/>
    <w:rsid w:val="484A762B"/>
    <w:rsid w:val="4863244B"/>
    <w:rsid w:val="48667E54"/>
    <w:rsid w:val="487A3E25"/>
    <w:rsid w:val="487B7DFA"/>
    <w:rsid w:val="487C587B"/>
    <w:rsid w:val="48843EED"/>
    <w:rsid w:val="48847404"/>
    <w:rsid w:val="488B4811"/>
    <w:rsid w:val="488B5503"/>
    <w:rsid w:val="48937E21"/>
    <w:rsid w:val="489869BC"/>
    <w:rsid w:val="489A0361"/>
    <w:rsid w:val="48A37CB9"/>
    <w:rsid w:val="48A62891"/>
    <w:rsid w:val="48B4179A"/>
    <w:rsid w:val="48B94FF3"/>
    <w:rsid w:val="48B956E0"/>
    <w:rsid w:val="48BA78DE"/>
    <w:rsid w:val="48C0506B"/>
    <w:rsid w:val="48C301EE"/>
    <w:rsid w:val="48D05305"/>
    <w:rsid w:val="48DD0D98"/>
    <w:rsid w:val="48E37AAB"/>
    <w:rsid w:val="48E74F2A"/>
    <w:rsid w:val="48E9042E"/>
    <w:rsid w:val="48EB00AD"/>
    <w:rsid w:val="48F71942"/>
    <w:rsid w:val="48FD4B4C"/>
    <w:rsid w:val="4908545F"/>
    <w:rsid w:val="490A68E0"/>
    <w:rsid w:val="491055FE"/>
    <w:rsid w:val="491102ED"/>
    <w:rsid w:val="491856F9"/>
    <w:rsid w:val="49264A0F"/>
    <w:rsid w:val="492A6C99"/>
    <w:rsid w:val="49316623"/>
    <w:rsid w:val="494707C7"/>
    <w:rsid w:val="494D0152"/>
    <w:rsid w:val="495A3BE4"/>
    <w:rsid w:val="495F5B3E"/>
    <w:rsid w:val="49620FF1"/>
    <w:rsid w:val="49626DF3"/>
    <w:rsid w:val="49647D77"/>
    <w:rsid w:val="496941FF"/>
    <w:rsid w:val="496F77D7"/>
    <w:rsid w:val="4971160B"/>
    <w:rsid w:val="497654FD"/>
    <w:rsid w:val="4984569C"/>
    <w:rsid w:val="498615B1"/>
    <w:rsid w:val="498D0F3C"/>
    <w:rsid w:val="49950604"/>
    <w:rsid w:val="49A83CE4"/>
    <w:rsid w:val="49B60A7B"/>
    <w:rsid w:val="49B64211"/>
    <w:rsid w:val="49CB2F9F"/>
    <w:rsid w:val="49CC2EDA"/>
    <w:rsid w:val="49CC64A2"/>
    <w:rsid w:val="49CD64EC"/>
    <w:rsid w:val="49E43B49"/>
    <w:rsid w:val="49E56AF9"/>
    <w:rsid w:val="49F6167F"/>
    <w:rsid w:val="49FF2174"/>
    <w:rsid w:val="4A064FA0"/>
    <w:rsid w:val="4A096307"/>
    <w:rsid w:val="4A121195"/>
    <w:rsid w:val="4A125911"/>
    <w:rsid w:val="4A16615C"/>
    <w:rsid w:val="4A2E7440"/>
    <w:rsid w:val="4A3835D3"/>
    <w:rsid w:val="4A416461"/>
    <w:rsid w:val="4A4424D7"/>
    <w:rsid w:val="4A4F0FFA"/>
    <w:rsid w:val="4A500C79"/>
    <w:rsid w:val="4A662E1D"/>
    <w:rsid w:val="4A6E0229"/>
    <w:rsid w:val="4A780B39"/>
    <w:rsid w:val="4A7D2A42"/>
    <w:rsid w:val="4A9F427C"/>
    <w:rsid w:val="4AB1581B"/>
    <w:rsid w:val="4AB42F1C"/>
    <w:rsid w:val="4AB82D0F"/>
    <w:rsid w:val="4AC50C38"/>
    <w:rsid w:val="4AC666BA"/>
    <w:rsid w:val="4AC85440"/>
    <w:rsid w:val="4AC92EC2"/>
    <w:rsid w:val="4AD5022E"/>
    <w:rsid w:val="4AEB7664"/>
    <w:rsid w:val="4AEE3FFB"/>
    <w:rsid w:val="4AEE787E"/>
    <w:rsid w:val="4AF4438A"/>
    <w:rsid w:val="4AFD7C19"/>
    <w:rsid w:val="4B0567D1"/>
    <w:rsid w:val="4B0A392B"/>
    <w:rsid w:val="4B0E2331"/>
    <w:rsid w:val="4B0F7073"/>
    <w:rsid w:val="4B236AAE"/>
    <w:rsid w:val="4B3B1EFC"/>
    <w:rsid w:val="4B3B40FA"/>
    <w:rsid w:val="4B5A49AF"/>
    <w:rsid w:val="4B627E6A"/>
    <w:rsid w:val="4B63783D"/>
    <w:rsid w:val="4B6C26CB"/>
    <w:rsid w:val="4B707271"/>
    <w:rsid w:val="4B73609E"/>
    <w:rsid w:val="4B7919E0"/>
    <w:rsid w:val="4B82486E"/>
    <w:rsid w:val="4B874579"/>
    <w:rsid w:val="4B9739F7"/>
    <w:rsid w:val="4B9B321A"/>
    <w:rsid w:val="4BC42D59"/>
    <w:rsid w:val="4BC46616"/>
    <w:rsid w:val="4BCF496E"/>
    <w:rsid w:val="4BDC3C83"/>
    <w:rsid w:val="4BEA681C"/>
    <w:rsid w:val="4BEB429E"/>
    <w:rsid w:val="4BEE2503"/>
    <w:rsid w:val="4BF316AA"/>
    <w:rsid w:val="4BF91035"/>
    <w:rsid w:val="4C0360C1"/>
    <w:rsid w:val="4C1166DC"/>
    <w:rsid w:val="4C15185F"/>
    <w:rsid w:val="4C1672E0"/>
    <w:rsid w:val="4C205671"/>
    <w:rsid w:val="4C245A30"/>
    <w:rsid w:val="4C2A1804"/>
    <w:rsid w:val="4C373098"/>
    <w:rsid w:val="4C3B1A9E"/>
    <w:rsid w:val="4C405F26"/>
    <w:rsid w:val="4C484637"/>
    <w:rsid w:val="4C5D54D6"/>
    <w:rsid w:val="4C843198"/>
    <w:rsid w:val="4C93212D"/>
    <w:rsid w:val="4CB107E4"/>
    <w:rsid w:val="4CB6685F"/>
    <w:rsid w:val="4CBB10F3"/>
    <w:rsid w:val="4CC367FE"/>
    <w:rsid w:val="4CD94E20"/>
    <w:rsid w:val="4CDB5DA5"/>
    <w:rsid w:val="4CDD12A8"/>
    <w:rsid w:val="4CE679B9"/>
    <w:rsid w:val="4CE71BB7"/>
    <w:rsid w:val="4CF124C7"/>
    <w:rsid w:val="4CF3344B"/>
    <w:rsid w:val="4D077F3C"/>
    <w:rsid w:val="4D123355"/>
    <w:rsid w:val="4D170188"/>
    <w:rsid w:val="4D2A3B31"/>
    <w:rsid w:val="4D312C52"/>
    <w:rsid w:val="4D3A7443"/>
    <w:rsid w:val="4D3B1641"/>
    <w:rsid w:val="4D405BC2"/>
    <w:rsid w:val="4D521266"/>
    <w:rsid w:val="4D547FED"/>
    <w:rsid w:val="4D5C53F9"/>
    <w:rsid w:val="4D603DFF"/>
    <w:rsid w:val="4D605FFE"/>
    <w:rsid w:val="4D632806"/>
    <w:rsid w:val="4D7C3730"/>
    <w:rsid w:val="4D7F68B2"/>
    <w:rsid w:val="4D804334"/>
    <w:rsid w:val="4D905305"/>
    <w:rsid w:val="4D964A72"/>
    <w:rsid w:val="4D9C1254"/>
    <w:rsid w:val="4D9C7C78"/>
    <w:rsid w:val="4DA841F4"/>
    <w:rsid w:val="4DBC6717"/>
    <w:rsid w:val="4DC67027"/>
    <w:rsid w:val="4DC74AA8"/>
    <w:rsid w:val="4DD80905"/>
    <w:rsid w:val="4DF07DEB"/>
    <w:rsid w:val="4E1F4272"/>
    <w:rsid w:val="4E202BB9"/>
    <w:rsid w:val="4E2A1318"/>
    <w:rsid w:val="4E2C224E"/>
    <w:rsid w:val="4E3D7F6A"/>
    <w:rsid w:val="4E4D0205"/>
    <w:rsid w:val="4E5F5F21"/>
    <w:rsid w:val="4E632333"/>
    <w:rsid w:val="4E76532E"/>
    <w:rsid w:val="4E793892"/>
    <w:rsid w:val="4E7C32D2"/>
    <w:rsid w:val="4E7C7C21"/>
    <w:rsid w:val="4E7D0ADD"/>
    <w:rsid w:val="4E800872"/>
    <w:rsid w:val="4E8B5AEB"/>
    <w:rsid w:val="4E963B6D"/>
    <w:rsid w:val="4EA33192"/>
    <w:rsid w:val="4EB923B7"/>
    <w:rsid w:val="4EC569ED"/>
    <w:rsid w:val="4EC820CD"/>
    <w:rsid w:val="4EC869BB"/>
    <w:rsid w:val="4ECE7859"/>
    <w:rsid w:val="4ED50EA1"/>
    <w:rsid w:val="4EEC050C"/>
    <w:rsid w:val="4EF41C97"/>
    <w:rsid w:val="4EF77399"/>
    <w:rsid w:val="4EFB1622"/>
    <w:rsid w:val="4F0D4DC0"/>
    <w:rsid w:val="4F104EC3"/>
    <w:rsid w:val="4F167C4E"/>
    <w:rsid w:val="4F183151"/>
    <w:rsid w:val="4F1C1B57"/>
    <w:rsid w:val="4F2272E3"/>
    <w:rsid w:val="4F2A2171"/>
    <w:rsid w:val="4F365F84"/>
    <w:rsid w:val="4F3E43AE"/>
    <w:rsid w:val="4F47354A"/>
    <w:rsid w:val="4F4971A3"/>
    <w:rsid w:val="4F5145AF"/>
    <w:rsid w:val="4F5167AE"/>
    <w:rsid w:val="4F531CB1"/>
    <w:rsid w:val="4F6A76D8"/>
    <w:rsid w:val="4F6B5159"/>
    <w:rsid w:val="4F8B568E"/>
    <w:rsid w:val="4F8C310F"/>
    <w:rsid w:val="4F911C54"/>
    <w:rsid w:val="4FA42CF5"/>
    <w:rsid w:val="4FAA26BF"/>
    <w:rsid w:val="4FAC1446"/>
    <w:rsid w:val="4FB46852"/>
    <w:rsid w:val="4FC46AED"/>
    <w:rsid w:val="4FE625E0"/>
    <w:rsid w:val="4FED5402"/>
    <w:rsid w:val="4FF166B7"/>
    <w:rsid w:val="4FF31BBA"/>
    <w:rsid w:val="4FFA3743"/>
    <w:rsid w:val="4FFF0AA0"/>
    <w:rsid w:val="500804DB"/>
    <w:rsid w:val="50182CF3"/>
    <w:rsid w:val="5021480F"/>
    <w:rsid w:val="502B7796"/>
    <w:rsid w:val="502E071A"/>
    <w:rsid w:val="504D0FCF"/>
    <w:rsid w:val="505D59E6"/>
    <w:rsid w:val="50633173"/>
    <w:rsid w:val="50645371"/>
    <w:rsid w:val="506E5C81"/>
    <w:rsid w:val="50722108"/>
    <w:rsid w:val="50784012"/>
    <w:rsid w:val="50870DA9"/>
    <w:rsid w:val="50891D2D"/>
    <w:rsid w:val="509016B8"/>
    <w:rsid w:val="50962ECB"/>
    <w:rsid w:val="50A42E38"/>
    <w:rsid w:val="50A4577F"/>
    <w:rsid w:val="50B30973"/>
    <w:rsid w:val="50B6517B"/>
    <w:rsid w:val="50B73D1F"/>
    <w:rsid w:val="50BC5872"/>
    <w:rsid w:val="50BD5BC9"/>
    <w:rsid w:val="50C02208"/>
    <w:rsid w:val="50C05A8B"/>
    <w:rsid w:val="50C11EEE"/>
    <w:rsid w:val="50E97CFC"/>
    <w:rsid w:val="50F648E0"/>
    <w:rsid w:val="50F910E7"/>
    <w:rsid w:val="50FA4028"/>
    <w:rsid w:val="51054EFA"/>
    <w:rsid w:val="510D65B7"/>
    <w:rsid w:val="511157AB"/>
    <w:rsid w:val="51155195"/>
    <w:rsid w:val="511C4B20"/>
    <w:rsid w:val="512B7338"/>
    <w:rsid w:val="51311242"/>
    <w:rsid w:val="51384450"/>
    <w:rsid w:val="513A40D0"/>
    <w:rsid w:val="513B53D4"/>
    <w:rsid w:val="513F0557"/>
    <w:rsid w:val="514214DC"/>
    <w:rsid w:val="5142540C"/>
    <w:rsid w:val="51455CE4"/>
    <w:rsid w:val="514733E5"/>
    <w:rsid w:val="514C786D"/>
    <w:rsid w:val="515D5589"/>
    <w:rsid w:val="516F6B28"/>
    <w:rsid w:val="5171202B"/>
    <w:rsid w:val="517777B8"/>
    <w:rsid w:val="517F6DC2"/>
    <w:rsid w:val="518832C8"/>
    <w:rsid w:val="519B0C71"/>
    <w:rsid w:val="519C4174"/>
    <w:rsid w:val="519D3C50"/>
    <w:rsid w:val="51A0432A"/>
    <w:rsid w:val="51A86090"/>
    <w:rsid w:val="51B45F98"/>
    <w:rsid w:val="51B6149B"/>
    <w:rsid w:val="51B7396D"/>
    <w:rsid w:val="51B9241F"/>
    <w:rsid w:val="51BC33A4"/>
    <w:rsid w:val="51BD0E26"/>
    <w:rsid w:val="51BE68A7"/>
    <w:rsid w:val="51C407B0"/>
    <w:rsid w:val="51C51AB5"/>
    <w:rsid w:val="51E611C2"/>
    <w:rsid w:val="51FA450E"/>
    <w:rsid w:val="52185CBC"/>
    <w:rsid w:val="5219373E"/>
    <w:rsid w:val="521F5647"/>
    <w:rsid w:val="52264FD2"/>
    <w:rsid w:val="522E4CC3"/>
    <w:rsid w:val="523259F7"/>
    <w:rsid w:val="52376571"/>
    <w:rsid w:val="523D047A"/>
    <w:rsid w:val="5244713B"/>
    <w:rsid w:val="52463308"/>
    <w:rsid w:val="524D6516"/>
    <w:rsid w:val="52545EA1"/>
    <w:rsid w:val="52615633"/>
    <w:rsid w:val="52617016"/>
    <w:rsid w:val="5265033A"/>
    <w:rsid w:val="526E0C49"/>
    <w:rsid w:val="526F4DE4"/>
    <w:rsid w:val="528278EA"/>
    <w:rsid w:val="52892AF8"/>
    <w:rsid w:val="528C3A7D"/>
    <w:rsid w:val="52977FD4"/>
    <w:rsid w:val="52A25790"/>
    <w:rsid w:val="52A955AB"/>
    <w:rsid w:val="52A96B6F"/>
    <w:rsid w:val="52AC1D51"/>
    <w:rsid w:val="52AF2D38"/>
    <w:rsid w:val="52B45975"/>
    <w:rsid w:val="52B471BF"/>
    <w:rsid w:val="52B54C41"/>
    <w:rsid w:val="52B66E3F"/>
    <w:rsid w:val="52BF2FD2"/>
    <w:rsid w:val="52CF79E9"/>
    <w:rsid w:val="52D94AA4"/>
    <w:rsid w:val="52E61B8D"/>
    <w:rsid w:val="52E72E92"/>
    <w:rsid w:val="52EA3A62"/>
    <w:rsid w:val="52F30EA2"/>
    <w:rsid w:val="52F421A7"/>
    <w:rsid w:val="52F50BB8"/>
    <w:rsid w:val="52F57C29"/>
    <w:rsid w:val="52FA4256"/>
    <w:rsid w:val="52FE3A15"/>
    <w:rsid w:val="53097272"/>
    <w:rsid w:val="531371D9"/>
    <w:rsid w:val="531B45E5"/>
    <w:rsid w:val="533E5A9F"/>
    <w:rsid w:val="534048B0"/>
    <w:rsid w:val="5350123C"/>
    <w:rsid w:val="5352473F"/>
    <w:rsid w:val="53544462"/>
    <w:rsid w:val="536A7BE8"/>
    <w:rsid w:val="536F406F"/>
    <w:rsid w:val="53745F79"/>
    <w:rsid w:val="53863C94"/>
    <w:rsid w:val="5397158E"/>
    <w:rsid w:val="53BA2440"/>
    <w:rsid w:val="53D33D94"/>
    <w:rsid w:val="53DB6C22"/>
    <w:rsid w:val="53E143AE"/>
    <w:rsid w:val="53E51A0D"/>
    <w:rsid w:val="53FF395E"/>
    <w:rsid w:val="54013861"/>
    <w:rsid w:val="540264B2"/>
    <w:rsid w:val="540F6177"/>
    <w:rsid w:val="54175782"/>
    <w:rsid w:val="54242899"/>
    <w:rsid w:val="54267F9B"/>
    <w:rsid w:val="5427381E"/>
    <w:rsid w:val="543E3443"/>
    <w:rsid w:val="5443314E"/>
    <w:rsid w:val="544640D3"/>
    <w:rsid w:val="54487265"/>
    <w:rsid w:val="544C3A5E"/>
    <w:rsid w:val="544D6070"/>
    <w:rsid w:val="545333E8"/>
    <w:rsid w:val="54605E1E"/>
    <w:rsid w:val="54625C01"/>
    <w:rsid w:val="54664607"/>
    <w:rsid w:val="548B19DC"/>
    <w:rsid w:val="548B2F99"/>
    <w:rsid w:val="54A30BE9"/>
    <w:rsid w:val="54B3506A"/>
    <w:rsid w:val="54CA0D16"/>
    <w:rsid w:val="54DD4057"/>
    <w:rsid w:val="54E7490F"/>
    <w:rsid w:val="54F55170"/>
    <w:rsid w:val="550764A4"/>
    <w:rsid w:val="550B2BF6"/>
    <w:rsid w:val="551B75AE"/>
    <w:rsid w:val="55214EB5"/>
    <w:rsid w:val="552D2D4B"/>
    <w:rsid w:val="55364EFD"/>
    <w:rsid w:val="55396B5E"/>
    <w:rsid w:val="55570883"/>
    <w:rsid w:val="55583B90"/>
    <w:rsid w:val="555D4828"/>
    <w:rsid w:val="55683FFB"/>
    <w:rsid w:val="55793F4D"/>
    <w:rsid w:val="557A4C8B"/>
    <w:rsid w:val="557C414F"/>
    <w:rsid w:val="558931E1"/>
    <w:rsid w:val="558B6968"/>
    <w:rsid w:val="55923347"/>
    <w:rsid w:val="55925180"/>
    <w:rsid w:val="55983B1B"/>
    <w:rsid w:val="55A41A91"/>
    <w:rsid w:val="55A8376B"/>
    <w:rsid w:val="55A95F18"/>
    <w:rsid w:val="55AB532A"/>
    <w:rsid w:val="55AC109B"/>
    <w:rsid w:val="55AF7E22"/>
    <w:rsid w:val="55C754C8"/>
    <w:rsid w:val="55DC29B6"/>
    <w:rsid w:val="55DD4241"/>
    <w:rsid w:val="55E8347F"/>
    <w:rsid w:val="55E90F00"/>
    <w:rsid w:val="55EC1E85"/>
    <w:rsid w:val="55F1630D"/>
    <w:rsid w:val="55F2048A"/>
    <w:rsid w:val="56106BC1"/>
    <w:rsid w:val="561B7151"/>
    <w:rsid w:val="561E00D5"/>
    <w:rsid w:val="562D26E8"/>
    <w:rsid w:val="5651119B"/>
    <w:rsid w:val="565D343D"/>
    <w:rsid w:val="566A0555"/>
    <w:rsid w:val="566B6D1E"/>
    <w:rsid w:val="567852EC"/>
    <w:rsid w:val="567D5EF0"/>
    <w:rsid w:val="568140A3"/>
    <w:rsid w:val="56897CB6"/>
    <w:rsid w:val="56A95ABB"/>
    <w:rsid w:val="56B00CC9"/>
    <w:rsid w:val="56B64DD1"/>
    <w:rsid w:val="56CC4D76"/>
    <w:rsid w:val="56D65686"/>
    <w:rsid w:val="56EC7829"/>
    <w:rsid w:val="57032A2C"/>
    <w:rsid w:val="57032A84"/>
    <w:rsid w:val="570F5219"/>
    <w:rsid w:val="57212282"/>
    <w:rsid w:val="572F7019"/>
    <w:rsid w:val="57304A9B"/>
    <w:rsid w:val="573A75A8"/>
    <w:rsid w:val="574B0B5C"/>
    <w:rsid w:val="575D12B5"/>
    <w:rsid w:val="57610A87"/>
    <w:rsid w:val="57622CEB"/>
    <w:rsid w:val="577B1140"/>
    <w:rsid w:val="577B7F21"/>
    <w:rsid w:val="577D1316"/>
    <w:rsid w:val="577F181B"/>
    <w:rsid w:val="5780229B"/>
    <w:rsid w:val="5788170C"/>
    <w:rsid w:val="57921984"/>
    <w:rsid w:val="579737F0"/>
    <w:rsid w:val="579C6348"/>
    <w:rsid w:val="57A33754"/>
    <w:rsid w:val="57AB7B30"/>
    <w:rsid w:val="57AC65E2"/>
    <w:rsid w:val="57AF5251"/>
    <w:rsid w:val="57B26373"/>
    <w:rsid w:val="57B317F1"/>
    <w:rsid w:val="57B63F04"/>
    <w:rsid w:val="57C62A10"/>
    <w:rsid w:val="57CD20C2"/>
    <w:rsid w:val="57D675AB"/>
    <w:rsid w:val="57D83FAF"/>
    <w:rsid w:val="57D95FDD"/>
    <w:rsid w:val="57DC4BB3"/>
    <w:rsid w:val="57E11678"/>
    <w:rsid w:val="57EA3EC9"/>
    <w:rsid w:val="57EB09CF"/>
    <w:rsid w:val="57F05DD2"/>
    <w:rsid w:val="57F24B59"/>
    <w:rsid w:val="57F6355F"/>
    <w:rsid w:val="57F80C60"/>
    <w:rsid w:val="5812316E"/>
    <w:rsid w:val="581E561D"/>
    <w:rsid w:val="58450D5F"/>
    <w:rsid w:val="585A5481"/>
    <w:rsid w:val="58620690"/>
    <w:rsid w:val="58633B93"/>
    <w:rsid w:val="586F4122"/>
    <w:rsid w:val="58701BA4"/>
    <w:rsid w:val="58784A31"/>
    <w:rsid w:val="587924B3"/>
    <w:rsid w:val="587A7F35"/>
    <w:rsid w:val="587B0A01"/>
    <w:rsid w:val="587B59B6"/>
    <w:rsid w:val="58862AD5"/>
    <w:rsid w:val="588E49D7"/>
    <w:rsid w:val="58917D2F"/>
    <w:rsid w:val="5894085C"/>
    <w:rsid w:val="58982D68"/>
    <w:rsid w:val="58A85581"/>
    <w:rsid w:val="58AE4F0C"/>
    <w:rsid w:val="58B85899"/>
    <w:rsid w:val="58BB67A0"/>
    <w:rsid w:val="58C54B31"/>
    <w:rsid w:val="58D33E46"/>
    <w:rsid w:val="58DB1253"/>
    <w:rsid w:val="58DB6CD4"/>
    <w:rsid w:val="58E363A9"/>
    <w:rsid w:val="58E83DEC"/>
    <w:rsid w:val="58EB14ED"/>
    <w:rsid w:val="58EE2472"/>
    <w:rsid w:val="59013595"/>
    <w:rsid w:val="591539B6"/>
    <w:rsid w:val="593041E0"/>
    <w:rsid w:val="59317A63"/>
    <w:rsid w:val="5933283C"/>
    <w:rsid w:val="595D6D9E"/>
    <w:rsid w:val="595E1678"/>
    <w:rsid w:val="59604D2F"/>
    <w:rsid w:val="596646BA"/>
    <w:rsid w:val="596C65C3"/>
    <w:rsid w:val="596D4045"/>
    <w:rsid w:val="596D5BD4"/>
    <w:rsid w:val="597E3DD8"/>
    <w:rsid w:val="597E3F42"/>
    <w:rsid w:val="598474ED"/>
    <w:rsid w:val="598900F2"/>
    <w:rsid w:val="59CD6014"/>
    <w:rsid w:val="59D13D69"/>
    <w:rsid w:val="59D3087D"/>
    <w:rsid w:val="59D80FE8"/>
    <w:rsid w:val="59E47507"/>
    <w:rsid w:val="59F80043"/>
    <w:rsid w:val="59FE5B32"/>
    <w:rsid w:val="59FF35B4"/>
    <w:rsid w:val="5A09252F"/>
    <w:rsid w:val="5A0B2778"/>
    <w:rsid w:val="5A157CD6"/>
    <w:rsid w:val="5A1631D9"/>
    <w:rsid w:val="5A165757"/>
    <w:rsid w:val="5A176A5C"/>
    <w:rsid w:val="5A1D0965"/>
    <w:rsid w:val="5A2A7C7B"/>
    <w:rsid w:val="5A3E2560"/>
    <w:rsid w:val="5A451B2A"/>
    <w:rsid w:val="5A51593C"/>
    <w:rsid w:val="5A5468C1"/>
    <w:rsid w:val="5A5D3B6E"/>
    <w:rsid w:val="5A637A76"/>
    <w:rsid w:val="5A6432D8"/>
    <w:rsid w:val="5A687760"/>
    <w:rsid w:val="5A6D33BA"/>
    <w:rsid w:val="5A72006F"/>
    <w:rsid w:val="5A792B1F"/>
    <w:rsid w:val="5A7D47FA"/>
    <w:rsid w:val="5A874767"/>
    <w:rsid w:val="5A8935B7"/>
    <w:rsid w:val="5AA708CA"/>
    <w:rsid w:val="5AA85BE2"/>
    <w:rsid w:val="5AAD6F28"/>
    <w:rsid w:val="5AB05956"/>
    <w:rsid w:val="5ABE26ED"/>
    <w:rsid w:val="5AC47E7A"/>
    <w:rsid w:val="5ACE0789"/>
    <w:rsid w:val="5AD63A24"/>
    <w:rsid w:val="5ADB7A9F"/>
    <w:rsid w:val="5AE16125"/>
    <w:rsid w:val="5AF50649"/>
    <w:rsid w:val="5AFB2552"/>
    <w:rsid w:val="5B095774"/>
    <w:rsid w:val="5B0A4D6B"/>
    <w:rsid w:val="5B1A7584"/>
    <w:rsid w:val="5B20148D"/>
    <w:rsid w:val="5B297985"/>
    <w:rsid w:val="5B2A12D5"/>
    <w:rsid w:val="5B2E1A1D"/>
    <w:rsid w:val="5B432946"/>
    <w:rsid w:val="5B4361C9"/>
    <w:rsid w:val="5B4403C8"/>
    <w:rsid w:val="5B456E93"/>
    <w:rsid w:val="5B4F6759"/>
    <w:rsid w:val="5B677683"/>
    <w:rsid w:val="5B75221C"/>
    <w:rsid w:val="5B843A1C"/>
    <w:rsid w:val="5B873E3F"/>
    <w:rsid w:val="5B8C403F"/>
    <w:rsid w:val="5B9B0DD6"/>
    <w:rsid w:val="5B9D42DA"/>
    <w:rsid w:val="5BB25AC0"/>
    <w:rsid w:val="5BB3647D"/>
    <w:rsid w:val="5BD112B1"/>
    <w:rsid w:val="5BD76A3D"/>
    <w:rsid w:val="5BE659D3"/>
    <w:rsid w:val="5BF63A6F"/>
    <w:rsid w:val="5BFD1BFC"/>
    <w:rsid w:val="5BFF0AFB"/>
    <w:rsid w:val="5C02690E"/>
    <w:rsid w:val="5C08720C"/>
    <w:rsid w:val="5C0F0D95"/>
    <w:rsid w:val="5C196DA7"/>
    <w:rsid w:val="5C250D3B"/>
    <w:rsid w:val="5C2A048C"/>
    <w:rsid w:val="5C4B3179"/>
    <w:rsid w:val="5C595D12"/>
    <w:rsid w:val="5C63081F"/>
    <w:rsid w:val="5C80234E"/>
    <w:rsid w:val="5C817DCF"/>
    <w:rsid w:val="5C8A680C"/>
    <w:rsid w:val="5C942B0A"/>
    <w:rsid w:val="5C9F483D"/>
    <w:rsid w:val="5CAC7D1A"/>
    <w:rsid w:val="5CAE541B"/>
    <w:rsid w:val="5CB62828"/>
    <w:rsid w:val="5CD72D5D"/>
    <w:rsid w:val="5CDA7564"/>
    <w:rsid w:val="5CE60DF9"/>
    <w:rsid w:val="5CEC747F"/>
    <w:rsid w:val="5D0C4701"/>
    <w:rsid w:val="5D0F0395"/>
    <w:rsid w:val="5D1041BB"/>
    <w:rsid w:val="5D107A3F"/>
    <w:rsid w:val="5D221076"/>
    <w:rsid w:val="5D312171"/>
    <w:rsid w:val="5D397964"/>
    <w:rsid w:val="5D3F1487"/>
    <w:rsid w:val="5D5071A3"/>
    <w:rsid w:val="5D530128"/>
    <w:rsid w:val="5D5958B4"/>
    <w:rsid w:val="5D5A391C"/>
    <w:rsid w:val="5D5F10C0"/>
    <w:rsid w:val="5D6B14B4"/>
    <w:rsid w:val="5D751961"/>
    <w:rsid w:val="5D790367"/>
    <w:rsid w:val="5D891B7B"/>
    <w:rsid w:val="5DAA43BA"/>
    <w:rsid w:val="5DAB65B8"/>
    <w:rsid w:val="5DAD38EE"/>
    <w:rsid w:val="5DC97E04"/>
    <w:rsid w:val="5DD86217"/>
    <w:rsid w:val="5DDC5E8E"/>
    <w:rsid w:val="5DDF6E12"/>
    <w:rsid w:val="5DED0326"/>
    <w:rsid w:val="5DFB2EBF"/>
    <w:rsid w:val="5DFE6042"/>
    <w:rsid w:val="5E006862"/>
    <w:rsid w:val="5E0207B9"/>
    <w:rsid w:val="5E045D4D"/>
    <w:rsid w:val="5E0C5358"/>
    <w:rsid w:val="5E115063"/>
    <w:rsid w:val="5E1636E9"/>
    <w:rsid w:val="5E1834A1"/>
    <w:rsid w:val="5E1E4379"/>
    <w:rsid w:val="5E246282"/>
    <w:rsid w:val="5E261785"/>
    <w:rsid w:val="5E286A9B"/>
    <w:rsid w:val="5E4210B5"/>
    <w:rsid w:val="5E4A7017"/>
    <w:rsid w:val="5E552BBA"/>
    <w:rsid w:val="5E5644D2"/>
    <w:rsid w:val="5E583259"/>
    <w:rsid w:val="5E5F2BE4"/>
    <w:rsid w:val="5E611C10"/>
    <w:rsid w:val="5E72057F"/>
    <w:rsid w:val="5E79378D"/>
    <w:rsid w:val="5E7A0F3F"/>
    <w:rsid w:val="5E7B2F72"/>
    <w:rsid w:val="5E7B340D"/>
    <w:rsid w:val="5E7F7895"/>
    <w:rsid w:val="5E8B689C"/>
    <w:rsid w:val="5EB80CF4"/>
    <w:rsid w:val="5EBB7A7A"/>
    <w:rsid w:val="5EBF6480"/>
    <w:rsid w:val="5EC37085"/>
    <w:rsid w:val="5ED00919"/>
    <w:rsid w:val="5ED3731F"/>
    <w:rsid w:val="5EE972C4"/>
    <w:rsid w:val="5EF5524C"/>
    <w:rsid w:val="5EF711D6"/>
    <w:rsid w:val="5EF94D5F"/>
    <w:rsid w:val="5EFC7377"/>
    <w:rsid w:val="5F06174D"/>
    <w:rsid w:val="5F3560BF"/>
    <w:rsid w:val="5F387044"/>
    <w:rsid w:val="5F3A3602"/>
    <w:rsid w:val="5F45733B"/>
    <w:rsid w:val="5F463DDB"/>
    <w:rsid w:val="5F46765E"/>
    <w:rsid w:val="5F523471"/>
    <w:rsid w:val="5F6277C6"/>
    <w:rsid w:val="5F6C789E"/>
    <w:rsid w:val="5F6D0B1D"/>
    <w:rsid w:val="5F737229"/>
    <w:rsid w:val="5F75272C"/>
    <w:rsid w:val="5F796BB3"/>
    <w:rsid w:val="5F7A4635"/>
    <w:rsid w:val="5F802EF2"/>
    <w:rsid w:val="5F8800C7"/>
    <w:rsid w:val="5F8D0B82"/>
    <w:rsid w:val="5F9E5AEE"/>
    <w:rsid w:val="5FB32210"/>
    <w:rsid w:val="5FC6342F"/>
    <w:rsid w:val="5FCC5339"/>
    <w:rsid w:val="5FE01A64"/>
    <w:rsid w:val="5FE22D60"/>
    <w:rsid w:val="5FE34A5B"/>
    <w:rsid w:val="5FE65EE3"/>
    <w:rsid w:val="5FFD138B"/>
    <w:rsid w:val="5FFE1E36"/>
    <w:rsid w:val="60232584"/>
    <w:rsid w:val="6025124B"/>
    <w:rsid w:val="602B0BD5"/>
    <w:rsid w:val="602D40D8"/>
    <w:rsid w:val="603D68F1"/>
    <w:rsid w:val="60482704"/>
    <w:rsid w:val="604C498D"/>
    <w:rsid w:val="604F3B35"/>
    <w:rsid w:val="605239E2"/>
    <w:rsid w:val="60572D1E"/>
    <w:rsid w:val="605B1725"/>
    <w:rsid w:val="60607DAB"/>
    <w:rsid w:val="607330CE"/>
    <w:rsid w:val="607544CD"/>
    <w:rsid w:val="607A0954"/>
    <w:rsid w:val="6080285E"/>
    <w:rsid w:val="60825176"/>
    <w:rsid w:val="60844AE7"/>
    <w:rsid w:val="60952803"/>
    <w:rsid w:val="609F2AC4"/>
    <w:rsid w:val="60A5501C"/>
    <w:rsid w:val="60A73DA2"/>
    <w:rsid w:val="60AB49A7"/>
    <w:rsid w:val="60B168B0"/>
    <w:rsid w:val="60C53352"/>
    <w:rsid w:val="60D14BE6"/>
    <w:rsid w:val="60D300EA"/>
    <w:rsid w:val="60D96314"/>
    <w:rsid w:val="60DA7A74"/>
    <w:rsid w:val="60DC5176"/>
    <w:rsid w:val="60E53887"/>
    <w:rsid w:val="60FA2EE8"/>
    <w:rsid w:val="61054A27"/>
    <w:rsid w:val="610A52BC"/>
    <w:rsid w:val="61161E58"/>
    <w:rsid w:val="611D2366"/>
    <w:rsid w:val="612123E7"/>
    <w:rsid w:val="612F717E"/>
    <w:rsid w:val="613B6814"/>
    <w:rsid w:val="613D6494"/>
    <w:rsid w:val="61421856"/>
    <w:rsid w:val="615227C4"/>
    <w:rsid w:val="61654E3F"/>
    <w:rsid w:val="61657658"/>
    <w:rsid w:val="616C6FE3"/>
    <w:rsid w:val="617D2B01"/>
    <w:rsid w:val="61811507"/>
    <w:rsid w:val="6182292A"/>
    <w:rsid w:val="61867B8D"/>
    <w:rsid w:val="61946EA3"/>
    <w:rsid w:val="619A682E"/>
    <w:rsid w:val="619F7F92"/>
    <w:rsid w:val="61A935C5"/>
    <w:rsid w:val="61C8720B"/>
    <w:rsid w:val="61EE40B9"/>
    <w:rsid w:val="61F64A66"/>
    <w:rsid w:val="61F94C26"/>
    <w:rsid w:val="61FA594E"/>
    <w:rsid w:val="61FB33CF"/>
    <w:rsid w:val="61FE0AD0"/>
    <w:rsid w:val="62000E56"/>
    <w:rsid w:val="62055EDD"/>
    <w:rsid w:val="620713E0"/>
    <w:rsid w:val="62264F53"/>
    <w:rsid w:val="622A1D3A"/>
    <w:rsid w:val="62390CB6"/>
    <w:rsid w:val="623A400D"/>
    <w:rsid w:val="624337C3"/>
    <w:rsid w:val="624F3E49"/>
    <w:rsid w:val="625911EA"/>
    <w:rsid w:val="625A33E9"/>
    <w:rsid w:val="626052F2"/>
    <w:rsid w:val="62610489"/>
    <w:rsid w:val="62615123"/>
    <w:rsid w:val="62632286"/>
    <w:rsid w:val="626726FE"/>
    <w:rsid w:val="62685F81"/>
    <w:rsid w:val="626A5A45"/>
    <w:rsid w:val="626B1104"/>
    <w:rsid w:val="62782999"/>
    <w:rsid w:val="62885958"/>
    <w:rsid w:val="62991FE0"/>
    <w:rsid w:val="62B54EE2"/>
    <w:rsid w:val="62B562B7"/>
    <w:rsid w:val="62B6027F"/>
    <w:rsid w:val="62BC5A0C"/>
    <w:rsid w:val="62D1212E"/>
    <w:rsid w:val="62D21DAE"/>
    <w:rsid w:val="62D91738"/>
    <w:rsid w:val="62E3074E"/>
    <w:rsid w:val="62E50DCE"/>
    <w:rsid w:val="62EE3C5C"/>
    <w:rsid w:val="62F40B65"/>
    <w:rsid w:val="62FC2CFE"/>
    <w:rsid w:val="63024505"/>
    <w:rsid w:val="63064B86"/>
    <w:rsid w:val="6317701F"/>
    <w:rsid w:val="631B5A25"/>
    <w:rsid w:val="631E222D"/>
    <w:rsid w:val="63253DB6"/>
    <w:rsid w:val="632F7F49"/>
    <w:rsid w:val="63340B4D"/>
    <w:rsid w:val="63351E52"/>
    <w:rsid w:val="63364050"/>
    <w:rsid w:val="634258E5"/>
    <w:rsid w:val="634D74F9"/>
    <w:rsid w:val="634F29FC"/>
    <w:rsid w:val="63546E84"/>
    <w:rsid w:val="635600A5"/>
    <w:rsid w:val="635B1DB5"/>
    <w:rsid w:val="63711FED"/>
    <w:rsid w:val="63721CB7"/>
    <w:rsid w:val="63791A73"/>
    <w:rsid w:val="638144D0"/>
    <w:rsid w:val="63821F51"/>
    <w:rsid w:val="63880DDC"/>
    <w:rsid w:val="638D181F"/>
    <w:rsid w:val="638D750D"/>
    <w:rsid w:val="6392476A"/>
    <w:rsid w:val="639E59D9"/>
    <w:rsid w:val="63A05C7E"/>
    <w:rsid w:val="63A16F83"/>
    <w:rsid w:val="63A9438F"/>
    <w:rsid w:val="63AC6CC0"/>
    <w:rsid w:val="63CA2346"/>
    <w:rsid w:val="63D8564E"/>
    <w:rsid w:val="63DE6DE8"/>
    <w:rsid w:val="63E022EB"/>
    <w:rsid w:val="63E56E61"/>
    <w:rsid w:val="63EC3B7F"/>
    <w:rsid w:val="63F4318A"/>
    <w:rsid w:val="63F50C0B"/>
    <w:rsid w:val="63FD36EF"/>
    <w:rsid w:val="64055776"/>
    <w:rsid w:val="640C6632"/>
    <w:rsid w:val="64135FBD"/>
    <w:rsid w:val="642073EC"/>
    <w:rsid w:val="64240056"/>
    <w:rsid w:val="64362CFA"/>
    <w:rsid w:val="643A1F93"/>
    <w:rsid w:val="643E143A"/>
    <w:rsid w:val="643F5B88"/>
    <w:rsid w:val="64491666"/>
    <w:rsid w:val="64534828"/>
    <w:rsid w:val="6458542D"/>
    <w:rsid w:val="64592EAE"/>
    <w:rsid w:val="645F063B"/>
    <w:rsid w:val="645F26AA"/>
    <w:rsid w:val="646C7950"/>
    <w:rsid w:val="646D53D2"/>
    <w:rsid w:val="647C7BEB"/>
    <w:rsid w:val="648B6EEF"/>
    <w:rsid w:val="648E5907"/>
    <w:rsid w:val="64A32029"/>
    <w:rsid w:val="64B20A11"/>
    <w:rsid w:val="64B47D45"/>
    <w:rsid w:val="64B53533"/>
    <w:rsid w:val="64B557C6"/>
    <w:rsid w:val="64BC145A"/>
    <w:rsid w:val="64BC7416"/>
    <w:rsid w:val="64BE3ED7"/>
    <w:rsid w:val="64C158BF"/>
    <w:rsid w:val="64C3035F"/>
    <w:rsid w:val="64CE2EAA"/>
    <w:rsid w:val="64D96C80"/>
    <w:rsid w:val="64DC3487"/>
    <w:rsid w:val="64FF4941"/>
    <w:rsid w:val="650520CD"/>
    <w:rsid w:val="65104BDB"/>
    <w:rsid w:val="651F2C77"/>
    <w:rsid w:val="65266D7F"/>
    <w:rsid w:val="65354E1B"/>
    <w:rsid w:val="653A5A1F"/>
    <w:rsid w:val="653C3090"/>
    <w:rsid w:val="654805B8"/>
    <w:rsid w:val="655343CB"/>
    <w:rsid w:val="656B7873"/>
    <w:rsid w:val="65854376"/>
    <w:rsid w:val="658767BE"/>
    <w:rsid w:val="65892531"/>
    <w:rsid w:val="658B4525"/>
    <w:rsid w:val="658F67AE"/>
    <w:rsid w:val="65911CB1"/>
    <w:rsid w:val="659351B4"/>
    <w:rsid w:val="65A73E55"/>
    <w:rsid w:val="65AA1556"/>
    <w:rsid w:val="65BA5074"/>
    <w:rsid w:val="65CA38DD"/>
    <w:rsid w:val="65CE0600"/>
    <w:rsid w:val="65CE1B16"/>
    <w:rsid w:val="65D271B1"/>
    <w:rsid w:val="65E55EB8"/>
    <w:rsid w:val="65E848BE"/>
    <w:rsid w:val="65F406D1"/>
    <w:rsid w:val="65F56152"/>
    <w:rsid w:val="65FA25DA"/>
    <w:rsid w:val="66123504"/>
    <w:rsid w:val="66195831"/>
    <w:rsid w:val="661C3E14"/>
    <w:rsid w:val="661D48BC"/>
    <w:rsid w:val="662621A5"/>
    <w:rsid w:val="662E75B1"/>
    <w:rsid w:val="663414BA"/>
    <w:rsid w:val="66342C2E"/>
    <w:rsid w:val="66374F20"/>
    <w:rsid w:val="663A0E45"/>
    <w:rsid w:val="663C214A"/>
    <w:rsid w:val="663E784C"/>
    <w:rsid w:val="664D7E66"/>
    <w:rsid w:val="664E2DE5"/>
    <w:rsid w:val="66605802"/>
    <w:rsid w:val="66670A10"/>
    <w:rsid w:val="66751F24"/>
    <w:rsid w:val="6678672C"/>
    <w:rsid w:val="66894448"/>
    <w:rsid w:val="668B6A45"/>
    <w:rsid w:val="669924E4"/>
    <w:rsid w:val="669D0EEA"/>
    <w:rsid w:val="66AD5901"/>
    <w:rsid w:val="66B6078F"/>
    <w:rsid w:val="66B74E04"/>
    <w:rsid w:val="66B97195"/>
    <w:rsid w:val="66CB0734"/>
    <w:rsid w:val="66CF38B7"/>
    <w:rsid w:val="66D04BBC"/>
    <w:rsid w:val="66D1483C"/>
    <w:rsid w:val="66D60CC4"/>
    <w:rsid w:val="66DA76CA"/>
    <w:rsid w:val="66E4385D"/>
    <w:rsid w:val="67011F07"/>
    <w:rsid w:val="6701538B"/>
    <w:rsid w:val="67110EA9"/>
    <w:rsid w:val="67130B29"/>
    <w:rsid w:val="67151B2F"/>
    <w:rsid w:val="672755CB"/>
    <w:rsid w:val="672F3F24"/>
    <w:rsid w:val="673954E5"/>
    <w:rsid w:val="673E055F"/>
    <w:rsid w:val="67433876"/>
    <w:rsid w:val="674B0C82"/>
    <w:rsid w:val="674C1F87"/>
    <w:rsid w:val="674D7A09"/>
    <w:rsid w:val="674F2F0C"/>
    <w:rsid w:val="67551CE3"/>
    <w:rsid w:val="676B283C"/>
    <w:rsid w:val="677350E3"/>
    <w:rsid w:val="679F070D"/>
    <w:rsid w:val="67A22552"/>
    <w:rsid w:val="67A86E1E"/>
    <w:rsid w:val="67B22DCC"/>
    <w:rsid w:val="67B406B2"/>
    <w:rsid w:val="67BE71AA"/>
    <w:rsid w:val="67BF3E48"/>
    <w:rsid w:val="67C82AD0"/>
    <w:rsid w:val="67CF2561"/>
    <w:rsid w:val="67D90273"/>
    <w:rsid w:val="67DE5875"/>
    <w:rsid w:val="67DF6AF4"/>
    <w:rsid w:val="67E55852"/>
    <w:rsid w:val="67E81E06"/>
    <w:rsid w:val="67EB1AB4"/>
    <w:rsid w:val="67FA1285"/>
    <w:rsid w:val="67FC3E1A"/>
    <w:rsid w:val="68033CB4"/>
    <w:rsid w:val="680B583D"/>
    <w:rsid w:val="680C0D40"/>
    <w:rsid w:val="681803D6"/>
    <w:rsid w:val="681E22E0"/>
    <w:rsid w:val="682C7077"/>
    <w:rsid w:val="683F2814"/>
    <w:rsid w:val="6842701C"/>
    <w:rsid w:val="6843121A"/>
    <w:rsid w:val="684C450D"/>
    <w:rsid w:val="685002C6"/>
    <w:rsid w:val="68551F4F"/>
    <w:rsid w:val="685F2D49"/>
    <w:rsid w:val="68670155"/>
    <w:rsid w:val="68710A65"/>
    <w:rsid w:val="687A7283"/>
    <w:rsid w:val="687C10C9"/>
    <w:rsid w:val="68840C16"/>
    <w:rsid w:val="68852F89"/>
    <w:rsid w:val="68872541"/>
    <w:rsid w:val="68876EFB"/>
    <w:rsid w:val="68884654"/>
    <w:rsid w:val="68960CA5"/>
    <w:rsid w:val="689A54AC"/>
    <w:rsid w:val="689A76AB"/>
    <w:rsid w:val="689F444F"/>
    <w:rsid w:val="68A512BF"/>
    <w:rsid w:val="68AA5747"/>
    <w:rsid w:val="68B96DBB"/>
    <w:rsid w:val="68CA2805"/>
    <w:rsid w:val="68CF6880"/>
    <w:rsid w:val="68D6620B"/>
    <w:rsid w:val="68DD5B96"/>
    <w:rsid w:val="68E0459C"/>
    <w:rsid w:val="68E937A3"/>
    <w:rsid w:val="68F87A44"/>
    <w:rsid w:val="690028D2"/>
    <w:rsid w:val="69017A3F"/>
    <w:rsid w:val="690F766A"/>
    <w:rsid w:val="691205EE"/>
    <w:rsid w:val="691318F3"/>
    <w:rsid w:val="69143AF1"/>
    <w:rsid w:val="691664E5"/>
    <w:rsid w:val="693E15D3"/>
    <w:rsid w:val="694420C2"/>
    <w:rsid w:val="695B1CE7"/>
    <w:rsid w:val="69627681"/>
    <w:rsid w:val="6977531D"/>
    <w:rsid w:val="698044A5"/>
    <w:rsid w:val="698F343B"/>
    <w:rsid w:val="69CC2BFF"/>
    <w:rsid w:val="69CD45A5"/>
    <w:rsid w:val="69D84B34"/>
    <w:rsid w:val="69D925B6"/>
    <w:rsid w:val="69DC353A"/>
    <w:rsid w:val="69E441CA"/>
    <w:rsid w:val="69EB3B55"/>
    <w:rsid w:val="69F134E0"/>
    <w:rsid w:val="69F17C5C"/>
    <w:rsid w:val="69F256DE"/>
    <w:rsid w:val="69FA636D"/>
    <w:rsid w:val="69FC5FED"/>
    <w:rsid w:val="69FD55B8"/>
    <w:rsid w:val="6A0333FA"/>
    <w:rsid w:val="6A0B1C62"/>
    <w:rsid w:val="6A135C12"/>
    <w:rsid w:val="6A2406C8"/>
    <w:rsid w:val="6A34524E"/>
    <w:rsid w:val="6A3E7D5B"/>
    <w:rsid w:val="6A4E5DF8"/>
    <w:rsid w:val="6A5C61A1"/>
    <w:rsid w:val="6A5D0610"/>
    <w:rsid w:val="6A5E6092"/>
    <w:rsid w:val="6A767EB5"/>
    <w:rsid w:val="6A8C2BF2"/>
    <w:rsid w:val="6AC95741"/>
    <w:rsid w:val="6AC97058"/>
    <w:rsid w:val="6ACF764A"/>
    <w:rsid w:val="6AD846D7"/>
    <w:rsid w:val="6ADE0BD1"/>
    <w:rsid w:val="6AE20869"/>
    <w:rsid w:val="6AE96859"/>
    <w:rsid w:val="6B0777A4"/>
    <w:rsid w:val="6B0A3FAC"/>
    <w:rsid w:val="6B105EB6"/>
    <w:rsid w:val="6B147746"/>
    <w:rsid w:val="6B246D54"/>
    <w:rsid w:val="6B24787C"/>
    <w:rsid w:val="6B2A0C5E"/>
    <w:rsid w:val="6B2B66DF"/>
    <w:rsid w:val="6B2E2D87"/>
    <w:rsid w:val="6B433D86"/>
    <w:rsid w:val="6B500E9D"/>
    <w:rsid w:val="6B573233"/>
    <w:rsid w:val="6B5B6274"/>
    <w:rsid w:val="6B6A1A47"/>
    <w:rsid w:val="6B6A52CA"/>
    <w:rsid w:val="6B7845E0"/>
    <w:rsid w:val="6B814EF0"/>
    <w:rsid w:val="6B935D53"/>
    <w:rsid w:val="6B9C7418"/>
    <w:rsid w:val="6B9D5719"/>
    <w:rsid w:val="6B9F44A0"/>
    <w:rsid w:val="6BA563A9"/>
    <w:rsid w:val="6BB71B46"/>
    <w:rsid w:val="6BC63A7A"/>
    <w:rsid w:val="6BD80203"/>
    <w:rsid w:val="6BDB3000"/>
    <w:rsid w:val="6BE1298B"/>
    <w:rsid w:val="6BE22ABB"/>
    <w:rsid w:val="6BE758A7"/>
    <w:rsid w:val="6BEA109C"/>
    <w:rsid w:val="6BF36128"/>
    <w:rsid w:val="6C022EBF"/>
    <w:rsid w:val="6C172E65"/>
    <w:rsid w:val="6C196F71"/>
    <w:rsid w:val="6C226FCB"/>
    <w:rsid w:val="6C290B81"/>
    <w:rsid w:val="6C2A45F9"/>
    <w:rsid w:val="6C31226F"/>
    <w:rsid w:val="6C423CA9"/>
    <w:rsid w:val="6C504D8F"/>
    <w:rsid w:val="6C552F0B"/>
    <w:rsid w:val="6C597151"/>
    <w:rsid w:val="6C662BE4"/>
    <w:rsid w:val="6C6A15EA"/>
    <w:rsid w:val="6C6D256F"/>
    <w:rsid w:val="6C6D5DF2"/>
    <w:rsid w:val="6C6E7FF0"/>
    <w:rsid w:val="6C8C67B7"/>
    <w:rsid w:val="6C9846B8"/>
    <w:rsid w:val="6C9B343E"/>
    <w:rsid w:val="6C9D744C"/>
    <w:rsid w:val="6CCA2908"/>
    <w:rsid w:val="6CD04811"/>
    <w:rsid w:val="6CD81C1E"/>
    <w:rsid w:val="6CEB66C0"/>
    <w:rsid w:val="6CF64A51"/>
    <w:rsid w:val="6D016666"/>
    <w:rsid w:val="6D031B69"/>
    <w:rsid w:val="6D167928"/>
    <w:rsid w:val="6D1A4FAB"/>
    <w:rsid w:val="6D1D2712"/>
    <w:rsid w:val="6D202EEB"/>
    <w:rsid w:val="6D26299B"/>
    <w:rsid w:val="6D324731"/>
    <w:rsid w:val="6D326E35"/>
    <w:rsid w:val="6D4772EC"/>
    <w:rsid w:val="6D527369"/>
    <w:rsid w:val="6D68730F"/>
    <w:rsid w:val="6D7A7229"/>
    <w:rsid w:val="6D83593A"/>
    <w:rsid w:val="6D891A42"/>
    <w:rsid w:val="6D9078AF"/>
    <w:rsid w:val="6D9745DB"/>
    <w:rsid w:val="6DA70FF2"/>
    <w:rsid w:val="6DAA3FEF"/>
    <w:rsid w:val="6DB56F9A"/>
    <w:rsid w:val="6DC0172B"/>
    <w:rsid w:val="6DCB690C"/>
    <w:rsid w:val="6DD369BE"/>
    <w:rsid w:val="6DD41A5B"/>
    <w:rsid w:val="6DD4443F"/>
    <w:rsid w:val="6DDA3DCA"/>
    <w:rsid w:val="6DDC42E1"/>
    <w:rsid w:val="6DDD1368"/>
    <w:rsid w:val="6DE06347"/>
    <w:rsid w:val="6DEC3CE4"/>
    <w:rsid w:val="6DEE4FE9"/>
    <w:rsid w:val="6DF3366F"/>
    <w:rsid w:val="6DF43C2E"/>
    <w:rsid w:val="6DF51CA3"/>
    <w:rsid w:val="6E072310"/>
    <w:rsid w:val="6E087D91"/>
    <w:rsid w:val="6E112C1F"/>
    <w:rsid w:val="6E181F10"/>
    <w:rsid w:val="6E200CBB"/>
    <w:rsid w:val="6E45347A"/>
    <w:rsid w:val="6E555C92"/>
    <w:rsid w:val="6E5D529D"/>
    <w:rsid w:val="6E621725"/>
    <w:rsid w:val="6E6371A6"/>
    <w:rsid w:val="6E6404AB"/>
    <w:rsid w:val="6E7177C1"/>
    <w:rsid w:val="6E8335BD"/>
    <w:rsid w:val="6E842F5E"/>
    <w:rsid w:val="6E873EE3"/>
    <w:rsid w:val="6E8E12EF"/>
    <w:rsid w:val="6E927CF6"/>
    <w:rsid w:val="6E972936"/>
    <w:rsid w:val="6E9A0985"/>
    <w:rsid w:val="6E9C3E88"/>
    <w:rsid w:val="6EAD1BA4"/>
    <w:rsid w:val="6EB227A9"/>
    <w:rsid w:val="6EB97BB5"/>
    <w:rsid w:val="6ECA7E4F"/>
    <w:rsid w:val="6ECF7B5A"/>
    <w:rsid w:val="6ED446C5"/>
    <w:rsid w:val="6EE75201"/>
    <w:rsid w:val="6EF84E1E"/>
    <w:rsid w:val="6EFC51A7"/>
    <w:rsid w:val="6EFE4E26"/>
    <w:rsid w:val="6F080FB9"/>
    <w:rsid w:val="6F0A0C39"/>
    <w:rsid w:val="6F0C79BF"/>
    <w:rsid w:val="6F113E47"/>
    <w:rsid w:val="6F1A4757"/>
    <w:rsid w:val="6F2701E9"/>
    <w:rsid w:val="6F282DD0"/>
    <w:rsid w:val="6F2A7D94"/>
    <w:rsid w:val="6F2C4671"/>
    <w:rsid w:val="6F341A7D"/>
    <w:rsid w:val="6F410D93"/>
    <w:rsid w:val="6F424616"/>
    <w:rsid w:val="6F491A22"/>
    <w:rsid w:val="6F5A4F08"/>
    <w:rsid w:val="6F5F3BC6"/>
    <w:rsid w:val="6F674856"/>
    <w:rsid w:val="6F6822D7"/>
    <w:rsid w:val="6F697D59"/>
    <w:rsid w:val="6F7118E2"/>
    <w:rsid w:val="6F8040FB"/>
    <w:rsid w:val="6F8331F1"/>
    <w:rsid w:val="6F8D3B92"/>
    <w:rsid w:val="6F9C3A2B"/>
    <w:rsid w:val="6FA06BAE"/>
    <w:rsid w:val="6FA50AB7"/>
    <w:rsid w:val="6FA65D1A"/>
    <w:rsid w:val="6FA66539"/>
    <w:rsid w:val="6FAE1A09"/>
    <w:rsid w:val="6FCB6AF9"/>
    <w:rsid w:val="6FD75BF8"/>
    <w:rsid w:val="6FE902A7"/>
    <w:rsid w:val="6FEE7FB2"/>
    <w:rsid w:val="6FEF21B0"/>
    <w:rsid w:val="6FF156B3"/>
    <w:rsid w:val="6FF269B8"/>
    <w:rsid w:val="6FF3443A"/>
    <w:rsid w:val="6FFF5CCE"/>
    <w:rsid w:val="7001594E"/>
    <w:rsid w:val="70213C84"/>
    <w:rsid w:val="70340726"/>
    <w:rsid w:val="703838A9"/>
    <w:rsid w:val="703D35B4"/>
    <w:rsid w:val="703E57B3"/>
    <w:rsid w:val="70431C3A"/>
    <w:rsid w:val="704509C1"/>
    <w:rsid w:val="704B246A"/>
    <w:rsid w:val="70562E59"/>
    <w:rsid w:val="705708DB"/>
    <w:rsid w:val="706459F2"/>
    <w:rsid w:val="706D2A7F"/>
    <w:rsid w:val="70706221"/>
    <w:rsid w:val="70734988"/>
    <w:rsid w:val="70757E8B"/>
    <w:rsid w:val="707723D0"/>
    <w:rsid w:val="70876EAC"/>
    <w:rsid w:val="70920AC0"/>
    <w:rsid w:val="709F7DD6"/>
    <w:rsid w:val="70B00070"/>
    <w:rsid w:val="70B90980"/>
    <w:rsid w:val="70C12509"/>
    <w:rsid w:val="70C2380D"/>
    <w:rsid w:val="70C26D64"/>
    <w:rsid w:val="70C64412"/>
    <w:rsid w:val="70CA2E18"/>
    <w:rsid w:val="70D16026"/>
    <w:rsid w:val="70D8212E"/>
    <w:rsid w:val="70F5661B"/>
    <w:rsid w:val="70FE236E"/>
    <w:rsid w:val="710A3C02"/>
    <w:rsid w:val="711D2C22"/>
    <w:rsid w:val="71262A05"/>
    <w:rsid w:val="712A1F38"/>
    <w:rsid w:val="712C543B"/>
    <w:rsid w:val="71360107"/>
    <w:rsid w:val="713B688E"/>
    <w:rsid w:val="713F6453"/>
    <w:rsid w:val="714A49EB"/>
    <w:rsid w:val="71511DF8"/>
    <w:rsid w:val="71562C1B"/>
    <w:rsid w:val="71581782"/>
    <w:rsid w:val="715A4C86"/>
    <w:rsid w:val="71602412"/>
    <w:rsid w:val="71640E18"/>
    <w:rsid w:val="718C6759"/>
    <w:rsid w:val="719C3171"/>
    <w:rsid w:val="719D69F4"/>
    <w:rsid w:val="71A32AFB"/>
    <w:rsid w:val="71A37A92"/>
    <w:rsid w:val="71CC7543"/>
    <w:rsid w:val="71CD1741"/>
    <w:rsid w:val="71D43752"/>
    <w:rsid w:val="71D62051"/>
    <w:rsid w:val="71D96859"/>
    <w:rsid w:val="71DA3908"/>
    <w:rsid w:val="71E87D6D"/>
    <w:rsid w:val="71F1796A"/>
    <w:rsid w:val="71F21981"/>
    <w:rsid w:val="720860A3"/>
    <w:rsid w:val="72100F31"/>
    <w:rsid w:val="72123B94"/>
    <w:rsid w:val="72154626"/>
    <w:rsid w:val="722111CB"/>
    <w:rsid w:val="72262B5D"/>
    <w:rsid w:val="72283FF7"/>
    <w:rsid w:val="722865D8"/>
    <w:rsid w:val="722E7212"/>
    <w:rsid w:val="723A0474"/>
    <w:rsid w:val="723E657D"/>
    <w:rsid w:val="72441905"/>
    <w:rsid w:val="72465B88"/>
    <w:rsid w:val="725923E4"/>
    <w:rsid w:val="72864BF7"/>
    <w:rsid w:val="728B087B"/>
    <w:rsid w:val="729023FC"/>
    <w:rsid w:val="729836D0"/>
    <w:rsid w:val="72997B90"/>
    <w:rsid w:val="72B729C4"/>
    <w:rsid w:val="72B832BB"/>
    <w:rsid w:val="72C5775B"/>
    <w:rsid w:val="72D850F7"/>
    <w:rsid w:val="72F524A8"/>
    <w:rsid w:val="72F90EAF"/>
    <w:rsid w:val="72FC1E33"/>
    <w:rsid w:val="72FE5336"/>
    <w:rsid w:val="73042AC3"/>
    <w:rsid w:val="73047240"/>
    <w:rsid w:val="73100AD4"/>
    <w:rsid w:val="73114357"/>
    <w:rsid w:val="731C48E6"/>
    <w:rsid w:val="73231CF3"/>
    <w:rsid w:val="732A167E"/>
    <w:rsid w:val="7359474B"/>
    <w:rsid w:val="735D0BD3"/>
    <w:rsid w:val="736D487B"/>
    <w:rsid w:val="7377757F"/>
    <w:rsid w:val="738E71A4"/>
    <w:rsid w:val="73925DF3"/>
    <w:rsid w:val="739667AE"/>
    <w:rsid w:val="73974230"/>
    <w:rsid w:val="739D6139"/>
    <w:rsid w:val="73A2414B"/>
    <w:rsid w:val="73A43546"/>
    <w:rsid w:val="73B33B60"/>
    <w:rsid w:val="73B57063"/>
    <w:rsid w:val="73C0646E"/>
    <w:rsid w:val="73C64D7F"/>
    <w:rsid w:val="73C86FF9"/>
    <w:rsid w:val="73D22F3E"/>
    <w:rsid w:val="73DF5CA9"/>
    <w:rsid w:val="73E133AB"/>
    <w:rsid w:val="73E865B9"/>
    <w:rsid w:val="73F658CE"/>
    <w:rsid w:val="73F96853"/>
    <w:rsid w:val="740238DF"/>
    <w:rsid w:val="740D54F4"/>
    <w:rsid w:val="74112B24"/>
    <w:rsid w:val="742222F5"/>
    <w:rsid w:val="74230B2C"/>
    <w:rsid w:val="742D382A"/>
    <w:rsid w:val="743E5CC3"/>
    <w:rsid w:val="7445564D"/>
    <w:rsid w:val="74476126"/>
    <w:rsid w:val="744765D2"/>
    <w:rsid w:val="745B3074"/>
    <w:rsid w:val="745C0AF6"/>
    <w:rsid w:val="745F1A7B"/>
    <w:rsid w:val="74653984"/>
    <w:rsid w:val="746A588D"/>
    <w:rsid w:val="74706664"/>
    <w:rsid w:val="7475039B"/>
    <w:rsid w:val="747A00A6"/>
    <w:rsid w:val="747F3682"/>
    <w:rsid w:val="7499095B"/>
    <w:rsid w:val="749C4185"/>
    <w:rsid w:val="74AE507D"/>
    <w:rsid w:val="74B67F0B"/>
    <w:rsid w:val="74C12A19"/>
    <w:rsid w:val="74CC682B"/>
    <w:rsid w:val="74CD7350"/>
    <w:rsid w:val="74D50B9E"/>
    <w:rsid w:val="74D54F3C"/>
    <w:rsid w:val="74D629BE"/>
    <w:rsid w:val="74FE6101"/>
    <w:rsid w:val="75017085"/>
    <w:rsid w:val="75067759"/>
    <w:rsid w:val="75070F8F"/>
    <w:rsid w:val="7519472C"/>
    <w:rsid w:val="751D3132"/>
    <w:rsid w:val="7522503C"/>
    <w:rsid w:val="752E6DCD"/>
    <w:rsid w:val="752F2843"/>
    <w:rsid w:val="75342D58"/>
    <w:rsid w:val="754F05E4"/>
    <w:rsid w:val="7551380D"/>
    <w:rsid w:val="75561D99"/>
    <w:rsid w:val="755D611A"/>
    <w:rsid w:val="755E3B9C"/>
    <w:rsid w:val="75600BE5"/>
    <w:rsid w:val="7564475C"/>
    <w:rsid w:val="756C0933"/>
    <w:rsid w:val="7583797F"/>
    <w:rsid w:val="758614DD"/>
    <w:rsid w:val="758D0E68"/>
    <w:rsid w:val="759407F3"/>
    <w:rsid w:val="75963CF6"/>
    <w:rsid w:val="759B3A01"/>
    <w:rsid w:val="759C3680"/>
    <w:rsid w:val="75A0590A"/>
    <w:rsid w:val="75A2558A"/>
    <w:rsid w:val="75A40A8D"/>
    <w:rsid w:val="75AF26A1"/>
    <w:rsid w:val="75BC19B7"/>
    <w:rsid w:val="75C34BC5"/>
    <w:rsid w:val="75C857C9"/>
    <w:rsid w:val="75D06459"/>
    <w:rsid w:val="75D20F1D"/>
    <w:rsid w:val="75D23B5A"/>
    <w:rsid w:val="75DA2C18"/>
    <w:rsid w:val="75EA7003"/>
    <w:rsid w:val="75F54412"/>
    <w:rsid w:val="75FA49E1"/>
    <w:rsid w:val="76005923"/>
    <w:rsid w:val="76047BAD"/>
    <w:rsid w:val="760C2A3B"/>
    <w:rsid w:val="761D08E0"/>
    <w:rsid w:val="7629236B"/>
    <w:rsid w:val="76294569"/>
    <w:rsid w:val="762C0D71"/>
    <w:rsid w:val="7634617E"/>
    <w:rsid w:val="763C358A"/>
    <w:rsid w:val="763D320A"/>
    <w:rsid w:val="763E0C8B"/>
    <w:rsid w:val="76442B95"/>
    <w:rsid w:val="764E34A4"/>
    <w:rsid w:val="765D347C"/>
    <w:rsid w:val="766B2A54"/>
    <w:rsid w:val="766D3D59"/>
    <w:rsid w:val="76782437"/>
    <w:rsid w:val="76787B6C"/>
    <w:rsid w:val="76826699"/>
    <w:rsid w:val="76835EFD"/>
    <w:rsid w:val="76912C94"/>
    <w:rsid w:val="76920715"/>
    <w:rsid w:val="76954F1D"/>
    <w:rsid w:val="769900A0"/>
    <w:rsid w:val="76B07CC5"/>
    <w:rsid w:val="76B30503"/>
    <w:rsid w:val="76B65452"/>
    <w:rsid w:val="76C87133"/>
    <w:rsid w:val="76CD08D5"/>
    <w:rsid w:val="76CF4CF7"/>
    <w:rsid w:val="76D52484"/>
    <w:rsid w:val="76D83408"/>
    <w:rsid w:val="76DB4B92"/>
    <w:rsid w:val="76E91124"/>
    <w:rsid w:val="76FA4C42"/>
    <w:rsid w:val="77052AA4"/>
    <w:rsid w:val="7709745B"/>
    <w:rsid w:val="77136511"/>
    <w:rsid w:val="771976F5"/>
    <w:rsid w:val="771B7375"/>
    <w:rsid w:val="77293B58"/>
    <w:rsid w:val="7729410C"/>
    <w:rsid w:val="77297D8C"/>
    <w:rsid w:val="77311518"/>
    <w:rsid w:val="77340A39"/>
    <w:rsid w:val="77351FD0"/>
    <w:rsid w:val="77376CA5"/>
    <w:rsid w:val="77472422"/>
    <w:rsid w:val="77571758"/>
    <w:rsid w:val="775E4966"/>
    <w:rsid w:val="77602068"/>
    <w:rsid w:val="7764686F"/>
    <w:rsid w:val="776F6DFF"/>
    <w:rsid w:val="77731088"/>
    <w:rsid w:val="777F31F2"/>
    <w:rsid w:val="77846DA4"/>
    <w:rsid w:val="779C444B"/>
    <w:rsid w:val="779D6649"/>
    <w:rsid w:val="77C3210C"/>
    <w:rsid w:val="77CF39A0"/>
    <w:rsid w:val="77D1700D"/>
    <w:rsid w:val="77E9454A"/>
    <w:rsid w:val="77EC04CC"/>
    <w:rsid w:val="78011BF1"/>
    <w:rsid w:val="78173D95"/>
    <w:rsid w:val="783436C5"/>
    <w:rsid w:val="78391D4B"/>
    <w:rsid w:val="783C2CCF"/>
    <w:rsid w:val="784016D6"/>
    <w:rsid w:val="784129DA"/>
    <w:rsid w:val="78501970"/>
    <w:rsid w:val="785173F2"/>
    <w:rsid w:val="785206F6"/>
    <w:rsid w:val="78524E73"/>
    <w:rsid w:val="78694A98"/>
    <w:rsid w:val="786E0F20"/>
    <w:rsid w:val="78775729"/>
    <w:rsid w:val="788A0850"/>
    <w:rsid w:val="788A40D3"/>
    <w:rsid w:val="78913A5E"/>
    <w:rsid w:val="7898073E"/>
    <w:rsid w:val="789833E9"/>
    <w:rsid w:val="789F4F72"/>
    <w:rsid w:val="78A42DB0"/>
    <w:rsid w:val="78A656AB"/>
    <w:rsid w:val="78B2245C"/>
    <w:rsid w:val="78B8009B"/>
    <w:rsid w:val="78C43EAD"/>
    <w:rsid w:val="78C673B0"/>
    <w:rsid w:val="78CF5AC2"/>
    <w:rsid w:val="78CF7CC0"/>
    <w:rsid w:val="78E172CC"/>
    <w:rsid w:val="78EA1D1F"/>
    <w:rsid w:val="7904172F"/>
    <w:rsid w:val="79076E44"/>
    <w:rsid w:val="790F0AA9"/>
    <w:rsid w:val="790F7E27"/>
    <w:rsid w:val="791918BC"/>
    <w:rsid w:val="791B233D"/>
    <w:rsid w:val="79232FCD"/>
    <w:rsid w:val="792564D0"/>
    <w:rsid w:val="79276150"/>
    <w:rsid w:val="792A231A"/>
    <w:rsid w:val="793144E1"/>
    <w:rsid w:val="79316829"/>
    <w:rsid w:val="793A2BF2"/>
    <w:rsid w:val="7949798A"/>
    <w:rsid w:val="7957093B"/>
    <w:rsid w:val="795E40AC"/>
    <w:rsid w:val="796746DD"/>
    <w:rsid w:val="797E66A9"/>
    <w:rsid w:val="798518A4"/>
    <w:rsid w:val="7987355A"/>
    <w:rsid w:val="79956784"/>
    <w:rsid w:val="799D1612"/>
    <w:rsid w:val="79A36D9F"/>
    <w:rsid w:val="79A97383"/>
    <w:rsid w:val="79B160B4"/>
    <w:rsid w:val="79B90F42"/>
    <w:rsid w:val="79CB24E1"/>
    <w:rsid w:val="79CB6C5E"/>
    <w:rsid w:val="79E27E8B"/>
    <w:rsid w:val="79EE5F19"/>
    <w:rsid w:val="79F80A27"/>
    <w:rsid w:val="79F850CE"/>
    <w:rsid w:val="79FD443C"/>
    <w:rsid w:val="7A005E33"/>
    <w:rsid w:val="7A0400BD"/>
    <w:rsid w:val="7A0657BE"/>
    <w:rsid w:val="7A124E54"/>
    <w:rsid w:val="7A1712DC"/>
    <w:rsid w:val="7A1D1975"/>
    <w:rsid w:val="7A3E5150"/>
    <w:rsid w:val="7A446928"/>
    <w:rsid w:val="7A4670D6"/>
    <w:rsid w:val="7A4F4CB9"/>
    <w:rsid w:val="7A534B63"/>
    <w:rsid w:val="7A5B654D"/>
    <w:rsid w:val="7A615382"/>
    <w:rsid w:val="7A625ED8"/>
    <w:rsid w:val="7A67303B"/>
    <w:rsid w:val="7A764B78"/>
    <w:rsid w:val="7A873E24"/>
    <w:rsid w:val="7A897628"/>
    <w:rsid w:val="7A905722"/>
    <w:rsid w:val="7A9244A9"/>
    <w:rsid w:val="7A9F5D3D"/>
    <w:rsid w:val="7AAB1D04"/>
    <w:rsid w:val="7AB114DA"/>
    <w:rsid w:val="7AB42C75"/>
    <w:rsid w:val="7ABA4368"/>
    <w:rsid w:val="7AC77DFB"/>
    <w:rsid w:val="7AD05746"/>
    <w:rsid w:val="7AFB2BD3"/>
    <w:rsid w:val="7B0B75EA"/>
    <w:rsid w:val="7B182183"/>
    <w:rsid w:val="7B257FFD"/>
    <w:rsid w:val="7B263697"/>
    <w:rsid w:val="7B273D20"/>
    <w:rsid w:val="7B29461C"/>
    <w:rsid w:val="7B2972AB"/>
    <w:rsid w:val="7B2B7B1F"/>
    <w:rsid w:val="7B2E4450"/>
    <w:rsid w:val="7B2F54EB"/>
    <w:rsid w:val="7B343476"/>
    <w:rsid w:val="7B396E35"/>
    <w:rsid w:val="7B397047"/>
    <w:rsid w:val="7B3B5BBB"/>
    <w:rsid w:val="7B5A2978"/>
    <w:rsid w:val="7B5A7E4C"/>
    <w:rsid w:val="7B667AF9"/>
    <w:rsid w:val="7B6E5110"/>
    <w:rsid w:val="7B7468F8"/>
    <w:rsid w:val="7B74701A"/>
    <w:rsid w:val="7B81632F"/>
    <w:rsid w:val="7B8749B6"/>
    <w:rsid w:val="7B95174D"/>
    <w:rsid w:val="7B9B3656"/>
    <w:rsid w:val="7BA10DE3"/>
    <w:rsid w:val="7BA479E1"/>
    <w:rsid w:val="7BB42002"/>
    <w:rsid w:val="7BD86D3E"/>
    <w:rsid w:val="7BD90F3C"/>
    <w:rsid w:val="7BD947C0"/>
    <w:rsid w:val="7BE06349"/>
    <w:rsid w:val="7BE63AD5"/>
    <w:rsid w:val="7BEE0103"/>
    <w:rsid w:val="7C050B07"/>
    <w:rsid w:val="7C0A0FE4"/>
    <w:rsid w:val="7C106E98"/>
    <w:rsid w:val="7C254906"/>
    <w:rsid w:val="7C38005C"/>
    <w:rsid w:val="7C3826AE"/>
    <w:rsid w:val="7C405469"/>
    <w:rsid w:val="7C4363ED"/>
    <w:rsid w:val="7C4902F7"/>
    <w:rsid w:val="7C57508E"/>
    <w:rsid w:val="7C590818"/>
    <w:rsid w:val="7C5E6C17"/>
    <w:rsid w:val="7C6B3D2F"/>
    <w:rsid w:val="7C7620C0"/>
    <w:rsid w:val="7C7C10F6"/>
    <w:rsid w:val="7C853BEA"/>
    <w:rsid w:val="7C881368"/>
    <w:rsid w:val="7C8A45E3"/>
    <w:rsid w:val="7C8E2FEA"/>
    <w:rsid w:val="7C9603F6"/>
    <w:rsid w:val="7CA71728"/>
    <w:rsid w:val="7CB13F12"/>
    <w:rsid w:val="7CBE24B4"/>
    <w:rsid w:val="7CC20EBA"/>
    <w:rsid w:val="7CC929B6"/>
    <w:rsid w:val="7CCB494B"/>
    <w:rsid w:val="7CDB7866"/>
    <w:rsid w:val="7CDE07EA"/>
    <w:rsid w:val="7CE1058F"/>
    <w:rsid w:val="7CE27788"/>
    <w:rsid w:val="7CEB7B00"/>
    <w:rsid w:val="7D0C32F1"/>
    <w:rsid w:val="7D0F408D"/>
    <w:rsid w:val="7D121F3E"/>
    <w:rsid w:val="7D1A4DCC"/>
    <w:rsid w:val="7D240F5F"/>
    <w:rsid w:val="7D291B63"/>
    <w:rsid w:val="7D38437C"/>
    <w:rsid w:val="7D3A3102"/>
    <w:rsid w:val="7D491C6C"/>
    <w:rsid w:val="7D4D68A0"/>
    <w:rsid w:val="7D5429C0"/>
    <w:rsid w:val="7D55752F"/>
    <w:rsid w:val="7D622FC2"/>
    <w:rsid w:val="7D641D48"/>
    <w:rsid w:val="7D6529D6"/>
    <w:rsid w:val="7D6E6D43"/>
    <w:rsid w:val="7D734561"/>
    <w:rsid w:val="7D896705"/>
    <w:rsid w:val="7D8B6384"/>
    <w:rsid w:val="7D941212"/>
    <w:rsid w:val="7D9B661F"/>
    <w:rsid w:val="7DAC213C"/>
    <w:rsid w:val="7DB57A34"/>
    <w:rsid w:val="7DB939D1"/>
    <w:rsid w:val="7DBA6ED4"/>
    <w:rsid w:val="7DC00DDD"/>
    <w:rsid w:val="7DC06BDF"/>
    <w:rsid w:val="7DC55265"/>
    <w:rsid w:val="7DC71ACD"/>
    <w:rsid w:val="7DD31FFC"/>
    <w:rsid w:val="7DE41F4B"/>
    <w:rsid w:val="7DE60973"/>
    <w:rsid w:val="7DEC5124"/>
    <w:rsid w:val="7DEE6429"/>
    <w:rsid w:val="7DEF0916"/>
    <w:rsid w:val="7DF734B5"/>
    <w:rsid w:val="7E0B59D9"/>
    <w:rsid w:val="7E1E5218"/>
    <w:rsid w:val="7E2054A6"/>
    <w:rsid w:val="7E2255FE"/>
    <w:rsid w:val="7E230E82"/>
    <w:rsid w:val="7E264004"/>
    <w:rsid w:val="7E3D3C2A"/>
    <w:rsid w:val="7E3D5741"/>
    <w:rsid w:val="7E5E415E"/>
    <w:rsid w:val="7E6E21FA"/>
    <w:rsid w:val="7E71317F"/>
    <w:rsid w:val="7E863124"/>
    <w:rsid w:val="7E9A4E1F"/>
    <w:rsid w:val="7E9E4F48"/>
    <w:rsid w:val="7EA7723A"/>
    <w:rsid w:val="7EBE547D"/>
    <w:rsid w:val="7EC06781"/>
    <w:rsid w:val="7ECC0016"/>
    <w:rsid w:val="7EF35CD7"/>
    <w:rsid w:val="7EF56FBB"/>
    <w:rsid w:val="7F004FEC"/>
    <w:rsid w:val="7F0326EE"/>
    <w:rsid w:val="7F0768EB"/>
    <w:rsid w:val="7F115287"/>
    <w:rsid w:val="7F143BEC"/>
    <w:rsid w:val="7F215521"/>
    <w:rsid w:val="7F230A24"/>
    <w:rsid w:val="7F3818C3"/>
    <w:rsid w:val="7F3D15CE"/>
    <w:rsid w:val="7F3F4AD1"/>
    <w:rsid w:val="7F475F43"/>
    <w:rsid w:val="7F544A77"/>
    <w:rsid w:val="7F556C75"/>
    <w:rsid w:val="7F5D4081"/>
    <w:rsid w:val="7F67172D"/>
    <w:rsid w:val="7F6A6C1A"/>
    <w:rsid w:val="7F6B469C"/>
    <w:rsid w:val="7F71563C"/>
    <w:rsid w:val="7F715AF2"/>
    <w:rsid w:val="7F7704AE"/>
    <w:rsid w:val="7F886E69"/>
    <w:rsid w:val="7F8A16CD"/>
    <w:rsid w:val="7F93675A"/>
    <w:rsid w:val="7FA7233D"/>
    <w:rsid w:val="7FB8479B"/>
    <w:rsid w:val="7FB937C7"/>
    <w:rsid w:val="7FB96999"/>
    <w:rsid w:val="7FCF43C0"/>
    <w:rsid w:val="7FD717CD"/>
    <w:rsid w:val="7FDE3356"/>
    <w:rsid w:val="7FEB4BEA"/>
    <w:rsid w:val="7FF048F5"/>
    <w:rsid w:val="7FFD618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next w:val="7"/>
    <w:link w:val="191"/>
    <w:qFormat/>
    <w:uiPriority w:val="0"/>
    <w:pPr>
      <w:widowControl/>
      <w:snapToGrid w:val="0"/>
      <w:spacing w:line="480" w:lineRule="exact"/>
      <w:ind w:firstLine="567"/>
    </w:pPr>
    <w:rPr>
      <w:rFonts w:ascii="宋体"/>
      <w:snapToGrid w:val="0"/>
      <w:color w:val="000000"/>
      <w:kern w:val="28"/>
      <w:sz w:val="28"/>
      <w:szCs w:val="20"/>
    </w:rPr>
  </w:style>
  <w:style w:type="paragraph" w:styleId="7">
    <w:name w:val="Body Text Indent"/>
    <w:basedOn w:val="1"/>
    <w:next w:val="1"/>
    <w:link w:val="263"/>
    <w:qFormat/>
    <w:uiPriority w:val="0"/>
    <w:pPr>
      <w:spacing w:line="480" w:lineRule="exact"/>
      <w:ind w:firstLine="480" w:firstLineChars="200"/>
    </w:pPr>
    <w:rPr>
      <w:rFonts w:ascii="宋体" w:hAnsi="宋体"/>
      <w:sz w:val="24"/>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7"/>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0"/>
    <w:qFormat/>
    <w:uiPriority w:val="0"/>
    <w:pPr>
      <w:shd w:val="clear" w:color="auto" w:fill="000080"/>
    </w:pPr>
  </w:style>
  <w:style w:type="paragraph" w:styleId="21">
    <w:name w:val="annotation text"/>
    <w:basedOn w:val="1"/>
    <w:link w:val="342"/>
    <w:qFormat/>
    <w:uiPriority w:val="99"/>
    <w:pPr>
      <w:jc w:val="left"/>
    </w:pPr>
  </w:style>
  <w:style w:type="paragraph" w:styleId="22">
    <w:name w:val="Salutation"/>
    <w:basedOn w:val="1"/>
    <w:next w:val="1"/>
    <w:link w:val="296"/>
    <w:qFormat/>
    <w:uiPriority w:val="0"/>
    <w:rPr>
      <w:rFonts w:ascii="仿宋_GB2312" w:eastAsia="仿宋_GB2312"/>
      <w:sz w:val="28"/>
      <w:szCs w:val="20"/>
    </w:rPr>
  </w:style>
  <w:style w:type="paragraph" w:styleId="23">
    <w:name w:val="Body Text 3"/>
    <w:basedOn w:val="1"/>
    <w:link w:val="328"/>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8"/>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1"/>
    <w:link w:val="319"/>
    <w:qFormat/>
    <w:uiPriority w:val="0"/>
    <w:pPr>
      <w:ind w:firstLine="420"/>
    </w:pPr>
    <w:rPr>
      <w:rFonts w:hAnsi="Calibri" w:cs="Times New Roman"/>
      <w:snapToGrid/>
      <w:szCs w:val="20"/>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3"/>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4"/>
    <w:qFormat/>
    <w:uiPriority w:val="0"/>
    <w:rPr>
      <w:b/>
      <w:bCs/>
    </w:rPr>
  </w:style>
  <w:style w:type="paragraph" w:styleId="62">
    <w:name w:val="Body Text First Indent 2"/>
    <w:basedOn w:val="7"/>
    <w:link w:val="11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10"/>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3"/>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6"/>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20"/>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8"/>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8"/>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7"/>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9"/>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2"/>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8"/>
    <w:qFormat/>
    <w:uiPriority w:val="0"/>
    <w:rPr>
      <w:rFonts w:ascii="黑体" w:hAnsi="Courier New" w:eastAsia="黑体"/>
    </w:rPr>
  </w:style>
  <w:style w:type="character" w:customStyle="1" w:styleId="300">
    <w:name w:val="正文文本 2 Char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8"/>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11"/>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6"/>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8"/>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3"/>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1"/>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2"/>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4"/>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6"/>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8"/>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4"/>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5"/>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9"/>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5"/>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8"/>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5"/>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9"/>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Table Normal"/>
    <w:semiHidden/>
    <w:unhideWhenUsed/>
    <w:qFormat/>
    <w:uiPriority w:val="0"/>
    <w:tblPr>
      <w:tblCellMar>
        <w:top w:w="0" w:type="dxa"/>
        <w:left w:w="0" w:type="dxa"/>
        <w:bottom w:w="0" w:type="dxa"/>
        <w:right w:w="0" w:type="dxa"/>
      </w:tblCellMar>
    </w:tblPr>
  </w:style>
  <w:style w:type="character" w:customStyle="1" w:styleId="964">
    <w:name w:val="font101"/>
    <w:basedOn w:val="7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00F5C-791E-4169-8EF0-697330BC8A45}">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110</Pages>
  <Words>6264</Words>
  <Characters>6854</Characters>
  <Lines>281</Lines>
  <Paragraphs>79</Paragraphs>
  <TotalTime>16</TotalTime>
  <ScaleCrop>false</ScaleCrop>
  <LinksUpToDate>false</LinksUpToDate>
  <CharactersWithSpaces>7293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Administrator</cp:lastModifiedBy>
  <cp:lastPrinted>2021-12-27T03:06:00Z</cp:lastPrinted>
  <dcterms:modified xsi:type="dcterms:W3CDTF">2026-04-01T05:53:26Z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eyJoZGlkIjoiMzEwNTM5NzYwMDRjMzkwZTVkZjY2ODkwMGIxNGU0OTUiLCJ1c2VySWQiOiIxNzU2NjgyOTk4In0=</vt:lpwstr>
  </property>
</Properties>
</file>