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8E3A">
      <w:pPr>
        <w:jc w:val="center"/>
        <w:rPr>
          <w:rFonts w:hint="eastAsia"/>
          <w:color w:val="auto"/>
          <w:sz w:val="44"/>
          <w:szCs w:val="44"/>
          <w:highlight w:val="none"/>
        </w:rPr>
      </w:pPr>
      <w:r>
        <w:rPr>
          <w:rFonts w:hint="eastAsia"/>
          <w:b/>
          <w:bCs/>
          <w:color w:val="auto"/>
          <w:sz w:val="48"/>
          <w:szCs w:val="48"/>
          <w:highlight w:val="none"/>
        </w:rPr>
        <w:t>塔城边境管理支队 202</w:t>
      </w:r>
      <w:r>
        <w:rPr>
          <w:rFonts w:hint="eastAsia"/>
          <w:b/>
          <w:bCs/>
          <w:color w:val="auto"/>
          <w:sz w:val="48"/>
          <w:szCs w:val="48"/>
          <w:highlight w:val="none"/>
          <w:lang w:val="en-US" w:eastAsia="zh-CN"/>
        </w:rPr>
        <w:t>6</w:t>
      </w:r>
      <w:r>
        <w:rPr>
          <w:rFonts w:hint="eastAsia"/>
          <w:b/>
          <w:bCs/>
          <w:color w:val="auto"/>
          <w:sz w:val="48"/>
          <w:szCs w:val="48"/>
          <w:highlight w:val="none"/>
        </w:rPr>
        <w:t xml:space="preserve"> 年主副食品配送服务采购项目（支队机关、轮训队、塔城大队及其所属基层单位）</w:t>
      </w:r>
    </w:p>
    <w:p w14:paraId="24E64810">
      <w:pPr>
        <w:jc w:val="center"/>
        <w:rPr>
          <w:rFonts w:hint="eastAsia"/>
          <w:color w:val="auto"/>
          <w:sz w:val="44"/>
          <w:szCs w:val="44"/>
          <w:highlight w:val="none"/>
        </w:rPr>
      </w:pPr>
    </w:p>
    <w:p w14:paraId="32045791">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标项名称：2026年塔城边境管理支队分片区主副食品集中统一配送服务项目（支队机关、轮训队、塔城大队及其所属基层单位）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标项编号：XJYS-2026-FW-023（1）</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AADFB58">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7A954573">
      <w:pPr>
        <w:jc w:val="both"/>
        <w:rPr>
          <w:rFonts w:hint="default"/>
          <w:color w:val="auto"/>
          <w:sz w:val="32"/>
          <w:szCs w:val="32"/>
          <w:highlight w:val="none"/>
          <w:lang w:val="en-US" w:eastAsia="zh-CN"/>
        </w:rPr>
      </w:pPr>
    </w:p>
    <w:p w14:paraId="080F087F">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74363E75">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53755596">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47C9F45">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2662E0F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46F9D4B2">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A84422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4074659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4D1979A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423020C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457544A0">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064918F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2E862E3F">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36FF802F">
      <w:pPr>
        <w:pStyle w:val="3"/>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3"/>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2026年塔城边境管理支队分片区主副食品集中统一配送服务项目（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2026年05月20日10:30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28359079"/>
      <w:bookmarkStart w:id="1" w:name="_Toc35393621"/>
      <w:bookmarkStart w:id="2" w:name="_Toc28359002"/>
      <w:bookmarkStart w:id="3" w:name="_Toc26429"/>
      <w:bookmarkStart w:id="4" w:name="_Toc35393790"/>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2026年塔城边境管理支队分片区主副食品集中统一配送服务项目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35393622"/>
      <w:bookmarkStart w:id="7" w:name="_Toc28359080"/>
      <w:bookmarkStart w:id="8" w:name="_Toc28359003"/>
      <w:bookmarkStart w:id="9" w:name="_Toc35393791"/>
      <w:bookmarkStart w:id="10" w:name="_Toc8168"/>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7584443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588D19E0">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2B0A0EEE">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24B82BC">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214934DB">
      <w:pPr>
        <w:spacing w:line="440" w:lineRule="exact"/>
        <w:outlineLvl w:val="1"/>
        <w:rPr>
          <w:rFonts w:hint="eastAsia" w:ascii="宋体" w:hAnsi="宋体" w:cs="宋体"/>
          <w:b/>
          <w:color w:val="auto"/>
          <w:sz w:val="24"/>
          <w:highlight w:val="none"/>
        </w:rPr>
      </w:pPr>
      <w:bookmarkStart w:id="11" w:name="_Toc21610"/>
      <w:r>
        <w:rPr>
          <w:rFonts w:hint="eastAsia" w:ascii="宋体" w:hAnsi="宋体" w:cs="宋体"/>
          <w:b/>
          <w:color w:val="auto"/>
          <w:sz w:val="24"/>
          <w:highlight w:val="none"/>
        </w:rPr>
        <w:t>四、提交投标文件截止时间、开标时间和地点</w:t>
      </w:r>
      <w:bookmarkEnd w:id="11"/>
    </w:p>
    <w:p w14:paraId="1AC51926">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lang w:eastAsia="zh-CN"/>
        </w:rPr>
        <w:t>2026年05月20日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7E9A50B8">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14DBC85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2026年05月20日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4E32EA0E">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bookmarkStart w:id="12" w:name="_Toc24086"/>
      <w:r>
        <w:rPr>
          <w:rFonts w:hint="eastAsia" w:ascii="宋体" w:hAnsi="宋体" w:cs="宋体"/>
          <w:b/>
          <w:color w:val="auto"/>
          <w:sz w:val="24"/>
          <w:highlight w:val="none"/>
        </w:rPr>
        <w:t>五、公告期限</w:t>
      </w:r>
      <w:bookmarkEnd w:id="12"/>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3"/>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CE317A6">
            <w:pPr>
              <w:spacing w:line="400" w:lineRule="exact"/>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2026年塔城边境管理支队分片区主副食品集中统一配送服务项目（支队机关、轮训队和塔城大队）</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569.5</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支队机关、轮训队、塔城大队及其所属基层单位的主副食品配送：包括但不限于米、面、油、调料、蔬菜、水果、牛羊肉、猪肉、鱼、蛋、禽类等主副食品。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 xml:space="preserve">1 、须符合《中华人民共和国政府采购法》第 22 条规定： </w:t>
            </w:r>
          </w:p>
          <w:p w14:paraId="26E849AF">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（1）具有独立承担民事责任的能力的供应商；</w:t>
            </w:r>
          </w:p>
          <w:p w14:paraId="2FBBFB22">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（2）具有良好的商业信誉和健全的财务会计制度；</w:t>
            </w:r>
          </w:p>
          <w:p w14:paraId="701D0AC2">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（3）具有履行合同所必需的设备和专业技术能力；</w:t>
            </w:r>
          </w:p>
          <w:p w14:paraId="0AE6326A">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（4）有依法缴纳税收和社会保障资金的良好记录；</w:t>
            </w:r>
          </w:p>
          <w:p w14:paraId="15BB641C">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（5）参加本次采购活动前三年内，在经营活动中没有重大违法记录；</w:t>
            </w:r>
          </w:p>
          <w:p w14:paraId="66FB1D56">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（6）法律、行政法规规定的其他条件。</w:t>
            </w:r>
          </w:p>
          <w:p w14:paraId="2446B53A">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3F55A802">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4、本项目的特定资格要求：提供有效期内的《食品经营许可证》。</w:t>
            </w:r>
          </w:p>
          <w:p w14:paraId="6E13DCB4">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lang w:eastAsia="zh-CN"/>
              </w:rPr>
              <w:t>2026年05月20日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塔城市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5"/>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65F87A4">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3F62E4DF">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16AD96FE">
            <w:pPr>
              <w:pStyle w:val="8"/>
              <w:spacing w:line="360" w:lineRule="auto"/>
              <w:rPr>
                <w:rFonts w:hint="default"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5"/>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3"/>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5895170"/>
      <w:bookmarkStart w:id="22" w:name="_Toc324255541"/>
      <w:bookmarkStart w:id="23" w:name="_Toc34951612"/>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6FF4E831">
      <w:pPr>
        <w:pStyle w:val="8"/>
        <w:spacing w:before="183" w:line="220" w:lineRule="auto"/>
        <w:ind w:left="26"/>
        <w:rPr>
          <w:color w:val="auto"/>
          <w:highlight w:val="none"/>
        </w:rPr>
      </w:pPr>
      <w:r>
        <w:rPr>
          <w:color w:val="auto"/>
          <w:spacing w:val="-6"/>
          <w:highlight w:val="none"/>
        </w:rPr>
        <w:t>1、投标函</w:t>
      </w:r>
    </w:p>
    <w:p w14:paraId="265B1851">
      <w:pPr>
        <w:pStyle w:val="8"/>
        <w:spacing w:before="182" w:line="218" w:lineRule="auto"/>
        <w:ind w:left="12"/>
        <w:rPr>
          <w:color w:val="auto"/>
          <w:highlight w:val="none"/>
        </w:rPr>
      </w:pPr>
      <w:r>
        <w:rPr>
          <w:color w:val="auto"/>
          <w:spacing w:val="-2"/>
          <w:highlight w:val="none"/>
        </w:rPr>
        <w:t>2、报价一览表</w:t>
      </w:r>
    </w:p>
    <w:p w14:paraId="6136CE3F">
      <w:pPr>
        <w:pStyle w:val="8"/>
        <w:spacing w:before="182" w:line="219" w:lineRule="auto"/>
        <w:ind w:left="13"/>
        <w:rPr>
          <w:color w:val="auto"/>
          <w:highlight w:val="none"/>
        </w:rPr>
      </w:pPr>
      <w:r>
        <w:rPr>
          <w:color w:val="auto"/>
          <w:spacing w:val="-2"/>
          <w:highlight w:val="none"/>
        </w:rPr>
        <w:t>3、法定代表人身份证明书</w:t>
      </w:r>
    </w:p>
    <w:p w14:paraId="2E96354C">
      <w:pPr>
        <w:pStyle w:val="8"/>
        <w:spacing w:before="184" w:line="220" w:lineRule="auto"/>
        <w:ind w:left="8"/>
        <w:rPr>
          <w:color w:val="auto"/>
          <w:highlight w:val="none"/>
        </w:rPr>
      </w:pPr>
      <w:r>
        <w:rPr>
          <w:color w:val="auto"/>
          <w:spacing w:val="-2"/>
          <w:highlight w:val="none"/>
        </w:rPr>
        <w:t>4、投标保证金</w:t>
      </w:r>
    </w:p>
    <w:p w14:paraId="1B468289">
      <w:pPr>
        <w:pStyle w:val="8"/>
        <w:spacing w:before="179" w:line="218" w:lineRule="auto"/>
        <w:ind w:left="13"/>
        <w:rPr>
          <w:color w:val="auto"/>
          <w:highlight w:val="none"/>
        </w:rPr>
      </w:pPr>
      <w:r>
        <w:rPr>
          <w:color w:val="auto"/>
          <w:spacing w:val="-1"/>
          <w:highlight w:val="none"/>
        </w:rPr>
        <w:t>5、投标报价明细表（本项目为下浮率报价，可不提供）</w:t>
      </w:r>
    </w:p>
    <w:p w14:paraId="31E364A9">
      <w:pPr>
        <w:pStyle w:val="8"/>
        <w:spacing w:before="185" w:line="219" w:lineRule="auto"/>
        <w:ind w:left="11"/>
        <w:rPr>
          <w:color w:val="auto"/>
          <w:highlight w:val="none"/>
        </w:rPr>
      </w:pPr>
      <w:r>
        <w:rPr>
          <w:color w:val="auto"/>
          <w:spacing w:val="-2"/>
          <w:highlight w:val="none"/>
        </w:rPr>
        <w:t>6、商务条款偏离表</w:t>
      </w:r>
    </w:p>
    <w:p w14:paraId="4D7B998A">
      <w:pPr>
        <w:pStyle w:val="8"/>
        <w:spacing w:before="180" w:line="219" w:lineRule="auto"/>
        <w:ind w:left="14"/>
        <w:rPr>
          <w:color w:val="auto"/>
          <w:highlight w:val="none"/>
        </w:rPr>
      </w:pPr>
      <w:r>
        <w:rPr>
          <w:color w:val="auto"/>
          <w:spacing w:val="-2"/>
          <w:highlight w:val="none"/>
        </w:rPr>
        <w:t>7、采购需求偏离表</w:t>
      </w:r>
    </w:p>
    <w:p w14:paraId="65527684">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2CA52F9C">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31E6ADCD">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70E389DE">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379C880B">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49686808">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0CCC3511">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2"/>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2"/>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2"/>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支队机关、轮训队、塔城边境管理大队大队部、阿西尔边境派出所、阿布都拉边境派出所、也门勒边境派出所、博孜达克边境派出所、喀拉哈巴克边境派出所、恰合吉边境派出所、恰夏边境派出所、二工镇边境派出所、玛依海边境派出所、涝巴边境派出所、南湖边境派出所、奇巴拉尕什边境派出所、巴克图口岸边境派出所、乌拉斯台边境派出所、阿克雀克边境检查站18个点位1日一送，铁列克特边境派出所3日一送</w:t>
      </w:r>
      <w:r>
        <w:rPr>
          <w:rFonts w:hint="eastAsia" w:ascii="宋体" w:hAnsi="宋体" w:cs="Times New Roman"/>
          <w:bCs/>
          <w:color w:val="auto"/>
          <w:sz w:val="24"/>
          <w:highlight w:val="none"/>
          <w:lang w:val="en-US" w:eastAsia="zh-CN"/>
        </w:rPr>
        <w:t>。（其中片区内最远的铁列克特边境派出所距离塔城市40余公里，道路多为乡村道路，限速70km/h）</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47"/>
                <w:sz w:val="24"/>
                <w:szCs w:val="24"/>
                <w:highlight w:val="none"/>
              </w:rPr>
              <w:t xml:space="preserve"> </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bidi w:val="0"/>
        <w:rPr>
          <w:rFonts w:hint="eastAsia"/>
          <w:color w:val="auto"/>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061F851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供应商应当提供自2023年1月1日起至今（投标截止日期）的类似项目业绩，每个年度内，提供具有符合评审要求的1个有效业绩的得4分，提供同一年度内多份业绩的按1个业绩计算，此项最高得12分。</w:t>
            </w:r>
          </w:p>
          <w:p w14:paraId="58A6495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业绩要求：1.结合本项目采购需求实际，合同内明确约定的服务周期应当不少于1年，且合同内容与本项目标的相同的业绩。</w:t>
            </w:r>
          </w:p>
          <w:p w14:paraId="7E6A159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2.业绩证明材料须提供中标通知书（评审小组通过中国政府采购网或其他招投标网站查询相关公告信息，查询结果不符则视为无效业绩）、加盖供应商公章的合同原件扫描件、公告信息网页截图。</w:t>
            </w:r>
          </w:p>
          <w:p w14:paraId="13F799E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3.须提供合同期内对应金额的有效发票扫描件（每个年度4个季度、每季度至少1次，共计不少于4次）。</w:t>
            </w:r>
          </w:p>
          <w:p w14:paraId="699DB4A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rPr>
              <w:t>4.业绩认定以合同签订时间为准，未按要求提供完整证明材料的以及提供的证明材料未显示日期及项目名称、无法定代表人或授权代表签字（签章）的，均视为无效业绩，不得分。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配置负责接单、配货、运输、财务、售后等工作的配送团队，人员数量不少于5人，并提供相关证明材料（含身份证、劳务合同）（2分）；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4823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52CAC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4CC0014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734816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628BCFA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2C0D584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324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63" w:type="dxa"/>
            <w:noWrap w:val="0"/>
            <w:vAlign w:val="center"/>
          </w:tcPr>
          <w:p w14:paraId="5156C7C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2DA04FB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仓储条件及货源保证</w:t>
            </w:r>
          </w:p>
        </w:tc>
        <w:tc>
          <w:tcPr>
            <w:tcW w:w="780" w:type="dxa"/>
            <w:noWrap w:val="0"/>
            <w:vAlign w:val="center"/>
          </w:tcPr>
          <w:p w14:paraId="39451DE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74C0D80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塔城市</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7229F27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1C9C5BF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2068A61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5A57944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12DF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5E6E4E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51D5A8A7">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2B2370A2">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65A7B5BD">
            <w:pPr>
              <w:spacing w:line="24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供应商提供有效的食品安全责任险投保凭证，且保险金额达到1000万元及以上的，得3分；保险金额在500万元（含）至1000万元（不含）之间的，得1.5分；未提供投保凭证或保险金额不足500万元的，不得分。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451DDB9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塔城市19个点位（其中片区内最远的铁列克特边境派出所距塔城市40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p>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方案内容包含但不限于：①配送方案；②车辆配备方案（需配备不少于2辆运输车辆，其中冷藏车不少于1辆，其余车型不限）；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2"/>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3"/>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380404622"/>
      <w:bookmarkStart w:id="34" w:name="_Toc497666658"/>
    </w:p>
    <w:bookmarkEnd w:id="33"/>
    <w:bookmarkEnd w:id="34"/>
    <w:p w14:paraId="2B132643">
      <w:pPr>
        <w:pStyle w:val="3"/>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3"/>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为支队机关、轮训队、塔城边境管理大队大队部、阿西尔边境派出所、阿布都拉边境派出所、也门勒边境派出所、博孜达克边境派出所、喀拉哈巴克边境派出所、恰合吉边境派出所、恰夏边境派出所、二工镇边境派出所、玛依海边境派出所、涝巴边境派出所、南湖边境派出所、奇巴拉尕什边境派出所、巴克图口岸边境派出所、乌拉斯台边境派出所、阿克雀克边境检查站，铁列克特边境派出所的主副食品配送：包括但不限于米、面、油、调料、蔬菜、水果、牛羊肉、猪肉、鱼、蛋、禽类等所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3"/>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47"/>
                <w:sz w:val="24"/>
                <w:szCs w:val="24"/>
                <w:highlight w:val="none"/>
              </w:rPr>
              <w:t xml:space="preserve"> </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bookmarkStart w:id="36" w:name="_GoBack"/>
            <w:bookmarkEnd w:id="36"/>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567"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4B987A8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1AA6C0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供应商应当提供自2023年1月1日起至今（投标截止日期）的类似项目业绩，每个年度内，提供具有符合评审要求的1个有效业绩的得4分，提供同一年度内多份业绩的按1个业绩计算，此项最高得12分。</w:t>
            </w:r>
          </w:p>
          <w:p w14:paraId="729C582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业绩要求：1.结合本项目采购需求实际，合同内明确约定的服务周期应当不少于1年，且合同内容与本项目标的相同的业绩。</w:t>
            </w:r>
          </w:p>
          <w:p w14:paraId="2CB6C91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2.业绩证明材料须提供中标通知书（评审小组通过中国政府采购网或其他招投标网站查询相关公告信息，查询结果不符则视为无效业绩）、加盖供应商公章的合同原件扫描件、公告信息网页截图。</w:t>
            </w:r>
          </w:p>
          <w:p w14:paraId="7E3B67D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3.须提供合同期内对应金额的有效发票扫描件（每个年度4个季度、每季度至少1次，共计不少于4次）。</w:t>
            </w:r>
          </w:p>
          <w:p w14:paraId="152D571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4.业绩认定以合同签订时间为准，未按要求提供完整证明材料的以及提供的证明材料未显示日期及项目名称、无法定代表人或授权代表签字（签章）的，均视为无效业绩，不得分。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37D03A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606DFE0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4C4A938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配置负责接单、配货、运输、财务、售后等工作的配送团队，人员数量不少于5人，并提供相关证明材料（含身份证、劳务合同）（2分）；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0663BB8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258EC5C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75ADB83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7D38EA4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66E4285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塔城市</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543BB43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52DB3A1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65A915A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09FF2AA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3BDFBB90">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41CE8ABE">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供应商提供有效的食品安全责任险投保凭证，且保险金额达到1000万元及以上的，得3分；保险金额在500万元（含）至1000万元（不含）之间的，得1.5分；未提供投保凭证或保险金额不足500万元的，不得分。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5396880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3870D46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塔城市19个点位（其中片区内最远的铁列克特边境派出所距塔城市40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p>
          <w:p w14:paraId="2D68E96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方案内容包含但不限于：①配送方案；②车辆配备方案（需配备不少于2辆运输车辆，其中冷藏车不少于1辆，其余车型不限）；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3B1E1E8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0253F3F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16309E2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214D82F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6A15EB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01F00B5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20973C7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4F21A65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07ECCBD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034401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2132364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w:t>
      </w:r>
      <w:r>
        <w:rPr>
          <w:rFonts w:hint="eastAsia"/>
          <w:color w:val="auto"/>
          <w:spacing w:val="-1"/>
          <w:highlight w:val="none"/>
          <w:lang w:val="en-US" w:eastAsia="zh-CN"/>
        </w:rPr>
        <w:t>单位</w:t>
      </w:r>
      <w:r>
        <w:rPr>
          <w:color w:val="auto"/>
          <w:spacing w:val="-1"/>
          <w:highlight w:val="none"/>
        </w:rPr>
        <w:t>：%</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4"/>
        <w:gridCol w:w="294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344" w:type="dxa"/>
            <w:vAlign w:val="top"/>
          </w:tcPr>
          <w:p w14:paraId="46EA9D38">
            <w:pPr>
              <w:spacing w:line="285" w:lineRule="auto"/>
              <w:jc w:val="center"/>
              <w:rPr>
                <w:rFonts w:ascii="Arial"/>
                <w:color w:val="auto"/>
                <w:sz w:val="21"/>
                <w:highlight w:val="none"/>
              </w:rPr>
            </w:pPr>
          </w:p>
          <w:p w14:paraId="17364187">
            <w:pPr>
              <w:pStyle w:val="35"/>
              <w:spacing w:before="78" w:line="220" w:lineRule="auto"/>
              <w:jc w:val="center"/>
              <w:rPr>
                <w:color w:val="auto"/>
                <w:highlight w:val="none"/>
              </w:rPr>
            </w:pPr>
            <w:r>
              <w:rPr>
                <w:color w:val="auto"/>
                <w:spacing w:val="-4"/>
                <w:highlight w:val="none"/>
              </w:rPr>
              <w:t>项目名称</w:t>
            </w:r>
          </w:p>
        </w:tc>
        <w:tc>
          <w:tcPr>
            <w:tcW w:w="2948" w:type="dxa"/>
            <w:vAlign w:val="top"/>
          </w:tcPr>
          <w:p w14:paraId="016EAE18">
            <w:pPr>
              <w:spacing w:line="285" w:lineRule="auto"/>
              <w:rPr>
                <w:rFonts w:ascii="Arial"/>
                <w:color w:val="auto"/>
                <w:sz w:val="21"/>
                <w:highlight w:val="none"/>
              </w:rPr>
            </w:pPr>
          </w:p>
          <w:p w14:paraId="6C4F737A">
            <w:pPr>
              <w:pStyle w:val="35"/>
              <w:spacing w:before="78" w:line="218" w:lineRule="auto"/>
              <w:jc w:val="center"/>
              <w:rPr>
                <w:color w:val="auto"/>
                <w:highlight w:val="none"/>
              </w:rPr>
            </w:pPr>
            <w:r>
              <w:rPr>
                <w:color w:val="auto"/>
                <w:spacing w:val="-1"/>
                <w:highlight w:val="none"/>
              </w:rPr>
              <w:t>投标总价（</w:t>
            </w:r>
            <w:r>
              <w:rPr>
                <w:rFonts w:hint="eastAsia"/>
                <w:color w:val="auto"/>
                <w:spacing w:val="-1"/>
                <w:highlight w:val="none"/>
                <w:lang w:val="en-US" w:eastAsia="zh-CN"/>
              </w:rPr>
              <w:t>下浮</w:t>
            </w:r>
            <w:r>
              <w:rPr>
                <w:color w:val="auto"/>
                <w:spacing w:val="-1"/>
                <w:highlight w:val="none"/>
              </w:rPr>
              <w:t>率）</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344" w:type="dxa"/>
            <w:vAlign w:val="top"/>
          </w:tcPr>
          <w:p w14:paraId="793F5225">
            <w:pPr>
              <w:jc w:val="center"/>
              <w:rPr>
                <w:rFonts w:ascii="Arial"/>
                <w:color w:val="auto"/>
                <w:sz w:val="21"/>
                <w:highlight w:val="none"/>
              </w:rPr>
            </w:pPr>
          </w:p>
        </w:tc>
        <w:tc>
          <w:tcPr>
            <w:tcW w:w="2948" w:type="dxa"/>
            <w:vAlign w:val="top"/>
          </w:tcPr>
          <w:p w14:paraId="0DF1CE59">
            <w:pP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5344" w:type="dxa"/>
            <w:vAlign w:val="top"/>
          </w:tcPr>
          <w:p w14:paraId="79BA172B">
            <w:pPr>
              <w:pStyle w:val="35"/>
              <w:spacing w:before="269" w:line="219" w:lineRule="auto"/>
              <w:jc w:val="center"/>
              <w:rPr>
                <w:color w:val="auto"/>
                <w:highlight w:val="none"/>
              </w:rPr>
            </w:pPr>
            <w:r>
              <w:rPr>
                <w:color w:val="auto"/>
                <w:spacing w:val="-3"/>
                <w:highlight w:val="none"/>
              </w:rPr>
              <w:t>交货及完成期</w:t>
            </w:r>
          </w:p>
        </w:tc>
        <w:tc>
          <w:tcPr>
            <w:tcW w:w="2948" w:type="dxa"/>
            <w:vAlign w:val="top"/>
          </w:tcPr>
          <w:p w14:paraId="1C26F547">
            <w:pP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12EF8DA8">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w:t>
            </w:r>
            <w:r>
              <w:rPr>
                <w:rFonts w:hint="eastAsia"/>
                <w:color w:val="auto"/>
                <w:spacing w:val="-1"/>
                <w:highlight w:val="none"/>
                <w:lang w:val="en-US" w:eastAsia="zh-CN"/>
              </w:rPr>
              <w:t>25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、成交的供应商的《中小企业声明函》将作为成交结果公告一并公示。</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B01B2">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5B01B2">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B69EF">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A0B69EF">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CDA2F">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7CDA2F">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B422F">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3B422F">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0CA19">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3F0CA19">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43499">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343499">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1B872">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301B872">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E8785">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DDE8785">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FB2D2">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33FB2D2">
                    <w:pPr>
                      <w:pStyle w:val="14"/>
                    </w:pPr>
                    <w:r>
                      <w:fldChar w:fldCharType="begin"/>
                    </w:r>
                    <w:r>
                      <w:instrText xml:space="preserve"> PAGE  \* MERGEFORMAT </w:instrText>
                    </w:r>
                    <w:r>
                      <w:fldChar w:fldCharType="separate"/>
                    </w:r>
                    <w:r>
                      <w:t>62</w:t>
                    </w:r>
                    <w:r>
                      <w:fldChar w:fldCharType="end"/>
                    </w:r>
                  </w:p>
                </w:txbxContent>
              </v:textbox>
            </v:shape>
          </w:pict>
        </mc:Fallback>
      </mc:AlternateContent>
    </w:r>
    <w:r>
      <w:rPr>
        <w:rFonts w:ascii="Calibri" w:hAnsi="Calibri" w:eastAsia="Calibri" w:cs="Calibri"/>
        <w:spacing w:val="-5"/>
        <w:sz w:val="18"/>
        <w:szCs w:val="18"/>
      </w:rPr>
      <w:t>58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35E96">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9335E96">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ADED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BADED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C7F13">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3C7F13">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71308">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071308">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EDA83">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8EDA83">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CB2AF">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CCB2AF">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2FA87">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02FA87">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F009D">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7F009D">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B9E82">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EB9E82">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9329D"/>
    <w:rsid w:val="03A41059"/>
    <w:rsid w:val="0428053E"/>
    <w:rsid w:val="044D1E2D"/>
    <w:rsid w:val="04DA6382"/>
    <w:rsid w:val="05E25181"/>
    <w:rsid w:val="076404CB"/>
    <w:rsid w:val="07F46FEF"/>
    <w:rsid w:val="07FCEDA2"/>
    <w:rsid w:val="0813689E"/>
    <w:rsid w:val="08C43FAB"/>
    <w:rsid w:val="0B172E70"/>
    <w:rsid w:val="0C840297"/>
    <w:rsid w:val="0CE04E53"/>
    <w:rsid w:val="0CFFC4F0"/>
    <w:rsid w:val="0F076219"/>
    <w:rsid w:val="0FBA40F6"/>
    <w:rsid w:val="1264154A"/>
    <w:rsid w:val="126A634F"/>
    <w:rsid w:val="14494C1D"/>
    <w:rsid w:val="147C132A"/>
    <w:rsid w:val="157E504C"/>
    <w:rsid w:val="159D36AE"/>
    <w:rsid w:val="16612523"/>
    <w:rsid w:val="186E0367"/>
    <w:rsid w:val="18A137CE"/>
    <w:rsid w:val="1A1A1631"/>
    <w:rsid w:val="1AAE600F"/>
    <w:rsid w:val="1B620BAE"/>
    <w:rsid w:val="1BA82FED"/>
    <w:rsid w:val="1D3F0B0A"/>
    <w:rsid w:val="1DE4219A"/>
    <w:rsid w:val="1FEC60D9"/>
    <w:rsid w:val="1FFCE383"/>
    <w:rsid w:val="20D94260"/>
    <w:rsid w:val="22E774C5"/>
    <w:rsid w:val="24E82E4D"/>
    <w:rsid w:val="26AF70B6"/>
    <w:rsid w:val="27311C66"/>
    <w:rsid w:val="276E6AA6"/>
    <w:rsid w:val="279D5E30"/>
    <w:rsid w:val="29222E98"/>
    <w:rsid w:val="2AA268F8"/>
    <w:rsid w:val="2C145AF4"/>
    <w:rsid w:val="2C230D60"/>
    <w:rsid w:val="2CD341A1"/>
    <w:rsid w:val="2D330B30"/>
    <w:rsid w:val="2D5751CF"/>
    <w:rsid w:val="2EE06FD8"/>
    <w:rsid w:val="2F68215F"/>
    <w:rsid w:val="2F727DDB"/>
    <w:rsid w:val="2FBC6E61"/>
    <w:rsid w:val="33FBADF5"/>
    <w:rsid w:val="347B2CCE"/>
    <w:rsid w:val="34A138FF"/>
    <w:rsid w:val="37C50A07"/>
    <w:rsid w:val="39F84299"/>
    <w:rsid w:val="3CA840F0"/>
    <w:rsid w:val="3CEF19D0"/>
    <w:rsid w:val="3E7F3835"/>
    <w:rsid w:val="3EF44AD4"/>
    <w:rsid w:val="3F7FEC61"/>
    <w:rsid w:val="3FAD5455"/>
    <w:rsid w:val="3FFF7FD1"/>
    <w:rsid w:val="41DB2FA5"/>
    <w:rsid w:val="438E3633"/>
    <w:rsid w:val="43A868AE"/>
    <w:rsid w:val="44E05527"/>
    <w:rsid w:val="460A5AC4"/>
    <w:rsid w:val="463C72CB"/>
    <w:rsid w:val="4C5C3453"/>
    <w:rsid w:val="4FB52CD9"/>
    <w:rsid w:val="54AC55D0"/>
    <w:rsid w:val="55033D1A"/>
    <w:rsid w:val="55FA7369"/>
    <w:rsid w:val="56476CFC"/>
    <w:rsid w:val="5693229F"/>
    <w:rsid w:val="57DE4D8B"/>
    <w:rsid w:val="595FE1B5"/>
    <w:rsid w:val="5A085CA8"/>
    <w:rsid w:val="5ABF9FDF"/>
    <w:rsid w:val="5B4215A9"/>
    <w:rsid w:val="5BE33327"/>
    <w:rsid w:val="5EA150EA"/>
    <w:rsid w:val="62B83944"/>
    <w:rsid w:val="63E837CE"/>
    <w:rsid w:val="63F975E8"/>
    <w:rsid w:val="656C2850"/>
    <w:rsid w:val="66CF0695"/>
    <w:rsid w:val="66D734E4"/>
    <w:rsid w:val="6A6F050A"/>
    <w:rsid w:val="6AB57FE0"/>
    <w:rsid w:val="6B030991"/>
    <w:rsid w:val="6BE25DC0"/>
    <w:rsid w:val="6D767F06"/>
    <w:rsid w:val="6DAEB58A"/>
    <w:rsid w:val="6EF40CC5"/>
    <w:rsid w:val="6F9FB71A"/>
    <w:rsid w:val="71B82B77"/>
    <w:rsid w:val="72880BC2"/>
    <w:rsid w:val="732D2602"/>
    <w:rsid w:val="757E5B9F"/>
    <w:rsid w:val="76B700D9"/>
    <w:rsid w:val="76BF1895"/>
    <w:rsid w:val="76EBE8EF"/>
    <w:rsid w:val="77AA3221"/>
    <w:rsid w:val="7BFF3A95"/>
    <w:rsid w:val="7CCFDCE0"/>
    <w:rsid w:val="7DFD18DC"/>
    <w:rsid w:val="7E8D2F52"/>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5">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21962</Words>
  <Characters>23032</Characters>
  <Lines>0</Lines>
  <Paragraphs>0</Paragraphs>
  <TotalTime>18</TotalTime>
  <ScaleCrop>false</ScaleCrop>
  <LinksUpToDate>false</LinksUpToDate>
  <CharactersWithSpaces>23399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好运来</cp:lastModifiedBy>
  <cp:lastPrinted>2026-04-24T02:18:00Z</cp:lastPrinted>
  <dcterms:modified xsi:type="dcterms:W3CDTF">2026-04-29T10:57:37Z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E893647A8F884121B9A7920FB95561E8_13</vt:lpwstr>
  </property>
  <property fmtid="{D5CDD505-2E9C-101B-9397-08002B2CF9AE}" pid="4" name="KSOTemplateDocerSaveRecord">
    <vt:lpwstr>eyJoZGlkIjoiOWJlMDQwMmE4NGY4OTY4NWFlYTA4MWE1MmExOTc2ZmMiLCJ1c2VySWQiOiIzODk2OTUxNzMifQ==</vt:lpwstr>
  </property>
</Properties>
</file>